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C5" w:rsidRPr="00A13719" w:rsidRDefault="004823C5" w:rsidP="004823C5">
      <w:pPr>
        <w:spacing w:after="0"/>
        <w:ind w:left="567" w:right="567"/>
        <w:jc w:val="center"/>
        <w:rPr>
          <w:b/>
          <w:sz w:val="36"/>
          <w:szCs w:val="20"/>
        </w:rPr>
      </w:pPr>
      <w:bookmarkStart w:id="0" w:name="_Toc399862753"/>
      <w:r w:rsidRPr="00A13719">
        <w:rPr>
          <w:b/>
          <w:sz w:val="36"/>
          <w:szCs w:val="20"/>
        </w:rPr>
        <w:t xml:space="preserve">Hedge Fund Performance </w:t>
      </w:r>
      <w:r w:rsidR="004E3809" w:rsidRPr="00A13719">
        <w:rPr>
          <w:b/>
          <w:sz w:val="36"/>
          <w:szCs w:val="20"/>
        </w:rPr>
        <w:t xml:space="preserve">Attribution </w:t>
      </w:r>
      <w:r w:rsidRPr="00A13719">
        <w:rPr>
          <w:b/>
          <w:sz w:val="36"/>
          <w:szCs w:val="20"/>
        </w:rPr>
        <w:t xml:space="preserve">Under </w:t>
      </w:r>
      <w:r w:rsidR="00944928" w:rsidRPr="00A13719">
        <w:rPr>
          <w:b/>
          <w:sz w:val="36"/>
          <w:szCs w:val="20"/>
        </w:rPr>
        <w:t>Various</w:t>
      </w:r>
      <w:r w:rsidRPr="00A13719">
        <w:rPr>
          <w:b/>
          <w:sz w:val="36"/>
          <w:szCs w:val="20"/>
        </w:rPr>
        <w:t xml:space="preserve"> Market Conditions</w:t>
      </w:r>
    </w:p>
    <w:p w:rsidR="003D234B" w:rsidRPr="00A13719" w:rsidRDefault="003D234B" w:rsidP="003D234B">
      <w:pPr>
        <w:spacing w:after="0" w:line="240" w:lineRule="auto"/>
        <w:jc w:val="center"/>
        <w:rPr>
          <w:szCs w:val="24"/>
        </w:rPr>
      </w:pPr>
    </w:p>
    <w:p w:rsidR="003D234B" w:rsidRPr="00A13719" w:rsidRDefault="003D234B" w:rsidP="003D234B">
      <w:pPr>
        <w:spacing w:after="0" w:line="240" w:lineRule="auto"/>
        <w:jc w:val="center"/>
        <w:rPr>
          <w:szCs w:val="24"/>
        </w:rPr>
      </w:pPr>
      <w:r w:rsidRPr="00A13719">
        <w:rPr>
          <w:szCs w:val="24"/>
        </w:rPr>
        <w:t>Dimitri</w:t>
      </w:r>
      <w:r w:rsidR="009869AF" w:rsidRPr="00A13719">
        <w:rPr>
          <w:szCs w:val="24"/>
        </w:rPr>
        <w:t>o</w:t>
      </w:r>
      <w:r w:rsidRPr="00A13719">
        <w:rPr>
          <w:szCs w:val="24"/>
        </w:rPr>
        <w:t>s Stafylas</w:t>
      </w:r>
      <w:r w:rsidR="007223DC" w:rsidRPr="00A13719">
        <w:rPr>
          <w:rStyle w:val="FootnoteReference"/>
          <w:szCs w:val="24"/>
        </w:rPr>
        <w:footnoteReference w:id="1"/>
      </w:r>
      <w:r w:rsidRPr="00A13719">
        <w:rPr>
          <w:szCs w:val="24"/>
        </w:rPr>
        <w:t xml:space="preserve"> </w:t>
      </w:r>
    </w:p>
    <w:p w:rsidR="003D234B" w:rsidRPr="00A13719" w:rsidRDefault="003D234B" w:rsidP="003D234B">
      <w:pPr>
        <w:pStyle w:val="BodyText"/>
        <w:spacing w:after="0" w:line="240" w:lineRule="auto"/>
        <w:jc w:val="center"/>
        <w:rPr>
          <w:sz w:val="24"/>
          <w:szCs w:val="24"/>
        </w:rPr>
      </w:pPr>
    </w:p>
    <w:p w:rsidR="003D234B" w:rsidRPr="00A13719" w:rsidRDefault="003D234B" w:rsidP="003D234B">
      <w:pPr>
        <w:spacing w:after="0" w:line="240" w:lineRule="auto"/>
        <w:jc w:val="center"/>
        <w:rPr>
          <w:szCs w:val="24"/>
        </w:rPr>
      </w:pPr>
      <w:r w:rsidRPr="00A13719">
        <w:rPr>
          <w:szCs w:val="24"/>
        </w:rPr>
        <w:t>Keith Anderson</w:t>
      </w:r>
      <w:r w:rsidRPr="00A13719">
        <w:rPr>
          <w:rStyle w:val="FootnoteReference"/>
          <w:szCs w:val="24"/>
        </w:rPr>
        <w:footnoteReference w:id="2"/>
      </w:r>
      <w:r w:rsidRPr="00A13719">
        <w:rPr>
          <w:szCs w:val="24"/>
        </w:rPr>
        <w:t xml:space="preserve">* </w:t>
      </w:r>
    </w:p>
    <w:p w:rsidR="003D234B" w:rsidRPr="00A13719" w:rsidRDefault="003D234B" w:rsidP="003D234B">
      <w:pPr>
        <w:spacing w:after="0" w:line="240" w:lineRule="auto"/>
        <w:jc w:val="center"/>
        <w:rPr>
          <w:szCs w:val="24"/>
        </w:rPr>
      </w:pPr>
    </w:p>
    <w:p w:rsidR="003D234B" w:rsidRPr="00A13719" w:rsidRDefault="003D234B" w:rsidP="003D234B">
      <w:pPr>
        <w:spacing w:after="0" w:line="240" w:lineRule="auto"/>
        <w:jc w:val="center"/>
        <w:rPr>
          <w:szCs w:val="24"/>
        </w:rPr>
      </w:pPr>
      <w:r w:rsidRPr="00A13719">
        <w:rPr>
          <w:szCs w:val="24"/>
        </w:rPr>
        <w:t>Moshfique Uddin</w:t>
      </w:r>
      <w:r w:rsidRPr="00A13719">
        <w:rPr>
          <w:rStyle w:val="FootnoteReference"/>
          <w:szCs w:val="24"/>
        </w:rPr>
        <w:footnoteReference w:id="3"/>
      </w:r>
    </w:p>
    <w:p w:rsidR="003D234B" w:rsidRPr="00A13719" w:rsidRDefault="003D234B" w:rsidP="003D234B">
      <w:pPr>
        <w:spacing w:after="0" w:line="240" w:lineRule="auto"/>
        <w:jc w:val="center"/>
        <w:rPr>
          <w:szCs w:val="24"/>
        </w:rPr>
      </w:pPr>
    </w:p>
    <w:p w:rsidR="004823C5" w:rsidRPr="00A13719" w:rsidRDefault="004823C5" w:rsidP="004823C5">
      <w:pPr>
        <w:ind w:left="567" w:right="567"/>
        <w:jc w:val="center"/>
        <w:rPr>
          <w:szCs w:val="24"/>
        </w:rPr>
      </w:pPr>
    </w:p>
    <w:p w:rsidR="00AA3430" w:rsidRPr="00A13719" w:rsidRDefault="00AA3430" w:rsidP="00AA3430">
      <w:pPr>
        <w:jc w:val="center"/>
        <w:rPr>
          <w:b/>
          <w:sz w:val="32"/>
        </w:rPr>
      </w:pPr>
      <w:r w:rsidRPr="00A13719">
        <w:rPr>
          <w:b/>
          <w:sz w:val="32"/>
        </w:rPr>
        <w:t>Abstract</w:t>
      </w:r>
      <w:bookmarkEnd w:id="0"/>
    </w:p>
    <w:p w:rsidR="00AA3430" w:rsidRPr="00A13719" w:rsidRDefault="003D234B" w:rsidP="00AA3430">
      <w:pPr>
        <w:ind w:left="567" w:right="567"/>
        <w:jc w:val="both"/>
        <w:rPr>
          <w:sz w:val="20"/>
          <w:szCs w:val="20"/>
          <w:lang w:val="en-US"/>
        </w:rPr>
      </w:pPr>
      <w:r w:rsidRPr="00A13719">
        <w:rPr>
          <w:sz w:val="20"/>
          <w:szCs w:val="20"/>
        </w:rPr>
        <w:t>We</w:t>
      </w:r>
      <w:r w:rsidR="004E6B32" w:rsidRPr="00A13719">
        <w:rPr>
          <w:sz w:val="20"/>
          <w:szCs w:val="20"/>
        </w:rPr>
        <w:t xml:space="preserve"> investigate</w:t>
      </w:r>
      <w:r w:rsidR="00AA3430" w:rsidRPr="00A13719">
        <w:rPr>
          <w:sz w:val="20"/>
          <w:szCs w:val="20"/>
          <w:lang w:val="en-US"/>
        </w:rPr>
        <w:t xml:space="preserve"> </w:t>
      </w:r>
      <w:r w:rsidRPr="00A13719">
        <w:rPr>
          <w:sz w:val="20"/>
          <w:szCs w:val="20"/>
          <w:lang w:val="en-US"/>
        </w:rPr>
        <w:t xml:space="preserve">US </w:t>
      </w:r>
      <w:r w:rsidR="004E6B32" w:rsidRPr="00A13719">
        <w:rPr>
          <w:sz w:val="20"/>
          <w:szCs w:val="20"/>
          <w:lang w:val="en-US"/>
        </w:rPr>
        <w:t>h</w:t>
      </w:r>
      <w:r w:rsidR="005F41AD" w:rsidRPr="00A13719">
        <w:rPr>
          <w:sz w:val="20"/>
          <w:szCs w:val="20"/>
          <w:lang w:val="en-US"/>
        </w:rPr>
        <w:t>edge funds</w:t>
      </w:r>
      <w:r w:rsidR="00B81201" w:rsidRPr="00A13719">
        <w:rPr>
          <w:sz w:val="20"/>
          <w:szCs w:val="20"/>
          <w:lang w:val="en-US"/>
        </w:rPr>
        <w:t>’</w:t>
      </w:r>
      <w:r w:rsidR="005F41AD" w:rsidRPr="00A13719">
        <w:rPr>
          <w:sz w:val="20"/>
          <w:szCs w:val="20"/>
          <w:lang w:val="en-US"/>
        </w:rPr>
        <w:t xml:space="preserve"> </w:t>
      </w:r>
      <w:r w:rsidR="00CB0B55" w:rsidRPr="00A13719">
        <w:rPr>
          <w:sz w:val="20"/>
          <w:szCs w:val="20"/>
          <w:lang w:val="en-US"/>
        </w:rPr>
        <w:t>performance</w:t>
      </w:r>
      <w:r w:rsidR="00D6759C" w:rsidRPr="00A13719">
        <w:rPr>
          <w:sz w:val="20"/>
          <w:szCs w:val="20"/>
          <w:lang w:val="en-US"/>
        </w:rPr>
        <w:t xml:space="preserve">. </w:t>
      </w:r>
      <w:r w:rsidR="009107A4" w:rsidRPr="00A13719">
        <w:rPr>
          <w:sz w:val="20"/>
          <w:szCs w:val="20"/>
          <w:lang w:val="en-US"/>
        </w:rPr>
        <w:t>Our</w:t>
      </w:r>
      <w:r w:rsidR="00E16856" w:rsidRPr="00A13719">
        <w:rPr>
          <w:sz w:val="20"/>
          <w:szCs w:val="20"/>
          <w:lang w:val="en-US"/>
        </w:rPr>
        <w:t xml:space="preserve"> </w:t>
      </w:r>
      <w:r w:rsidR="009107A4" w:rsidRPr="00A13719">
        <w:rPr>
          <w:sz w:val="20"/>
          <w:szCs w:val="20"/>
          <w:lang w:val="en-US"/>
        </w:rPr>
        <w:t xml:space="preserve">proposed </w:t>
      </w:r>
      <w:r w:rsidR="00F44943" w:rsidRPr="00A13719">
        <w:rPr>
          <w:sz w:val="20"/>
          <w:szCs w:val="20"/>
          <w:lang w:val="en-US"/>
        </w:rPr>
        <w:t>model</w:t>
      </w:r>
      <w:r w:rsidR="00E16856" w:rsidRPr="00A13719">
        <w:rPr>
          <w:sz w:val="20"/>
          <w:szCs w:val="20"/>
          <w:lang w:val="en-US"/>
        </w:rPr>
        <w:t xml:space="preserve"> </w:t>
      </w:r>
      <w:r w:rsidR="009107A4" w:rsidRPr="00A13719">
        <w:rPr>
          <w:sz w:val="20"/>
          <w:szCs w:val="20"/>
          <w:lang w:val="en-US"/>
        </w:rPr>
        <w:t>contains</w:t>
      </w:r>
      <w:r w:rsidR="00341FA1" w:rsidRPr="00A13719">
        <w:rPr>
          <w:sz w:val="20"/>
          <w:szCs w:val="20"/>
          <w:lang w:val="en-US"/>
        </w:rPr>
        <w:t xml:space="preserve"> </w:t>
      </w:r>
      <w:r w:rsidR="007D64CB" w:rsidRPr="00A13719">
        <w:rPr>
          <w:sz w:val="20"/>
          <w:szCs w:val="20"/>
          <w:lang w:val="en-US"/>
        </w:rPr>
        <w:t>exogenous</w:t>
      </w:r>
      <w:r w:rsidR="00E16856" w:rsidRPr="00A13719">
        <w:rPr>
          <w:sz w:val="20"/>
          <w:szCs w:val="20"/>
          <w:lang w:val="en-US"/>
        </w:rPr>
        <w:t xml:space="preserve"> and </w:t>
      </w:r>
      <w:r w:rsidR="007D64CB" w:rsidRPr="00A13719">
        <w:rPr>
          <w:sz w:val="20"/>
          <w:szCs w:val="20"/>
          <w:lang w:val="en-US"/>
        </w:rPr>
        <w:t>endogenous</w:t>
      </w:r>
      <w:r w:rsidR="00E16856" w:rsidRPr="00A13719">
        <w:rPr>
          <w:sz w:val="20"/>
          <w:szCs w:val="20"/>
          <w:lang w:val="en-US"/>
        </w:rPr>
        <w:t xml:space="preserve"> </w:t>
      </w:r>
      <w:r w:rsidR="007D64CB" w:rsidRPr="00A13719">
        <w:rPr>
          <w:sz w:val="20"/>
          <w:szCs w:val="20"/>
          <w:lang w:val="en-US"/>
        </w:rPr>
        <w:t>break points</w:t>
      </w:r>
      <w:r w:rsidR="00B81201" w:rsidRPr="00A13719">
        <w:rPr>
          <w:sz w:val="20"/>
          <w:szCs w:val="20"/>
          <w:lang w:val="en-US"/>
        </w:rPr>
        <w:t>,</w:t>
      </w:r>
      <w:r w:rsidR="00E16856" w:rsidRPr="00A13719">
        <w:rPr>
          <w:sz w:val="20"/>
          <w:szCs w:val="20"/>
          <w:lang w:val="en-US"/>
        </w:rPr>
        <w:t xml:space="preserve"> </w:t>
      </w:r>
      <w:r w:rsidR="004D0D7F" w:rsidRPr="00A13719">
        <w:rPr>
          <w:sz w:val="20"/>
          <w:szCs w:val="20"/>
          <w:lang w:val="en-US"/>
        </w:rPr>
        <w:t xml:space="preserve">based on </w:t>
      </w:r>
      <w:r w:rsidR="00222376" w:rsidRPr="00A13719">
        <w:rPr>
          <w:sz w:val="20"/>
          <w:szCs w:val="20"/>
          <w:lang w:val="en-US"/>
        </w:rPr>
        <w:t xml:space="preserve">business cycles and on </w:t>
      </w:r>
      <w:r w:rsidR="00B81201" w:rsidRPr="00A13719">
        <w:rPr>
          <w:sz w:val="20"/>
          <w:szCs w:val="20"/>
          <w:lang w:val="en-US"/>
        </w:rPr>
        <w:t xml:space="preserve">a </w:t>
      </w:r>
      <w:r w:rsidR="004D0D7F" w:rsidRPr="00A13719">
        <w:rPr>
          <w:sz w:val="20"/>
          <w:szCs w:val="20"/>
          <w:lang w:val="en-US"/>
        </w:rPr>
        <w:t xml:space="preserve">regime switching </w:t>
      </w:r>
      <w:r w:rsidR="00712AE7" w:rsidRPr="00A13719">
        <w:rPr>
          <w:sz w:val="20"/>
          <w:szCs w:val="20"/>
          <w:lang w:val="en-US"/>
        </w:rPr>
        <w:t>process</w:t>
      </w:r>
      <w:r w:rsidR="004D0D7F" w:rsidRPr="00A13719">
        <w:rPr>
          <w:sz w:val="20"/>
          <w:szCs w:val="20"/>
          <w:lang w:val="en-US"/>
        </w:rPr>
        <w:t xml:space="preserve"> </w:t>
      </w:r>
      <w:r w:rsidR="00E16856" w:rsidRPr="00A13719">
        <w:rPr>
          <w:sz w:val="20"/>
          <w:szCs w:val="20"/>
          <w:lang w:val="en-US"/>
        </w:rPr>
        <w:t>conditional on different states of the market</w:t>
      </w:r>
      <w:r w:rsidR="00E44781" w:rsidRPr="00A13719">
        <w:rPr>
          <w:sz w:val="20"/>
          <w:szCs w:val="20"/>
          <w:lang w:val="en-US"/>
        </w:rPr>
        <w:t>.</w:t>
      </w:r>
      <w:r w:rsidR="00E16856" w:rsidRPr="00A13719">
        <w:rPr>
          <w:sz w:val="20"/>
          <w:szCs w:val="20"/>
          <w:lang w:val="en-US"/>
        </w:rPr>
        <w:t xml:space="preserve"> </w:t>
      </w:r>
      <w:r w:rsidR="00B81201" w:rsidRPr="00A13719">
        <w:rPr>
          <w:sz w:val="20"/>
          <w:szCs w:val="20"/>
          <w:lang w:val="en-US"/>
        </w:rPr>
        <w:t xml:space="preserve">During difficult </w:t>
      </w:r>
      <w:r w:rsidR="00582A48" w:rsidRPr="00A13719">
        <w:rPr>
          <w:sz w:val="20"/>
          <w:szCs w:val="20"/>
          <w:lang w:val="en-US"/>
        </w:rPr>
        <w:t xml:space="preserve">market conditions </w:t>
      </w:r>
      <w:r w:rsidR="000351C7" w:rsidRPr="00A13719">
        <w:rPr>
          <w:sz w:val="20"/>
          <w:szCs w:val="20"/>
          <w:shd w:val="clear" w:color="auto" w:fill="FFFFFF" w:themeFill="background1"/>
          <w:lang w:val="en-US"/>
        </w:rPr>
        <w:t>most</w:t>
      </w:r>
      <w:r w:rsidR="00582A48" w:rsidRPr="00A13719">
        <w:rPr>
          <w:sz w:val="20"/>
          <w:szCs w:val="20"/>
          <w:lang w:val="en-US"/>
        </w:rPr>
        <w:t xml:space="preserve"> hedge fund strategies do</w:t>
      </w:r>
      <w:r w:rsidR="00C23DFA" w:rsidRPr="00A13719">
        <w:rPr>
          <w:sz w:val="20"/>
          <w:szCs w:val="20"/>
          <w:lang w:val="en-US"/>
        </w:rPr>
        <w:t xml:space="preserve"> not provide significant alphas</w:t>
      </w:r>
      <w:r w:rsidR="00582A48" w:rsidRPr="00A13719">
        <w:rPr>
          <w:sz w:val="20"/>
          <w:szCs w:val="20"/>
          <w:lang w:val="en-US"/>
        </w:rPr>
        <w:t xml:space="preserve">. </w:t>
      </w:r>
      <w:r w:rsidR="00B81201" w:rsidRPr="00A13719">
        <w:rPr>
          <w:sz w:val="20"/>
          <w:szCs w:val="20"/>
          <w:lang w:val="en-US"/>
        </w:rPr>
        <w:t>At such times h</w:t>
      </w:r>
      <w:r w:rsidR="00E37797" w:rsidRPr="00A13719">
        <w:rPr>
          <w:sz w:val="20"/>
          <w:szCs w:val="20"/>
          <w:lang w:val="en-US"/>
        </w:rPr>
        <w:t>edge fund</w:t>
      </w:r>
      <w:r w:rsidR="00B81201" w:rsidRPr="00A13719">
        <w:rPr>
          <w:sz w:val="20"/>
          <w:szCs w:val="20"/>
          <w:lang w:val="en-US"/>
        </w:rPr>
        <w:t>s</w:t>
      </w:r>
      <w:r w:rsidR="00E37797" w:rsidRPr="00A13719">
        <w:rPr>
          <w:sz w:val="20"/>
          <w:szCs w:val="20"/>
          <w:lang w:val="en-US"/>
        </w:rPr>
        <w:t xml:space="preserve"> </w:t>
      </w:r>
      <w:r w:rsidRPr="00A13719">
        <w:rPr>
          <w:sz w:val="20"/>
          <w:szCs w:val="20"/>
          <w:lang w:val="en-US"/>
        </w:rPr>
        <w:t xml:space="preserve">reduce both the number of their </w:t>
      </w:r>
      <w:r w:rsidR="0061321F" w:rsidRPr="00A13719">
        <w:rPr>
          <w:sz w:val="20"/>
          <w:szCs w:val="20"/>
          <w:lang w:val="en-US"/>
        </w:rPr>
        <w:t>exposures</w:t>
      </w:r>
      <w:r w:rsidR="00E37797" w:rsidRPr="00A13719">
        <w:rPr>
          <w:sz w:val="20"/>
          <w:szCs w:val="20"/>
          <w:lang w:val="en-US"/>
        </w:rPr>
        <w:t xml:space="preserve"> </w:t>
      </w:r>
      <w:r w:rsidRPr="00A13719">
        <w:rPr>
          <w:sz w:val="20"/>
          <w:szCs w:val="20"/>
          <w:lang w:val="en-US"/>
        </w:rPr>
        <w:t xml:space="preserve">to </w:t>
      </w:r>
      <w:r w:rsidR="00E37797" w:rsidRPr="00A13719">
        <w:rPr>
          <w:sz w:val="20"/>
          <w:szCs w:val="20"/>
          <w:lang w:val="en-US"/>
        </w:rPr>
        <w:t xml:space="preserve">different asset classes and </w:t>
      </w:r>
      <w:r w:rsidRPr="00A13719">
        <w:rPr>
          <w:sz w:val="20"/>
          <w:szCs w:val="20"/>
          <w:lang w:val="en-US"/>
        </w:rPr>
        <w:t xml:space="preserve">their </w:t>
      </w:r>
      <w:r w:rsidR="00E37797" w:rsidRPr="00A13719">
        <w:rPr>
          <w:sz w:val="20"/>
          <w:szCs w:val="20"/>
          <w:lang w:val="en-US"/>
        </w:rPr>
        <w:t xml:space="preserve">portfolio </w:t>
      </w:r>
      <w:r w:rsidR="00A86E80" w:rsidRPr="00A13719">
        <w:rPr>
          <w:sz w:val="20"/>
          <w:szCs w:val="20"/>
          <w:lang w:val="en-US"/>
        </w:rPr>
        <w:t>allocations</w:t>
      </w:r>
      <w:r w:rsidR="007C535B" w:rsidRPr="00A13719">
        <w:rPr>
          <w:sz w:val="20"/>
          <w:szCs w:val="20"/>
          <w:lang w:val="en-US"/>
        </w:rPr>
        <w:t>,</w:t>
      </w:r>
      <w:r w:rsidR="00A171F3" w:rsidRPr="00A13719">
        <w:rPr>
          <w:sz w:val="20"/>
          <w:szCs w:val="20"/>
          <w:lang w:val="en-US"/>
        </w:rPr>
        <w:t xml:space="preserve"> while</w:t>
      </w:r>
      <w:r w:rsidR="00A86E80" w:rsidRPr="00A13719">
        <w:rPr>
          <w:sz w:val="20"/>
          <w:szCs w:val="20"/>
          <w:lang w:val="en-US"/>
        </w:rPr>
        <w:t xml:space="preserve"> </w:t>
      </w:r>
      <w:r w:rsidR="00A171F3" w:rsidRPr="00A13719">
        <w:rPr>
          <w:sz w:val="20"/>
          <w:szCs w:val="20"/>
          <w:lang w:val="en-US"/>
        </w:rPr>
        <w:t>s</w:t>
      </w:r>
      <w:r w:rsidR="00A86E80" w:rsidRPr="00A13719">
        <w:rPr>
          <w:sz w:val="20"/>
          <w:szCs w:val="20"/>
          <w:lang w:val="en-US"/>
        </w:rPr>
        <w:t xml:space="preserve">ome strategies even reverse their exposures. </w:t>
      </w:r>
      <w:r w:rsidR="00B81201" w:rsidRPr="00A13719">
        <w:rPr>
          <w:sz w:val="20"/>
          <w:szCs w:val="20"/>
          <w:lang w:val="en-US"/>
        </w:rPr>
        <w:t>D</w:t>
      </w:r>
      <w:r w:rsidR="004724B1" w:rsidRPr="00A13719">
        <w:rPr>
          <w:sz w:val="20"/>
          <w:szCs w:val="20"/>
          <w:lang w:val="en-US"/>
        </w:rPr>
        <w:t xml:space="preserve">irectional strategies </w:t>
      </w:r>
      <w:r w:rsidR="00B81201" w:rsidRPr="00A13719">
        <w:rPr>
          <w:sz w:val="20"/>
          <w:szCs w:val="20"/>
          <w:lang w:val="en-US"/>
        </w:rPr>
        <w:t>share mor</w:t>
      </w:r>
      <w:r w:rsidR="004724B1" w:rsidRPr="00A13719">
        <w:rPr>
          <w:sz w:val="20"/>
          <w:szCs w:val="20"/>
          <w:lang w:val="en-US"/>
        </w:rPr>
        <w:t xml:space="preserve">e common exposures </w:t>
      </w:r>
      <w:r w:rsidR="00B81201" w:rsidRPr="00A13719">
        <w:rPr>
          <w:sz w:val="20"/>
          <w:szCs w:val="20"/>
          <w:lang w:val="en-US"/>
        </w:rPr>
        <w:t>under</w:t>
      </w:r>
      <w:r w:rsidR="004724B1" w:rsidRPr="00A13719">
        <w:rPr>
          <w:sz w:val="20"/>
          <w:szCs w:val="20"/>
          <w:lang w:val="en-US"/>
        </w:rPr>
        <w:t xml:space="preserve"> </w:t>
      </w:r>
      <w:r w:rsidR="00B81201" w:rsidRPr="00A13719">
        <w:rPr>
          <w:sz w:val="20"/>
          <w:szCs w:val="20"/>
          <w:lang w:val="en-US"/>
        </w:rPr>
        <w:t>all</w:t>
      </w:r>
      <w:r w:rsidR="004724B1" w:rsidRPr="00A13719">
        <w:rPr>
          <w:sz w:val="20"/>
          <w:szCs w:val="20"/>
          <w:lang w:val="en-US"/>
        </w:rPr>
        <w:t xml:space="preserve"> market conditions compared to </w:t>
      </w:r>
      <w:r w:rsidR="00341FA1" w:rsidRPr="00A13719">
        <w:rPr>
          <w:sz w:val="20"/>
          <w:szCs w:val="20"/>
          <w:lang w:val="en-US"/>
        </w:rPr>
        <w:t>non-</w:t>
      </w:r>
      <w:r w:rsidR="004724B1" w:rsidRPr="00A13719">
        <w:rPr>
          <w:sz w:val="20"/>
          <w:szCs w:val="20"/>
          <w:lang w:val="en-US"/>
        </w:rPr>
        <w:t>directional strategies. F</w:t>
      </w:r>
      <w:r w:rsidR="00A70950" w:rsidRPr="00A13719">
        <w:rPr>
          <w:sz w:val="20"/>
          <w:szCs w:val="20"/>
          <w:lang w:val="en-US"/>
        </w:rPr>
        <w:t xml:space="preserve">actors related to commodity asset classes are more common during these </w:t>
      </w:r>
      <w:r w:rsidR="00B81201" w:rsidRPr="00A13719">
        <w:rPr>
          <w:sz w:val="20"/>
          <w:szCs w:val="20"/>
          <w:lang w:val="en-US"/>
        </w:rPr>
        <w:t xml:space="preserve">difficult </w:t>
      </w:r>
      <w:r w:rsidR="00A70950" w:rsidRPr="00A13719">
        <w:rPr>
          <w:sz w:val="20"/>
          <w:szCs w:val="20"/>
          <w:lang w:val="en-US"/>
        </w:rPr>
        <w:t>conditions</w:t>
      </w:r>
      <w:r w:rsidR="00336E92" w:rsidRPr="00A13719">
        <w:rPr>
          <w:sz w:val="20"/>
          <w:szCs w:val="20"/>
          <w:lang w:val="en-US"/>
        </w:rPr>
        <w:t xml:space="preserve"> whereas</w:t>
      </w:r>
      <w:r w:rsidR="00947458" w:rsidRPr="00A13719">
        <w:rPr>
          <w:sz w:val="20"/>
          <w:szCs w:val="20"/>
          <w:lang w:val="en-US"/>
        </w:rPr>
        <w:t xml:space="preserve"> factors related to equity asset classes are most common </w:t>
      </w:r>
      <w:r w:rsidR="00B81201" w:rsidRPr="00A13719">
        <w:rPr>
          <w:sz w:val="20"/>
          <w:szCs w:val="20"/>
          <w:lang w:val="en-US"/>
        </w:rPr>
        <w:t xml:space="preserve">during </w:t>
      </w:r>
      <w:r w:rsidR="00947458" w:rsidRPr="00A13719">
        <w:rPr>
          <w:sz w:val="20"/>
          <w:szCs w:val="20"/>
          <w:lang w:val="en-US"/>
        </w:rPr>
        <w:t>good market conditions.</w:t>
      </w:r>
      <w:r w:rsidR="00A70950" w:rsidRPr="00A13719">
        <w:rPr>
          <w:sz w:val="20"/>
          <w:szCs w:val="20"/>
          <w:lang w:val="en-US"/>
        </w:rPr>
        <w:t xml:space="preserve"> </w:t>
      </w:r>
      <w:r w:rsidR="00B81201" w:rsidRPr="00A13719">
        <w:rPr>
          <w:sz w:val="20"/>
          <w:szCs w:val="20"/>
          <w:lang w:val="en-US"/>
        </w:rPr>
        <w:t>Falling stock markets</w:t>
      </w:r>
      <w:r w:rsidR="00336E92" w:rsidRPr="00A13719">
        <w:rPr>
          <w:sz w:val="20"/>
          <w:szCs w:val="20"/>
          <w:lang w:val="en-US"/>
        </w:rPr>
        <w:t xml:space="preserve"> are harsher than recessions</w:t>
      </w:r>
      <w:r w:rsidR="00665738" w:rsidRPr="00A13719">
        <w:rPr>
          <w:sz w:val="20"/>
          <w:szCs w:val="20"/>
          <w:lang w:val="en-US"/>
        </w:rPr>
        <w:t xml:space="preserve"> for hedge funds</w:t>
      </w:r>
      <w:r w:rsidR="00336E92" w:rsidRPr="00A13719">
        <w:rPr>
          <w:sz w:val="20"/>
          <w:szCs w:val="20"/>
          <w:lang w:val="en-US"/>
        </w:rPr>
        <w:t>.</w:t>
      </w:r>
    </w:p>
    <w:p w:rsidR="00AA3430" w:rsidRPr="00A13719" w:rsidRDefault="00AA3430" w:rsidP="00AA3430">
      <w:pPr>
        <w:jc w:val="both"/>
        <w:rPr>
          <w:i/>
          <w:lang w:val="en-US"/>
        </w:rPr>
      </w:pPr>
      <w:r w:rsidRPr="00A13719">
        <w:rPr>
          <w:lang w:val="en-US"/>
        </w:rPr>
        <w:t xml:space="preserve">Keywords: </w:t>
      </w:r>
      <w:r w:rsidRPr="00A13719">
        <w:rPr>
          <w:i/>
          <w:lang w:val="en-US"/>
        </w:rPr>
        <w:t>hedge funds, performance, statistical factors, multi-factor models, risk exposures, alpha and beta returns</w:t>
      </w:r>
    </w:p>
    <w:p w:rsidR="003D234B" w:rsidRPr="00A13719" w:rsidRDefault="003D234B" w:rsidP="003D234B">
      <w:pPr>
        <w:jc w:val="both"/>
        <w:rPr>
          <w:lang w:val="en-US"/>
        </w:rPr>
      </w:pPr>
      <w:r w:rsidRPr="00A13719">
        <w:rPr>
          <w:lang w:val="en-US"/>
        </w:rPr>
        <w:t>* Corresponding author</w:t>
      </w:r>
    </w:p>
    <w:p w:rsidR="00ED2220" w:rsidRPr="00A13719" w:rsidRDefault="007F6116" w:rsidP="00E05D17">
      <w:pPr>
        <w:pStyle w:val="Heading1"/>
        <w:jc w:val="left"/>
        <w:rPr>
          <w:lang w:val="en-US"/>
        </w:rPr>
      </w:pPr>
      <w:bookmarkStart w:id="1" w:name="_Toc425953825"/>
      <w:r w:rsidRPr="00A13719">
        <w:rPr>
          <w:lang w:val="en-US"/>
        </w:rPr>
        <w:t>Introduction</w:t>
      </w:r>
      <w:bookmarkEnd w:id="1"/>
    </w:p>
    <w:p w:rsidR="00A03A4F" w:rsidRPr="00A13719" w:rsidRDefault="00957CAB" w:rsidP="008E1AD5">
      <w:pPr>
        <w:jc w:val="both"/>
        <w:rPr>
          <w:rFonts w:eastAsiaTheme="minorEastAsia"/>
          <w:lang w:val="en-US"/>
        </w:rPr>
      </w:pPr>
      <w:r w:rsidRPr="00A13719">
        <w:rPr>
          <w:rFonts w:eastAsiaTheme="minorEastAsia"/>
          <w:lang w:val="en-US"/>
        </w:rPr>
        <w:t xml:space="preserve">The </w:t>
      </w:r>
      <w:r w:rsidR="00C97E13" w:rsidRPr="00A13719">
        <w:rPr>
          <w:rFonts w:eastAsiaTheme="minorEastAsia"/>
          <w:lang w:val="en-US"/>
        </w:rPr>
        <w:t>last</w:t>
      </w:r>
      <w:r w:rsidR="009F1013" w:rsidRPr="00A13719">
        <w:rPr>
          <w:rFonts w:eastAsiaTheme="minorEastAsia"/>
          <w:lang w:val="en-US"/>
        </w:rPr>
        <w:t xml:space="preserve"> financial crisis </w:t>
      </w:r>
      <w:r w:rsidRPr="00A13719">
        <w:rPr>
          <w:rFonts w:eastAsiaTheme="minorEastAsia"/>
          <w:lang w:val="en-US"/>
        </w:rPr>
        <w:t xml:space="preserve">raised </w:t>
      </w:r>
      <w:r w:rsidR="005727A4" w:rsidRPr="00A13719">
        <w:rPr>
          <w:rFonts w:eastAsiaTheme="minorEastAsia"/>
          <w:lang w:val="en-US"/>
        </w:rPr>
        <w:t>doubt</w:t>
      </w:r>
      <w:r w:rsidR="009F1013" w:rsidRPr="00A13719">
        <w:rPr>
          <w:rFonts w:eastAsiaTheme="minorEastAsia"/>
          <w:lang w:val="en-US"/>
        </w:rPr>
        <w:t>s</w:t>
      </w:r>
      <w:r w:rsidRPr="00A13719">
        <w:rPr>
          <w:rFonts w:eastAsiaTheme="minorEastAsia"/>
          <w:lang w:val="en-US"/>
        </w:rPr>
        <w:t xml:space="preserve"> </w:t>
      </w:r>
      <w:r w:rsidR="009F1013" w:rsidRPr="00A13719">
        <w:rPr>
          <w:rFonts w:eastAsiaTheme="minorEastAsia"/>
          <w:lang w:val="en-US"/>
        </w:rPr>
        <w:t>about the</w:t>
      </w:r>
      <w:r w:rsidRPr="00A13719">
        <w:rPr>
          <w:rFonts w:eastAsiaTheme="minorEastAsia"/>
          <w:lang w:val="en-US"/>
        </w:rPr>
        <w:t xml:space="preserve"> hedge fund </w:t>
      </w:r>
      <w:r w:rsidR="003431EF" w:rsidRPr="00A13719">
        <w:rPr>
          <w:rFonts w:eastAsiaTheme="minorEastAsia"/>
          <w:lang w:val="en-US"/>
        </w:rPr>
        <w:t xml:space="preserve">(HF) </w:t>
      </w:r>
      <w:r w:rsidRPr="00A13719">
        <w:rPr>
          <w:rFonts w:eastAsiaTheme="minorEastAsia"/>
          <w:lang w:val="en-US"/>
        </w:rPr>
        <w:t xml:space="preserve">industry which has long been considered as being able to produce positive returns irrespective of </w:t>
      </w:r>
      <w:r w:rsidR="009F1013" w:rsidRPr="00A13719">
        <w:rPr>
          <w:rFonts w:eastAsiaTheme="minorEastAsia"/>
          <w:lang w:val="en-US"/>
        </w:rPr>
        <w:t>the</w:t>
      </w:r>
      <w:r w:rsidRPr="00A13719">
        <w:rPr>
          <w:rFonts w:eastAsiaTheme="minorEastAsia"/>
          <w:lang w:val="en-US"/>
        </w:rPr>
        <w:t xml:space="preserve"> market condition</w:t>
      </w:r>
      <w:r w:rsidR="009F1013" w:rsidRPr="00A13719">
        <w:rPr>
          <w:rFonts w:eastAsiaTheme="minorEastAsia"/>
          <w:lang w:val="en-US"/>
        </w:rPr>
        <w:t>s</w:t>
      </w:r>
      <w:r w:rsidRPr="00A13719">
        <w:rPr>
          <w:rFonts w:eastAsiaTheme="minorEastAsia"/>
          <w:lang w:val="en-US"/>
        </w:rPr>
        <w:t xml:space="preserve"> </w:t>
      </w:r>
      <w:r w:rsidR="008B0F0A" w:rsidRPr="00A13719">
        <w:rPr>
          <w:rFonts w:eastAsiaTheme="minorEastAsia"/>
          <w:lang w:val="en-US"/>
        </w:rPr>
        <w:t>(Hentati-Kaffel and de Paretti, 2015)</w:t>
      </w:r>
      <w:r w:rsidR="005727A4" w:rsidRPr="00A13719">
        <w:rPr>
          <w:rFonts w:eastAsiaTheme="minorEastAsia"/>
          <w:lang w:val="en-US"/>
        </w:rPr>
        <w:t>.</w:t>
      </w:r>
      <w:r w:rsidR="00587687" w:rsidRPr="00A13719">
        <w:rPr>
          <w:rFonts w:eastAsiaTheme="minorEastAsia"/>
          <w:lang w:val="en-US"/>
        </w:rPr>
        <w:t xml:space="preserve"> </w:t>
      </w:r>
      <w:r w:rsidR="009F1013" w:rsidRPr="00A13719">
        <w:rPr>
          <w:rFonts w:eastAsiaTheme="minorEastAsia"/>
          <w:lang w:val="en-US"/>
        </w:rPr>
        <w:t>However this cannot be complete</w:t>
      </w:r>
      <w:r w:rsidR="00B16FD8" w:rsidRPr="00A13719">
        <w:rPr>
          <w:rFonts w:eastAsiaTheme="minorEastAsia"/>
          <w:lang w:val="en-US"/>
        </w:rPr>
        <w:t>ly</w:t>
      </w:r>
      <w:r w:rsidR="009F1013" w:rsidRPr="00A13719">
        <w:rPr>
          <w:rFonts w:eastAsiaTheme="minorEastAsia"/>
          <w:lang w:val="en-US"/>
        </w:rPr>
        <w:t xml:space="preserve"> answered</w:t>
      </w:r>
      <w:r w:rsidR="007D6D7C" w:rsidRPr="00A13719">
        <w:rPr>
          <w:rFonts w:eastAsiaTheme="minorEastAsia"/>
          <w:lang w:val="en-US"/>
        </w:rPr>
        <w:t xml:space="preserve"> </w:t>
      </w:r>
      <w:r w:rsidR="009F1013" w:rsidRPr="00A13719">
        <w:rPr>
          <w:rFonts w:eastAsiaTheme="minorEastAsia"/>
          <w:lang w:val="en-US"/>
        </w:rPr>
        <w:t>with</w:t>
      </w:r>
      <w:r w:rsidR="00C628DE" w:rsidRPr="00A13719">
        <w:rPr>
          <w:rFonts w:eastAsiaTheme="minorEastAsia"/>
          <w:lang w:val="en-US"/>
        </w:rPr>
        <w:t xml:space="preserve"> </w:t>
      </w:r>
      <w:r w:rsidR="00C40E5F" w:rsidRPr="00A13719">
        <w:rPr>
          <w:rFonts w:eastAsiaTheme="minorEastAsia"/>
          <w:lang w:val="en-US"/>
        </w:rPr>
        <w:t>stronger</w:t>
      </w:r>
      <w:r w:rsidR="009F1013" w:rsidRPr="00A13719">
        <w:rPr>
          <w:rFonts w:eastAsiaTheme="minorEastAsia"/>
          <w:lang w:val="en-US"/>
        </w:rPr>
        <w:t>,</w:t>
      </w:r>
      <w:r w:rsidR="00C40E5F" w:rsidRPr="00A13719">
        <w:rPr>
          <w:rFonts w:eastAsiaTheme="minorEastAsia"/>
          <w:lang w:val="en-US"/>
        </w:rPr>
        <w:t xml:space="preserve"> </w:t>
      </w:r>
      <w:r w:rsidR="009F1013" w:rsidRPr="00A13719">
        <w:rPr>
          <w:rFonts w:eastAsiaTheme="minorEastAsia"/>
          <w:lang w:val="en-US"/>
        </w:rPr>
        <w:t xml:space="preserve">more </w:t>
      </w:r>
      <w:r w:rsidR="009F1013" w:rsidRPr="00A13719">
        <w:rPr>
          <w:rFonts w:eastAsiaTheme="minorEastAsia"/>
          <w:lang w:val="en-US"/>
        </w:rPr>
        <w:lastRenderedPageBreak/>
        <w:t xml:space="preserve">comprehensive </w:t>
      </w:r>
      <w:r w:rsidR="00C40E5F" w:rsidRPr="00A13719">
        <w:rPr>
          <w:rFonts w:eastAsiaTheme="minorEastAsia"/>
          <w:lang w:val="en-US"/>
        </w:rPr>
        <w:t xml:space="preserve">evidence </w:t>
      </w:r>
      <w:r w:rsidR="0055676A" w:rsidRPr="00A13719">
        <w:rPr>
          <w:rFonts w:eastAsiaTheme="minorEastAsia"/>
          <w:lang w:val="en-US"/>
        </w:rPr>
        <w:t xml:space="preserve">as the existing knowledge cannot sufficiently explain </w:t>
      </w:r>
      <w:r w:rsidR="0035615A" w:rsidRPr="00A13719">
        <w:rPr>
          <w:rFonts w:eastAsiaTheme="minorEastAsia"/>
          <w:lang w:val="en-US"/>
        </w:rPr>
        <w:t>HF</w:t>
      </w:r>
      <w:r w:rsidR="0055676A" w:rsidRPr="00A13719">
        <w:rPr>
          <w:rFonts w:eastAsiaTheme="minorEastAsia"/>
          <w:lang w:val="en-US"/>
        </w:rPr>
        <w:t xml:space="preserve"> performance under </w:t>
      </w:r>
      <w:r w:rsidR="00D21674" w:rsidRPr="00A13719">
        <w:rPr>
          <w:rFonts w:eastAsiaTheme="minorEastAsia"/>
          <w:lang w:val="en-US"/>
        </w:rPr>
        <w:t>various</w:t>
      </w:r>
      <w:r w:rsidR="0055676A" w:rsidRPr="00A13719">
        <w:rPr>
          <w:rFonts w:eastAsiaTheme="minorEastAsia"/>
          <w:lang w:val="en-US"/>
        </w:rPr>
        <w:t xml:space="preserve"> market conditions including any financial crisis</w:t>
      </w:r>
      <w:r w:rsidR="00C40E5F" w:rsidRPr="00A13719">
        <w:rPr>
          <w:rFonts w:eastAsiaTheme="minorEastAsia"/>
          <w:lang w:val="en-US"/>
        </w:rPr>
        <w:t xml:space="preserve">. </w:t>
      </w:r>
      <w:r w:rsidR="00543844" w:rsidRPr="00A13719">
        <w:rPr>
          <w:rFonts w:eastAsiaTheme="minorEastAsia"/>
          <w:lang w:val="en-US"/>
        </w:rPr>
        <w:t xml:space="preserve">In this paper we </w:t>
      </w:r>
      <w:r w:rsidR="00B81201" w:rsidRPr="00A13719">
        <w:rPr>
          <w:rFonts w:eastAsiaTheme="minorEastAsia"/>
          <w:lang w:val="en-US"/>
        </w:rPr>
        <w:t xml:space="preserve">investigate </w:t>
      </w:r>
      <w:r w:rsidR="00733F89" w:rsidRPr="00A13719">
        <w:rPr>
          <w:rFonts w:eastAsiaTheme="minorEastAsia"/>
          <w:lang w:val="en-US"/>
        </w:rPr>
        <w:t>t</w:t>
      </w:r>
      <w:r w:rsidR="00543844" w:rsidRPr="00A13719">
        <w:rPr>
          <w:rFonts w:eastAsiaTheme="minorEastAsia"/>
          <w:lang w:val="en-US"/>
        </w:rPr>
        <w:t xml:space="preserve">he impact of </w:t>
      </w:r>
      <w:r w:rsidR="002732F9" w:rsidRPr="00A13719">
        <w:rPr>
          <w:rFonts w:eastAsiaTheme="minorEastAsia"/>
          <w:lang w:val="en-US"/>
        </w:rPr>
        <w:t>multiple</w:t>
      </w:r>
      <w:r w:rsidR="00543844" w:rsidRPr="00A13719">
        <w:rPr>
          <w:rFonts w:eastAsiaTheme="minorEastAsia"/>
          <w:lang w:val="en-US"/>
        </w:rPr>
        <w:t xml:space="preserve"> business cycles and different market conditions on </w:t>
      </w:r>
      <w:r w:rsidR="00733F89" w:rsidRPr="00A13719">
        <w:rPr>
          <w:rFonts w:eastAsiaTheme="minorEastAsia"/>
          <w:lang w:val="en-US"/>
        </w:rPr>
        <w:t xml:space="preserve">the performance of different </w:t>
      </w:r>
      <w:r w:rsidR="0035615A" w:rsidRPr="00A13719">
        <w:rPr>
          <w:rFonts w:eastAsiaTheme="minorEastAsia"/>
          <w:lang w:val="en-US"/>
        </w:rPr>
        <w:t>HF</w:t>
      </w:r>
      <w:r w:rsidR="00543844" w:rsidRPr="00A13719">
        <w:rPr>
          <w:rFonts w:eastAsiaTheme="minorEastAsia"/>
          <w:lang w:val="en-US"/>
        </w:rPr>
        <w:t xml:space="preserve"> strategies</w:t>
      </w:r>
      <w:r w:rsidR="00DC7ED8" w:rsidRPr="00A13719">
        <w:rPr>
          <w:rFonts w:eastAsiaTheme="minorEastAsia"/>
          <w:lang w:val="en-US"/>
        </w:rPr>
        <w:t xml:space="preserve"> </w:t>
      </w:r>
      <w:r w:rsidR="00F11228" w:rsidRPr="00A13719">
        <w:rPr>
          <w:rFonts w:eastAsiaTheme="minorEastAsia"/>
          <w:lang w:val="en-US"/>
        </w:rPr>
        <w:t>(alpha and risk exposure)</w:t>
      </w:r>
      <w:r w:rsidR="00733F89" w:rsidRPr="00A13719">
        <w:rPr>
          <w:rFonts w:eastAsiaTheme="minorEastAsia"/>
          <w:lang w:val="en-US"/>
        </w:rPr>
        <w:t>,</w:t>
      </w:r>
      <w:r w:rsidR="00F11228" w:rsidRPr="00A13719">
        <w:rPr>
          <w:rFonts w:eastAsiaTheme="minorEastAsia"/>
          <w:lang w:val="en-US"/>
        </w:rPr>
        <w:t xml:space="preserve"> </w:t>
      </w:r>
      <w:r w:rsidR="00667DED" w:rsidRPr="00A13719">
        <w:rPr>
          <w:rFonts w:eastAsiaTheme="minorEastAsia"/>
          <w:lang w:val="en-US"/>
        </w:rPr>
        <w:t xml:space="preserve">focusing </w:t>
      </w:r>
      <w:r w:rsidR="008310DB" w:rsidRPr="00A13719">
        <w:rPr>
          <w:rFonts w:eastAsiaTheme="minorEastAsia"/>
          <w:lang w:val="en-US"/>
        </w:rPr>
        <w:t>on</w:t>
      </w:r>
      <w:r w:rsidR="00DC7ED8" w:rsidRPr="00A13719">
        <w:rPr>
          <w:rFonts w:eastAsiaTheme="minorEastAsia"/>
          <w:lang w:val="en-US"/>
        </w:rPr>
        <w:t xml:space="preserve"> </w:t>
      </w:r>
      <w:r w:rsidR="00667DED" w:rsidRPr="00A13719">
        <w:rPr>
          <w:rFonts w:eastAsiaTheme="minorEastAsia"/>
          <w:lang w:val="en-US"/>
        </w:rPr>
        <w:t xml:space="preserve">the </w:t>
      </w:r>
      <w:r w:rsidR="00DC7ED8" w:rsidRPr="00A13719">
        <w:rPr>
          <w:rFonts w:eastAsiaTheme="minorEastAsia"/>
          <w:lang w:val="en-US"/>
        </w:rPr>
        <w:t>North America</w:t>
      </w:r>
      <w:r w:rsidR="006C1617" w:rsidRPr="00A13719">
        <w:rPr>
          <w:rFonts w:eastAsiaTheme="minorEastAsia"/>
          <w:lang w:val="en-US"/>
        </w:rPr>
        <w:t xml:space="preserve"> region</w:t>
      </w:r>
      <w:r w:rsidR="00543844" w:rsidRPr="00A13719">
        <w:rPr>
          <w:rFonts w:eastAsiaTheme="minorEastAsia"/>
          <w:lang w:val="en-US"/>
        </w:rPr>
        <w:t xml:space="preserve">. We use </w:t>
      </w:r>
      <w:r w:rsidR="00EE1451" w:rsidRPr="00A13719">
        <w:rPr>
          <w:rFonts w:eastAsiaTheme="minorEastAsia"/>
          <w:lang w:val="en-US"/>
        </w:rPr>
        <w:t>the term</w:t>
      </w:r>
      <w:r w:rsidR="006044E8" w:rsidRPr="00A13719">
        <w:rPr>
          <w:rFonts w:eastAsiaTheme="minorEastAsia"/>
          <w:lang w:val="en-US"/>
        </w:rPr>
        <w:t>s</w:t>
      </w:r>
      <w:r w:rsidR="00EE1451" w:rsidRPr="00A13719">
        <w:rPr>
          <w:rFonts w:eastAsiaTheme="minorEastAsia"/>
          <w:lang w:val="en-US"/>
        </w:rPr>
        <w:t xml:space="preserve"> </w:t>
      </w:r>
      <w:r w:rsidR="00543844" w:rsidRPr="00A13719">
        <w:rPr>
          <w:rFonts w:eastAsiaTheme="minorEastAsia"/>
          <w:i/>
          <w:lang w:val="en-US"/>
        </w:rPr>
        <w:t>multiple business cycles</w:t>
      </w:r>
      <w:r w:rsidR="00543844" w:rsidRPr="00A13719">
        <w:rPr>
          <w:rFonts w:eastAsiaTheme="minorEastAsia"/>
          <w:lang w:val="en-US"/>
        </w:rPr>
        <w:t xml:space="preserve"> </w:t>
      </w:r>
      <w:r w:rsidR="00CA74A8" w:rsidRPr="00A13719">
        <w:rPr>
          <w:rFonts w:eastAsiaTheme="minorEastAsia"/>
          <w:lang w:val="en-US"/>
        </w:rPr>
        <w:t xml:space="preserve">based on </w:t>
      </w:r>
      <w:r w:rsidR="00B16FD8" w:rsidRPr="00A13719">
        <w:rPr>
          <w:rFonts w:eastAsiaTheme="minorEastAsia"/>
          <w:lang w:val="en-US"/>
        </w:rPr>
        <w:t xml:space="preserve">the </w:t>
      </w:r>
      <w:r w:rsidR="00CA74A8" w:rsidRPr="00A13719">
        <w:rPr>
          <w:rFonts w:eastAsiaTheme="minorEastAsia"/>
        </w:rPr>
        <w:t>National Bureau of Economic Research (NBER)</w:t>
      </w:r>
      <w:r w:rsidR="00CA74A8" w:rsidRPr="00A13719">
        <w:rPr>
          <w:rFonts w:eastAsiaTheme="minorEastAsia"/>
          <w:lang w:val="en-US"/>
        </w:rPr>
        <w:t xml:space="preserve"> </w:t>
      </w:r>
      <w:r w:rsidR="00B16FD8" w:rsidRPr="00A13719">
        <w:rPr>
          <w:rFonts w:eastAsiaTheme="minorEastAsia"/>
          <w:lang w:val="en-US"/>
        </w:rPr>
        <w:t xml:space="preserve">definition </w:t>
      </w:r>
      <w:r w:rsidR="00007359" w:rsidRPr="00A13719">
        <w:rPr>
          <w:rFonts w:eastAsiaTheme="minorEastAsia"/>
          <w:lang w:val="en-US"/>
        </w:rPr>
        <w:t xml:space="preserve">and </w:t>
      </w:r>
      <w:r w:rsidR="00007359" w:rsidRPr="00A13719">
        <w:rPr>
          <w:rFonts w:eastAsiaTheme="minorEastAsia"/>
          <w:i/>
          <w:lang w:val="en-US"/>
        </w:rPr>
        <w:t>market conditions</w:t>
      </w:r>
      <w:r w:rsidR="00007359" w:rsidRPr="00A13719">
        <w:rPr>
          <w:rFonts w:eastAsiaTheme="minorEastAsia"/>
          <w:lang w:val="en-US"/>
        </w:rPr>
        <w:t xml:space="preserve"> </w:t>
      </w:r>
      <w:r w:rsidR="00CA74A8" w:rsidRPr="00A13719">
        <w:rPr>
          <w:rFonts w:eastAsiaTheme="minorEastAsia"/>
          <w:lang w:val="en-US"/>
        </w:rPr>
        <w:t xml:space="preserve">based on the Wilshire 5000 </w:t>
      </w:r>
      <w:r w:rsidR="002D5D50" w:rsidRPr="00A13719">
        <w:rPr>
          <w:rFonts w:eastAsiaTheme="minorEastAsia"/>
          <w:lang w:val="en-US"/>
        </w:rPr>
        <w:t xml:space="preserve">market </w:t>
      </w:r>
      <w:r w:rsidR="003F5A2F" w:rsidRPr="00A13719">
        <w:rPr>
          <w:rFonts w:eastAsiaTheme="minorEastAsia"/>
          <w:lang w:val="en-US"/>
        </w:rPr>
        <w:t xml:space="preserve">index. We make the distinction between </w:t>
      </w:r>
      <w:r w:rsidR="003F5A2F" w:rsidRPr="00A13719">
        <w:rPr>
          <w:rFonts w:eastAsiaTheme="minorEastAsia"/>
          <w:i/>
          <w:lang w:val="en-US"/>
        </w:rPr>
        <w:t>business cycles</w:t>
      </w:r>
      <w:r w:rsidR="003F5A2F" w:rsidRPr="00A13719">
        <w:rPr>
          <w:rFonts w:eastAsiaTheme="minorEastAsia"/>
          <w:lang w:val="en-US"/>
        </w:rPr>
        <w:t xml:space="preserve"> and different </w:t>
      </w:r>
      <w:r w:rsidR="003F5A2F" w:rsidRPr="00A13719">
        <w:rPr>
          <w:rFonts w:eastAsiaTheme="minorEastAsia"/>
          <w:i/>
          <w:lang w:val="en-US"/>
        </w:rPr>
        <w:t>market conditions</w:t>
      </w:r>
      <w:r w:rsidR="003F5A2F" w:rsidRPr="00A13719">
        <w:rPr>
          <w:rFonts w:eastAsiaTheme="minorEastAsia"/>
          <w:lang w:val="en-US"/>
        </w:rPr>
        <w:t xml:space="preserve"> because we want to shed light on the difference between them in HF strategies, assisting investors in their decision</w:t>
      </w:r>
      <w:r w:rsidR="00B16FD8" w:rsidRPr="00A13719">
        <w:rPr>
          <w:rFonts w:eastAsiaTheme="minorEastAsia"/>
          <w:lang w:val="en-US"/>
        </w:rPr>
        <w:t>-making</w:t>
      </w:r>
      <w:r w:rsidR="003F5A2F" w:rsidRPr="00A13719">
        <w:rPr>
          <w:rFonts w:eastAsiaTheme="minorEastAsia"/>
          <w:lang w:val="en-US"/>
        </w:rPr>
        <w:t xml:space="preserve"> process.</w:t>
      </w:r>
      <w:r w:rsidR="00CA74A8" w:rsidRPr="00A13719">
        <w:rPr>
          <w:rFonts w:eastAsiaTheme="minorEastAsia"/>
          <w:lang w:val="en-US"/>
        </w:rPr>
        <w:t xml:space="preserve"> </w:t>
      </w:r>
      <w:r w:rsidR="003F5A2F" w:rsidRPr="00A13719">
        <w:rPr>
          <w:rFonts w:eastAsiaTheme="minorEastAsia"/>
          <w:lang w:val="en-US"/>
        </w:rPr>
        <w:t>W</w:t>
      </w:r>
      <w:r w:rsidR="00CA74A8" w:rsidRPr="00A13719">
        <w:rPr>
          <w:rFonts w:eastAsiaTheme="minorEastAsia"/>
          <w:lang w:val="en-US"/>
        </w:rPr>
        <w:t>e</w:t>
      </w:r>
      <w:r w:rsidR="00543844" w:rsidRPr="00A13719">
        <w:rPr>
          <w:rFonts w:eastAsiaTheme="minorEastAsia"/>
          <w:lang w:val="en-US"/>
        </w:rPr>
        <w:t xml:space="preserve"> examine </w:t>
      </w:r>
      <w:r w:rsidR="0035615A" w:rsidRPr="00A13719">
        <w:rPr>
          <w:rFonts w:eastAsiaTheme="minorEastAsia"/>
          <w:lang w:val="en-US"/>
        </w:rPr>
        <w:t>HF</w:t>
      </w:r>
      <w:r w:rsidR="00543844" w:rsidRPr="00A13719">
        <w:rPr>
          <w:rFonts w:eastAsiaTheme="minorEastAsia"/>
          <w:lang w:val="en-US"/>
        </w:rPr>
        <w:t xml:space="preserve"> </w:t>
      </w:r>
      <w:r w:rsidR="001F20EF" w:rsidRPr="00A13719">
        <w:rPr>
          <w:rFonts w:eastAsiaTheme="minorEastAsia"/>
          <w:lang w:val="en-US"/>
        </w:rPr>
        <w:t>performance</w:t>
      </w:r>
      <w:r w:rsidR="00543844" w:rsidRPr="00A13719">
        <w:rPr>
          <w:rFonts w:eastAsiaTheme="minorEastAsia"/>
          <w:lang w:val="en-US"/>
        </w:rPr>
        <w:t xml:space="preserve"> in </w:t>
      </w:r>
      <w:r w:rsidR="00B81201" w:rsidRPr="00A13719">
        <w:rPr>
          <w:rFonts w:eastAsiaTheme="minorEastAsia"/>
          <w:lang w:val="en-US"/>
        </w:rPr>
        <w:t xml:space="preserve">a </w:t>
      </w:r>
      <w:r w:rsidR="00543844" w:rsidRPr="00A13719">
        <w:rPr>
          <w:rFonts w:eastAsiaTheme="minorEastAsia"/>
          <w:lang w:val="en-US"/>
        </w:rPr>
        <w:t xml:space="preserve">more comprehensive way and not just isolating one </w:t>
      </w:r>
      <w:r w:rsidR="002732F9" w:rsidRPr="00A13719">
        <w:rPr>
          <w:rFonts w:eastAsiaTheme="minorEastAsia"/>
          <w:lang w:val="en-US"/>
        </w:rPr>
        <w:t xml:space="preserve">or two </w:t>
      </w:r>
      <w:r w:rsidR="006210EB" w:rsidRPr="00A13719">
        <w:rPr>
          <w:rFonts w:eastAsiaTheme="minorEastAsia"/>
          <w:lang w:val="en-US"/>
        </w:rPr>
        <w:t xml:space="preserve">economic periods or </w:t>
      </w:r>
      <w:r w:rsidR="00543844" w:rsidRPr="00A13719">
        <w:rPr>
          <w:rFonts w:eastAsiaTheme="minorEastAsia"/>
          <w:lang w:val="en-US"/>
        </w:rPr>
        <w:t>financial crisis event</w:t>
      </w:r>
      <w:r w:rsidR="002732F9" w:rsidRPr="00A13719">
        <w:rPr>
          <w:rFonts w:eastAsiaTheme="minorEastAsia"/>
          <w:lang w:val="en-US"/>
        </w:rPr>
        <w:t>s</w:t>
      </w:r>
      <w:r w:rsidR="00543844" w:rsidRPr="00A13719">
        <w:rPr>
          <w:rFonts w:eastAsiaTheme="minorEastAsia"/>
          <w:lang w:val="en-US"/>
        </w:rPr>
        <w:t xml:space="preserve">. </w:t>
      </w:r>
      <w:r w:rsidR="00016E4D" w:rsidRPr="00A13719">
        <w:rPr>
          <w:rFonts w:eastAsiaTheme="minorEastAsia"/>
          <w:lang w:val="en-US"/>
        </w:rPr>
        <w:t xml:space="preserve">By using </w:t>
      </w:r>
      <w:r w:rsidR="00075A7B" w:rsidRPr="00A13719">
        <w:rPr>
          <w:rFonts w:eastAsiaTheme="minorEastAsia"/>
          <w:lang w:val="en-US"/>
        </w:rPr>
        <w:t xml:space="preserve">a </w:t>
      </w:r>
      <w:r w:rsidR="00D7697F" w:rsidRPr="00A13719">
        <w:rPr>
          <w:rFonts w:eastAsiaTheme="minorEastAsia"/>
          <w:lang w:val="en-US"/>
        </w:rPr>
        <w:t>parsimonious</w:t>
      </w:r>
      <w:r w:rsidR="00016E4D" w:rsidRPr="00A13719">
        <w:rPr>
          <w:rFonts w:eastAsiaTheme="minorEastAsia"/>
          <w:lang w:val="en-US"/>
        </w:rPr>
        <w:t xml:space="preserve"> </w:t>
      </w:r>
      <w:r w:rsidR="005B1D6D" w:rsidRPr="00A13719">
        <w:rPr>
          <w:rFonts w:eastAsiaTheme="minorEastAsia"/>
          <w:lang w:val="en-US"/>
        </w:rPr>
        <w:t>empirical specification</w:t>
      </w:r>
      <w:r w:rsidR="00AD05C1" w:rsidRPr="00A13719">
        <w:rPr>
          <w:rFonts w:eastAsiaTheme="minorEastAsia"/>
          <w:lang w:val="en-US"/>
        </w:rPr>
        <w:t xml:space="preserve"> described later</w:t>
      </w:r>
      <w:r w:rsidR="00016E4D" w:rsidRPr="00A13719">
        <w:rPr>
          <w:rFonts w:eastAsiaTheme="minorEastAsia"/>
          <w:lang w:val="en-US"/>
        </w:rPr>
        <w:t>, w</w:t>
      </w:r>
      <w:r w:rsidR="00A47DB9" w:rsidRPr="00A13719">
        <w:rPr>
          <w:rFonts w:eastAsiaTheme="minorEastAsia"/>
          <w:lang w:val="en-US"/>
        </w:rPr>
        <w:t xml:space="preserve">e focus on </w:t>
      </w:r>
      <w:r w:rsidR="0035615A" w:rsidRPr="00A13719">
        <w:rPr>
          <w:rFonts w:eastAsiaTheme="minorEastAsia"/>
          <w:lang w:val="en-US"/>
        </w:rPr>
        <w:t>HF</w:t>
      </w:r>
      <w:r w:rsidR="00B16FD8" w:rsidRPr="00A13719">
        <w:rPr>
          <w:rFonts w:eastAsiaTheme="minorEastAsia"/>
          <w:lang w:val="en-US"/>
        </w:rPr>
        <w:t>s</w:t>
      </w:r>
      <w:r w:rsidR="00A47DB9" w:rsidRPr="00A13719">
        <w:rPr>
          <w:rFonts w:eastAsiaTheme="minorEastAsia"/>
          <w:lang w:val="en-US"/>
        </w:rPr>
        <w:t xml:space="preserve"> that invest primarily in the North America region due to our use </w:t>
      </w:r>
      <w:r w:rsidR="00C04BDB" w:rsidRPr="00A13719">
        <w:rPr>
          <w:rFonts w:eastAsiaTheme="minorEastAsia"/>
          <w:lang w:val="en-US"/>
        </w:rPr>
        <w:t xml:space="preserve">of </w:t>
      </w:r>
      <w:r w:rsidR="001A45D3" w:rsidRPr="00A13719">
        <w:rPr>
          <w:rFonts w:eastAsiaTheme="minorEastAsia"/>
          <w:lang w:val="en-US"/>
        </w:rPr>
        <w:t>three full U.S. business cycles.</w:t>
      </w:r>
      <w:r w:rsidR="008B55C0" w:rsidRPr="00A13719">
        <w:rPr>
          <w:rFonts w:eastAsiaTheme="minorEastAsia"/>
          <w:lang w:val="en-US"/>
        </w:rPr>
        <w:t xml:space="preserve"> </w:t>
      </w:r>
      <w:r w:rsidR="007C09E6" w:rsidRPr="00A13719">
        <w:rPr>
          <w:rFonts w:eastAsiaTheme="minorEastAsia"/>
          <w:lang w:val="en-US"/>
        </w:rPr>
        <w:t>Th</w:t>
      </w:r>
      <w:r w:rsidR="000F0DB8" w:rsidRPr="00A13719">
        <w:rPr>
          <w:rFonts w:eastAsiaTheme="minorEastAsia"/>
          <w:lang w:val="en-US"/>
        </w:rPr>
        <w:t>is region</w:t>
      </w:r>
      <w:r w:rsidR="008B55C0" w:rsidRPr="00A13719">
        <w:rPr>
          <w:rFonts w:eastAsiaTheme="minorEastAsia"/>
          <w:lang w:val="en-US"/>
        </w:rPr>
        <w:t xml:space="preserve"> </w:t>
      </w:r>
      <w:r w:rsidR="00EF05F4" w:rsidRPr="00A13719">
        <w:rPr>
          <w:rFonts w:eastAsiaTheme="minorEastAsia"/>
          <w:lang w:val="en-US"/>
        </w:rPr>
        <w:t>represents more than $</w:t>
      </w:r>
      <w:r w:rsidR="00EB128F" w:rsidRPr="00A13719">
        <w:rPr>
          <w:rFonts w:eastAsiaTheme="minorEastAsia"/>
          <w:lang w:val="en-US"/>
        </w:rPr>
        <w:t>1.9</w:t>
      </w:r>
      <w:r w:rsidR="00EF05F4" w:rsidRPr="00A13719">
        <w:rPr>
          <w:rFonts w:eastAsiaTheme="minorEastAsia"/>
          <w:lang w:val="en-US"/>
        </w:rPr>
        <w:t xml:space="preserve"> </w:t>
      </w:r>
      <w:r w:rsidR="00820CBD" w:rsidRPr="00A13719">
        <w:rPr>
          <w:rFonts w:eastAsiaTheme="minorEastAsia"/>
          <w:lang w:val="en-US"/>
        </w:rPr>
        <w:t xml:space="preserve">trillion of </w:t>
      </w:r>
      <w:r w:rsidR="000F0DB8" w:rsidRPr="00A13719">
        <w:rPr>
          <w:rFonts w:eastAsiaTheme="minorEastAsia"/>
          <w:lang w:val="en-US"/>
        </w:rPr>
        <w:t xml:space="preserve">HF </w:t>
      </w:r>
      <w:r w:rsidR="00820CBD" w:rsidRPr="00A13719">
        <w:rPr>
          <w:rFonts w:eastAsiaTheme="minorEastAsia"/>
          <w:lang w:val="en-US"/>
        </w:rPr>
        <w:t xml:space="preserve">assets under management corresponding to </w:t>
      </w:r>
      <w:r w:rsidR="00EB128F" w:rsidRPr="00A13719">
        <w:rPr>
          <w:rFonts w:eastAsiaTheme="minorEastAsia"/>
          <w:lang w:val="en-US"/>
        </w:rPr>
        <w:t>almost</w:t>
      </w:r>
      <w:r w:rsidR="00820CBD" w:rsidRPr="00A13719">
        <w:rPr>
          <w:rFonts w:eastAsiaTheme="minorEastAsia"/>
          <w:lang w:val="en-US"/>
        </w:rPr>
        <w:t xml:space="preserve"> </w:t>
      </w:r>
      <w:r w:rsidR="00EB128F" w:rsidRPr="00A13719">
        <w:rPr>
          <w:rFonts w:eastAsiaTheme="minorEastAsia"/>
          <w:lang w:val="en-US"/>
        </w:rPr>
        <w:t>72</w:t>
      </w:r>
      <w:r w:rsidR="00820CBD" w:rsidRPr="00A13719">
        <w:rPr>
          <w:rFonts w:eastAsiaTheme="minorEastAsia"/>
          <w:lang w:val="en-US"/>
        </w:rPr>
        <w:t>% of worldwide total</w:t>
      </w:r>
      <w:r w:rsidR="002058EE" w:rsidRPr="00A13719">
        <w:rPr>
          <w:rFonts w:eastAsiaTheme="minorEastAsia"/>
          <w:lang w:val="en-US"/>
        </w:rPr>
        <w:t xml:space="preserve"> (</w:t>
      </w:r>
      <w:r w:rsidR="00EB128F" w:rsidRPr="00A13719">
        <w:rPr>
          <w:rFonts w:eastAsiaTheme="minorEastAsia"/>
          <w:lang w:val="en-US"/>
        </w:rPr>
        <w:t>Preqin Global Hedge Fund</w:t>
      </w:r>
      <w:r w:rsidR="002058EE" w:rsidRPr="00A13719">
        <w:rPr>
          <w:rFonts w:eastAsiaTheme="minorEastAsia"/>
          <w:lang w:val="en-US"/>
        </w:rPr>
        <w:t xml:space="preserve"> Report, 201</w:t>
      </w:r>
      <w:r w:rsidR="00BE15FE" w:rsidRPr="00A13719">
        <w:rPr>
          <w:rFonts w:eastAsiaTheme="minorEastAsia"/>
          <w:lang w:val="en-US"/>
        </w:rPr>
        <w:t>6</w:t>
      </w:r>
      <w:r w:rsidR="002058EE" w:rsidRPr="00A13719">
        <w:rPr>
          <w:rFonts w:eastAsiaTheme="minorEastAsia"/>
          <w:lang w:val="en-US"/>
        </w:rPr>
        <w:t>)</w:t>
      </w:r>
      <w:r w:rsidR="00820CBD" w:rsidRPr="00A13719">
        <w:rPr>
          <w:rFonts w:eastAsiaTheme="minorEastAsia"/>
          <w:lang w:val="en-US"/>
        </w:rPr>
        <w:t xml:space="preserve">. </w:t>
      </w:r>
    </w:p>
    <w:p w:rsidR="00835E02" w:rsidRPr="00A13719" w:rsidRDefault="00B80D81" w:rsidP="00D24081">
      <w:pPr>
        <w:jc w:val="both"/>
        <w:rPr>
          <w:rFonts w:eastAsiaTheme="minorEastAsia"/>
          <w:lang w:val="en-US"/>
        </w:rPr>
      </w:pPr>
      <w:r w:rsidRPr="00A13719">
        <w:rPr>
          <w:rFonts w:eastAsiaTheme="minorEastAsia"/>
          <w:lang w:val="en-US"/>
        </w:rPr>
        <w:t>A</w:t>
      </w:r>
      <w:r w:rsidR="00E31A1C" w:rsidRPr="00A13719">
        <w:rPr>
          <w:rFonts w:eastAsiaTheme="minorEastAsia"/>
          <w:lang w:val="en-US"/>
        </w:rPr>
        <w:t xml:space="preserve">lthough there are studies </w:t>
      </w:r>
      <w:r w:rsidR="00CB5145" w:rsidRPr="00A13719">
        <w:rPr>
          <w:rFonts w:eastAsiaTheme="minorEastAsia"/>
          <w:lang w:val="en-US"/>
        </w:rPr>
        <w:t xml:space="preserve">that </w:t>
      </w:r>
      <w:r w:rsidR="00E31A1C" w:rsidRPr="00A13719">
        <w:rPr>
          <w:rFonts w:eastAsiaTheme="minorEastAsia"/>
          <w:lang w:val="en-US"/>
        </w:rPr>
        <w:t>exami</w:t>
      </w:r>
      <w:r w:rsidR="00CB5145" w:rsidRPr="00A13719">
        <w:rPr>
          <w:rFonts w:eastAsiaTheme="minorEastAsia"/>
          <w:lang w:val="en-US"/>
        </w:rPr>
        <w:t>ne</w:t>
      </w:r>
      <w:r w:rsidR="00E31A1C" w:rsidRPr="00A13719">
        <w:rPr>
          <w:rFonts w:eastAsiaTheme="minorEastAsia"/>
          <w:lang w:val="en-US"/>
        </w:rPr>
        <w:t xml:space="preserve"> funds</w:t>
      </w:r>
      <w:r w:rsidR="00CB5145" w:rsidRPr="00A13719">
        <w:rPr>
          <w:rFonts w:eastAsiaTheme="minorEastAsia"/>
          <w:lang w:val="en-US"/>
        </w:rPr>
        <w:t>’</w:t>
      </w:r>
      <w:r w:rsidR="00E31A1C" w:rsidRPr="00A13719">
        <w:rPr>
          <w:rFonts w:eastAsiaTheme="minorEastAsia"/>
          <w:lang w:val="en-US"/>
        </w:rPr>
        <w:t xml:space="preserve"> </w:t>
      </w:r>
      <w:r w:rsidR="00907C75" w:rsidRPr="00A13719">
        <w:rPr>
          <w:rFonts w:eastAsiaTheme="minorEastAsia"/>
          <w:lang w:val="en-US"/>
        </w:rPr>
        <w:t>variability over time</w:t>
      </w:r>
      <w:r w:rsidR="000B4A52" w:rsidRPr="00A13719">
        <w:rPr>
          <w:rFonts w:eastAsiaTheme="minorEastAsia"/>
          <w:lang w:val="en-US"/>
        </w:rPr>
        <w:t xml:space="preserve"> (see section 2)</w:t>
      </w:r>
      <w:r w:rsidR="00E31A1C" w:rsidRPr="00A13719">
        <w:rPr>
          <w:rFonts w:eastAsiaTheme="minorEastAsia"/>
          <w:lang w:val="en-US"/>
        </w:rPr>
        <w:t>, t</w:t>
      </w:r>
      <w:r w:rsidR="00DA5726" w:rsidRPr="00A13719">
        <w:rPr>
          <w:rFonts w:eastAsiaTheme="minorEastAsia"/>
          <w:lang w:val="en-US"/>
        </w:rPr>
        <w:t>he</w:t>
      </w:r>
      <w:r w:rsidR="00E31A1C" w:rsidRPr="00A13719">
        <w:rPr>
          <w:rFonts w:eastAsiaTheme="minorEastAsia"/>
          <w:lang w:val="en-US"/>
        </w:rPr>
        <w:t>re</w:t>
      </w:r>
      <w:r w:rsidR="00DA5726" w:rsidRPr="00A13719">
        <w:rPr>
          <w:rFonts w:eastAsiaTheme="minorEastAsia"/>
          <w:lang w:val="en-US"/>
        </w:rPr>
        <w:t xml:space="preserve"> </w:t>
      </w:r>
      <w:r w:rsidR="00E31A1C" w:rsidRPr="00A13719">
        <w:rPr>
          <w:rFonts w:eastAsiaTheme="minorEastAsia"/>
          <w:lang w:val="en-US"/>
        </w:rPr>
        <w:t xml:space="preserve">is </w:t>
      </w:r>
      <w:r w:rsidR="00CB5145" w:rsidRPr="00A13719">
        <w:rPr>
          <w:rFonts w:eastAsiaTheme="minorEastAsia"/>
          <w:lang w:val="en-US"/>
        </w:rPr>
        <w:t xml:space="preserve">a </w:t>
      </w:r>
      <w:r w:rsidR="00DA5726" w:rsidRPr="00A13719">
        <w:rPr>
          <w:rFonts w:eastAsiaTheme="minorEastAsia"/>
          <w:lang w:val="en-US"/>
        </w:rPr>
        <w:t xml:space="preserve">need to examine </w:t>
      </w:r>
      <w:r w:rsidR="007260AD" w:rsidRPr="00A13719">
        <w:rPr>
          <w:rFonts w:eastAsiaTheme="minorEastAsia"/>
          <w:lang w:val="en-US"/>
        </w:rPr>
        <w:t>HF</w:t>
      </w:r>
      <w:r w:rsidR="001F14BD" w:rsidRPr="00A13719">
        <w:rPr>
          <w:rFonts w:eastAsiaTheme="minorEastAsia"/>
          <w:lang w:val="en-US"/>
        </w:rPr>
        <w:t xml:space="preserve"> strategy</w:t>
      </w:r>
      <w:r w:rsidR="00CF5FEE" w:rsidRPr="00A13719">
        <w:rPr>
          <w:rFonts w:eastAsiaTheme="minorEastAsia"/>
          <w:lang w:val="en-US"/>
        </w:rPr>
        <w:t xml:space="preserve"> </w:t>
      </w:r>
      <w:r w:rsidR="001F20EF" w:rsidRPr="00A13719">
        <w:rPr>
          <w:rFonts w:eastAsiaTheme="minorEastAsia"/>
          <w:lang w:val="en-US"/>
        </w:rPr>
        <w:t>performance</w:t>
      </w:r>
      <w:r w:rsidR="00DA5726" w:rsidRPr="00A13719">
        <w:rPr>
          <w:rFonts w:eastAsiaTheme="minorEastAsia"/>
          <w:lang w:val="en-US"/>
        </w:rPr>
        <w:t xml:space="preserve"> </w:t>
      </w:r>
      <w:r w:rsidR="005102CA" w:rsidRPr="00A13719">
        <w:rPr>
          <w:rFonts w:eastAsiaTheme="minorEastAsia"/>
          <w:lang w:val="en-US"/>
        </w:rPr>
        <w:t>in a more comprehensive way</w:t>
      </w:r>
      <w:r w:rsidR="00CB5145" w:rsidRPr="00A13719">
        <w:rPr>
          <w:rFonts w:eastAsiaTheme="minorEastAsia"/>
          <w:lang w:val="en-US"/>
        </w:rPr>
        <w:t>.</w:t>
      </w:r>
      <w:r w:rsidR="005102CA" w:rsidRPr="00A13719">
        <w:rPr>
          <w:rFonts w:eastAsiaTheme="minorEastAsia"/>
          <w:lang w:val="en-US"/>
        </w:rPr>
        <w:t xml:space="preserve"> </w:t>
      </w:r>
      <w:r w:rsidR="00CB5145" w:rsidRPr="00A13719">
        <w:rPr>
          <w:rFonts w:eastAsiaTheme="minorEastAsia"/>
          <w:lang w:val="en-US"/>
        </w:rPr>
        <w:t>M</w:t>
      </w:r>
      <w:r w:rsidR="008F2E1A" w:rsidRPr="00A13719">
        <w:rPr>
          <w:rFonts w:eastAsiaTheme="minorEastAsia"/>
          <w:lang w:val="en-US"/>
        </w:rPr>
        <w:t>ore specific</w:t>
      </w:r>
      <w:r w:rsidR="00CB5145" w:rsidRPr="00A13719">
        <w:rPr>
          <w:rFonts w:eastAsiaTheme="minorEastAsia"/>
          <w:lang w:val="en-US"/>
        </w:rPr>
        <w:t>ally</w:t>
      </w:r>
      <w:r w:rsidR="009A10D9" w:rsidRPr="00A13719">
        <w:rPr>
          <w:rFonts w:eastAsiaTheme="minorEastAsia"/>
          <w:lang w:val="en-US"/>
        </w:rPr>
        <w:t>,</w:t>
      </w:r>
      <w:r w:rsidR="008F2E1A" w:rsidRPr="00A13719">
        <w:rPr>
          <w:rFonts w:eastAsiaTheme="minorEastAsia"/>
          <w:lang w:val="en-US"/>
        </w:rPr>
        <w:t xml:space="preserve"> the direct impact of different business cycles and market conditions on </w:t>
      </w:r>
      <w:r w:rsidR="007260AD" w:rsidRPr="00A13719">
        <w:rPr>
          <w:rFonts w:eastAsiaTheme="minorEastAsia"/>
          <w:lang w:val="en-US"/>
        </w:rPr>
        <w:t>HF</w:t>
      </w:r>
      <w:r w:rsidR="001F20EF" w:rsidRPr="00A13719">
        <w:rPr>
          <w:rFonts w:eastAsiaTheme="minorEastAsia"/>
          <w:lang w:val="en-US"/>
        </w:rPr>
        <w:t>s</w:t>
      </w:r>
      <w:r w:rsidR="00CB5145" w:rsidRPr="00A13719">
        <w:rPr>
          <w:rFonts w:eastAsiaTheme="minorEastAsia"/>
          <w:lang w:val="en-US"/>
        </w:rPr>
        <w:t xml:space="preserve"> needs to be examined </w:t>
      </w:r>
      <w:r w:rsidR="00653042" w:rsidRPr="00A13719">
        <w:rPr>
          <w:rFonts w:eastAsiaTheme="minorEastAsia"/>
          <w:lang w:val="en-US"/>
        </w:rPr>
        <w:t>further</w:t>
      </w:r>
      <w:r w:rsidR="00B966D4" w:rsidRPr="00A13719">
        <w:rPr>
          <w:rFonts w:eastAsiaTheme="minorEastAsia"/>
          <w:lang w:val="en-US"/>
        </w:rPr>
        <w:t>. The c</w:t>
      </w:r>
      <w:r w:rsidR="00EC68C1" w:rsidRPr="00A13719">
        <w:rPr>
          <w:rFonts w:eastAsiaTheme="minorEastAsia"/>
          <w:lang w:val="en-US"/>
        </w:rPr>
        <w:t>urrent knowledge is fragmented (e.g. focusing on only one crisis or economic event)</w:t>
      </w:r>
      <w:r w:rsidR="00CB5145" w:rsidRPr="00A13719">
        <w:rPr>
          <w:rFonts w:eastAsiaTheme="minorEastAsia"/>
          <w:lang w:val="en-US"/>
        </w:rPr>
        <w:t>.</w:t>
      </w:r>
      <w:r w:rsidR="00EC68C1" w:rsidRPr="00A13719">
        <w:rPr>
          <w:rFonts w:eastAsiaTheme="minorEastAsia"/>
          <w:lang w:val="en-US"/>
        </w:rPr>
        <w:t xml:space="preserve"> </w:t>
      </w:r>
      <w:r w:rsidR="00CB5145" w:rsidRPr="00A13719">
        <w:rPr>
          <w:rFonts w:eastAsiaTheme="minorEastAsia"/>
          <w:lang w:val="en-US"/>
        </w:rPr>
        <w:t>Also</w:t>
      </w:r>
      <w:r w:rsidR="00052627" w:rsidRPr="00A13719">
        <w:rPr>
          <w:rFonts w:eastAsiaTheme="minorEastAsia"/>
          <w:lang w:val="en-US"/>
        </w:rPr>
        <w:t xml:space="preserve"> </w:t>
      </w:r>
      <w:r w:rsidR="00B966D4" w:rsidRPr="00A13719">
        <w:rPr>
          <w:rFonts w:eastAsiaTheme="minorEastAsia"/>
          <w:lang w:val="en-US"/>
        </w:rPr>
        <w:t xml:space="preserve">within </w:t>
      </w:r>
      <w:r w:rsidR="00F71BE6" w:rsidRPr="00A13719">
        <w:rPr>
          <w:rFonts w:eastAsiaTheme="minorEastAsia"/>
          <w:lang w:val="en-US"/>
        </w:rPr>
        <w:t xml:space="preserve">current </w:t>
      </w:r>
      <w:r w:rsidR="00B966D4" w:rsidRPr="00A13719">
        <w:rPr>
          <w:rFonts w:eastAsiaTheme="minorEastAsia"/>
          <w:lang w:val="en-US"/>
        </w:rPr>
        <w:t xml:space="preserve">models </w:t>
      </w:r>
      <w:r w:rsidR="00052627" w:rsidRPr="00A13719">
        <w:rPr>
          <w:rFonts w:eastAsiaTheme="minorEastAsia"/>
          <w:lang w:val="en-US"/>
        </w:rPr>
        <w:t>there is no direct link between fund performance and market conditions</w:t>
      </w:r>
      <w:r w:rsidR="00CB5145" w:rsidRPr="00A13719">
        <w:rPr>
          <w:rFonts w:eastAsiaTheme="minorEastAsia"/>
          <w:lang w:val="en-US"/>
        </w:rPr>
        <w:t>,</w:t>
      </w:r>
      <w:r w:rsidR="00052627" w:rsidRPr="00A13719">
        <w:rPr>
          <w:rFonts w:eastAsiaTheme="minorEastAsia"/>
          <w:lang w:val="en-US"/>
        </w:rPr>
        <w:t xml:space="preserve"> as </w:t>
      </w:r>
      <w:r w:rsidR="00B41087" w:rsidRPr="00A13719">
        <w:rPr>
          <w:rFonts w:eastAsiaTheme="minorEastAsia"/>
          <w:lang w:val="en-US"/>
        </w:rPr>
        <w:t>some studies (</w:t>
      </w:r>
      <w:r w:rsidR="00E96F78" w:rsidRPr="00A13719">
        <w:rPr>
          <w:rFonts w:eastAsiaTheme="minorEastAsia"/>
          <w:lang w:val="en-US"/>
        </w:rPr>
        <w:t xml:space="preserve">e.g. </w:t>
      </w:r>
      <w:r w:rsidR="00861D89" w:rsidRPr="00A13719">
        <w:rPr>
          <w:rFonts w:eastAsiaTheme="minorEastAsia"/>
          <w:lang w:val="en-US"/>
        </w:rPr>
        <w:t xml:space="preserve">Bollen and Whaley, </w:t>
      </w:r>
      <w:r w:rsidR="00B41087" w:rsidRPr="00A13719">
        <w:rPr>
          <w:rFonts w:eastAsiaTheme="minorEastAsia"/>
          <w:lang w:val="en-US"/>
        </w:rPr>
        <w:t>2009</w:t>
      </w:r>
      <w:r w:rsidR="004A07C0" w:rsidRPr="00A13719">
        <w:rPr>
          <w:rFonts w:eastAsiaTheme="minorEastAsia"/>
          <w:lang w:val="en-US"/>
        </w:rPr>
        <w:t>; Jawadi and Khanniche, 2012</w:t>
      </w:r>
      <w:r w:rsidR="00B41087" w:rsidRPr="00A13719">
        <w:rPr>
          <w:rFonts w:eastAsiaTheme="minorEastAsia"/>
          <w:lang w:val="en-US"/>
        </w:rPr>
        <w:t xml:space="preserve">) focus on the internal </w:t>
      </w:r>
      <w:r w:rsidR="00553350" w:rsidRPr="00A13719">
        <w:rPr>
          <w:rFonts w:eastAsiaTheme="minorEastAsia"/>
          <w:lang w:val="en-US"/>
        </w:rPr>
        <w:t>cha</w:t>
      </w:r>
      <w:r w:rsidR="002F4A45" w:rsidRPr="00A13719">
        <w:rPr>
          <w:rFonts w:eastAsiaTheme="minorEastAsia"/>
          <w:lang w:val="en-US"/>
        </w:rPr>
        <w:t>nge</w:t>
      </w:r>
      <w:r w:rsidR="00B41087" w:rsidRPr="00A13719">
        <w:rPr>
          <w:rFonts w:eastAsiaTheme="minorEastAsia"/>
          <w:lang w:val="en-US"/>
        </w:rPr>
        <w:t xml:space="preserve"> of funds’ exposures, and </w:t>
      </w:r>
      <w:r w:rsidR="00052627" w:rsidRPr="00A13719">
        <w:rPr>
          <w:rFonts w:eastAsiaTheme="minorEastAsia"/>
          <w:lang w:val="en-US"/>
        </w:rPr>
        <w:t xml:space="preserve">the macro variables </w:t>
      </w:r>
      <w:r w:rsidR="00CB5145" w:rsidRPr="00A13719">
        <w:rPr>
          <w:rFonts w:eastAsiaTheme="minorEastAsia"/>
          <w:lang w:val="en-US"/>
        </w:rPr>
        <w:t xml:space="preserve">used </w:t>
      </w:r>
      <w:r w:rsidR="00052627" w:rsidRPr="00A13719">
        <w:rPr>
          <w:rFonts w:eastAsiaTheme="minorEastAsia"/>
          <w:lang w:val="en-US"/>
        </w:rPr>
        <w:t>by</w:t>
      </w:r>
      <w:r w:rsidR="00CB5145" w:rsidRPr="00A13719">
        <w:rPr>
          <w:rFonts w:eastAsiaTheme="minorEastAsia"/>
          <w:lang w:val="en-US"/>
        </w:rPr>
        <w:t xml:space="preserve"> other authors (e.g. Avramov et </w:t>
      </w:r>
      <w:r w:rsidR="001100F4" w:rsidRPr="00A13719">
        <w:rPr>
          <w:rFonts w:eastAsiaTheme="minorEastAsia"/>
          <w:lang w:val="en-US"/>
        </w:rPr>
        <w:t>al., 2013,</w:t>
      </w:r>
      <w:r w:rsidR="00052627" w:rsidRPr="00A13719">
        <w:rPr>
          <w:rFonts w:eastAsiaTheme="minorEastAsia"/>
          <w:lang w:val="en-US"/>
        </w:rPr>
        <w:t xml:space="preserve"> </w:t>
      </w:r>
      <w:r w:rsidR="00CB5145" w:rsidRPr="00A13719">
        <w:rPr>
          <w:rFonts w:eastAsiaTheme="minorEastAsia"/>
          <w:lang w:val="en-US"/>
        </w:rPr>
        <w:t xml:space="preserve">Bali et </w:t>
      </w:r>
      <w:r w:rsidR="00052627" w:rsidRPr="00A13719">
        <w:rPr>
          <w:rFonts w:eastAsiaTheme="minorEastAsia"/>
          <w:lang w:val="en-US"/>
        </w:rPr>
        <w:t>al., 2014</w:t>
      </w:r>
      <w:r w:rsidR="001100F4" w:rsidRPr="00A13719">
        <w:rPr>
          <w:rFonts w:eastAsiaTheme="minorEastAsia"/>
          <w:lang w:val="en-US"/>
        </w:rPr>
        <w:t xml:space="preserve">, and </w:t>
      </w:r>
      <w:r w:rsidR="001100F4" w:rsidRPr="00A13719">
        <w:t>Racicot and Theoret, 2016</w:t>
      </w:r>
      <w:r w:rsidR="00052627" w:rsidRPr="00A13719">
        <w:rPr>
          <w:rFonts w:eastAsiaTheme="minorEastAsia"/>
          <w:lang w:val="en-US"/>
        </w:rPr>
        <w:t xml:space="preserve">) </w:t>
      </w:r>
      <w:r w:rsidR="00CB5145" w:rsidRPr="00A13719">
        <w:rPr>
          <w:rFonts w:eastAsiaTheme="minorEastAsia"/>
          <w:lang w:val="en-US"/>
        </w:rPr>
        <w:t>do</w:t>
      </w:r>
      <w:r w:rsidR="00052627" w:rsidRPr="00A13719">
        <w:rPr>
          <w:rFonts w:eastAsiaTheme="minorEastAsia"/>
          <w:lang w:val="en-US"/>
        </w:rPr>
        <w:t xml:space="preserve"> not necessarily represent the different states of the economy. </w:t>
      </w:r>
      <w:r w:rsidR="00CB5145" w:rsidRPr="00A13719">
        <w:t xml:space="preserve">According to </w:t>
      </w:r>
      <w:r w:rsidR="00B2130A" w:rsidRPr="00A13719">
        <w:rPr>
          <w:rFonts w:eastAsiaTheme="minorEastAsia"/>
        </w:rPr>
        <w:t>NBER</w:t>
      </w:r>
      <w:r w:rsidR="00CB5145" w:rsidRPr="00A13719">
        <w:t xml:space="preserve">, </w:t>
      </w:r>
      <w:r w:rsidR="00CB5145" w:rsidRPr="00A13719">
        <w:rPr>
          <w:rFonts w:eastAsiaTheme="minorEastAsia"/>
        </w:rPr>
        <w:t>the recession has as an attribute a significant decline in the economic activity lasting more than few months usually visible in the real GDP, industrial production, employment, real income, and wholesale-retail sales</w:t>
      </w:r>
      <w:r w:rsidR="001D6A77" w:rsidRPr="00A13719">
        <w:rPr>
          <w:rFonts w:eastAsiaTheme="minorEastAsia"/>
        </w:rPr>
        <w:t>. Down market regimes ha</w:t>
      </w:r>
      <w:r w:rsidR="00E7087C" w:rsidRPr="00A13719">
        <w:rPr>
          <w:rFonts w:eastAsiaTheme="minorEastAsia"/>
        </w:rPr>
        <w:t>ve</w:t>
      </w:r>
      <w:r w:rsidR="001D6A77" w:rsidRPr="00A13719">
        <w:rPr>
          <w:rFonts w:eastAsiaTheme="minorEastAsia"/>
        </w:rPr>
        <w:t xml:space="preserve"> as an attribute </w:t>
      </w:r>
      <w:r w:rsidR="001D6A77" w:rsidRPr="00A13719">
        <w:rPr>
          <w:lang w:val="en-US"/>
        </w:rPr>
        <w:t>substantial return downturns and market volatility (see section 4.2)</w:t>
      </w:r>
      <w:r w:rsidR="009509B4" w:rsidRPr="00A13719">
        <w:rPr>
          <w:rStyle w:val="FootnoteReference"/>
          <w:rFonts w:eastAsiaTheme="minorEastAsia"/>
        </w:rPr>
        <w:footnoteReference w:id="4"/>
      </w:r>
      <w:r w:rsidR="00CB5145" w:rsidRPr="00A13719">
        <w:rPr>
          <w:rFonts w:eastAsiaTheme="minorEastAsia"/>
        </w:rPr>
        <w:t xml:space="preserve">. </w:t>
      </w:r>
      <w:r w:rsidR="0022162B" w:rsidRPr="00A13719">
        <w:rPr>
          <w:rFonts w:eastAsiaTheme="minorEastAsia"/>
          <w:lang w:val="en-US"/>
        </w:rPr>
        <w:t>Moreover,</w:t>
      </w:r>
      <w:r w:rsidR="00A62B1F" w:rsidRPr="00A13719">
        <w:rPr>
          <w:rFonts w:eastAsiaTheme="minorEastAsia"/>
          <w:lang w:val="en-US"/>
        </w:rPr>
        <w:t xml:space="preserve"> </w:t>
      </w:r>
      <w:r w:rsidR="00CB5145" w:rsidRPr="00A13719">
        <w:rPr>
          <w:rFonts w:eastAsiaTheme="minorEastAsia"/>
          <w:lang w:val="en-US"/>
        </w:rPr>
        <w:t xml:space="preserve">the </w:t>
      </w:r>
      <w:r w:rsidR="00CA043F" w:rsidRPr="00A13719">
        <w:rPr>
          <w:rFonts w:eastAsiaTheme="minorEastAsia"/>
          <w:lang w:val="en-US"/>
        </w:rPr>
        <w:lastRenderedPageBreak/>
        <w:t xml:space="preserve">single </w:t>
      </w:r>
      <w:r w:rsidR="00E7087C" w:rsidRPr="00A13719">
        <w:rPr>
          <w:rFonts w:eastAsiaTheme="minorEastAsia"/>
          <w:lang w:val="en-US"/>
        </w:rPr>
        <w:t>m</w:t>
      </w:r>
      <w:r w:rsidR="00CA043F" w:rsidRPr="00A13719">
        <w:rPr>
          <w:rFonts w:eastAsiaTheme="minorEastAsia"/>
          <w:lang w:val="en-US"/>
        </w:rPr>
        <w:t>odel</w:t>
      </w:r>
      <w:r w:rsidR="001B02CB" w:rsidRPr="00A13719">
        <w:rPr>
          <w:rFonts w:eastAsiaTheme="minorEastAsia"/>
          <w:lang w:val="en-US"/>
        </w:rPr>
        <w:t>s</w:t>
      </w:r>
      <w:r w:rsidR="00CA043F" w:rsidRPr="00A13719">
        <w:rPr>
          <w:rFonts w:eastAsiaTheme="minorEastAsia"/>
          <w:lang w:val="en-US"/>
        </w:rPr>
        <w:t xml:space="preserve"> </w:t>
      </w:r>
      <w:r w:rsidR="00E7087C" w:rsidRPr="00A13719">
        <w:rPr>
          <w:rFonts w:eastAsiaTheme="minorEastAsia"/>
          <w:lang w:val="en-US"/>
        </w:rPr>
        <w:t xml:space="preserve">used </w:t>
      </w:r>
      <w:r w:rsidR="00836F2F" w:rsidRPr="00A13719">
        <w:rPr>
          <w:rFonts w:eastAsiaTheme="minorEastAsia"/>
          <w:lang w:val="en-US"/>
        </w:rPr>
        <w:t>t</w:t>
      </w:r>
      <w:r w:rsidR="00CB5145" w:rsidRPr="00A13719">
        <w:rPr>
          <w:rFonts w:eastAsiaTheme="minorEastAsia"/>
          <w:lang w:val="en-US"/>
        </w:rPr>
        <w:t>o describe</w:t>
      </w:r>
      <w:r w:rsidR="00CA043F" w:rsidRPr="00A13719">
        <w:rPr>
          <w:rFonts w:eastAsiaTheme="minorEastAsia"/>
          <w:lang w:val="en-US"/>
        </w:rPr>
        <w:t xml:space="preserve"> all </w:t>
      </w:r>
      <w:r w:rsidR="007260AD" w:rsidRPr="00A13719">
        <w:rPr>
          <w:rFonts w:eastAsiaTheme="minorEastAsia"/>
          <w:lang w:val="en-US"/>
        </w:rPr>
        <w:t>HF</w:t>
      </w:r>
      <w:r w:rsidR="00CA043F" w:rsidRPr="00A13719">
        <w:rPr>
          <w:rFonts w:eastAsiaTheme="minorEastAsia"/>
          <w:lang w:val="en-US"/>
        </w:rPr>
        <w:t xml:space="preserve"> strategies </w:t>
      </w:r>
      <w:r w:rsidR="00B555DD" w:rsidRPr="00A13719">
        <w:rPr>
          <w:rFonts w:eastAsiaTheme="minorEastAsia"/>
          <w:lang w:val="en-US"/>
        </w:rPr>
        <w:t xml:space="preserve">or conditions </w:t>
      </w:r>
      <w:r w:rsidR="00AA37E7" w:rsidRPr="00A13719">
        <w:rPr>
          <w:rFonts w:eastAsiaTheme="minorEastAsia"/>
          <w:lang w:val="en-US"/>
        </w:rPr>
        <w:t>are</w:t>
      </w:r>
      <w:r w:rsidR="00CA043F" w:rsidRPr="00A13719">
        <w:rPr>
          <w:rFonts w:eastAsiaTheme="minorEastAsia"/>
          <w:lang w:val="en-US"/>
        </w:rPr>
        <w:t xml:space="preserve"> over-simplistic and </w:t>
      </w:r>
      <w:r w:rsidR="00AA37E7" w:rsidRPr="00A13719">
        <w:rPr>
          <w:rFonts w:eastAsiaTheme="minorEastAsia"/>
          <w:lang w:val="en-US"/>
        </w:rPr>
        <w:t xml:space="preserve">do </w:t>
      </w:r>
      <w:r w:rsidR="00CA043F" w:rsidRPr="00A13719">
        <w:rPr>
          <w:rFonts w:eastAsiaTheme="minorEastAsia"/>
          <w:lang w:val="en-US"/>
        </w:rPr>
        <w:t>not efficient</w:t>
      </w:r>
      <w:r w:rsidR="00CB5145" w:rsidRPr="00A13719">
        <w:rPr>
          <w:rFonts w:eastAsiaTheme="minorEastAsia"/>
          <w:lang w:val="en-US"/>
        </w:rPr>
        <w:t>ly</w:t>
      </w:r>
      <w:r w:rsidR="00FD7EB8" w:rsidRPr="00A13719">
        <w:rPr>
          <w:rFonts w:eastAsiaTheme="minorEastAsia"/>
          <w:lang w:val="en-US"/>
        </w:rPr>
        <w:t xml:space="preserve"> captur</w:t>
      </w:r>
      <w:r w:rsidR="00AA37E7" w:rsidRPr="00A13719">
        <w:rPr>
          <w:rFonts w:eastAsiaTheme="minorEastAsia"/>
          <w:lang w:val="en-US"/>
        </w:rPr>
        <w:t>e</w:t>
      </w:r>
      <w:r w:rsidR="00FD7EB8" w:rsidRPr="00A13719">
        <w:rPr>
          <w:rFonts w:eastAsiaTheme="minorEastAsia"/>
          <w:lang w:val="en-US"/>
        </w:rPr>
        <w:t xml:space="preserve"> </w:t>
      </w:r>
      <w:r w:rsidR="00C90F0D" w:rsidRPr="00A13719">
        <w:rPr>
          <w:rFonts w:eastAsiaTheme="minorEastAsia"/>
          <w:lang w:val="en-US"/>
        </w:rPr>
        <w:t xml:space="preserve">the </w:t>
      </w:r>
      <w:r w:rsidR="00FD7EB8" w:rsidRPr="00A13719">
        <w:rPr>
          <w:rFonts w:eastAsiaTheme="minorEastAsia"/>
          <w:lang w:val="en-US"/>
        </w:rPr>
        <w:t>exposures and excess returns delivered to investors</w:t>
      </w:r>
      <w:r w:rsidR="00E70C10" w:rsidRPr="00A13719">
        <w:rPr>
          <w:rFonts w:eastAsiaTheme="minorEastAsia"/>
          <w:lang w:val="en-US"/>
        </w:rPr>
        <w:t xml:space="preserve">. </w:t>
      </w:r>
    </w:p>
    <w:p w:rsidR="007020DB" w:rsidRPr="00A13719" w:rsidRDefault="00524AF2" w:rsidP="00D24081">
      <w:pPr>
        <w:jc w:val="both"/>
      </w:pPr>
      <w:r w:rsidRPr="00A13719">
        <w:rPr>
          <w:rFonts w:eastAsiaTheme="minorEastAsia"/>
          <w:lang w:val="en-US"/>
        </w:rPr>
        <w:t xml:space="preserve">Our </w:t>
      </w:r>
      <w:r w:rsidR="002835F0" w:rsidRPr="00A13719">
        <w:rPr>
          <w:rFonts w:eastAsiaTheme="minorEastAsia"/>
          <w:lang w:val="en-US"/>
        </w:rPr>
        <w:t>model</w:t>
      </w:r>
      <w:r w:rsidRPr="00A13719">
        <w:rPr>
          <w:rFonts w:eastAsiaTheme="minorEastAsia"/>
          <w:lang w:val="en-US"/>
        </w:rPr>
        <w:t xml:space="preserve"> uses a stepwise regression and then appl</w:t>
      </w:r>
      <w:r w:rsidR="00B16FD8" w:rsidRPr="00A13719">
        <w:rPr>
          <w:rFonts w:eastAsiaTheme="minorEastAsia"/>
          <w:lang w:val="en-US"/>
        </w:rPr>
        <w:t>ies</w:t>
      </w:r>
      <w:r w:rsidRPr="00A13719">
        <w:rPr>
          <w:rFonts w:eastAsiaTheme="minorEastAsia"/>
          <w:lang w:val="en-US"/>
        </w:rPr>
        <w:t xml:space="preserve"> it to business cycles (NBER expansions</w:t>
      </w:r>
      <w:r w:rsidR="00AD05C1" w:rsidRPr="00A13719">
        <w:rPr>
          <w:rFonts w:eastAsiaTheme="minorEastAsia"/>
          <w:lang w:val="en-US"/>
        </w:rPr>
        <w:t xml:space="preserve">/recessions) and to the market </w:t>
      </w:r>
      <w:r w:rsidRPr="00A13719">
        <w:rPr>
          <w:rFonts w:eastAsiaTheme="minorEastAsia"/>
          <w:lang w:val="en-US"/>
        </w:rPr>
        <w:t xml:space="preserve">via </w:t>
      </w:r>
      <w:r w:rsidR="00B16FD8" w:rsidRPr="00A13719">
        <w:rPr>
          <w:rFonts w:eastAsiaTheme="minorEastAsia"/>
          <w:lang w:val="en-US"/>
        </w:rPr>
        <w:t xml:space="preserve">a </w:t>
      </w:r>
      <w:r w:rsidRPr="00A13719">
        <w:rPr>
          <w:rFonts w:eastAsiaTheme="minorEastAsia"/>
          <w:lang w:val="en-US"/>
        </w:rPr>
        <w:t>regime switc</w:t>
      </w:r>
      <w:r w:rsidR="00AD05C1" w:rsidRPr="00A13719">
        <w:rPr>
          <w:rFonts w:eastAsiaTheme="minorEastAsia"/>
          <w:lang w:val="en-US"/>
        </w:rPr>
        <w:t>hing model with up/down regimes</w:t>
      </w:r>
      <w:r w:rsidRPr="00A13719">
        <w:rPr>
          <w:rFonts w:eastAsiaTheme="minorEastAsia"/>
          <w:lang w:val="en-US"/>
        </w:rPr>
        <w:t xml:space="preserve">. This is implemented for each of the 11 HF strategies that we model (see section 3.2). </w:t>
      </w:r>
      <w:r w:rsidR="006E1F13" w:rsidRPr="00A13719">
        <w:rPr>
          <w:rFonts w:eastAsiaTheme="minorEastAsia"/>
          <w:lang w:val="en-US"/>
        </w:rPr>
        <w:t>O</w:t>
      </w:r>
      <w:r w:rsidR="00CA043F" w:rsidRPr="00A13719">
        <w:rPr>
          <w:rFonts w:eastAsiaTheme="minorEastAsia"/>
          <w:lang w:val="en-US"/>
        </w:rPr>
        <w:t xml:space="preserve">ur </w:t>
      </w:r>
      <w:r w:rsidR="009A0530" w:rsidRPr="00A13719">
        <w:rPr>
          <w:rFonts w:eastAsiaTheme="minorEastAsia"/>
          <w:lang w:val="en-US"/>
        </w:rPr>
        <w:t>proposed</w:t>
      </w:r>
      <w:r w:rsidR="001C4F71" w:rsidRPr="00A13719">
        <w:rPr>
          <w:rFonts w:eastAsiaTheme="minorEastAsia"/>
          <w:lang w:val="en-US"/>
        </w:rPr>
        <w:t xml:space="preserve"> </w:t>
      </w:r>
      <w:r w:rsidR="006E1F13" w:rsidRPr="00A13719">
        <w:rPr>
          <w:rFonts w:eastAsiaTheme="minorEastAsia"/>
          <w:lang w:val="en-US"/>
        </w:rPr>
        <w:t xml:space="preserve">modeling approach </w:t>
      </w:r>
      <w:r w:rsidR="003554FA" w:rsidRPr="00A13719">
        <w:rPr>
          <w:rFonts w:eastAsiaTheme="minorEastAsia"/>
          <w:lang w:val="en-US"/>
        </w:rPr>
        <w:t>differs</w:t>
      </w:r>
      <w:r w:rsidR="00BB7601" w:rsidRPr="00A13719">
        <w:rPr>
          <w:rFonts w:eastAsiaTheme="minorEastAsia"/>
          <w:lang w:val="en-US"/>
        </w:rPr>
        <w:t xml:space="preserve"> </w:t>
      </w:r>
      <w:r w:rsidR="003554FA" w:rsidRPr="00A13719">
        <w:rPr>
          <w:rFonts w:eastAsiaTheme="minorEastAsia"/>
          <w:lang w:val="en-US"/>
        </w:rPr>
        <w:t>from</w:t>
      </w:r>
      <w:r w:rsidR="00BB7601" w:rsidRPr="00A13719">
        <w:rPr>
          <w:rFonts w:eastAsiaTheme="minorEastAsia"/>
          <w:lang w:val="en-US"/>
        </w:rPr>
        <w:t xml:space="preserve"> </w:t>
      </w:r>
      <w:r w:rsidR="00421739" w:rsidRPr="00A13719">
        <w:rPr>
          <w:rFonts w:eastAsiaTheme="minorEastAsia"/>
          <w:lang w:val="en-US"/>
        </w:rPr>
        <w:t xml:space="preserve">the </w:t>
      </w:r>
      <w:r w:rsidR="00BB7601" w:rsidRPr="00A13719">
        <w:rPr>
          <w:rFonts w:eastAsiaTheme="minorEastAsia"/>
          <w:lang w:val="en-US"/>
        </w:rPr>
        <w:t xml:space="preserve">studies cited here, </w:t>
      </w:r>
      <w:r w:rsidR="003554FA" w:rsidRPr="00A13719">
        <w:rPr>
          <w:rFonts w:eastAsiaTheme="minorEastAsia"/>
          <w:lang w:val="en-US"/>
        </w:rPr>
        <w:t xml:space="preserve">as </w:t>
      </w:r>
      <w:r w:rsidR="005C7071" w:rsidRPr="00A13719">
        <w:rPr>
          <w:rFonts w:eastAsiaTheme="minorEastAsia"/>
          <w:lang w:val="en-US"/>
        </w:rPr>
        <w:t xml:space="preserve">it </w:t>
      </w:r>
      <w:r w:rsidR="006E1F13" w:rsidRPr="00A13719">
        <w:rPr>
          <w:rFonts w:eastAsiaTheme="minorEastAsia"/>
          <w:lang w:val="en-US"/>
        </w:rPr>
        <w:t xml:space="preserve">uses </w:t>
      </w:r>
      <w:r w:rsidR="003A05B4" w:rsidRPr="00A13719">
        <w:rPr>
          <w:rFonts w:eastAsiaTheme="minorEastAsia"/>
          <w:lang w:val="en-US"/>
        </w:rPr>
        <w:t xml:space="preserve">a </w:t>
      </w:r>
      <w:r w:rsidR="00841F9A" w:rsidRPr="00A13719">
        <w:rPr>
          <w:rFonts w:eastAsiaTheme="minorEastAsia"/>
          <w:lang w:val="en-US"/>
        </w:rPr>
        <w:t>parsimonious</w:t>
      </w:r>
      <w:r w:rsidR="00CA043F" w:rsidRPr="00A13719">
        <w:rPr>
          <w:rFonts w:eastAsiaTheme="minorEastAsia"/>
          <w:lang w:val="en-US"/>
        </w:rPr>
        <w:t xml:space="preserve"> model</w:t>
      </w:r>
      <w:r w:rsidR="001B6959" w:rsidRPr="00A13719">
        <w:rPr>
          <w:rFonts w:eastAsiaTheme="minorEastAsia"/>
          <w:lang w:val="en-US"/>
        </w:rPr>
        <w:t xml:space="preserve"> </w:t>
      </w:r>
      <w:r w:rsidR="006E1F13" w:rsidRPr="00A13719">
        <w:rPr>
          <w:rFonts w:eastAsiaTheme="minorEastAsia"/>
          <w:lang w:val="en-US"/>
        </w:rPr>
        <w:t xml:space="preserve">that </w:t>
      </w:r>
      <w:r w:rsidR="00CA043F" w:rsidRPr="00A13719">
        <w:rPr>
          <w:rFonts w:eastAsiaTheme="minorEastAsia"/>
          <w:lang w:val="en-US"/>
        </w:rPr>
        <w:t xml:space="preserve">is flexible enough to accurately </w:t>
      </w:r>
      <w:r w:rsidR="00E70C10" w:rsidRPr="00A13719">
        <w:rPr>
          <w:rFonts w:eastAsiaTheme="minorEastAsia"/>
          <w:lang w:val="en-US"/>
        </w:rPr>
        <w:t>identify</w:t>
      </w:r>
      <w:r w:rsidR="005C7D06" w:rsidRPr="00A13719">
        <w:rPr>
          <w:rFonts w:eastAsiaTheme="minorEastAsia"/>
          <w:lang w:val="en-US"/>
        </w:rPr>
        <w:t xml:space="preserve"> </w:t>
      </w:r>
      <w:r w:rsidR="00421739" w:rsidRPr="00A13719">
        <w:rPr>
          <w:rFonts w:eastAsiaTheme="minorEastAsia"/>
          <w:lang w:val="en-US"/>
        </w:rPr>
        <w:t>for each</w:t>
      </w:r>
      <w:r w:rsidR="007B002F" w:rsidRPr="00A13719">
        <w:rPr>
          <w:rFonts w:eastAsiaTheme="minorEastAsia"/>
          <w:lang w:val="en-US"/>
        </w:rPr>
        <w:t xml:space="preserve"> strategy </w:t>
      </w:r>
      <w:r w:rsidR="005C7D06" w:rsidRPr="00A13719">
        <w:rPr>
          <w:rFonts w:eastAsiaTheme="minorEastAsia"/>
          <w:lang w:val="en-US"/>
        </w:rPr>
        <w:t>changes in asset and portfolio allocations</w:t>
      </w:r>
      <w:r w:rsidR="00356140" w:rsidRPr="00A13719">
        <w:rPr>
          <w:rFonts w:eastAsiaTheme="minorEastAsia"/>
          <w:lang w:val="en-US"/>
        </w:rPr>
        <w:t xml:space="preserve">, </w:t>
      </w:r>
      <w:r w:rsidR="005C61CA" w:rsidRPr="00A13719">
        <w:rPr>
          <w:rFonts w:eastAsiaTheme="minorEastAsia"/>
          <w:lang w:val="en-US"/>
        </w:rPr>
        <w:t>within</w:t>
      </w:r>
      <w:r w:rsidR="00DA5726" w:rsidRPr="00A13719">
        <w:rPr>
          <w:rFonts w:eastAsiaTheme="minorEastAsia"/>
          <w:lang w:val="en-US"/>
        </w:rPr>
        <w:t xml:space="preserve"> </w:t>
      </w:r>
      <w:r w:rsidR="00A65E10" w:rsidRPr="00A13719">
        <w:rPr>
          <w:rFonts w:eastAsiaTheme="minorEastAsia"/>
          <w:lang w:val="en-US"/>
        </w:rPr>
        <w:t>each of the underlying market condition</w:t>
      </w:r>
      <w:r w:rsidR="001B02CB" w:rsidRPr="00A13719">
        <w:rPr>
          <w:rFonts w:eastAsiaTheme="minorEastAsia"/>
          <w:lang w:val="en-US"/>
        </w:rPr>
        <w:t>s.</w:t>
      </w:r>
      <w:r w:rsidR="00405980" w:rsidRPr="00A13719">
        <w:rPr>
          <w:rFonts w:eastAsiaTheme="minorEastAsia"/>
          <w:lang w:val="en-US"/>
        </w:rPr>
        <w:t xml:space="preserve"> </w:t>
      </w:r>
      <w:r w:rsidR="00C06593" w:rsidRPr="00A13719">
        <w:rPr>
          <w:rFonts w:eastAsiaTheme="minorEastAsia"/>
          <w:lang w:val="en-US"/>
        </w:rPr>
        <w:t>Our</w:t>
      </w:r>
      <w:r w:rsidR="00FA253E" w:rsidRPr="00A13719">
        <w:rPr>
          <w:rFonts w:eastAsiaTheme="minorEastAsia"/>
          <w:lang w:val="en-US"/>
        </w:rPr>
        <w:t xml:space="preserve"> study </w:t>
      </w:r>
      <w:r w:rsidR="00E23B16" w:rsidRPr="00A13719">
        <w:rPr>
          <w:rFonts w:eastAsiaTheme="minorEastAsia"/>
          <w:lang w:val="en-US"/>
        </w:rPr>
        <w:t>covers</w:t>
      </w:r>
      <w:r w:rsidR="00FA253E" w:rsidRPr="00A13719">
        <w:rPr>
          <w:rFonts w:eastAsiaTheme="minorEastAsia"/>
          <w:lang w:val="en-US"/>
        </w:rPr>
        <w:t xml:space="preserve"> </w:t>
      </w:r>
      <w:r w:rsidR="007813E4" w:rsidRPr="00A13719">
        <w:rPr>
          <w:rFonts w:eastAsiaTheme="minorEastAsia"/>
          <w:lang w:val="en-US"/>
        </w:rPr>
        <w:t>an important</w:t>
      </w:r>
      <w:r w:rsidR="00FA253E" w:rsidRPr="00A13719">
        <w:rPr>
          <w:rFonts w:eastAsiaTheme="minorEastAsia"/>
          <w:lang w:val="en-US"/>
        </w:rPr>
        <w:t xml:space="preserve"> gap and </w:t>
      </w:r>
      <w:r w:rsidR="00771951" w:rsidRPr="00A13719">
        <w:rPr>
          <w:rFonts w:eastAsiaTheme="minorEastAsia"/>
          <w:lang w:val="en-US"/>
        </w:rPr>
        <w:t>s</w:t>
      </w:r>
      <w:r w:rsidR="00784BB4" w:rsidRPr="00A13719">
        <w:rPr>
          <w:rFonts w:eastAsiaTheme="minorEastAsia"/>
          <w:lang w:val="en-US"/>
        </w:rPr>
        <w:t>ince there is a need to focus on one region as different regions of the world have different business cycles, we choose the most important economically: North America</w:t>
      </w:r>
      <w:r w:rsidR="003F7574" w:rsidRPr="00A13719">
        <w:rPr>
          <w:rFonts w:eastAsiaTheme="minorEastAsia"/>
          <w:lang w:val="en-US"/>
        </w:rPr>
        <w:t xml:space="preserve"> and</w:t>
      </w:r>
      <w:r w:rsidR="00C06593" w:rsidRPr="00A13719">
        <w:t xml:space="preserve"> </w:t>
      </w:r>
      <w:r w:rsidR="004C0180" w:rsidRPr="00A13719">
        <w:t>HF</w:t>
      </w:r>
      <w:r w:rsidR="00C06593" w:rsidRPr="00A13719">
        <w:t>s</w:t>
      </w:r>
      <w:r w:rsidR="005F2B97" w:rsidRPr="00A13719">
        <w:rPr>
          <w:lang w:val="en-US"/>
        </w:rPr>
        <w:t xml:space="preserve"> </w:t>
      </w:r>
      <w:r w:rsidR="003F7574" w:rsidRPr="00A13719">
        <w:rPr>
          <w:lang w:val="en-US"/>
        </w:rPr>
        <w:t>that invest</w:t>
      </w:r>
      <w:r w:rsidR="005F2B97" w:rsidRPr="00A13719">
        <w:rPr>
          <w:lang w:val="en-US"/>
        </w:rPr>
        <w:t xml:space="preserve"> primarily in this region</w:t>
      </w:r>
      <w:r w:rsidR="00C06593" w:rsidRPr="00A13719">
        <w:t xml:space="preserve">. </w:t>
      </w:r>
      <w:r w:rsidR="004C0180" w:rsidRPr="00A13719">
        <w:t>HF</w:t>
      </w:r>
      <w:r w:rsidR="00C06593" w:rsidRPr="00A13719">
        <w:t xml:space="preserve">s that invest only in the emerging markets do not have a direct exposure to these economic conditions. </w:t>
      </w:r>
      <w:r w:rsidR="0049494C" w:rsidRPr="00A13719">
        <w:rPr>
          <w:rFonts w:eastAsiaTheme="minorEastAsia"/>
          <w:lang w:val="en-US"/>
        </w:rPr>
        <w:t xml:space="preserve">Another </w:t>
      </w:r>
      <w:r w:rsidR="004050B3" w:rsidRPr="00A13719">
        <w:rPr>
          <w:rFonts w:eastAsiaTheme="minorEastAsia"/>
          <w:lang w:val="en-US"/>
        </w:rPr>
        <w:t>important</w:t>
      </w:r>
      <w:r w:rsidR="0049494C" w:rsidRPr="00A13719">
        <w:rPr>
          <w:rFonts w:eastAsiaTheme="minorEastAsia"/>
          <w:lang w:val="en-US"/>
        </w:rPr>
        <w:t xml:space="preserve"> </w:t>
      </w:r>
      <w:r w:rsidR="004050B3" w:rsidRPr="00A13719">
        <w:rPr>
          <w:rFonts w:eastAsiaTheme="minorEastAsia"/>
          <w:lang w:val="en-US"/>
        </w:rPr>
        <w:t xml:space="preserve">gap </w:t>
      </w:r>
      <w:r w:rsidR="00EA67ED" w:rsidRPr="00A13719">
        <w:rPr>
          <w:rFonts w:eastAsiaTheme="minorEastAsia"/>
          <w:lang w:val="en-US"/>
        </w:rPr>
        <w:t xml:space="preserve">is </w:t>
      </w:r>
      <w:r w:rsidR="0049494C" w:rsidRPr="00A13719">
        <w:rPr>
          <w:rFonts w:eastAsiaTheme="minorEastAsia"/>
          <w:lang w:val="en-US"/>
        </w:rPr>
        <w:t xml:space="preserve">the </w:t>
      </w:r>
      <w:r w:rsidR="00182CC7" w:rsidRPr="00A13719">
        <w:rPr>
          <w:rFonts w:eastAsiaTheme="minorEastAsia"/>
          <w:lang w:val="en-US"/>
        </w:rPr>
        <w:t>lack</w:t>
      </w:r>
      <w:r w:rsidR="00EA67ED" w:rsidRPr="00A13719">
        <w:rPr>
          <w:rFonts w:eastAsiaTheme="minorEastAsia"/>
          <w:lang w:val="en-US"/>
        </w:rPr>
        <w:t xml:space="preserve"> </w:t>
      </w:r>
      <w:r w:rsidR="0033740E" w:rsidRPr="00A13719">
        <w:rPr>
          <w:rFonts w:eastAsiaTheme="minorEastAsia"/>
          <w:lang w:val="en-US"/>
        </w:rPr>
        <w:t>of</w:t>
      </w:r>
      <w:r w:rsidR="00EA67ED" w:rsidRPr="00A13719">
        <w:rPr>
          <w:rFonts w:eastAsiaTheme="minorEastAsia"/>
          <w:lang w:val="en-US"/>
        </w:rPr>
        <w:t xml:space="preserve"> an investigation </w:t>
      </w:r>
      <w:r w:rsidR="00F61E9F" w:rsidRPr="00A13719">
        <w:rPr>
          <w:rFonts w:eastAsiaTheme="minorEastAsia"/>
          <w:lang w:val="en-US"/>
        </w:rPr>
        <w:t>into</w:t>
      </w:r>
      <w:r w:rsidR="00EA67ED" w:rsidRPr="00A13719">
        <w:rPr>
          <w:rFonts w:eastAsiaTheme="minorEastAsia"/>
          <w:lang w:val="en-US"/>
        </w:rPr>
        <w:t xml:space="preserve"> </w:t>
      </w:r>
      <w:r w:rsidR="004C0180" w:rsidRPr="00A13719">
        <w:rPr>
          <w:rFonts w:eastAsiaTheme="minorEastAsia"/>
          <w:lang w:val="en-US"/>
        </w:rPr>
        <w:t>HF</w:t>
      </w:r>
      <w:r w:rsidR="00EA67ED" w:rsidRPr="00A13719">
        <w:rPr>
          <w:rFonts w:eastAsiaTheme="minorEastAsia"/>
          <w:lang w:val="en-US"/>
        </w:rPr>
        <w:t xml:space="preserve"> </w:t>
      </w:r>
      <w:r w:rsidR="001F20EF" w:rsidRPr="00A13719">
        <w:rPr>
          <w:rFonts w:eastAsiaTheme="minorEastAsia"/>
          <w:lang w:val="en-US"/>
        </w:rPr>
        <w:t>performance</w:t>
      </w:r>
      <w:r w:rsidR="00EA67ED" w:rsidRPr="00A13719">
        <w:rPr>
          <w:rFonts w:eastAsiaTheme="minorEastAsia"/>
          <w:lang w:val="en-US"/>
        </w:rPr>
        <w:t xml:space="preserve"> within different business cycles and market conditions together as these two different states do not </w:t>
      </w:r>
      <w:r w:rsidR="0033740E" w:rsidRPr="00A13719">
        <w:rPr>
          <w:rFonts w:eastAsiaTheme="minorEastAsia"/>
          <w:lang w:val="en-US"/>
        </w:rPr>
        <w:t xml:space="preserve">necessarily </w:t>
      </w:r>
      <w:r w:rsidR="00EA67ED" w:rsidRPr="00A13719">
        <w:rPr>
          <w:rFonts w:eastAsiaTheme="minorEastAsia"/>
          <w:lang w:val="en-US"/>
        </w:rPr>
        <w:t xml:space="preserve">coincide </w:t>
      </w:r>
      <w:r w:rsidR="00413D7D" w:rsidRPr="00A13719">
        <w:rPr>
          <w:rFonts w:eastAsiaTheme="minorEastAsia"/>
          <w:lang w:val="en-US"/>
        </w:rPr>
        <w:t xml:space="preserve">and </w:t>
      </w:r>
      <w:r w:rsidR="00D31BE5" w:rsidRPr="00A13719">
        <w:rPr>
          <w:rFonts w:eastAsiaTheme="minorEastAsia"/>
          <w:lang w:val="en-US"/>
        </w:rPr>
        <w:t>they have</w:t>
      </w:r>
      <w:r w:rsidR="007A6091" w:rsidRPr="00A13719">
        <w:rPr>
          <w:rFonts w:eastAsiaTheme="minorEastAsia"/>
          <w:lang w:val="en-US"/>
        </w:rPr>
        <w:t xml:space="preserve"> different implications </w:t>
      </w:r>
      <w:r w:rsidR="00F554FA" w:rsidRPr="00A13719">
        <w:rPr>
          <w:rFonts w:eastAsiaTheme="minorEastAsia"/>
          <w:lang w:val="en-US"/>
        </w:rPr>
        <w:t>for</w:t>
      </w:r>
      <w:r w:rsidR="007A6091" w:rsidRPr="00A13719">
        <w:rPr>
          <w:rFonts w:eastAsiaTheme="minorEastAsia"/>
          <w:lang w:val="en-US"/>
        </w:rPr>
        <w:t xml:space="preserve"> </w:t>
      </w:r>
      <w:r w:rsidR="004C0180" w:rsidRPr="00A13719">
        <w:rPr>
          <w:rFonts w:eastAsiaTheme="minorEastAsia"/>
          <w:lang w:val="en-US"/>
        </w:rPr>
        <w:t>HFs</w:t>
      </w:r>
      <w:r w:rsidR="00EA708B" w:rsidRPr="00A13719">
        <w:rPr>
          <w:rFonts w:eastAsiaTheme="minorEastAsia"/>
          <w:lang w:val="en-US"/>
        </w:rPr>
        <w:t>,</w:t>
      </w:r>
      <w:r w:rsidR="0069289A" w:rsidRPr="00A13719">
        <w:rPr>
          <w:rFonts w:eastAsiaTheme="minorEastAsia"/>
          <w:lang w:val="en-US"/>
        </w:rPr>
        <w:t xml:space="preserve"> causing </w:t>
      </w:r>
      <w:r w:rsidR="00A53C65" w:rsidRPr="00A13719">
        <w:rPr>
          <w:rFonts w:eastAsiaTheme="minorEastAsia"/>
          <w:lang w:val="en-US"/>
        </w:rPr>
        <w:t xml:space="preserve">confusion to </w:t>
      </w:r>
      <w:r w:rsidR="0069289A" w:rsidRPr="00A13719">
        <w:rPr>
          <w:rFonts w:eastAsiaTheme="minorEastAsia"/>
          <w:lang w:val="en-US"/>
        </w:rPr>
        <w:t>investors</w:t>
      </w:r>
      <w:r w:rsidR="00F53026" w:rsidRPr="00A13719">
        <w:rPr>
          <w:rFonts w:eastAsiaTheme="minorEastAsia"/>
          <w:lang w:val="en-US"/>
        </w:rPr>
        <w:t>.</w:t>
      </w:r>
      <w:r w:rsidR="0069289A" w:rsidRPr="00A13719">
        <w:rPr>
          <w:rFonts w:eastAsiaTheme="minorEastAsia"/>
          <w:lang w:val="en-US"/>
        </w:rPr>
        <w:t xml:space="preserve"> </w:t>
      </w:r>
      <w:r w:rsidR="003E7692" w:rsidRPr="00A13719">
        <w:rPr>
          <w:rFonts w:eastAsiaTheme="minorEastAsia"/>
          <w:lang w:val="en-US"/>
        </w:rPr>
        <w:t xml:space="preserve">Thus, </w:t>
      </w:r>
      <w:r w:rsidR="00784BB4" w:rsidRPr="00A13719">
        <w:rPr>
          <w:rFonts w:eastAsiaTheme="minorEastAsia"/>
          <w:lang w:val="en-US"/>
        </w:rPr>
        <w:t xml:space="preserve">we are the first to </w:t>
      </w:r>
      <w:r w:rsidR="00E31A1C" w:rsidRPr="00A13719">
        <w:rPr>
          <w:rFonts w:eastAsiaTheme="minorEastAsia"/>
          <w:lang w:val="en-US"/>
        </w:rPr>
        <w:t xml:space="preserve">compare </w:t>
      </w:r>
      <w:r w:rsidR="004C0180" w:rsidRPr="00A13719">
        <w:rPr>
          <w:rFonts w:eastAsiaTheme="minorEastAsia"/>
          <w:lang w:val="en-US"/>
        </w:rPr>
        <w:t>HF</w:t>
      </w:r>
      <w:r w:rsidR="00E31A1C" w:rsidRPr="00A13719">
        <w:rPr>
          <w:rFonts w:eastAsiaTheme="minorEastAsia"/>
          <w:lang w:val="en-US"/>
        </w:rPr>
        <w:t xml:space="preserve">s </w:t>
      </w:r>
      <w:r w:rsidR="00784BB4" w:rsidRPr="00A13719">
        <w:rPr>
          <w:rFonts w:eastAsiaTheme="minorEastAsia"/>
          <w:lang w:val="en-US"/>
        </w:rPr>
        <w:t>under</w:t>
      </w:r>
      <w:r w:rsidR="00E31A1C" w:rsidRPr="00A13719">
        <w:rPr>
          <w:rFonts w:eastAsiaTheme="minorEastAsia"/>
          <w:lang w:val="en-US"/>
        </w:rPr>
        <w:t xml:space="preserve"> these two </w:t>
      </w:r>
      <w:r w:rsidR="00085926" w:rsidRPr="00A13719">
        <w:rPr>
          <w:rFonts w:eastAsiaTheme="minorEastAsia"/>
          <w:lang w:val="en-US"/>
        </w:rPr>
        <w:t>states</w:t>
      </w:r>
      <w:r w:rsidR="00B14031" w:rsidRPr="00A13719">
        <w:rPr>
          <w:rFonts w:eastAsiaTheme="minorEastAsia"/>
          <w:lang w:val="en-US"/>
        </w:rPr>
        <w:t xml:space="preserve"> </w:t>
      </w:r>
      <w:r w:rsidR="009F6359" w:rsidRPr="00A13719">
        <w:rPr>
          <w:rFonts w:eastAsiaTheme="minorEastAsia"/>
          <w:lang w:val="en-US"/>
        </w:rPr>
        <w:t>that present</w:t>
      </w:r>
      <w:r w:rsidR="00B14031" w:rsidRPr="00A13719">
        <w:rPr>
          <w:rFonts w:eastAsiaTheme="minorEastAsia"/>
          <w:lang w:val="en-US"/>
        </w:rPr>
        <w:t xml:space="preserve"> different attributes (as </w:t>
      </w:r>
      <w:r w:rsidR="009F6359" w:rsidRPr="00A13719">
        <w:rPr>
          <w:rFonts w:eastAsiaTheme="minorEastAsia"/>
          <w:lang w:val="en-US"/>
        </w:rPr>
        <w:t>shown</w:t>
      </w:r>
      <w:r w:rsidR="00B14031" w:rsidRPr="00A13719">
        <w:rPr>
          <w:rFonts w:eastAsiaTheme="minorEastAsia"/>
          <w:lang w:val="en-US"/>
        </w:rPr>
        <w:t xml:space="preserve"> later)</w:t>
      </w:r>
      <w:r w:rsidR="00E31A1C" w:rsidRPr="00A13719">
        <w:rPr>
          <w:rFonts w:eastAsiaTheme="minorEastAsia"/>
          <w:lang w:val="en-US"/>
        </w:rPr>
        <w:t xml:space="preserve">. </w:t>
      </w:r>
      <w:r w:rsidR="00E56087" w:rsidRPr="00A13719">
        <w:rPr>
          <w:rFonts w:eastAsiaTheme="minorEastAsia"/>
          <w:lang w:val="en-US"/>
        </w:rPr>
        <w:t>Furthermore, instead of using one g</w:t>
      </w:r>
      <w:r w:rsidR="00701092" w:rsidRPr="00A13719">
        <w:rPr>
          <w:rFonts w:eastAsiaTheme="minorEastAsia"/>
          <w:lang w:val="en-US"/>
        </w:rPr>
        <w:t>eneral commodity factor, we use</w:t>
      </w:r>
      <w:r w:rsidR="00E56087" w:rsidRPr="00A13719">
        <w:rPr>
          <w:rFonts w:eastAsiaTheme="minorEastAsia"/>
          <w:lang w:val="en-US"/>
        </w:rPr>
        <w:t xml:space="preserve"> specific ones (</w:t>
      </w:r>
      <w:r w:rsidR="004F5F76" w:rsidRPr="00A13719">
        <w:rPr>
          <w:rFonts w:eastAsiaTheme="minorEastAsia"/>
          <w:lang w:val="en-US"/>
        </w:rPr>
        <w:t>agriculture</w:t>
      </w:r>
      <w:r w:rsidR="00512290" w:rsidRPr="00A13719">
        <w:rPr>
          <w:rFonts w:eastAsiaTheme="minorEastAsia"/>
          <w:lang w:val="en-US"/>
        </w:rPr>
        <w:t>/food</w:t>
      </w:r>
      <w:r w:rsidR="004F5F76" w:rsidRPr="00A13719">
        <w:rPr>
          <w:rFonts w:eastAsiaTheme="minorEastAsia"/>
          <w:lang w:val="en-US"/>
        </w:rPr>
        <w:t>, energy, industrial and precious metals</w:t>
      </w:r>
      <w:r w:rsidR="004050B3" w:rsidRPr="00A13719">
        <w:rPr>
          <w:rFonts w:eastAsiaTheme="minorEastAsia"/>
          <w:lang w:val="en-US"/>
        </w:rPr>
        <w:t>) for more accurate results.</w:t>
      </w:r>
      <w:r w:rsidR="00E56087" w:rsidRPr="00A13719">
        <w:rPr>
          <w:rFonts w:eastAsiaTheme="minorEastAsia"/>
          <w:lang w:val="en-US"/>
        </w:rPr>
        <w:t xml:space="preserve"> </w:t>
      </w:r>
      <w:r w:rsidR="006D2C92" w:rsidRPr="00A13719">
        <w:rPr>
          <w:rFonts w:eastAsiaTheme="minorEastAsia"/>
          <w:lang w:val="en-US"/>
        </w:rPr>
        <w:t>W</w:t>
      </w:r>
      <w:r w:rsidR="00E56087" w:rsidRPr="00A13719">
        <w:rPr>
          <w:rFonts w:eastAsiaTheme="minorEastAsia"/>
          <w:lang w:val="en-US"/>
        </w:rPr>
        <w:t xml:space="preserve">e </w:t>
      </w:r>
      <w:r w:rsidR="00701092" w:rsidRPr="00A13719">
        <w:rPr>
          <w:rFonts w:eastAsiaTheme="minorEastAsia"/>
          <w:lang w:val="en-US"/>
        </w:rPr>
        <w:t>use</w:t>
      </w:r>
      <w:r w:rsidR="00E56087" w:rsidRPr="00A13719">
        <w:rPr>
          <w:rFonts w:eastAsiaTheme="minorEastAsia"/>
          <w:lang w:val="en-US"/>
        </w:rPr>
        <w:t xml:space="preserve"> for the first time a commodity factor related </w:t>
      </w:r>
      <w:r w:rsidR="006D2C92" w:rsidRPr="00A13719">
        <w:rPr>
          <w:rFonts w:eastAsiaTheme="minorEastAsia"/>
          <w:lang w:val="en-US"/>
        </w:rPr>
        <w:t>to the</w:t>
      </w:r>
      <w:r w:rsidR="00E56087" w:rsidRPr="00A13719">
        <w:rPr>
          <w:rFonts w:eastAsiaTheme="minorEastAsia"/>
          <w:lang w:val="en-US"/>
        </w:rPr>
        <w:t xml:space="preserve"> agricultural/food industry that </w:t>
      </w:r>
      <w:r w:rsidR="006D2C92" w:rsidRPr="00A13719">
        <w:rPr>
          <w:rFonts w:eastAsiaTheme="minorEastAsia"/>
          <w:lang w:val="en-US"/>
        </w:rPr>
        <w:t xml:space="preserve">caters specifically for </w:t>
      </w:r>
      <w:r w:rsidR="004C0180" w:rsidRPr="00A13719">
        <w:rPr>
          <w:rFonts w:eastAsiaTheme="minorEastAsia"/>
          <w:lang w:val="en-US"/>
        </w:rPr>
        <w:t>HF</w:t>
      </w:r>
      <w:r w:rsidR="00E56087" w:rsidRPr="00A13719">
        <w:rPr>
          <w:rFonts w:eastAsiaTheme="minorEastAsia"/>
          <w:lang w:val="en-US"/>
        </w:rPr>
        <w:t xml:space="preserve">s </w:t>
      </w:r>
      <w:r w:rsidR="006D2C92" w:rsidRPr="00A13719">
        <w:rPr>
          <w:rFonts w:eastAsiaTheme="minorEastAsia"/>
          <w:lang w:val="en-US"/>
        </w:rPr>
        <w:t xml:space="preserve">that </w:t>
      </w:r>
      <w:r w:rsidR="00E56087" w:rsidRPr="00A13719">
        <w:rPr>
          <w:rFonts w:eastAsiaTheme="minorEastAsia"/>
          <w:lang w:val="en-US"/>
        </w:rPr>
        <w:t xml:space="preserve">invest </w:t>
      </w:r>
      <w:r w:rsidR="006D2C92" w:rsidRPr="00A13719">
        <w:rPr>
          <w:rFonts w:eastAsiaTheme="minorEastAsia"/>
          <w:lang w:val="en-US"/>
        </w:rPr>
        <w:t>in</w:t>
      </w:r>
      <w:r w:rsidR="00E56087" w:rsidRPr="00A13719">
        <w:rPr>
          <w:rFonts w:eastAsiaTheme="minorEastAsia"/>
          <w:lang w:val="en-US"/>
        </w:rPr>
        <w:t xml:space="preserve"> this “traditional” sector.</w:t>
      </w:r>
    </w:p>
    <w:p w:rsidR="00084544" w:rsidRPr="00A13719" w:rsidRDefault="00520B8E" w:rsidP="007020DB">
      <w:pPr>
        <w:jc w:val="both"/>
        <w:rPr>
          <w:rFonts w:eastAsiaTheme="minorEastAsia"/>
          <w:lang w:val="en-US"/>
        </w:rPr>
      </w:pPr>
      <w:r w:rsidRPr="00A13719">
        <w:rPr>
          <w:rFonts w:cs="Times New Roman"/>
          <w:szCs w:val="24"/>
        </w:rPr>
        <w:t xml:space="preserve">Our findings contribute to the literature, in terms of the dynamic nature of HFs (e.g. Bali, Brown and Caglayan, 2011, and Giannikis and Vrontos, 2011), common risk factors among strategies (e.g. Billio, Getmansky and Pelizzon, 2012), changes in asset classes and portfolio allocations (e.g. Patton and Ramadorai, 2013) and high significance of specific factors (e.g. Meligkotsidou and Vrontos, 2014). The contribution of our paper further lies in the fact that we provide the first examination of the performance of different HF strategies within multiple U.S. business cycles and up/down market conditions. We use a transparent, easy to follow approach, to get a more comprehensive explanation of HF performance. In addition, unlike previous studies, we do not use only one general commodity factor but many specific ones. </w:t>
      </w:r>
      <w:r w:rsidR="000C6D4F" w:rsidRPr="00A13719">
        <w:rPr>
          <w:rFonts w:cs="Times New Roman"/>
          <w:szCs w:val="24"/>
        </w:rPr>
        <w:t xml:space="preserve">This is important because, as suggested by Bhardwaj and Dunsby (2012), commodities cannot all be considered to behave in the same way in the market. In addition, we use a commodity factor related to the agriculture/food industry, as we do not expect that it fluctuates a lot during business cycles; also it is a factor that has not been given attention in the HF academic literature. </w:t>
      </w:r>
      <w:r w:rsidRPr="00A13719">
        <w:rPr>
          <w:rFonts w:cs="Times New Roman"/>
          <w:szCs w:val="24"/>
        </w:rPr>
        <w:t xml:space="preserve"> Moreover, we use a customized </w:t>
      </w:r>
      <w:r w:rsidRPr="00A13719">
        <w:rPr>
          <w:rFonts w:cs="Times New Roman"/>
          <w:szCs w:val="24"/>
        </w:rPr>
        <w:lastRenderedPageBreak/>
        <w:t>parsimonious model that tackles the “dimensionality” reduction issue in HFs and can accurately capture changes in asset and portfolio allocations for each strategy within different conditions. This helps investors to know what to expect from different strategies, especially during multiple stressful financial conditions. Furthermore, we perform a systematic database merging and cleaning approach that can be used as a benchmark for future studies since this is not a trivial process that can be followed easily. Also, our study helps fund administrators to apply more flexible fee policies considering changing market conditions.</w:t>
      </w:r>
    </w:p>
    <w:p w:rsidR="00520B8E" w:rsidRPr="00A13719" w:rsidRDefault="00520B8E" w:rsidP="00595595">
      <w:pPr>
        <w:jc w:val="both"/>
        <w:rPr>
          <w:rFonts w:eastAsiaTheme="minorEastAsia"/>
          <w:lang w:val="en-US"/>
        </w:rPr>
      </w:pPr>
      <w:r w:rsidRPr="00A13719">
        <w:rPr>
          <w:rFonts w:cs="Times New Roman"/>
          <w:szCs w:val="24"/>
        </w:rPr>
        <w:t xml:space="preserve">In this study we have </w:t>
      </w:r>
      <w:r w:rsidR="00BB6619" w:rsidRPr="00A13719">
        <w:rPr>
          <w:rFonts w:cs="Times New Roman"/>
          <w:szCs w:val="24"/>
        </w:rPr>
        <w:t xml:space="preserve">several </w:t>
      </w:r>
      <w:r w:rsidRPr="00A13719">
        <w:rPr>
          <w:rFonts w:cs="Times New Roman"/>
          <w:szCs w:val="24"/>
        </w:rPr>
        <w:t>interesting results. First, during bad times most HF strategies do not provide significant alphas and fund managers are concerned with minimizing their risk. At such times HF strategies have fewer exposures in terms of different asset classes and portfolio allocations and some strategies even reverse their exposures. During ‘good’ times fund managers focus more on delivering high returns, increase their systematic risk and exploit the upward market movement. Second, more directional strategies have, on average, more common exposures within different market conditions compared to less directional strategies that by nature have more systematic risk. Third, factors related to commodity asset classes (e.g. agriculture, energy and industrial metals factors) are more common (in addition to the market factor) during ‘bad’ times, whereas factors related to equity asset classes (e.g. market, momentum, small minus big and high minus low factors) are most common during ‘good’ times. Fourth, market volatility appears to affect HF performance more than business cycle volatility does. We use a battery of robustness tests and our findings are still valid</w:t>
      </w:r>
      <w:r w:rsidR="002E2C2C" w:rsidRPr="00A13719">
        <w:rPr>
          <w:rFonts w:eastAsiaTheme="minorEastAsia"/>
          <w:lang w:val="en-US"/>
        </w:rPr>
        <w:t>.</w:t>
      </w:r>
      <w:r w:rsidR="006D6451" w:rsidRPr="00A13719">
        <w:rPr>
          <w:rFonts w:eastAsiaTheme="minorEastAsia"/>
          <w:lang w:val="en-US"/>
        </w:rPr>
        <w:t xml:space="preserve">  </w:t>
      </w:r>
    </w:p>
    <w:p w:rsidR="003E78DA" w:rsidRPr="00A13719" w:rsidRDefault="003549C5" w:rsidP="00D24081">
      <w:pPr>
        <w:jc w:val="both"/>
        <w:rPr>
          <w:rFonts w:eastAsiaTheme="minorEastAsia"/>
          <w:lang w:val="en-US"/>
        </w:rPr>
      </w:pPr>
      <w:r w:rsidRPr="00A13719">
        <w:rPr>
          <w:rFonts w:eastAsiaTheme="minorEastAsia"/>
          <w:lang w:val="en-US"/>
        </w:rPr>
        <w:t xml:space="preserve">The outline of the paper is as follows. </w:t>
      </w:r>
      <w:r w:rsidR="00040DC7" w:rsidRPr="00A13719">
        <w:rPr>
          <w:rFonts w:eastAsiaTheme="minorEastAsia"/>
          <w:lang w:val="en-US"/>
        </w:rPr>
        <w:t>The</w:t>
      </w:r>
      <w:r w:rsidR="00676284" w:rsidRPr="00A13719">
        <w:rPr>
          <w:rFonts w:eastAsiaTheme="minorEastAsia"/>
          <w:lang w:val="en-US"/>
        </w:rPr>
        <w:t xml:space="preserve"> next section</w:t>
      </w:r>
      <w:r w:rsidR="00156FB0" w:rsidRPr="00A13719">
        <w:rPr>
          <w:rFonts w:eastAsiaTheme="minorEastAsia"/>
          <w:lang w:val="en-US"/>
        </w:rPr>
        <w:t xml:space="preserve"> briefly</w:t>
      </w:r>
      <w:r w:rsidR="00676284" w:rsidRPr="00A13719">
        <w:rPr>
          <w:rFonts w:eastAsiaTheme="minorEastAsia"/>
          <w:lang w:val="en-US"/>
        </w:rPr>
        <w:t xml:space="preserve"> </w:t>
      </w:r>
      <w:r w:rsidR="00300CA3" w:rsidRPr="00A13719">
        <w:rPr>
          <w:rFonts w:eastAsiaTheme="minorEastAsia"/>
          <w:lang w:val="en-US"/>
        </w:rPr>
        <w:t>review</w:t>
      </w:r>
      <w:r w:rsidR="00040DC7" w:rsidRPr="00A13719">
        <w:rPr>
          <w:rFonts w:eastAsiaTheme="minorEastAsia"/>
          <w:lang w:val="en-US"/>
        </w:rPr>
        <w:t>s</w:t>
      </w:r>
      <w:r w:rsidR="00E75F91" w:rsidRPr="00A13719">
        <w:rPr>
          <w:rFonts w:eastAsiaTheme="minorEastAsia"/>
          <w:lang w:val="en-US"/>
        </w:rPr>
        <w:t xml:space="preserve"> the </w:t>
      </w:r>
      <w:r w:rsidR="00300CA3" w:rsidRPr="00A13719">
        <w:rPr>
          <w:rFonts w:eastAsiaTheme="minorEastAsia"/>
          <w:lang w:val="en-US"/>
        </w:rPr>
        <w:t xml:space="preserve">relevant </w:t>
      </w:r>
      <w:r w:rsidR="00E75F91" w:rsidRPr="00A13719">
        <w:rPr>
          <w:rFonts w:eastAsiaTheme="minorEastAsia"/>
          <w:lang w:val="en-US"/>
        </w:rPr>
        <w:t>literature</w:t>
      </w:r>
      <w:r w:rsidR="00300CA3" w:rsidRPr="00A13719">
        <w:rPr>
          <w:rFonts w:eastAsiaTheme="minorEastAsia"/>
          <w:lang w:val="en-US"/>
        </w:rPr>
        <w:t>.</w:t>
      </w:r>
      <w:r w:rsidR="00E75F91" w:rsidRPr="00A13719">
        <w:rPr>
          <w:rFonts w:eastAsiaTheme="minorEastAsia"/>
          <w:lang w:val="en-US"/>
        </w:rPr>
        <w:t xml:space="preserve"> </w:t>
      </w:r>
      <w:r w:rsidR="00300CA3" w:rsidRPr="00A13719">
        <w:rPr>
          <w:rFonts w:eastAsiaTheme="minorEastAsia"/>
          <w:lang w:val="en-US"/>
        </w:rPr>
        <w:t>Section 3 presents</w:t>
      </w:r>
      <w:r w:rsidR="00676284" w:rsidRPr="00A13719">
        <w:rPr>
          <w:rFonts w:eastAsiaTheme="minorEastAsia"/>
          <w:lang w:val="en-US"/>
        </w:rPr>
        <w:t xml:space="preserve"> </w:t>
      </w:r>
      <w:r w:rsidR="00E75F91" w:rsidRPr="00A13719">
        <w:rPr>
          <w:rFonts w:eastAsiaTheme="minorEastAsia"/>
          <w:lang w:val="en-US"/>
        </w:rPr>
        <w:t>our empirical specification</w:t>
      </w:r>
      <w:r w:rsidR="00676284" w:rsidRPr="00A13719">
        <w:rPr>
          <w:rFonts w:eastAsiaTheme="minorEastAsia"/>
          <w:lang w:val="en-US"/>
        </w:rPr>
        <w:t xml:space="preserve"> </w:t>
      </w:r>
      <w:r w:rsidR="00300CA3" w:rsidRPr="00A13719">
        <w:rPr>
          <w:rFonts w:eastAsiaTheme="minorEastAsia"/>
          <w:lang w:val="en-US"/>
        </w:rPr>
        <w:t xml:space="preserve">and </w:t>
      </w:r>
      <w:r w:rsidR="00156FB0" w:rsidRPr="00A13719">
        <w:rPr>
          <w:rFonts w:eastAsiaTheme="minorEastAsia"/>
          <w:lang w:val="en-US"/>
        </w:rPr>
        <w:t xml:space="preserve">describes </w:t>
      </w:r>
      <w:r w:rsidR="00300CA3" w:rsidRPr="00A13719">
        <w:rPr>
          <w:rFonts w:eastAsiaTheme="minorEastAsia"/>
          <w:lang w:val="en-US"/>
        </w:rPr>
        <w:t>the data used in our analysis.</w:t>
      </w:r>
      <w:r w:rsidR="00676284" w:rsidRPr="00A13719">
        <w:rPr>
          <w:rFonts w:eastAsiaTheme="minorEastAsia"/>
          <w:lang w:val="en-US"/>
        </w:rPr>
        <w:t xml:space="preserve"> </w:t>
      </w:r>
      <w:r w:rsidR="00156FB0" w:rsidRPr="00A13719">
        <w:rPr>
          <w:rFonts w:eastAsiaTheme="minorEastAsia"/>
          <w:lang w:val="en-US"/>
        </w:rPr>
        <w:t xml:space="preserve">Section 4 empirically </w:t>
      </w:r>
      <w:r w:rsidR="00300CA3" w:rsidRPr="00A13719">
        <w:rPr>
          <w:rFonts w:eastAsiaTheme="minorEastAsia"/>
          <w:lang w:val="en-US"/>
        </w:rPr>
        <w:t>estimates our model</w:t>
      </w:r>
      <w:r w:rsidR="00156FB0" w:rsidRPr="00A13719">
        <w:rPr>
          <w:rFonts w:eastAsiaTheme="minorEastAsia"/>
          <w:lang w:val="en-US"/>
        </w:rPr>
        <w:t xml:space="preserve"> and</w:t>
      </w:r>
      <w:r w:rsidR="00300CA3" w:rsidRPr="00A13719">
        <w:rPr>
          <w:rFonts w:eastAsiaTheme="minorEastAsia"/>
          <w:lang w:val="en-US"/>
        </w:rPr>
        <w:t xml:space="preserve"> discuss</w:t>
      </w:r>
      <w:r w:rsidR="00156FB0" w:rsidRPr="00A13719">
        <w:rPr>
          <w:rFonts w:eastAsiaTheme="minorEastAsia"/>
          <w:lang w:val="en-US"/>
        </w:rPr>
        <w:t>es</w:t>
      </w:r>
      <w:r w:rsidR="00300CA3" w:rsidRPr="00A13719">
        <w:rPr>
          <w:rFonts w:eastAsiaTheme="minorEastAsia"/>
          <w:lang w:val="en-US"/>
        </w:rPr>
        <w:t xml:space="preserve"> the implication</w:t>
      </w:r>
      <w:r w:rsidR="00156FB0" w:rsidRPr="00A13719">
        <w:rPr>
          <w:rFonts w:eastAsiaTheme="minorEastAsia"/>
          <w:lang w:val="en-US"/>
        </w:rPr>
        <w:t>s</w:t>
      </w:r>
      <w:r w:rsidR="00300CA3" w:rsidRPr="00A13719">
        <w:rPr>
          <w:rFonts w:eastAsiaTheme="minorEastAsia"/>
          <w:lang w:val="en-US"/>
        </w:rPr>
        <w:t xml:space="preserve"> of the results along with </w:t>
      </w:r>
      <w:r w:rsidR="009A0DED" w:rsidRPr="00A13719">
        <w:rPr>
          <w:rFonts w:eastAsiaTheme="minorEastAsia"/>
          <w:lang w:val="en-US"/>
        </w:rPr>
        <w:t>a battery of</w:t>
      </w:r>
      <w:r w:rsidR="00300CA3" w:rsidRPr="00A13719">
        <w:rPr>
          <w:rFonts w:eastAsiaTheme="minorEastAsia"/>
          <w:lang w:val="en-US"/>
        </w:rPr>
        <w:t xml:space="preserve"> robustness </w:t>
      </w:r>
      <w:r w:rsidR="009A0DED" w:rsidRPr="00A13719">
        <w:rPr>
          <w:rFonts w:eastAsiaTheme="minorEastAsia"/>
          <w:lang w:val="en-US"/>
        </w:rPr>
        <w:t>checks</w:t>
      </w:r>
      <w:r w:rsidR="00300CA3" w:rsidRPr="00A13719">
        <w:rPr>
          <w:rFonts w:eastAsiaTheme="minorEastAsia"/>
          <w:lang w:val="en-US"/>
        </w:rPr>
        <w:t>. Section 5 concludes the paper.</w:t>
      </w:r>
      <w:r w:rsidR="006D2C92" w:rsidRPr="00A13719">
        <w:rPr>
          <w:rFonts w:eastAsiaTheme="minorEastAsia"/>
          <w:lang w:val="en-US"/>
        </w:rPr>
        <w:t xml:space="preserve"> </w:t>
      </w:r>
    </w:p>
    <w:p w:rsidR="00331FE3" w:rsidRPr="00A13719" w:rsidRDefault="00331FE3" w:rsidP="00331FE3">
      <w:pPr>
        <w:pStyle w:val="Heading1"/>
        <w:jc w:val="left"/>
        <w:rPr>
          <w:lang w:val="en-US"/>
        </w:rPr>
      </w:pPr>
      <w:r w:rsidRPr="00A13719">
        <w:rPr>
          <w:lang w:val="en-US"/>
        </w:rPr>
        <w:t>Literature Review</w:t>
      </w:r>
    </w:p>
    <w:p w:rsidR="006047EC" w:rsidRPr="00A13719" w:rsidRDefault="00E3001B" w:rsidP="00542EA5">
      <w:pPr>
        <w:jc w:val="both"/>
        <w:rPr>
          <w:rFonts w:eastAsiaTheme="minorEastAsia"/>
          <w:lang w:val="en-US"/>
        </w:rPr>
      </w:pPr>
      <w:r w:rsidRPr="00A13719">
        <w:rPr>
          <w:rFonts w:eastAsiaTheme="minorEastAsia"/>
          <w:lang w:val="en-US"/>
        </w:rPr>
        <w:t>T</w:t>
      </w:r>
      <w:r w:rsidR="006047EC" w:rsidRPr="00A13719">
        <w:rPr>
          <w:rFonts w:eastAsiaTheme="minorEastAsia"/>
          <w:lang w:val="en-US"/>
        </w:rPr>
        <w:t xml:space="preserve">his section </w:t>
      </w:r>
      <w:r w:rsidR="00EF4EB9" w:rsidRPr="00A13719">
        <w:rPr>
          <w:rFonts w:eastAsiaTheme="minorEastAsia"/>
          <w:lang w:val="en-US"/>
        </w:rPr>
        <w:t>present</w:t>
      </w:r>
      <w:r w:rsidRPr="00A13719">
        <w:rPr>
          <w:rFonts w:eastAsiaTheme="minorEastAsia"/>
          <w:lang w:val="en-US"/>
        </w:rPr>
        <w:t>s</w:t>
      </w:r>
      <w:r w:rsidR="00EF4EB9" w:rsidRPr="00A13719">
        <w:rPr>
          <w:rFonts w:eastAsiaTheme="minorEastAsia"/>
          <w:lang w:val="en-US"/>
        </w:rPr>
        <w:t xml:space="preserve"> the relevant literature associated with HF performance. </w:t>
      </w:r>
      <w:r w:rsidR="001F20EF" w:rsidRPr="00A13719">
        <w:rPr>
          <w:rFonts w:eastAsiaTheme="minorEastAsia"/>
          <w:lang w:val="en-US"/>
        </w:rPr>
        <w:t xml:space="preserve">We consider </w:t>
      </w:r>
      <w:r w:rsidR="00F51F58" w:rsidRPr="00A13719">
        <w:rPr>
          <w:rFonts w:eastAsiaTheme="minorEastAsia"/>
          <w:lang w:val="en-US"/>
        </w:rPr>
        <w:t xml:space="preserve">mostly </w:t>
      </w:r>
      <w:r w:rsidR="001F20EF" w:rsidRPr="00A13719">
        <w:rPr>
          <w:rFonts w:eastAsiaTheme="minorEastAsia"/>
          <w:lang w:val="en-US"/>
        </w:rPr>
        <w:t>studies that follow the down-up and up-down approaches</w:t>
      </w:r>
      <w:r w:rsidR="00F61E9F" w:rsidRPr="00A13719">
        <w:rPr>
          <w:rFonts w:eastAsiaTheme="minorEastAsia"/>
          <w:lang w:val="en-US"/>
        </w:rPr>
        <w:t>, also</w:t>
      </w:r>
      <w:r w:rsidR="001F20EF" w:rsidRPr="00A13719">
        <w:rPr>
          <w:rFonts w:eastAsiaTheme="minorEastAsia"/>
          <w:lang w:val="en-US"/>
        </w:rPr>
        <w:t xml:space="preserve"> </w:t>
      </w:r>
      <w:r w:rsidR="000D789C" w:rsidRPr="00A13719">
        <w:rPr>
          <w:rFonts w:eastAsiaTheme="minorEastAsia"/>
          <w:lang w:val="en-US"/>
        </w:rPr>
        <w:t xml:space="preserve">including studies that consider methodological issues and structural breaks, </w:t>
      </w:r>
      <w:r w:rsidR="00F61E9F" w:rsidRPr="00A13719">
        <w:rPr>
          <w:rFonts w:eastAsiaTheme="minorEastAsia"/>
          <w:lang w:val="en-US"/>
        </w:rPr>
        <w:t xml:space="preserve">as </w:t>
      </w:r>
      <w:r w:rsidR="000D789C" w:rsidRPr="00A13719">
        <w:rPr>
          <w:rFonts w:eastAsiaTheme="minorEastAsia"/>
          <w:lang w:val="en-US"/>
        </w:rPr>
        <w:t>explained later in this section.</w:t>
      </w:r>
    </w:p>
    <w:p w:rsidR="00542EA5" w:rsidRPr="00A13719" w:rsidRDefault="00542EA5" w:rsidP="00542EA5">
      <w:pPr>
        <w:jc w:val="both"/>
        <w:rPr>
          <w:rFonts w:eastAsiaTheme="minorEastAsia"/>
          <w:lang w:val="en-US"/>
        </w:rPr>
      </w:pPr>
      <w:r w:rsidRPr="00A13719">
        <w:rPr>
          <w:rFonts w:eastAsiaTheme="minorEastAsia"/>
          <w:lang w:val="en-US"/>
        </w:rPr>
        <w:lastRenderedPageBreak/>
        <w:t xml:space="preserve">Early studies (such as Sharpe, 1992) explained </w:t>
      </w:r>
      <w:r w:rsidR="004A44CC" w:rsidRPr="00A13719">
        <w:rPr>
          <w:rFonts w:eastAsiaTheme="minorEastAsia"/>
          <w:lang w:val="en-US"/>
        </w:rPr>
        <w:t>HF</w:t>
      </w:r>
      <w:r w:rsidRPr="00A13719">
        <w:rPr>
          <w:rFonts w:eastAsiaTheme="minorEastAsia"/>
          <w:lang w:val="en-US"/>
        </w:rPr>
        <w:t xml:space="preserve">s in a linear framework. However there was soon a development toward non-linear models that explained the non-linear payoffs of </w:t>
      </w:r>
      <w:r w:rsidR="004A44CC" w:rsidRPr="00A13719">
        <w:rPr>
          <w:rFonts w:eastAsiaTheme="minorEastAsia"/>
          <w:lang w:val="en-US"/>
        </w:rPr>
        <w:t>HF</w:t>
      </w:r>
      <w:r w:rsidRPr="00A13719">
        <w:rPr>
          <w:rFonts w:eastAsiaTheme="minorEastAsia"/>
          <w:lang w:val="en-US"/>
        </w:rPr>
        <w:t xml:space="preserve"> returns following the down-up approach. This approach begins with the underlying assets to find the sources of </w:t>
      </w:r>
      <w:r w:rsidR="004A44CC" w:rsidRPr="00A13719">
        <w:rPr>
          <w:rFonts w:eastAsiaTheme="minorEastAsia"/>
          <w:lang w:val="en-US"/>
        </w:rPr>
        <w:t>HF</w:t>
      </w:r>
      <w:r w:rsidRPr="00A13719">
        <w:rPr>
          <w:rFonts w:eastAsiaTheme="minorEastAsia"/>
          <w:lang w:val="en-US"/>
        </w:rPr>
        <w:t xml:space="preserve"> returns and involves </w:t>
      </w:r>
      <w:r w:rsidR="004A44CC" w:rsidRPr="00A13719">
        <w:rPr>
          <w:rFonts w:eastAsiaTheme="minorEastAsia"/>
          <w:lang w:val="en-US"/>
        </w:rPr>
        <w:t>HF</w:t>
      </w:r>
      <w:r w:rsidRPr="00A13719">
        <w:rPr>
          <w:rFonts w:eastAsiaTheme="minorEastAsia"/>
          <w:lang w:val="en-US"/>
        </w:rPr>
        <w:t xml:space="preserve"> replication portfolios by trading in the corresponding securities. These trading constructed factors are specified as asset-based style (ABS) factors (Fund and Hsieh, 2002). We </w:t>
      </w:r>
      <w:r w:rsidR="00BF6863" w:rsidRPr="00A13719">
        <w:rPr>
          <w:rFonts w:eastAsiaTheme="minorEastAsia"/>
          <w:lang w:val="en-US"/>
        </w:rPr>
        <w:t>distinguish</w:t>
      </w:r>
      <w:r w:rsidRPr="00A13719">
        <w:rPr>
          <w:rFonts w:eastAsiaTheme="minorEastAsia"/>
          <w:lang w:val="en-US"/>
        </w:rPr>
        <w:t xml:space="preserve"> studies that explained </w:t>
      </w:r>
      <w:r w:rsidR="004A44CC" w:rsidRPr="00A13719">
        <w:rPr>
          <w:rFonts w:eastAsiaTheme="minorEastAsia"/>
          <w:lang w:val="en-US"/>
        </w:rPr>
        <w:t>HF</w:t>
      </w:r>
      <w:r w:rsidRPr="00A13719">
        <w:rPr>
          <w:rFonts w:eastAsiaTheme="minorEastAsia"/>
          <w:lang w:val="en-US"/>
        </w:rPr>
        <w:t xml:space="preserve">s through option portfolios and trend followers (Fung and Hsieh 2001, 2002, 2004) and option-based buy and hold strategies (Agarwal and Naik, 2000, 2004) or studies that showed that the so-called market neutral strategies are not so neutral for investors (Duarte, Longstaff, and Yu, 2007). Although important, these studies do not significantly help investors to choose and evaluate </w:t>
      </w:r>
      <w:r w:rsidR="004A44CC" w:rsidRPr="00A13719">
        <w:rPr>
          <w:rFonts w:eastAsiaTheme="minorEastAsia"/>
          <w:lang w:val="en-US"/>
        </w:rPr>
        <w:t>HF</w:t>
      </w:r>
      <w:r w:rsidRPr="00A13719">
        <w:rPr>
          <w:rFonts w:eastAsiaTheme="minorEastAsia"/>
          <w:lang w:val="en-US"/>
        </w:rPr>
        <w:t xml:space="preserve">s for </w:t>
      </w:r>
      <w:r w:rsidR="00E23B16" w:rsidRPr="00A13719">
        <w:rPr>
          <w:rFonts w:eastAsiaTheme="minorEastAsia"/>
          <w:lang w:val="en-US"/>
        </w:rPr>
        <w:t>three</w:t>
      </w:r>
      <w:r w:rsidRPr="00A13719">
        <w:rPr>
          <w:rFonts w:eastAsiaTheme="minorEastAsia"/>
          <w:lang w:val="en-US"/>
        </w:rPr>
        <w:t xml:space="preserve"> reasons. First, these exposures are not static and change over time (as we show later). Second, the factors are not easy for investors to replicate (e.g. lookback straddles</w:t>
      </w:r>
      <w:r w:rsidRPr="00A13719">
        <w:rPr>
          <w:rStyle w:val="FootnoteReference"/>
          <w:lang w:val="en-US"/>
        </w:rPr>
        <w:footnoteReference w:id="5"/>
      </w:r>
      <w:r w:rsidRPr="00A13719">
        <w:rPr>
          <w:rFonts w:eastAsiaTheme="minorEastAsia"/>
          <w:lang w:val="en-US"/>
        </w:rPr>
        <w:t xml:space="preserve">). Third, some strategies (e.g. global macro or multi-strategy) are not well defined, and thus are difficult to replicate. </w:t>
      </w:r>
    </w:p>
    <w:p w:rsidR="00542EA5" w:rsidRPr="00A13719" w:rsidRDefault="00C241DA" w:rsidP="00542EA5">
      <w:pPr>
        <w:jc w:val="both"/>
        <w:rPr>
          <w:rFonts w:eastAsiaTheme="minorEastAsia"/>
          <w:lang w:val="en-US"/>
        </w:rPr>
      </w:pPr>
      <w:r w:rsidRPr="00A13719">
        <w:rPr>
          <w:rFonts w:eastAsiaTheme="minorEastAsia"/>
          <w:lang w:val="en-US"/>
        </w:rPr>
        <w:t>The</w:t>
      </w:r>
      <w:r w:rsidR="00542EA5" w:rsidRPr="00A13719">
        <w:rPr>
          <w:rFonts w:eastAsiaTheme="minorEastAsia"/>
          <w:lang w:val="en-US"/>
        </w:rPr>
        <w:t xml:space="preserve"> </w:t>
      </w:r>
      <w:r w:rsidRPr="00A13719">
        <w:rPr>
          <w:rFonts w:eastAsiaTheme="minorEastAsia"/>
          <w:lang w:val="en-US"/>
        </w:rPr>
        <w:t xml:space="preserve">up-down </w:t>
      </w:r>
      <w:r w:rsidR="00542EA5" w:rsidRPr="00A13719">
        <w:rPr>
          <w:rFonts w:eastAsiaTheme="minorEastAsia"/>
          <w:lang w:val="en-US"/>
        </w:rPr>
        <w:t xml:space="preserve">approach begins with identifying the sources of </w:t>
      </w:r>
      <w:r w:rsidR="004A44CC" w:rsidRPr="00A13719">
        <w:rPr>
          <w:rFonts w:eastAsiaTheme="minorEastAsia"/>
          <w:lang w:val="en-US"/>
        </w:rPr>
        <w:t>HF</w:t>
      </w:r>
      <w:r w:rsidR="00542EA5" w:rsidRPr="00A13719">
        <w:rPr>
          <w:rFonts w:eastAsiaTheme="minorEastAsia"/>
          <w:lang w:val="en-US"/>
        </w:rPr>
        <w:t xml:space="preserve"> returns and relates pre-specified risk factors for </w:t>
      </w:r>
      <w:r w:rsidR="004A44CC" w:rsidRPr="00A13719">
        <w:rPr>
          <w:rFonts w:eastAsiaTheme="minorEastAsia"/>
          <w:lang w:val="en-US"/>
        </w:rPr>
        <w:t>HF</w:t>
      </w:r>
      <w:r w:rsidR="00542EA5" w:rsidRPr="00A13719">
        <w:rPr>
          <w:rFonts w:eastAsiaTheme="minorEastAsia"/>
          <w:lang w:val="en-US"/>
        </w:rPr>
        <w:t xml:space="preserve"> performance attribution, and consists of two streams</w:t>
      </w:r>
      <w:r w:rsidR="00156FB0" w:rsidRPr="00A13719">
        <w:rPr>
          <w:rFonts w:eastAsiaTheme="minorEastAsia"/>
          <w:lang w:val="en-US"/>
        </w:rPr>
        <w:t>. T</w:t>
      </w:r>
      <w:r w:rsidR="00542EA5" w:rsidRPr="00A13719">
        <w:rPr>
          <w:rFonts w:eastAsiaTheme="minorEastAsia"/>
          <w:lang w:val="en-US"/>
        </w:rPr>
        <w:t xml:space="preserve">he first uses additional refined factors that better explain </w:t>
      </w:r>
      <w:r w:rsidR="004A44CC" w:rsidRPr="00A13719">
        <w:rPr>
          <w:rFonts w:eastAsiaTheme="minorEastAsia"/>
          <w:lang w:val="en-US"/>
        </w:rPr>
        <w:t>HF</w:t>
      </w:r>
      <w:r w:rsidR="00542EA5" w:rsidRPr="00A13719">
        <w:rPr>
          <w:rFonts w:eastAsiaTheme="minorEastAsia"/>
          <w:lang w:val="en-US"/>
        </w:rPr>
        <w:t xml:space="preserve"> returns</w:t>
      </w:r>
      <w:r w:rsidR="00156FB0" w:rsidRPr="00A13719">
        <w:rPr>
          <w:rFonts w:eastAsiaTheme="minorEastAsia"/>
          <w:lang w:val="en-US"/>
        </w:rPr>
        <w:t>. T</w:t>
      </w:r>
      <w:r w:rsidR="00542EA5" w:rsidRPr="00A13719">
        <w:rPr>
          <w:rFonts w:eastAsiaTheme="minorEastAsia"/>
          <w:lang w:val="en-US"/>
        </w:rPr>
        <w:t xml:space="preserve">he second stream, which can be regarded as an extension of the first, deals with methodological issues and funds’ structural breaks. Although both streams use more advanced econometric techniques (e.g. regime-switching models) and confirmed previous studies that </w:t>
      </w:r>
      <w:r w:rsidR="004A44CC" w:rsidRPr="00A13719">
        <w:rPr>
          <w:rFonts w:eastAsiaTheme="minorEastAsia"/>
          <w:lang w:val="en-US"/>
        </w:rPr>
        <w:t>HF</w:t>
      </w:r>
      <w:r w:rsidR="00542EA5" w:rsidRPr="00A13719">
        <w:rPr>
          <w:rFonts w:eastAsiaTheme="minorEastAsia"/>
          <w:lang w:val="en-US"/>
        </w:rPr>
        <w:t xml:space="preserve">s have nonlinear returns and exposures, there remain significant gaps in many of the non-linear models mentioned above which we address in this paper. In particular, these non-linear models are not enough sufficient or cannot completely describe the changing exposures across different business cycles and market conditions (many of them just use specific macro variables or isolate a specific crisis/event). Moreover a single model is not sufficient to describe all </w:t>
      </w:r>
      <w:r w:rsidR="0014687D" w:rsidRPr="00A13719">
        <w:rPr>
          <w:rFonts w:eastAsiaTheme="minorEastAsia"/>
          <w:lang w:val="en-US"/>
        </w:rPr>
        <w:t>HF</w:t>
      </w:r>
      <w:r w:rsidR="00542EA5" w:rsidRPr="00A13719">
        <w:rPr>
          <w:rFonts w:eastAsiaTheme="minorEastAsia"/>
          <w:lang w:val="en-US"/>
        </w:rPr>
        <w:t xml:space="preserve"> strategies or conditions because it is over-simplistic. The single general commodity factor used to date is very broad, and (as we show later) </w:t>
      </w:r>
      <w:r w:rsidR="0014687D" w:rsidRPr="00A13719">
        <w:rPr>
          <w:rFonts w:eastAsiaTheme="minorEastAsia"/>
          <w:lang w:val="en-US"/>
        </w:rPr>
        <w:t>HF</w:t>
      </w:r>
      <w:r w:rsidR="00542EA5" w:rsidRPr="00A13719">
        <w:rPr>
          <w:rFonts w:eastAsiaTheme="minorEastAsia"/>
          <w:lang w:val="en-US"/>
        </w:rPr>
        <w:t xml:space="preserve"> managers following many strategies switch from equities into</w:t>
      </w:r>
      <w:r w:rsidR="003519FE" w:rsidRPr="00A13719">
        <w:rPr>
          <w:rFonts w:eastAsiaTheme="minorEastAsia"/>
          <w:lang w:val="en-US"/>
        </w:rPr>
        <w:t xml:space="preserve"> commodities during hard times.</w:t>
      </w:r>
      <w:r w:rsidR="00542EA5" w:rsidRPr="00A13719">
        <w:rPr>
          <w:rFonts w:eastAsiaTheme="minorEastAsia"/>
          <w:lang w:val="en-US"/>
        </w:rPr>
        <w:t xml:space="preserve">  </w:t>
      </w:r>
    </w:p>
    <w:p w:rsidR="00542EA5" w:rsidRPr="00A13719" w:rsidRDefault="00542EA5" w:rsidP="00542EA5">
      <w:pPr>
        <w:jc w:val="both"/>
        <w:rPr>
          <w:rFonts w:eastAsiaTheme="minorEastAsia"/>
          <w:lang w:val="en-US"/>
        </w:rPr>
      </w:pPr>
      <w:r w:rsidRPr="00A13719">
        <w:rPr>
          <w:rFonts w:eastAsiaTheme="minorEastAsia"/>
          <w:lang w:val="en-US"/>
        </w:rPr>
        <w:t xml:space="preserve">In the first stream of the up-down approach, we distinguish studies from Bali, Brown and Caglayan (2011, 2014) and Avramov, Barras, and Kosowski (2013). Bali et al. (2011) found that there is a positive correlation between </w:t>
      </w:r>
      <w:r w:rsidR="0014687D" w:rsidRPr="00A13719">
        <w:rPr>
          <w:rFonts w:eastAsiaTheme="minorEastAsia"/>
          <w:lang w:val="en-US"/>
        </w:rPr>
        <w:t>HF</w:t>
      </w:r>
      <w:r w:rsidRPr="00A13719">
        <w:rPr>
          <w:rFonts w:eastAsiaTheme="minorEastAsia"/>
          <w:lang w:val="en-US"/>
        </w:rPr>
        <w:t xml:space="preserve"> exposure to default risk premium and </w:t>
      </w:r>
      <w:r w:rsidR="0014687D" w:rsidRPr="00A13719">
        <w:rPr>
          <w:rFonts w:eastAsiaTheme="minorEastAsia"/>
          <w:lang w:val="en-US"/>
        </w:rPr>
        <w:t>HF</w:t>
      </w:r>
      <w:r w:rsidRPr="00A13719">
        <w:rPr>
          <w:rFonts w:eastAsiaTheme="minorEastAsia"/>
          <w:lang w:val="en-US"/>
        </w:rPr>
        <w:t xml:space="preserve"> returns, </w:t>
      </w:r>
      <w:r w:rsidRPr="00A13719">
        <w:rPr>
          <w:rFonts w:eastAsiaTheme="minorEastAsia"/>
          <w:lang w:val="en-US"/>
        </w:rPr>
        <w:lastRenderedPageBreak/>
        <w:t xml:space="preserve">meaning that risk premia on risky assets are negatively correlated with present economic activity. Moreover, </w:t>
      </w:r>
      <w:r w:rsidR="0014687D" w:rsidRPr="00A13719">
        <w:rPr>
          <w:rFonts w:eastAsiaTheme="minorEastAsia"/>
          <w:lang w:val="en-US"/>
        </w:rPr>
        <w:t>HF</w:t>
      </w:r>
      <w:r w:rsidRPr="00A13719">
        <w:rPr>
          <w:rFonts w:eastAsiaTheme="minorEastAsia"/>
          <w:lang w:val="en-US"/>
        </w:rPr>
        <w:t>s with lower exposure to inflation derive higher returns in the future. Extending their previous work in 2011 Bali et al. (2014) found that macroeconomic risk factors such as default spread, term spread, short-term interest rates changes, aggregate dividend yield, equity market index, inflation rate, unemployment rate, and the growth rate of real gross domestic product per capital,</w:t>
      </w:r>
      <w:r w:rsidRPr="00A13719">
        <w:t xml:space="preserve"> </w:t>
      </w:r>
      <w:r w:rsidRPr="00A13719">
        <w:rPr>
          <w:rFonts w:eastAsiaTheme="minorEastAsia"/>
          <w:lang w:val="en-US"/>
        </w:rPr>
        <w:t xml:space="preserve">are more powerful determinant on </w:t>
      </w:r>
      <w:r w:rsidR="0014687D" w:rsidRPr="00A13719">
        <w:rPr>
          <w:rFonts w:eastAsiaTheme="minorEastAsia"/>
          <w:lang w:val="en-US"/>
        </w:rPr>
        <w:t>HF</w:t>
      </w:r>
      <w:r w:rsidRPr="00A13719">
        <w:rPr>
          <w:rFonts w:eastAsiaTheme="minorEastAsia"/>
          <w:lang w:val="en-US"/>
        </w:rPr>
        <w:t xml:space="preserve"> returns compared to other factors such as market, momentum, high minus low, especially for directional strategies. Similarly, Avramov et al. (2013), although focusing more on forecasting, showed that macro variables such as </w:t>
      </w:r>
      <w:r w:rsidRPr="00A13719">
        <w:t xml:space="preserve">default spread, dividend yield, VIX index, and net flows in the </w:t>
      </w:r>
      <w:r w:rsidR="0014687D" w:rsidRPr="00A13719">
        <w:t>HF</w:t>
      </w:r>
      <w:r w:rsidRPr="00A13719">
        <w:t xml:space="preserve"> industry can assist in fund return predictability.</w:t>
      </w:r>
      <w:r w:rsidRPr="00A13719">
        <w:rPr>
          <w:rFonts w:eastAsiaTheme="minorEastAsia"/>
          <w:lang w:val="en-US"/>
        </w:rPr>
        <w:t xml:space="preserve"> Ibbotson, Chen, and Zhu (2011) examined </w:t>
      </w:r>
      <w:r w:rsidR="0014687D" w:rsidRPr="00A13719">
        <w:rPr>
          <w:rFonts w:eastAsiaTheme="minorEastAsia"/>
          <w:lang w:val="en-US"/>
        </w:rPr>
        <w:t>HF</w:t>
      </w:r>
      <w:r w:rsidRPr="00A13719">
        <w:rPr>
          <w:rFonts w:eastAsiaTheme="minorEastAsia"/>
          <w:lang w:val="en-US"/>
        </w:rPr>
        <w:t xml:space="preserve"> alphas, exposures and cost in a common framework. Their results showed that the average fund could add value both in bull and bear markets and their exposures were, in genera</w:t>
      </w:r>
      <w:r w:rsidR="003519FE" w:rsidRPr="00A13719">
        <w:rPr>
          <w:rFonts w:eastAsiaTheme="minorEastAsia"/>
          <w:lang w:val="en-US"/>
        </w:rPr>
        <w:t>l, reduced during bear markets.</w:t>
      </w:r>
      <w:r w:rsidRPr="00A13719">
        <w:rPr>
          <w:rFonts w:eastAsiaTheme="minorEastAsia"/>
          <w:lang w:val="en-US"/>
        </w:rPr>
        <w:t xml:space="preserve"> Patton and Ramadorai (2013) discovered patterns where the exposure variation was higher early in the month and then got progressively lower until the reporting date.</w:t>
      </w:r>
    </w:p>
    <w:p w:rsidR="00331FE3" w:rsidRPr="00A13719" w:rsidRDefault="00542EA5" w:rsidP="00D24081">
      <w:pPr>
        <w:jc w:val="both"/>
      </w:pPr>
      <w:r w:rsidRPr="00A13719">
        <w:rPr>
          <w:rFonts w:eastAsiaTheme="minorEastAsia"/>
          <w:lang w:val="en-US"/>
        </w:rPr>
        <w:t xml:space="preserve">Concerning the second stream of the up-down approach, which identifies structural breaks in </w:t>
      </w:r>
      <w:r w:rsidR="0014687D" w:rsidRPr="00A13719">
        <w:rPr>
          <w:rFonts w:eastAsiaTheme="minorEastAsia"/>
          <w:lang w:val="en-US"/>
        </w:rPr>
        <w:t>HF</w:t>
      </w:r>
      <w:r w:rsidRPr="00A13719">
        <w:rPr>
          <w:rFonts w:eastAsiaTheme="minorEastAsia"/>
          <w:lang w:val="en-US"/>
        </w:rPr>
        <w:t>s through the use of advance</w:t>
      </w:r>
      <w:r w:rsidR="00156FB0" w:rsidRPr="00A13719">
        <w:rPr>
          <w:rFonts w:eastAsiaTheme="minorEastAsia"/>
          <w:lang w:val="en-US"/>
        </w:rPr>
        <w:t>d</w:t>
      </w:r>
      <w:r w:rsidRPr="00A13719">
        <w:rPr>
          <w:rFonts w:eastAsiaTheme="minorEastAsia"/>
          <w:lang w:val="en-US"/>
        </w:rPr>
        <w:t xml:space="preserve"> econometric methods</w:t>
      </w:r>
      <w:r w:rsidR="000A4ED6" w:rsidRPr="00A13719">
        <w:rPr>
          <w:rFonts w:eastAsiaTheme="minorEastAsia"/>
          <w:lang w:val="en-US"/>
        </w:rPr>
        <w:t>,</w:t>
      </w:r>
      <w:r w:rsidRPr="00A13719">
        <w:rPr>
          <w:rFonts w:eastAsiaTheme="minorEastAsia"/>
          <w:lang w:val="en-US"/>
        </w:rPr>
        <w:t xml:space="preserve"> an important study is that of Bollen and Whaley (2009). They showed that risk factors change over time and funds that switch their exposures over time outperform their peers. Their model examined just one change-point of </w:t>
      </w:r>
      <w:r w:rsidR="00653042" w:rsidRPr="00A13719">
        <w:rPr>
          <w:rFonts w:eastAsiaTheme="minorEastAsia"/>
          <w:lang w:val="en-US"/>
        </w:rPr>
        <w:t xml:space="preserve">HF </w:t>
      </w:r>
      <w:r w:rsidRPr="00A13719">
        <w:rPr>
          <w:rFonts w:eastAsiaTheme="minorEastAsia"/>
          <w:lang w:val="en-US"/>
        </w:rPr>
        <w:t xml:space="preserve">exposures, in a probabilistic manner. Another interesting study is from Billio, Getmansky and Pelizzon (2012), who found that </w:t>
      </w:r>
      <w:r w:rsidR="0014687D" w:rsidRPr="00A13719">
        <w:rPr>
          <w:rFonts w:eastAsiaTheme="minorEastAsia"/>
          <w:lang w:val="en-US"/>
        </w:rPr>
        <w:t>HF</w:t>
      </w:r>
      <w:r w:rsidRPr="00A13719">
        <w:rPr>
          <w:rFonts w:eastAsiaTheme="minorEastAsia"/>
          <w:lang w:val="en-US"/>
        </w:rPr>
        <w:t xml:space="preserve">s have non-linear exposures beyond the market factor, such as liquidity, volatility, credit, term spreads and commodities. Moreover, during the down regimes, market, credit spread and the spread between small and large cap stock returns are the most common </w:t>
      </w:r>
      <w:r w:rsidR="00653042" w:rsidRPr="00A13719">
        <w:rPr>
          <w:rFonts w:eastAsiaTheme="minorEastAsia"/>
          <w:lang w:val="en-US"/>
        </w:rPr>
        <w:t xml:space="preserve">HF </w:t>
      </w:r>
      <w:r w:rsidR="003519FE" w:rsidRPr="00A13719">
        <w:rPr>
          <w:rFonts w:eastAsiaTheme="minorEastAsia"/>
          <w:lang w:val="en-US"/>
        </w:rPr>
        <w:t>factors.</w:t>
      </w:r>
      <w:r w:rsidRPr="00A13719">
        <w:rPr>
          <w:rFonts w:eastAsiaTheme="minorEastAsia"/>
          <w:lang w:val="en-US"/>
        </w:rPr>
        <w:t xml:space="preserve"> Giannikis and Vrontos (2011), in accordance with the above studies, showed that different strategies present non-linear relationships to different risk factors. </w:t>
      </w:r>
      <w:r w:rsidRPr="00A13719">
        <w:t xml:space="preserve">O’Doherty, Savin, and Tiwari (2015) confirmed that a selection of specific factors (e.g. equity, global and fixed income factors) is able to model </w:t>
      </w:r>
      <w:r w:rsidR="00653042" w:rsidRPr="00A13719">
        <w:rPr>
          <w:rFonts w:eastAsiaTheme="minorEastAsia"/>
          <w:lang w:val="en-US"/>
        </w:rPr>
        <w:t>HF</w:t>
      </w:r>
      <w:r w:rsidRPr="00A13719">
        <w:t>s retu</w:t>
      </w:r>
      <w:r w:rsidR="00314D93" w:rsidRPr="00A13719">
        <w:t xml:space="preserve">rn with a lower error. </w:t>
      </w:r>
      <w:r w:rsidRPr="00A13719">
        <w:t xml:space="preserve">Racicot and Theoret (2016) showed that macroeconomic uncertainty represented by the conditional variances of six macro and financial variables (growth on industrial production, interest rate, inflation, market return, growth of consumer credit, and the term spread) reduces </w:t>
      </w:r>
      <w:r w:rsidR="0014687D" w:rsidRPr="00A13719">
        <w:rPr>
          <w:rFonts w:eastAsiaTheme="minorEastAsia"/>
          <w:lang w:val="en-US"/>
        </w:rPr>
        <w:t>HF</w:t>
      </w:r>
      <w:r w:rsidRPr="00A13719">
        <w:t xml:space="preserve">s’ market beta and increases the dispersion of </w:t>
      </w:r>
      <w:r w:rsidR="0014687D" w:rsidRPr="00A13719">
        <w:rPr>
          <w:rFonts w:eastAsiaTheme="minorEastAsia"/>
          <w:lang w:val="en-US"/>
        </w:rPr>
        <w:t>HF</w:t>
      </w:r>
      <w:r w:rsidRPr="00A13719">
        <w:t>s’ returns and alphas.</w:t>
      </w:r>
      <w:r w:rsidR="00314D93" w:rsidRPr="00A13719">
        <w:t xml:space="preserve"> Finally, </w:t>
      </w:r>
      <w:r w:rsidR="00792800" w:rsidRPr="00A13719">
        <w:t>Agarwal, Arisoy and</w:t>
      </w:r>
      <w:r w:rsidR="00CC3BB9" w:rsidRPr="00A13719">
        <w:t xml:space="preserve"> Nai</w:t>
      </w:r>
      <w:r w:rsidR="002F0139" w:rsidRPr="00A13719">
        <w:t>k</w:t>
      </w:r>
      <w:r w:rsidR="00CC3BB9" w:rsidRPr="00A13719">
        <w:t xml:space="preserve"> (2017) </w:t>
      </w:r>
      <w:r w:rsidR="00314D93" w:rsidRPr="00A13719">
        <w:t xml:space="preserve">found </w:t>
      </w:r>
      <w:r w:rsidR="00CC3BB9" w:rsidRPr="00A13719">
        <w:t xml:space="preserve">that the uncertainty about equity market volatility is able to explain </w:t>
      </w:r>
      <w:r w:rsidR="00792800" w:rsidRPr="00A13719">
        <w:t xml:space="preserve">HF performance both </w:t>
      </w:r>
      <w:r w:rsidR="00CC3BB9" w:rsidRPr="00A13719">
        <w:t>cross-sectional</w:t>
      </w:r>
      <w:r w:rsidR="00792800" w:rsidRPr="00A13719">
        <w:t>ly</w:t>
      </w:r>
      <w:r w:rsidR="00CC3BB9" w:rsidRPr="00A13719">
        <w:t xml:space="preserve"> and over</w:t>
      </w:r>
      <w:r w:rsidR="00792800" w:rsidRPr="00A13719">
        <w:t xml:space="preserve"> </w:t>
      </w:r>
      <w:r w:rsidR="00CC3BB9" w:rsidRPr="00A13719">
        <w:t xml:space="preserve">time. </w:t>
      </w:r>
      <w:r w:rsidR="00C0489D" w:rsidRPr="00A13719">
        <w:t xml:space="preserve"> </w:t>
      </w:r>
    </w:p>
    <w:p w:rsidR="006A063F" w:rsidRPr="00A13719" w:rsidRDefault="00F61E9F" w:rsidP="00D24081">
      <w:pPr>
        <w:jc w:val="both"/>
        <w:rPr>
          <w:rFonts w:eastAsiaTheme="minorEastAsia"/>
          <w:lang w:val="en-US"/>
        </w:rPr>
      </w:pPr>
      <w:r w:rsidRPr="00A13719">
        <w:rPr>
          <w:rFonts w:eastAsiaTheme="minorEastAsia"/>
          <w:lang w:val="en-US"/>
        </w:rPr>
        <w:lastRenderedPageBreak/>
        <w:t>T</w:t>
      </w:r>
      <w:r w:rsidR="006A063F" w:rsidRPr="00A13719">
        <w:rPr>
          <w:rFonts w:eastAsiaTheme="minorEastAsia"/>
          <w:lang w:val="en-US"/>
        </w:rPr>
        <w:t>he above studies explain a large part of the HF return generating process</w:t>
      </w:r>
      <w:r w:rsidRPr="00A13719">
        <w:rPr>
          <w:rFonts w:eastAsiaTheme="minorEastAsia"/>
          <w:lang w:val="en-US"/>
        </w:rPr>
        <w:t>,</w:t>
      </w:r>
      <w:r w:rsidR="006A063F" w:rsidRPr="00A13719">
        <w:rPr>
          <w:rFonts w:eastAsiaTheme="minorEastAsia"/>
          <w:lang w:val="en-US"/>
        </w:rPr>
        <w:t xml:space="preserve"> showing that HFs have nonlinear returns in terms of market returns</w:t>
      </w:r>
      <w:r w:rsidRPr="00A13719">
        <w:rPr>
          <w:rFonts w:eastAsiaTheme="minorEastAsia"/>
          <w:lang w:val="en-US"/>
        </w:rPr>
        <w:t>,</w:t>
      </w:r>
      <w:r w:rsidR="006A063F" w:rsidRPr="00A13719">
        <w:rPr>
          <w:rFonts w:eastAsiaTheme="minorEastAsia"/>
          <w:lang w:val="en-US"/>
        </w:rPr>
        <w:t xml:space="preserve"> and </w:t>
      </w:r>
      <w:r w:rsidRPr="00A13719">
        <w:rPr>
          <w:rFonts w:eastAsiaTheme="minorEastAsia"/>
          <w:lang w:val="en-US"/>
        </w:rPr>
        <w:t xml:space="preserve">that </w:t>
      </w:r>
      <w:r w:rsidR="006A063F" w:rsidRPr="00A13719">
        <w:rPr>
          <w:rFonts w:eastAsiaTheme="minorEastAsia"/>
          <w:lang w:val="en-US"/>
        </w:rPr>
        <w:t>their exposures vary over time</w:t>
      </w:r>
      <w:r w:rsidR="00BF6036" w:rsidRPr="00A13719">
        <w:rPr>
          <w:rFonts w:eastAsiaTheme="minorEastAsia"/>
          <w:lang w:val="en-US"/>
        </w:rPr>
        <w:t xml:space="preserve">. </w:t>
      </w:r>
      <w:r w:rsidRPr="00A13719">
        <w:rPr>
          <w:rFonts w:eastAsiaTheme="minorEastAsia"/>
          <w:lang w:val="en-US"/>
        </w:rPr>
        <w:t>Unsurprisingly</w:t>
      </w:r>
      <w:r w:rsidR="00BF6036" w:rsidRPr="00A13719">
        <w:rPr>
          <w:rFonts w:eastAsiaTheme="minorEastAsia"/>
          <w:lang w:val="en-US"/>
        </w:rPr>
        <w:t>, different strategies usually have different exposures.</w:t>
      </w:r>
      <w:r w:rsidR="006A063F" w:rsidRPr="00A13719">
        <w:rPr>
          <w:rFonts w:eastAsiaTheme="minorEastAsia"/>
          <w:lang w:val="en-US"/>
        </w:rPr>
        <w:t xml:space="preserve"> </w:t>
      </w:r>
      <w:r w:rsidR="00BF6036" w:rsidRPr="00A13719">
        <w:rPr>
          <w:rFonts w:eastAsiaTheme="minorEastAsia"/>
          <w:lang w:val="en-US"/>
        </w:rPr>
        <w:t>However, there are a few exposures that are valid for nearly all HFs (e.g. equity market, volatility</w:t>
      </w:r>
      <w:r w:rsidRPr="00A13719">
        <w:rPr>
          <w:rFonts w:eastAsiaTheme="minorEastAsia"/>
          <w:lang w:val="en-US"/>
        </w:rPr>
        <w:t xml:space="preserve"> and</w:t>
      </w:r>
      <w:r w:rsidR="00BF6036" w:rsidRPr="00A13719">
        <w:rPr>
          <w:rFonts w:eastAsiaTheme="minorEastAsia"/>
          <w:lang w:val="en-US"/>
        </w:rPr>
        <w:t xml:space="preserve"> liquidity).</w:t>
      </w:r>
      <w:r w:rsidR="006A063F" w:rsidRPr="00A13719">
        <w:rPr>
          <w:rFonts w:eastAsiaTheme="minorEastAsia"/>
          <w:lang w:val="en-US"/>
        </w:rPr>
        <w:t xml:space="preserve"> </w:t>
      </w:r>
      <w:r w:rsidR="002F0DD7" w:rsidRPr="00A13719">
        <w:rPr>
          <w:rFonts w:eastAsiaTheme="minorEastAsia"/>
          <w:lang w:val="en-US"/>
        </w:rPr>
        <w:t>The theoretical motivation</w:t>
      </w:r>
      <w:r w:rsidR="006A063F" w:rsidRPr="00A13719">
        <w:rPr>
          <w:rFonts w:eastAsiaTheme="minorEastAsia"/>
          <w:lang w:val="en-US"/>
        </w:rPr>
        <w:t xml:space="preserve"> </w:t>
      </w:r>
      <w:r w:rsidR="002F0DD7" w:rsidRPr="00A13719">
        <w:rPr>
          <w:rFonts w:eastAsiaTheme="minorEastAsia"/>
          <w:lang w:val="en-US"/>
        </w:rPr>
        <w:t xml:space="preserve">of this study is to examine HF performance </w:t>
      </w:r>
      <w:r w:rsidR="00DC3406" w:rsidRPr="00A13719">
        <w:rPr>
          <w:rFonts w:eastAsiaTheme="minorEastAsia"/>
          <w:lang w:val="en-US"/>
        </w:rPr>
        <w:t>in a more comprehensive way</w:t>
      </w:r>
      <w:r w:rsidRPr="00A13719">
        <w:rPr>
          <w:rFonts w:eastAsiaTheme="minorEastAsia"/>
          <w:lang w:val="en-US"/>
        </w:rPr>
        <w:t>,</w:t>
      </w:r>
      <w:r w:rsidR="00DC3406" w:rsidRPr="00A13719">
        <w:rPr>
          <w:rFonts w:eastAsiaTheme="minorEastAsia"/>
          <w:lang w:val="en-US"/>
        </w:rPr>
        <w:t xml:space="preserve"> as described in the previous section.</w:t>
      </w:r>
    </w:p>
    <w:p w:rsidR="00ED2220" w:rsidRPr="00A13719" w:rsidRDefault="00EB5A70" w:rsidP="00E05D17">
      <w:pPr>
        <w:pStyle w:val="Heading1"/>
        <w:jc w:val="left"/>
        <w:rPr>
          <w:lang w:val="en-US"/>
        </w:rPr>
      </w:pPr>
      <w:bookmarkStart w:id="3" w:name="_Toc425953826"/>
      <w:r w:rsidRPr="00A13719">
        <w:rPr>
          <w:lang w:val="en-US"/>
        </w:rPr>
        <w:t>Methodology</w:t>
      </w:r>
      <w:bookmarkEnd w:id="3"/>
    </w:p>
    <w:p w:rsidR="00EB5A70" w:rsidRPr="00A13719" w:rsidRDefault="00C71210" w:rsidP="00EB5A70">
      <w:pPr>
        <w:pStyle w:val="Heading2"/>
        <w:rPr>
          <w:lang w:val="en-US"/>
        </w:rPr>
      </w:pPr>
      <w:r w:rsidRPr="00A13719">
        <w:rPr>
          <w:lang w:val="en-US"/>
        </w:rPr>
        <w:t>Empirical Specification</w:t>
      </w:r>
    </w:p>
    <w:p w:rsidR="00EC5468" w:rsidRPr="00A13719" w:rsidRDefault="005A7380" w:rsidP="00EC5468">
      <w:pPr>
        <w:jc w:val="both"/>
        <w:rPr>
          <w:lang w:val="en-US"/>
        </w:rPr>
      </w:pPr>
      <w:r w:rsidRPr="00A13719">
        <w:rPr>
          <w:lang w:val="en-US"/>
        </w:rPr>
        <w:t xml:space="preserve">Linear factor models </w:t>
      </w:r>
      <w:r w:rsidR="00EC5468" w:rsidRPr="00A13719">
        <w:rPr>
          <w:lang w:val="en-US"/>
        </w:rPr>
        <w:t xml:space="preserve">such as the </w:t>
      </w:r>
      <w:r w:rsidRPr="00A13719">
        <w:rPr>
          <w:lang w:val="en-US"/>
        </w:rPr>
        <w:t>CAPM (Sharpe</w:t>
      </w:r>
      <w:r w:rsidR="001919FA" w:rsidRPr="00A13719">
        <w:rPr>
          <w:lang w:val="en-US"/>
        </w:rPr>
        <w:t>,</w:t>
      </w:r>
      <w:r w:rsidRPr="00A13719">
        <w:rPr>
          <w:lang w:val="en-US"/>
        </w:rPr>
        <w:t xml:space="preserve"> 1964)</w:t>
      </w:r>
      <w:r w:rsidR="00EC5468" w:rsidRPr="00A13719">
        <w:rPr>
          <w:lang w:val="en-US"/>
        </w:rPr>
        <w:t xml:space="preserve"> and its extension</w:t>
      </w:r>
      <w:r w:rsidR="00DE0653" w:rsidRPr="00A13719">
        <w:rPr>
          <w:lang w:val="en-US"/>
        </w:rPr>
        <w:t>s</w:t>
      </w:r>
      <w:r w:rsidR="00EC5468" w:rsidRPr="00A13719">
        <w:rPr>
          <w:lang w:val="en-US"/>
        </w:rPr>
        <w:t xml:space="preserve"> </w:t>
      </w:r>
      <w:r w:rsidR="00D27291" w:rsidRPr="00A13719">
        <w:rPr>
          <w:lang w:val="en-US"/>
        </w:rPr>
        <w:t>as</w:t>
      </w:r>
      <w:r w:rsidR="00DE0653" w:rsidRPr="00A13719">
        <w:rPr>
          <w:lang w:val="en-US"/>
        </w:rPr>
        <w:t xml:space="preserve"> </w:t>
      </w:r>
      <w:r w:rsidR="00EC5468" w:rsidRPr="00A13719">
        <w:rPr>
          <w:lang w:val="en-US"/>
        </w:rPr>
        <w:t>represented by the APT model (Ross, 1976) are the foundation of most of the theoretical and empirical asset pricing literature</w:t>
      </w:r>
      <w:r w:rsidRPr="00A13719">
        <w:rPr>
          <w:lang w:val="en-US"/>
        </w:rPr>
        <w:t>.</w:t>
      </w:r>
      <w:r w:rsidR="00EC5468" w:rsidRPr="00A13719">
        <w:rPr>
          <w:lang w:val="en-US"/>
        </w:rPr>
        <w:t xml:space="preserve"> Within the linear multi factor model the rates of returns of funds are dependent </w:t>
      </w:r>
      <w:r w:rsidR="00207A00" w:rsidRPr="00A13719">
        <w:rPr>
          <w:lang w:val="en-US"/>
        </w:rPr>
        <w:t xml:space="preserve">via </w:t>
      </w:r>
      <w:r w:rsidR="00EC5468" w:rsidRPr="00A13719">
        <w:rPr>
          <w:lang w:val="en-US"/>
        </w:rPr>
        <w:t xml:space="preserve">a linear relationship </w:t>
      </w:r>
      <w:r w:rsidR="00207A00" w:rsidRPr="00A13719">
        <w:rPr>
          <w:lang w:val="en-US"/>
        </w:rPr>
        <w:t xml:space="preserve">on </w:t>
      </w:r>
      <w:r w:rsidR="00EC5468" w:rsidRPr="00A13719">
        <w:rPr>
          <w:lang w:val="en-US"/>
        </w:rPr>
        <w:t>several variables, that is, factors:</w:t>
      </w:r>
    </w:p>
    <w:p w:rsidR="00EC5468" w:rsidRPr="00A13719" w:rsidRDefault="003C6351" w:rsidP="00EC5468">
      <w:pPr>
        <w:jc w:val="both"/>
      </w:pPr>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 1</m:t>
            </m:r>
          </m:sub>
        </m:sSub>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i,2</m:t>
            </m:r>
          </m:sub>
        </m:sSub>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i,k</m:t>
            </m:r>
          </m:sub>
        </m:sSub>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AE0277" w:rsidRPr="00A13719">
        <w:rPr>
          <w:rFonts w:eastAsiaTheme="minorEastAsia"/>
        </w:rPr>
        <w:t xml:space="preserve">     </w:t>
      </w:r>
      <w:r w:rsidR="00EC5468" w:rsidRPr="00A13719">
        <w:t>(1)</w:t>
      </w:r>
    </w:p>
    <w:p w:rsidR="00EC5468" w:rsidRPr="00A13719" w:rsidRDefault="00EC5468" w:rsidP="00EC5468">
      <w:pPr>
        <w:jc w:val="both"/>
      </w:pPr>
      <w:r w:rsidRPr="00A13719">
        <w:t>or equivalently:</w:t>
      </w:r>
    </w:p>
    <w:p w:rsidR="00EC5468" w:rsidRPr="00A13719" w:rsidRDefault="003C6351" w:rsidP="00EC5468">
      <w:pPr>
        <w:jc w:val="both"/>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k</m:t>
            </m:r>
          </m:sup>
          <m:e>
            <m:sSub>
              <m:sSubPr>
                <m:ctrlPr>
                  <w:rPr>
                    <w:rFonts w:ascii="Cambria Math" w:hAnsi="Cambria Math"/>
                    <w:i/>
                  </w:rPr>
                </m:ctrlPr>
              </m:sSubPr>
              <m:e>
                <m:r>
                  <w:rPr>
                    <w:rFonts w:ascii="Cambria Math" w:hAnsi="Cambria Math"/>
                  </w:rPr>
                  <m:t>β</m:t>
                </m:r>
              </m:e>
              <m:sub>
                <m:r>
                  <w:rPr>
                    <w:rFonts w:ascii="Cambria Math" w:hAnsi="Cambria Math"/>
                  </w:rPr>
                  <m:t>i,j</m:t>
                </m:r>
              </m:sub>
            </m:sSub>
            <m:sSub>
              <m:sSubPr>
                <m:ctrlPr>
                  <w:rPr>
                    <w:rFonts w:ascii="Cambria Math" w:hAnsi="Cambria Math"/>
                    <w:i/>
                  </w:rPr>
                </m:ctrlPr>
              </m:sSubPr>
              <m:e>
                <m:r>
                  <w:rPr>
                    <w:rFonts w:ascii="Cambria Math" w:hAnsi="Cambria Math"/>
                  </w:rPr>
                  <m:t>F</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e>
        </m:nary>
      </m:oMath>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AE0277" w:rsidRPr="00A13719">
        <w:rPr>
          <w:rFonts w:eastAsiaTheme="minorEastAsia"/>
        </w:rPr>
        <w:t xml:space="preserve">     </w:t>
      </w:r>
      <w:r w:rsidR="00EC5468" w:rsidRPr="00A13719">
        <w:rPr>
          <w:rFonts w:eastAsiaTheme="minorEastAsia"/>
        </w:rPr>
        <w:t>(2)</w:t>
      </w:r>
    </w:p>
    <w:p w:rsidR="00EC5468" w:rsidRPr="00A13719" w:rsidRDefault="00EC5468" w:rsidP="00EC5468">
      <w:pPr>
        <w:jc w:val="both"/>
        <w:rPr>
          <w:rFonts w:eastAsiaTheme="minorEastAsia"/>
        </w:rPr>
      </w:pPr>
      <w:r w:rsidRPr="00A13719">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oMath>
      <w:r w:rsidRPr="00A13719">
        <w:rPr>
          <w:rFonts w:eastAsiaTheme="minorEastAsia"/>
        </w:rPr>
        <w:t xml:space="preserve"> denotes the return on the </w:t>
      </w:r>
      <w:r w:rsidRPr="00A13719">
        <w:rPr>
          <w:rFonts w:eastAsiaTheme="minorEastAsia"/>
          <w:i/>
        </w:rPr>
        <w:t>i</w:t>
      </w:r>
      <w:r w:rsidRPr="00A13719">
        <w:rPr>
          <w:rFonts w:eastAsiaTheme="minorEastAsia"/>
        </w:rPr>
        <w:t>th fund</w:t>
      </w:r>
      <w:r w:rsidR="00B3215D" w:rsidRPr="00A13719">
        <w:rPr>
          <w:rFonts w:eastAsiaTheme="minorEastAsia"/>
        </w:rPr>
        <w:t xml:space="preserve"> (or strategy)</w:t>
      </w:r>
      <w:r w:rsidRPr="00A13719">
        <w:rPr>
          <w:rFonts w:eastAsiaTheme="minorEastAsia"/>
        </w:rPr>
        <w:t xml:space="preserve">, K&gt;0 is the number of factors,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K</m:t>
            </m:r>
          </m:sub>
        </m:sSub>
      </m:oMath>
      <w:r w:rsidRPr="00A13719">
        <w:rPr>
          <w:rFonts w:eastAsiaTheme="minorEastAsia"/>
        </w:rPr>
        <w:t xml:space="preserve"> are the values of the factors,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i,K</m:t>
            </m:r>
          </m:sub>
        </m:sSub>
      </m:oMath>
      <w:r w:rsidRPr="00A13719">
        <w:rPr>
          <w:rFonts w:eastAsiaTheme="minorEastAsia"/>
        </w:rPr>
        <w:t xml:space="preserve"> are the relevant sensitivities</w:t>
      </w:r>
      <w:r w:rsidR="00D81854" w:rsidRPr="00A13719">
        <w:rPr>
          <w:rFonts w:eastAsiaTheme="minorEastAsia"/>
        </w:rPr>
        <w:t xml:space="preserve"> and</w:t>
      </w:r>
      <w:r w:rsidRPr="00A1371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m:t>
            </m:r>
          </m:sub>
        </m:sSub>
      </m:oMath>
      <w:r w:rsidRPr="00A13719">
        <w:rPr>
          <w:rFonts w:eastAsiaTheme="minorEastAsia"/>
        </w:rPr>
        <w:t xml:space="preserve"> is a zero mean random variable. </w:t>
      </w:r>
    </w:p>
    <w:p w:rsidR="00527541" w:rsidRPr="00A13719" w:rsidRDefault="00EC5468" w:rsidP="00EC5468">
      <w:pPr>
        <w:jc w:val="both"/>
        <w:rPr>
          <w:rFonts w:eastAsiaTheme="minorEastAsia"/>
        </w:rPr>
      </w:pPr>
      <w:r w:rsidRPr="00A13719">
        <w:rPr>
          <w:rFonts w:eastAsiaTheme="minorEastAsia"/>
        </w:rPr>
        <w:t xml:space="preserve">However, </w:t>
      </w:r>
      <w:r w:rsidR="001F195C" w:rsidRPr="00A13719">
        <w:rPr>
          <w:rFonts w:eastAsiaTheme="minorEastAsia"/>
        </w:rPr>
        <w:t>the</w:t>
      </w:r>
      <w:r w:rsidRPr="00A13719">
        <w:rPr>
          <w:rFonts w:eastAsiaTheme="minorEastAsia"/>
        </w:rPr>
        <w:t xml:space="preserve"> theory constrains the factors to be linear</w:t>
      </w:r>
      <w:r w:rsidR="00207A00" w:rsidRPr="00A13719">
        <w:rPr>
          <w:rFonts w:eastAsiaTheme="minorEastAsia"/>
        </w:rPr>
        <w:t>ly</w:t>
      </w:r>
      <w:r w:rsidRPr="00A13719">
        <w:rPr>
          <w:rFonts w:eastAsiaTheme="minorEastAsia"/>
        </w:rPr>
        <w:t xml:space="preserve"> related to the fund </w:t>
      </w:r>
      <w:r w:rsidR="005958B1" w:rsidRPr="00A13719">
        <w:rPr>
          <w:rFonts w:eastAsiaTheme="minorEastAsia"/>
        </w:rPr>
        <w:t>(or securit</w:t>
      </w:r>
      <w:r w:rsidR="00207A00" w:rsidRPr="00A13719">
        <w:rPr>
          <w:rFonts w:eastAsiaTheme="minorEastAsia"/>
        </w:rPr>
        <w:t>y</w:t>
      </w:r>
      <w:r w:rsidR="005958B1" w:rsidRPr="00A13719">
        <w:rPr>
          <w:rFonts w:eastAsiaTheme="minorEastAsia"/>
        </w:rPr>
        <w:t xml:space="preserve">) </w:t>
      </w:r>
      <w:r w:rsidRPr="00A13719">
        <w:rPr>
          <w:rFonts w:eastAsiaTheme="minorEastAsia"/>
        </w:rPr>
        <w:t xml:space="preserve">returns. </w:t>
      </w:r>
      <w:r w:rsidR="005958B1" w:rsidRPr="00A13719">
        <w:rPr>
          <w:rFonts w:eastAsiaTheme="minorEastAsia"/>
        </w:rPr>
        <w:t>It cannot price funds where the payoffs are non-linear</w:t>
      </w:r>
      <w:r w:rsidR="00207A00" w:rsidRPr="00A13719">
        <w:rPr>
          <w:rFonts w:eastAsiaTheme="minorEastAsia"/>
        </w:rPr>
        <w:t>ly</w:t>
      </w:r>
      <w:r w:rsidR="005958B1" w:rsidRPr="00A13719">
        <w:rPr>
          <w:rFonts w:eastAsiaTheme="minorEastAsia"/>
        </w:rPr>
        <w:t xml:space="preserve"> relat</w:t>
      </w:r>
      <w:r w:rsidR="00207A00" w:rsidRPr="00A13719">
        <w:rPr>
          <w:rFonts w:eastAsiaTheme="minorEastAsia"/>
        </w:rPr>
        <w:t>ed</w:t>
      </w:r>
      <w:r w:rsidR="005958B1" w:rsidRPr="00A13719">
        <w:rPr>
          <w:rFonts w:eastAsiaTheme="minorEastAsia"/>
        </w:rPr>
        <w:t xml:space="preserve"> to risk factors</w:t>
      </w:r>
      <w:r w:rsidR="00207A00" w:rsidRPr="00A13719">
        <w:rPr>
          <w:rFonts w:eastAsiaTheme="minorEastAsia"/>
        </w:rPr>
        <w:t>,</w:t>
      </w:r>
      <w:r w:rsidR="00A24319" w:rsidRPr="00A13719">
        <w:rPr>
          <w:rFonts w:eastAsiaTheme="minorEastAsia"/>
        </w:rPr>
        <w:t xml:space="preserve"> as in </w:t>
      </w:r>
      <w:r w:rsidR="00207A00" w:rsidRPr="00A13719">
        <w:rPr>
          <w:rFonts w:eastAsiaTheme="minorEastAsia"/>
        </w:rPr>
        <w:t xml:space="preserve">the </w:t>
      </w:r>
      <w:r w:rsidR="006607A5" w:rsidRPr="00A13719">
        <w:rPr>
          <w:rFonts w:eastAsiaTheme="minorEastAsia"/>
        </w:rPr>
        <w:t>case of</w:t>
      </w:r>
      <w:r w:rsidR="00A24319" w:rsidRPr="00A13719">
        <w:rPr>
          <w:rFonts w:eastAsiaTheme="minorEastAsia"/>
        </w:rPr>
        <w:t xml:space="preserve"> return</w:t>
      </w:r>
      <w:r w:rsidR="00207A00" w:rsidRPr="00A13719">
        <w:rPr>
          <w:rFonts w:eastAsiaTheme="minorEastAsia"/>
        </w:rPr>
        <w:t>s</w:t>
      </w:r>
      <w:r w:rsidR="00A24319" w:rsidRPr="00A13719">
        <w:rPr>
          <w:rFonts w:eastAsiaTheme="minorEastAsia"/>
        </w:rPr>
        <w:t xml:space="preserve"> that characterized by the implementation of dynamic strategies. For this </w:t>
      </w:r>
      <w:r w:rsidR="00623B9B" w:rsidRPr="00A13719">
        <w:rPr>
          <w:rFonts w:eastAsiaTheme="minorEastAsia"/>
        </w:rPr>
        <w:t>reason</w:t>
      </w:r>
      <w:r w:rsidR="00D81854" w:rsidRPr="00A13719">
        <w:rPr>
          <w:rFonts w:eastAsiaTheme="minorEastAsia"/>
        </w:rPr>
        <w:t xml:space="preserve"> and</w:t>
      </w:r>
      <w:r w:rsidR="00623B9B" w:rsidRPr="00A13719">
        <w:rPr>
          <w:rFonts w:eastAsiaTheme="minorEastAsia"/>
        </w:rPr>
        <w:t xml:space="preserve"> in the spirit of other authors such as Fung and Hsieh (1997) and Agarwa</w:t>
      </w:r>
      <w:r w:rsidR="00303177" w:rsidRPr="00A13719">
        <w:rPr>
          <w:rFonts w:eastAsiaTheme="minorEastAsia"/>
        </w:rPr>
        <w:t>l and Naik (2004) we examine</w:t>
      </w:r>
      <w:r w:rsidR="00623B9B" w:rsidRPr="00A13719">
        <w:rPr>
          <w:rFonts w:eastAsiaTheme="minorEastAsia"/>
        </w:rPr>
        <w:t xml:space="preserve"> </w:t>
      </w:r>
      <w:r w:rsidR="00E70BBD" w:rsidRPr="00A13719">
        <w:rPr>
          <w:rFonts w:eastAsiaTheme="minorEastAsia"/>
          <w:lang w:val="en-US"/>
        </w:rPr>
        <w:t>HF</w:t>
      </w:r>
      <w:r w:rsidR="00623B9B" w:rsidRPr="00A13719">
        <w:rPr>
          <w:rFonts w:eastAsiaTheme="minorEastAsia"/>
        </w:rPr>
        <w:t xml:space="preserve">s </w:t>
      </w:r>
      <w:r w:rsidR="00207A00" w:rsidRPr="00A13719">
        <w:rPr>
          <w:rFonts w:eastAsiaTheme="minorEastAsia"/>
        </w:rPr>
        <w:t xml:space="preserve">so as </w:t>
      </w:r>
      <w:r w:rsidR="00623B9B" w:rsidRPr="00A13719">
        <w:rPr>
          <w:rFonts w:eastAsiaTheme="minorEastAsia"/>
        </w:rPr>
        <w:t xml:space="preserve">to capture dynamic strategies but </w:t>
      </w:r>
      <w:r w:rsidR="00207A00" w:rsidRPr="00A13719">
        <w:rPr>
          <w:rFonts w:eastAsiaTheme="minorEastAsia"/>
        </w:rPr>
        <w:t xml:space="preserve">in a </w:t>
      </w:r>
      <w:r w:rsidR="00623B9B" w:rsidRPr="00A13719">
        <w:rPr>
          <w:rFonts w:eastAsiaTheme="minorEastAsia"/>
        </w:rPr>
        <w:t>different way. W</w:t>
      </w:r>
      <w:r w:rsidR="00A24319" w:rsidRPr="00A13719">
        <w:rPr>
          <w:rFonts w:eastAsiaTheme="minorEastAsia"/>
        </w:rPr>
        <w:t xml:space="preserve">e propose a </w:t>
      </w:r>
      <w:r w:rsidR="004155EC" w:rsidRPr="00A13719">
        <w:rPr>
          <w:rFonts w:eastAsiaTheme="minorEastAsia"/>
        </w:rPr>
        <w:t>parsimonious</w:t>
      </w:r>
      <w:r w:rsidR="00E70BBD" w:rsidRPr="00A13719">
        <w:rPr>
          <w:rFonts w:eastAsiaTheme="minorEastAsia"/>
        </w:rPr>
        <w:t xml:space="preserve"> empirical specification</w:t>
      </w:r>
      <w:r w:rsidR="002A3F9A" w:rsidRPr="00A13719">
        <w:rPr>
          <w:rFonts w:eastAsiaTheme="minorEastAsia"/>
        </w:rPr>
        <w:t xml:space="preserve"> </w:t>
      </w:r>
      <w:r w:rsidR="00B2130A" w:rsidRPr="00A13719">
        <w:rPr>
          <w:rFonts w:eastAsiaTheme="minorEastAsia"/>
        </w:rPr>
        <w:t xml:space="preserve">using the stepwise regression technique </w:t>
      </w:r>
      <w:r w:rsidR="00A776CA" w:rsidRPr="00A13719">
        <w:rPr>
          <w:rFonts w:eastAsiaTheme="minorEastAsia"/>
        </w:rPr>
        <w:t>that</w:t>
      </w:r>
      <w:r w:rsidR="00B2130A" w:rsidRPr="00A13719">
        <w:rPr>
          <w:rFonts w:eastAsiaTheme="minorEastAsia"/>
        </w:rPr>
        <w:t xml:space="preserve"> </w:t>
      </w:r>
      <w:r w:rsidR="00A24319" w:rsidRPr="00A13719">
        <w:rPr>
          <w:rFonts w:eastAsiaTheme="minorEastAsia"/>
        </w:rPr>
        <w:t>contain</w:t>
      </w:r>
      <w:r w:rsidR="00570FB4" w:rsidRPr="00A13719">
        <w:rPr>
          <w:rFonts w:eastAsiaTheme="minorEastAsia"/>
        </w:rPr>
        <w:t>s</w:t>
      </w:r>
      <w:r w:rsidR="00A24319" w:rsidRPr="00A13719">
        <w:rPr>
          <w:rFonts w:eastAsiaTheme="minorEastAsia"/>
        </w:rPr>
        <w:t xml:space="preserve"> structural breaks </w:t>
      </w:r>
      <w:r w:rsidR="00690715" w:rsidRPr="00A13719">
        <w:rPr>
          <w:rFonts w:eastAsiaTheme="minorEastAsia"/>
        </w:rPr>
        <w:t xml:space="preserve">or break points </w:t>
      </w:r>
      <w:r w:rsidR="00A24319" w:rsidRPr="00A13719">
        <w:rPr>
          <w:rFonts w:eastAsiaTheme="minorEastAsia"/>
        </w:rPr>
        <w:t xml:space="preserve">so as to capture </w:t>
      </w:r>
      <w:r w:rsidR="009C1064" w:rsidRPr="00A13719">
        <w:rPr>
          <w:rFonts w:eastAsiaTheme="minorEastAsia"/>
          <w:lang w:val="en-US"/>
        </w:rPr>
        <w:t>HF</w:t>
      </w:r>
      <w:r w:rsidR="00A24319" w:rsidRPr="00A13719">
        <w:rPr>
          <w:rFonts w:eastAsiaTheme="minorEastAsia"/>
        </w:rPr>
        <w:t>s</w:t>
      </w:r>
      <w:r w:rsidR="00E942DC" w:rsidRPr="00A13719">
        <w:rPr>
          <w:rFonts w:eastAsiaTheme="minorEastAsia"/>
        </w:rPr>
        <w:t>’</w:t>
      </w:r>
      <w:r w:rsidR="00A24319" w:rsidRPr="00A13719">
        <w:rPr>
          <w:rFonts w:eastAsiaTheme="minorEastAsia"/>
        </w:rPr>
        <w:t xml:space="preserve"> non-linearity</w:t>
      </w:r>
      <w:r w:rsidR="00B2130A" w:rsidRPr="00A13719">
        <w:rPr>
          <w:rStyle w:val="FootnoteReference"/>
          <w:rFonts w:eastAsiaTheme="minorEastAsia"/>
        </w:rPr>
        <w:footnoteReference w:id="6"/>
      </w:r>
      <w:r w:rsidR="00A24319" w:rsidRPr="00A13719">
        <w:rPr>
          <w:rFonts w:eastAsiaTheme="minorEastAsia"/>
        </w:rPr>
        <w:t xml:space="preserve">. </w:t>
      </w:r>
      <w:r w:rsidR="006607A5" w:rsidRPr="00A13719">
        <w:rPr>
          <w:rFonts w:eastAsiaTheme="minorEastAsia"/>
        </w:rPr>
        <w:t>Moreover,</w:t>
      </w:r>
      <w:r w:rsidR="002A3F9A" w:rsidRPr="00A13719">
        <w:rPr>
          <w:rFonts w:eastAsiaTheme="minorEastAsia"/>
        </w:rPr>
        <w:t xml:space="preserve"> we move one step further towards </w:t>
      </w:r>
      <w:r w:rsidR="002A3F9A" w:rsidRPr="00A13719">
        <w:rPr>
          <w:rFonts w:eastAsiaTheme="minorEastAsia"/>
        </w:rPr>
        <w:lastRenderedPageBreak/>
        <w:t>other authors (mentioned in this section) by implementing the stepwise regression te</w:t>
      </w:r>
      <w:r w:rsidR="00494F03" w:rsidRPr="00A13719">
        <w:rPr>
          <w:rFonts w:eastAsiaTheme="minorEastAsia"/>
        </w:rPr>
        <w:t>chnique at a regime/cycle level</w:t>
      </w:r>
      <w:r w:rsidR="002A3F9A" w:rsidRPr="00A13719">
        <w:rPr>
          <w:rFonts w:eastAsiaTheme="minorEastAsia"/>
        </w:rPr>
        <w:t xml:space="preserve"> for more accurate results. </w:t>
      </w:r>
      <w:r w:rsidR="00494F03" w:rsidRPr="00A13719">
        <w:rPr>
          <w:rFonts w:eastAsiaTheme="minorEastAsia"/>
        </w:rPr>
        <w:t xml:space="preserve">Our </w:t>
      </w:r>
      <w:r w:rsidR="00685CDE" w:rsidRPr="00A13719">
        <w:rPr>
          <w:rFonts w:eastAsiaTheme="minorEastAsia"/>
        </w:rPr>
        <w:t>empirical specification</w:t>
      </w:r>
      <w:r w:rsidR="00494F03" w:rsidRPr="00A13719">
        <w:rPr>
          <w:rFonts w:eastAsiaTheme="minorEastAsia"/>
        </w:rPr>
        <w:t xml:space="preserve"> is agile due to its flexibility to determine, for each group observations, the “best” set of </w:t>
      </w:r>
      <w:r w:rsidR="00653042" w:rsidRPr="00A13719">
        <w:rPr>
          <w:rFonts w:eastAsiaTheme="minorEastAsia"/>
          <w:lang w:val="en-US"/>
        </w:rPr>
        <w:t>HF</w:t>
      </w:r>
      <w:r w:rsidR="00494F03" w:rsidRPr="00A13719">
        <w:rPr>
          <w:rFonts w:eastAsiaTheme="minorEastAsia"/>
        </w:rPr>
        <w:t xml:space="preserve"> factors</w:t>
      </w:r>
      <w:r w:rsidR="002A3F9A" w:rsidRPr="00A13719">
        <w:rPr>
          <w:rFonts w:eastAsiaTheme="minorEastAsia"/>
        </w:rPr>
        <w:t xml:space="preserve">. </w:t>
      </w:r>
    </w:p>
    <w:p w:rsidR="00AC1EDA" w:rsidRPr="00A13719" w:rsidRDefault="006607A5" w:rsidP="00EC5468">
      <w:pPr>
        <w:jc w:val="both"/>
        <w:rPr>
          <w:rFonts w:eastAsiaTheme="minorEastAsia"/>
        </w:rPr>
      </w:pPr>
      <w:r w:rsidRPr="00A13719">
        <w:rPr>
          <w:rFonts w:eastAsiaTheme="minorEastAsia"/>
        </w:rPr>
        <w:t>The</w:t>
      </w:r>
      <w:r w:rsidR="003F6080" w:rsidRPr="00A13719">
        <w:rPr>
          <w:rFonts w:eastAsiaTheme="minorEastAsia"/>
        </w:rPr>
        <w:t xml:space="preserve"> exogenous</w:t>
      </w:r>
      <w:r w:rsidR="00A24319" w:rsidRPr="00A13719">
        <w:rPr>
          <w:rFonts w:eastAsiaTheme="minorEastAsia"/>
        </w:rPr>
        <w:t xml:space="preserve"> </w:t>
      </w:r>
      <w:r w:rsidR="003F6080" w:rsidRPr="00A13719">
        <w:rPr>
          <w:rFonts w:eastAsiaTheme="minorEastAsia"/>
        </w:rPr>
        <w:t>break points</w:t>
      </w:r>
      <w:r w:rsidR="00A24319" w:rsidRPr="00A13719">
        <w:rPr>
          <w:rFonts w:eastAsiaTheme="minorEastAsia"/>
        </w:rPr>
        <w:t xml:space="preserve"> depend on the </w:t>
      </w:r>
      <w:r w:rsidR="00EE43EF" w:rsidRPr="00A13719">
        <w:rPr>
          <w:rFonts w:eastAsiaTheme="minorEastAsia"/>
        </w:rPr>
        <w:t>expansion</w:t>
      </w:r>
      <w:r w:rsidR="00A24319" w:rsidRPr="00A13719">
        <w:rPr>
          <w:rFonts w:eastAsiaTheme="minorEastAsia"/>
        </w:rPr>
        <w:t xml:space="preserve"> and recession periods of multiple business cycles</w:t>
      </w:r>
      <w:r w:rsidR="00653106" w:rsidRPr="00A13719">
        <w:rPr>
          <w:rStyle w:val="FootnoteReference"/>
          <w:rFonts w:eastAsiaTheme="minorEastAsia"/>
        </w:rPr>
        <w:footnoteReference w:id="7"/>
      </w:r>
      <w:r w:rsidR="00653106" w:rsidRPr="00A13719">
        <w:rPr>
          <w:rFonts w:eastAsiaTheme="minorEastAsia"/>
        </w:rPr>
        <w:t>.</w:t>
      </w:r>
      <w:r w:rsidR="00A24319" w:rsidRPr="00A13719">
        <w:rPr>
          <w:rFonts w:eastAsiaTheme="minorEastAsia"/>
        </w:rPr>
        <w:t xml:space="preserve"> </w:t>
      </w:r>
      <w:r w:rsidR="008F3128" w:rsidRPr="00A13719">
        <w:rPr>
          <w:rFonts w:eastAsiaTheme="minorEastAsia"/>
        </w:rPr>
        <w:t>Our</w:t>
      </w:r>
      <w:r w:rsidR="00AC1EDA" w:rsidRPr="00A13719">
        <w:rPr>
          <w:rFonts w:eastAsiaTheme="minorEastAsia"/>
        </w:rPr>
        <w:t xml:space="preserve"> </w:t>
      </w:r>
      <w:r w:rsidRPr="00A13719">
        <w:rPr>
          <w:rFonts w:eastAsiaTheme="minorEastAsia"/>
        </w:rPr>
        <w:t>model</w:t>
      </w:r>
      <w:r w:rsidR="00C61EB0" w:rsidRPr="00A13719">
        <w:rPr>
          <w:rFonts w:eastAsiaTheme="minorEastAsia"/>
        </w:rPr>
        <w:t xml:space="preserve"> takes the form</w:t>
      </w:r>
      <w:r w:rsidR="00AC1EDA" w:rsidRPr="00A13719">
        <w:rPr>
          <w:rFonts w:eastAsiaTheme="minorEastAsia"/>
        </w:rPr>
        <w:t>:</w:t>
      </w:r>
    </w:p>
    <w:p w:rsidR="00AC1EDA" w:rsidRPr="00A13719" w:rsidRDefault="00AC1EDA" w:rsidP="00EC5468">
      <w:pPr>
        <w:jc w:val="both"/>
        <w:rPr>
          <w:rFonts w:eastAsiaTheme="minorEastAsia"/>
        </w:rPr>
      </w:pPr>
      <w:r w:rsidRPr="00A13719">
        <w:rPr>
          <w:rFonts w:eastAsiaTheme="minorEastAsia"/>
        </w:rPr>
        <w:t xml:space="preserve"> </w:t>
      </w:r>
      <m:oMath>
        <m:sSub>
          <m:sSubPr>
            <m:ctrlPr>
              <w:rPr>
                <w:rFonts w:ascii="Cambria Math" w:hAnsi="Cambria Math"/>
                <w:i/>
              </w:rPr>
            </m:ctrlPr>
          </m:sSubPr>
          <m:e>
            <m:r>
              <w:rPr>
                <w:rFonts w:ascii="Cambria Math" w:hAnsi="Cambria Math"/>
              </w:rPr>
              <m:t>R</m:t>
            </m:r>
          </m:e>
          <m:sub>
            <m:r>
              <w:rPr>
                <w:rFonts w:ascii="Cambria Math" w:hAnsi="Cambria Math"/>
              </w:rPr>
              <m:t>iS</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iS</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 1</m:t>
            </m:r>
          </m:sub>
        </m:sSub>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(S)+</m:t>
        </m:r>
        <m:sSub>
          <m:sSubPr>
            <m:ctrlPr>
              <w:rPr>
                <w:rFonts w:ascii="Cambria Math" w:hAnsi="Cambria Math"/>
                <w:i/>
              </w:rPr>
            </m:ctrlPr>
          </m:sSubPr>
          <m:e>
            <m:r>
              <w:rPr>
                <w:rFonts w:ascii="Cambria Math" w:hAnsi="Cambria Math"/>
              </w:rPr>
              <m:t>β</m:t>
            </m:r>
          </m:e>
          <m:sub>
            <m:r>
              <w:rPr>
                <w:rFonts w:ascii="Cambria Math" w:hAnsi="Cambria Math"/>
              </w:rPr>
              <m:t>i,2</m:t>
            </m:r>
          </m:sub>
        </m:sSub>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(S)+…+</m:t>
        </m:r>
        <m:sSub>
          <m:sSubPr>
            <m:ctrlPr>
              <w:rPr>
                <w:rFonts w:ascii="Cambria Math" w:hAnsi="Cambria Math"/>
                <w:i/>
              </w:rPr>
            </m:ctrlPr>
          </m:sSubPr>
          <m:e>
            <m:r>
              <w:rPr>
                <w:rFonts w:ascii="Cambria Math" w:hAnsi="Cambria Math"/>
              </w:rPr>
              <m:t>β</m:t>
            </m:r>
          </m:e>
          <m:sub>
            <m:r>
              <w:rPr>
                <w:rFonts w:ascii="Cambria Math" w:hAnsi="Cambria Math"/>
              </w:rPr>
              <m:t>i,k</m:t>
            </m:r>
          </m:sub>
        </m:sSub>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(S)+</m:t>
        </m:r>
        <m:sSub>
          <m:sSubPr>
            <m:ctrlPr>
              <w:rPr>
                <w:rFonts w:ascii="Cambria Math" w:hAnsi="Cambria Math"/>
                <w:i/>
              </w:rPr>
            </m:ctrlPr>
          </m:sSubPr>
          <m:e>
            <m:r>
              <w:rPr>
                <w:rFonts w:ascii="Cambria Math" w:hAnsi="Cambria Math"/>
              </w:rPr>
              <m:t>ε</m:t>
            </m:r>
          </m:e>
          <m:sub>
            <m:r>
              <w:rPr>
                <w:rFonts w:ascii="Cambria Math" w:hAnsi="Cambria Math"/>
              </w:rPr>
              <m:t>i</m:t>
            </m:r>
          </m:sub>
        </m:sSub>
        <m:r>
          <w:rPr>
            <w:rFonts w:ascii="Cambria Math" w:hAnsi="Cambria Math"/>
          </w:rPr>
          <m:t>(S)</m:t>
        </m:r>
      </m:oMath>
      <w:r w:rsidR="00F83AB9" w:rsidRPr="00A13719">
        <w:rPr>
          <w:rFonts w:eastAsiaTheme="minorEastAsia"/>
        </w:rPr>
        <w:tab/>
      </w:r>
      <w:r w:rsidR="00F83AB9" w:rsidRPr="00A13719">
        <w:rPr>
          <w:rFonts w:eastAsiaTheme="minorEastAsia"/>
        </w:rPr>
        <w:tab/>
      </w:r>
      <w:r w:rsidR="00F83AB9" w:rsidRPr="00A13719">
        <w:rPr>
          <w:rFonts w:eastAsiaTheme="minorEastAsia"/>
        </w:rPr>
        <w:tab/>
      </w:r>
      <w:r w:rsidR="00F83AB9" w:rsidRPr="00A13719">
        <w:rPr>
          <w:rFonts w:eastAsiaTheme="minorEastAsia"/>
        </w:rPr>
        <w:tab/>
      </w:r>
      <w:r w:rsidR="00AE0277" w:rsidRPr="00A13719">
        <w:rPr>
          <w:rFonts w:eastAsiaTheme="minorEastAsia"/>
        </w:rPr>
        <w:t xml:space="preserve">    </w:t>
      </w:r>
      <w:r w:rsidR="00FA682D" w:rsidRPr="00A13719">
        <w:rPr>
          <w:rFonts w:eastAsiaTheme="minorEastAsia"/>
        </w:rPr>
        <w:t>(3)</w:t>
      </w:r>
    </w:p>
    <w:p w:rsidR="00194C47" w:rsidRPr="00A13719" w:rsidRDefault="00AC1EDA" w:rsidP="00EC5468">
      <w:pPr>
        <w:jc w:val="both"/>
        <w:rPr>
          <w:rFonts w:eastAsiaTheme="minorEastAsia"/>
        </w:rPr>
      </w:pPr>
      <w:r w:rsidRPr="00A13719">
        <w:rPr>
          <w:rFonts w:eastAsiaTheme="minorEastAsia"/>
        </w:rPr>
        <w:t xml:space="preserve">Where </w:t>
      </w:r>
      <m:oMath>
        <m:r>
          <w:rPr>
            <w:rFonts w:ascii="Cambria Math" w:eastAsiaTheme="minorEastAsia" w:hAnsi="Cambria Math"/>
          </w:rPr>
          <m:t xml:space="preserve">S= </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G</m:t>
                </m:r>
              </m:e>
              <m:e>
                <m:r>
                  <w:rPr>
                    <w:rFonts w:ascii="Cambria Math" w:eastAsiaTheme="minorEastAsia" w:hAnsi="Cambria Math"/>
                  </w:rPr>
                  <m:t>R</m:t>
                </m:r>
              </m:e>
            </m:eqArr>
          </m:e>
        </m:d>
      </m:oMath>
      <w:r w:rsidR="00FA682D" w:rsidRPr="00A13719">
        <w:rPr>
          <w:rFonts w:eastAsiaTheme="minorEastAsia"/>
        </w:rPr>
        <w:t xml:space="preserve">  is the state </w:t>
      </w:r>
      <w:r w:rsidR="00194C47" w:rsidRPr="00A13719">
        <w:rPr>
          <w:rFonts w:eastAsiaTheme="minorEastAsia"/>
        </w:rPr>
        <w:t>variable</w:t>
      </w:r>
      <w:r w:rsidR="00455FE3" w:rsidRPr="00A13719">
        <w:rPr>
          <w:rFonts w:eastAsiaTheme="minorEastAsia"/>
        </w:rPr>
        <w:t>,</w:t>
      </w:r>
      <w:r w:rsidR="00194C47" w:rsidRPr="00A13719">
        <w:rPr>
          <w:rFonts w:eastAsiaTheme="minorEastAsia"/>
        </w:rPr>
        <w:tab/>
      </w:r>
      <w:r w:rsidR="00194C47" w:rsidRPr="00A13719">
        <w:rPr>
          <w:rFonts w:eastAsiaTheme="minorEastAsia"/>
        </w:rPr>
        <w:tab/>
      </w:r>
      <w:r w:rsidR="00194C47" w:rsidRPr="00A13719">
        <w:rPr>
          <w:rFonts w:eastAsiaTheme="minorEastAsia"/>
        </w:rPr>
        <w:tab/>
      </w:r>
      <w:r w:rsidR="00194C47" w:rsidRPr="00A13719">
        <w:rPr>
          <w:rFonts w:eastAsiaTheme="minorEastAsia"/>
        </w:rPr>
        <w:tab/>
      </w:r>
      <w:r w:rsidR="00EE43EF" w:rsidRPr="00A13719">
        <w:rPr>
          <w:rFonts w:eastAsiaTheme="minorEastAsia"/>
        </w:rPr>
        <w:tab/>
      </w:r>
      <w:r w:rsidR="00FA682D" w:rsidRPr="00A13719">
        <w:rPr>
          <w:rFonts w:eastAsiaTheme="minorEastAsia"/>
        </w:rPr>
        <w:tab/>
      </w:r>
      <w:r w:rsidR="00FA682D" w:rsidRPr="00A13719">
        <w:rPr>
          <w:rFonts w:eastAsiaTheme="minorEastAsia"/>
        </w:rPr>
        <w:tab/>
      </w:r>
      <w:r w:rsidR="001320B9" w:rsidRPr="00A13719">
        <w:rPr>
          <w:rFonts w:eastAsiaTheme="minorEastAsia"/>
        </w:rPr>
        <w:tab/>
      </w:r>
      <w:r w:rsidR="00AE0277" w:rsidRPr="00A13719">
        <w:rPr>
          <w:rFonts w:eastAsiaTheme="minorEastAsia"/>
        </w:rPr>
        <w:t xml:space="preserve">    </w:t>
      </w:r>
      <w:r w:rsidR="00FA682D" w:rsidRPr="00A13719">
        <w:rPr>
          <w:rFonts w:eastAsiaTheme="minorEastAsia"/>
        </w:rPr>
        <w:t>(4)</w:t>
      </w:r>
    </w:p>
    <w:p w:rsidR="009F4D41" w:rsidRPr="00A13719" w:rsidRDefault="00194C47" w:rsidP="00EB371D">
      <w:pPr>
        <w:jc w:val="both"/>
        <w:rPr>
          <w:rFonts w:eastAsiaTheme="minorEastAsia"/>
        </w:rPr>
      </w:pPr>
      <w:r w:rsidRPr="00A13719">
        <w:rPr>
          <w:rFonts w:eastAsiaTheme="minorEastAsia"/>
          <w:i/>
        </w:rPr>
        <w:t xml:space="preserve">G </w:t>
      </w:r>
      <w:r w:rsidRPr="00A13719">
        <w:rPr>
          <w:rFonts w:eastAsiaTheme="minorEastAsia"/>
        </w:rPr>
        <w:t xml:space="preserve">is the growth variable that takes the vector </w:t>
      </w:r>
      <w:r w:rsidR="00AF076A" w:rsidRPr="00A13719">
        <w:rPr>
          <w:rFonts w:eastAsiaTheme="minorEastAsia"/>
        </w:rPr>
        <w:t xml:space="preserve">values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m</m:t>
            </m:r>
          </m:sub>
        </m:sSub>
      </m:oMath>
      <w:r w:rsidR="00AF076A" w:rsidRPr="00A13719">
        <w:rPr>
          <w:rFonts w:eastAsiaTheme="minorEastAsia"/>
        </w:rPr>
        <w:t xml:space="preserve">, </w:t>
      </w:r>
      <w:r w:rsidR="00AF076A" w:rsidRPr="00A13719">
        <w:rPr>
          <w:rFonts w:eastAsiaTheme="minorEastAsia"/>
          <w:i/>
        </w:rPr>
        <w:t>m = 1,…, m,</w:t>
      </w:r>
      <w:r w:rsidR="00FA682D" w:rsidRPr="00A13719">
        <w:rPr>
          <w:rFonts w:eastAsiaTheme="minorEastAsia"/>
        </w:rPr>
        <w:t xml:space="preserve"> </w:t>
      </w:r>
      <w:r w:rsidRPr="00A13719">
        <w:rPr>
          <w:rFonts w:eastAsiaTheme="minorEastAsia"/>
        </w:rPr>
        <w:t>when</w:t>
      </w:r>
      <w:r w:rsidR="00AF076A" w:rsidRPr="00A13719">
        <w:rPr>
          <w:rFonts w:eastAsiaTheme="minorEastAsia"/>
        </w:rPr>
        <w:t xml:space="preserve"> we are in one of the </w:t>
      </w:r>
      <w:r w:rsidR="00AF076A" w:rsidRPr="00A13719">
        <w:rPr>
          <w:rFonts w:eastAsiaTheme="minorEastAsia"/>
          <w:i/>
        </w:rPr>
        <w:t xml:space="preserve">m </w:t>
      </w:r>
      <w:r w:rsidR="00AF076A" w:rsidRPr="00A13719">
        <w:rPr>
          <w:rFonts w:eastAsiaTheme="minorEastAsia"/>
        </w:rPr>
        <w:t>periods</w:t>
      </w:r>
      <w:r w:rsidR="001320B9" w:rsidRPr="00A13719">
        <w:rPr>
          <w:rFonts w:eastAsiaTheme="minorEastAsia"/>
        </w:rPr>
        <w:t>,</w:t>
      </w:r>
      <w:r w:rsidR="00AF076A" w:rsidRPr="00A13719">
        <w:rPr>
          <w:rFonts w:eastAsiaTheme="minorEastAsia"/>
        </w:rPr>
        <w:t xml:space="preserve"> </w:t>
      </w:r>
      <w:r w:rsidRPr="00A13719">
        <w:rPr>
          <w:rFonts w:eastAsiaTheme="minorEastAsia"/>
          <w:i/>
        </w:rPr>
        <w:t xml:space="preserve">R </w:t>
      </w:r>
      <w:r w:rsidRPr="00A13719">
        <w:rPr>
          <w:rFonts w:eastAsiaTheme="minorEastAsia"/>
        </w:rPr>
        <w:t>is the recession variable</w:t>
      </w:r>
      <w:r w:rsidR="006305F8" w:rsidRPr="00A13719">
        <w:rPr>
          <w:rFonts w:eastAsiaTheme="minorEastAsia"/>
        </w:rPr>
        <w:t xml:space="preserve"> </w:t>
      </w:r>
      <w:r w:rsidRPr="00A13719">
        <w:rPr>
          <w:rFonts w:eastAsiaTheme="minorEastAsia"/>
        </w:rPr>
        <w:t xml:space="preserve">that </w:t>
      </w:r>
      <w:r w:rsidR="00AF076A" w:rsidRPr="00A13719">
        <w:rPr>
          <w:rFonts w:eastAsiaTheme="minorEastAsia"/>
        </w:rPr>
        <w:t xml:space="preserve">takes the vector values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n</m:t>
            </m:r>
          </m:sub>
        </m:sSub>
      </m:oMath>
      <w:r w:rsidR="00AF076A" w:rsidRPr="00A13719">
        <w:rPr>
          <w:rFonts w:eastAsiaTheme="minorEastAsia"/>
        </w:rPr>
        <w:t xml:space="preserve">, </w:t>
      </w:r>
      <w:r w:rsidR="00AF076A" w:rsidRPr="00A13719">
        <w:rPr>
          <w:rFonts w:eastAsiaTheme="minorEastAsia"/>
          <w:i/>
        </w:rPr>
        <w:t>n = 1,…n</w:t>
      </w:r>
      <w:r w:rsidR="00AF076A" w:rsidRPr="00A13719">
        <w:rPr>
          <w:rFonts w:eastAsiaTheme="minorEastAsia"/>
        </w:rPr>
        <w:t>,</w:t>
      </w:r>
      <w:r w:rsidRPr="00A13719">
        <w:rPr>
          <w:rFonts w:eastAsiaTheme="minorEastAsia"/>
        </w:rPr>
        <w:t xml:space="preserve"> when we are in one of the </w:t>
      </w:r>
      <w:r w:rsidRPr="00A13719">
        <w:rPr>
          <w:rFonts w:eastAsiaTheme="minorEastAsia"/>
          <w:i/>
        </w:rPr>
        <w:t>n</w:t>
      </w:r>
      <w:r w:rsidRPr="00A13719">
        <w:rPr>
          <w:rFonts w:eastAsiaTheme="minorEastAsia"/>
        </w:rPr>
        <w:t xml:space="preserve"> periods</w:t>
      </w:r>
      <w:r w:rsidR="001320B9" w:rsidRPr="00A13719">
        <w:rPr>
          <w:rFonts w:eastAsiaTheme="minorEastAsia"/>
        </w:rPr>
        <w:t>,</w:t>
      </w:r>
      <w:r w:rsidR="009F4D41" w:rsidRPr="00A13719">
        <w:rPr>
          <w:rFonts w:eastAsiaTheme="minorEastAsia"/>
        </w:rPr>
        <w:t xml:space="preserve"> </w:t>
      </w:r>
      <m:oMath>
        <m:sSub>
          <m:sSubPr>
            <m:ctrlPr>
              <w:rPr>
                <w:rFonts w:ascii="Cambria Math" w:hAnsi="Cambria Math"/>
                <w:i/>
              </w:rPr>
            </m:ctrlPr>
          </m:sSubPr>
          <m:e>
            <m:r>
              <w:rPr>
                <w:rFonts w:ascii="Cambria Math" w:hAnsi="Cambria Math"/>
              </w:rPr>
              <m:t>R</m:t>
            </m:r>
          </m:e>
          <m:sub>
            <m:r>
              <w:rPr>
                <w:rFonts w:ascii="Cambria Math" w:hAnsi="Cambria Math"/>
              </w:rPr>
              <m:t>iS</m:t>
            </m:r>
          </m:sub>
        </m:sSub>
      </m:oMath>
      <w:r w:rsidR="009F4D41" w:rsidRPr="00A13719">
        <w:rPr>
          <w:rFonts w:eastAsiaTheme="minorEastAsia"/>
        </w:rPr>
        <w:t xml:space="preserve"> and </w:t>
      </w:r>
      <m:oMath>
        <m:sSub>
          <m:sSubPr>
            <m:ctrlPr>
              <w:rPr>
                <w:rFonts w:ascii="Cambria Math" w:hAnsi="Cambria Math"/>
                <w:i/>
              </w:rPr>
            </m:ctrlPr>
          </m:sSubPr>
          <m:e>
            <m:r>
              <w:rPr>
                <w:rFonts w:ascii="Cambria Math" w:hAnsi="Cambria Math"/>
              </w:rPr>
              <m:t>α</m:t>
            </m:r>
          </m:e>
          <m:sub>
            <m:r>
              <w:rPr>
                <w:rFonts w:ascii="Cambria Math" w:hAnsi="Cambria Math"/>
              </w:rPr>
              <m:t>iS</m:t>
            </m:r>
          </m:sub>
        </m:sSub>
      </m:oMath>
      <w:r w:rsidR="009F4D41" w:rsidRPr="00A13719">
        <w:rPr>
          <w:rFonts w:eastAsiaTheme="minorEastAsia"/>
        </w:rPr>
        <w:t xml:space="preserve"> are the return and the constant for HF </w:t>
      </w:r>
      <w:r w:rsidR="009F4D41" w:rsidRPr="00A13719">
        <w:rPr>
          <w:rFonts w:eastAsiaTheme="minorEastAsia"/>
          <w:i/>
        </w:rPr>
        <w:t>i</w:t>
      </w:r>
      <w:r w:rsidR="009F4D41" w:rsidRPr="00A13719">
        <w:rPr>
          <w:rFonts w:eastAsiaTheme="minorEastAsia"/>
        </w:rPr>
        <w:t xml:space="preserve"> in the state </w:t>
      </w:r>
      <w:r w:rsidR="009F4D41" w:rsidRPr="00A13719">
        <w:rPr>
          <w:rFonts w:eastAsiaTheme="minorEastAsia"/>
          <w:i/>
        </w:rPr>
        <w:t>S</w:t>
      </w:r>
      <w:r w:rsidR="009F4D41" w:rsidRPr="00A13719">
        <w:rPr>
          <w:rFonts w:eastAsiaTheme="minorEastAsia"/>
        </w:rPr>
        <w:t xml:space="preserve">, respectively, </w:t>
      </w:r>
      <m:oMath>
        <m:sSub>
          <m:sSubPr>
            <m:ctrlPr>
              <w:rPr>
                <w:rFonts w:ascii="Cambria Math" w:hAnsi="Cambria Math"/>
                <w:i/>
              </w:rPr>
            </m:ctrlPr>
          </m:sSubPr>
          <m:e>
            <m:r>
              <w:rPr>
                <w:rFonts w:ascii="Cambria Math" w:hAnsi="Cambria Math"/>
              </w:rPr>
              <m:t>F</m:t>
            </m:r>
          </m:e>
          <m:sub>
            <m:r>
              <w:rPr>
                <w:rFonts w:ascii="Cambria Math" w:hAnsi="Cambria Math"/>
              </w:rPr>
              <m:t>k</m:t>
            </m:r>
          </m:sub>
        </m:sSub>
      </m:oMath>
      <w:r w:rsidR="009F4D41" w:rsidRPr="00A13719">
        <w:rPr>
          <w:rFonts w:eastAsiaTheme="minorEastAsia"/>
        </w:rPr>
        <w:t xml:space="preserve"> is a systematic factor, </w:t>
      </w:r>
      <m:oMath>
        <m:r>
          <w:rPr>
            <w:rFonts w:ascii="Cambria Math" w:eastAsiaTheme="minorEastAsia" w:hAnsi="Cambria Math"/>
          </w:rPr>
          <m:t>k=1,…,</m:t>
        </m:r>
        <m:r>
          <w:rPr>
            <w:rFonts w:ascii="Cambria Math" w:hAnsi="Cambria Math"/>
          </w:rPr>
          <m:t>K</m:t>
        </m:r>
      </m:oMath>
      <w:r w:rsidR="009F4D41" w:rsidRPr="00A13719">
        <w:rPr>
          <w:rFonts w:eastAsiaTheme="minorEastAsia"/>
        </w:rPr>
        <w:t xml:space="preserve">, </w:t>
      </w:r>
      <w:r w:rsidR="001320B9" w:rsidRPr="00A13719">
        <w:rPr>
          <w:rFonts w:eastAsiaTheme="minorEastAsia"/>
        </w:rPr>
        <w:t xml:space="preserve">and </w:t>
      </w:r>
      <m:oMath>
        <m:sSub>
          <m:sSubPr>
            <m:ctrlPr>
              <w:rPr>
                <w:rFonts w:ascii="Cambria Math" w:hAnsi="Cambria Math"/>
                <w:i/>
              </w:rPr>
            </m:ctrlPr>
          </m:sSubPr>
          <m:e>
            <m:r>
              <w:rPr>
                <w:rFonts w:ascii="Cambria Math" w:hAnsi="Cambria Math"/>
              </w:rPr>
              <m:t>β</m:t>
            </m:r>
          </m:e>
          <m:sub>
            <m:r>
              <w:rPr>
                <w:rFonts w:ascii="Cambria Math" w:hAnsi="Cambria Math"/>
              </w:rPr>
              <m:t>j, k</m:t>
            </m:r>
          </m:sub>
        </m:sSub>
      </m:oMath>
      <w:r w:rsidR="009F4D41" w:rsidRPr="00A13719">
        <w:rPr>
          <w:rFonts w:eastAsiaTheme="minorEastAsia"/>
        </w:rPr>
        <w:t xml:space="preserve"> is the sensitivity of the </w:t>
      </w:r>
      <m:oMath>
        <m:r>
          <w:rPr>
            <w:rFonts w:ascii="Cambria Math" w:eastAsiaTheme="minorEastAsia" w:hAnsi="Cambria Math"/>
          </w:rPr>
          <m:t>j</m:t>
        </m:r>
      </m:oMath>
      <w:r w:rsidR="001320B9" w:rsidRPr="00A13719">
        <w:rPr>
          <w:rFonts w:eastAsiaTheme="minorEastAsia"/>
          <w:vertAlign w:val="superscript"/>
        </w:rPr>
        <w:t>th</w:t>
      </w:r>
      <w:r w:rsidR="009F4D41" w:rsidRPr="00A13719">
        <w:rPr>
          <w:rFonts w:eastAsiaTheme="minorEastAsia"/>
        </w:rPr>
        <w:t xml:space="preserve"> HF to factor </w:t>
      </w:r>
      <m:oMath>
        <m:r>
          <w:rPr>
            <w:rFonts w:ascii="Cambria Math" w:eastAsiaTheme="minorEastAsia" w:hAnsi="Cambria Math"/>
          </w:rPr>
          <m:t>k</m:t>
        </m:r>
      </m:oMath>
      <w:r w:rsidR="009F4D41" w:rsidRPr="00A13719">
        <w:rPr>
          <w:rFonts w:eastAsiaTheme="minorEastAsia"/>
        </w:rPr>
        <w:t>.</w:t>
      </w:r>
    </w:p>
    <w:p w:rsidR="00EB371D" w:rsidRPr="00A13719" w:rsidRDefault="006607A5" w:rsidP="00EB371D">
      <w:pPr>
        <w:jc w:val="both"/>
        <w:rPr>
          <w:rFonts w:eastAsiaTheme="minorEastAsia"/>
        </w:rPr>
      </w:pPr>
      <w:r w:rsidRPr="00A13719">
        <w:rPr>
          <w:rFonts w:eastAsiaTheme="minorEastAsia"/>
        </w:rPr>
        <w:t>O</w:t>
      </w:r>
      <w:r w:rsidR="00EA026F" w:rsidRPr="00A13719">
        <w:rPr>
          <w:rFonts w:eastAsiaTheme="minorEastAsia"/>
        </w:rPr>
        <w:t xml:space="preserve">ur </w:t>
      </w:r>
      <w:r w:rsidR="008F3128" w:rsidRPr="00A13719">
        <w:rPr>
          <w:rFonts w:eastAsiaTheme="minorEastAsia"/>
        </w:rPr>
        <w:t xml:space="preserve">model </w:t>
      </w:r>
      <w:r w:rsidR="00EA026F" w:rsidRPr="00A13719">
        <w:rPr>
          <w:rFonts w:eastAsiaTheme="minorEastAsia"/>
        </w:rPr>
        <w:t>is able to a</w:t>
      </w:r>
      <w:r w:rsidR="008A4A28" w:rsidRPr="00A13719">
        <w:rPr>
          <w:rFonts w:eastAsiaTheme="minorEastAsia"/>
        </w:rPr>
        <w:t>djust taking into consideration only the variables (depend</w:t>
      </w:r>
      <w:r w:rsidR="003202EB" w:rsidRPr="00A13719">
        <w:rPr>
          <w:rFonts w:eastAsiaTheme="minorEastAsia"/>
        </w:rPr>
        <w:t>e</w:t>
      </w:r>
      <w:r w:rsidR="008A4A28" w:rsidRPr="00A13719">
        <w:rPr>
          <w:rFonts w:eastAsiaTheme="minorEastAsia"/>
        </w:rPr>
        <w:t>nt and non-depend</w:t>
      </w:r>
      <w:r w:rsidR="003202EB" w:rsidRPr="00A13719">
        <w:rPr>
          <w:rFonts w:eastAsiaTheme="minorEastAsia"/>
        </w:rPr>
        <w:t>e</w:t>
      </w:r>
      <w:r w:rsidR="008A4A28" w:rsidRPr="00A13719">
        <w:rPr>
          <w:rFonts w:eastAsiaTheme="minorEastAsia"/>
        </w:rPr>
        <w:t>nt) that belong to a particular stage of the economy.</w:t>
      </w:r>
      <w:r w:rsidR="001A2F3A" w:rsidRPr="00A13719">
        <w:rPr>
          <w:rFonts w:eastAsiaTheme="minorEastAsia"/>
        </w:rPr>
        <w:t xml:space="preserve"> </w:t>
      </w:r>
      <w:r w:rsidR="00EB371D" w:rsidRPr="00A13719">
        <w:rPr>
          <w:rFonts w:eastAsiaTheme="minorEastAsia"/>
        </w:rPr>
        <w:t>Employing a combination of statistical method</w:t>
      </w:r>
      <w:r w:rsidR="00C61EB0" w:rsidRPr="00A13719">
        <w:rPr>
          <w:rFonts w:eastAsiaTheme="minorEastAsia"/>
        </w:rPr>
        <w:t>s</w:t>
      </w:r>
      <w:r w:rsidR="00EB371D" w:rsidRPr="00A13719">
        <w:rPr>
          <w:rFonts w:eastAsiaTheme="minorEastAsia"/>
        </w:rPr>
        <w:t xml:space="preserve"> and empirical judgement </w:t>
      </w:r>
      <w:r w:rsidR="00D81854" w:rsidRPr="00A13719">
        <w:rPr>
          <w:rFonts w:eastAsiaTheme="minorEastAsia"/>
        </w:rPr>
        <w:t>w</w:t>
      </w:r>
      <w:r w:rsidR="00EB371D" w:rsidRPr="00A13719">
        <w:rPr>
          <w:rFonts w:eastAsiaTheme="minorEastAsia"/>
        </w:rPr>
        <w:t>e use</w:t>
      </w:r>
      <w:r w:rsidR="001577A6" w:rsidRPr="00A13719">
        <w:rPr>
          <w:rFonts w:eastAsiaTheme="minorEastAsia"/>
        </w:rPr>
        <w:t xml:space="preserve"> </w:t>
      </w:r>
      <w:r w:rsidR="00EB371D" w:rsidRPr="00A13719">
        <w:rPr>
          <w:rFonts w:eastAsiaTheme="minorEastAsia"/>
        </w:rPr>
        <w:t xml:space="preserve">the most appropriate factors for a given strategy </w:t>
      </w:r>
      <w:r w:rsidR="00D81854" w:rsidRPr="00A13719">
        <w:rPr>
          <w:rFonts w:eastAsiaTheme="minorEastAsia"/>
        </w:rPr>
        <w:t>under a</w:t>
      </w:r>
      <w:r w:rsidR="00EB371D" w:rsidRPr="00A13719">
        <w:rPr>
          <w:rFonts w:eastAsiaTheme="minorEastAsia"/>
        </w:rPr>
        <w:t xml:space="preserve"> specific state of the economy.</w:t>
      </w:r>
    </w:p>
    <w:p w:rsidR="00072765" w:rsidRPr="00A13719" w:rsidRDefault="001A2F3A" w:rsidP="00EC5468">
      <w:pPr>
        <w:jc w:val="both"/>
        <w:rPr>
          <w:lang w:val="en-US"/>
        </w:rPr>
      </w:pPr>
      <w:r w:rsidRPr="00A13719">
        <w:rPr>
          <w:rFonts w:eastAsiaTheme="minorEastAsia"/>
        </w:rPr>
        <w:t xml:space="preserve">Within each state of the economy </w:t>
      </w:r>
      <w:r w:rsidR="00D81854" w:rsidRPr="00A13719">
        <w:rPr>
          <w:rFonts w:eastAsiaTheme="minorEastAsia"/>
        </w:rPr>
        <w:t>we</w:t>
      </w:r>
      <w:r w:rsidRPr="00A13719">
        <w:rPr>
          <w:rFonts w:eastAsiaTheme="minorEastAsia"/>
        </w:rPr>
        <w:t xml:space="preserve"> appl</w:t>
      </w:r>
      <w:r w:rsidR="00D81854" w:rsidRPr="00A13719">
        <w:rPr>
          <w:rFonts w:eastAsiaTheme="minorEastAsia"/>
        </w:rPr>
        <w:t>y</w:t>
      </w:r>
      <w:r w:rsidRPr="00A13719">
        <w:rPr>
          <w:rFonts w:eastAsiaTheme="minorEastAsia"/>
        </w:rPr>
        <w:t xml:space="preserve"> a step-wise regression technique </w:t>
      </w:r>
      <w:r w:rsidR="00B3215D" w:rsidRPr="00A13719">
        <w:rPr>
          <w:rFonts w:eastAsiaTheme="minorEastAsia"/>
        </w:rPr>
        <w:t>to limit the final list of factor</w:t>
      </w:r>
      <w:r w:rsidR="00D81854" w:rsidRPr="00A13719">
        <w:rPr>
          <w:rFonts w:eastAsiaTheme="minorEastAsia"/>
        </w:rPr>
        <w:t>s</w:t>
      </w:r>
      <w:r w:rsidR="00B3215D" w:rsidRPr="00A13719">
        <w:rPr>
          <w:rFonts w:eastAsiaTheme="minorEastAsia"/>
        </w:rPr>
        <w:t xml:space="preserve"> </w:t>
      </w:r>
      <w:r w:rsidR="00D81854" w:rsidRPr="00A13719">
        <w:rPr>
          <w:rFonts w:eastAsiaTheme="minorEastAsia"/>
        </w:rPr>
        <w:t>for</w:t>
      </w:r>
      <w:r w:rsidR="00B3215D" w:rsidRPr="00A13719">
        <w:rPr>
          <w:rFonts w:eastAsiaTheme="minorEastAsia"/>
        </w:rPr>
        <w:t xml:space="preserve"> each strategy</w:t>
      </w:r>
      <w:r w:rsidR="00D81854" w:rsidRPr="00A13719">
        <w:rPr>
          <w:rFonts w:eastAsiaTheme="minorEastAsia"/>
        </w:rPr>
        <w:t>.</w:t>
      </w:r>
      <w:r w:rsidR="00B3215D" w:rsidRPr="00A13719">
        <w:rPr>
          <w:rFonts w:eastAsiaTheme="minorEastAsia"/>
        </w:rPr>
        <w:t xml:space="preserve"> </w:t>
      </w:r>
      <w:r w:rsidR="00BB6619" w:rsidRPr="00A13719">
        <w:rPr>
          <w:rFonts w:eastAsiaTheme="minorEastAsia"/>
        </w:rPr>
        <w:t>This</w:t>
      </w:r>
      <w:r w:rsidR="0087104C" w:rsidRPr="00A13719">
        <w:rPr>
          <w:rFonts w:eastAsiaTheme="minorEastAsia"/>
        </w:rPr>
        <w:t xml:space="preserve"> eliminates variables with less significant relationship to ratings from the beginning and certainly it is much better than manually selected factors, just based on other authors’ suggestions, only. </w:t>
      </w:r>
      <w:r w:rsidR="004D2037" w:rsidRPr="00A13719">
        <w:rPr>
          <w:lang w:val="en-US"/>
        </w:rPr>
        <w:t>This technique has been used by many authors such as</w:t>
      </w:r>
      <w:r w:rsidR="00784E46" w:rsidRPr="00A13719">
        <w:rPr>
          <w:lang w:val="en-US"/>
        </w:rPr>
        <w:t xml:space="preserve"> </w:t>
      </w:r>
      <w:r w:rsidR="004D2037" w:rsidRPr="00A13719">
        <w:rPr>
          <w:lang w:val="en-US"/>
        </w:rPr>
        <w:t>Dor, Dynkin</w:t>
      </w:r>
      <w:r w:rsidR="00D81854" w:rsidRPr="00A13719">
        <w:rPr>
          <w:lang w:val="en-US"/>
        </w:rPr>
        <w:t xml:space="preserve"> and</w:t>
      </w:r>
      <w:r w:rsidR="004D2037" w:rsidRPr="00A13719">
        <w:rPr>
          <w:lang w:val="en-US"/>
        </w:rPr>
        <w:t xml:space="preserve"> Gould (2006)</w:t>
      </w:r>
      <w:r w:rsidR="008F773A" w:rsidRPr="00A13719">
        <w:rPr>
          <w:lang w:val="en-US"/>
        </w:rPr>
        <w:t xml:space="preserve">, Brown and Gaylor (2009), and </w:t>
      </w:r>
      <w:r w:rsidR="004D2037" w:rsidRPr="00A13719">
        <w:rPr>
          <w:lang w:val="en-US"/>
        </w:rPr>
        <w:t>Jawad</w:t>
      </w:r>
      <w:r w:rsidR="00A35454" w:rsidRPr="00A13719">
        <w:rPr>
          <w:lang w:val="en-US"/>
        </w:rPr>
        <w:t>i</w:t>
      </w:r>
      <w:r w:rsidR="00D81854" w:rsidRPr="00A13719">
        <w:rPr>
          <w:lang w:val="en-US"/>
        </w:rPr>
        <w:t xml:space="preserve"> and</w:t>
      </w:r>
      <w:r w:rsidR="004D2037" w:rsidRPr="00A13719">
        <w:rPr>
          <w:lang w:val="en-US"/>
        </w:rPr>
        <w:t xml:space="preserve"> Khanniche (2012)</w:t>
      </w:r>
      <w:r w:rsidR="008F773A" w:rsidRPr="00A13719">
        <w:rPr>
          <w:lang w:val="en-US"/>
        </w:rPr>
        <w:t xml:space="preserve">, </w:t>
      </w:r>
      <w:r w:rsidR="008F773A" w:rsidRPr="00A13719">
        <w:rPr>
          <w:rFonts w:cs="Times New Roman"/>
          <w:szCs w:val="24"/>
        </w:rPr>
        <w:t>Aebi, Sabato, and Schmid (2012)</w:t>
      </w:r>
      <w:r w:rsidR="004D2037" w:rsidRPr="00A13719">
        <w:rPr>
          <w:lang w:val="en-US"/>
        </w:rPr>
        <w:t xml:space="preserve">. </w:t>
      </w:r>
    </w:p>
    <w:p w:rsidR="001540EE" w:rsidRPr="00A13719" w:rsidRDefault="004D2037" w:rsidP="00EC5468">
      <w:pPr>
        <w:jc w:val="both"/>
        <w:rPr>
          <w:lang w:val="en-US"/>
        </w:rPr>
      </w:pPr>
      <w:r w:rsidRPr="00A13719">
        <w:rPr>
          <w:lang w:val="en-US"/>
        </w:rPr>
        <w:lastRenderedPageBreak/>
        <w:t xml:space="preserve">In this technique the variables are added or removed from the model depending on the significance of the F-value. 5% significance is used for both inclusion and exclusion. The single best variable is chosen initially. </w:t>
      </w:r>
      <w:r w:rsidR="001540EE" w:rsidRPr="00A13719">
        <w:rPr>
          <w:lang w:val="en-US"/>
        </w:rPr>
        <w:t xml:space="preserve">That is, variable </w:t>
      </w:r>
      <w:r w:rsidR="001540EE" w:rsidRPr="00A13719">
        <w:rPr>
          <w:i/>
          <w:lang w:val="en-US"/>
        </w:rPr>
        <w:t>i</w:t>
      </w:r>
      <w:r w:rsidR="001540EE" w:rsidRPr="00A13719">
        <w:rPr>
          <w:lang w:val="en-US"/>
        </w:rPr>
        <w:t xml:space="preserve"> is added to the p-term equation if </w:t>
      </w:r>
    </w:p>
    <w:p w:rsidR="001540EE" w:rsidRPr="00A13719" w:rsidRDefault="003C6351" w:rsidP="00EC5468">
      <w:pPr>
        <w:jc w:val="both"/>
        <w:rPr>
          <w:rFonts w:eastAsiaTheme="minorEastAsia"/>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max</m:t>
            </m:r>
          </m:e>
          <m:sub>
            <m:r>
              <w:rPr>
                <w:rFonts w:ascii="Cambria Math" w:hAnsi="Cambria Math"/>
                <w:lang w:val="en-US"/>
              </w:rPr>
              <m:t>i</m:t>
            </m:r>
          </m:sub>
        </m:sSub>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RSS</m:t>
                    </m:r>
                  </m:e>
                  <m:sub>
                    <m:r>
                      <w:rPr>
                        <w:rFonts w:ascii="Cambria Math" w:hAnsi="Cambria Math"/>
                        <w:lang w:val="en-US"/>
                      </w:rPr>
                      <m:t>p</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RSS</m:t>
                    </m:r>
                  </m:e>
                  <m:sub>
                    <m:r>
                      <w:rPr>
                        <w:rFonts w:ascii="Cambria Math" w:hAnsi="Cambria Math"/>
                        <w:lang w:val="en-US"/>
                      </w:rPr>
                      <m:t>p+1</m:t>
                    </m:r>
                  </m:sub>
                </m:sSub>
              </m:num>
              <m:den>
                <m:sSup>
                  <m:sSupPr>
                    <m:ctrlPr>
                      <w:rPr>
                        <w:rFonts w:ascii="Cambria Math" w:hAnsi="Cambria Math"/>
                        <w:i/>
                        <w:lang w:val="en-US"/>
                      </w:rPr>
                    </m:ctrlPr>
                  </m:sSupPr>
                  <m:e>
                    <m:d>
                      <m:dPr>
                        <m:ctrlPr>
                          <w:rPr>
                            <w:rFonts w:ascii="Cambria Math" w:hAnsi="Cambria Math"/>
                            <w:i/>
                            <w:lang w:val="en-US"/>
                          </w:rPr>
                        </m:ctrlPr>
                      </m:dPr>
                      <m:e>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l-GR"/>
                                  </w:rPr>
                                  <m:t>σ</m:t>
                                </m:r>
                              </m:e>
                            </m:acc>
                          </m:e>
                          <m:sub>
                            <m:r>
                              <w:rPr>
                                <w:rFonts w:ascii="Cambria Math" w:hAnsi="Cambria Math"/>
                                <w:lang w:val="en-US"/>
                              </w:rPr>
                              <m:t>p+i</m:t>
                            </m:r>
                          </m:sub>
                        </m:sSub>
                      </m:e>
                    </m:d>
                  </m:e>
                  <m:sup>
                    <m:r>
                      <w:rPr>
                        <w:rFonts w:ascii="Cambria Math" w:hAnsi="Cambria Math"/>
                        <w:lang w:val="en-US"/>
                      </w:rPr>
                      <m:t>2</m:t>
                    </m:r>
                  </m:sup>
                </m:sSup>
              </m:den>
            </m:f>
          </m:e>
        </m:d>
        <m:r>
          <w:rPr>
            <w:rFonts w:ascii="Cambria Math" w:hAnsi="Cambria Math"/>
            <w:lang w:val="en-US"/>
          </w:rPr>
          <m:t>&gt;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in</m:t>
            </m:r>
          </m:sub>
        </m:sSub>
      </m:oMath>
      <w:r w:rsidR="001540EE" w:rsidRPr="00A13719">
        <w:rPr>
          <w:rFonts w:eastAsiaTheme="minorEastAsia"/>
          <w:lang w:val="en-US"/>
        </w:rPr>
        <w:t xml:space="preserve"> </w:t>
      </w:r>
      <w:r w:rsidR="002B36AD" w:rsidRPr="00A13719">
        <w:rPr>
          <w:rFonts w:eastAsiaTheme="minorEastAsia"/>
          <w:lang w:val="en-US"/>
        </w:rPr>
        <w:tab/>
      </w:r>
      <w:r w:rsidR="002B36AD" w:rsidRPr="00A13719">
        <w:rPr>
          <w:rFonts w:eastAsiaTheme="minorEastAsia"/>
          <w:lang w:val="en-US"/>
        </w:rPr>
        <w:tab/>
      </w:r>
      <w:r w:rsidR="002B36AD" w:rsidRPr="00A13719">
        <w:rPr>
          <w:rFonts w:eastAsiaTheme="minorEastAsia"/>
          <w:lang w:val="en-US"/>
        </w:rPr>
        <w:tab/>
      </w:r>
      <w:r w:rsidR="002B36AD" w:rsidRPr="00A13719">
        <w:rPr>
          <w:rFonts w:eastAsiaTheme="minorEastAsia"/>
          <w:lang w:val="en-US"/>
        </w:rPr>
        <w:tab/>
      </w:r>
      <w:r w:rsidR="002B36AD" w:rsidRPr="00A13719">
        <w:rPr>
          <w:rFonts w:eastAsiaTheme="minorEastAsia"/>
          <w:lang w:val="en-US"/>
        </w:rPr>
        <w:tab/>
      </w:r>
      <w:r w:rsidR="002B36AD" w:rsidRPr="00A13719">
        <w:rPr>
          <w:rFonts w:eastAsiaTheme="minorEastAsia"/>
          <w:lang w:val="en-US"/>
        </w:rPr>
        <w:tab/>
      </w:r>
      <w:r w:rsidR="002B36AD" w:rsidRPr="00A13719">
        <w:rPr>
          <w:rFonts w:eastAsiaTheme="minorEastAsia"/>
          <w:lang w:val="en-US"/>
        </w:rPr>
        <w:tab/>
      </w:r>
      <w:r w:rsidR="002B36AD" w:rsidRPr="00A13719">
        <w:rPr>
          <w:rFonts w:eastAsiaTheme="minorEastAsia"/>
          <w:lang w:val="en-US"/>
        </w:rPr>
        <w:tab/>
        <w:t xml:space="preserve">    (5)</w:t>
      </w:r>
    </w:p>
    <w:p w:rsidR="00F17807" w:rsidRPr="00A13719" w:rsidRDefault="001540EE" w:rsidP="00EC5468">
      <w:pPr>
        <w:jc w:val="both"/>
        <w:rPr>
          <w:lang w:val="en-US"/>
        </w:rPr>
      </w:pPr>
      <w:r w:rsidRPr="00A13719">
        <w:rPr>
          <w:rFonts w:eastAsiaTheme="minorEastAsia"/>
          <w:lang w:val="en-US"/>
        </w:rPr>
        <w:t>The subscript (p+</w:t>
      </w:r>
      <w:r w:rsidRPr="00A13719">
        <w:rPr>
          <w:rFonts w:eastAsiaTheme="minorEastAsia"/>
          <w:i/>
          <w:lang w:val="en-US"/>
        </w:rPr>
        <w:t>i</w:t>
      </w:r>
      <w:r w:rsidRPr="00A13719">
        <w:rPr>
          <w:rFonts w:eastAsiaTheme="minorEastAsia"/>
          <w:lang w:val="en-US"/>
        </w:rPr>
        <w:t xml:space="preserve">) refers to quantities calculated when variable </w:t>
      </w:r>
      <w:r w:rsidRPr="00A13719">
        <w:rPr>
          <w:rFonts w:eastAsiaTheme="minorEastAsia"/>
          <w:i/>
          <w:lang w:val="en-US"/>
        </w:rPr>
        <w:t>i</w:t>
      </w:r>
      <w:r w:rsidRPr="00A13719">
        <w:rPr>
          <w:rFonts w:eastAsiaTheme="minorEastAsia"/>
          <w:lang w:val="en-US"/>
        </w:rPr>
        <w:t xml:space="preserve"> is adjoined to the current p-term equation</w:t>
      </w:r>
      <w:r w:rsidR="009E4636" w:rsidRPr="00A13719">
        <w:rPr>
          <w:rFonts w:eastAsiaTheme="minorEastAsia"/>
          <w:lang w:val="en-US"/>
        </w:rPr>
        <w:t>, one at a time</w:t>
      </w:r>
      <w:r w:rsidRPr="00A13719">
        <w:rPr>
          <w:rFonts w:eastAsiaTheme="minorEastAsia"/>
          <w:lang w:val="en-US"/>
        </w:rPr>
        <w:t xml:space="preserve">. The specification of the quantity </w:t>
      </w:r>
      <m:oMath>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in</m:t>
            </m:r>
          </m:sub>
        </m:sSub>
      </m:oMath>
      <w:r w:rsidRPr="00A13719">
        <w:rPr>
          <w:rFonts w:eastAsiaTheme="minorEastAsia"/>
          <w:lang w:val="en-US"/>
        </w:rPr>
        <w:t xml:space="preserve"> results in a rule for terminating the computations.</w:t>
      </w:r>
      <w:r w:rsidR="009E4636" w:rsidRPr="00A13719">
        <w:rPr>
          <w:rFonts w:eastAsiaTheme="minorEastAsia"/>
          <w:lang w:val="en-US"/>
        </w:rPr>
        <w:t xml:space="preserve"> Where </w:t>
      </w:r>
      <m:oMath>
        <m:sSub>
          <m:sSubPr>
            <m:ctrlPr>
              <w:rPr>
                <w:rFonts w:ascii="Cambria Math" w:eastAsiaTheme="minorEastAsia" w:hAnsi="Cambria Math"/>
                <w:i/>
                <w:lang w:val="en-US"/>
              </w:rPr>
            </m:ctrlPr>
          </m:sSubPr>
          <m:e>
            <m:r>
              <w:rPr>
                <w:rFonts w:ascii="Cambria Math" w:eastAsiaTheme="minorEastAsia" w:hAnsi="Cambria Math"/>
                <w:lang w:val="en-US"/>
              </w:rPr>
              <m:t>RSS</m:t>
            </m:r>
          </m:e>
          <m:sub>
            <m:r>
              <w:rPr>
                <w:rFonts w:ascii="Cambria Math" w:eastAsiaTheme="minorEastAsia" w:hAnsi="Cambria Math"/>
                <w:lang w:val="en-US"/>
              </w:rPr>
              <m:t>p+i</m:t>
            </m:r>
          </m:sub>
        </m:sSub>
      </m:oMath>
      <w:r w:rsidR="009E4636" w:rsidRPr="00A13719">
        <w:rPr>
          <w:rFonts w:eastAsiaTheme="minorEastAsia"/>
          <w:lang w:val="en-US"/>
        </w:rPr>
        <w:t xml:space="preserve"> denotes the residual sum of squares when a variable </w:t>
      </w:r>
      <w:r w:rsidR="009E4636" w:rsidRPr="00A13719">
        <w:rPr>
          <w:rFonts w:eastAsiaTheme="minorEastAsia"/>
          <w:i/>
          <w:lang w:val="en-US"/>
        </w:rPr>
        <w:t>i</w:t>
      </w:r>
      <w:r w:rsidR="009E4636" w:rsidRPr="00A13719">
        <w:rPr>
          <w:rFonts w:eastAsiaTheme="minorEastAsia"/>
          <w:lang w:val="en-US"/>
        </w:rPr>
        <w:t xml:space="preserve"> is added to the current p-term equation.</w:t>
      </w:r>
      <w:r w:rsidR="002B36AD" w:rsidRPr="00A13719">
        <w:rPr>
          <w:lang w:val="en-US"/>
        </w:rPr>
        <w:t xml:space="preserve"> </w:t>
      </w:r>
      <w:r w:rsidR="00BC2651" w:rsidRPr="00A13719">
        <w:rPr>
          <w:rFonts w:cs="Times New Roman"/>
          <w:szCs w:val="24"/>
        </w:rPr>
        <w:t>Our study considers a large number of monthly observations (from 01/1990-03/2014), hence, the stepwise regression allows</w:t>
      </w:r>
      <w:r w:rsidR="0089510B" w:rsidRPr="00A13719">
        <w:rPr>
          <w:rFonts w:cs="Times New Roman"/>
          <w:szCs w:val="24"/>
        </w:rPr>
        <w:t xml:space="preserve"> us</w:t>
      </w:r>
      <w:r w:rsidR="00BC2651" w:rsidRPr="00A13719">
        <w:rPr>
          <w:rFonts w:cs="Times New Roman"/>
          <w:szCs w:val="24"/>
        </w:rPr>
        <w:t xml:space="preserve"> to examine the importance of a large set of variables.</w:t>
      </w:r>
      <w:r w:rsidR="004D2037" w:rsidRPr="00A13719">
        <w:rPr>
          <w:lang w:val="en-US"/>
        </w:rPr>
        <w:t xml:space="preserve"> </w:t>
      </w:r>
      <w:r w:rsidR="00E33D37" w:rsidRPr="00A13719">
        <w:rPr>
          <w:lang w:val="en-US"/>
        </w:rPr>
        <w:t xml:space="preserve">It is important to mention that the independent variables should be uncorrelated (as we have already examined) otherwise the results would be spurious.  </w:t>
      </w:r>
    </w:p>
    <w:p w:rsidR="0055705F" w:rsidRPr="00A13719" w:rsidRDefault="00F33219" w:rsidP="00EC5468">
      <w:pPr>
        <w:jc w:val="both"/>
        <w:rPr>
          <w:lang w:val="en-US"/>
        </w:rPr>
      </w:pPr>
      <w:r w:rsidRPr="00A13719">
        <w:rPr>
          <w:rFonts w:eastAsiaTheme="minorEastAsia"/>
        </w:rPr>
        <w:t xml:space="preserve">The proposed </w:t>
      </w:r>
      <w:r w:rsidR="004966E8" w:rsidRPr="00A13719">
        <w:rPr>
          <w:rFonts w:eastAsiaTheme="minorEastAsia"/>
        </w:rPr>
        <w:t xml:space="preserve">model </w:t>
      </w:r>
      <w:r w:rsidR="00690715" w:rsidRPr="00A13719">
        <w:rPr>
          <w:rFonts w:eastAsiaTheme="minorEastAsia"/>
        </w:rPr>
        <w:t xml:space="preserve">has </w:t>
      </w:r>
      <w:r w:rsidRPr="00A13719">
        <w:rPr>
          <w:rFonts w:eastAsiaTheme="minorEastAsia"/>
        </w:rPr>
        <w:t xml:space="preserve">also </w:t>
      </w:r>
      <w:r w:rsidR="00690715" w:rsidRPr="00A13719">
        <w:rPr>
          <w:rFonts w:eastAsiaTheme="minorEastAsia"/>
        </w:rPr>
        <w:t>break points</w:t>
      </w:r>
      <w:r w:rsidR="0056208D" w:rsidRPr="00A13719">
        <w:rPr>
          <w:rFonts w:eastAsiaTheme="minorEastAsia"/>
        </w:rPr>
        <w:t xml:space="preserve"> that are specified </w:t>
      </w:r>
      <w:r w:rsidR="002F337F" w:rsidRPr="00A13719">
        <w:rPr>
          <w:rFonts w:eastAsiaTheme="minorEastAsia"/>
        </w:rPr>
        <w:t xml:space="preserve">by a stochastic process using </w:t>
      </w:r>
      <w:r w:rsidR="00C458F9" w:rsidRPr="00A13719">
        <w:rPr>
          <w:rFonts w:eastAsiaTheme="minorEastAsia"/>
        </w:rPr>
        <w:t>a Markov regime-switchi</w:t>
      </w:r>
      <w:r w:rsidR="00570FB4" w:rsidRPr="00A13719">
        <w:rPr>
          <w:rFonts w:eastAsiaTheme="minorEastAsia"/>
        </w:rPr>
        <w:t>ng model (Hamilton, 1989</w:t>
      </w:r>
      <w:r w:rsidR="00B949FE" w:rsidRPr="00A13719">
        <w:rPr>
          <w:rFonts w:eastAsiaTheme="minorEastAsia"/>
        </w:rPr>
        <w:t>)</w:t>
      </w:r>
      <w:r w:rsidR="00D81854" w:rsidRPr="00A13719">
        <w:rPr>
          <w:rFonts w:eastAsiaTheme="minorEastAsia"/>
        </w:rPr>
        <w:t xml:space="preserve">. </w:t>
      </w:r>
      <w:r w:rsidR="0056208D" w:rsidRPr="00A13719">
        <w:rPr>
          <w:lang w:val="en-US"/>
        </w:rPr>
        <w:t>Meligkotsidou and Vrontos (2014)</w:t>
      </w:r>
      <w:r w:rsidR="002934DD" w:rsidRPr="00A13719">
        <w:rPr>
          <w:lang w:val="en-US"/>
        </w:rPr>
        <w:t xml:space="preserve"> </w:t>
      </w:r>
      <w:r w:rsidR="006327DD" w:rsidRPr="00A13719">
        <w:rPr>
          <w:lang w:val="en-US"/>
        </w:rPr>
        <w:t xml:space="preserve">and </w:t>
      </w:r>
      <w:r w:rsidR="006327DD" w:rsidRPr="00A13719">
        <w:rPr>
          <w:rFonts w:eastAsiaTheme="minorEastAsia"/>
        </w:rPr>
        <w:t>Billio, Getmansky and Pelizzon (2012)</w:t>
      </w:r>
      <w:r w:rsidR="0055705F" w:rsidRPr="00A13719">
        <w:rPr>
          <w:lang w:val="en-US"/>
        </w:rPr>
        <w:t xml:space="preserve"> </w:t>
      </w:r>
      <w:r w:rsidR="002934DD" w:rsidRPr="00A13719">
        <w:rPr>
          <w:lang w:val="en-US"/>
        </w:rPr>
        <w:t>measur</w:t>
      </w:r>
      <w:r w:rsidR="00D81854" w:rsidRPr="00A13719">
        <w:rPr>
          <w:lang w:val="en-US"/>
        </w:rPr>
        <w:t>ed</w:t>
      </w:r>
      <w:r w:rsidR="002934DD" w:rsidRPr="00A13719">
        <w:rPr>
          <w:lang w:val="en-US"/>
        </w:rPr>
        <w:t xml:space="preserve"> th</w:t>
      </w:r>
      <w:r w:rsidR="00307D7B" w:rsidRPr="00A13719">
        <w:rPr>
          <w:lang w:val="en-US"/>
        </w:rPr>
        <w:t xml:space="preserve">e structural breaks of </w:t>
      </w:r>
      <w:r w:rsidR="009C1064" w:rsidRPr="00A13719">
        <w:rPr>
          <w:rFonts w:eastAsiaTheme="minorEastAsia"/>
          <w:lang w:val="en-US"/>
        </w:rPr>
        <w:t>HF</w:t>
      </w:r>
      <w:r w:rsidR="0055705F" w:rsidRPr="00A13719">
        <w:rPr>
          <w:lang w:val="en-US"/>
        </w:rPr>
        <w:t xml:space="preserve"> </w:t>
      </w:r>
      <w:r w:rsidR="00307D7B" w:rsidRPr="00A13719">
        <w:rPr>
          <w:lang w:val="en-US"/>
        </w:rPr>
        <w:t>returns</w:t>
      </w:r>
      <w:r w:rsidR="0055705F" w:rsidRPr="00A13719">
        <w:rPr>
          <w:lang w:val="en-US"/>
        </w:rPr>
        <w:t xml:space="preserve"> and volatility</w:t>
      </w:r>
      <w:r w:rsidR="0056208D" w:rsidRPr="00A13719">
        <w:rPr>
          <w:lang w:val="en-US"/>
        </w:rPr>
        <w:t xml:space="preserve">. </w:t>
      </w:r>
      <w:r w:rsidR="00B949FE" w:rsidRPr="00A13719">
        <w:rPr>
          <w:lang w:val="en-US"/>
        </w:rPr>
        <w:t>However, in our model we meas</w:t>
      </w:r>
      <w:r w:rsidR="008B4465" w:rsidRPr="00A13719">
        <w:rPr>
          <w:lang w:val="en-US"/>
        </w:rPr>
        <w:t xml:space="preserve">ure the exposures of </w:t>
      </w:r>
      <w:r w:rsidR="009C1064" w:rsidRPr="00A13719">
        <w:rPr>
          <w:rFonts w:eastAsiaTheme="minorEastAsia"/>
          <w:lang w:val="en-US"/>
        </w:rPr>
        <w:t>HF</w:t>
      </w:r>
      <w:r w:rsidR="00B949FE" w:rsidRPr="00A13719">
        <w:rPr>
          <w:lang w:val="en-US"/>
        </w:rPr>
        <w:t xml:space="preserve"> returns taking into consideration the different states of the market index</w:t>
      </w:r>
      <w:r w:rsidR="00F61E9F" w:rsidRPr="00A13719">
        <w:rPr>
          <w:lang w:val="en-US"/>
        </w:rPr>
        <w:t>,</w:t>
      </w:r>
      <w:r w:rsidR="005420AF" w:rsidRPr="00A13719">
        <w:rPr>
          <w:lang w:val="en-US"/>
        </w:rPr>
        <w:t xml:space="preserve"> </w:t>
      </w:r>
      <w:r w:rsidR="009C4B40" w:rsidRPr="00A13719">
        <w:rPr>
          <w:lang w:val="en-US"/>
        </w:rPr>
        <w:t>as the market is</w:t>
      </w:r>
      <w:r w:rsidR="005420AF" w:rsidRPr="00A13719">
        <w:rPr>
          <w:lang w:val="en-US"/>
        </w:rPr>
        <w:t xml:space="preserve"> the most important factor</w:t>
      </w:r>
      <w:r w:rsidR="00D81854" w:rsidRPr="00A13719">
        <w:rPr>
          <w:lang w:val="en-US"/>
        </w:rPr>
        <w:t>. We use</w:t>
      </w:r>
      <w:r w:rsidR="00B949FE" w:rsidRPr="00A13719">
        <w:rPr>
          <w:lang w:val="en-US"/>
        </w:rPr>
        <w:t xml:space="preserve"> the Wilshire 5000TRI including dividends, represented by two different states: up regime</w:t>
      </w:r>
      <w:r w:rsidR="00D81854" w:rsidRPr="00A13719">
        <w:rPr>
          <w:lang w:val="en-US"/>
        </w:rPr>
        <w:t xml:space="preserve"> and</w:t>
      </w:r>
      <w:r w:rsidR="00B949FE" w:rsidRPr="00A13719">
        <w:rPr>
          <w:lang w:val="en-US"/>
        </w:rPr>
        <w:t xml:space="preserve"> down regime</w:t>
      </w:r>
      <w:r w:rsidR="00D81854" w:rsidRPr="00A13719">
        <w:rPr>
          <w:lang w:val="en-US"/>
        </w:rPr>
        <w:t>,</w:t>
      </w:r>
      <w:r w:rsidR="00E72172" w:rsidRPr="00A13719">
        <w:rPr>
          <w:lang w:val="en-US"/>
        </w:rPr>
        <w:t xml:space="preserve"> cover</w:t>
      </w:r>
      <w:r w:rsidR="00D81854" w:rsidRPr="00A13719">
        <w:rPr>
          <w:lang w:val="en-US"/>
        </w:rPr>
        <w:t>ing</w:t>
      </w:r>
      <w:r w:rsidR="00E72172" w:rsidRPr="00A13719">
        <w:rPr>
          <w:lang w:val="en-US"/>
        </w:rPr>
        <w:t xml:space="preserve"> </w:t>
      </w:r>
      <w:r w:rsidR="00D81854" w:rsidRPr="00A13719">
        <w:rPr>
          <w:lang w:val="en-US"/>
        </w:rPr>
        <w:t xml:space="preserve">a </w:t>
      </w:r>
      <w:r w:rsidR="00E72172" w:rsidRPr="00A13719">
        <w:rPr>
          <w:lang w:val="en-US"/>
        </w:rPr>
        <w:t>24 year period</w:t>
      </w:r>
      <w:r w:rsidR="00FC030A" w:rsidRPr="00A13719">
        <w:rPr>
          <w:rStyle w:val="FootnoteReference"/>
          <w:lang w:val="en-US"/>
        </w:rPr>
        <w:footnoteReference w:id="8"/>
      </w:r>
      <w:r w:rsidR="00E72172" w:rsidRPr="00A13719">
        <w:rPr>
          <w:lang w:val="en-US"/>
        </w:rPr>
        <w:t>.</w:t>
      </w:r>
      <w:r w:rsidR="00B949FE" w:rsidRPr="00A13719">
        <w:rPr>
          <w:lang w:val="en-US"/>
        </w:rPr>
        <w:t xml:space="preserve"> </w:t>
      </w:r>
    </w:p>
    <w:p w:rsidR="00E942DC" w:rsidRPr="00A13719" w:rsidRDefault="00E942DC" w:rsidP="00E942DC">
      <w:pPr>
        <w:jc w:val="both"/>
      </w:pPr>
      <w:r w:rsidRPr="00A13719">
        <w:rPr>
          <w:lang w:val="en-US"/>
        </w:rPr>
        <w:t xml:space="preserve">Under the Markov switching approach the possible outcomes lie in </w:t>
      </w:r>
      <w:r w:rsidRPr="00A13719">
        <w:rPr>
          <w:i/>
          <w:lang w:val="en-US"/>
        </w:rPr>
        <w:t>m</w:t>
      </w:r>
      <w:r w:rsidRPr="00A13719">
        <w:rPr>
          <w:lang w:val="en-US"/>
        </w:rPr>
        <w:t xml:space="preserve"> states of the world, denoted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i</m:t>
            </m:r>
          </m:sub>
        </m:sSub>
      </m:oMath>
      <w:r w:rsidRPr="00A13719">
        <w:rPr>
          <w:lang w:val="en-US"/>
        </w:rPr>
        <w:t xml:space="preserve">, </w:t>
      </w:r>
      <w:r w:rsidRPr="00A13719">
        <w:rPr>
          <w:i/>
          <w:lang w:val="en-US"/>
        </w:rPr>
        <w:t>i</w:t>
      </w:r>
      <w:r w:rsidRPr="00A13719">
        <w:rPr>
          <w:lang w:val="en-US"/>
        </w:rPr>
        <w:t>=1,2,…,</w:t>
      </w:r>
      <w:r w:rsidRPr="00A13719">
        <w:rPr>
          <w:i/>
          <w:lang w:val="en-US"/>
        </w:rPr>
        <w:t>m</w:t>
      </w:r>
      <w:r w:rsidRPr="00A13719">
        <w:rPr>
          <w:lang w:val="en-US"/>
        </w:rPr>
        <w:t xml:space="preserve">, corresponding to </w:t>
      </w:r>
      <w:r w:rsidRPr="00A13719">
        <w:rPr>
          <w:i/>
          <w:lang w:val="en-US"/>
        </w:rPr>
        <w:t>m</w:t>
      </w:r>
      <w:r w:rsidRPr="00A13719">
        <w:rPr>
          <w:lang w:val="en-US"/>
        </w:rPr>
        <w:t xml:space="preserve"> regimes. In our analysis, we will assume two regimes, </w:t>
      </w:r>
      <w:r w:rsidRPr="00A13719">
        <w:rPr>
          <w:i/>
          <w:lang w:val="en-US"/>
        </w:rPr>
        <w:t>m</w:t>
      </w:r>
      <w:r w:rsidRPr="00A13719">
        <w:rPr>
          <w:lang w:val="en-US"/>
        </w:rPr>
        <w:t xml:space="preserve">=1 or </w:t>
      </w:r>
      <w:r w:rsidRPr="00A13719">
        <w:rPr>
          <w:i/>
          <w:lang w:val="en-US"/>
        </w:rPr>
        <w:t>m</w:t>
      </w:r>
      <w:r w:rsidRPr="00A13719">
        <w:rPr>
          <w:lang w:val="en-US"/>
        </w:rPr>
        <w:t xml:space="preserve">=2. Hence if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1</m:t>
            </m:r>
          </m:sub>
        </m:sSub>
      </m:oMath>
      <w:r w:rsidRPr="00A13719">
        <w:rPr>
          <w:lang w:val="en-US"/>
        </w:rPr>
        <w:t xml:space="preserve">=1 the process is in regime 1 at time </w:t>
      </w:r>
      <w:r w:rsidRPr="00A13719">
        <w:rPr>
          <w:i/>
          <w:lang w:val="en-US"/>
        </w:rPr>
        <w:t>t</w:t>
      </w:r>
      <w:r w:rsidRPr="00A13719">
        <w:rPr>
          <w:lang w:val="en-US"/>
        </w:rPr>
        <w:t xml:space="preserve">, and if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t</m:t>
            </m:r>
          </m:sub>
        </m:sSub>
      </m:oMath>
      <w:r w:rsidRPr="00A13719">
        <w:rPr>
          <w:lang w:val="en-US"/>
        </w:rPr>
        <w:t xml:space="preserve">=2, the process is in regime 2 at time </w:t>
      </w:r>
      <w:r w:rsidRPr="00A13719">
        <w:rPr>
          <w:i/>
          <w:lang w:val="en-US"/>
        </w:rPr>
        <w:t>t</w:t>
      </w:r>
      <w:r w:rsidRPr="00A13719">
        <w:rPr>
          <w:lang w:val="en-US"/>
        </w:rPr>
        <w:t>. The movements of the state variable between regimes are uncontrollable and governed by the Markov process. That Markov property can be expressed as:</w:t>
      </w:r>
      <w:r w:rsidRPr="00A13719">
        <w:t xml:space="preserve"> </w:t>
      </w:r>
    </w:p>
    <w:p w:rsidR="00E942DC" w:rsidRPr="00A13719" w:rsidRDefault="00E942DC" w:rsidP="00E942DC">
      <w:pPr>
        <w:jc w:val="both"/>
        <w:rPr>
          <w:lang w:val="en-US"/>
        </w:rPr>
      </w:pPr>
      <m:oMath>
        <m:r>
          <w:rPr>
            <w:rFonts w:ascii="Cambria Math" w:hAnsi="Cambria Math"/>
            <w:lang w:val="en-US"/>
          </w:rPr>
          <m:t>P</m:t>
        </m:r>
        <m:d>
          <m:dPr>
            <m:begChr m:val="["/>
            <m:endChr m:val="]"/>
            <m:ctrlPr>
              <w:rPr>
                <w:rFonts w:ascii="Cambria Math" w:hAnsi="Cambria Math"/>
                <w:i/>
                <w:lang w:val="en-US"/>
              </w:rPr>
            </m:ctrlPr>
          </m:dPr>
          <m:e>
            <m:r>
              <w:rPr>
                <w:rFonts w:ascii="Cambria Math" w:hAnsi="Cambria Math"/>
                <w:lang w:val="el-GR"/>
              </w:rPr>
              <m:t>α</m:t>
            </m:r>
            <m:r>
              <w:rPr>
                <w:rFonts w:ascii="Cambria Math" w:hAnsi="Cambria Math"/>
              </w:rPr>
              <m:t>&lt;</m:t>
            </m:r>
            <m:sSub>
              <m:sSubPr>
                <m:ctrlPr>
                  <w:rPr>
                    <w:rFonts w:ascii="Cambria Math" w:hAnsi="Cambria Math"/>
                    <w:i/>
                    <w:lang w:val="el-GR"/>
                  </w:rPr>
                </m:ctrlPr>
              </m:sSubPr>
              <m:e>
                <m:r>
                  <w:rPr>
                    <w:rFonts w:ascii="Cambria Math" w:hAnsi="Cambria Math"/>
                    <w:lang w:val="el-GR"/>
                  </w:rPr>
                  <m:t>y</m:t>
                </m:r>
              </m:e>
              <m:sub>
                <m:r>
                  <w:rPr>
                    <w:rFonts w:ascii="Cambria Math" w:hAnsi="Cambria Math"/>
                    <w:lang w:val="el-GR"/>
                  </w:rPr>
                  <m:t>t</m:t>
                </m:r>
              </m:sub>
            </m:sSub>
            <m:r>
              <w:rPr>
                <w:rFonts w:ascii="Cambria Math" w:hAnsi="Cambria Math"/>
                <w:lang w:val="en-US"/>
              </w:rPr>
              <m:t>≤b |</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t-1</m:t>
                </m:r>
              </m:sub>
            </m:sSub>
          </m:e>
        </m:d>
        <m:r>
          <w:rPr>
            <w:rFonts w:ascii="Cambria Math" w:hAnsi="Cambria Math"/>
            <w:lang w:val="en-US"/>
          </w:rPr>
          <m:t>=P[</m:t>
        </m:r>
        <m:r>
          <w:rPr>
            <w:rFonts w:ascii="Cambria Math" w:hAnsi="Cambria Math"/>
            <w:lang w:val="el-GR"/>
          </w:rPr>
          <m:t>α</m:t>
        </m:r>
        <m:r>
          <w:rPr>
            <w:rFonts w:ascii="Cambria Math" w:hAnsi="Cambria Math"/>
          </w:rPr>
          <m:t>&lt;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≤b|</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lang w:val="en-US"/>
          </w:rPr>
          <m:t>]</m:t>
        </m:r>
      </m:oMath>
      <w:r w:rsidRPr="00A13719">
        <w:rPr>
          <w:lang w:val="en-US"/>
        </w:rPr>
        <w:t xml:space="preserve">   </w:t>
      </w:r>
      <w:r w:rsidRPr="00A13719">
        <w:rPr>
          <w:lang w:val="en-US"/>
        </w:rPr>
        <w:tab/>
      </w:r>
      <w:r w:rsidRPr="00A13719">
        <w:rPr>
          <w:lang w:val="en-US"/>
        </w:rPr>
        <w:tab/>
      </w:r>
      <w:r w:rsidRPr="00A13719">
        <w:rPr>
          <w:lang w:val="en-US"/>
        </w:rPr>
        <w:tab/>
      </w:r>
      <w:r w:rsidRPr="00A13719">
        <w:rPr>
          <w:lang w:val="en-US"/>
        </w:rPr>
        <w:tab/>
      </w:r>
      <w:r w:rsidRPr="00A13719">
        <w:rPr>
          <w:lang w:val="en-US"/>
        </w:rPr>
        <w:tab/>
      </w:r>
      <w:r w:rsidR="00AE0277" w:rsidRPr="00A13719">
        <w:rPr>
          <w:lang w:val="en-US"/>
        </w:rPr>
        <w:t xml:space="preserve">    </w:t>
      </w:r>
      <w:r w:rsidRPr="00A13719">
        <w:rPr>
          <w:lang w:val="en-US"/>
        </w:rPr>
        <w:t>(</w:t>
      </w:r>
      <w:r w:rsidR="002B36AD" w:rsidRPr="00A13719">
        <w:rPr>
          <w:lang w:val="en-US"/>
        </w:rPr>
        <w:t>6</w:t>
      </w:r>
      <w:r w:rsidRPr="00A13719">
        <w:rPr>
          <w:lang w:val="en-US"/>
        </w:rPr>
        <w:t>)</w:t>
      </w:r>
    </w:p>
    <w:p w:rsidR="00E942DC" w:rsidRPr="00A13719" w:rsidRDefault="00E942DC" w:rsidP="00E942DC">
      <w:pPr>
        <w:jc w:val="both"/>
        <w:rPr>
          <w:lang w:val="en-US"/>
        </w:rPr>
      </w:pPr>
      <w:r w:rsidRPr="00A13719">
        <w:rPr>
          <w:lang w:val="en-US"/>
        </w:rPr>
        <w:lastRenderedPageBreak/>
        <w:t xml:space="preserve">The above equation states that the probability distribution of the state of any time t depends only on the state at time t-1, only. </w:t>
      </w:r>
    </w:p>
    <w:p w:rsidR="00E942DC" w:rsidRPr="00A13719" w:rsidRDefault="00E942DC" w:rsidP="00E942DC">
      <w:pPr>
        <w:jc w:val="both"/>
        <w:rPr>
          <w:lang w:val="en-US"/>
        </w:rPr>
      </w:pPr>
      <w:r w:rsidRPr="00A13719">
        <w:rPr>
          <w:lang w:val="en-US"/>
        </w:rPr>
        <w:t xml:space="preserve">The most basic form of Hamilton’s (1989) model comprises an unobserved state variable, denoted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t</m:t>
            </m:r>
          </m:sub>
        </m:sSub>
      </m:oMath>
      <w:r w:rsidRPr="00A13719">
        <w:rPr>
          <w:lang w:val="en-US"/>
        </w:rPr>
        <w:t>, that is theorized to evaluate according to a first order Markov process:</w:t>
      </w:r>
    </w:p>
    <w:p w:rsidR="00E942DC" w:rsidRPr="00A13719" w:rsidRDefault="00E942DC" w:rsidP="00E942DC">
      <w:pPr>
        <w:jc w:val="both"/>
        <w:rPr>
          <w:rFonts w:eastAsiaTheme="minorEastAsia"/>
        </w:rPr>
      </w:pPr>
      <m:oMath>
        <m:r>
          <w:rPr>
            <w:rFonts w:ascii="Cambria Math" w:hAnsi="Cambria Math"/>
          </w:rPr>
          <m:t>prob</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=1|</m:t>
            </m:r>
            <m:sSub>
              <m:sSubPr>
                <m:ctrlPr>
                  <w:rPr>
                    <w:rFonts w:ascii="Cambria Math" w:hAnsi="Cambria Math"/>
                    <w:i/>
                  </w:rPr>
                </m:ctrlPr>
              </m:sSubPr>
              <m:e>
                <m:r>
                  <w:rPr>
                    <w:rFonts w:ascii="Cambria Math" w:hAnsi="Cambria Math"/>
                  </w:rPr>
                  <m:t>z</m:t>
                </m:r>
              </m:e>
              <m:sub>
                <m:r>
                  <w:rPr>
                    <w:rFonts w:ascii="Cambria Math" w:hAnsi="Cambria Math"/>
                  </w:rPr>
                  <m:t>t-1</m:t>
                </m:r>
              </m:sub>
            </m:sSub>
            <m:r>
              <w:rPr>
                <w:rFonts w:ascii="Cambria Math" w:hAnsi="Cambria Math"/>
              </w:rPr>
              <m:t>=1</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11</m:t>
            </m:r>
          </m:sub>
        </m:sSub>
      </m:oMath>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00AE0277" w:rsidRPr="00A13719">
        <w:rPr>
          <w:rFonts w:eastAsiaTheme="minorEastAsia"/>
        </w:rPr>
        <w:t xml:space="preserve">     </w:t>
      </w:r>
      <w:r w:rsidRPr="00A13719">
        <w:rPr>
          <w:rFonts w:eastAsiaTheme="minorEastAsia"/>
        </w:rPr>
        <w:t>(</w:t>
      </w:r>
      <w:r w:rsidR="002B36AD" w:rsidRPr="00A13719">
        <w:rPr>
          <w:rFonts w:eastAsiaTheme="minorEastAsia"/>
        </w:rPr>
        <w:t>7</w:t>
      </w:r>
      <w:r w:rsidRPr="00A13719">
        <w:rPr>
          <w:rFonts w:eastAsiaTheme="minorEastAsia"/>
        </w:rPr>
        <w:t>)</w:t>
      </w:r>
    </w:p>
    <w:p w:rsidR="00E942DC" w:rsidRPr="00A13719" w:rsidRDefault="00E942DC" w:rsidP="00E942DC">
      <w:pPr>
        <w:jc w:val="both"/>
        <w:rPr>
          <w:rFonts w:eastAsiaTheme="minorEastAsia"/>
        </w:rPr>
      </w:pPr>
      <m:oMath>
        <m:r>
          <w:rPr>
            <w:rFonts w:ascii="Cambria Math" w:hAnsi="Cambria Math"/>
          </w:rPr>
          <m:t>prob</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=2|</m:t>
            </m:r>
            <m:sSub>
              <m:sSubPr>
                <m:ctrlPr>
                  <w:rPr>
                    <w:rFonts w:ascii="Cambria Math" w:hAnsi="Cambria Math"/>
                    <w:i/>
                  </w:rPr>
                </m:ctrlPr>
              </m:sSubPr>
              <m:e>
                <m:r>
                  <w:rPr>
                    <w:rFonts w:ascii="Cambria Math" w:hAnsi="Cambria Math"/>
                  </w:rPr>
                  <m:t>z</m:t>
                </m:r>
              </m:e>
              <m:sub>
                <m:r>
                  <w:rPr>
                    <w:rFonts w:ascii="Cambria Math" w:hAnsi="Cambria Math"/>
                  </w:rPr>
                  <m:t>t-1</m:t>
                </m:r>
              </m:sub>
            </m:sSub>
            <m:r>
              <w:rPr>
                <w:rFonts w:ascii="Cambria Math" w:hAnsi="Cambria Math"/>
              </w:rPr>
              <m:t>=1</m:t>
            </m:r>
          </m:e>
        </m:d>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11</m:t>
            </m:r>
          </m:sub>
        </m:sSub>
      </m:oMath>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00AE0277" w:rsidRPr="00A13719">
        <w:rPr>
          <w:rFonts w:eastAsiaTheme="minorEastAsia"/>
        </w:rPr>
        <w:t xml:space="preserve">     </w:t>
      </w:r>
      <w:r w:rsidRPr="00A13719">
        <w:rPr>
          <w:rFonts w:eastAsiaTheme="minorEastAsia"/>
        </w:rPr>
        <w:t>(</w:t>
      </w:r>
      <w:r w:rsidR="002B36AD" w:rsidRPr="00A13719">
        <w:rPr>
          <w:rFonts w:eastAsiaTheme="minorEastAsia"/>
        </w:rPr>
        <w:t>8</w:t>
      </w:r>
      <w:r w:rsidRPr="00A13719">
        <w:rPr>
          <w:rFonts w:eastAsiaTheme="minorEastAsia"/>
        </w:rPr>
        <w:t>)</w:t>
      </w:r>
    </w:p>
    <w:p w:rsidR="00E942DC" w:rsidRPr="00A13719" w:rsidRDefault="00E942DC" w:rsidP="00E942DC">
      <w:pPr>
        <w:jc w:val="both"/>
        <w:rPr>
          <w:rFonts w:eastAsiaTheme="minorEastAsia"/>
        </w:rPr>
      </w:pPr>
      <m:oMath>
        <m:r>
          <w:rPr>
            <w:rFonts w:ascii="Cambria Math" w:hAnsi="Cambria Math"/>
          </w:rPr>
          <m:t>prob</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=2|</m:t>
            </m:r>
            <m:sSub>
              <m:sSubPr>
                <m:ctrlPr>
                  <w:rPr>
                    <w:rFonts w:ascii="Cambria Math" w:hAnsi="Cambria Math"/>
                    <w:i/>
                  </w:rPr>
                </m:ctrlPr>
              </m:sSubPr>
              <m:e>
                <m:r>
                  <w:rPr>
                    <w:rFonts w:ascii="Cambria Math" w:hAnsi="Cambria Math"/>
                  </w:rPr>
                  <m:t>z</m:t>
                </m:r>
              </m:e>
              <m:sub>
                <m:r>
                  <w:rPr>
                    <w:rFonts w:ascii="Cambria Math" w:hAnsi="Cambria Math"/>
                  </w:rPr>
                  <m:t>t-1</m:t>
                </m:r>
              </m:sub>
            </m:sSub>
            <m:r>
              <w:rPr>
                <w:rFonts w:ascii="Cambria Math" w:hAnsi="Cambria Math"/>
              </w:rPr>
              <m:t>=2</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22</m:t>
            </m:r>
          </m:sub>
        </m:sSub>
      </m:oMath>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00AE0277" w:rsidRPr="00A13719">
        <w:rPr>
          <w:rFonts w:eastAsiaTheme="minorEastAsia"/>
        </w:rPr>
        <w:t xml:space="preserve">     </w:t>
      </w:r>
      <w:r w:rsidRPr="00A13719">
        <w:rPr>
          <w:rFonts w:eastAsiaTheme="minorEastAsia"/>
        </w:rPr>
        <w:t>(</w:t>
      </w:r>
      <w:r w:rsidR="002B36AD" w:rsidRPr="00A13719">
        <w:rPr>
          <w:rFonts w:eastAsiaTheme="minorEastAsia"/>
        </w:rPr>
        <w:t>9</w:t>
      </w:r>
      <w:r w:rsidRPr="00A13719">
        <w:rPr>
          <w:rFonts w:eastAsiaTheme="minorEastAsia"/>
        </w:rPr>
        <w:t>)</w:t>
      </w:r>
    </w:p>
    <w:p w:rsidR="00E942DC" w:rsidRPr="00A13719" w:rsidRDefault="00E942DC" w:rsidP="00E942DC">
      <w:pPr>
        <w:jc w:val="both"/>
        <w:rPr>
          <w:rFonts w:eastAsiaTheme="minorEastAsia"/>
        </w:rPr>
      </w:pPr>
      <m:oMath>
        <m:r>
          <w:rPr>
            <w:rFonts w:ascii="Cambria Math" w:hAnsi="Cambria Math"/>
          </w:rPr>
          <m:t>prob</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=1|</m:t>
            </m:r>
            <m:sSub>
              <m:sSubPr>
                <m:ctrlPr>
                  <w:rPr>
                    <w:rFonts w:ascii="Cambria Math" w:hAnsi="Cambria Math"/>
                    <w:i/>
                  </w:rPr>
                </m:ctrlPr>
              </m:sSubPr>
              <m:e>
                <m:r>
                  <w:rPr>
                    <w:rFonts w:ascii="Cambria Math" w:hAnsi="Cambria Math"/>
                  </w:rPr>
                  <m:t>z</m:t>
                </m:r>
              </m:e>
              <m:sub>
                <m:r>
                  <w:rPr>
                    <w:rFonts w:ascii="Cambria Math" w:hAnsi="Cambria Math"/>
                  </w:rPr>
                  <m:t>t-1</m:t>
                </m:r>
              </m:sub>
            </m:sSub>
            <m:r>
              <w:rPr>
                <w:rFonts w:ascii="Cambria Math" w:hAnsi="Cambria Math"/>
              </w:rPr>
              <m:t>=2</m:t>
            </m:r>
          </m:e>
        </m:d>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22</m:t>
            </m:r>
          </m:sub>
        </m:sSub>
      </m:oMath>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Pr="00A13719">
        <w:rPr>
          <w:rFonts w:eastAsiaTheme="minorEastAsia"/>
        </w:rPr>
        <w:tab/>
      </w:r>
      <w:r w:rsidR="00AE0277" w:rsidRPr="00A13719">
        <w:rPr>
          <w:rFonts w:eastAsiaTheme="minorEastAsia"/>
        </w:rPr>
        <w:t xml:space="preserve">   </w:t>
      </w:r>
      <w:r w:rsidR="002B36AD" w:rsidRPr="00A13719">
        <w:rPr>
          <w:rFonts w:eastAsiaTheme="minorEastAsia"/>
        </w:rPr>
        <w:t xml:space="preserve"> </w:t>
      </w:r>
      <w:r w:rsidRPr="00A13719">
        <w:rPr>
          <w:rFonts w:eastAsiaTheme="minorEastAsia"/>
        </w:rPr>
        <w:t>(</w:t>
      </w:r>
      <w:r w:rsidR="002B36AD" w:rsidRPr="00A13719">
        <w:rPr>
          <w:rFonts w:eastAsiaTheme="minorEastAsia"/>
        </w:rPr>
        <w:t>10</w:t>
      </w:r>
      <w:r w:rsidRPr="00A13719">
        <w:rPr>
          <w:rFonts w:eastAsiaTheme="minorEastAsia"/>
        </w:rPr>
        <w:t>)</w:t>
      </w:r>
    </w:p>
    <w:p w:rsidR="00E942DC" w:rsidRPr="00A13719" w:rsidRDefault="00E942DC" w:rsidP="00E942DC">
      <w:pPr>
        <w:jc w:val="both"/>
        <w:rPr>
          <w:rFonts w:eastAsiaTheme="minorEastAsia"/>
        </w:rPr>
      </w:pPr>
      <w:r w:rsidRPr="00A13719">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11</m:t>
            </m:r>
          </m:sub>
        </m:sSub>
      </m:oMath>
      <w:r w:rsidRPr="00A13719">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22</m:t>
            </m:r>
          </m:sub>
        </m:sSub>
      </m:oMath>
      <w:r w:rsidRPr="00A13719">
        <w:rPr>
          <w:rFonts w:eastAsiaTheme="minorEastAsia"/>
        </w:rPr>
        <w:t xml:space="preserve"> stand for the probability of being in regime one, given that the system was in regime one during the previous period, and the probability of being in regime two, given that the system was in regime two during the previous period, respectively. Hence, </w:t>
      </w:r>
      <m:oMath>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11</m:t>
            </m:r>
          </m:sub>
        </m:sSub>
      </m:oMath>
      <w:r w:rsidRPr="00A13719">
        <w:rPr>
          <w:rFonts w:eastAsiaTheme="minorEastAsia"/>
        </w:rPr>
        <w:t xml:space="preserve"> defines the probability that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A13719">
        <w:rPr>
          <w:rFonts w:eastAsiaTheme="minorEastAsia"/>
        </w:rPr>
        <w:t xml:space="preserve"> will change from state one in period t-1 to stage two in period t, and </w:t>
      </w:r>
      <m:oMath>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22</m:t>
            </m:r>
          </m:sub>
        </m:sSub>
      </m:oMath>
      <w:r w:rsidRPr="00A13719">
        <w:rPr>
          <w:rFonts w:eastAsiaTheme="minorEastAsia"/>
        </w:rPr>
        <w:t xml:space="preserve"> defines the probability of a shift from state two to state one between times t-1 and t. Under this specification, </w:t>
      </w:r>
      <m:oMath>
        <m:sSub>
          <m:sSubPr>
            <m:ctrlPr>
              <w:rPr>
                <w:rFonts w:ascii="Cambria Math" w:hAnsi="Cambria Math"/>
                <w:i/>
              </w:rPr>
            </m:ctrlPr>
          </m:sSubPr>
          <m:e>
            <m:r>
              <w:rPr>
                <w:rFonts w:ascii="Cambria Math" w:hAnsi="Cambria Math"/>
              </w:rPr>
              <m:t>z</m:t>
            </m:r>
          </m:e>
          <m:sub>
            <m:r>
              <w:rPr>
                <w:rFonts w:ascii="Cambria Math" w:hAnsi="Cambria Math"/>
              </w:rPr>
              <m:t>t</m:t>
            </m:r>
          </m:sub>
        </m:sSub>
      </m:oMath>
      <w:r w:rsidRPr="00A13719">
        <w:rPr>
          <w:rFonts w:eastAsiaTheme="minorEastAsia"/>
        </w:rPr>
        <w:t xml:space="preserve"> evolves as an AR(1) process:</w:t>
      </w:r>
    </w:p>
    <w:p w:rsidR="00E942DC" w:rsidRPr="00A13719" w:rsidRDefault="003C6351" w:rsidP="00E942DC">
      <w:pPr>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11</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ρz</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l-GR"/>
              </w:rPr>
              <m:t>η</m:t>
            </m:r>
          </m:e>
          <m:sub>
            <m:r>
              <w:rPr>
                <w:rFonts w:ascii="Cambria Math" w:eastAsiaTheme="minorEastAsia" w:hAnsi="Cambria Math"/>
              </w:rPr>
              <m:t>t</m:t>
            </m:r>
          </m:sub>
        </m:sSub>
      </m:oMath>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AE0277" w:rsidRPr="00A13719">
        <w:rPr>
          <w:rFonts w:eastAsiaTheme="minorEastAsia"/>
        </w:rPr>
        <w:t xml:space="preserve">   </w:t>
      </w:r>
      <w:r w:rsidR="00E942DC" w:rsidRPr="00A13719">
        <w:rPr>
          <w:rFonts w:eastAsiaTheme="minorEastAsia"/>
        </w:rPr>
        <w:t>(</w:t>
      </w:r>
      <w:r w:rsidR="002B36AD" w:rsidRPr="00A13719">
        <w:rPr>
          <w:rFonts w:eastAsiaTheme="minorEastAsia"/>
        </w:rPr>
        <w:t>11</w:t>
      </w:r>
      <w:r w:rsidR="00E942DC" w:rsidRPr="00A13719">
        <w:rPr>
          <w:rFonts w:eastAsiaTheme="minorEastAsia"/>
        </w:rPr>
        <w:t>)</w:t>
      </w:r>
    </w:p>
    <w:p w:rsidR="00E942DC" w:rsidRPr="00A13719" w:rsidRDefault="001F195C" w:rsidP="00E942DC">
      <w:pPr>
        <w:jc w:val="both"/>
        <w:rPr>
          <w:rFonts w:cs="Times New Roman"/>
        </w:rPr>
      </w:pPr>
      <w:r w:rsidRPr="00A13719">
        <w:rPr>
          <w:rFonts w:eastAsiaTheme="minorEastAsia"/>
        </w:rPr>
        <w:t>w</w:t>
      </w:r>
      <w:r w:rsidR="00E942DC" w:rsidRPr="00A13719">
        <w:rPr>
          <w:rFonts w:eastAsiaTheme="minorEastAsia"/>
        </w:rPr>
        <w:t xml:space="preserve">here </w:t>
      </w:r>
      <m:oMath>
        <m:r>
          <w:rPr>
            <w:rFonts w:ascii="Cambria Math" w:eastAsiaTheme="minorEastAsia" w:hAnsi="Cambria Math"/>
          </w:rPr>
          <m:t>ρ=</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22</m:t>
            </m:r>
          </m:sub>
        </m:sSub>
        <m:r>
          <w:rPr>
            <w:rFonts w:ascii="Cambria Math" w:eastAsiaTheme="minorEastAsia" w:hAnsi="Cambria Math"/>
          </w:rPr>
          <m:t>-1</m:t>
        </m:r>
      </m:oMath>
    </w:p>
    <w:p w:rsidR="00E942DC" w:rsidRPr="00A13719" w:rsidRDefault="002C2520" w:rsidP="00E942DC">
      <w:pPr>
        <w:jc w:val="both"/>
        <w:rPr>
          <w:rFonts w:eastAsiaTheme="minorEastAsia"/>
        </w:rPr>
      </w:pPr>
      <w:r w:rsidRPr="00A13719">
        <w:rPr>
          <w:rFonts w:eastAsiaTheme="minorEastAsia"/>
        </w:rPr>
        <w:t xml:space="preserve">Roughly speaking,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oMath>
      <w:r w:rsidRPr="00A13719">
        <w:rPr>
          <w:rFonts w:eastAsiaTheme="minorEastAsia"/>
        </w:rPr>
        <w:t xml:space="preserve"> can be viewed as a generalization of the dummy variables for one-off shifts in the above series. </w:t>
      </w:r>
      <w:r w:rsidR="00E942DC" w:rsidRPr="00A13719">
        <w:rPr>
          <w:rFonts w:eastAsiaTheme="minorEastAsia"/>
        </w:rPr>
        <w:t xml:space="preserve">According to the Markov switching approach, there can be multiple shifts from one </w:t>
      </w:r>
      <w:r w:rsidR="000C1DB4" w:rsidRPr="00A13719">
        <w:rPr>
          <w:rFonts w:eastAsiaTheme="minorEastAsia"/>
        </w:rPr>
        <w:t xml:space="preserve">state </w:t>
      </w:r>
      <w:r w:rsidR="00E942DC" w:rsidRPr="00A13719">
        <w:rPr>
          <w:rFonts w:eastAsiaTheme="minorEastAsia"/>
        </w:rPr>
        <w:t xml:space="preserve">to </w:t>
      </w:r>
      <w:r w:rsidR="000C1DB4" w:rsidRPr="00A13719">
        <w:rPr>
          <w:rFonts w:eastAsiaTheme="minorEastAsia"/>
        </w:rPr>
        <w:t xml:space="preserve">the </w:t>
      </w:r>
      <w:r w:rsidR="00E942DC" w:rsidRPr="00A13719">
        <w:rPr>
          <w:rFonts w:eastAsiaTheme="minorEastAsia"/>
        </w:rPr>
        <w:t>other.  In this framework, the observed return series can be written as:</w:t>
      </w:r>
    </w:p>
    <w:p w:rsidR="00E942DC" w:rsidRPr="00A13719" w:rsidRDefault="003C6351" w:rsidP="00E942DC">
      <w:pPr>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lang w:val="el-GR"/>
              </w:rPr>
              <m:t>μ</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lang w:val="el-GR"/>
                  </w:rPr>
                  <m:t>σ</m:t>
                </m:r>
              </m:e>
              <m:sup>
                <m:r>
                  <w:rPr>
                    <w:rFonts w:ascii="Cambria Math" w:eastAsiaTheme="minorEastAsia" w:hAnsi="Cambria Math"/>
                  </w:rPr>
                  <m:t>2</m:t>
                </m:r>
              </m:sup>
            </m:sSup>
          </m:e>
          <m:sub>
            <m:r>
              <w:rPr>
                <w:rFonts w:ascii="Cambria Math" w:eastAsiaTheme="minorEastAsia" w:hAnsi="Cambria Math"/>
              </w:rPr>
              <m:t>1</m:t>
            </m:r>
          </m:sub>
        </m:sSub>
        <m:r>
          <w:rPr>
            <w:rFonts w:ascii="Cambria Math" w:eastAsiaTheme="minorEastAsia" w:hAnsi="Cambria Math"/>
          </w:rPr>
          <m:t>+</m:t>
        </m:r>
        <m:r>
          <w:rPr>
            <w:rFonts w:ascii="Cambria Math" w:eastAsiaTheme="minorEastAsia" w:hAnsi="Cambria Math"/>
            <w:lang w:val="el-GR"/>
          </w:rPr>
          <m:t>φ</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)½</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t</m:t>
            </m:r>
          </m:sub>
        </m:sSub>
      </m:oMath>
      <w:r w:rsidR="00E942DC" w:rsidRPr="00A13719">
        <w:rPr>
          <w:rFonts w:eastAsiaTheme="minorEastAsia"/>
        </w:rPr>
        <w:t xml:space="preserve">  </w:t>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AE0277" w:rsidRPr="00A13719">
        <w:rPr>
          <w:rFonts w:eastAsiaTheme="minorEastAsia"/>
        </w:rPr>
        <w:t xml:space="preserve">   </w:t>
      </w:r>
      <w:r w:rsidR="00E942DC" w:rsidRPr="00A13719">
        <w:rPr>
          <w:rFonts w:eastAsiaTheme="minorEastAsia"/>
        </w:rPr>
        <w:t>(1</w:t>
      </w:r>
      <w:r w:rsidR="002B36AD" w:rsidRPr="00A13719">
        <w:rPr>
          <w:rFonts w:eastAsiaTheme="minorEastAsia"/>
        </w:rPr>
        <w:t>2</w:t>
      </w:r>
      <w:r w:rsidR="00E942DC" w:rsidRPr="00A13719">
        <w:rPr>
          <w:rFonts w:eastAsiaTheme="minorEastAsia"/>
        </w:rPr>
        <w:t>)</w:t>
      </w:r>
    </w:p>
    <w:p w:rsidR="000E50B1" w:rsidRPr="00A13719" w:rsidRDefault="00FE33B7" w:rsidP="000E50B1">
      <w:pPr>
        <w:jc w:val="both"/>
        <w:rPr>
          <w:rFonts w:eastAsiaTheme="minorEastAsia"/>
        </w:rPr>
      </w:pPr>
      <w:r w:rsidRPr="00A13719">
        <w:rPr>
          <w:rFonts w:eastAsiaTheme="minorEastAsia"/>
        </w:rPr>
        <w:t>Where</w:t>
      </w:r>
      <w:r w:rsidR="00E942DC" w:rsidRPr="00A1371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t</m:t>
            </m:r>
          </m:sub>
        </m:sSub>
        <m:r>
          <w:rPr>
            <w:rFonts w:ascii="Cambria Math" w:eastAsiaTheme="minorEastAsia" w:hAnsi="Cambria Math"/>
          </w:rPr>
          <m:t>~N(0,1)</m:t>
        </m:r>
      </m:oMath>
      <w:r w:rsidR="00E942DC" w:rsidRPr="00A13719">
        <w:rPr>
          <w:rFonts w:eastAsiaTheme="minorEastAsia"/>
        </w:rPr>
        <w:t xml:space="preserve">. The expected values and variances of the series are </w:t>
      </w:r>
      <m:oMath>
        <m:sSub>
          <m:sSubPr>
            <m:ctrlPr>
              <w:rPr>
                <w:rFonts w:ascii="Cambria Math" w:eastAsiaTheme="minorEastAsia" w:hAnsi="Cambria Math"/>
                <w:i/>
              </w:rPr>
            </m:ctrlPr>
          </m:sSubPr>
          <m:e>
            <m:r>
              <w:rPr>
                <w:rFonts w:ascii="Cambria Math" w:eastAsiaTheme="minorEastAsia" w:hAnsi="Cambria Math"/>
                <w:lang w:val="el-GR"/>
              </w:rPr>
              <m:t>μ</m:t>
            </m:r>
          </m:e>
          <m:sub>
            <m:r>
              <w:rPr>
                <w:rFonts w:ascii="Cambria Math" w:eastAsiaTheme="minorEastAsia" w:hAnsi="Cambria Math"/>
              </w:rPr>
              <m:t>1</m:t>
            </m:r>
          </m:sub>
        </m:sSub>
      </m:oMath>
      <w:r w:rsidR="00E942DC" w:rsidRPr="00A13719">
        <w:rPr>
          <w:rFonts w:eastAsiaTheme="minorEastAsia"/>
        </w:rPr>
        <w:t xml:space="preserve"> and </w:t>
      </w:r>
      <m:oMath>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lang w:val="el-GR"/>
                  </w:rPr>
                  <m:t>σ</m:t>
                </m:r>
              </m:e>
              <m:sup>
                <m:r>
                  <w:rPr>
                    <w:rFonts w:ascii="Cambria Math" w:eastAsiaTheme="minorEastAsia" w:hAnsi="Cambria Math"/>
                  </w:rPr>
                  <m:t>2</m:t>
                </m:r>
              </m:sup>
            </m:sSup>
          </m:e>
          <m:sub>
            <m:r>
              <w:rPr>
                <w:rFonts w:ascii="Cambria Math" w:eastAsiaTheme="minorEastAsia" w:hAnsi="Cambria Math"/>
              </w:rPr>
              <m:t>1</m:t>
            </m:r>
          </m:sub>
        </m:sSub>
      </m:oMath>
      <w:r w:rsidR="00E942DC" w:rsidRPr="00A13719">
        <w:rPr>
          <w:rFonts w:eastAsiaTheme="minorEastAsia"/>
        </w:rPr>
        <w:t>, respectively in state one, and (</w:t>
      </w:r>
      <m:oMath>
        <m:sSub>
          <m:sSubPr>
            <m:ctrlPr>
              <w:rPr>
                <w:rFonts w:ascii="Cambria Math" w:eastAsiaTheme="minorEastAsia" w:hAnsi="Cambria Math"/>
                <w:i/>
              </w:rPr>
            </m:ctrlPr>
          </m:sSubPr>
          <m:e>
            <m:r>
              <w:rPr>
                <w:rFonts w:ascii="Cambria Math" w:eastAsiaTheme="minorEastAsia" w:hAnsi="Cambria Math"/>
                <w:lang w:val="el-GR"/>
              </w:rPr>
              <m:t>μ</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2</m:t>
            </m:r>
          </m:sub>
        </m:sSub>
        <m:r>
          <w:rPr>
            <w:rFonts w:ascii="Cambria Math" w:eastAsiaTheme="minorEastAsia" w:hAnsi="Cambria Math"/>
          </w:rPr>
          <m:t>)</m:t>
        </m:r>
      </m:oMath>
      <w:r w:rsidR="00E942DC" w:rsidRPr="00A13719">
        <w:rPr>
          <w:rFonts w:eastAsiaTheme="minorEastAsia"/>
        </w:rPr>
        <w:t xml:space="preserve"> and </w:t>
      </w:r>
      <m:oMath>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lang w:val="el-GR"/>
                  </w:rPr>
                  <m:t>σ</m:t>
                </m:r>
              </m:e>
              <m:sup>
                <m:r>
                  <w:rPr>
                    <w:rFonts w:ascii="Cambria Math" w:eastAsiaTheme="minorEastAsia" w:hAnsi="Cambria Math"/>
                  </w:rPr>
                  <m:t>2</m:t>
                </m:r>
              </m:sup>
            </m:sSup>
          </m:e>
          <m:sub>
            <m:r>
              <w:rPr>
                <w:rFonts w:ascii="Cambria Math" w:eastAsiaTheme="minorEastAsia" w:hAnsi="Cambria Math"/>
              </w:rPr>
              <m:t>1</m:t>
            </m:r>
          </m:sub>
        </m:sSub>
        <m:r>
          <w:rPr>
            <w:rFonts w:ascii="Cambria Math" w:eastAsiaTheme="minorEastAsia" w:hAnsi="Cambria Math"/>
          </w:rPr>
          <m:t>+</m:t>
        </m:r>
        <m:r>
          <w:rPr>
            <w:rFonts w:ascii="Cambria Math" w:eastAsiaTheme="minorEastAsia" w:hAnsi="Cambria Math"/>
            <w:lang w:val="el-GR"/>
          </w:rPr>
          <m:t>φ</m:t>
        </m:r>
      </m:oMath>
      <w:r w:rsidR="00E942DC" w:rsidRPr="00A13719">
        <w:rPr>
          <w:rFonts w:eastAsiaTheme="minorEastAsia"/>
        </w:rPr>
        <w:t xml:space="preserve"> respectively in state two. The variance in state two is also defined as</w:t>
      </w:r>
      <m:oMath>
        <m:sSub>
          <m:sSubPr>
            <m:ctrlPr>
              <w:rPr>
                <w:rFonts w:ascii="Cambria Math" w:eastAsiaTheme="minorEastAsia" w:hAnsi="Cambria Math"/>
                <w:i/>
              </w:rPr>
            </m:ctrlPr>
          </m:sSubPr>
          <m:e>
            <m:sSup>
              <m:sSupPr>
                <m:ctrlPr>
                  <w:rPr>
                    <w:rFonts w:ascii="Cambria Math" w:eastAsiaTheme="minorEastAsia" w:hAnsi="Cambria Math"/>
                    <w:i/>
                  </w:rPr>
                </m:ctrlPr>
              </m:sSupPr>
              <m:e>
                <m:sSub>
                  <m:sSubPr>
                    <m:ctrlPr>
                      <w:rPr>
                        <w:rFonts w:ascii="Cambria Math" w:eastAsiaTheme="minorEastAsia" w:hAnsi="Cambria Math"/>
                        <w:i/>
                        <w:lang w:val="el-GR"/>
                      </w:rPr>
                    </m:ctrlPr>
                  </m:sSubPr>
                  <m:e>
                    <m:sSup>
                      <m:sSupPr>
                        <m:ctrlPr>
                          <w:rPr>
                            <w:rFonts w:ascii="Cambria Math" w:eastAsiaTheme="minorEastAsia" w:hAnsi="Cambria Math"/>
                            <w:i/>
                            <w:lang w:val="el-GR"/>
                          </w:rPr>
                        </m:ctrlPr>
                      </m:sSupPr>
                      <m:e>
                        <m:r>
                          <w:rPr>
                            <w:rFonts w:ascii="Cambria Math" w:eastAsiaTheme="minorEastAsia" w:hAnsi="Cambria Math"/>
                          </w:rPr>
                          <m:t xml:space="preserve"> </m:t>
                        </m:r>
                        <m:r>
                          <w:rPr>
                            <w:rFonts w:ascii="Cambria Math" w:eastAsiaTheme="minorEastAsia" w:hAnsi="Cambria Math"/>
                            <w:lang w:val="el-GR"/>
                          </w:rPr>
                          <m:t>σ</m:t>
                        </m:r>
                      </m:e>
                      <m:sup>
                        <m:r>
                          <w:rPr>
                            <w:rFonts w:ascii="Cambria Math" w:eastAsiaTheme="minorEastAsia" w:hAnsi="Cambria Math"/>
                          </w:rPr>
                          <m:t>2</m:t>
                        </m:r>
                      </m:sup>
                    </m:sSup>
                  </m:e>
                  <m:sub>
                    <m:r>
                      <w:rPr>
                        <w:rFonts w:ascii="Cambria Math" w:eastAsiaTheme="minorEastAsia" w:hAnsi="Cambria Math"/>
                      </w:rPr>
                      <m:t>2</m:t>
                    </m:r>
                  </m:sub>
                </m:sSub>
                <m:r>
                  <w:rPr>
                    <w:rFonts w:ascii="Cambria Math" w:eastAsiaTheme="minorEastAsia" w:hAnsi="Cambria Math"/>
                  </w:rPr>
                  <m:t>=</m:t>
                </m:r>
                <m:r>
                  <w:rPr>
                    <w:rFonts w:ascii="Cambria Math" w:eastAsiaTheme="minorEastAsia" w:hAnsi="Cambria Math"/>
                    <w:lang w:val="el-GR"/>
                  </w:rPr>
                  <m:t>σ</m:t>
                </m:r>
              </m:e>
              <m:sup>
                <m:r>
                  <w:rPr>
                    <w:rFonts w:ascii="Cambria Math" w:eastAsiaTheme="minorEastAsia" w:hAnsi="Cambria Math"/>
                  </w:rPr>
                  <m:t>2</m:t>
                </m:r>
              </m:sup>
            </m:sSup>
          </m:e>
          <m:sub>
            <m:r>
              <w:rPr>
                <w:rFonts w:ascii="Cambria Math" w:eastAsiaTheme="minorEastAsia" w:hAnsi="Cambria Math"/>
              </w:rPr>
              <m:t>1</m:t>
            </m:r>
          </m:sub>
        </m:sSub>
        <m:r>
          <w:rPr>
            <w:rFonts w:ascii="Cambria Math" w:eastAsiaTheme="minorEastAsia" w:hAnsi="Cambria Math"/>
          </w:rPr>
          <m:t>+</m:t>
        </m:r>
        <m:r>
          <w:rPr>
            <w:rFonts w:ascii="Cambria Math" w:eastAsiaTheme="minorEastAsia" w:hAnsi="Cambria Math"/>
            <w:lang w:val="el-GR"/>
          </w:rPr>
          <m:t>φ</m:t>
        </m:r>
      </m:oMath>
      <w:r w:rsidR="00E942DC" w:rsidRPr="00A13719">
        <w:rPr>
          <w:rFonts w:eastAsiaTheme="minorEastAsia"/>
        </w:rPr>
        <w:t xml:space="preserve">. The unknown parameters of the model </w:t>
      </w:r>
      <m:oMath>
        <m:sSub>
          <m:sSubPr>
            <m:ctrlPr>
              <w:rPr>
                <w:rFonts w:ascii="Cambria Math" w:eastAsiaTheme="minorEastAsia" w:hAnsi="Cambria Math"/>
                <w:i/>
              </w:rPr>
            </m:ctrlPr>
          </m:sSubPr>
          <m:e>
            <m:r>
              <w:rPr>
                <w:rFonts w:ascii="Cambria Math" w:eastAsiaTheme="minorEastAsia" w:hAnsi="Cambria Math"/>
                <w:lang w:val="el-GR"/>
              </w:rPr>
              <m:t>μ</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22</m:t>
            </m:r>
          </m:sub>
        </m:sSub>
      </m:oMath>
      <w:r w:rsidR="00E942DC" w:rsidRPr="00A13719">
        <w:rPr>
          <w:rFonts w:eastAsiaTheme="minorEastAsia"/>
        </w:rPr>
        <w:t xml:space="preserve"> are </w:t>
      </w:r>
      <w:r w:rsidR="00E942DC" w:rsidRPr="00A13719">
        <w:rPr>
          <w:rFonts w:eastAsiaTheme="minorEastAsia"/>
        </w:rPr>
        <w:lastRenderedPageBreak/>
        <w:t xml:space="preserve">computed using maximum likelihood. </w:t>
      </w:r>
      <w:r w:rsidR="000E50B1" w:rsidRPr="00A13719">
        <w:rPr>
          <w:rFonts w:eastAsiaTheme="minorEastAsia"/>
        </w:rPr>
        <w:t>Further details of this model can be found in Engel and Hamilton (1990).</w:t>
      </w:r>
    </w:p>
    <w:p w:rsidR="00E942DC" w:rsidRPr="00A13719" w:rsidRDefault="00E942DC" w:rsidP="00E942DC">
      <w:pPr>
        <w:jc w:val="both"/>
        <w:rPr>
          <w:rFonts w:eastAsiaTheme="minorEastAsia"/>
        </w:rPr>
      </w:pPr>
      <w:r w:rsidRPr="00A13719">
        <w:rPr>
          <w:rFonts w:eastAsiaTheme="minorEastAsia"/>
        </w:rPr>
        <w:t xml:space="preserve">In </w:t>
      </w:r>
      <w:r w:rsidR="000A0511" w:rsidRPr="00A13719">
        <w:rPr>
          <w:rFonts w:eastAsiaTheme="minorEastAsia"/>
        </w:rPr>
        <w:t xml:space="preserve">the </w:t>
      </w:r>
      <w:r w:rsidRPr="00A13719">
        <w:rPr>
          <w:rFonts w:eastAsiaTheme="minorEastAsia"/>
        </w:rPr>
        <w:t xml:space="preserve">case where there are </w:t>
      </w:r>
      <w:r w:rsidR="005034B9" w:rsidRPr="00A13719">
        <w:rPr>
          <w:rFonts w:eastAsiaTheme="minorEastAsia"/>
        </w:rPr>
        <w:t xml:space="preserve">2 </w:t>
      </w:r>
      <w:r w:rsidRPr="00A13719">
        <w:rPr>
          <w:rFonts w:eastAsiaTheme="minorEastAsia"/>
        </w:rPr>
        <w:t xml:space="preserve">states, the transition probabilities are best expressed in a matrix as:   </w:t>
      </w:r>
    </w:p>
    <w:p w:rsidR="00E942DC" w:rsidRPr="00A13719" w:rsidRDefault="005034B9" w:rsidP="00E942DC">
      <w:pPr>
        <w:jc w:val="both"/>
        <w:rPr>
          <w:rFonts w:eastAsiaTheme="minorEastAsia"/>
        </w:rPr>
      </w:pPr>
      <m:oMath>
        <m:r>
          <w:rPr>
            <w:rFonts w:ascii="Cambria Math" w:eastAsiaTheme="minorEastAsia" w:hAnsi="Cambria Math"/>
          </w:rPr>
          <m:t>P=</m:t>
        </m:r>
        <m:d>
          <m:dPr>
            <m:begChr m:val="["/>
            <m:endChr m:val="]"/>
            <m:ctrlPr>
              <w:rPr>
                <w:rFonts w:ascii="Cambria Math" w:eastAsiaTheme="minorEastAsia" w:hAnsi="Cambria Math" w:cs="Times New Roman"/>
                <w:i/>
                <w:szCs w:val="24"/>
              </w:rPr>
            </m:ctrlPr>
          </m:dPr>
          <m:e>
            <m:m>
              <m:mPr>
                <m:mcs>
                  <m:mc>
                    <m:mcPr>
                      <m:count m:val="2"/>
                      <m:mcJc m:val="center"/>
                    </m:mcPr>
                  </m:mc>
                </m:mcs>
                <m:ctrlPr>
                  <w:rPr>
                    <w:rFonts w:ascii="Cambria Math" w:eastAsiaTheme="minorEastAsia" w:hAnsi="Cambria Math" w:cs="Times New Roman"/>
                    <w:i/>
                    <w:szCs w:val="24"/>
                  </w:rPr>
                </m:ctrlPr>
              </m:mPr>
              <m:mr>
                <m:e>
                  <m:sSub>
                    <m:sSubPr>
                      <m:ctrlPr>
                        <w:rPr>
                          <w:rFonts w:ascii="Cambria Math" w:eastAsiaTheme="minorEastAsia" w:hAnsi="Cambria Math" w:cs="Times New Roman"/>
                          <w:i/>
                          <w:szCs w:val="24"/>
                        </w:rPr>
                      </m:ctrlPr>
                    </m:sSubPr>
                    <m:e>
                      <m:r>
                        <w:rPr>
                          <w:rFonts w:ascii="Cambria Math" w:eastAsiaTheme="minorEastAsia" w:hAnsi="Cambria Math"/>
                        </w:rPr>
                        <m:t>p</m:t>
                      </m:r>
                    </m:e>
                    <m:sub>
                      <m:r>
                        <w:rPr>
                          <w:rFonts w:ascii="Cambria Math" w:eastAsiaTheme="minorEastAsia" w:hAnsi="Cambria Math"/>
                        </w:rPr>
                        <m:t>00</m:t>
                      </m:r>
                    </m:sub>
                  </m:sSub>
                </m:e>
                <m:e>
                  <m:sSub>
                    <m:sSubPr>
                      <m:ctrlPr>
                        <w:rPr>
                          <w:rFonts w:ascii="Cambria Math" w:eastAsiaTheme="minorEastAsia" w:hAnsi="Cambria Math" w:cs="Times New Roman"/>
                          <w:i/>
                          <w:szCs w:val="24"/>
                        </w:rPr>
                      </m:ctrlPr>
                    </m:sSubPr>
                    <m:e>
                      <m:r>
                        <w:rPr>
                          <w:rFonts w:ascii="Cambria Math" w:eastAsiaTheme="minorEastAsia" w:hAnsi="Cambria Math"/>
                        </w:rPr>
                        <m:t>p</m:t>
                      </m:r>
                    </m:e>
                    <m:sub>
                      <m:r>
                        <w:rPr>
                          <w:rFonts w:ascii="Cambria Math" w:eastAsiaTheme="minorEastAsia" w:hAnsi="Cambria Math"/>
                        </w:rPr>
                        <m:t>01</m:t>
                      </m:r>
                    </m:sub>
                  </m:sSub>
                </m:e>
              </m:mr>
              <m:mr>
                <m:e>
                  <m:sSub>
                    <m:sSubPr>
                      <m:ctrlPr>
                        <w:rPr>
                          <w:rFonts w:ascii="Cambria Math" w:eastAsiaTheme="minorEastAsia" w:hAnsi="Cambria Math" w:cs="Times New Roman"/>
                          <w:i/>
                          <w:szCs w:val="24"/>
                        </w:rPr>
                      </m:ctrlPr>
                    </m:sSubPr>
                    <m:e>
                      <m:r>
                        <w:rPr>
                          <w:rFonts w:ascii="Cambria Math" w:eastAsiaTheme="minorEastAsia" w:hAnsi="Cambria Math"/>
                        </w:rPr>
                        <m:t>p</m:t>
                      </m:r>
                    </m:e>
                    <m:sub>
                      <m:r>
                        <w:rPr>
                          <w:rFonts w:ascii="Cambria Math" w:eastAsiaTheme="minorEastAsia" w:hAnsi="Cambria Math"/>
                        </w:rPr>
                        <m:t>10</m:t>
                      </m:r>
                    </m:sub>
                  </m:sSub>
                </m:e>
                <m:e>
                  <m:sSub>
                    <m:sSubPr>
                      <m:ctrlPr>
                        <w:rPr>
                          <w:rFonts w:ascii="Cambria Math" w:eastAsiaTheme="minorEastAsia" w:hAnsi="Cambria Math" w:cs="Times New Roman"/>
                          <w:i/>
                          <w:szCs w:val="24"/>
                        </w:rPr>
                      </m:ctrlPr>
                    </m:sSubPr>
                    <m:e>
                      <m:r>
                        <w:rPr>
                          <w:rFonts w:ascii="Cambria Math" w:eastAsiaTheme="minorEastAsia" w:hAnsi="Cambria Math"/>
                        </w:rPr>
                        <m:t>p</m:t>
                      </m:r>
                    </m:e>
                    <m:sub>
                      <m:r>
                        <w:rPr>
                          <w:rFonts w:ascii="Cambria Math" w:eastAsiaTheme="minorEastAsia" w:hAnsi="Cambria Math"/>
                        </w:rPr>
                        <m:t>11</m:t>
                      </m:r>
                    </m:sub>
                  </m:sSub>
                </m:e>
              </m:mr>
            </m:m>
          </m:e>
        </m:d>
        <m:r>
          <w:rPr>
            <w:rFonts w:ascii="Cambria Math" w:hAnsi="Cambria Math" w:cs="Times New Roman"/>
            <w:szCs w:val="24"/>
          </w:rPr>
          <m:t xml:space="preserve">  and in case with m states the matrix is P=</m:t>
        </m:r>
        <m:d>
          <m:dPr>
            <m:begChr m:val="["/>
            <m:endChr m:val="]"/>
            <m:ctrlPr>
              <w:rPr>
                <w:rFonts w:ascii="Cambria Math" w:hAnsi="Cambria Math" w:cs="Times New Roman"/>
                <w:i/>
                <w:szCs w:val="24"/>
              </w:rPr>
            </m:ctrlPr>
          </m:dPr>
          <m:e>
            <m:m>
              <m:mPr>
                <m:mcs>
                  <m:mc>
                    <m:mcPr>
                      <m:count m:val="2"/>
                      <m:mcJc m:val="center"/>
                    </m:mcPr>
                  </m:mc>
                </m:mcs>
                <m:ctrlPr>
                  <w:rPr>
                    <w:rFonts w:ascii="Cambria Math" w:hAnsi="Cambria Math" w:cs="Times New Roman"/>
                    <w:i/>
                    <w:szCs w:val="24"/>
                  </w:rPr>
                </m:ctrlPr>
              </m:mPr>
              <m:mr>
                <m:e>
                  <m:sSub>
                    <m:sSubPr>
                      <m:ctrlPr>
                        <w:rPr>
                          <w:rFonts w:ascii="Cambria Math" w:hAnsi="Cambria Math" w:cs="Times New Roman"/>
                          <w:i/>
                          <w:szCs w:val="24"/>
                        </w:rPr>
                      </m:ctrlPr>
                    </m:sSubPr>
                    <m:e>
                      <m:r>
                        <w:rPr>
                          <w:rFonts w:ascii="Cambria Math" w:hAnsi="Cambria Math"/>
                        </w:rPr>
                        <m:t>p</m:t>
                      </m:r>
                    </m:e>
                    <m:sub>
                      <m:r>
                        <w:rPr>
                          <w:rFonts w:ascii="Cambria Math" w:hAnsi="Cambria Math"/>
                        </w:rPr>
                        <m:t>00</m:t>
                      </m:r>
                    </m:sub>
                  </m:sSub>
                </m:e>
                <m:e>
                  <m:sSub>
                    <m:sSubPr>
                      <m:ctrlPr>
                        <w:rPr>
                          <w:rFonts w:ascii="Cambria Math" w:hAnsi="Cambria Math" w:cs="Times New Roman"/>
                          <w:i/>
                          <w:szCs w:val="24"/>
                        </w:rPr>
                      </m:ctrlPr>
                    </m:sSubPr>
                    <m:e>
                      <m:r>
                        <w:rPr>
                          <w:rFonts w:ascii="Cambria Math" w:hAnsi="Cambria Math"/>
                        </w:rPr>
                        <m:t>p</m:t>
                      </m:r>
                    </m:e>
                    <m:sub>
                      <m:r>
                        <w:rPr>
                          <w:rFonts w:ascii="Cambria Math" w:hAnsi="Cambria Math"/>
                        </w:rPr>
                        <m:t>01</m:t>
                      </m:r>
                    </m:sub>
                  </m:sSub>
                </m:e>
              </m:mr>
              <m:mr>
                <m:e>
                  <m:sSub>
                    <m:sSubPr>
                      <m:ctrlPr>
                        <w:rPr>
                          <w:rFonts w:ascii="Cambria Math" w:hAnsi="Cambria Math" w:cs="Times New Roman"/>
                          <w:i/>
                          <w:szCs w:val="24"/>
                        </w:rPr>
                      </m:ctrlPr>
                    </m:sSubPr>
                    <m:e>
                      <m:r>
                        <w:rPr>
                          <w:rFonts w:ascii="Cambria Math" w:hAnsi="Cambria Math"/>
                        </w:rPr>
                        <m:t>p</m:t>
                      </m:r>
                    </m:e>
                    <m:sub>
                      <m:r>
                        <w:rPr>
                          <w:rFonts w:ascii="Cambria Math" w:hAnsi="Cambria Math"/>
                        </w:rPr>
                        <m:t>10</m:t>
                      </m:r>
                    </m:sub>
                  </m:sSub>
                </m:e>
                <m:e>
                  <m:sSub>
                    <m:sSubPr>
                      <m:ctrlPr>
                        <w:rPr>
                          <w:rFonts w:ascii="Cambria Math" w:hAnsi="Cambria Math" w:cs="Times New Roman"/>
                          <w:i/>
                          <w:szCs w:val="24"/>
                        </w:rPr>
                      </m:ctrlPr>
                    </m:sSubPr>
                    <m:e>
                      <m:r>
                        <w:rPr>
                          <w:rFonts w:ascii="Cambria Math" w:hAnsi="Cambria Math"/>
                        </w:rPr>
                        <m:t>p</m:t>
                      </m:r>
                    </m:e>
                    <m:sub>
                      <m:r>
                        <w:rPr>
                          <w:rFonts w:ascii="Cambria Math" w:hAnsi="Cambria Math"/>
                        </w:rPr>
                        <m:t>11</m:t>
                      </m:r>
                    </m:sub>
                  </m:sSub>
                </m:e>
              </m:mr>
              <m:mr>
                <m:e>
                  <m:m>
                    <m:mPr>
                      <m:mcs>
                        <m:mc>
                          <m:mcPr>
                            <m:count m:val="1"/>
                            <m:mcJc m:val="center"/>
                          </m:mcPr>
                        </m:mc>
                      </m:mcs>
                      <m:ctrlPr>
                        <w:rPr>
                          <w:rFonts w:ascii="Cambria Math" w:hAnsi="Cambria Math" w:cs="Times New Roman"/>
                          <w:i/>
                          <w:szCs w:val="24"/>
                        </w:rPr>
                      </m:ctrlPr>
                    </m:mPr>
                    <m:mr>
                      <m:e>
                        <m:r>
                          <w:rPr>
                            <w:rFonts w:ascii="Cambria Math" w:hAnsi="Cambria Math"/>
                          </w:rPr>
                          <m:t>⋮</m:t>
                        </m:r>
                      </m:e>
                    </m:mr>
                    <m:mr>
                      <m:e>
                        <m:sSub>
                          <m:sSubPr>
                            <m:ctrlPr>
                              <w:rPr>
                                <w:rFonts w:ascii="Cambria Math" w:hAnsi="Cambria Math" w:cs="Times New Roman"/>
                                <w:i/>
                                <w:szCs w:val="24"/>
                              </w:rPr>
                            </m:ctrlPr>
                          </m:sSubPr>
                          <m:e>
                            <m:r>
                              <w:rPr>
                                <w:rFonts w:ascii="Cambria Math" w:hAnsi="Cambria Math"/>
                              </w:rPr>
                              <m:t>p</m:t>
                            </m:r>
                          </m:e>
                          <m:sub>
                            <m:r>
                              <w:rPr>
                                <w:rFonts w:ascii="Cambria Math" w:hAnsi="Cambria Math"/>
                              </w:rPr>
                              <m:t>m0</m:t>
                            </m:r>
                          </m:sub>
                        </m:sSub>
                      </m:e>
                    </m:mr>
                  </m:m>
                </m:e>
                <m:e>
                  <m:m>
                    <m:mPr>
                      <m:mcs>
                        <m:mc>
                          <m:mcPr>
                            <m:count m:val="1"/>
                            <m:mcJc m:val="center"/>
                          </m:mcPr>
                        </m:mc>
                      </m:mcs>
                      <m:ctrlPr>
                        <w:rPr>
                          <w:rFonts w:ascii="Cambria Math" w:hAnsi="Cambria Math" w:cs="Times New Roman"/>
                          <w:i/>
                          <w:szCs w:val="24"/>
                        </w:rPr>
                      </m:ctrlPr>
                    </m:mPr>
                    <m:mr>
                      <m:e>
                        <m:r>
                          <w:rPr>
                            <w:rFonts w:ascii="Cambria Math" w:hAnsi="Cambria Math"/>
                          </w:rPr>
                          <m:t>⋮</m:t>
                        </m:r>
                      </m:e>
                    </m:mr>
                    <m:mr>
                      <m:e>
                        <m:sSub>
                          <m:sSubPr>
                            <m:ctrlPr>
                              <w:rPr>
                                <w:rFonts w:ascii="Cambria Math" w:hAnsi="Cambria Math" w:cs="Times New Roman"/>
                                <w:i/>
                                <w:szCs w:val="24"/>
                              </w:rPr>
                            </m:ctrlPr>
                          </m:sSubPr>
                          <m:e>
                            <m:r>
                              <w:rPr>
                                <w:rFonts w:ascii="Cambria Math" w:hAnsi="Cambria Math"/>
                              </w:rPr>
                              <m:t>p</m:t>
                            </m:r>
                          </m:e>
                          <m:sub>
                            <m:r>
                              <w:rPr>
                                <w:rFonts w:ascii="Cambria Math" w:hAnsi="Cambria Math"/>
                              </w:rPr>
                              <m:t>m1</m:t>
                            </m:r>
                          </m:sub>
                        </m:sSub>
                      </m:e>
                    </m:mr>
                  </m:m>
                </m:e>
              </m:mr>
            </m:m>
            <m:r>
              <w:rPr>
                <w:rFonts w:ascii="Cambria Math" w:hAnsi="Cambria Math"/>
              </w:rPr>
              <m:t xml:space="preserve">   </m:t>
            </m:r>
            <m:m>
              <m:mPr>
                <m:mcs>
                  <m:mc>
                    <m:mcPr>
                      <m:count m:val="1"/>
                      <m:mcJc m:val="center"/>
                    </m:mcPr>
                  </m:mc>
                </m:mcs>
                <m:ctrlPr>
                  <w:rPr>
                    <w:rFonts w:ascii="Cambria Math" w:hAnsi="Cambria Math" w:cs="Times New Roman"/>
                    <w:i/>
                    <w:szCs w:val="24"/>
                  </w:rPr>
                </m:ctrlPr>
              </m:mPr>
              <m:mr>
                <m:e>
                  <m:r>
                    <w:rPr>
                      <w:rFonts w:ascii="Cambria Math" w:hAnsi="Cambria Math"/>
                    </w:rPr>
                    <m:t>…</m:t>
                  </m:r>
                </m:e>
              </m:mr>
              <m:mr>
                <m:e>
                  <m:r>
                    <w:rPr>
                      <w:rFonts w:ascii="Cambria Math" w:hAnsi="Cambria Math"/>
                    </w:rPr>
                    <m:t>…</m:t>
                  </m:r>
                </m:e>
              </m:mr>
              <m:mr>
                <m:e>
                  <m:m>
                    <m:mPr>
                      <m:mcs>
                        <m:mc>
                          <m:mcPr>
                            <m:count m:val="1"/>
                            <m:mcJc m:val="center"/>
                          </m:mcPr>
                        </m:mc>
                      </m:mcs>
                      <m:ctrlPr>
                        <w:rPr>
                          <w:rFonts w:ascii="Cambria Math" w:hAnsi="Cambria Math" w:cs="Times New Roman"/>
                          <w:i/>
                          <w:szCs w:val="24"/>
                        </w:rPr>
                      </m:ctrlPr>
                    </m:mPr>
                    <m:mr>
                      <m:e>
                        <m:r>
                          <w:rPr>
                            <w:rFonts w:ascii="Cambria Math" w:hAnsi="Cambria Math"/>
                          </w:rPr>
                          <m:t>⋱</m:t>
                        </m:r>
                      </m:e>
                    </m:mr>
                    <m:mr>
                      <m:e>
                        <m:r>
                          <w:rPr>
                            <w:rFonts w:ascii="Cambria Math" w:hAnsi="Cambria Math"/>
                          </w:rPr>
                          <m:t>…</m:t>
                        </m:r>
                      </m:e>
                    </m:mr>
                  </m:m>
                </m:e>
              </m:mr>
            </m:m>
            <m:r>
              <w:rPr>
                <w:rFonts w:ascii="Cambria Math" w:hAnsi="Cambria Math"/>
              </w:rPr>
              <m:t xml:space="preserve">   </m:t>
            </m:r>
            <m:m>
              <m:mPr>
                <m:mcs>
                  <m:mc>
                    <m:mcPr>
                      <m:count m:val="1"/>
                      <m:mcJc m:val="center"/>
                    </m:mcPr>
                  </m:mc>
                </m:mcs>
                <m:ctrlPr>
                  <w:rPr>
                    <w:rFonts w:ascii="Cambria Math" w:hAnsi="Cambria Math" w:cs="Times New Roman"/>
                    <w:i/>
                    <w:szCs w:val="24"/>
                  </w:rPr>
                </m:ctrlPr>
              </m:mPr>
              <m:mr>
                <m:e>
                  <m:sSub>
                    <m:sSubPr>
                      <m:ctrlPr>
                        <w:rPr>
                          <w:rFonts w:ascii="Cambria Math" w:hAnsi="Cambria Math" w:cs="Times New Roman"/>
                          <w:i/>
                          <w:szCs w:val="24"/>
                        </w:rPr>
                      </m:ctrlPr>
                    </m:sSubPr>
                    <m:e>
                      <m:r>
                        <w:rPr>
                          <w:rFonts w:ascii="Cambria Math" w:hAnsi="Cambria Math"/>
                        </w:rPr>
                        <m:t>p</m:t>
                      </m:r>
                    </m:e>
                    <m:sub>
                      <m:r>
                        <w:rPr>
                          <w:rFonts w:ascii="Cambria Math" w:hAnsi="Cambria Math"/>
                        </w:rPr>
                        <m:t>0m</m:t>
                      </m:r>
                    </m:sub>
                  </m:sSub>
                </m:e>
              </m:mr>
              <m:mr>
                <m:e>
                  <m:sSub>
                    <m:sSubPr>
                      <m:ctrlPr>
                        <w:rPr>
                          <w:rFonts w:ascii="Cambria Math" w:hAnsi="Cambria Math" w:cs="Times New Roman"/>
                          <w:i/>
                          <w:szCs w:val="24"/>
                        </w:rPr>
                      </m:ctrlPr>
                    </m:sSubPr>
                    <m:e>
                      <m:r>
                        <w:rPr>
                          <w:rFonts w:ascii="Cambria Math" w:hAnsi="Cambria Math"/>
                        </w:rPr>
                        <m:t>p</m:t>
                      </m:r>
                    </m:e>
                    <m:sub>
                      <m:r>
                        <w:rPr>
                          <w:rFonts w:ascii="Cambria Math" w:hAnsi="Cambria Math"/>
                        </w:rPr>
                        <m:t>1m</m:t>
                      </m:r>
                    </m:sub>
                  </m:sSub>
                </m:e>
              </m:mr>
              <m:mr>
                <m:e>
                  <m:m>
                    <m:mPr>
                      <m:mcs>
                        <m:mc>
                          <m:mcPr>
                            <m:count m:val="1"/>
                            <m:mcJc m:val="center"/>
                          </m:mcPr>
                        </m:mc>
                      </m:mcs>
                      <m:ctrlPr>
                        <w:rPr>
                          <w:rFonts w:ascii="Cambria Math" w:hAnsi="Cambria Math" w:cs="Times New Roman"/>
                          <w:i/>
                          <w:szCs w:val="24"/>
                        </w:rPr>
                      </m:ctrlPr>
                    </m:mPr>
                    <m:mr>
                      <m:e>
                        <m:r>
                          <w:rPr>
                            <w:rFonts w:ascii="Cambria Math" w:hAnsi="Cambria Math"/>
                          </w:rPr>
                          <m:t>⋮</m:t>
                        </m:r>
                      </m:e>
                    </m:mr>
                    <m:mr>
                      <m:e>
                        <m:sSub>
                          <m:sSubPr>
                            <m:ctrlPr>
                              <w:rPr>
                                <w:rFonts w:ascii="Cambria Math" w:hAnsi="Cambria Math" w:cs="Times New Roman"/>
                                <w:i/>
                                <w:szCs w:val="24"/>
                              </w:rPr>
                            </m:ctrlPr>
                          </m:sSubPr>
                          <m:e>
                            <m:r>
                              <w:rPr>
                                <w:rFonts w:ascii="Cambria Math" w:hAnsi="Cambria Math"/>
                              </w:rPr>
                              <m:t>p</m:t>
                            </m:r>
                          </m:e>
                          <m:sub>
                            <m:r>
                              <w:rPr>
                                <w:rFonts w:ascii="Cambria Math" w:hAnsi="Cambria Math"/>
                              </w:rPr>
                              <m:t>mm</m:t>
                            </m:r>
                          </m:sub>
                        </m:sSub>
                      </m:e>
                    </m:mr>
                  </m:m>
                </m:e>
              </m:mr>
            </m:m>
          </m:e>
        </m:d>
        <m:r>
          <w:rPr>
            <w:rFonts w:ascii="Cambria Math" w:hAnsi="Cambria Math"/>
          </w:rPr>
          <m:t xml:space="preserve"> </m:t>
        </m:r>
      </m:oMath>
      <w:r w:rsidR="00E942DC" w:rsidRPr="00A13719">
        <w:rPr>
          <w:rFonts w:eastAsiaTheme="minorEastAsia"/>
        </w:rPr>
        <w:t xml:space="preserve">  </w:t>
      </w:r>
      <w:r w:rsidRPr="00A13719">
        <w:rPr>
          <w:rFonts w:eastAsiaTheme="minorEastAsia"/>
        </w:rPr>
        <w:t>(1</w:t>
      </w:r>
      <w:r w:rsidR="002B36AD" w:rsidRPr="00A13719">
        <w:rPr>
          <w:rFonts w:eastAsiaTheme="minorEastAsia"/>
        </w:rPr>
        <w:t>3</w:t>
      </w:r>
      <w:r w:rsidRPr="00A13719">
        <w:rPr>
          <w:rFonts w:eastAsiaTheme="minorEastAsia"/>
        </w:rPr>
        <w:t>)</w:t>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Pr="00A13719">
        <w:rPr>
          <w:rFonts w:eastAsiaTheme="minorEastAsia"/>
        </w:rPr>
        <w:t xml:space="preserve"> </w:t>
      </w:r>
    </w:p>
    <w:p w:rsidR="00E942DC" w:rsidRPr="00A13719" w:rsidRDefault="00E942DC" w:rsidP="00E942DC">
      <w:pPr>
        <w:jc w:val="both"/>
        <w:rPr>
          <w:rFonts w:eastAsiaTheme="minorEastAsia"/>
        </w:rPr>
      </w:pPr>
      <w:r w:rsidRPr="00A13719">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i,j</m:t>
            </m:r>
          </m:sub>
        </m:sSub>
      </m:oMath>
      <w:r w:rsidRPr="00A13719">
        <w:rPr>
          <w:rFonts w:eastAsiaTheme="minorEastAsia"/>
        </w:rPr>
        <w:t xml:space="preserve"> is the probability of moving from regime </w:t>
      </w:r>
      <w:r w:rsidRPr="00A13719">
        <w:rPr>
          <w:rFonts w:eastAsiaTheme="minorEastAsia"/>
          <w:i/>
        </w:rPr>
        <w:t>i</w:t>
      </w:r>
      <w:r w:rsidRPr="00A13719">
        <w:rPr>
          <w:rFonts w:eastAsiaTheme="minorEastAsia"/>
        </w:rPr>
        <w:t xml:space="preserve"> to regime </w:t>
      </w:r>
      <w:r w:rsidRPr="00A13719">
        <w:rPr>
          <w:rFonts w:eastAsiaTheme="minorEastAsia"/>
          <w:i/>
        </w:rPr>
        <w:t>j</w:t>
      </w:r>
      <w:r w:rsidRPr="00A13719">
        <w:rPr>
          <w:rFonts w:eastAsiaTheme="minorEastAsia"/>
        </w:rPr>
        <w:t xml:space="preserve">. Since, at any given time, the variable must be in one of the </w:t>
      </w:r>
      <w:r w:rsidRPr="00A13719">
        <w:rPr>
          <w:rFonts w:eastAsiaTheme="minorEastAsia"/>
          <w:i/>
        </w:rPr>
        <w:t>m</w:t>
      </w:r>
      <w:r w:rsidRPr="00A13719">
        <w:rPr>
          <w:rFonts w:eastAsiaTheme="minorEastAsia"/>
        </w:rPr>
        <w:t xml:space="preserve"> states, it must be true that:</w:t>
      </w:r>
    </w:p>
    <w:p w:rsidR="00E942DC" w:rsidRPr="00A13719" w:rsidRDefault="003C6351" w:rsidP="00E942DC">
      <w:pPr>
        <w:jc w:val="both"/>
        <w:rPr>
          <w:rFonts w:eastAsiaTheme="minorEastAsia"/>
        </w:rPr>
      </w:pPr>
      <m:oMath>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i,j</m:t>
                </m:r>
              </m:sub>
            </m:sSub>
            <m:r>
              <w:rPr>
                <w:rFonts w:ascii="Cambria Math" w:hAnsi="Cambria Math"/>
              </w:rPr>
              <m:t>=1 ∀i</m:t>
            </m:r>
          </m:e>
        </m:nary>
      </m:oMath>
      <w:r w:rsidR="00E942DC" w:rsidRPr="00A13719">
        <w:rPr>
          <w:rFonts w:eastAsiaTheme="minorEastAsia"/>
        </w:rPr>
        <w:t xml:space="preserve"> </w:t>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AE0277" w:rsidRPr="00A13719">
        <w:rPr>
          <w:rFonts w:eastAsiaTheme="minorEastAsia"/>
        </w:rPr>
        <w:t xml:space="preserve">   </w:t>
      </w:r>
      <w:r w:rsidR="00E942DC" w:rsidRPr="00A13719">
        <w:rPr>
          <w:rFonts w:eastAsiaTheme="minorEastAsia"/>
        </w:rPr>
        <w:t>(1</w:t>
      </w:r>
      <w:r w:rsidR="002B36AD" w:rsidRPr="00A13719">
        <w:rPr>
          <w:rFonts w:eastAsiaTheme="minorEastAsia"/>
        </w:rPr>
        <w:t>4</w:t>
      </w:r>
      <w:r w:rsidR="00E942DC" w:rsidRPr="00A13719">
        <w:rPr>
          <w:rFonts w:eastAsiaTheme="minorEastAsia"/>
        </w:rPr>
        <w:t>)</w:t>
      </w:r>
    </w:p>
    <w:p w:rsidR="00E942DC" w:rsidRPr="00A13719" w:rsidRDefault="00E942DC" w:rsidP="00E942DC">
      <w:pPr>
        <w:jc w:val="both"/>
        <w:rPr>
          <w:rFonts w:eastAsiaTheme="minorEastAsia"/>
        </w:rPr>
      </w:pPr>
      <w:r w:rsidRPr="00A13719">
        <w:rPr>
          <w:rFonts w:eastAsiaTheme="minorEastAsia"/>
        </w:rPr>
        <w:t>A vector of current state probabilities is then defined as</w:t>
      </w:r>
    </w:p>
    <w:p w:rsidR="00E942DC" w:rsidRPr="00A13719" w:rsidRDefault="003C6351" w:rsidP="00E942DC">
      <w:pPr>
        <w:jc w:val="both"/>
        <w:rPr>
          <w:rFonts w:eastAsiaTheme="minorEastAsia"/>
        </w:rPr>
      </w:pPr>
      <m:oMath>
        <m:sSub>
          <m:sSubPr>
            <m:ctrlPr>
              <w:rPr>
                <w:rFonts w:ascii="Cambria Math" w:hAnsi="Cambria Math"/>
                <w:i/>
              </w:rPr>
            </m:ctrlPr>
          </m:sSubPr>
          <m:e>
            <m:r>
              <w:rPr>
                <w:rFonts w:ascii="Cambria Math" w:hAnsi="Cambria Math"/>
                <w:lang w:val="el-GR"/>
              </w:rPr>
              <m:t>π</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π</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π</m:t>
            </m:r>
          </m:e>
          <m:sub>
            <m:r>
              <w:rPr>
                <w:rFonts w:ascii="Cambria Math" w:hAnsi="Cambria Math"/>
              </w:rPr>
              <m:t>m</m:t>
            </m:r>
          </m:sub>
        </m:sSub>
        <m:r>
          <w:rPr>
            <w:rFonts w:ascii="Cambria Math" w:hAnsi="Cambria Math"/>
          </w:rPr>
          <m:t>]</m:t>
        </m:r>
      </m:oMath>
      <w:r w:rsidR="00E942DC" w:rsidRPr="00A13719">
        <w:rPr>
          <w:rFonts w:eastAsiaTheme="minorEastAsia"/>
        </w:rPr>
        <w:t xml:space="preserve"> </w:t>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AE0277" w:rsidRPr="00A13719">
        <w:rPr>
          <w:rFonts w:eastAsiaTheme="minorEastAsia"/>
        </w:rPr>
        <w:t xml:space="preserve">   </w:t>
      </w:r>
      <w:r w:rsidR="00E942DC" w:rsidRPr="00A13719">
        <w:rPr>
          <w:rFonts w:eastAsiaTheme="minorEastAsia"/>
        </w:rPr>
        <w:t>(1</w:t>
      </w:r>
      <w:r w:rsidR="002B36AD" w:rsidRPr="00A13719">
        <w:rPr>
          <w:rFonts w:eastAsiaTheme="minorEastAsia"/>
        </w:rPr>
        <w:t>5</w:t>
      </w:r>
      <w:r w:rsidR="00E942DC" w:rsidRPr="00A13719">
        <w:rPr>
          <w:rFonts w:eastAsiaTheme="minorEastAsia"/>
        </w:rPr>
        <w:t>)</w:t>
      </w:r>
    </w:p>
    <w:p w:rsidR="00E942DC" w:rsidRPr="00A13719" w:rsidRDefault="00E942DC" w:rsidP="00E942DC">
      <w:pPr>
        <w:jc w:val="both"/>
        <w:rPr>
          <w:rFonts w:eastAsiaTheme="minorEastAsia"/>
        </w:rPr>
      </w:pPr>
      <w:r w:rsidRPr="00A13719">
        <w:rPr>
          <w:rFonts w:eastAsiaTheme="minorEastAsia"/>
        </w:rPr>
        <w:t xml:space="preserve">Where </w:t>
      </w:r>
      <m:oMath>
        <m:sSub>
          <m:sSubPr>
            <m:ctrlPr>
              <w:rPr>
                <w:rFonts w:ascii="Cambria Math" w:hAnsi="Cambria Math"/>
                <w:i/>
              </w:rPr>
            </m:ctrlPr>
          </m:sSubPr>
          <m:e>
            <m:r>
              <w:rPr>
                <w:rFonts w:ascii="Cambria Math" w:hAnsi="Cambria Math"/>
                <w:lang w:val="el-GR"/>
              </w:rPr>
              <m:t>π</m:t>
            </m:r>
          </m:e>
          <m:sub>
            <m:r>
              <w:rPr>
                <w:rFonts w:ascii="Cambria Math" w:hAnsi="Cambria Math"/>
              </w:rPr>
              <m:t>t</m:t>
            </m:r>
          </m:sub>
        </m:sSub>
      </m:oMath>
      <w:r w:rsidRPr="00A13719">
        <w:rPr>
          <w:rFonts w:eastAsiaTheme="minorEastAsia"/>
        </w:rPr>
        <w:t xml:space="preserve"> is the probability that the variable </w:t>
      </w:r>
      <w:r w:rsidRPr="00A13719">
        <w:rPr>
          <w:rFonts w:eastAsiaTheme="minorEastAsia"/>
          <w:i/>
        </w:rPr>
        <w:t>y</w:t>
      </w:r>
      <w:r w:rsidRPr="00A13719">
        <w:rPr>
          <w:rFonts w:eastAsiaTheme="minorEastAsia"/>
        </w:rPr>
        <w:t xml:space="preserve"> is currently in state </w:t>
      </w:r>
      <w:r w:rsidRPr="00A13719">
        <w:rPr>
          <w:rFonts w:eastAsiaTheme="minorEastAsia"/>
          <w:i/>
        </w:rPr>
        <w:t>i</w:t>
      </w:r>
      <w:r w:rsidRPr="00A13719">
        <w:rPr>
          <w:rFonts w:eastAsiaTheme="minorEastAsia"/>
        </w:rPr>
        <w:t xml:space="preserve">. Given </w:t>
      </w:r>
      <m:oMath>
        <m:sSub>
          <m:sSubPr>
            <m:ctrlPr>
              <w:rPr>
                <w:rFonts w:ascii="Cambria Math" w:hAnsi="Cambria Math"/>
                <w:i/>
              </w:rPr>
            </m:ctrlPr>
          </m:sSubPr>
          <m:e>
            <m:r>
              <w:rPr>
                <w:rFonts w:ascii="Cambria Math" w:hAnsi="Cambria Math"/>
                <w:lang w:val="el-GR"/>
              </w:rPr>
              <m:t>π</m:t>
            </m:r>
          </m:e>
          <m:sub>
            <m:r>
              <w:rPr>
                <w:rFonts w:ascii="Cambria Math" w:hAnsi="Cambria Math"/>
              </w:rPr>
              <m:t>t</m:t>
            </m:r>
          </m:sub>
        </m:sSub>
      </m:oMath>
      <w:r w:rsidRPr="00A13719">
        <w:rPr>
          <w:rFonts w:eastAsiaTheme="minorEastAsia"/>
        </w:rPr>
        <w:t xml:space="preserve"> and </w:t>
      </w:r>
      <w:r w:rsidRPr="00A13719">
        <w:rPr>
          <w:rFonts w:eastAsiaTheme="minorEastAsia"/>
          <w:i/>
        </w:rPr>
        <w:t>P</w:t>
      </w:r>
      <w:r w:rsidRPr="00A13719">
        <w:rPr>
          <w:rFonts w:eastAsiaTheme="minorEastAsia"/>
        </w:rPr>
        <w:t>, the probability that the variable y will be in a given regime next period can be forecast using:</w:t>
      </w:r>
    </w:p>
    <w:p w:rsidR="00E942DC" w:rsidRPr="00A13719" w:rsidRDefault="003C6351" w:rsidP="00E942DC">
      <w:pPr>
        <w:jc w:val="both"/>
        <w:rPr>
          <w:rFonts w:eastAsiaTheme="minorEastAsia"/>
        </w:rPr>
      </w:pPr>
      <m:oMath>
        <m:sSub>
          <m:sSubPr>
            <m:ctrlPr>
              <w:rPr>
                <w:rFonts w:ascii="Cambria Math" w:hAnsi="Cambria Math"/>
                <w:i/>
              </w:rPr>
            </m:ctrlPr>
          </m:sSubPr>
          <m:e>
            <m:r>
              <w:rPr>
                <w:rFonts w:ascii="Cambria Math" w:hAnsi="Cambria Math"/>
                <w:lang w:val="el-GR"/>
              </w:rPr>
              <m:t>π</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lang w:val="el-GR"/>
              </w:rPr>
              <m:t>π</m:t>
            </m:r>
          </m:e>
          <m:sub>
            <m:r>
              <w:rPr>
                <w:rFonts w:ascii="Cambria Math" w:hAnsi="Cambria Math"/>
              </w:rPr>
              <m:t>t</m:t>
            </m:r>
          </m:sub>
        </m:sSub>
        <m:r>
          <w:rPr>
            <w:rFonts w:ascii="Cambria Math" w:hAnsi="Cambria Math"/>
          </w:rPr>
          <m:t>P</m:t>
        </m:r>
      </m:oMath>
      <w:r w:rsidR="00E942DC" w:rsidRPr="00A13719">
        <w:rPr>
          <w:rFonts w:eastAsiaTheme="minorEastAsia"/>
        </w:rPr>
        <w:t xml:space="preserve"> </w:t>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E942DC" w:rsidRPr="00A13719">
        <w:rPr>
          <w:rFonts w:eastAsiaTheme="minorEastAsia"/>
        </w:rPr>
        <w:tab/>
      </w:r>
      <w:r w:rsidR="00AE0277" w:rsidRPr="00A13719">
        <w:rPr>
          <w:rFonts w:eastAsiaTheme="minorEastAsia"/>
        </w:rPr>
        <w:t xml:space="preserve">   </w:t>
      </w:r>
      <w:r w:rsidR="00E942DC" w:rsidRPr="00A13719">
        <w:rPr>
          <w:rFonts w:eastAsiaTheme="minorEastAsia"/>
        </w:rPr>
        <w:t>(1</w:t>
      </w:r>
      <w:r w:rsidR="002B36AD" w:rsidRPr="00A13719">
        <w:rPr>
          <w:rFonts w:eastAsiaTheme="minorEastAsia"/>
        </w:rPr>
        <w:t>6</w:t>
      </w:r>
      <w:r w:rsidR="00E942DC" w:rsidRPr="00A13719">
        <w:rPr>
          <w:rFonts w:eastAsiaTheme="minorEastAsia"/>
        </w:rPr>
        <w:t>)</w:t>
      </w:r>
    </w:p>
    <w:p w:rsidR="00D02C52" w:rsidRPr="00A13719" w:rsidRDefault="00F33219" w:rsidP="00D02C52">
      <w:pPr>
        <w:jc w:val="both"/>
        <w:rPr>
          <w:rFonts w:eastAsiaTheme="minorEastAsia"/>
        </w:rPr>
      </w:pPr>
      <w:r w:rsidRPr="00A13719">
        <w:t>W</w:t>
      </w:r>
      <w:r w:rsidR="00D02C52" w:rsidRPr="00A13719">
        <w:rPr>
          <w:rFonts w:eastAsiaTheme="minorEastAsia"/>
        </w:rPr>
        <w:t xml:space="preserve">ithin each regime of the market index </w:t>
      </w:r>
      <w:r w:rsidR="00EB5A70" w:rsidRPr="00A13719">
        <w:rPr>
          <w:rFonts w:eastAsiaTheme="minorEastAsia"/>
        </w:rPr>
        <w:t>we</w:t>
      </w:r>
      <w:r w:rsidR="00D02C52" w:rsidRPr="00A13719">
        <w:rPr>
          <w:rFonts w:eastAsiaTheme="minorEastAsia"/>
        </w:rPr>
        <w:t xml:space="preserve"> appl</w:t>
      </w:r>
      <w:r w:rsidR="00EB5A70" w:rsidRPr="00A13719">
        <w:rPr>
          <w:rFonts w:eastAsiaTheme="minorEastAsia"/>
        </w:rPr>
        <w:t>y</w:t>
      </w:r>
      <w:r w:rsidR="00D02C52" w:rsidRPr="00A13719">
        <w:rPr>
          <w:rFonts w:eastAsiaTheme="minorEastAsia"/>
        </w:rPr>
        <w:t xml:space="preserve"> a step-wise regression technique to limit the final list of factor</w:t>
      </w:r>
      <w:r w:rsidR="00EB5A70" w:rsidRPr="00A13719">
        <w:rPr>
          <w:rFonts w:eastAsiaTheme="minorEastAsia"/>
        </w:rPr>
        <w:t>s</w:t>
      </w:r>
      <w:r w:rsidR="00D02C52" w:rsidRPr="00A13719">
        <w:rPr>
          <w:rFonts w:eastAsiaTheme="minorEastAsia"/>
        </w:rPr>
        <w:t xml:space="preserve"> </w:t>
      </w:r>
      <w:r w:rsidR="00EB5A70" w:rsidRPr="00A13719">
        <w:rPr>
          <w:rFonts w:eastAsiaTheme="minorEastAsia"/>
        </w:rPr>
        <w:t>for</w:t>
      </w:r>
      <w:r w:rsidR="00D02C52" w:rsidRPr="00A13719">
        <w:rPr>
          <w:rFonts w:eastAsiaTheme="minorEastAsia"/>
        </w:rPr>
        <w:t xml:space="preserve"> each strategy. Employing a combination of statistical method and empirical judgement we are able to use </w:t>
      </w:r>
      <w:r w:rsidR="003C7D7D" w:rsidRPr="00A13719">
        <w:rPr>
          <w:rFonts w:eastAsiaTheme="minorEastAsia"/>
        </w:rPr>
        <w:t xml:space="preserve">a parsimonious </w:t>
      </w:r>
      <w:r w:rsidR="00821FF0" w:rsidRPr="00A13719">
        <w:rPr>
          <w:rFonts w:eastAsiaTheme="minorEastAsia"/>
        </w:rPr>
        <w:t xml:space="preserve">model using </w:t>
      </w:r>
      <w:r w:rsidR="00D02C52" w:rsidRPr="00A13719">
        <w:rPr>
          <w:rFonts w:eastAsiaTheme="minorEastAsia"/>
        </w:rPr>
        <w:t xml:space="preserve">the most appropriate factors for a given strategy </w:t>
      </w:r>
      <w:r w:rsidR="00EB5A70" w:rsidRPr="00A13719">
        <w:rPr>
          <w:rFonts w:eastAsiaTheme="minorEastAsia"/>
        </w:rPr>
        <w:t>under</w:t>
      </w:r>
      <w:r w:rsidR="00D02C52" w:rsidRPr="00A13719">
        <w:rPr>
          <w:rFonts w:eastAsiaTheme="minorEastAsia"/>
        </w:rPr>
        <w:t xml:space="preserve"> a specific </w:t>
      </w:r>
      <w:r w:rsidR="00EB5A70" w:rsidRPr="00A13719">
        <w:rPr>
          <w:rFonts w:eastAsiaTheme="minorEastAsia"/>
        </w:rPr>
        <w:t xml:space="preserve">market </w:t>
      </w:r>
      <w:r w:rsidR="00D02C52" w:rsidRPr="00A13719">
        <w:rPr>
          <w:rFonts w:eastAsiaTheme="minorEastAsia"/>
        </w:rPr>
        <w:t>regime.</w:t>
      </w:r>
      <w:r w:rsidR="00476B88" w:rsidRPr="00A13719">
        <w:rPr>
          <w:rFonts w:eastAsiaTheme="minorEastAsia"/>
        </w:rPr>
        <w:t xml:space="preserve"> </w:t>
      </w:r>
      <w:r w:rsidR="00EB5A70" w:rsidRPr="00A13719">
        <w:rPr>
          <w:rFonts w:eastAsiaTheme="minorEastAsia"/>
        </w:rPr>
        <w:t>Unlike many authors, we did not rely on a single model just adding one or more factors on existing models. The reason is that we take a</w:t>
      </w:r>
      <w:r w:rsidR="009C1064" w:rsidRPr="00A13719">
        <w:rPr>
          <w:rFonts w:eastAsiaTheme="minorEastAsia"/>
        </w:rPr>
        <w:t>n</w:t>
      </w:r>
      <w:r w:rsidR="00EB5A70" w:rsidRPr="00A13719">
        <w:rPr>
          <w:rFonts w:eastAsiaTheme="minorEastAsia"/>
        </w:rPr>
        <w:t xml:space="preserve"> approach selecting the most appropriate candidate factors for </w:t>
      </w:r>
      <w:r w:rsidR="009C1064" w:rsidRPr="00A13719">
        <w:rPr>
          <w:rFonts w:eastAsiaTheme="minorEastAsia"/>
          <w:lang w:val="en-US"/>
        </w:rPr>
        <w:t>HF</w:t>
      </w:r>
      <w:r w:rsidR="00EB5A70" w:rsidRPr="00A13719">
        <w:rPr>
          <w:rFonts w:eastAsiaTheme="minorEastAsia"/>
        </w:rPr>
        <w:t xml:space="preserve">s, following </w:t>
      </w:r>
      <w:r w:rsidR="00905877" w:rsidRPr="00A13719">
        <w:rPr>
          <w:rFonts w:eastAsiaTheme="minorEastAsia"/>
        </w:rPr>
        <w:t xml:space="preserve">other authors </w:t>
      </w:r>
      <w:r w:rsidR="00B078D6" w:rsidRPr="00A13719">
        <w:rPr>
          <w:rFonts w:eastAsiaTheme="minorEastAsia"/>
        </w:rPr>
        <w:t>(e.g.</w:t>
      </w:r>
      <w:r w:rsidR="00905877" w:rsidRPr="00A13719">
        <w:rPr>
          <w:rFonts w:eastAsiaTheme="minorEastAsia"/>
        </w:rPr>
        <w:t xml:space="preserve"> </w:t>
      </w:r>
      <w:r w:rsidR="00B078D6" w:rsidRPr="00A13719">
        <w:rPr>
          <w:rFonts w:eastAsiaTheme="minorEastAsia"/>
        </w:rPr>
        <w:t xml:space="preserve">Jawadi and Khanniche, </w:t>
      </w:r>
      <w:r w:rsidR="00EB5A70" w:rsidRPr="00A13719">
        <w:rPr>
          <w:rFonts w:eastAsiaTheme="minorEastAsia"/>
        </w:rPr>
        <w:t xml:space="preserve">2012). Furthermore, many authors use a single model for all </w:t>
      </w:r>
      <w:r w:rsidR="009C1064" w:rsidRPr="00A13719">
        <w:rPr>
          <w:rFonts w:eastAsiaTheme="minorEastAsia"/>
          <w:lang w:val="en-US"/>
        </w:rPr>
        <w:t>HF</w:t>
      </w:r>
      <w:r w:rsidR="00EB5A70" w:rsidRPr="00A13719">
        <w:rPr>
          <w:rFonts w:eastAsiaTheme="minorEastAsia"/>
        </w:rPr>
        <w:t xml:space="preserve"> strategies, mentioning nothing about the statistical properties of these factors (e.g. correlation between two or more factors). We take this issue into consideration. Due to the multifaceted nature of the </w:t>
      </w:r>
      <w:r w:rsidR="009C1064" w:rsidRPr="00A13719">
        <w:rPr>
          <w:rFonts w:eastAsiaTheme="minorEastAsia"/>
          <w:lang w:val="en-US"/>
        </w:rPr>
        <w:t>HF</w:t>
      </w:r>
      <w:r w:rsidR="00EB5A70" w:rsidRPr="00A13719">
        <w:rPr>
          <w:rFonts w:eastAsiaTheme="minorEastAsia"/>
        </w:rPr>
        <w:t xml:space="preserve"> industry it is unwise to use exactly the same model when trying to explain </w:t>
      </w:r>
      <w:r w:rsidR="009C1064" w:rsidRPr="00A13719">
        <w:rPr>
          <w:rFonts w:eastAsiaTheme="minorEastAsia"/>
          <w:lang w:val="en-US"/>
        </w:rPr>
        <w:t>HF</w:t>
      </w:r>
      <w:r w:rsidR="00EB5A70" w:rsidRPr="00A13719">
        <w:rPr>
          <w:rFonts w:eastAsiaTheme="minorEastAsia"/>
        </w:rPr>
        <w:t xml:space="preserve"> strategies. Different </w:t>
      </w:r>
      <w:r w:rsidR="009C1064" w:rsidRPr="00A13719">
        <w:rPr>
          <w:rFonts w:eastAsiaTheme="minorEastAsia"/>
          <w:lang w:val="en-US"/>
        </w:rPr>
        <w:t>HF</w:t>
      </w:r>
      <w:r w:rsidR="00EB5A70" w:rsidRPr="00A13719">
        <w:rPr>
          <w:rFonts w:eastAsiaTheme="minorEastAsia"/>
        </w:rPr>
        <w:t xml:space="preserve"> </w:t>
      </w:r>
      <w:r w:rsidR="00EB5A70" w:rsidRPr="00A13719">
        <w:rPr>
          <w:rFonts w:eastAsiaTheme="minorEastAsia"/>
        </w:rPr>
        <w:lastRenderedPageBreak/>
        <w:t xml:space="preserve">strategies have different </w:t>
      </w:r>
      <w:r w:rsidR="00233090" w:rsidRPr="00A13719">
        <w:rPr>
          <w:rFonts w:eastAsiaTheme="minorEastAsia"/>
        </w:rPr>
        <w:t>behaviour (in terms of alpha and exposures)</w:t>
      </w:r>
      <w:r w:rsidR="00EB5A70" w:rsidRPr="00A13719">
        <w:rPr>
          <w:rFonts w:eastAsiaTheme="minorEastAsia"/>
        </w:rPr>
        <w:t xml:space="preserve"> and investment characteristics.</w:t>
      </w:r>
      <w:r w:rsidR="00476B88" w:rsidRPr="00A13719">
        <w:rPr>
          <w:lang w:val="en-US"/>
        </w:rPr>
        <w:t xml:space="preserve"> </w:t>
      </w:r>
      <w:r w:rsidR="00FE33B7" w:rsidRPr="00A13719">
        <w:rPr>
          <w:lang w:val="en-US"/>
        </w:rPr>
        <w:t xml:space="preserve"> </w:t>
      </w:r>
    </w:p>
    <w:p w:rsidR="00ED2220" w:rsidRPr="00A13719" w:rsidRDefault="001830A4" w:rsidP="00E40674">
      <w:pPr>
        <w:pStyle w:val="Heading2"/>
        <w:rPr>
          <w:lang w:val="en-US"/>
        </w:rPr>
      </w:pPr>
      <w:bookmarkStart w:id="4" w:name="_Toc425953828"/>
      <w:r w:rsidRPr="00A13719">
        <w:rPr>
          <w:lang w:val="en-US"/>
        </w:rPr>
        <w:t>Data</w:t>
      </w:r>
      <w:bookmarkEnd w:id="4"/>
    </w:p>
    <w:p w:rsidR="00447D97" w:rsidRPr="00A13719" w:rsidRDefault="00EB5A70" w:rsidP="0010270C">
      <w:pPr>
        <w:jc w:val="both"/>
        <w:rPr>
          <w:lang w:val="en-US"/>
        </w:rPr>
      </w:pPr>
      <w:r w:rsidRPr="00A13719">
        <w:rPr>
          <w:lang w:val="en-US"/>
        </w:rPr>
        <w:t>W</w:t>
      </w:r>
      <w:r w:rsidR="00C62527" w:rsidRPr="00A13719">
        <w:rPr>
          <w:lang w:val="en-US"/>
        </w:rPr>
        <w:t xml:space="preserve">e use three </w:t>
      </w:r>
      <w:r w:rsidR="00105B9E" w:rsidRPr="00A13719">
        <w:rPr>
          <w:rFonts w:eastAsiaTheme="minorEastAsia"/>
          <w:lang w:val="en-US"/>
        </w:rPr>
        <w:t>HF</w:t>
      </w:r>
      <w:r w:rsidR="00C62527" w:rsidRPr="00A13719">
        <w:rPr>
          <w:lang w:val="en-US"/>
        </w:rPr>
        <w:t xml:space="preserve"> data</w:t>
      </w:r>
      <w:r w:rsidR="003A400F" w:rsidRPr="00A13719">
        <w:rPr>
          <w:lang w:val="en-US"/>
        </w:rPr>
        <w:t xml:space="preserve">bases </w:t>
      </w:r>
      <w:r w:rsidR="00BD3763" w:rsidRPr="00A13719">
        <w:rPr>
          <w:lang w:val="en-US"/>
        </w:rPr>
        <w:t>(</w:t>
      </w:r>
      <w:r w:rsidR="00B35DB2" w:rsidRPr="00A13719">
        <w:rPr>
          <w:lang w:val="en-US"/>
        </w:rPr>
        <w:t xml:space="preserve">one </w:t>
      </w:r>
      <w:r w:rsidR="00BD3763" w:rsidRPr="00A13719">
        <w:rPr>
          <w:lang w:val="en-US"/>
        </w:rPr>
        <w:t xml:space="preserve">with live/dead funds, </w:t>
      </w:r>
      <w:r w:rsidR="00B35DB2" w:rsidRPr="00A13719">
        <w:rPr>
          <w:lang w:val="en-US"/>
        </w:rPr>
        <w:t xml:space="preserve">one with </w:t>
      </w:r>
      <w:r w:rsidR="00BD3763" w:rsidRPr="00A13719">
        <w:rPr>
          <w:lang w:val="en-US"/>
        </w:rPr>
        <w:t>live funds</w:t>
      </w:r>
      <w:r w:rsidR="00D81854" w:rsidRPr="00A13719">
        <w:rPr>
          <w:lang w:val="en-US"/>
        </w:rPr>
        <w:t xml:space="preserve"> and</w:t>
      </w:r>
      <w:r w:rsidR="00B720F7" w:rsidRPr="00A13719">
        <w:rPr>
          <w:lang w:val="en-US"/>
        </w:rPr>
        <w:t xml:space="preserve"> </w:t>
      </w:r>
      <w:r w:rsidR="00B35DB2" w:rsidRPr="00A13719">
        <w:rPr>
          <w:lang w:val="en-US"/>
        </w:rPr>
        <w:t xml:space="preserve">one with </w:t>
      </w:r>
      <w:r w:rsidR="00B720F7" w:rsidRPr="00A13719">
        <w:rPr>
          <w:lang w:val="en-US"/>
        </w:rPr>
        <w:t>dead</w:t>
      </w:r>
      <w:r w:rsidR="00BD3763" w:rsidRPr="00A13719">
        <w:rPr>
          <w:lang w:val="en-US"/>
        </w:rPr>
        <w:t xml:space="preserve"> funds) </w:t>
      </w:r>
      <w:r w:rsidR="003A400F" w:rsidRPr="00A13719">
        <w:rPr>
          <w:lang w:val="en-US"/>
        </w:rPr>
        <w:t>from two database vendors. These</w:t>
      </w:r>
      <w:r w:rsidR="00C62527" w:rsidRPr="00A13719">
        <w:rPr>
          <w:lang w:val="en-US"/>
        </w:rPr>
        <w:t xml:space="preserve"> </w:t>
      </w:r>
      <w:r w:rsidR="003A400F" w:rsidRPr="00A13719">
        <w:rPr>
          <w:lang w:val="en-US"/>
        </w:rPr>
        <w:t xml:space="preserve">are </w:t>
      </w:r>
      <w:r w:rsidR="00C62527" w:rsidRPr="00A13719">
        <w:rPr>
          <w:lang w:val="en-US"/>
        </w:rPr>
        <w:t xml:space="preserve">EurekaHedge and BarclayHedge </w:t>
      </w:r>
      <w:r w:rsidR="00D835E3" w:rsidRPr="00A13719">
        <w:rPr>
          <w:lang w:val="en-US"/>
        </w:rPr>
        <w:t>covering the</w:t>
      </w:r>
      <w:r w:rsidR="002406D5" w:rsidRPr="00A13719">
        <w:rPr>
          <w:lang w:val="en-US"/>
        </w:rPr>
        <w:t xml:space="preserve"> period from January 1990 </w:t>
      </w:r>
      <w:r w:rsidR="00910555" w:rsidRPr="00A13719">
        <w:rPr>
          <w:lang w:val="en-US"/>
        </w:rPr>
        <w:t>(similar to Denvir and Hutson 2006</w:t>
      </w:r>
      <w:r w:rsidR="006C7433" w:rsidRPr="00A13719">
        <w:rPr>
          <w:lang w:val="en-US"/>
        </w:rPr>
        <w:t>,</w:t>
      </w:r>
      <w:r w:rsidR="00910555" w:rsidRPr="00A13719">
        <w:rPr>
          <w:lang w:val="en-US"/>
        </w:rPr>
        <w:t xml:space="preserve"> Harris and Mazibas, 2010 and Giannikis and Vrontos 2011) </w:t>
      </w:r>
      <w:r w:rsidR="002406D5" w:rsidRPr="00A13719">
        <w:rPr>
          <w:lang w:val="en-US"/>
        </w:rPr>
        <w:t>to March 2014</w:t>
      </w:r>
      <w:r w:rsidR="00F33219" w:rsidRPr="00A13719">
        <w:rPr>
          <w:lang w:val="en-US"/>
        </w:rPr>
        <w:t>.</w:t>
      </w:r>
      <w:r w:rsidR="00447D97" w:rsidRPr="00A13719">
        <w:rPr>
          <w:lang w:val="en-US"/>
        </w:rPr>
        <w:t xml:space="preserve"> </w:t>
      </w:r>
      <w:r w:rsidR="00447D97" w:rsidRPr="00A13719">
        <w:t>We include at least three business cycles to enable our analysis to be as comprehensive as possible. The majority of the databases for commercial use came into existence in the early/mid 1990s</w:t>
      </w:r>
      <w:r w:rsidR="00632127" w:rsidRPr="00A13719">
        <w:t>,</w:t>
      </w:r>
      <w:r w:rsidR="00447D97" w:rsidRPr="00A13719">
        <w:t xml:space="preserve"> with a few exceptions such as </w:t>
      </w:r>
      <w:r w:rsidR="00632127" w:rsidRPr="00A13719">
        <w:t xml:space="preserve">the </w:t>
      </w:r>
      <w:r w:rsidR="00447D97" w:rsidRPr="00A13719">
        <w:t>EurekaHedge and BarclayHedge databases that came earlier. Our dataset contains pre-1994 dead funds</w:t>
      </w:r>
      <w:r w:rsidR="00632127" w:rsidRPr="00A13719">
        <w:t>,</w:t>
      </w:r>
      <w:r w:rsidR="00447D97" w:rsidRPr="00A13719">
        <w:t xml:space="preserve"> hence we do not have this type of survivorship bias. However, i</w:t>
      </w:r>
      <w:r w:rsidR="00F33219" w:rsidRPr="00A13719">
        <w:t>n our robustness checks we exclude</w:t>
      </w:r>
      <w:r w:rsidR="00447D97" w:rsidRPr="00A13719">
        <w:t xml:space="preserve"> the </w:t>
      </w:r>
      <w:r w:rsidR="00632127" w:rsidRPr="00A13719">
        <w:t xml:space="preserve">years </w:t>
      </w:r>
      <w:r w:rsidR="00447D97" w:rsidRPr="00A13719">
        <w:t xml:space="preserve">prior </w:t>
      </w:r>
      <w:r w:rsidR="00632127" w:rsidRPr="00A13719">
        <w:t xml:space="preserve">to </w:t>
      </w:r>
      <w:r w:rsidR="00447D97" w:rsidRPr="00A13719">
        <w:t>1994 so as to verify our results.</w:t>
      </w:r>
    </w:p>
    <w:p w:rsidR="00883215" w:rsidRPr="00A13719" w:rsidRDefault="004F5A33" w:rsidP="0010270C">
      <w:pPr>
        <w:jc w:val="both"/>
      </w:pPr>
      <w:r w:rsidRPr="00A13719">
        <w:rPr>
          <w:lang w:val="en-US"/>
        </w:rPr>
        <w:t xml:space="preserve">After the merging and cleaning process </w:t>
      </w:r>
      <w:r w:rsidR="0056132A" w:rsidRPr="00A13719">
        <w:rPr>
          <w:lang w:val="en-US"/>
        </w:rPr>
        <w:t xml:space="preserve">(such as removing records containing consecutive returns of zero, N/A and null) </w:t>
      </w:r>
      <w:r w:rsidRPr="00A13719">
        <w:rPr>
          <w:lang w:val="en-US"/>
        </w:rPr>
        <w:t xml:space="preserve">we select funds that invest primarily in the North America region. </w:t>
      </w:r>
      <w:r w:rsidR="00F855BE" w:rsidRPr="00A13719">
        <w:rPr>
          <w:lang w:val="en-US"/>
        </w:rPr>
        <w:t>After the selection process, t</w:t>
      </w:r>
      <w:r w:rsidRPr="00A13719">
        <w:rPr>
          <w:lang w:val="en-US"/>
        </w:rPr>
        <w:t>he total number of funds (live and dead) is 7,541.</w:t>
      </w:r>
      <w:r w:rsidR="00DA588E" w:rsidRPr="00A13719">
        <w:t xml:space="preserve"> </w:t>
      </w:r>
      <w:r w:rsidR="00F33219" w:rsidRPr="00A13719">
        <w:rPr>
          <w:lang w:val="en-US"/>
        </w:rPr>
        <w:t>W</w:t>
      </w:r>
      <w:r w:rsidR="00233258" w:rsidRPr="00A13719">
        <w:rPr>
          <w:lang w:val="en-US"/>
        </w:rPr>
        <w:t>e minimize the survivorship and instant history bi</w:t>
      </w:r>
      <w:r w:rsidR="00D74BFE" w:rsidRPr="00A13719">
        <w:rPr>
          <w:lang w:val="en-US"/>
        </w:rPr>
        <w:t>ases by including in our sample</w:t>
      </w:r>
      <w:r w:rsidR="00233258" w:rsidRPr="00A13719">
        <w:rPr>
          <w:lang w:val="en-US"/>
        </w:rPr>
        <w:t xml:space="preserve"> dead/ceased reporting funds and eliminating the first 12 monthly returns of each </w:t>
      </w:r>
      <w:r w:rsidR="00653042" w:rsidRPr="00A13719">
        <w:rPr>
          <w:rFonts w:eastAsiaTheme="minorEastAsia"/>
          <w:lang w:val="en-US"/>
        </w:rPr>
        <w:t>HF</w:t>
      </w:r>
      <w:r w:rsidR="00233258" w:rsidRPr="00A13719">
        <w:rPr>
          <w:lang w:val="en-US"/>
        </w:rPr>
        <w:t xml:space="preserve">. </w:t>
      </w:r>
      <w:r w:rsidR="00D74BFE" w:rsidRPr="00A13719">
        <w:rPr>
          <w:lang w:val="en-US"/>
        </w:rPr>
        <w:t>I</w:t>
      </w:r>
      <w:r w:rsidR="00233258" w:rsidRPr="00A13719">
        <w:rPr>
          <w:lang w:val="en-US"/>
        </w:rPr>
        <w:t xml:space="preserve">n order to deal with </w:t>
      </w:r>
      <w:r w:rsidR="00D74BFE" w:rsidRPr="00A13719">
        <w:rPr>
          <w:lang w:val="en-US"/>
        </w:rPr>
        <w:t>outliers we use a winsorizing</w:t>
      </w:r>
      <w:r w:rsidR="00233258" w:rsidRPr="00A13719">
        <w:rPr>
          <w:lang w:val="en-US"/>
        </w:rPr>
        <w:t xml:space="preserve"> technique: </w:t>
      </w:r>
      <w:r w:rsidR="008730E9" w:rsidRPr="00A13719">
        <w:rPr>
          <w:lang w:val="en-US"/>
        </w:rPr>
        <w:t xml:space="preserve">each month </w:t>
      </w:r>
      <w:r w:rsidR="00233258" w:rsidRPr="00A13719">
        <w:rPr>
          <w:lang w:val="en-US"/>
        </w:rPr>
        <w:t xml:space="preserve">we rank </w:t>
      </w:r>
      <w:r w:rsidR="00653042" w:rsidRPr="00A13719">
        <w:rPr>
          <w:rFonts w:eastAsiaTheme="minorEastAsia"/>
          <w:lang w:val="en-US"/>
        </w:rPr>
        <w:t>HF</w:t>
      </w:r>
      <w:r w:rsidR="00233258" w:rsidRPr="00A13719">
        <w:rPr>
          <w:lang w:val="en-US"/>
        </w:rPr>
        <w:t>s returns</w:t>
      </w:r>
      <w:r w:rsidR="008730E9" w:rsidRPr="00A13719">
        <w:rPr>
          <w:lang w:val="en-US"/>
        </w:rPr>
        <w:t xml:space="preserve">, excluding </w:t>
      </w:r>
      <w:r w:rsidR="00233258" w:rsidRPr="00A13719">
        <w:rPr>
          <w:lang w:val="en-US"/>
        </w:rPr>
        <w:t xml:space="preserve">null values. </w:t>
      </w:r>
      <w:r w:rsidR="008730E9" w:rsidRPr="00A13719">
        <w:rPr>
          <w:lang w:val="en-US"/>
        </w:rPr>
        <w:t>We assign ext</w:t>
      </w:r>
      <w:r w:rsidR="00233258" w:rsidRPr="00A13719">
        <w:rPr>
          <w:lang w:val="en-US"/>
        </w:rPr>
        <w:t xml:space="preserve">reme outliers below </w:t>
      </w:r>
      <w:r w:rsidR="008730E9" w:rsidRPr="00A13719">
        <w:rPr>
          <w:lang w:val="en-US"/>
        </w:rPr>
        <w:t>the</w:t>
      </w:r>
      <w:r w:rsidR="00233258" w:rsidRPr="00A13719">
        <w:rPr>
          <w:lang w:val="en-US"/>
        </w:rPr>
        <w:t xml:space="preserve"> 0.5% </w:t>
      </w:r>
      <w:r w:rsidR="008730E9" w:rsidRPr="00A13719">
        <w:rPr>
          <w:lang w:val="en-US"/>
        </w:rPr>
        <w:t xml:space="preserve">percentile </w:t>
      </w:r>
      <w:r w:rsidR="00233258" w:rsidRPr="00A13719">
        <w:rPr>
          <w:lang w:val="en-US"/>
        </w:rPr>
        <w:t>return</w:t>
      </w:r>
      <w:r w:rsidR="008730E9" w:rsidRPr="00A13719">
        <w:rPr>
          <w:lang w:val="en-US"/>
        </w:rPr>
        <w:t>s</w:t>
      </w:r>
      <w:r w:rsidR="00233258" w:rsidRPr="00A13719">
        <w:rPr>
          <w:lang w:val="en-US"/>
        </w:rPr>
        <w:t xml:space="preserve"> value</w:t>
      </w:r>
      <w:r w:rsidR="008730E9" w:rsidRPr="00A13719">
        <w:rPr>
          <w:lang w:val="en-US"/>
        </w:rPr>
        <w:t>s</w:t>
      </w:r>
      <w:r w:rsidR="00233258" w:rsidRPr="00A13719">
        <w:rPr>
          <w:lang w:val="en-US"/>
        </w:rPr>
        <w:t xml:space="preserve"> equal to that represented </w:t>
      </w:r>
      <w:r w:rsidR="008730E9" w:rsidRPr="00A13719">
        <w:rPr>
          <w:lang w:val="en-US"/>
        </w:rPr>
        <w:t>by</w:t>
      </w:r>
      <w:r w:rsidR="00233258" w:rsidRPr="00A13719">
        <w:rPr>
          <w:lang w:val="en-US"/>
        </w:rPr>
        <w:t xml:space="preserve"> the 0.5% percentile</w:t>
      </w:r>
      <w:r w:rsidR="008730E9" w:rsidRPr="00A13719">
        <w:rPr>
          <w:lang w:val="en-US"/>
        </w:rPr>
        <w:t>, and similarly for the 99.5%</w:t>
      </w:r>
      <w:r w:rsidR="00233258" w:rsidRPr="00A13719">
        <w:rPr>
          <w:lang w:val="en-US"/>
        </w:rPr>
        <w:t xml:space="preserve"> percentile. The returns are net</w:t>
      </w:r>
      <w:r w:rsidR="008730E9" w:rsidRPr="00A13719">
        <w:rPr>
          <w:lang w:val="en-US"/>
        </w:rPr>
        <w:t xml:space="preserve"> </w:t>
      </w:r>
      <w:r w:rsidR="00233258" w:rsidRPr="00A13719">
        <w:rPr>
          <w:lang w:val="en-US"/>
        </w:rPr>
        <w:t>of</w:t>
      </w:r>
      <w:r w:rsidR="008730E9" w:rsidRPr="00A13719">
        <w:rPr>
          <w:lang w:val="en-US"/>
        </w:rPr>
        <w:t xml:space="preserve"> </w:t>
      </w:r>
      <w:r w:rsidR="00233258" w:rsidRPr="00A13719">
        <w:rPr>
          <w:lang w:val="en-US"/>
        </w:rPr>
        <w:t>fee</w:t>
      </w:r>
      <w:r w:rsidR="008730E9" w:rsidRPr="00A13719">
        <w:rPr>
          <w:lang w:val="en-US"/>
        </w:rPr>
        <w:t>s</w:t>
      </w:r>
      <w:r w:rsidR="00233258" w:rsidRPr="00A13719">
        <w:rPr>
          <w:lang w:val="en-US"/>
        </w:rPr>
        <w:t xml:space="preserve">.  </w:t>
      </w:r>
      <w:r w:rsidR="00525BF3" w:rsidRPr="00A13719">
        <w:t xml:space="preserve">Our final dataset </w:t>
      </w:r>
      <w:r w:rsidR="00525BF3" w:rsidRPr="00A13719">
        <w:rPr>
          <w:lang w:val="en-US"/>
        </w:rPr>
        <w:t>consists of 6,373 funds.</w:t>
      </w:r>
      <w:r w:rsidRPr="00A13719">
        <w:t xml:space="preserve"> </w:t>
      </w:r>
      <w:r w:rsidR="00AF5A63" w:rsidRPr="00A13719">
        <w:t xml:space="preserve">Similar to other authors </w:t>
      </w:r>
      <w:r w:rsidR="00AF5A63" w:rsidRPr="00A13719">
        <w:rPr>
          <w:lang w:val="en-US"/>
        </w:rPr>
        <w:t xml:space="preserve">(such as Ramadorai, 2012) </w:t>
      </w:r>
      <w:r w:rsidR="008730E9" w:rsidRPr="00A13719">
        <w:rPr>
          <w:lang w:val="en-US"/>
        </w:rPr>
        <w:t xml:space="preserve">we treat </w:t>
      </w:r>
      <w:r w:rsidR="00AF5A63" w:rsidRPr="00A13719">
        <w:rPr>
          <w:lang w:val="en-US"/>
        </w:rPr>
        <w:t xml:space="preserve">multiple share classes of funds </w:t>
      </w:r>
      <w:r w:rsidR="008730E9" w:rsidRPr="00A13719">
        <w:rPr>
          <w:lang w:val="en-US"/>
        </w:rPr>
        <w:t>a</w:t>
      </w:r>
      <w:r w:rsidR="00AF5A63" w:rsidRPr="00A13719">
        <w:rPr>
          <w:lang w:val="en-US"/>
        </w:rPr>
        <w:t>s separate funds</w:t>
      </w:r>
      <w:r w:rsidR="008730E9" w:rsidRPr="00A13719">
        <w:rPr>
          <w:lang w:val="en-US"/>
        </w:rPr>
        <w:t>. T</w:t>
      </w:r>
      <w:r w:rsidR="00AF5A63" w:rsidRPr="00A13719">
        <w:rPr>
          <w:lang w:val="en-US"/>
        </w:rPr>
        <w:t>his is to eliminate selection bias due to variations in liquidity restrictions, returns, and fee structures that describe different share classes of the same fund</w:t>
      </w:r>
      <w:r w:rsidR="00BE15CC" w:rsidRPr="00A13719">
        <w:rPr>
          <w:lang w:val="en-US"/>
        </w:rPr>
        <w:t xml:space="preserve">, </w:t>
      </w:r>
      <w:r w:rsidR="008713AC" w:rsidRPr="00A13719">
        <w:rPr>
          <w:lang w:val="en-US"/>
        </w:rPr>
        <w:t>despite the fact</w:t>
      </w:r>
      <w:r w:rsidR="00BE15CC" w:rsidRPr="00A13719">
        <w:rPr>
          <w:lang w:val="en-US"/>
        </w:rPr>
        <w:t xml:space="preserve"> </w:t>
      </w:r>
      <w:r w:rsidR="00F61E9F" w:rsidRPr="00A13719">
        <w:rPr>
          <w:lang w:val="en-US"/>
        </w:rPr>
        <w:t xml:space="preserve">that </w:t>
      </w:r>
      <w:r w:rsidR="00BE15CC" w:rsidRPr="00A13719">
        <w:rPr>
          <w:lang w:val="en-US"/>
        </w:rPr>
        <w:t>they belong to the same strategy</w:t>
      </w:r>
      <w:r w:rsidR="00AF5A63" w:rsidRPr="00A13719">
        <w:rPr>
          <w:lang w:val="en-US"/>
        </w:rPr>
        <w:t>.</w:t>
      </w:r>
      <w:r w:rsidR="00805C55" w:rsidRPr="00A13719">
        <w:t xml:space="preserve"> </w:t>
      </w:r>
      <w:r w:rsidR="0056132A" w:rsidRPr="00A13719">
        <w:t>Due to space limitations details of all the</w:t>
      </w:r>
      <w:r w:rsidR="00484F4C" w:rsidRPr="00A13719">
        <w:t xml:space="preserve"> above</w:t>
      </w:r>
      <w:r w:rsidR="0056132A" w:rsidRPr="00A13719">
        <w:t xml:space="preserve"> procedures are available as appendices on re</w:t>
      </w:r>
      <w:r w:rsidR="00F33219" w:rsidRPr="00A13719">
        <w:t>quest.</w:t>
      </w:r>
      <w:r w:rsidR="0056132A" w:rsidRPr="00A13719">
        <w:t xml:space="preserve"> Many authors do not give full details of their merging and cleaning processes, but </w:t>
      </w:r>
      <w:r w:rsidR="00E733FA" w:rsidRPr="00A13719">
        <w:t xml:space="preserve">we </w:t>
      </w:r>
      <w:r w:rsidR="0056132A" w:rsidRPr="00A13719">
        <w:rPr>
          <w:lang w:val="en-US"/>
        </w:rPr>
        <w:t xml:space="preserve">believe that our </w:t>
      </w:r>
      <w:r w:rsidR="000A3360" w:rsidRPr="00A13719">
        <w:rPr>
          <w:lang w:val="en-US"/>
        </w:rPr>
        <w:t xml:space="preserve">algorithms for </w:t>
      </w:r>
      <w:r w:rsidR="0056132A" w:rsidRPr="00A13719">
        <w:t>merging and elimination of duplicates can be regarded as benchmarks in the literature.</w:t>
      </w:r>
    </w:p>
    <w:p w:rsidR="00D87F6C" w:rsidRPr="00A13719" w:rsidRDefault="00DF4BC7" w:rsidP="0010270C">
      <w:pPr>
        <w:jc w:val="both"/>
        <w:rPr>
          <w:lang w:val="en-US"/>
        </w:rPr>
      </w:pPr>
      <w:r w:rsidRPr="00A13719">
        <w:rPr>
          <w:lang w:val="en-US"/>
        </w:rPr>
        <w:lastRenderedPageBreak/>
        <w:t>W</w:t>
      </w:r>
      <w:r w:rsidR="00D87F6C" w:rsidRPr="00A13719">
        <w:rPr>
          <w:lang w:val="en-US"/>
        </w:rPr>
        <w:t>e adopt the strategies that fund managers report</w:t>
      </w:r>
      <w:r w:rsidR="00F33219" w:rsidRPr="00A13719">
        <w:rPr>
          <w:lang w:val="en-US"/>
        </w:rPr>
        <w:t xml:space="preserve"> </w:t>
      </w:r>
      <w:r w:rsidR="00D87F6C" w:rsidRPr="00A13719">
        <w:rPr>
          <w:lang w:val="en-US"/>
        </w:rPr>
        <w:t>in these databases</w:t>
      </w:r>
      <w:r w:rsidR="000A6FAA" w:rsidRPr="00A13719">
        <w:rPr>
          <w:rStyle w:val="FootnoteReference"/>
          <w:lang w:val="en-US"/>
        </w:rPr>
        <w:footnoteReference w:id="9"/>
      </w:r>
      <w:r w:rsidR="00D87F6C" w:rsidRPr="00A13719">
        <w:rPr>
          <w:lang w:val="en-US"/>
        </w:rPr>
        <w:t xml:space="preserve">. </w:t>
      </w:r>
      <w:r w:rsidR="00F15894" w:rsidRPr="00A13719">
        <w:rPr>
          <w:lang w:val="en-US"/>
        </w:rPr>
        <w:t>W</w:t>
      </w:r>
      <w:r w:rsidR="00D87F6C" w:rsidRPr="00A13719">
        <w:rPr>
          <w:lang w:val="en-US"/>
        </w:rPr>
        <w:t>e implement a mapping between database strategies that has been used by other authors (e.g. Joenva</w:t>
      </w:r>
      <w:r w:rsidR="005B664B" w:rsidRPr="00A13719">
        <w:rPr>
          <w:lang w:val="en-US"/>
        </w:rPr>
        <w:t>a</w:t>
      </w:r>
      <w:r w:rsidR="00D87F6C" w:rsidRPr="00A13719">
        <w:rPr>
          <w:lang w:val="en-US"/>
        </w:rPr>
        <w:t>ra, Kosowski</w:t>
      </w:r>
      <w:r w:rsidR="00D81854" w:rsidRPr="00A13719">
        <w:rPr>
          <w:lang w:val="en-US"/>
        </w:rPr>
        <w:t xml:space="preserve"> and</w:t>
      </w:r>
      <w:r w:rsidR="00D87F6C" w:rsidRPr="00A13719">
        <w:rPr>
          <w:lang w:val="en-US"/>
        </w:rPr>
        <w:t xml:space="preserve"> Tolonen, 2012) using these </w:t>
      </w:r>
      <w:r w:rsidR="00F15894" w:rsidRPr="00A13719">
        <w:rPr>
          <w:lang w:val="en-US"/>
        </w:rPr>
        <w:t xml:space="preserve">two </w:t>
      </w:r>
      <w:r w:rsidR="00D87F6C" w:rsidRPr="00A13719">
        <w:rPr>
          <w:lang w:val="en-US"/>
        </w:rPr>
        <w:t>databases.</w:t>
      </w:r>
      <w:r w:rsidR="00710736" w:rsidRPr="00A13719">
        <w:rPr>
          <w:lang w:val="en-US"/>
        </w:rPr>
        <w:t xml:space="preserve"> </w:t>
      </w:r>
      <w:r w:rsidR="00F00C0F" w:rsidRPr="00A13719">
        <w:rPr>
          <w:lang w:val="en-US"/>
        </w:rPr>
        <w:t>W</w:t>
      </w:r>
      <w:r w:rsidR="001B2132" w:rsidRPr="00A13719">
        <w:rPr>
          <w:lang w:val="en-US"/>
        </w:rPr>
        <w:t>e end</w:t>
      </w:r>
      <w:r w:rsidR="00F00C0F" w:rsidRPr="00A13719">
        <w:rPr>
          <w:lang w:val="en-US"/>
        </w:rPr>
        <w:t>ed</w:t>
      </w:r>
      <w:r w:rsidR="001B2132" w:rsidRPr="00A13719">
        <w:rPr>
          <w:lang w:val="en-US"/>
        </w:rPr>
        <w:t xml:space="preserve"> up with eleven </w:t>
      </w:r>
      <w:r w:rsidR="00105B9E" w:rsidRPr="00A13719">
        <w:rPr>
          <w:rFonts w:eastAsiaTheme="minorEastAsia"/>
          <w:lang w:val="en-US"/>
        </w:rPr>
        <w:t>HF</w:t>
      </w:r>
      <w:r w:rsidR="001B2132" w:rsidRPr="00A13719">
        <w:rPr>
          <w:lang w:val="en-US"/>
        </w:rPr>
        <w:t xml:space="preserve"> strategies: Short Bias (SB), Long Only (LO), Sector (SE), Long Short (LS), Event Driven (ED), Multi Strategy (MS), Others (OT), Global Macro (GM), Relative Value (RV), Market Neutral (MN)</w:t>
      </w:r>
      <w:r w:rsidR="00D81854" w:rsidRPr="00A13719">
        <w:rPr>
          <w:lang w:val="en-US"/>
        </w:rPr>
        <w:t xml:space="preserve"> and</w:t>
      </w:r>
      <w:r w:rsidR="001B2132" w:rsidRPr="00A13719">
        <w:rPr>
          <w:lang w:val="en-US"/>
        </w:rPr>
        <w:t xml:space="preserve"> CTAs (CT)</w:t>
      </w:r>
      <w:r w:rsidR="00CE6176" w:rsidRPr="00A13719">
        <w:rPr>
          <w:rStyle w:val="FootnoteReference"/>
          <w:lang w:val="en-US"/>
        </w:rPr>
        <w:footnoteReference w:id="10"/>
      </w:r>
      <w:r w:rsidR="001B2132" w:rsidRPr="00A13719">
        <w:rPr>
          <w:lang w:val="en-US"/>
        </w:rPr>
        <w:t xml:space="preserve">. </w:t>
      </w:r>
    </w:p>
    <w:p w:rsidR="001A04A9" w:rsidRPr="00A13719" w:rsidRDefault="001A04A9" w:rsidP="001A04A9">
      <w:pPr>
        <w:jc w:val="both"/>
        <w:rPr>
          <w:lang w:val="en-US"/>
        </w:rPr>
      </w:pPr>
      <w:r w:rsidRPr="00A13719">
        <w:rPr>
          <w:lang w:val="en-US"/>
        </w:rPr>
        <w:t>Our fourteen candidate factors are selected according to specific criteria</w:t>
      </w:r>
      <w:r w:rsidR="00A1471C" w:rsidRPr="00A13719">
        <w:rPr>
          <w:lang w:val="en-US"/>
        </w:rPr>
        <w:t xml:space="preserve"> </w:t>
      </w:r>
      <w:r w:rsidRPr="00A13719">
        <w:rPr>
          <w:lang w:val="en-US"/>
        </w:rPr>
        <w:t>(availability, what other authors used based on their significance, the collinearity between them and correlation with strategies)</w:t>
      </w:r>
      <w:r w:rsidR="00BD6911" w:rsidRPr="00A13719">
        <w:rPr>
          <w:lang w:val="en-US"/>
        </w:rPr>
        <w:t xml:space="preserve">. They </w:t>
      </w:r>
      <w:r w:rsidRPr="00A13719">
        <w:rPr>
          <w:lang w:val="en-US"/>
        </w:rPr>
        <w:t xml:space="preserve">are related to different asset classes: equity factors, real estate factors, commodity factors, credit factors, currency factors and option factors. </w:t>
      </w:r>
      <w:r w:rsidR="00AB7F14" w:rsidRPr="00A13719">
        <w:rPr>
          <w:lang w:val="en-US"/>
        </w:rPr>
        <w:t>In section 4</w:t>
      </w:r>
      <w:r w:rsidR="00C634AF" w:rsidRPr="00A13719">
        <w:rPr>
          <w:lang w:val="en-US"/>
        </w:rPr>
        <w:t>.</w:t>
      </w:r>
      <w:r w:rsidR="00835A5B" w:rsidRPr="00A13719">
        <w:rPr>
          <w:lang w:val="en-US"/>
        </w:rPr>
        <w:t>3</w:t>
      </w:r>
      <w:r w:rsidR="00AB7F14" w:rsidRPr="00A13719">
        <w:rPr>
          <w:lang w:val="en-US"/>
        </w:rPr>
        <w:t xml:space="preserve">, we discuss how these factors explain HF returns. </w:t>
      </w:r>
      <w:r w:rsidR="00BD6911" w:rsidRPr="00A13719">
        <w:rPr>
          <w:lang w:val="en-US"/>
        </w:rPr>
        <w:t>W</w:t>
      </w:r>
      <w:r w:rsidRPr="00A13719">
        <w:rPr>
          <w:lang w:val="en-US"/>
        </w:rPr>
        <w:t xml:space="preserve">e take into consideration: </w:t>
      </w:r>
    </w:p>
    <w:p w:rsidR="001A04A9" w:rsidRPr="00A13719" w:rsidRDefault="001A04A9" w:rsidP="001A04A9">
      <w:pPr>
        <w:pStyle w:val="ListParagraph"/>
        <w:numPr>
          <w:ilvl w:val="0"/>
          <w:numId w:val="14"/>
        </w:numPr>
        <w:jc w:val="both"/>
        <w:rPr>
          <w:lang w:val="en-US"/>
        </w:rPr>
      </w:pPr>
      <w:r w:rsidRPr="00A13719">
        <w:rPr>
          <w:lang w:val="en-US"/>
        </w:rPr>
        <w:t>Wilshire 5000 Total Return Monthly Index (MAI)</w:t>
      </w:r>
    </w:p>
    <w:p w:rsidR="001A04A9" w:rsidRPr="00A13719" w:rsidRDefault="001A04A9" w:rsidP="001A04A9">
      <w:pPr>
        <w:pStyle w:val="ListParagraph"/>
        <w:numPr>
          <w:ilvl w:val="0"/>
          <w:numId w:val="14"/>
        </w:numPr>
        <w:jc w:val="both"/>
        <w:rPr>
          <w:lang w:val="en-US"/>
        </w:rPr>
      </w:pPr>
      <w:r w:rsidRPr="00A13719">
        <w:rPr>
          <w:lang w:val="en-US"/>
        </w:rPr>
        <w:t>MSCI World Excl. US U$ - Tot Return Index (GEMI)</w:t>
      </w:r>
    </w:p>
    <w:p w:rsidR="001A04A9" w:rsidRPr="00A13719" w:rsidRDefault="001A04A9" w:rsidP="001A04A9">
      <w:pPr>
        <w:pStyle w:val="ListParagraph"/>
        <w:numPr>
          <w:ilvl w:val="0"/>
          <w:numId w:val="14"/>
        </w:numPr>
        <w:jc w:val="both"/>
        <w:rPr>
          <w:lang w:val="en-US"/>
        </w:rPr>
      </w:pPr>
      <w:r w:rsidRPr="00A13719">
        <w:rPr>
          <w:lang w:val="en-US"/>
        </w:rPr>
        <w:t>S&amp;P GSCI Energy - Total Return Index (COEN)</w:t>
      </w:r>
    </w:p>
    <w:p w:rsidR="001A04A9" w:rsidRPr="00A13719" w:rsidRDefault="001A04A9" w:rsidP="001A04A9">
      <w:pPr>
        <w:pStyle w:val="ListParagraph"/>
        <w:numPr>
          <w:ilvl w:val="0"/>
          <w:numId w:val="14"/>
        </w:numPr>
        <w:jc w:val="both"/>
        <w:rPr>
          <w:lang w:val="en-US"/>
        </w:rPr>
      </w:pPr>
      <w:r w:rsidRPr="00A13719">
        <w:rPr>
          <w:lang w:val="en-US"/>
        </w:rPr>
        <w:t>S&amp;P GSCI Precious Metal - Total Return Index (COPM)</w:t>
      </w:r>
    </w:p>
    <w:p w:rsidR="001A04A9" w:rsidRPr="00A13719" w:rsidRDefault="001A04A9" w:rsidP="001A04A9">
      <w:pPr>
        <w:pStyle w:val="ListParagraph"/>
        <w:numPr>
          <w:ilvl w:val="0"/>
          <w:numId w:val="14"/>
        </w:numPr>
        <w:jc w:val="both"/>
        <w:rPr>
          <w:lang w:val="en-US"/>
        </w:rPr>
      </w:pPr>
      <w:r w:rsidRPr="00A13719">
        <w:rPr>
          <w:lang w:val="en-US"/>
        </w:rPr>
        <w:t>S&amp;P GSCI Industrial Metals - Total Return Index  (COIM)</w:t>
      </w:r>
    </w:p>
    <w:p w:rsidR="001A04A9" w:rsidRPr="00A13719" w:rsidRDefault="001A04A9" w:rsidP="001A04A9">
      <w:pPr>
        <w:pStyle w:val="ListParagraph"/>
        <w:numPr>
          <w:ilvl w:val="0"/>
          <w:numId w:val="14"/>
        </w:numPr>
        <w:jc w:val="both"/>
        <w:rPr>
          <w:lang w:val="en-US"/>
        </w:rPr>
      </w:pPr>
      <w:r w:rsidRPr="00A13719">
        <w:rPr>
          <w:lang w:val="en-US"/>
        </w:rPr>
        <w:t>S&amp;P GSCI Agriculture Total Return Index (COAG)</w:t>
      </w:r>
    </w:p>
    <w:p w:rsidR="001A04A9" w:rsidRPr="00A13719" w:rsidRDefault="001A04A9" w:rsidP="001A04A9">
      <w:pPr>
        <w:pStyle w:val="ListParagraph"/>
        <w:numPr>
          <w:ilvl w:val="0"/>
          <w:numId w:val="14"/>
        </w:numPr>
        <w:jc w:val="both"/>
        <w:rPr>
          <w:lang w:val="en-US"/>
        </w:rPr>
      </w:pPr>
      <w:r w:rsidRPr="00A13719">
        <w:rPr>
          <w:lang w:val="en-US"/>
        </w:rPr>
        <w:t xml:space="preserve">Differences in Promised Yields - Term Spread Premium (TERM) which is the spread between 10-year U.S. government bonds and 3-month U.S. treasury rate </w:t>
      </w:r>
    </w:p>
    <w:p w:rsidR="001A04A9" w:rsidRPr="00A13719" w:rsidRDefault="001A04A9" w:rsidP="001A04A9">
      <w:pPr>
        <w:pStyle w:val="ListParagraph"/>
        <w:numPr>
          <w:ilvl w:val="0"/>
          <w:numId w:val="14"/>
        </w:numPr>
        <w:jc w:val="both"/>
        <w:rPr>
          <w:lang w:val="en-US"/>
        </w:rPr>
      </w:pPr>
      <w:r w:rsidRPr="00A13719">
        <w:rPr>
          <w:lang w:val="en-US"/>
        </w:rPr>
        <w:t>Differences in Promised Yields - Default Premium (DEF) which is the spread between Moody’s corporate AAA and BAA bond yields</w:t>
      </w:r>
    </w:p>
    <w:p w:rsidR="001A04A9" w:rsidRPr="00A13719" w:rsidRDefault="001A04A9" w:rsidP="001A04A9">
      <w:pPr>
        <w:pStyle w:val="ListParagraph"/>
        <w:numPr>
          <w:ilvl w:val="0"/>
          <w:numId w:val="14"/>
        </w:numPr>
        <w:jc w:val="both"/>
        <w:rPr>
          <w:lang w:val="en-US"/>
        </w:rPr>
      </w:pPr>
      <w:r w:rsidRPr="00A13719">
        <w:rPr>
          <w:lang w:val="en-US"/>
        </w:rPr>
        <w:t>DJ US Select Real Estate Sec - Tot Return Index (RLE)</w:t>
      </w:r>
    </w:p>
    <w:p w:rsidR="001A04A9" w:rsidRPr="00A13719" w:rsidRDefault="001A04A9" w:rsidP="001A04A9">
      <w:pPr>
        <w:pStyle w:val="ListParagraph"/>
        <w:numPr>
          <w:ilvl w:val="0"/>
          <w:numId w:val="14"/>
        </w:numPr>
        <w:jc w:val="both"/>
        <w:rPr>
          <w:lang w:val="en-US"/>
        </w:rPr>
      </w:pPr>
      <w:r w:rsidRPr="00A13719">
        <w:rPr>
          <w:lang w:val="en-US"/>
        </w:rPr>
        <w:t>US Trade-Weighted Value of US Dollar Against Major Currencies (EXCH)</w:t>
      </w:r>
    </w:p>
    <w:p w:rsidR="001A04A9" w:rsidRPr="00A13719" w:rsidRDefault="001A04A9" w:rsidP="001A04A9">
      <w:pPr>
        <w:pStyle w:val="ListParagraph"/>
        <w:numPr>
          <w:ilvl w:val="0"/>
          <w:numId w:val="14"/>
        </w:numPr>
        <w:jc w:val="both"/>
        <w:rPr>
          <w:lang w:val="en-US"/>
        </w:rPr>
      </w:pPr>
      <w:r w:rsidRPr="00A13719">
        <w:rPr>
          <w:lang w:val="en-US"/>
        </w:rPr>
        <w:t>CBOE SPX Volatility VIX (DVIX) - Price Index</w:t>
      </w:r>
    </w:p>
    <w:p w:rsidR="001A04A9" w:rsidRPr="00A13719" w:rsidRDefault="001A04A9" w:rsidP="001A04A9">
      <w:pPr>
        <w:pStyle w:val="ListParagraph"/>
        <w:numPr>
          <w:ilvl w:val="0"/>
          <w:numId w:val="14"/>
        </w:numPr>
        <w:jc w:val="both"/>
        <w:rPr>
          <w:lang w:val="en-US"/>
        </w:rPr>
      </w:pPr>
      <w:r w:rsidRPr="00A13719">
        <w:rPr>
          <w:lang w:val="en-US"/>
        </w:rPr>
        <w:t>Small Minus Big (SMB)</w:t>
      </w:r>
    </w:p>
    <w:p w:rsidR="001A04A9" w:rsidRPr="00A13719" w:rsidRDefault="001A04A9" w:rsidP="001A04A9">
      <w:pPr>
        <w:pStyle w:val="ListParagraph"/>
        <w:numPr>
          <w:ilvl w:val="0"/>
          <w:numId w:val="14"/>
        </w:numPr>
        <w:jc w:val="both"/>
        <w:rPr>
          <w:lang w:val="en-US"/>
        </w:rPr>
      </w:pPr>
      <w:r w:rsidRPr="00A13719">
        <w:rPr>
          <w:lang w:val="en-US"/>
        </w:rPr>
        <w:t>High Minus Low (HML)</w:t>
      </w:r>
    </w:p>
    <w:p w:rsidR="001A04A9" w:rsidRPr="00A13719" w:rsidRDefault="001A04A9" w:rsidP="001A04A9">
      <w:pPr>
        <w:pStyle w:val="ListParagraph"/>
        <w:numPr>
          <w:ilvl w:val="0"/>
          <w:numId w:val="14"/>
        </w:numPr>
        <w:jc w:val="both"/>
        <w:rPr>
          <w:lang w:val="en-US"/>
        </w:rPr>
      </w:pPr>
      <w:r w:rsidRPr="00A13719">
        <w:rPr>
          <w:lang w:val="en-US"/>
        </w:rPr>
        <w:lastRenderedPageBreak/>
        <w:t>Momentum (MOM)</w:t>
      </w:r>
    </w:p>
    <w:p w:rsidR="001A04A9" w:rsidRPr="00A13719" w:rsidRDefault="00DA176E" w:rsidP="001A04A9">
      <w:pPr>
        <w:jc w:val="both"/>
        <w:rPr>
          <w:lang w:val="en-US"/>
        </w:rPr>
      </w:pPr>
      <w:r w:rsidRPr="00A13719">
        <w:rPr>
          <w:rFonts w:cs="Times New Roman"/>
        </w:rPr>
        <w:t xml:space="preserve">The first eleven factors were sourced from Datastream whereas the last three were derived from Fama and French’s online data library (Ibottson Associates). </w:t>
      </w:r>
      <w:r w:rsidR="00F00C0F" w:rsidRPr="00A13719">
        <w:rPr>
          <w:rFonts w:cs="Times New Roman"/>
        </w:rPr>
        <w:t>W</w:t>
      </w:r>
      <w:r w:rsidR="000C0A57" w:rsidRPr="00A13719">
        <w:rPr>
          <w:lang w:val="en-US"/>
        </w:rPr>
        <w:t>e</w:t>
      </w:r>
      <w:r w:rsidR="001A04A9" w:rsidRPr="00A13719">
        <w:rPr>
          <w:lang w:val="en-US"/>
        </w:rPr>
        <w:t xml:space="preserve"> </w:t>
      </w:r>
      <w:r w:rsidR="00F00C0F" w:rsidRPr="00A13719">
        <w:rPr>
          <w:lang w:val="en-US"/>
        </w:rPr>
        <w:t>do not consider</w:t>
      </w:r>
      <w:r w:rsidR="001A04A9" w:rsidRPr="00A13719">
        <w:rPr>
          <w:lang w:val="en-US"/>
        </w:rPr>
        <w:t xml:space="preserve"> lookback straddles that according to the literature (e.g. Fung and Hsieh, 2001) are </w:t>
      </w:r>
      <w:r w:rsidR="00BD6911" w:rsidRPr="00A13719">
        <w:rPr>
          <w:lang w:val="en-US"/>
        </w:rPr>
        <w:t xml:space="preserve">highly </w:t>
      </w:r>
      <w:r w:rsidR="001A04A9" w:rsidRPr="00A13719">
        <w:rPr>
          <w:lang w:val="en-US"/>
        </w:rPr>
        <w:t>appropriate to the CT strategy. Unfortunately, there was no data available for the early examined period (early 1990s).</w:t>
      </w:r>
      <w:r w:rsidR="00B20C0A" w:rsidRPr="00A13719">
        <w:rPr>
          <w:lang w:val="en-US"/>
        </w:rPr>
        <w:t xml:space="preserve"> However these are covered in </w:t>
      </w:r>
      <w:r w:rsidR="005A620E" w:rsidRPr="00A13719">
        <w:rPr>
          <w:lang w:val="en-US"/>
        </w:rPr>
        <w:t xml:space="preserve">the </w:t>
      </w:r>
      <w:r w:rsidR="00B20C0A" w:rsidRPr="00A13719">
        <w:rPr>
          <w:lang w:val="en-US"/>
        </w:rPr>
        <w:t xml:space="preserve">sub-section that details </w:t>
      </w:r>
      <w:r w:rsidR="005A620E" w:rsidRPr="00A13719">
        <w:rPr>
          <w:lang w:val="en-US"/>
        </w:rPr>
        <w:t xml:space="preserve">with the </w:t>
      </w:r>
      <w:r w:rsidR="00B20C0A" w:rsidRPr="00A13719">
        <w:rPr>
          <w:lang w:val="en-US"/>
        </w:rPr>
        <w:t>robustness tests.</w:t>
      </w:r>
    </w:p>
    <w:p w:rsidR="001A04A9" w:rsidRPr="00A13719" w:rsidRDefault="001A04A9" w:rsidP="001A04A9">
      <w:pPr>
        <w:jc w:val="both"/>
        <w:rPr>
          <w:lang w:val="en-US"/>
        </w:rPr>
      </w:pPr>
      <w:r w:rsidRPr="00A13719">
        <w:rPr>
          <w:lang w:val="en-US"/>
        </w:rPr>
        <w:t xml:space="preserve">Equity factors have been used widely in measuring the general market exposure of </w:t>
      </w:r>
      <w:r w:rsidR="00105B9E" w:rsidRPr="00A13719">
        <w:rPr>
          <w:rFonts w:eastAsiaTheme="minorEastAsia"/>
          <w:lang w:val="en-US"/>
        </w:rPr>
        <w:t>HF</w:t>
      </w:r>
      <w:r w:rsidRPr="00A13719">
        <w:rPr>
          <w:lang w:val="en-US"/>
        </w:rPr>
        <w:t>s. We use the most comprehensive index, the Wilshire 5000 index</w:t>
      </w:r>
      <w:r w:rsidR="00BD6911" w:rsidRPr="00A13719">
        <w:rPr>
          <w:lang w:val="en-US"/>
        </w:rPr>
        <w:t xml:space="preserve">, as do </w:t>
      </w:r>
      <w:r w:rsidRPr="00A13719">
        <w:rPr>
          <w:lang w:val="en-US"/>
        </w:rPr>
        <w:t>Dor, Dy</w:t>
      </w:r>
      <w:r w:rsidR="001D7A38" w:rsidRPr="00A13719">
        <w:rPr>
          <w:lang w:val="en-US"/>
        </w:rPr>
        <w:t>nkin and Gould (2006) and Amenc and</w:t>
      </w:r>
      <w:r w:rsidRPr="00A13719">
        <w:rPr>
          <w:lang w:val="en-US"/>
        </w:rPr>
        <w:t xml:space="preserve"> Goltz (2008)</w:t>
      </w:r>
      <w:r w:rsidR="00BD6911" w:rsidRPr="00A13719">
        <w:rPr>
          <w:lang w:val="en-US"/>
        </w:rPr>
        <w:t>.</w:t>
      </w:r>
      <w:r w:rsidRPr="00A13719">
        <w:rPr>
          <w:lang w:val="en-US"/>
        </w:rPr>
        <w:t xml:space="preserve"> Fung and Hsieh (2004), Billio, Getmansky and Pelizzon (2009, 2012)</w:t>
      </w:r>
      <w:r w:rsidR="00BD6911" w:rsidRPr="00A13719">
        <w:rPr>
          <w:lang w:val="en-US"/>
        </w:rPr>
        <w:t xml:space="preserve"> and </w:t>
      </w:r>
      <w:r w:rsidRPr="00A13719">
        <w:rPr>
          <w:lang w:val="en-US"/>
        </w:rPr>
        <w:t xml:space="preserve">Patton and Ramadorai (2013) </w:t>
      </w:r>
      <w:r w:rsidR="00BD6911" w:rsidRPr="00A13719">
        <w:rPr>
          <w:lang w:val="en-US"/>
        </w:rPr>
        <w:t xml:space="preserve">used the S&amp;P 500, but that </w:t>
      </w:r>
      <w:r w:rsidRPr="00A13719">
        <w:rPr>
          <w:lang w:val="en-US"/>
        </w:rPr>
        <w:t>is mainly a large cap index. Commodity related factors have been also used by many authors such as Capocci and Hubner (2004), Agarwal and Nai</w:t>
      </w:r>
      <w:r w:rsidR="002F0139" w:rsidRPr="00A13719">
        <w:rPr>
          <w:lang w:val="en-US"/>
        </w:rPr>
        <w:t>k</w:t>
      </w:r>
      <w:r w:rsidRPr="00A13719">
        <w:rPr>
          <w:lang w:val="en-US"/>
        </w:rPr>
        <w:t xml:space="preserve"> (2000) </w:t>
      </w:r>
      <w:r w:rsidR="00BD6911" w:rsidRPr="00A13719">
        <w:rPr>
          <w:lang w:val="en-US"/>
        </w:rPr>
        <w:t xml:space="preserve">to </w:t>
      </w:r>
      <w:r w:rsidRPr="00A13719">
        <w:rPr>
          <w:lang w:val="en-US"/>
        </w:rPr>
        <w:t xml:space="preserve">explain </w:t>
      </w:r>
      <w:r w:rsidR="00653042" w:rsidRPr="00A13719">
        <w:rPr>
          <w:rFonts w:eastAsiaTheme="minorEastAsia"/>
          <w:lang w:val="en-US"/>
        </w:rPr>
        <w:t>HF</w:t>
      </w:r>
      <w:r w:rsidRPr="00A13719">
        <w:rPr>
          <w:lang w:val="en-US"/>
        </w:rPr>
        <w:t xml:space="preserve">s’ behavior. Others such as Giannikis and Vrontos (2011) and Jawadi and Khanniche (2012) have also used commodity factors represented by the GSCI commodity index. In our case we do not use the composite </w:t>
      </w:r>
      <w:r w:rsidR="001D7A38" w:rsidRPr="00A13719">
        <w:rPr>
          <w:lang w:val="en-US"/>
        </w:rPr>
        <w:t>GSCI total commodity index, or g</w:t>
      </w:r>
      <w:r w:rsidRPr="00A13719">
        <w:rPr>
          <w:lang w:val="en-US"/>
        </w:rPr>
        <w:t>old-only indices as Billio, Getmansky and Pelizzon (2009, 2012) used. Instead, we use sub-indices related to energy, metals and agriculture for more precise results.</w:t>
      </w:r>
    </w:p>
    <w:p w:rsidR="002C714E" w:rsidRPr="00A13719" w:rsidRDefault="001A04A9" w:rsidP="001A04A9">
      <w:pPr>
        <w:jc w:val="both"/>
        <w:rPr>
          <w:lang w:val="en-US"/>
        </w:rPr>
      </w:pPr>
      <w:r w:rsidRPr="00A13719">
        <w:rPr>
          <w:lang w:val="en-US"/>
        </w:rPr>
        <w:t xml:space="preserve">Credit factors have been also examined by many authors using the term and credit spread as proxies. </w:t>
      </w:r>
      <w:r w:rsidR="00BD6911" w:rsidRPr="00A13719">
        <w:rPr>
          <w:lang w:val="en-US"/>
        </w:rPr>
        <w:t xml:space="preserve">For </w:t>
      </w:r>
      <w:r w:rsidR="00491A5E" w:rsidRPr="00A13719">
        <w:rPr>
          <w:lang w:val="en-US"/>
        </w:rPr>
        <w:t>instance</w:t>
      </w:r>
      <w:r w:rsidRPr="00A13719">
        <w:rPr>
          <w:lang w:val="en-US"/>
        </w:rPr>
        <w:t xml:space="preserve"> Billio, Getmansky and Pelizzon (2009 and 2012) us</w:t>
      </w:r>
      <w:r w:rsidR="00BD6911" w:rsidRPr="00A13719">
        <w:rPr>
          <w:lang w:val="en-US"/>
        </w:rPr>
        <w:t>ed</w:t>
      </w:r>
      <w:r w:rsidRPr="00A13719">
        <w:rPr>
          <w:lang w:val="en-US"/>
        </w:rPr>
        <w:t xml:space="preserve"> the 10-year T</w:t>
      </w:r>
      <w:r w:rsidR="00BD6911" w:rsidRPr="00A13719">
        <w:rPr>
          <w:lang w:val="en-US"/>
        </w:rPr>
        <w:t>-</w:t>
      </w:r>
      <w:r w:rsidRPr="00A13719">
        <w:rPr>
          <w:lang w:val="en-US"/>
        </w:rPr>
        <w:t xml:space="preserve">Bond </w:t>
      </w:r>
      <w:r w:rsidR="00BD6911" w:rsidRPr="00A13719">
        <w:rPr>
          <w:lang w:val="en-US"/>
        </w:rPr>
        <w:t>rate m</w:t>
      </w:r>
      <w:r w:rsidRPr="00A13719">
        <w:rPr>
          <w:lang w:val="en-US"/>
        </w:rPr>
        <w:t>inus 6-month LIBOR</w:t>
      </w:r>
      <w:r w:rsidR="00BD6911" w:rsidRPr="00A13719">
        <w:rPr>
          <w:lang w:val="en-US"/>
        </w:rPr>
        <w:t>,</w:t>
      </w:r>
      <w:r w:rsidRPr="00A13719">
        <w:rPr>
          <w:lang w:val="en-US"/>
        </w:rPr>
        <w:t xml:space="preserve"> and the difference between BAA and AAA indices provided by Moody’s. Credit spread has also been examined by Ibbotson, Chen and Zhu (2011) using Moody’s index. Giannikis and Vrontos (2011) used the Barclay high yield index as a credit spread factor. Bali, Brown and Caglayan (2011) also used these credit factors when analyzing </w:t>
      </w:r>
      <w:r w:rsidR="00653042" w:rsidRPr="00A13719">
        <w:rPr>
          <w:rFonts w:eastAsiaTheme="minorEastAsia"/>
          <w:lang w:val="en-US"/>
        </w:rPr>
        <w:t>HF</w:t>
      </w:r>
      <w:r w:rsidRPr="00A13719">
        <w:rPr>
          <w:lang w:val="en-US"/>
        </w:rPr>
        <w:t>s</w:t>
      </w:r>
      <w:r w:rsidR="00BD6911" w:rsidRPr="00A13719">
        <w:rPr>
          <w:lang w:val="en-US"/>
        </w:rPr>
        <w:t>’</w:t>
      </w:r>
      <w:r w:rsidRPr="00A13719">
        <w:rPr>
          <w:lang w:val="en-US"/>
        </w:rPr>
        <w:t xml:space="preserve"> risk exposures. </w:t>
      </w:r>
      <w:r w:rsidR="00BE35BC" w:rsidRPr="00A13719">
        <w:rPr>
          <w:lang w:val="en-US"/>
        </w:rPr>
        <w:t xml:space="preserve">Similar to </w:t>
      </w:r>
      <w:r w:rsidRPr="00A13719">
        <w:rPr>
          <w:lang w:val="en-US"/>
        </w:rPr>
        <w:t xml:space="preserve">Capocci (2009), </w:t>
      </w:r>
      <w:r w:rsidR="00BE35BC" w:rsidRPr="00A13719">
        <w:rPr>
          <w:lang w:val="en-US"/>
        </w:rPr>
        <w:t xml:space="preserve">we consider exchange rates by using </w:t>
      </w:r>
      <w:r w:rsidRPr="00A13719">
        <w:rPr>
          <w:lang w:val="en-US"/>
        </w:rPr>
        <w:t>the currency factor which is the Federal Reserve Bank Trade Weighted Dollar Index</w:t>
      </w:r>
      <w:r w:rsidR="002C714E" w:rsidRPr="00A13719">
        <w:rPr>
          <w:lang w:val="en-US"/>
        </w:rPr>
        <w:t>.</w:t>
      </w:r>
    </w:p>
    <w:p w:rsidR="001A04A9" w:rsidRPr="00A13719" w:rsidRDefault="00827737" w:rsidP="001A04A9">
      <w:pPr>
        <w:jc w:val="both"/>
        <w:rPr>
          <w:lang w:val="en-US"/>
        </w:rPr>
      </w:pPr>
      <w:r w:rsidRPr="00A13719">
        <w:rPr>
          <w:lang w:val="en-US"/>
        </w:rPr>
        <w:t>Following Billio, Getmansky and Pelizzon (2009 and 2012), we</w:t>
      </w:r>
      <w:r w:rsidR="001A04A9" w:rsidRPr="00A13719">
        <w:rPr>
          <w:lang w:val="en-US"/>
        </w:rPr>
        <w:t xml:space="preserve"> use as </w:t>
      </w:r>
      <w:r w:rsidR="00F00C0F" w:rsidRPr="00A13719">
        <w:rPr>
          <w:lang w:val="en-US"/>
        </w:rPr>
        <w:t xml:space="preserve">an </w:t>
      </w:r>
      <w:r w:rsidR="001A04A9" w:rsidRPr="00A13719">
        <w:rPr>
          <w:lang w:val="en-US"/>
        </w:rPr>
        <w:t xml:space="preserve">option factor the VIX CBOE volatility index. </w:t>
      </w:r>
      <w:r w:rsidRPr="00A13719">
        <w:rPr>
          <w:lang w:val="en-US"/>
        </w:rPr>
        <w:t>This index is widely used as a measure of market risk.</w:t>
      </w:r>
      <w:r w:rsidRPr="00A13719">
        <w:t xml:space="preserve"> </w:t>
      </w:r>
      <w:r w:rsidRPr="00A13719">
        <w:rPr>
          <w:lang w:val="en-US"/>
        </w:rPr>
        <w:t>It represents market expectations of near term (30 days) volatility of the S&amp;P 500 stock index.</w:t>
      </w:r>
      <w:r w:rsidR="00C0203A" w:rsidRPr="00A13719">
        <w:rPr>
          <w:lang w:val="en-US"/>
        </w:rPr>
        <w:t xml:space="preserve"> The VIX index is currently investable through various ETFs products.</w:t>
      </w:r>
    </w:p>
    <w:p w:rsidR="0098163A" w:rsidRPr="00A13719" w:rsidRDefault="0098163A" w:rsidP="001A04A9">
      <w:pPr>
        <w:jc w:val="both"/>
        <w:rPr>
          <w:lang w:val="en-US"/>
        </w:rPr>
      </w:pPr>
      <w:r w:rsidRPr="00A13719">
        <w:rPr>
          <w:lang w:val="en-US"/>
        </w:rPr>
        <w:lastRenderedPageBreak/>
        <w:t>It is known that fund managers reduce their leverage during cris</w:t>
      </w:r>
      <w:r w:rsidR="008730E9" w:rsidRPr="00A13719">
        <w:rPr>
          <w:lang w:val="en-US"/>
        </w:rPr>
        <w:t>e</w:t>
      </w:r>
      <w:r w:rsidRPr="00A13719">
        <w:rPr>
          <w:lang w:val="en-US"/>
        </w:rPr>
        <w:t xml:space="preserve">s, however in this dataset </w:t>
      </w:r>
      <w:r w:rsidR="00E8557B" w:rsidRPr="00A13719">
        <w:rPr>
          <w:lang w:val="en-US"/>
        </w:rPr>
        <w:t>we</w:t>
      </w:r>
      <w:r w:rsidRPr="00A13719">
        <w:rPr>
          <w:lang w:val="en-US"/>
        </w:rPr>
        <w:t xml:space="preserve"> do not have sufficient information about it as there are funds that simply mention yes/no on the leverage field and there are many others that do not give this information. Moreover, </w:t>
      </w:r>
      <w:r w:rsidR="00E8557B" w:rsidRPr="00A13719">
        <w:rPr>
          <w:lang w:val="en-US"/>
        </w:rPr>
        <w:t>we</w:t>
      </w:r>
      <w:r w:rsidRPr="00A13719">
        <w:rPr>
          <w:lang w:val="en-US"/>
        </w:rPr>
        <w:t xml:space="preserve"> do not have leverage information for different time periods so as to compare and analyse </w:t>
      </w:r>
      <w:r w:rsidR="00105B9E" w:rsidRPr="00A13719">
        <w:rPr>
          <w:rFonts w:eastAsiaTheme="minorEastAsia"/>
          <w:lang w:val="en-US"/>
        </w:rPr>
        <w:t>HF</w:t>
      </w:r>
      <w:r w:rsidRPr="00A13719">
        <w:rPr>
          <w:lang w:val="en-US"/>
        </w:rPr>
        <w:t xml:space="preserve"> responses </w:t>
      </w:r>
      <w:r w:rsidR="008730E9" w:rsidRPr="00A13719">
        <w:rPr>
          <w:lang w:val="en-US"/>
        </w:rPr>
        <w:t>under</w:t>
      </w:r>
      <w:r w:rsidRPr="00A13719">
        <w:rPr>
          <w:lang w:val="en-US"/>
        </w:rPr>
        <w:t xml:space="preserve"> different conditions. In addition, </w:t>
      </w:r>
      <w:r w:rsidR="00E8557B" w:rsidRPr="00A13719">
        <w:rPr>
          <w:lang w:val="en-US"/>
        </w:rPr>
        <w:t>we</w:t>
      </w:r>
      <w:r w:rsidRPr="00A13719">
        <w:rPr>
          <w:lang w:val="en-US"/>
        </w:rPr>
        <w:t xml:space="preserve"> do not have information about fund holdings to compute the net leverage</w:t>
      </w:r>
      <w:r w:rsidR="008730E9" w:rsidRPr="00A13719">
        <w:rPr>
          <w:lang w:val="en-US"/>
        </w:rPr>
        <w:t>,</w:t>
      </w:r>
      <w:r w:rsidRPr="00A13719">
        <w:rPr>
          <w:lang w:val="en-US"/>
        </w:rPr>
        <w:t xml:space="preserve"> which is the difference between long and short exposure per share divided by the NAV </w:t>
      </w:r>
      <w:r w:rsidR="0018712E" w:rsidRPr="00A13719">
        <w:rPr>
          <w:lang w:val="en-US"/>
        </w:rPr>
        <w:t>(Net Asset Value)</w:t>
      </w:r>
      <w:r w:rsidR="008730E9" w:rsidRPr="00A13719">
        <w:rPr>
          <w:lang w:val="en-US"/>
        </w:rPr>
        <w:t xml:space="preserve">, </w:t>
      </w:r>
      <w:r w:rsidRPr="00A13719">
        <w:rPr>
          <w:lang w:val="en-US"/>
        </w:rPr>
        <w:t xml:space="preserve">or the gross value of assets controlled (long plus shorts) and divide by the total capital (Gross Market Value/Capital). Prior work on </w:t>
      </w:r>
      <w:r w:rsidR="00105B9E" w:rsidRPr="00A13719">
        <w:rPr>
          <w:lang w:val="en-US"/>
        </w:rPr>
        <w:t>HF</w:t>
      </w:r>
      <w:r w:rsidRPr="00A13719">
        <w:rPr>
          <w:lang w:val="en-US"/>
        </w:rPr>
        <w:t xml:space="preserve"> leverage (e.g. Duarte, Longstaff, and Yu, 2007) only estimates </w:t>
      </w:r>
      <w:r w:rsidR="008730E9" w:rsidRPr="00A13719">
        <w:rPr>
          <w:lang w:val="en-US"/>
        </w:rPr>
        <w:t xml:space="preserve">leverage, </w:t>
      </w:r>
      <w:r w:rsidRPr="00A13719">
        <w:rPr>
          <w:lang w:val="en-US"/>
        </w:rPr>
        <w:t xml:space="preserve">or relies on static leverage ratios or static yes/no leverage </w:t>
      </w:r>
      <w:r w:rsidR="008730E9" w:rsidRPr="00A13719">
        <w:rPr>
          <w:lang w:val="en-US"/>
        </w:rPr>
        <w:t xml:space="preserve">as </w:t>
      </w:r>
      <w:r w:rsidRPr="00A13719">
        <w:rPr>
          <w:lang w:val="en-US"/>
        </w:rPr>
        <w:t>reporte</w:t>
      </w:r>
      <w:r w:rsidR="00F11542" w:rsidRPr="00A13719">
        <w:rPr>
          <w:lang w:val="en-US"/>
        </w:rPr>
        <w:t>d in the databases (e.g. Agarwal</w:t>
      </w:r>
      <w:r w:rsidRPr="00A13719">
        <w:rPr>
          <w:lang w:val="en-US"/>
        </w:rPr>
        <w:t xml:space="preserve"> and Naik, 2000). Nevertheless, </w:t>
      </w:r>
      <w:r w:rsidR="008730E9" w:rsidRPr="00A13719">
        <w:rPr>
          <w:lang w:val="en-US"/>
        </w:rPr>
        <w:t xml:space="preserve">not allowing for </w:t>
      </w:r>
      <w:r w:rsidRPr="00A13719">
        <w:rPr>
          <w:lang w:val="en-US"/>
        </w:rPr>
        <w:t xml:space="preserve">leverage can be considered as one of the limitations </w:t>
      </w:r>
      <w:r w:rsidR="008730E9" w:rsidRPr="00A13719">
        <w:rPr>
          <w:lang w:val="en-US"/>
        </w:rPr>
        <w:t>of</w:t>
      </w:r>
      <w:r w:rsidRPr="00A13719">
        <w:rPr>
          <w:lang w:val="en-US"/>
        </w:rPr>
        <w:t xml:space="preserve"> this paper.</w:t>
      </w:r>
      <w:r w:rsidR="008E7281" w:rsidRPr="00A13719">
        <w:rPr>
          <w:lang w:val="en-US"/>
        </w:rPr>
        <w:t xml:space="preserve"> Ano</w:t>
      </w:r>
      <w:r w:rsidR="00916AE3" w:rsidRPr="00A13719">
        <w:rPr>
          <w:lang w:val="en-US"/>
        </w:rPr>
        <w:t xml:space="preserve">ther limitation </w:t>
      </w:r>
      <w:r w:rsidR="008E7281" w:rsidRPr="00A13719">
        <w:rPr>
          <w:lang w:val="en-US"/>
        </w:rPr>
        <w:t xml:space="preserve">is that we may have omitted other </w:t>
      </w:r>
      <w:r w:rsidR="00672278" w:rsidRPr="00A13719">
        <w:rPr>
          <w:lang w:val="en-US"/>
        </w:rPr>
        <w:t xml:space="preserve">potential </w:t>
      </w:r>
      <w:r w:rsidR="004B5F1D" w:rsidRPr="00A13719">
        <w:rPr>
          <w:lang w:val="en-US"/>
        </w:rPr>
        <w:t xml:space="preserve">factors that we are not aware of, </w:t>
      </w:r>
      <w:r w:rsidR="00F61E9F" w:rsidRPr="00A13719">
        <w:rPr>
          <w:lang w:val="en-US"/>
        </w:rPr>
        <w:t xml:space="preserve">though this is </w:t>
      </w:r>
      <w:r w:rsidR="00DA5DB4" w:rsidRPr="00A13719">
        <w:rPr>
          <w:lang w:val="en-US"/>
        </w:rPr>
        <w:t>an issue that applies to ot</w:t>
      </w:r>
      <w:r w:rsidR="00A5413B" w:rsidRPr="00A13719">
        <w:rPr>
          <w:lang w:val="en-US"/>
        </w:rPr>
        <w:t>her authors</w:t>
      </w:r>
      <w:r w:rsidR="004B5F1D" w:rsidRPr="00A13719">
        <w:rPr>
          <w:lang w:val="en-US"/>
        </w:rPr>
        <w:t xml:space="preserve"> too</w:t>
      </w:r>
      <w:r w:rsidR="00F61E9F" w:rsidRPr="00A13719">
        <w:rPr>
          <w:lang w:val="en-US"/>
        </w:rPr>
        <w:t>.</w:t>
      </w:r>
    </w:p>
    <w:p w:rsidR="00EB5A70" w:rsidRPr="00A13719" w:rsidRDefault="00EB5A70" w:rsidP="00EB5A70">
      <w:pPr>
        <w:pStyle w:val="Heading1"/>
        <w:jc w:val="left"/>
        <w:rPr>
          <w:lang w:val="en-US"/>
        </w:rPr>
      </w:pPr>
      <w:bookmarkStart w:id="5" w:name="_Toc425953827"/>
      <w:r w:rsidRPr="00A13719">
        <w:rPr>
          <w:lang w:val="en-US"/>
        </w:rPr>
        <w:t>Empirical Analysis</w:t>
      </w:r>
      <w:bookmarkEnd w:id="5"/>
    </w:p>
    <w:p w:rsidR="00F15894" w:rsidRPr="00A13719" w:rsidRDefault="00EB5A70" w:rsidP="00EB5A70">
      <w:pPr>
        <w:jc w:val="both"/>
        <w:rPr>
          <w:lang w:val="en-US"/>
        </w:rPr>
      </w:pPr>
      <w:r w:rsidRPr="00A13719">
        <w:rPr>
          <w:lang w:val="en-US"/>
        </w:rPr>
        <w:t>In this section we set out</w:t>
      </w:r>
      <w:r w:rsidR="00F15894" w:rsidRPr="00A13719">
        <w:rPr>
          <w:lang w:val="en-US"/>
        </w:rPr>
        <w:t xml:space="preserve"> some basic statistics on our data</w:t>
      </w:r>
      <w:r w:rsidR="00A944F2" w:rsidRPr="00A13719">
        <w:rPr>
          <w:lang w:val="en-US"/>
        </w:rPr>
        <w:t xml:space="preserve"> (4.1)</w:t>
      </w:r>
      <w:r w:rsidR="00F15894" w:rsidRPr="00A13719">
        <w:rPr>
          <w:lang w:val="en-US"/>
        </w:rPr>
        <w:t>,</w:t>
      </w:r>
      <w:r w:rsidRPr="00A13719">
        <w:rPr>
          <w:lang w:val="en-US"/>
        </w:rPr>
        <w:t xml:space="preserve"> </w:t>
      </w:r>
      <w:r w:rsidR="00F15894" w:rsidRPr="00A13719">
        <w:rPr>
          <w:lang w:val="en-US"/>
        </w:rPr>
        <w:t>give details of the regime switch</w:t>
      </w:r>
      <w:r w:rsidR="00A15151" w:rsidRPr="00A13719">
        <w:rPr>
          <w:lang w:val="en-US"/>
        </w:rPr>
        <w:t>es</w:t>
      </w:r>
      <w:r w:rsidR="00F15894" w:rsidRPr="00A13719">
        <w:rPr>
          <w:lang w:val="en-US"/>
        </w:rPr>
        <w:t xml:space="preserve"> we arrived at</w:t>
      </w:r>
      <w:r w:rsidR="00A944F2" w:rsidRPr="00A13719">
        <w:rPr>
          <w:lang w:val="en-US"/>
        </w:rPr>
        <w:t xml:space="preserve"> (4.2)</w:t>
      </w:r>
      <w:r w:rsidR="00F15894" w:rsidRPr="00A13719">
        <w:rPr>
          <w:lang w:val="en-US"/>
        </w:rPr>
        <w:t xml:space="preserve">, then report the </w:t>
      </w:r>
      <w:r w:rsidR="00C0489D" w:rsidRPr="00A13719">
        <w:rPr>
          <w:lang w:val="en-US"/>
        </w:rPr>
        <w:t xml:space="preserve">main </w:t>
      </w:r>
      <w:r w:rsidR="00F15894" w:rsidRPr="00A13719">
        <w:rPr>
          <w:lang w:val="en-US"/>
        </w:rPr>
        <w:t xml:space="preserve">results from our </w:t>
      </w:r>
      <w:r w:rsidR="00C0489D" w:rsidRPr="00A13719">
        <w:rPr>
          <w:lang w:val="en-US"/>
        </w:rPr>
        <w:t>empirical analysis</w:t>
      </w:r>
      <w:r w:rsidR="00A944F2" w:rsidRPr="00A13719">
        <w:rPr>
          <w:lang w:val="en-US"/>
        </w:rPr>
        <w:t xml:space="preserve"> (4.3)</w:t>
      </w:r>
      <w:r w:rsidR="00F15894" w:rsidRPr="00A13719">
        <w:rPr>
          <w:lang w:val="en-US"/>
        </w:rPr>
        <w:t>.</w:t>
      </w:r>
    </w:p>
    <w:p w:rsidR="00EB5A70" w:rsidRPr="00A13719" w:rsidRDefault="00F15894" w:rsidP="00F15894">
      <w:pPr>
        <w:pStyle w:val="Heading2"/>
        <w:rPr>
          <w:lang w:val="en-US"/>
        </w:rPr>
      </w:pPr>
      <w:r w:rsidRPr="00A13719">
        <w:rPr>
          <w:lang w:val="en-US"/>
        </w:rPr>
        <w:t>Basic Statistics</w:t>
      </w:r>
      <w:r w:rsidR="00EB5A70" w:rsidRPr="00A13719">
        <w:rPr>
          <w:lang w:val="en-US"/>
        </w:rPr>
        <w:t xml:space="preserve"> </w:t>
      </w:r>
    </w:p>
    <w:p w:rsidR="00D147EF" w:rsidRPr="00A13719" w:rsidRDefault="00B75669" w:rsidP="002213BC">
      <w:pPr>
        <w:jc w:val="both"/>
        <w:rPr>
          <w:lang w:val="en-US"/>
        </w:rPr>
      </w:pPr>
      <w:r w:rsidRPr="00A13719">
        <w:rPr>
          <w:lang w:val="en-US"/>
        </w:rPr>
        <w:t>Following Bali, Brown and Caglayan (2011), w</w:t>
      </w:r>
      <w:r w:rsidR="00D147EF" w:rsidRPr="00A13719">
        <w:rPr>
          <w:lang w:val="en-US"/>
        </w:rPr>
        <w:t xml:space="preserve">e </w:t>
      </w:r>
      <w:r w:rsidRPr="00A13719">
        <w:rPr>
          <w:lang w:val="en-US"/>
        </w:rPr>
        <w:t xml:space="preserve">first </w:t>
      </w:r>
      <w:r w:rsidR="00D147EF" w:rsidRPr="00A13719">
        <w:rPr>
          <w:lang w:val="en-US"/>
        </w:rPr>
        <w:t xml:space="preserve">present our results </w:t>
      </w:r>
      <w:r w:rsidRPr="00A13719">
        <w:rPr>
          <w:lang w:val="en-US"/>
        </w:rPr>
        <w:t>using</w:t>
      </w:r>
      <w:r w:rsidR="00D147EF" w:rsidRPr="00A13719">
        <w:rPr>
          <w:lang w:val="en-US"/>
        </w:rPr>
        <w:t xml:space="preserve"> the simple classification technique of dividing </w:t>
      </w:r>
      <w:r w:rsidR="00105B9E" w:rsidRPr="00A13719">
        <w:rPr>
          <w:rFonts w:eastAsiaTheme="minorEastAsia"/>
          <w:lang w:val="en-US"/>
        </w:rPr>
        <w:t>HF</w:t>
      </w:r>
      <w:r w:rsidR="00D147EF" w:rsidRPr="00A13719">
        <w:rPr>
          <w:lang w:val="en-US"/>
        </w:rPr>
        <w:t xml:space="preserve"> strategies into directional, semi-directional</w:t>
      </w:r>
      <w:r w:rsidR="00D81854" w:rsidRPr="00A13719">
        <w:rPr>
          <w:lang w:val="en-US"/>
        </w:rPr>
        <w:t xml:space="preserve"> and</w:t>
      </w:r>
      <w:r w:rsidRPr="00A13719">
        <w:rPr>
          <w:lang w:val="en-US"/>
        </w:rPr>
        <w:t xml:space="preserve"> non-directional</w:t>
      </w:r>
      <w:r w:rsidR="00D147EF" w:rsidRPr="00A13719">
        <w:rPr>
          <w:lang w:val="en-US"/>
        </w:rPr>
        <w:t>. We classif</w:t>
      </w:r>
      <w:r w:rsidR="00420191" w:rsidRPr="00A13719">
        <w:rPr>
          <w:lang w:val="en-US"/>
        </w:rPr>
        <w:t>y</w:t>
      </w:r>
      <w:r w:rsidR="00D147EF" w:rsidRPr="00A13719">
        <w:rPr>
          <w:lang w:val="en-US"/>
        </w:rPr>
        <w:t xml:space="preserve"> them according to their cor</w:t>
      </w:r>
      <w:r w:rsidR="00630AE2" w:rsidRPr="00A13719">
        <w:rPr>
          <w:lang w:val="en-US"/>
        </w:rPr>
        <w:t xml:space="preserve">relation with the market index </w:t>
      </w:r>
      <w:r w:rsidR="00D147EF" w:rsidRPr="00A13719">
        <w:rPr>
          <w:lang w:val="en-US"/>
        </w:rPr>
        <w:t xml:space="preserve">Wilshire 5000TRI, including dividends. </w:t>
      </w:r>
      <w:r w:rsidR="003202EB" w:rsidRPr="00A13719">
        <w:rPr>
          <w:lang w:val="en-US"/>
        </w:rPr>
        <w:t xml:space="preserve">This index is more representative of the whole market than the S&amp;P 500 since </w:t>
      </w:r>
      <w:r w:rsidR="006439B2" w:rsidRPr="00A13719">
        <w:rPr>
          <w:lang w:val="en-US"/>
        </w:rPr>
        <w:t xml:space="preserve">it </w:t>
      </w:r>
      <w:r w:rsidR="003202EB" w:rsidRPr="00A13719">
        <w:rPr>
          <w:lang w:val="en-US"/>
        </w:rPr>
        <w:t xml:space="preserve">captures </w:t>
      </w:r>
      <w:r w:rsidR="006439B2" w:rsidRPr="00A13719">
        <w:rPr>
          <w:lang w:val="en-US"/>
        </w:rPr>
        <w:t>most quoted</w:t>
      </w:r>
      <w:r w:rsidR="003202EB" w:rsidRPr="00A13719">
        <w:rPr>
          <w:lang w:val="en-US"/>
        </w:rPr>
        <w:t xml:space="preserve"> firms within the U.S. economy. </w:t>
      </w:r>
      <w:r w:rsidR="00D147EF" w:rsidRPr="00A13719">
        <w:rPr>
          <w:lang w:val="en-US"/>
        </w:rPr>
        <w:t xml:space="preserve">Table </w:t>
      </w:r>
      <w:r w:rsidR="003202EB" w:rsidRPr="00A13719">
        <w:rPr>
          <w:lang w:val="en-US"/>
        </w:rPr>
        <w:t>1</w:t>
      </w:r>
      <w:r w:rsidR="00420191" w:rsidRPr="00A13719">
        <w:rPr>
          <w:lang w:val="en-US"/>
        </w:rPr>
        <w:t xml:space="preserve"> </w:t>
      </w:r>
      <w:r w:rsidR="00D147EF" w:rsidRPr="00A13719">
        <w:rPr>
          <w:lang w:val="en-US"/>
        </w:rPr>
        <w:t>present</w:t>
      </w:r>
      <w:r w:rsidR="00420191" w:rsidRPr="00A13719">
        <w:rPr>
          <w:lang w:val="en-US"/>
        </w:rPr>
        <w:t>s</w:t>
      </w:r>
      <w:r w:rsidR="00D147EF" w:rsidRPr="00A13719">
        <w:rPr>
          <w:lang w:val="en-US"/>
        </w:rPr>
        <w:t xml:space="preserve"> the correlation of each strategy </w:t>
      </w:r>
      <w:r w:rsidR="006439B2" w:rsidRPr="00A13719">
        <w:rPr>
          <w:lang w:val="en-US"/>
        </w:rPr>
        <w:t>with the Wilshire 5000 index</w:t>
      </w:r>
      <w:r w:rsidR="00D147EF" w:rsidRPr="00A13719">
        <w:rPr>
          <w:lang w:val="en-US"/>
        </w:rPr>
        <w:t xml:space="preserve">. </w:t>
      </w:r>
      <w:r w:rsidR="00A00EF2" w:rsidRPr="00A13719">
        <w:rPr>
          <w:lang w:val="en-US"/>
        </w:rPr>
        <w:t>T</w:t>
      </w:r>
      <w:r w:rsidR="00D147EF" w:rsidRPr="00A13719">
        <w:rPr>
          <w:lang w:val="en-US"/>
        </w:rPr>
        <w:t xml:space="preserve">he most directional strategies are at the top of the table whereas the most non-directional strategies lie at bottom of the table. </w:t>
      </w:r>
      <w:r w:rsidR="003202EB" w:rsidRPr="00A13719">
        <w:rPr>
          <w:lang w:val="en-US"/>
        </w:rPr>
        <w:t>A</w:t>
      </w:r>
      <w:r w:rsidR="00D147EF" w:rsidRPr="00A13719">
        <w:rPr>
          <w:lang w:val="en-US"/>
        </w:rPr>
        <w:t xml:space="preserve">s expected, SB </w:t>
      </w:r>
      <w:r w:rsidR="003202EB" w:rsidRPr="00A13719">
        <w:rPr>
          <w:lang w:val="en-US"/>
        </w:rPr>
        <w:t xml:space="preserve">(Short Bias) </w:t>
      </w:r>
      <w:r w:rsidR="00D147EF" w:rsidRPr="00A13719">
        <w:rPr>
          <w:lang w:val="en-US"/>
        </w:rPr>
        <w:t xml:space="preserve">has </w:t>
      </w:r>
      <w:r w:rsidR="003202EB" w:rsidRPr="00A13719">
        <w:rPr>
          <w:lang w:val="en-US"/>
        </w:rPr>
        <w:t xml:space="preserve">a large </w:t>
      </w:r>
      <w:r w:rsidR="00D147EF" w:rsidRPr="00A13719">
        <w:rPr>
          <w:lang w:val="en-US"/>
        </w:rPr>
        <w:t xml:space="preserve">negative correlation to the market index </w:t>
      </w:r>
      <w:r w:rsidR="003202EB" w:rsidRPr="00A13719">
        <w:rPr>
          <w:lang w:val="en-US"/>
        </w:rPr>
        <w:t>of</w:t>
      </w:r>
      <w:r w:rsidR="00D147EF" w:rsidRPr="00A13719">
        <w:rPr>
          <w:lang w:val="en-US"/>
        </w:rPr>
        <w:t xml:space="preserve"> -0.924</w:t>
      </w:r>
      <w:r w:rsidR="003202EB" w:rsidRPr="00A13719">
        <w:rPr>
          <w:lang w:val="en-US"/>
        </w:rPr>
        <w:t>. The</w:t>
      </w:r>
      <w:r w:rsidR="00D147EF" w:rsidRPr="00A13719">
        <w:rPr>
          <w:lang w:val="en-US"/>
        </w:rPr>
        <w:t xml:space="preserve"> market neutral strategy </w:t>
      </w:r>
      <w:r w:rsidR="003202EB" w:rsidRPr="00A13719">
        <w:rPr>
          <w:lang w:val="en-US"/>
        </w:rPr>
        <w:t xml:space="preserve">MN has a </w:t>
      </w:r>
      <w:r w:rsidR="00D147EF" w:rsidRPr="00A13719">
        <w:rPr>
          <w:lang w:val="en-US"/>
        </w:rPr>
        <w:t xml:space="preserve">very low correlation </w:t>
      </w:r>
      <w:r w:rsidR="003202EB" w:rsidRPr="00A13719">
        <w:rPr>
          <w:lang w:val="en-US"/>
        </w:rPr>
        <w:t>of</w:t>
      </w:r>
      <w:r w:rsidR="00D147EF" w:rsidRPr="00A13719">
        <w:rPr>
          <w:lang w:val="en-US"/>
        </w:rPr>
        <w:t xml:space="preserve"> 0.059. CT </w:t>
      </w:r>
      <w:r w:rsidR="003202EB" w:rsidRPr="00A13719">
        <w:rPr>
          <w:lang w:val="en-US"/>
        </w:rPr>
        <w:t xml:space="preserve">(CTAs) also </w:t>
      </w:r>
      <w:r w:rsidR="00D147EF" w:rsidRPr="00A13719">
        <w:rPr>
          <w:lang w:val="en-US"/>
        </w:rPr>
        <w:t xml:space="preserve">has </w:t>
      </w:r>
      <w:r w:rsidR="003202EB" w:rsidRPr="00A13719">
        <w:rPr>
          <w:lang w:val="en-US"/>
        </w:rPr>
        <w:t>a</w:t>
      </w:r>
      <w:r w:rsidR="00D147EF" w:rsidRPr="00A13719">
        <w:rPr>
          <w:lang w:val="en-US"/>
        </w:rPr>
        <w:t xml:space="preserve"> very low correlation to market index </w:t>
      </w:r>
      <w:r w:rsidR="003202EB" w:rsidRPr="00A13719">
        <w:rPr>
          <w:lang w:val="en-US"/>
        </w:rPr>
        <w:t xml:space="preserve">of </w:t>
      </w:r>
      <w:r w:rsidR="00D147EF" w:rsidRPr="00A13719">
        <w:rPr>
          <w:lang w:val="en-US"/>
        </w:rPr>
        <w:t xml:space="preserve">0.048, </w:t>
      </w:r>
      <w:r w:rsidR="003202EB" w:rsidRPr="00A13719">
        <w:rPr>
          <w:lang w:val="en-US"/>
        </w:rPr>
        <w:t xml:space="preserve">which is </w:t>
      </w:r>
      <w:r w:rsidR="00D147EF" w:rsidRPr="00A13719">
        <w:rPr>
          <w:lang w:val="en-US"/>
        </w:rPr>
        <w:t>not significant</w:t>
      </w:r>
      <w:r w:rsidR="003202EB" w:rsidRPr="00A13719">
        <w:rPr>
          <w:lang w:val="en-US"/>
        </w:rPr>
        <w:t>ly different from</w:t>
      </w:r>
      <w:r w:rsidR="00D147EF" w:rsidRPr="00A13719">
        <w:rPr>
          <w:lang w:val="en-US"/>
        </w:rPr>
        <w:t xml:space="preserve"> zero. </w:t>
      </w:r>
    </w:p>
    <w:p w:rsidR="00E152FC" w:rsidRPr="00A13719" w:rsidRDefault="00E152FC" w:rsidP="002213BC">
      <w:pPr>
        <w:jc w:val="both"/>
        <w:rPr>
          <w:b/>
          <w:lang w:val="en-US"/>
        </w:rPr>
      </w:pPr>
      <w:r w:rsidRPr="00A13719">
        <w:rPr>
          <w:lang w:val="en-US"/>
        </w:rPr>
        <w:t xml:space="preserve">Table 1 provides basic statistics on the raw net-of-fees returns of the eleven </w:t>
      </w:r>
      <w:r w:rsidRPr="00A13719">
        <w:rPr>
          <w:rFonts w:eastAsiaTheme="minorEastAsia"/>
          <w:lang w:val="en-US"/>
        </w:rPr>
        <w:t>HF</w:t>
      </w:r>
      <w:r w:rsidRPr="00A13719">
        <w:rPr>
          <w:lang w:val="en-US"/>
        </w:rPr>
        <w:t xml:space="preserve"> strategies. Each strategy is a representative-average time series of their relevant (equally weighted) </w:t>
      </w:r>
      <w:r w:rsidRPr="00A13719">
        <w:rPr>
          <w:rFonts w:eastAsiaTheme="minorEastAsia"/>
          <w:lang w:val="en-US"/>
        </w:rPr>
        <w:t>HF</w:t>
      </w:r>
      <w:r w:rsidRPr="00A13719">
        <w:rPr>
          <w:lang w:val="en-US"/>
        </w:rPr>
        <w:t xml:space="preserve">s. </w:t>
      </w:r>
      <w:r w:rsidRPr="00A13719">
        <w:rPr>
          <w:rFonts w:cs="Times New Roman"/>
        </w:rPr>
        <w:t xml:space="preserve">Some strategies (e.g. Sector, Long Short, Others, CTA) provide high monthly mean returns (more than </w:t>
      </w:r>
      <w:r w:rsidRPr="00A13719">
        <w:rPr>
          <w:rFonts w:cs="Times New Roman"/>
        </w:rPr>
        <w:lastRenderedPageBreak/>
        <w:t xml:space="preserve">1.1%) and are more aggressive than non-directional strategies (e.g. Event Driven, Market Neutral). On the other hand, some strategies (e.g. Short Bias) provide low monthly mean returns (0.1%). On average, directional strategies have more volatile returns than all the non-directional strategies except the CTA strategy. </w:t>
      </w:r>
      <w:r w:rsidRPr="00A13719">
        <w:rPr>
          <w:lang w:val="en-US"/>
        </w:rPr>
        <w:t>Full statistical information (with raw and excess returns) along with histograms is available upon request</w:t>
      </w:r>
      <w:r w:rsidRPr="00A13719">
        <w:rPr>
          <w:rStyle w:val="FootnoteReference"/>
          <w:lang w:val="en-US"/>
        </w:rPr>
        <w:footnoteReference w:id="11"/>
      </w:r>
      <w:r w:rsidRPr="00A13719">
        <w:rPr>
          <w:b/>
          <w:lang w:val="en-US"/>
        </w:rPr>
        <w:t>.</w:t>
      </w:r>
    </w:p>
    <w:p w:rsidR="00D147EF" w:rsidRPr="00A13719" w:rsidRDefault="00D147EF" w:rsidP="00D147EF">
      <w:pPr>
        <w:spacing w:after="0"/>
        <w:ind w:firstLine="720"/>
        <w:rPr>
          <w:b/>
          <w:sz w:val="28"/>
          <w:szCs w:val="28"/>
          <w:lang w:val="en-US"/>
        </w:rPr>
      </w:pPr>
      <w:r w:rsidRPr="00A13719">
        <w:rPr>
          <w:b/>
          <w:sz w:val="28"/>
          <w:szCs w:val="28"/>
          <w:lang w:val="en-US"/>
        </w:rPr>
        <w:t xml:space="preserve">Table </w:t>
      </w:r>
      <w:r w:rsidR="003202EB" w:rsidRPr="00A13719">
        <w:rPr>
          <w:b/>
          <w:sz w:val="28"/>
          <w:szCs w:val="28"/>
          <w:lang w:val="en-US"/>
        </w:rPr>
        <w:t>1</w:t>
      </w:r>
      <w:r w:rsidRPr="00A13719">
        <w:rPr>
          <w:sz w:val="28"/>
          <w:szCs w:val="28"/>
          <w:lang w:val="en-US"/>
        </w:rPr>
        <w:t xml:space="preserve">. </w:t>
      </w:r>
      <w:r w:rsidR="001A04A9" w:rsidRPr="00A13719">
        <w:rPr>
          <w:b/>
          <w:sz w:val="28"/>
          <w:szCs w:val="28"/>
          <w:lang w:val="en-US"/>
        </w:rPr>
        <w:t>S</w:t>
      </w:r>
      <w:r w:rsidR="008266C0" w:rsidRPr="00A13719">
        <w:rPr>
          <w:b/>
          <w:sz w:val="28"/>
          <w:szCs w:val="28"/>
          <w:lang w:val="en-US"/>
        </w:rPr>
        <w:t>ummary Statistics</w:t>
      </w:r>
      <w:r w:rsidR="001A04A9" w:rsidRPr="00A13719">
        <w:rPr>
          <w:b/>
          <w:sz w:val="28"/>
          <w:szCs w:val="28"/>
          <w:lang w:val="en-US"/>
        </w:rPr>
        <w:t xml:space="preserve"> and Market Correlation</w:t>
      </w:r>
    </w:p>
    <w:p w:rsidR="00D147EF" w:rsidRPr="00A13719" w:rsidRDefault="00D147EF" w:rsidP="00D147EF">
      <w:pPr>
        <w:spacing w:after="0"/>
        <w:jc w:val="both"/>
        <w:rPr>
          <w:sz w:val="18"/>
          <w:szCs w:val="18"/>
          <w:lang w:val="en-US"/>
        </w:rPr>
      </w:pPr>
      <w:r w:rsidRPr="00A13719">
        <w:rPr>
          <w:sz w:val="18"/>
          <w:szCs w:val="18"/>
          <w:lang w:val="en-US"/>
        </w:rPr>
        <w:t xml:space="preserve">This table presents </w:t>
      </w:r>
      <w:r w:rsidR="00E152FC" w:rsidRPr="00A13719">
        <w:rPr>
          <w:sz w:val="18"/>
          <w:szCs w:val="18"/>
          <w:lang w:val="en-US"/>
        </w:rPr>
        <w:t xml:space="preserve">the summary statistics of monthly raw returns for each HF strategy. It </w:t>
      </w:r>
      <w:r w:rsidR="006C7433" w:rsidRPr="00A13719">
        <w:rPr>
          <w:sz w:val="18"/>
          <w:szCs w:val="18"/>
          <w:lang w:val="en-US"/>
        </w:rPr>
        <w:t xml:space="preserve">also </w:t>
      </w:r>
      <w:r w:rsidR="00E152FC" w:rsidRPr="00A13719">
        <w:rPr>
          <w:sz w:val="18"/>
          <w:szCs w:val="18"/>
          <w:lang w:val="en-US"/>
        </w:rPr>
        <w:t xml:space="preserve">presents </w:t>
      </w:r>
      <w:r w:rsidRPr="00A13719">
        <w:rPr>
          <w:sz w:val="18"/>
          <w:szCs w:val="18"/>
          <w:lang w:val="en-US"/>
        </w:rPr>
        <w:t>for each strategy the correlation with</w:t>
      </w:r>
      <w:r w:rsidR="003202EB" w:rsidRPr="00A13719">
        <w:rPr>
          <w:sz w:val="18"/>
          <w:szCs w:val="18"/>
          <w:lang w:val="en-US"/>
        </w:rPr>
        <w:t xml:space="preserve"> the </w:t>
      </w:r>
      <w:r w:rsidRPr="00A13719">
        <w:rPr>
          <w:sz w:val="18"/>
          <w:szCs w:val="18"/>
          <w:lang w:val="en-US"/>
        </w:rPr>
        <w:t>Wilshire 5000TRI incl</w:t>
      </w:r>
      <w:r w:rsidR="003202EB" w:rsidRPr="00A13719">
        <w:rPr>
          <w:sz w:val="18"/>
          <w:szCs w:val="18"/>
          <w:lang w:val="en-US"/>
        </w:rPr>
        <w:t>uding</w:t>
      </w:r>
      <w:r w:rsidRPr="00A13719">
        <w:rPr>
          <w:sz w:val="18"/>
          <w:szCs w:val="18"/>
          <w:lang w:val="en-US"/>
        </w:rPr>
        <w:t xml:space="preserve"> dividends over the entire period under examination (01/1990-03/2014). </w:t>
      </w:r>
      <w:r w:rsidR="003202EB" w:rsidRPr="00A13719">
        <w:rPr>
          <w:sz w:val="18"/>
          <w:szCs w:val="18"/>
          <w:lang w:val="en-US"/>
        </w:rPr>
        <w:t xml:space="preserve">We </w:t>
      </w:r>
      <w:r w:rsidRPr="00A13719">
        <w:rPr>
          <w:sz w:val="18"/>
          <w:szCs w:val="18"/>
          <w:lang w:val="en-US"/>
        </w:rPr>
        <w:t xml:space="preserve">rank </w:t>
      </w:r>
      <w:r w:rsidR="008F4890" w:rsidRPr="00A13719">
        <w:rPr>
          <w:sz w:val="18"/>
          <w:szCs w:val="18"/>
          <w:lang w:val="en-US"/>
        </w:rPr>
        <w:t>by</w:t>
      </w:r>
      <w:r w:rsidRPr="00A13719">
        <w:rPr>
          <w:sz w:val="18"/>
          <w:szCs w:val="18"/>
          <w:lang w:val="en-US"/>
        </w:rPr>
        <w:t xml:space="preserve"> the correlation with the market index</w:t>
      </w:r>
      <w:r w:rsidR="003202EB" w:rsidRPr="00A13719">
        <w:rPr>
          <w:sz w:val="18"/>
          <w:szCs w:val="18"/>
          <w:lang w:val="en-US"/>
        </w:rPr>
        <w:t xml:space="preserve">, from </w:t>
      </w:r>
      <w:r w:rsidRPr="00A13719">
        <w:rPr>
          <w:sz w:val="18"/>
          <w:szCs w:val="18"/>
          <w:lang w:val="en-US"/>
        </w:rPr>
        <w:t>extreme directional strategies (Short Bias) to completely non-directional strategies (CTAs). Each</w:t>
      </w:r>
      <w:r w:rsidR="003202EB" w:rsidRPr="00A13719">
        <w:rPr>
          <w:sz w:val="18"/>
          <w:szCs w:val="18"/>
          <w:lang w:val="en-US"/>
        </w:rPr>
        <w:t xml:space="preserve"> </w:t>
      </w:r>
      <w:r w:rsidRPr="00A13719">
        <w:rPr>
          <w:sz w:val="18"/>
          <w:szCs w:val="18"/>
          <w:lang w:val="en-US"/>
        </w:rPr>
        <w:t xml:space="preserve">strategy is a representative-average time series of all the relevant </w:t>
      </w:r>
      <w:r w:rsidR="00105B9E" w:rsidRPr="00A13719">
        <w:rPr>
          <w:sz w:val="18"/>
          <w:szCs w:val="18"/>
          <w:lang w:val="en-US"/>
        </w:rPr>
        <w:t>HF</w:t>
      </w:r>
      <w:r w:rsidRPr="00A13719">
        <w:rPr>
          <w:sz w:val="18"/>
          <w:szCs w:val="18"/>
          <w:lang w:val="en-US"/>
        </w:rPr>
        <w:t>s.</w:t>
      </w:r>
      <w:r w:rsidR="003202EB" w:rsidRPr="00A13719">
        <w:rPr>
          <w:sz w:val="18"/>
          <w:szCs w:val="18"/>
          <w:lang w:val="en-US"/>
        </w:rPr>
        <w:t xml:space="preserve"> </w:t>
      </w:r>
      <w:r w:rsidR="00391337" w:rsidRPr="00A13719">
        <w:rPr>
          <w:sz w:val="18"/>
          <w:szCs w:val="18"/>
          <w:lang w:val="en-US"/>
        </w:rPr>
        <w:t>*</w:t>
      </w:r>
      <w:r w:rsidR="00376707" w:rsidRPr="00A13719">
        <w:rPr>
          <w:sz w:val="18"/>
          <w:szCs w:val="18"/>
          <w:lang w:val="en-US"/>
        </w:rPr>
        <w:t>** denotes</w:t>
      </w:r>
      <w:r w:rsidR="003202EB" w:rsidRPr="00A13719">
        <w:rPr>
          <w:sz w:val="18"/>
          <w:szCs w:val="18"/>
          <w:lang w:val="en-US"/>
        </w:rPr>
        <w:t xml:space="preserve"> </w:t>
      </w:r>
      <w:r w:rsidR="00376707" w:rsidRPr="00A13719">
        <w:rPr>
          <w:sz w:val="18"/>
          <w:szCs w:val="18"/>
          <w:lang w:val="en-US"/>
        </w:rPr>
        <w:t>a correlation</w:t>
      </w:r>
      <w:r w:rsidR="003202EB" w:rsidRPr="00A13719">
        <w:rPr>
          <w:sz w:val="18"/>
          <w:szCs w:val="18"/>
          <w:lang w:val="en-US"/>
        </w:rPr>
        <w:t xml:space="preserve"> significantly different from zero </w:t>
      </w:r>
      <w:r w:rsidR="00376707" w:rsidRPr="00A13719">
        <w:rPr>
          <w:sz w:val="18"/>
          <w:szCs w:val="18"/>
          <w:lang w:val="en-US"/>
        </w:rPr>
        <w:t>at the 1% level (using a two tailed test).</w:t>
      </w:r>
      <w:r w:rsidR="00955D10" w:rsidRPr="00A13719">
        <w:rPr>
          <w:sz w:val="18"/>
          <w:szCs w:val="18"/>
          <w:lang w:val="en-US"/>
        </w:rPr>
        <w:t xml:space="preserve"> </w:t>
      </w:r>
      <w:r w:rsidR="008F4890" w:rsidRPr="00A13719">
        <w:rPr>
          <w:sz w:val="18"/>
          <w:szCs w:val="18"/>
          <w:lang w:val="en-US"/>
        </w:rPr>
        <w:t>D</w:t>
      </w:r>
      <w:r w:rsidR="00955D10" w:rsidRPr="00A13719">
        <w:rPr>
          <w:sz w:val="18"/>
          <w:szCs w:val="18"/>
          <w:lang w:val="en-US"/>
        </w:rPr>
        <w:t>irectional strategies</w:t>
      </w:r>
      <w:r w:rsidR="008F4890" w:rsidRPr="00A13719">
        <w:rPr>
          <w:sz w:val="18"/>
          <w:szCs w:val="18"/>
          <w:lang w:val="en-US"/>
        </w:rPr>
        <w:t xml:space="preserve"> have correlations with the market index of greater than 0.5</w:t>
      </w:r>
      <w:r w:rsidR="00955D10" w:rsidRPr="00A13719">
        <w:rPr>
          <w:sz w:val="18"/>
          <w:szCs w:val="18"/>
          <w:lang w:val="en-US"/>
        </w:rPr>
        <w:t>, and semi-directional strategies</w:t>
      </w:r>
      <w:r w:rsidR="008F4890" w:rsidRPr="00A13719">
        <w:rPr>
          <w:sz w:val="18"/>
          <w:szCs w:val="18"/>
          <w:lang w:val="en-US"/>
        </w:rPr>
        <w:t xml:space="preserve"> have correlation between 0.22 and 0.5</w:t>
      </w:r>
      <w:r w:rsidR="00955D10" w:rsidRPr="00A13719">
        <w:rPr>
          <w:sz w:val="18"/>
          <w:szCs w:val="18"/>
          <w:lang w:val="en-US"/>
        </w:rPr>
        <w:t xml:space="preserve">.   </w:t>
      </w:r>
    </w:p>
    <w:tbl>
      <w:tblPr>
        <w:tblW w:w="8262" w:type="dxa"/>
        <w:jc w:val="center"/>
        <w:tblBorders>
          <w:top w:val="single" w:sz="8" w:space="0" w:color="auto"/>
          <w:bottom w:val="single" w:sz="8" w:space="0" w:color="auto"/>
        </w:tblBorders>
        <w:shd w:val="clear" w:color="000000" w:fill="auto"/>
        <w:tblLook w:val="04A0" w:firstRow="1" w:lastRow="0" w:firstColumn="1" w:lastColumn="0" w:noHBand="0" w:noVBand="1"/>
      </w:tblPr>
      <w:tblGrid>
        <w:gridCol w:w="3173"/>
        <w:gridCol w:w="1296"/>
        <w:gridCol w:w="1296"/>
        <w:gridCol w:w="1296"/>
        <w:gridCol w:w="1201"/>
      </w:tblGrid>
      <w:tr w:rsidR="00A13719" w:rsidRPr="00A13719" w:rsidTr="008266C0">
        <w:trPr>
          <w:trHeight w:val="356"/>
          <w:jc w:val="center"/>
        </w:trPr>
        <w:tc>
          <w:tcPr>
            <w:tcW w:w="3173" w:type="dxa"/>
            <w:tcBorders>
              <w:top w:val="single" w:sz="8" w:space="0" w:color="auto"/>
              <w:bottom w:val="single" w:sz="8" w:space="0" w:color="auto"/>
            </w:tcBorders>
            <w:shd w:val="clear" w:color="000000" w:fill="auto"/>
            <w:hideMark/>
          </w:tcPr>
          <w:p w:rsidR="008266C0" w:rsidRPr="00A13719" w:rsidRDefault="008266C0" w:rsidP="001A04A9">
            <w:pPr>
              <w:spacing w:after="0" w:line="240" w:lineRule="auto"/>
              <w:rPr>
                <w:rFonts w:eastAsia="Times New Roman" w:cs="Times New Roman"/>
                <w:bCs/>
                <w:sz w:val="22"/>
                <w:lang w:eastAsia="en-GB"/>
              </w:rPr>
            </w:pPr>
            <w:r w:rsidRPr="00A13719">
              <w:rPr>
                <w:rFonts w:eastAsia="Times New Roman" w:cs="Times New Roman"/>
                <w:bCs/>
                <w:sz w:val="22"/>
                <w:lang w:eastAsia="en-GB"/>
              </w:rPr>
              <w:t>Directional Strategies</w:t>
            </w:r>
          </w:p>
        </w:tc>
        <w:tc>
          <w:tcPr>
            <w:tcW w:w="1296" w:type="dxa"/>
            <w:tcBorders>
              <w:top w:val="single" w:sz="8" w:space="0" w:color="auto"/>
              <w:bottom w:val="single" w:sz="8" w:space="0" w:color="auto"/>
            </w:tcBorders>
            <w:shd w:val="clear" w:color="000000" w:fill="auto"/>
          </w:tcPr>
          <w:p w:rsidR="008266C0" w:rsidRPr="00A13719" w:rsidRDefault="008266C0" w:rsidP="001A04A9">
            <w:pPr>
              <w:spacing w:after="0" w:line="240" w:lineRule="auto"/>
              <w:jc w:val="center"/>
              <w:rPr>
                <w:rFonts w:eastAsia="Times New Roman" w:cs="Times New Roman"/>
                <w:sz w:val="22"/>
                <w:lang w:eastAsia="en-GB"/>
              </w:rPr>
            </w:pPr>
            <w:r w:rsidRPr="00A13719">
              <w:rPr>
                <w:rFonts w:eastAsia="Times New Roman" w:cs="Times New Roman"/>
                <w:sz w:val="22"/>
                <w:lang w:eastAsia="en-GB"/>
              </w:rPr>
              <w:t>Mean</w:t>
            </w:r>
          </w:p>
        </w:tc>
        <w:tc>
          <w:tcPr>
            <w:tcW w:w="1296" w:type="dxa"/>
            <w:tcBorders>
              <w:top w:val="single" w:sz="8" w:space="0" w:color="auto"/>
              <w:bottom w:val="single" w:sz="8" w:space="0" w:color="auto"/>
            </w:tcBorders>
            <w:shd w:val="clear" w:color="000000" w:fill="auto"/>
          </w:tcPr>
          <w:p w:rsidR="008266C0" w:rsidRPr="00A13719" w:rsidRDefault="008266C0" w:rsidP="00680EC0">
            <w:pPr>
              <w:spacing w:after="0" w:line="240" w:lineRule="auto"/>
              <w:jc w:val="center"/>
              <w:rPr>
                <w:rFonts w:eastAsia="Times New Roman" w:cs="Times New Roman"/>
                <w:sz w:val="22"/>
                <w:lang w:eastAsia="en-GB"/>
              </w:rPr>
            </w:pPr>
            <w:r w:rsidRPr="00A13719">
              <w:rPr>
                <w:rFonts w:eastAsia="Times New Roman" w:cs="Times New Roman"/>
                <w:sz w:val="22"/>
                <w:lang w:eastAsia="en-GB"/>
              </w:rPr>
              <w:t>Standard Deviation</w:t>
            </w:r>
          </w:p>
        </w:tc>
        <w:tc>
          <w:tcPr>
            <w:tcW w:w="1296" w:type="dxa"/>
            <w:tcBorders>
              <w:top w:val="single" w:sz="8" w:space="0" w:color="auto"/>
              <w:bottom w:val="single" w:sz="8" w:space="0" w:color="auto"/>
            </w:tcBorders>
            <w:shd w:val="clear" w:color="000000" w:fill="auto"/>
            <w:vAlign w:val="center"/>
            <w:hideMark/>
          </w:tcPr>
          <w:p w:rsidR="008266C0" w:rsidRPr="00A13719" w:rsidRDefault="008266C0" w:rsidP="00680EC0">
            <w:pPr>
              <w:spacing w:after="0" w:line="240" w:lineRule="auto"/>
              <w:jc w:val="center"/>
              <w:rPr>
                <w:rFonts w:eastAsia="Times New Roman" w:cs="Times New Roman"/>
                <w:sz w:val="22"/>
                <w:lang w:eastAsia="en-GB"/>
              </w:rPr>
            </w:pPr>
            <w:r w:rsidRPr="00A13719">
              <w:rPr>
                <w:rFonts w:eastAsia="Times New Roman" w:cs="Times New Roman"/>
                <w:sz w:val="22"/>
                <w:lang w:eastAsia="en-GB"/>
              </w:rPr>
              <w:t>Correlation Coefficient</w:t>
            </w:r>
          </w:p>
        </w:tc>
        <w:tc>
          <w:tcPr>
            <w:tcW w:w="1201" w:type="dxa"/>
            <w:tcBorders>
              <w:top w:val="single" w:sz="8" w:space="0" w:color="auto"/>
              <w:bottom w:val="single" w:sz="8" w:space="0" w:color="auto"/>
            </w:tcBorders>
            <w:shd w:val="clear" w:color="000000" w:fill="auto"/>
            <w:noWrap/>
            <w:vAlign w:val="center"/>
            <w:hideMark/>
          </w:tcPr>
          <w:p w:rsidR="008266C0" w:rsidRPr="00A13719" w:rsidRDefault="008266C0" w:rsidP="00680EC0">
            <w:pPr>
              <w:spacing w:after="0" w:line="240" w:lineRule="auto"/>
              <w:jc w:val="center"/>
              <w:rPr>
                <w:rFonts w:eastAsia="Times New Roman" w:cs="Times New Roman"/>
                <w:sz w:val="22"/>
                <w:lang w:eastAsia="en-GB"/>
              </w:rPr>
            </w:pPr>
            <w:r w:rsidRPr="00A13719">
              <w:rPr>
                <w:rFonts w:eastAsia="Times New Roman" w:cs="Times New Roman"/>
                <w:sz w:val="22"/>
                <w:lang w:eastAsia="en-GB"/>
              </w:rPr>
              <w:t>Std. Error</w:t>
            </w:r>
          </w:p>
        </w:tc>
      </w:tr>
      <w:tr w:rsidR="00A13719" w:rsidRPr="00A13719" w:rsidTr="008266C0">
        <w:trPr>
          <w:trHeight w:val="209"/>
          <w:jc w:val="center"/>
        </w:trPr>
        <w:tc>
          <w:tcPr>
            <w:tcW w:w="3173" w:type="dxa"/>
            <w:tcBorders>
              <w:top w:val="single" w:sz="8" w:space="0" w:color="auto"/>
            </w:tcBorders>
            <w:shd w:val="clear" w:color="000000" w:fill="auto"/>
            <w:noWrap/>
            <w:vAlign w:val="bottom"/>
            <w:hideMark/>
          </w:tcPr>
          <w:p w:rsidR="008266C0" w:rsidRPr="00A13719" w:rsidRDefault="008266C0" w:rsidP="008266C0">
            <w:pPr>
              <w:spacing w:after="0" w:line="240" w:lineRule="auto"/>
              <w:rPr>
                <w:rFonts w:eastAsia="Times New Roman" w:cs="Times New Roman"/>
                <w:sz w:val="22"/>
                <w:lang w:eastAsia="en-GB"/>
              </w:rPr>
            </w:pPr>
            <w:r w:rsidRPr="00A13719">
              <w:rPr>
                <w:rFonts w:eastAsia="Times New Roman" w:cs="Times New Roman"/>
                <w:sz w:val="22"/>
                <w:lang w:eastAsia="en-GB"/>
              </w:rPr>
              <w:t>Short Bias</w:t>
            </w:r>
          </w:p>
        </w:tc>
        <w:tc>
          <w:tcPr>
            <w:tcW w:w="1296" w:type="dxa"/>
            <w:tcBorders>
              <w:top w:val="single" w:sz="8" w:space="0" w:color="auto"/>
            </w:tcBorders>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0.050%</w:t>
            </w:r>
          </w:p>
        </w:tc>
        <w:tc>
          <w:tcPr>
            <w:tcW w:w="1296" w:type="dxa"/>
            <w:tcBorders>
              <w:top w:val="single" w:sz="8" w:space="0" w:color="auto"/>
            </w:tcBorders>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5.197</w:t>
            </w:r>
          </w:p>
        </w:tc>
        <w:tc>
          <w:tcPr>
            <w:tcW w:w="1296" w:type="dxa"/>
            <w:tcBorders>
              <w:top w:val="single" w:sz="8" w:space="0" w:color="auto"/>
            </w:tcBorders>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-0.924**</w:t>
            </w:r>
            <w:r w:rsidR="00391337" w:rsidRPr="00A13719">
              <w:rPr>
                <w:rFonts w:eastAsia="Times New Roman" w:cs="Times New Roman"/>
                <w:sz w:val="22"/>
                <w:lang w:eastAsia="en-GB"/>
              </w:rPr>
              <w:t>*</w:t>
            </w:r>
          </w:p>
        </w:tc>
        <w:tc>
          <w:tcPr>
            <w:tcW w:w="1201" w:type="dxa"/>
            <w:tcBorders>
              <w:top w:val="single" w:sz="8" w:space="0" w:color="auto"/>
            </w:tcBorders>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0.042</w:t>
            </w:r>
          </w:p>
        </w:tc>
      </w:tr>
      <w:tr w:rsidR="00A13719" w:rsidRPr="00A13719" w:rsidTr="008266C0">
        <w:trPr>
          <w:trHeight w:val="209"/>
          <w:jc w:val="center"/>
        </w:trPr>
        <w:tc>
          <w:tcPr>
            <w:tcW w:w="3173" w:type="dxa"/>
            <w:shd w:val="clear" w:color="000000" w:fill="auto"/>
            <w:noWrap/>
            <w:vAlign w:val="bottom"/>
            <w:hideMark/>
          </w:tcPr>
          <w:p w:rsidR="008266C0" w:rsidRPr="00A13719" w:rsidRDefault="008266C0" w:rsidP="008266C0">
            <w:pPr>
              <w:spacing w:after="0" w:line="240" w:lineRule="auto"/>
              <w:rPr>
                <w:rFonts w:eastAsia="Times New Roman" w:cs="Times New Roman"/>
                <w:sz w:val="22"/>
                <w:lang w:eastAsia="en-GB"/>
              </w:rPr>
            </w:pPr>
            <w:r w:rsidRPr="00A13719">
              <w:rPr>
                <w:rFonts w:eastAsia="Times New Roman" w:cs="Times New Roman"/>
                <w:sz w:val="22"/>
                <w:lang w:eastAsia="en-GB"/>
              </w:rPr>
              <w:t>Long Only</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0.999%</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3.437</w:t>
            </w:r>
          </w:p>
        </w:tc>
        <w:tc>
          <w:tcPr>
            <w:tcW w:w="1296"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0.707**</w:t>
            </w:r>
            <w:r w:rsidR="00391337" w:rsidRPr="00A13719">
              <w:rPr>
                <w:rFonts w:eastAsia="Times New Roman" w:cs="Times New Roman"/>
                <w:sz w:val="22"/>
                <w:lang w:eastAsia="en-GB"/>
              </w:rPr>
              <w:t>*</w:t>
            </w:r>
          </w:p>
        </w:tc>
        <w:tc>
          <w:tcPr>
            <w:tcW w:w="1201"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0.023</w:t>
            </w:r>
          </w:p>
        </w:tc>
      </w:tr>
      <w:tr w:rsidR="00A13719" w:rsidRPr="00A13719" w:rsidTr="008266C0">
        <w:trPr>
          <w:trHeight w:val="209"/>
          <w:jc w:val="center"/>
        </w:trPr>
        <w:tc>
          <w:tcPr>
            <w:tcW w:w="3173" w:type="dxa"/>
            <w:shd w:val="clear" w:color="000000" w:fill="auto"/>
            <w:noWrap/>
            <w:vAlign w:val="bottom"/>
            <w:hideMark/>
          </w:tcPr>
          <w:p w:rsidR="008266C0" w:rsidRPr="00A13719" w:rsidRDefault="008266C0" w:rsidP="008266C0">
            <w:pPr>
              <w:spacing w:after="0" w:line="240" w:lineRule="auto"/>
              <w:rPr>
                <w:rFonts w:eastAsia="Times New Roman" w:cs="Times New Roman"/>
                <w:sz w:val="22"/>
                <w:lang w:eastAsia="en-GB"/>
              </w:rPr>
            </w:pPr>
            <w:r w:rsidRPr="00A13719">
              <w:rPr>
                <w:rFonts w:eastAsia="Times New Roman" w:cs="Times New Roman"/>
                <w:sz w:val="22"/>
                <w:lang w:eastAsia="en-GB"/>
              </w:rPr>
              <w:t>Sector</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1.151%</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3.259</w:t>
            </w:r>
          </w:p>
        </w:tc>
        <w:tc>
          <w:tcPr>
            <w:tcW w:w="1296"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0.637**</w:t>
            </w:r>
            <w:r w:rsidR="00391337" w:rsidRPr="00A13719">
              <w:rPr>
                <w:rFonts w:eastAsia="Times New Roman" w:cs="Times New Roman"/>
                <w:sz w:val="22"/>
                <w:lang w:eastAsia="en-GB"/>
              </w:rPr>
              <w:t>*</w:t>
            </w:r>
          </w:p>
        </w:tc>
        <w:tc>
          <w:tcPr>
            <w:tcW w:w="1201"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0.026</w:t>
            </w:r>
          </w:p>
        </w:tc>
      </w:tr>
      <w:tr w:rsidR="00A13719" w:rsidRPr="00A13719" w:rsidTr="008266C0">
        <w:trPr>
          <w:trHeight w:val="209"/>
          <w:jc w:val="center"/>
        </w:trPr>
        <w:tc>
          <w:tcPr>
            <w:tcW w:w="3173" w:type="dxa"/>
            <w:shd w:val="clear" w:color="000000" w:fill="auto"/>
            <w:noWrap/>
            <w:vAlign w:val="bottom"/>
            <w:hideMark/>
          </w:tcPr>
          <w:p w:rsidR="008266C0" w:rsidRPr="00A13719" w:rsidRDefault="008266C0" w:rsidP="008266C0">
            <w:pPr>
              <w:spacing w:after="0" w:line="240" w:lineRule="auto"/>
              <w:rPr>
                <w:rFonts w:eastAsia="Times New Roman" w:cs="Times New Roman"/>
                <w:sz w:val="22"/>
                <w:lang w:eastAsia="en-GB"/>
              </w:rPr>
            </w:pPr>
            <w:r w:rsidRPr="00A13719">
              <w:rPr>
                <w:rFonts w:eastAsia="Times New Roman" w:cs="Times New Roman"/>
                <w:sz w:val="22"/>
                <w:lang w:eastAsia="en-GB"/>
              </w:rPr>
              <w:t>Long Short</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1.125%</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2.663</w:t>
            </w:r>
          </w:p>
        </w:tc>
        <w:tc>
          <w:tcPr>
            <w:tcW w:w="1296"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0.550**</w:t>
            </w:r>
            <w:r w:rsidR="00391337" w:rsidRPr="00A13719">
              <w:rPr>
                <w:rFonts w:eastAsia="Times New Roman" w:cs="Times New Roman"/>
                <w:sz w:val="22"/>
                <w:lang w:eastAsia="en-GB"/>
              </w:rPr>
              <w:t>*</w:t>
            </w:r>
          </w:p>
        </w:tc>
        <w:tc>
          <w:tcPr>
            <w:tcW w:w="1201"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0.019</w:t>
            </w:r>
          </w:p>
        </w:tc>
      </w:tr>
      <w:tr w:rsidR="00A13719" w:rsidRPr="00A13719" w:rsidTr="000F62CE">
        <w:trPr>
          <w:trHeight w:hRule="exact" w:val="284"/>
          <w:jc w:val="center"/>
        </w:trPr>
        <w:tc>
          <w:tcPr>
            <w:tcW w:w="3173" w:type="dxa"/>
            <w:tcBorders>
              <w:top w:val="single" w:sz="8" w:space="0" w:color="auto"/>
              <w:bottom w:val="single" w:sz="8" w:space="0" w:color="auto"/>
            </w:tcBorders>
            <w:shd w:val="clear" w:color="000000" w:fill="auto"/>
            <w:hideMark/>
          </w:tcPr>
          <w:p w:rsidR="008266C0" w:rsidRPr="00A13719" w:rsidRDefault="008266C0" w:rsidP="00F17807">
            <w:pPr>
              <w:spacing w:after="0" w:line="240" w:lineRule="auto"/>
              <w:jc w:val="center"/>
              <w:rPr>
                <w:rFonts w:eastAsia="Times New Roman" w:cs="Times New Roman"/>
                <w:bCs/>
                <w:sz w:val="22"/>
                <w:lang w:eastAsia="en-GB"/>
              </w:rPr>
            </w:pPr>
            <w:r w:rsidRPr="00A13719">
              <w:rPr>
                <w:rFonts w:eastAsia="Times New Roman" w:cs="Times New Roman"/>
                <w:bCs/>
                <w:sz w:val="22"/>
                <w:lang w:eastAsia="en-GB"/>
              </w:rPr>
              <w:t>Semi-Directional Strategies</w:t>
            </w:r>
          </w:p>
        </w:tc>
        <w:tc>
          <w:tcPr>
            <w:tcW w:w="1296" w:type="dxa"/>
            <w:tcBorders>
              <w:top w:val="single" w:sz="8" w:space="0" w:color="auto"/>
              <w:bottom w:val="single" w:sz="8" w:space="0" w:color="auto"/>
            </w:tcBorders>
            <w:shd w:val="clear" w:color="000000" w:fill="auto"/>
          </w:tcPr>
          <w:p w:rsidR="008266C0" w:rsidRPr="00A13719" w:rsidRDefault="008266C0" w:rsidP="001A04A9">
            <w:pPr>
              <w:spacing w:after="0" w:line="240" w:lineRule="auto"/>
              <w:jc w:val="center"/>
              <w:rPr>
                <w:rFonts w:eastAsia="Times New Roman" w:cs="Times New Roman"/>
                <w:sz w:val="22"/>
                <w:lang w:eastAsia="en-GB"/>
              </w:rPr>
            </w:pPr>
          </w:p>
        </w:tc>
        <w:tc>
          <w:tcPr>
            <w:tcW w:w="1296" w:type="dxa"/>
            <w:tcBorders>
              <w:top w:val="single" w:sz="8" w:space="0" w:color="auto"/>
              <w:bottom w:val="single" w:sz="8" w:space="0" w:color="auto"/>
            </w:tcBorders>
            <w:shd w:val="clear" w:color="000000" w:fill="auto"/>
          </w:tcPr>
          <w:p w:rsidR="008266C0" w:rsidRPr="00A13719" w:rsidRDefault="008266C0" w:rsidP="00680EC0">
            <w:pPr>
              <w:spacing w:after="0" w:line="240" w:lineRule="auto"/>
              <w:jc w:val="center"/>
              <w:rPr>
                <w:rFonts w:eastAsia="Times New Roman" w:cs="Times New Roman"/>
                <w:sz w:val="22"/>
                <w:lang w:eastAsia="en-GB"/>
              </w:rPr>
            </w:pPr>
          </w:p>
        </w:tc>
        <w:tc>
          <w:tcPr>
            <w:tcW w:w="1296" w:type="dxa"/>
            <w:tcBorders>
              <w:top w:val="single" w:sz="8" w:space="0" w:color="auto"/>
              <w:bottom w:val="single" w:sz="8" w:space="0" w:color="auto"/>
            </w:tcBorders>
            <w:shd w:val="clear" w:color="000000" w:fill="auto"/>
            <w:noWrap/>
            <w:vAlign w:val="center"/>
          </w:tcPr>
          <w:p w:rsidR="008266C0" w:rsidRPr="00A13719" w:rsidRDefault="008266C0" w:rsidP="00680EC0">
            <w:pPr>
              <w:spacing w:after="0" w:line="240" w:lineRule="auto"/>
              <w:jc w:val="center"/>
              <w:rPr>
                <w:rFonts w:eastAsia="Times New Roman" w:cs="Times New Roman"/>
                <w:sz w:val="22"/>
                <w:lang w:eastAsia="en-GB"/>
              </w:rPr>
            </w:pPr>
          </w:p>
        </w:tc>
        <w:tc>
          <w:tcPr>
            <w:tcW w:w="1201" w:type="dxa"/>
            <w:tcBorders>
              <w:top w:val="single" w:sz="8" w:space="0" w:color="auto"/>
              <w:bottom w:val="single" w:sz="8" w:space="0" w:color="auto"/>
            </w:tcBorders>
            <w:shd w:val="clear" w:color="000000" w:fill="auto"/>
            <w:noWrap/>
            <w:vAlign w:val="center"/>
          </w:tcPr>
          <w:p w:rsidR="008266C0" w:rsidRPr="00A13719" w:rsidRDefault="008266C0" w:rsidP="00680EC0">
            <w:pPr>
              <w:spacing w:after="0" w:line="240" w:lineRule="auto"/>
              <w:jc w:val="center"/>
              <w:rPr>
                <w:rFonts w:eastAsia="Times New Roman" w:cs="Times New Roman"/>
                <w:sz w:val="22"/>
                <w:lang w:eastAsia="en-GB"/>
              </w:rPr>
            </w:pPr>
          </w:p>
        </w:tc>
      </w:tr>
      <w:tr w:rsidR="00A13719" w:rsidRPr="00A13719" w:rsidTr="008266C0">
        <w:trPr>
          <w:trHeight w:val="209"/>
          <w:jc w:val="center"/>
        </w:trPr>
        <w:tc>
          <w:tcPr>
            <w:tcW w:w="3173" w:type="dxa"/>
            <w:tcBorders>
              <w:top w:val="single" w:sz="8" w:space="0" w:color="auto"/>
            </w:tcBorders>
            <w:shd w:val="clear" w:color="000000" w:fill="auto"/>
            <w:noWrap/>
            <w:vAlign w:val="bottom"/>
            <w:hideMark/>
          </w:tcPr>
          <w:p w:rsidR="008266C0" w:rsidRPr="00A13719" w:rsidRDefault="008266C0" w:rsidP="008266C0">
            <w:pPr>
              <w:spacing w:after="0" w:line="240" w:lineRule="auto"/>
              <w:rPr>
                <w:rFonts w:eastAsia="Times New Roman" w:cs="Times New Roman"/>
                <w:sz w:val="22"/>
                <w:lang w:eastAsia="en-GB"/>
              </w:rPr>
            </w:pPr>
            <w:r w:rsidRPr="00A13719">
              <w:rPr>
                <w:rFonts w:eastAsia="Times New Roman" w:cs="Times New Roman"/>
                <w:sz w:val="22"/>
                <w:lang w:eastAsia="en-GB"/>
              </w:rPr>
              <w:t>Event Driven</w:t>
            </w:r>
          </w:p>
        </w:tc>
        <w:tc>
          <w:tcPr>
            <w:tcW w:w="1296" w:type="dxa"/>
            <w:tcBorders>
              <w:top w:val="single" w:sz="8" w:space="0" w:color="auto"/>
            </w:tcBorders>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0.937%</w:t>
            </w:r>
          </w:p>
        </w:tc>
        <w:tc>
          <w:tcPr>
            <w:tcW w:w="1296" w:type="dxa"/>
            <w:tcBorders>
              <w:top w:val="single" w:sz="8" w:space="0" w:color="auto"/>
            </w:tcBorders>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1.839</w:t>
            </w:r>
          </w:p>
        </w:tc>
        <w:tc>
          <w:tcPr>
            <w:tcW w:w="1296" w:type="dxa"/>
            <w:tcBorders>
              <w:top w:val="single" w:sz="8" w:space="0" w:color="auto"/>
            </w:tcBorders>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0.338**</w:t>
            </w:r>
            <w:r w:rsidR="00391337" w:rsidRPr="00A13719">
              <w:rPr>
                <w:rFonts w:eastAsia="Times New Roman" w:cs="Times New Roman"/>
                <w:sz w:val="22"/>
                <w:lang w:eastAsia="en-GB"/>
              </w:rPr>
              <w:t>*</w:t>
            </w:r>
          </w:p>
        </w:tc>
        <w:tc>
          <w:tcPr>
            <w:tcW w:w="1201" w:type="dxa"/>
            <w:tcBorders>
              <w:top w:val="single" w:sz="8" w:space="0" w:color="auto"/>
            </w:tcBorders>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0.019</w:t>
            </w:r>
          </w:p>
        </w:tc>
      </w:tr>
      <w:tr w:rsidR="00A13719" w:rsidRPr="00A13719" w:rsidTr="008266C0">
        <w:trPr>
          <w:trHeight w:val="209"/>
          <w:jc w:val="center"/>
        </w:trPr>
        <w:tc>
          <w:tcPr>
            <w:tcW w:w="3173" w:type="dxa"/>
            <w:shd w:val="clear" w:color="000000" w:fill="auto"/>
            <w:noWrap/>
            <w:vAlign w:val="bottom"/>
            <w:hideMark/>
          </w:tcPr>
          <w:p w:rsidR="008266C0" w:rsidRPr="00A13719" w:rsidRDefault="008266C0" w:rsidP="008266C0">
            <w:pPr>
              <w:spacing w:after="0" w:line="240" w:lineRule="auto"/>
              <w:rPr>
                <w:rFonts w:eastAsia="Times New Roman" w:cs="Times New Roman"/>
                <w:sz w:val="22"/>
                <w:lang w:eastAsia="en-GB"/>
              </w:rPr>
            </w:pPr>
            <w:r w:rsidRPr="00A13719">
              <w:rPr>
                <w:rFonts w:eastAsia="Times New Roman" w:cs="Times New Roman"/>
                <w:sz w:val="22"/>
                <w:lang w:eastAsia="en-GB"/>
              </w:rPr>
              <w:t>Multi Strategy</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1.062%</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1.713</w:t>
            </w:r>
          </w:p>
        </w:tc>
        <w:tc>
          <w:tcPr>
            <w:tcW w:w="1296"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0.271**</w:t>
            </w:r>
            <w:r w:rsidR="00391337" w:rsidRPr="00A13719">
              <w:rPr>
                <w:rFonts w:eastAsia="Times New Roman" w:cs="Times New Roman"/>
                <w:sz w:val="22"/>
                <w:lang w:eastAsia="en-GB"/>
              </w:rPr>
              <w:t>*</w:t>
            </w:r>
          </w:p>
        </w:tc>
        <w:tc>
          <w:tcPr>
            <w:tcW w:w="1201"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0.021</w:t>
            </w:r>
          </w:p>
        </w:tc>
      </w:tr>
      <w:tr w:rsidR="00A13719" w:rsidRPr="00A13719" w:rsidTr="008266C0">
        <w:trPr>
          <w:trHeight w:val="209"/>
          <w:jc w:val="center"/>
        </w:trPr>
        <w:tc>
          <w:tcPr>
            <w:tcW w:w="3173" w:type="dxa"/>
            <w:shd w:val="clear" w:color="000000" w:fill="auto"/>
            <w:noWrap/>
            <w:vAlign w:val="bottom"/>
            <w:hideMark/>
          </w:tcPr>
          <w:p w:rsidR="008266C0" w:rsidRPr="00A13719" w:rsidRDefault="008266C0" w:rsidP="008266C0">
            <w:pPr>
              <w:spacing w:after="0" w:line="240" w:lineRule="auto"/>
              <w:rPr>
                <w:rFonts w:eastAsia="Times New Roman" w:cs="Times New Roman"/>
                <w:iCs/>
                <w:sz w:val="22"/>
                <w:lang w:eastAsia="en-GB"/>
              </w:rPr>
            </w:pPr>
            <w:r w:rsidRPr="00A13719">
              <w:rPr>
                <w:rFonts w:eastAsia="Times New Roman" w:cs="Times New Roman"/>
                <w:iCs/>
                <w:sz w:val="22"/>
                <w:lang w:eastAsia="en-GB"/>
              </w:rPr>
              <w:t>Others</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1.349%</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1.091</w:t>
            </w:r>
          </w:p>
        </w:tc>
        <w:tc>
          <w:tcPr>
            <w:tcW w:w="1296"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0.232**</w:t>
            </w:r>
            <w:r w:rsidR="00391337" w:rsidRPr="00A13719">
              <w:rPr>
                <w:rFonts w:eastAsia="Times New Roman" w:cs="Times New Roman"/>
                <w:sz w:val="22"/>
                <w:lang w:eastAsia="en-GB"/>
              </w:rPr>
              <w:t>*</w:t>
            </w:r>
          </w:p>
        </w:tc>
        <w:tc>
          <w:tcPr>
            <w:tcW w:w="1201"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0.018</w:t>
            </w:r>
          </w:p>
        </w:tc>
      </w:tr>
      <w:tr w:rsidR="00A13719" w:rsidRPr="00A13719" w:rsidTr="008266C0">
        <w:trPr>
          <w:trHeight w:val="209"/>
          <w:jc w:val="center"/>
        </w:trPr>
        <w:tc>
          <w:tcPr>
            <w:tcW w:w="3173" w:type="dxa"/>
            <w:shd w:val="clear" w:color="000000" w:fill="auto"/>
            <w:noWrap/>
            <w:vAlign w:val="bottom"/>
            <w:hideMark/>
          </w:tcPr>
          <w:p w:rsidR="008266C0" w:rsidRPr="00A13719" w:rsidRDefault="008266C0" w:rsidP="008266C0">
            <w:pPr>
              <w:spacing w:after="0" w:line="240" w:lineRule="auto"/>
              <w:rPr>
                <w:rFonts w:eastAsia="Times New Roman" w:cs="Times New Roman"/>
                <w:sz w:val="22"/>
                <w:lang w:eastAsia="en-GB"/>
              </w:rPr>
            </w:pPr>
            <w:r w:rsidRPr="00A13719">
              <w:rPr>
                <w:rFonts w:eastAsia="Times New Roman" w:cs="Times New Roman"/>
                <w:sz w:val="22"/>
                <w:lang w:eastAsia="en-GB"/>
              </w:rPr>
              <w:t>Global Macro</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0.934%</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2.017</w:t>
            </w:r>
          </w:p>
        </w:tc>
        <w:tc>
          <w:tcPr>
            <w:tcW w:w="1296"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0.223**</w:t>
            </w:r>
            <w:r w:rsidR="00391337" w:rsidRPr="00A13719">
              <w:rPr>
                <w:rFonts w:eastAsia="Times New Roman" w:cs="Times New Roman"/>
                <w:sz w:val="22"/>
                <w:lang w:eastAsia="en-GB"/>
              </w:rPr>
              <w:t>*</w:t>
            </w:r>
          </w:p>
        </w:tc>
        <w:tc>
          <w:tcPr>
            <w:tcW w:w="1201"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0.026</w:t>
            </w:r>
          </w:p>
        </w:tc>
      </w:tr>
      <w:tr w:rsidR="00A13719" w:rsidRPr="00A13719" w:rsidTr="000F62CE">
        <w:trPr>
          <w:trHeight w:hRule="exact" w:val="227"/>
          <w:jc w:val="center"/>
        </w:trPr>
        <w:tc>
          <w:tcPr>
            <w:tcW w:w="3173" w:type="dxa"/>
            <w:tcBorders>
              <w:top w:val="single" w:sz="8" w:space="0" w:color="auto"/>
              <w:bottom w:val="single" w:sz="8" w:space="0" w:color="auto"/>
            </w:tcBorders>
            <w:shd w:val="clear" w:color="000000" w:fill="auto"/>
            <w:hideMark/>
          </w:tcPr>
          <w:p w:rsidR="008266C0" w:rsidRPr="00A13719" w:rsidRDefault="008266C0" w:rsidP="00F17807">
            <w:pPr>
              <w:spacing w:after="0" w:line="240" w:lineRule="auto"/>
              <w:jc w:val="center"/>
              <w:rPr>
                <w:rFonts w:eastAsia="Times New Roman" w:cs="Times New Roman"/>
                <w:bCs/>
                <w:sz w:val="22"/>
                <w:lang w:eastAsia="en-GB"/>
              </w:rPr>
            </w:pPr>
            <w:r w:rsidRPr="00A13719">
              <w:rPr>
                <w:rFonts w:eastAsia="Times New Roman" w:cs="Times New Roman"/>
                <w:bCs/>
                <w:sz w:val="22"/>
                <w:lang w:eastAsia="en-GB"/>
              </w:rPr>
              <w:t>Non-Directional Strategies</w:t>
            </w:r>
          </w:p>
        </w:tc>
        <w:tc>
          <w:tcPr>
            <w:tcW w:w="1296" w:type="dxa"/>
            <w:tcBorders>
              <w:top w:val="single" w:sz="8" w:space="0" w:color="auto"/>
              <w:bottom w:val="single" w:sz="8" w:space="0" w:color="auto"/>
            </w:tcBorders>
            <w:shd w:val="clear" w:color="000000" w:fill="auto"/>
          </w:tcPr>
          <w:p w:rsidR="008266C0" w:rsidRPr="00A13719" w:rsidRDefault="008266C0" w:rsidP="001A04A9">
            <w:pPr>
              <w:spacing w:after="0" w:line="240" w:lineRule="auto"/>
              <w:jc w:val="center"/>
              <w:rPr>
                <w:rFonts w:eastAsia="Times New Roman" w:cs="Times New Roman"/>
                <w:sz w:val="22"/>
                <w:lang w:eastAsia="en-GB"/>
              </w:rPr>
            </w:pPr>
          </w:p>
        </w:tc>
        <w:tc>
          <w:tcPr>
            <w:tcW w:w="1296" w:type="dxa"/>
            <w:tcBorders>
              <w:top w:val="single" w:sz="8" w:space="0" w:color="auto"/>
              <w:bottom w:val="single" w:sz="8" w:space="0" w:color="auto"/>
            </w:tcBorders>
            <w:shd w:val="clear" w:color="000000" w:fill="auto"/>
          </w:tcPr>
          <w:p w:rsidR="008266C0" w:rsidRPr="00A13719" w:rsidRDefault="008266C0" w:rsidP="00680EC0">
            <w:pPr>
              <w:spacing w:after="0" w:line="240" w:lineRule="auto"/>
              <w:jc w:val="center"/>
              <w:rPr>
                <w:rFonts w:eastAsia="Times New Roman" w:cs="Times New Roman"/>
                <w:sz w:val="22"/>
                <w:lang w:eastAsia="en-GB"/>
              </w:rPr>
            </w:pPr>
          </w:p>
        </w:tc>
        <w:tc>
          <w:tcPr>
            <w:tcW w:w="1296" w:type="dxa"/>
            <w:tcBorders>
              <w:top w:val="single" w:sz="8" w:space="0" w:color="auto"/>
              <w:bottom w:val="single" w:sz="8" w:space="0" w:color="auto"/>
            </w:tcBorders>
            <w:shd w:val="clear" w:color="000000" w:fill="auto"/>
            <w:noWrap/>
            <w:vAlign w:val="center"/>
          </w:tcPr>
          <w:p w:rsidR="008266C0" w:rsidRPr="00A13719" w:rsidRDefault="008266C0" w:rsidP="00680EC0">
            <w:pPr>
              <w:spacing w:after="0" w:line="240" w:lineRule="auto"/>
              <w:jc w:val="center"/>
              <w:rPr>
                <w:rFonts w:eastAsia="Times New Roman" w:cs="Times New Roman"/>
                <w:sz w:val="22"/>
                <w:lang w:eastAsia="en-GB"/>
              </w:rPr>
            </w:pPr>
          </w:p>
        </w:tc>
        <w:tc>
          <w:tcPr>
            <w:tcW w:w="1201" w:type="dxa"/>
            <w:tcBorders>
              <w:top w:val="single" w:sz="8" w:space="0" w:color="auto"/>
              <w:bottom w:val="single" w:sz="8" w:space="0" w:color="auto"/>
            </w:tcBorders>
            <w:shd w:val="clear" w:color="000000" w:fill="auto"/>
            <w:noWrap/>
            <w:vAlign w:val="center"/>
          </w:tcPr>
          <w:p w:rsidR="008266C0" w:rsidRPr="00A13719" w:rsidRDefault="008266C0" w:rsidP="00680EC0">
            <w:pPr>
              <w:spacing w:after="0" w:line="240" w:lineRule="auto"/>
              <w:jc w:val="center"/>
              <w:rPr>
                <w:rFonts w:eastAsia="Times New Roman" w:cs="Times New Roman"/>
                <w:sz w:val="22"/>
                <w:lang w:eastAsia="en-GB"/>
              </w:rPr>
            </w:pPr>
          </w:p>
        </w:tc>
      </w:tr>
      <w:tr w:rsidR="00A13719" w:rsidRPr="00A13719" w:rsidTr="008266C0">
        <w:trPr>
          <w:trHeight w:val="209"/>
          <w:jc w:val="center"/>
        </w:trPr>
        <w:tc>
          <w:tcPr>
            <w:tcW w:w="3173" w:type="dxa"/>
            <w:tcBorders>
              <w:top w:val="single" w:sz="8" w:space="0" w:color="auto"/>
            </w:tcBorders>
            <w:shd w:val="clear" w:color="000000" w:fill="auto"/>
            <w:noWrap/>
            <w:vAlign w:val="bottom"/>
            <w:hideMark/>
          </w:tcPr>
          <w:p w:rsidR="008266C0" w:rsidRPr="00A13719" w:rsidRDefault="008266C0" w:rsidP="008266C0">
            <w:pPr>
              <w:spacing w:after="0" w:line="240" w:lineRule="auto"/>
              <w:rPr>
                <w:rFonts w:eastAsia="Times New Roman" w:cs="Times New Roman"/>
                <w:sz w:val="22"/>
                <w:lang w:eastAsia="en-GB"/>
              </w:rPr>
            </w:pPr>
            <w:r w:rsidRPr="00A13719">
              <w:rPr>
                <w:rFonts w:eastAsia="Times New Roman" w:cs="Times New Roman"/>
                <w:sz w:val="22"/>
                <w:lang w:eastAsia="en-GB"/>
              </w:rPr>
              <w:t>Relative Value</w:t>
            </w:r>
          </w:p>
        </w:tc>
        <w:tc>
          <w:tcPr>
            <w:tcW w:w="1296" w:type="dxa"/>
            <w:tcBorders>
              <w:top w:val="single" w:sz="8" w:space="0" w:color="auto"/>
            </w:tcBorders>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0.821%</w:t>
            </w:r>
          </w:p>
        </w:tc>
        <w:tc>
          <w:tcPr>
            <w:tcW w:w="1296" w:type="dxa"/>
            <w:tcBorders>
              <w:top w:val="single" w:sz="8" w:space="0" w:color="auto"/>
            </w:tcBorders>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1.238</w:t>
            </w:r>
          </w:p>
        </w:tc>
        <w:tc>
          <w:tcPr>
            <w:tcW w:w="1296" w:type="dxa"/>
            <w:tcBorders>
              <w:top w:val="single" w:sz="8" w:space="0" w:color="auto"/>
            </w:tcBorders>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0.211**</w:t>
            </w:r>
            <w:r w:rsidR="00391337" w:rsidRPr="00A13719">
              <w:rPr>
                <w:rFonts w:eastAsia="Times New Roman" w:cs="Times New Roman"/>
                <w:sz w:val="22"/>
                <w:lang w:eastAsia="en-GB"/>
              </w:rPr>
              <w:t>*</w:t>
            </w:r>
          </w:p>
        </w:tc>
        <w:tc>
          <w:tcPr>
            <w:tcW w:w="1201" w:type="dxa"/>
            <w:tcBorders>
              <w:top w:val="single" w:sz="8" w:space="0" w:color="auto"/>
            </w:tcBorders>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0.015</w:t>
            </w:r>
          </w:p>
        </w:tc>
      </w:tr>
      <w:tr w:rsidR="00A13719" w:rsidRPr="00A13719" w:rsidTr="008266C0">
        <w:trPr>
          <w:trHeight w:val="209"/>
          <w:jc w:val="center"/>
        </w:trPr>
        <w:tc>
          <w:tcPr>
            <w:tcW w:w="3173" w:type="dxa"/>
            <w:shd w:val="clear" w:color="000000" w:fill="auto"/>
            <w:noWrap/>
            <w:vAlign w:val="bottom"/>
            <w:hideMark/>
          </w:tcPr>
          <w:p w:rsidR="008266C0" w:rsidRPr="00A13719" w:rsidRDefault="008266C0" w:rsidP="008266C0">
            <w:pPr>
              <w:spacing w:after="0" w:line="240" w:lineRule="auto"/>
              <w:rPr>
                <w:rFonts w:eastAsia="Times New Roman" w:cs="Times New Roman"/>
                <w:sz w:val="22"/>
                <w:lang w:eastAsia="en-GB"/>
              </w:rPr>
            </w:pPr>
            <w:r w:rsidRPr="00A13719">
              <w:rPr>
                <w:rFonts w:eastAsia="Times New Roman" w:cs="Times New Roman"/>
                <w:sz w:val="22"/>
                <w:lang w:eastAsia="en-GB"/>
              </w:rPr>
              <w:t>Market Neutral</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0.525%</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0.874</w:t>
            </w:r>
          </w:p>
        </w:tc>
        <w:tc>
          <w:tcPr>
            <w:tcW w:w="1296"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0.059**</w:t>
            </w:r>
            <w:r w:rsidR="00391337" w:rsidRPr="00A13719">
              <w:rPr>
                <w:rFonts w:eastAsia="Times New Roman" w:cs="Times New Roman"/>
                <w:sz w:val="22"/>
                <w:lang w:eastAsia="en-GB"/>
              </w:rPr>
              <w:t>*</w:t>
            </w:r>
          </w:p>
        </w:tc>
        <w:tc>
          <w:tcPr>
            <w:tcW w:w="1201"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0.013</w:t>
            </w:r>
          </w:p>
        </w:tc>
      </w:tr>
      <w:tr w:rsidR="00A13719" w:rsidRPr="00A13719" w:rsidTr="008266C0">
        <w:trPr>
          <w:trHeight w:val="219"/>
          <w:jc w:val="center"/>
        </w:trPr>
        <w:tc>
          <w:tcPr>
            <w:tcW w:w="3173" w:type="dxa"/>
            <w:shd w:val="clear" w:color="000000" w:fill="auto"/>
            <w:noWrap/>
            <w:vAlign w:val="bottom"/>
            <w:hideMark/>
          </w:tcPr>
          <w:p w:rsidR="008266C0" w:rsidRPr="00A13719" w:rsidRDefault="008266C0" w:rsidP="008266C0">
            <w:pPr>
              <w:spacing w:after="0" w:line="240" w:lineRule="auto"/>
              <w:rPr>
                <w:rFonts w:eastAsia="Times New Roman" w:cs="Times New Roman"/>
                <w:iCs/>
                <w:sz w:val="22"/>
                <w:lang w:eastAsia="en-GB"/>
              </w:rPr>
            </w:pPr>
            <w:r w:rsidRPr="00A13719">
              <w:rPr>
                <w:rFonts w:eastAsia="Times New Roman" w:cs="Times New Roman"/>
                <w:iCs/>
                <w:sz w:val="22"/>
                <w:lang w:eastAsia="en-GB"/>
              </w:rPr>
              <w:t>CTAs</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1.184%</w:t>
            </w:r>
          </w:p>
        </w:tc>
        <w:tc>
          <w:tcPr>
            <w:tcW w:w="1296" w:type="dxa"/>
            <w:shd w:val="clear" w:color="000000" w:fill="auto"/>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3.415</w:t>
            </w:r>
          </w:p>
        </w:tc>
        <w:tc>
          <w:tcPr>
            <w:tcW w:w="1296"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0.048**</w:t>
            </w:r>
            <w:r w:rsidR="00391337" w:rsidRPr="00A13719">
              <w:rPr>
                <w:rFonts w:eastAsia="Times New Roman" w:cs="Times New Roman"/>
                <w:sz w:val="22"/>
                <w:lang w:eastAsia="en-GB"/>
              </w:rPr>
              <w:t>*</w:t>
            </w:r>
          </w:p>
        </w:tc>
        <w:tc>
          <w:tcPr>
            <w:tcW w:w="1201" w:type="dxa"/>
            <w:shd w:val="clear" w:color="000000" w:fill="auto"/>
            <w:noWrap/>
            <w:vAlign w:val="center"/>
            <w:hideMark/>
          </w:tcPr>
          <w:p w:rsidR="008266C0" w:rsidRPr="00A13719" w:rsidRDefault="008266C0" w:rsidP="008266C0">
            <w:pPr>
              <w:spacing w:after="0" w:line="240" w:lineRule="auto"/>
              <w:jc w:val="center"/>
              <w:rPr>
                <w:rFonts w:eastAsia="Times New Roman" w:cs="Times New Roman"/>
                <w:sz w:val="22"/>
                <w:lang w:eastAsia="en-GB"/>
              </w:rPr>
            </w:pPr>
            <w:r w:rsidRPr="00A13719">
              <w:rPr>
                <w:rFonts w:eastAsia="Times New Roman" w:cs="Times New Roman"/>
                <w:sz w:val="22"/>
                <w:lang w:eastAsia="en-GB"/>
              </w:rPr>
              <w:t>0.048</w:t>
            </w:r>
          </w:p>
        </w:tc>
      </w:tr>
    </w:tbl>
    <w:p w:rsidR="004F1B49" w:rsidRPr="00A13719" w:rsidRDefault="004F1B49" w:rsidP="004F1B49">
      <w:pPr>
        <w:rPr>
          <w:lang w:val="en-US"/>
        </w:rPr>
      </w:pPr>
      <w:bookmarkStart w:id="6" w:name="_Toc425953829"/>
    </w:p>
    <w:p w:rsidR="0027581F" w:rsidRPr="00A13719" w:rsidRDefault="00B4008F" w:rsidP="00B4008F">
      <w:pPr>
        <w:pStyle w:val="Heading2"/>
        <w:rPr>
          <w:lang w:val="en-US"/>
        </w:rPr>
      </w:pPr>
      <w:r w:rsidRPr="00A13719">
        <w:rPr>
          <w:lang w:val="en-US"/>
        </w:rPr>
        <w:t>Regime Switching Model</w:t>
      </w:r>
      <w:bookmarkEnd w:id="6"/>
    </w:p>
    <w:p w:rsidR="00981675" w:rsidRPr="00A13719" w:rsidRDefault="00981675" w:rsidP="00981675">
      <w:pPr>
        <w:jc w:val="both"/>
        <w:rPr>
          <w:lang w:val="en-US"/>
        </w:rPr>
      </w:pPr>
      <w:r w:rsidRPr="00A13719">
        <w:rPr>
          <w:lang w:val="en-US"/>
        </w:rPr>
        <w:t xml:space="preserve">From January 1990 to March 2014 there are three official business cycles. Hence the period under examination is divided </w:t>
      </w:r>
      <w:r w:rsidR="00CF5FEE" w:rsidRPr="00A13719">
        <w:rPr>
          <w:lang w:val="en-US"/>
        </w:rPr>
        <w:t>in</w:t>
      </w:r>
      <w:r w:rsidRPr="00A13719">
        <w:rPr>
          <w:lang w:val="en-US"/>
        </w:rPr>
        <w:t xml:space="preserve">to </w:t>
      </w:r>
      <w:r w:rsidR="00EE43EF" w:rsidRPr="00A13719">
        <w:rPr>
          <w:rFonts w:eastAsiaTheme="minorEastAsia"/>
        </w:rPr>
        <w:t xml:space="preserve">expansion </w:t>
      </w:r>
      <w:r w:rsidRPr="00A13719">
        <w:rPr>
          <w:lang w:val="en-US"/>
        </w:rPr>
        <w:t>periods (01/1990-07/1990, 04/1991-03/2001, 12/2001-</w:t>
      </w:r>
      <w:r w:rsidRPr="00A13719">
        <w:rPr>
          <w:lang w:val="en-US"/>
        </w:rPr>
        <w:lastRenderedPageBreak/>
        <w:t>12/2007</w:t>
      </w:r>
      <w:r w:rsidR="00D81854" w:rsidRPr="00A13719">
        <w:rPr>
          <w:lang w:val="en-US"/>
        </w:rPr>
        <w:t xml:space="preserve"> and</w:t>
      </w:r>
      <w:r w:rsidR="00110919" w:rsidRPr="00A13719">
        <w:rPr>
          <w:lang w:val="en-US"/>
        </w:rPr>
        <w:t xml:space="preserve"> 07/2009-03/2014) and</w:t>
      </w:r>
      <w:r w:rsidRPr="00A13719">
        <w:rPr>
          <w:lang w:val="en-US"/>
        </w:rPr>
        <w:t xml:space="preserve"> recession periods (08/1990-03/1991, 04/</w:t>
      </w:r>
      <w:r w:rsidR="00A7429C" w:rsidRPr="00A13719">
        <w:rPr>
          <w:lang w:val="en-US"/>
        </w:rPr>
        <w:t>2001</w:t>
      </w:r>
      <w:r w:rsidRPr="00A13719">
        <w:rPr>
          <w:lang w:val="en-US"/>
        </w:rPr>
        <w:t>-</w:t>
      </w:r>
      <w:r w:rsidR="00A7429C" w:rsidRPr="00A13719">
        <w:rPr>
          <w:lang w:val="en-US"/>
        </w:rPr>
        <w:t>11</w:t>
      </w:r>
      <w:r w:rsidRPr="00A13719">
        <w:rPr>
          <w:lang w:val="en-US"/>
        </w:rPr>
        <w:t xml:space="preserve">/2001, </w:t>
      </w:r>
      <w:r w:rsidR="00A7429C" w:rsidRPr="00A13719">
        <w:rPr>
          <w:lang w:val="en-US"/>
        </w:rPr>
        <w:t>and 01/2008-06/2009</w:t>
      </w:r>
      <w:r w:rsidRPr="00A13719">
        <w:rPr>
          <w:lang w:val="en-US"/>
        </w:rPr>
        <w:t xml:space="preserve">). </w:t>
      </w:r>
      <w:r w:rsidR="005869CE" w:rsidRPr="00A13719">
        <w:rPr>
          <w:lang w:val="en-US"/>
        </w:rPr>
        <w:t>Regarding the market regimes, w</w:t>
      </w:r>
      <w:r w:rsidR="00982378" w:rsidRPr="00A13719">
        <w:rPr>
          <w:lang w:val="en-US"/>
        </w:rPr>
        <w:t xml:space="preserve">e </w:t>
      </w:r>
      <w:r w:rsidR="00420191" w:rsidRPr="00A13719">
        <w:rPr>
          <w:lang w:val="en-US"/>
        </w:rPr>
        <w:t>perform</w:t>
      </w:r>
      <w:r w:rsidR="00982378" w:rsidRPr="00A13719">
        <w:rPr>
          <w:lang w:val="en-US"/>
        </w:rPr>
        <w:t xml:space="preserve"> a unit root test with breaks and the Augmented Dickey-Fuller t-statistic resulted in value -16.4 with p-value less than 0.01, leading us to reject the null hypothesis of a unit root. </w:t>
      </w:r>
      <w:r w:rsidR="00D428FF" w:rsidRPr="00A13719">
        <w:rPr>
          <w:lang w:val="en-US"/>
        </w:rPr>
        <w:t>W</w:t>
      </w:r>
      <w:r w:rsidR="00CF5FEE" w:rsidRPr="00A13719">
        <w:rPr>
          <w:lang w:val="en-US"/>
        </w:rPr>
        <w:t xml:space="preserve">e </w:t>
      </w:r>
      <w:r w:rsidR="00420191" w:rsidRPr="00A13719">
        <w:rPr>
          <w:lang w:val="en-US"/>
        </w:rPr>
        <w:t>implement</w:t>
      </w:r>
      <w:r w:rsidRPr="00A13719">
        <w:rPr>
          <w:lang w:val="en-US"/>
        </w:rPr>
        <w:t xml:space="preserve"> the Markov Switching </w:t>
      </w:r>
      <w:r w:rsidR="00CF5FEE" w:rsidRPr="00A13719">
        <w:rPr>
          <w:lang w:val="en-US"/>
        </w:rPr>
        <w:t>p</w:t>
      </w:r>
      <w:r w:rsidRPr="00A13719">
        <w:rPr>
          <w:lang w:val="en-US"/>
        </w:rPr>
        <w:t xml:space="preserve">rocess in order to identify the regimes (up and down) </w:t>
      </w:r>
      <w:r w:rsidR="00CF5FEE" w:rsidRPr="00A13719">
        <w:rPr>
          <w:lang w:val="en-US"/>
        </w:rPr>
        <w:t xml:space="preserve">based on the </w:t>
      </w:r>
      <w:r w:rsidRPr="00A13719">
        <w:rPr>
          <w:lang w:val="en-US"/>
        </w:rPr>
        <w:t xml:space="preserve">mean and volatility of the </w:t>
      </w:r>
      <w:r w:rsidR="00CF5FEE" w:rsidRPr="00A13719">
        <w:rPr>
          <w:lang w:val="en-US"/>
        </w:rPr>
        <w:t>W</w:t>
      </w:r>
      <w:r w:rsidRPr="00A13719">
        <w:rPr>
          <w:lang w:val="en-US"/>
        </w:rPr>
        <w:t xml:space="preserve">ilshire 5000TRI. We </w:t>
      </w:r>
      <w:r w:rsidR="00420191" w:rsidRPr="00A13719">
        <w:rPr>
          <w:lang w:val="en-US"/>
        </w:rPr>
        <w:t>examine</w:t>
      </w:r>
      <w:r w:rsidRPr="00A13719">
        <w:rPr>
          <w:lang w:val="en-US"/>
        </w:rPr>
        <w:t xml:space="preserve"> </w:t>
      </w:r>
      <w:r w:rsidR="00CF5FEE" w:rsidRPr="00A13719">
        <w:rPr>
          <w:lang w:val="en-US"/>
        </w:rPr>
        <w:t>two</w:t>
      </w:r>
      <w:r w:rsidRPr="00A13719">
        <w:rPr>
          <w:lang w:val="en-US"/>
        </w:rPr>
        <w:t xml:space="preserve"> regimes so as to compare</w:t>
      </w:r>
      <w:r w:rsidR="00A52CF2" w:rsidRPr="00A13719">
        <w:rPr>
          <w:lang w:val="en-US"/>
        </w:rPr>
        <w:t xml:space="preserve"> the two different stages with</w:t>
      </w:r>
      <w:r w:rsidRPr="00A13719">
        <w:rPr>
          <w:lang w:val="en-US"/>
        </w:rPr>
        <w:t xml:space="preserve"> business cycles. </w:t>
      </w:r>
    </w:p>
    <w:p w:rsidR="004F1B49" w:rsidRPr="00A13719" w:rsidRDefault="00990621" w:rsidP="00D45326">
      <w:pPr>
        <w:spacing w:after="0"/>
        <w:jc w:val="both"/>
        <w:rPr>
          <w:lang w:val="en-US"/>
        </w:rPr>
      </w:pPr>
      <w:r w:rsidRPr="00A13719">
        <w:rPr>
          <w:lang w:val="en-US"/>
        </w:rPr>
        <w:t>Table 2</w:t>
      </w:r>
      <w:r w:rsidR="00CF5FEE" w:rsidRPr="00A13719">
        <w:rPr>
          <w:lang w:val="en-US"/>
        </w:rPr>
        <w:t xml:space="preserve"> shows the results of the Markov Switching process. </w:t>
      </w:r>
      <w:r w:rsidR="00420191" w:rsidRPr="00A13719">
        <w:rPr>
          <w:lang w:val="en-US"/>
        </w:rPr>
        <w:t>In Panel A, b</w:t>
      </w:r>
      <w:r w:rsidR="00CF5FEE" w:rsidRPr="00A13719">
        <w:rPr>
          <w:lang w:val="en-US"/>
        </w:rPr>
        <w:t xml:space="preserve">oth up and down </w:t>
      </w:r>
      <w:r w:rsidR="00981675" w:rsidRPr="00A13719">
        <w:rPr>
          <w:lang w:val="en-US"/>
        </w:rPr>
        <w:t>regime coefficient</w:t>
      </w:r>
      <w:r w:rsidR="00CF5FEE" w:rsidRPr="00A13719">
        <w:rPr>
          <w:lang w:val="en-US"/>
        </w:rPr>
        <w:t>s</w:t>
      </w:r>
      <w:r w:rsidR="00981675" w:rsidRPr="00A13719">
        <w:rPr>
          <w:lang w:val="en-US"/>
        </w:rPr>
        <w:t xml:space="preserve"> </w:t>
      </w:r>
      <w:r w:rsidR="00CF5FEE" w:rsidRPr="00A13719">
        <w:rPr>
          <w:lang w:val="en-US"/>
        </w:rPr>
        <w:t xml:space="preserve">are highly </w:t>
      </w:r>
      <w:r w:rsidR="00981675" w:rsidRPr="00A13719">
        <w:rPr>
          <w:lang w:val="en-US"/>
        </w:rPr>
        <w:t>significant</w:t>
      </w:r>
      <w:r w:rsidR="00CF5FEE" w:rsidRPr="00A13719">
        <w:rPr>
          <w:lang w:val="en-US"/>
        </w:rPr>
        <w:t>.</w:t>
      </w:r>
      <w:r w:rsidR="00981675" w:rsidRPr="00A13719">
        <w:rPr>
          <w:lang w:val="en-US"/>
        </w:rPr>
        <w:t xml:space="preserve"> </w:t>
      </w:r>
      <w:r w:rsidR="008C6464" w:rsidRPr="00A13719">
        <w:rPr>
          <w:lang w:val="en-US"/>
        </w:rPr>
        <w:t>P</w:t>
      </w:r>
      <w:r w:rsidR="00981675" w:rsidRPr="00A13719">
        <w:rPr>
          <w:lang w:val="en-US"/>
        </w:rPr>
        <w:t>anel</w:t>
      </w:r>
      <w:r w:rsidR="00CF5FEE" w:rsidRPr="00A13719">
        <w:rPr>
          <w:lang w:val="en-US"/>
        </w:rPr>
        <w:t xml:space="preserve"> </w:t>
      </w:r>
      <w:r w:rsidR="008C6464" w:rsidRPr="00A13719">
        <w:rPr>
          <w:lang w:val="en-US"/>
        </w:rPr>
        <w:t xml:space="preserve">B </w:t>
      </w:r>
      <w:r w:rsidR="00CF5FEE" w:rsidRPr="00A13719">
        <w:rPr>
          <w:lang w:val="en-US"/>
        </w:rPr>
        <w:t>shows</w:t>
      </w:r>
      <w:r w:rsidR="00981675" w:rsidRPr="00A13719">
        <w:rPr>
          <w:lang w:val="en-US"/>
        </w:rPr>
        <w:t xml:space="preserve"> the probabilities of the transitions between the regimes. For example, if, at time t, we are in regime one (down) then the probability at time t+1, of staying in the same regime is 38.02%, whereas the probability moving to regime tw</w:t>
      </w:r>
      <w:r w:rsidR="00550730" w:rsidRPr="00A13719">
        <w:rPr>
          <w:lang w:val="en-US"/>
        </w:rPr>
        <w:t xml:space="preserve">o (up) is 61.98%. </w:t>
      </w:r>
      <w:r w:rsidR="008C6464" w:rsidRPr="00A13719">
        <w:rPr>
          <w:lang w:val="en-US"/>
        </w:rPr>
        <w:t>P</w:t>
      </w:r>
      <w:r w:rsidR="00981675" w:rsidRPr="00A13719">
        <w:rPr>
          <w:lang w:val="en-US"/>
        </w:rPr>
        <w:t>anel</w:t>
      </w:r>
      <w:r w:rsidR="00CF5FEE" w:rsidRPr="00A13719">
        <w:rPr>
          <w:lang w:val="en-US"/>
        </w:rPr>
        <w:t xml:space="preserve"> </w:t>
      </w:r>
      <w:r w:rsidR="008C6464" w:rsidRPr="00A13719">
        <w:rPr>
          <w:lang w:val="en-US"/>
        </w:rPr>
        <w:t xml:space="preserve">C </w:t>
      </w:r>
      <w:r w:rsidR="00CF5FEE" w:rsidRPr="00A13719">
        <w:rPr>
          <w:lang w:val="en-US"/>
        </w:rPr>
        <w:t xml:space="preserve">shows that </w:t>
      </w:r>
      <w:r w:rsidR="006933D8" w:rsidRPr="00A13719">
        <w:rPr>
          <w:lang w:val="en-US"/>
        </w:rPr>
        <w:t>a</w:t>
      </w:r>
      <w:r w:rsidR="00CF5FEE" w:rsidRPr="00A13719">
        <w:rPr>
          <w:lang w:val="en-US"/>
        </w:rPr>
        <w:t>n up regime could be expected to last 1</w:t>
      </w:r>
      <w:r w:rsidR="008C6464" w:rsidRPr="00A13719">
        <w:rPr>
          <w:lang w:val="en-US"/>
        </w:rPr>
        <w:t>9</w:t>
      </w:r>
      <w:r w:rsidR="00CF5FEE" w:rsidRPr="00A13719">
        <w:rPr>
          <w:lang w:val="en-US"/>
        </w:rPr>
        <w:t xml:space="preserve"> months whereas a down</w:t>
      </w:r>
      <w:r w:rsidR="006933D8" w:rsidRPr="00A13719">
        <w:rPr>
          <w:lang w:val="en-US"/>
        </w:rPr>
        <w:t xml:space="preserve"> </w:t>
      </w:r>
      <w:r w:rsidR="00CF5FEE" w:rsidRPr="00A13719">
        <w:rPr>
          <w:lang w:val="en-US"/>
        </w:rPr>
        <w:t>regime lasted on average only two months.</w:t>
      </w:r>
      <w:r w:rsidR="003A2D95" w:rsidRPr="00A13719">
        <w:rPr>
          <w:lang w:val="en-US"/>
        </w:rPr>
        <w:t xml:space="preserve"> </w:t>
      </w:r>
      <w:r w:rsidR="00AA2A22" w:rsidRPr="00A13719">
        <w:rPr>
          <w:lang w:val="en-US"/>
        </w:rPr>
        <w:t xml:space="preserve">Panel D presents the time-varying transition regime coefficients and Panel E present the time varying transition probabilities. </w:t>
      </w:r>
      <w:r w:rsidR="00D428FF" w:rsidRPr="00A13719">
        <w:rPr>
          <w:lang w:val="en-US"/>
        </w:rPr>
        <w:t>W</w:t>
      </w:r>
      <w:r w:rsidR="00783B1B" w:rsidRPr="00A13719">
        <w:rPr>
          <w:lang w:val="en-US"/>
        </w:rPr>
        <w:t>e tested for inverse roots of AR polynomials and no root lies outside the unit circle (have a modulus less than 1).</w:t>
      </w:r>
    </w:p>
    <w:p w:rsidR="00620528" w:rsidRPr="00A13719" w:rsidRDefault="00982378" w:rsidP="00C15D5B">
      <w:pPr>
        <w:spacing w:after="0" w:line="240" w:lineRule="auto"/>
        <w:jc w:val="both"/>
        <w:rPr>
          <w:lang w:val="en-US"/>
        </w:rPr>
      </w:pPr>
      <w:r w:rsidRPr="00A13719">
        <w:rPr>
          <w:lang w:val="en-US"/>
        </w:rPr>
        <w:t xml:space="preserve"> </w:t>
      </w:r>
      <w:r w:rsidR="00D96163" w:rsidRPr="00A13719">
        <w:rPr>
          <w:lang w:val="en-US"/>
        </w:rPr>
        <w:t xml:space="preserve">               </w:t>
      </w:r>
    </w:p>
    <w:p w:rsidR="00981675" w:rsidRPr="00A13719" w:rsidRDefault="00620528" w:rsidP="00620528">
      <w:pPr>
        <w:spacing w:after="0" w:line="240" w:lineRule="auto"/>
        <w:ind w:firstLine="720"/>
        <w:jc w:val="both"/>
        <w:rPr>
          <w:lang w:val="en-US"/>
        </w:rPr>
      </w:pPr>
      <w:r w:rsidRPr="00A13719">
        <w:rPr>
          <w:lang w:val="en-US"/>
        </w:rPr>
        <w:t xml:space="preserve">   </w:t>
      </w:r>
      <w:r w:rsidR="00981675" w:rsidRPr="00A13719">
        <w:rPr>
          <w:b/>
          <w:sz w:val="28"/>
          <w:szCs w:val="28"/>
          <w:lang w:val="en-US"/>
        </w:rPr>
        <w:t xml:space="preserve">Table </w:t>
      </w:r>
      <w:r w:rsidR="00990621" w:rsidRPr="00A13719">
        <w:rPr>
          <w:b/>
          <w:sz w:val="28"/>
          <w:szCs w:val="28"/>
          <w:lang w:val="en-US"/>
        </w:rPr>
        <w:t>2</w:t>
      </w:r>
      <w:r w:rsidR="00981675" w:rsidRPr="00A13719">
        <w:rPr>
          <w:b/>
          <w:sz w:val="28"/>
          <w:szCs w:val="28"/>
          <w:lang w:val="en-US"/>
        </w:rPr>
        <w:t>. Different Market Conditions</w:t>
      </w:r>
    </w:p>
    <w:p w:rsidR="00981675" w:rsidRPr="00A13719" w:rsidRDefault="00CF5FEE" w:rsidP="00D96163">
      <w:pPr>
        <w:spacing w:after="0"/>
        <w:ind w:left="900"/>
        <w:rPr>
          <w:sz w:val="18"/>
          <w:szCs w:val="18"/>
          <w:lang w:val="en-US"/>
        </w:rPr>
      </w:pPr>
      <w:r w:rsidRPr="00A13719">
        <w:rPr>
          <w:sz w:val="18"/>
          <w:szCs w:val="18"/>
          <w:lang w:val="en-US"/>
        </w:rPr>
        <w:t>T</w:t>
      </w:r>
      <w:r w:rsidR="00981675" w:rsidRPr="00A13719">
        <w:rPr>
          <w:sz w:val="18"/>
          <w:szCs w:val="18"/>
          <w:lang w:val="en-US"/>
        </w:rPr>
        <w:t>his table shows the two regimes c</w:t>
      </w:r>
      <w:r w:rsidRPr="00A13719">
        <w:rPr>
          <w:sz w:val="18"/>
          <w:szCs w:val="18"/>
          <w:lang w:val="en-US"/>
        </w:rPr>
        <w:t xml:space="preserve">alculated for </w:t>
      </w:r>
      <w:r w:rsidR="00981675" w:rsidRPr="00A13719">
        <w:rPr>
          <w:sz w:val="18"/>
          <w:szCs w:val="18"/>
          <w:lang w:val="en-US"/>
        </w:rPr>
        <w:t>the market index (Wilshire 5000TRI including</w:t>
      </w:r>
      <w:r w:rsidRPr="00A13719">
        <w:rPr>
          <w:sz w:val="18"/>
          <w:szCs w:val="18"/>
          <w:lang w:val="en-US"/>
        </w:rPr>
        <w:t xml:space="preserve"> d</w:t>
      </w:r>
      <w:r w:rsidR="00981675" w:rsidRPr="00A13719">
        <w:rPr>
          <w:sz w:val="18"/>
          <w:szCs w:val="18"/>
          <w:lang w:val="en-US"/>
        </w:rPr>
        <w:t xml:space="preserve">ividends) using </w:t>
      </w:r>
      <w:r w:rsidR="00D96163" w:rsidRPr="00A13719">
        <w:rPr>
          <w:sz w:val="18"/>
          <w:szCs w:val="18"/>
          <w:lang w:val="en-US"/>
        </w:rPr>
        <w:t xml:space="preserve">the     </w:t>
      </w:r>
      <w:r w:rsidR="00981675" w:rsidRPr="00A13719">
        <w:rPr>
          <w:sz w:val="18"/>
          <w:szCs w:val="18"/>
          <w:lang w:val="en-US"/>
        </w:rPr>
        <w:t xml:space="preserve">Markov Switching </w:t>
      </w:r>
      <w:r w:rsidRPr="00A13719">
        <w:rPr>
          <w:sz w:val="18"/>
          <w:szCs w:val="18"/>
          <w:lang w:val="en-US"/>
        </w:rPr>
        <w:t>m</w:t>
      </w:r>
      <w:r w:rsidR="00981675" w:rsidRPr="00A13719">
        <w:rPr>
          <w:sz w:val="18"/>
          <w:szCs w:val="18"/>
          <w:lang w:val="en-US"/>
        </w:rPr>
        <w:t xml:space="preserve">odel.  </w:t>
      </w:r>
      <w:r w:rsidR="00565D87" w:rsidRPr="00A13719">
        <w:rPr>
          <w:sz w:val="18"/>
          <w:szCs w:val="18"/>
          <w:lang w:val="en-US"/>
        </w:rPr>
        <w:t>The prob</w:t>
      </w:r>
      <w:r w:rsidR="00A13719" w:rsidRPr="00A13719">
        <w:rPr>
          <w:sz w:val="18"/>
          <w:szCs w:val="18"/>
          <w:lang w:val="en-US"/>
        </w:rPr>
        <w:t xml:space="preserve">ability </w:t>
      </w:r>
      <w:r w:rsidR="00565D87" w:rsidRPr="00A13719">
        <w:rPr>
          <w:sz w:val="18"/>
          <w:szCs w:val="18"/>
          <w:lang w:val="en-US"/>
        </w:rPr>
        <w:t>shows that the coefficients are stat</w:t>
      </w:r>
      <w:r w:rsidR="00F55430" w:rsidRPr="00A13719">
        <w:rPr>
          <w:sz w:val="18"/>
          <w:szCs w:val="18"/>
          <w:lang w:val="en-US"/>
        </w:rPr>
        <w:t>istically significant.</w:t>
      </w:r>
      <w:r w:rsidR="00565D87" w:rsidRPr="00A13719">
        <w:rPr>
          <w:sz w:val="18"/>
          <w:szCs w:val="18"/>
          <w:lang w:val="en-US"/>
        </w:rPr>
        <w:t xml:space="preserve"> </w:t>
      </w:r>
    </w:p>
    <w:tbl>
      <w:tblPr>
        <w:tblW w:w="7513" w:type="dxa"/>
        <w:jc w:val="center"/>
        <w:tblBorders>
          <w:top w:val="single" w:sz="8" w:space="0" w:color="auto"/>
          <w:bottom w:val="single" w:sz="8" w:space="0" w:color="auto"/>
          <w:insideH w:val="single" w:sz="8" w:space="0" w:color="auto"/>
          <w:insideV w:val="single" w:sz="8" w:space="0" w:color="auto"/>
        </w:tblBorders>
        <w:shd w:val="clear" w:color="000000" w:fill="auto"/>
        <w:tblLook w:val="04A0" w:firstRow="1" w:lastRow="0" w:firstColumn="1" w:lastColumn="0" w:noHBand="0" w:noVBand="1"/>
      </w:tblPr>
      <w:tblGrid>
        <w:gridCol w:w="3119"/>
        <w:gridCol w:w="1711"/>
        <w:gridCol w:w="1502"/>
        <w:gridCol w:w="1181"/>
      </w:tblGrid>
      <w:tr w:rsidR="00A13719" w:rsidRPr="00A13719" w:rsidTr="00620528">
        <w:trPr>
          <w:trHeight w:hRule="exact" w:val="227"/>
          <w:jc w:val="center"/>
        </w:trPr>
        <w:tc>
          <w:tcPr>
            <w:tcW w:w="7513" w:type="dxa"/>
            <w:gridSpan w:val="4"/>
            <w:tcBorders>
              <w:bottom w:val="single" w:sz="8" w:space="0" w:color="auto"/>
            </w:tcBorders>
            <w:shd w:val="clear" w:color="000000" w:fill="auto"/>
            <w:noWrap/>
            <w:vAlign w:val="center"/>
          </w:tcPr>
          <w:p w:rsidR="00596FD4" w:rsidRPr="00A13719" w:rsidRDefault="00596FD4" w:rsidP="0073366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Panel A: Regime coefficients</w:t>
            </w:r>
          </w:p>
        </w:tc>
      </w:tr>
      <w:tr w:rsidR="00A13719" w:rsidRPr="00A13719" w:rsidTr="00620528">
        <w:trPr>
          <w:trHeight w:hRule="exact" w:val="227"/>
          <w:jc w:val="center"/>
        </w:trPr>
        <w:tc>
          <w:tcPr>
            <w:tcW w:w="3119" w:type="dxa"/>
            <w:tcBorders>
              <w:bottom w:val="nil"/>
              <w:right w:val="nil"/>
            </w:tcBorders>
            <w:shd w:val="clear" w:color="000000" w:fill="auto"/>
            <w:noWrap/>
            <w:vAlign w:val="center"/>
            <w:hideMark/>
          </w:tcPr>
          <w:p w:rsidR="00596FD4" w:rsidRPr="00A13719" w:rsidRDefault="00596FD4" w:rsidP="00FE12A4">
            <w:pPr>
              <w:spacing w:after="0" w:line="240" w:lineRule="auto"/>
              <w:rPr>
                <w:rFonts w:eastAsia="Times New Roman" w:cs="Times New Roman"/>
                <w:sz w:val="20"/>
                <w:szCs w:val="20"/>
                <w:lang w:eastAsia="en-GB"/>
              </w:rPr>
            </w:pPr>
          </w:p>
        </w:tc>
        <w:tc>
          <w:tcPr>
            <w:tcW w:w="1711" w:type="dxa"/>
            <w:tcBorders>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Coefficient</w:t>
            </w:r>
          </w:p>
        </w:tc>
        <w:tc>
          <w:tcPr>
            <w:tcW w:w="1502" w:type="dxa"/>
            <w:tcBorders>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Std. Error</w:t>
            </w:r>
          </w:p>
        </w:tc>
        <w:tc>
          <w:tcPr>
            <w:tcW w:w="1181" w:type="dxa"/>
            <w:tcBorders>
              <w:left w:val="nil"/>
              <w:bottom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Prob</w:t>
            </w:r>
          </w:p>
        </w:tc>
      </w:tr>
      <w:tr w:rsidR="00A13719" w:rsidRPr="00A13719" w:rsidTr="00620528">
        <w:trPr>
          <w:trHeight w:hRule="exact" w:val="284"/>
          <w:jc w:val="center"/>
        </w:trPr>
        <w:tc>
          <w:tcPr>
            <w:tcW w:w="3119" w:type="dxa"/>
            <w:tcBorders>
              <w:top w:val="nil"/>
              <w:bottom w:val="nil"/>
              <w:right w:val="nil"/>
            </w:tcBorders>
            <w:shd w:val="clear" w:color="000000" w:fill="auto"/>
            <w:noWrap/>
            <w:vAlign w:val="center"/>
            <w:hideMark/>
          </w:tcPr>
          <w:p w:rsidR="00596FD4" w:rsidRPr="00A13719" w:rsidRDefault="00596FD4" w:rsidP="00CB4EF6">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Down regime</w:t>
            </w:r>
          </w:p>
        </w:tc>
        <w:tc>
          <w:tcPr>
            <w:tcW w:w="1711" w:type="dxa"/>
            <w:tcBorders>
              <w:top w:val="nil"/>
              <w:left w:val="nil"/>
              <w:bottom w:val="nil"/>
              <w:right w:val="nil"/>
            </w:tcBorders>
            <w:shd w:val="clear" w:color="000000" w:fill="auto"/>
            <w:noWrap/>
            <w:vAlign w:val="center"/>
          </w:tcPr>
          <w:p w:rsidR="00596FD4" w:rsidRPr="00A13719" w:rsidRDefault="00596FD4" w:rsidP="00CB4EF6">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-8.6530</w:t>
            </w:r>
          </w:p>
        </w:tc>
        <w:tc>
          <w:tcPr>
            <w:tcW w:w="1502" w:type="dxa"/>
            <w:tcBorders>
              <w:top w:val="nil"/>
              <w:left w:val="nil"/>
              <w:bottom w:val="nil"/>
              <w:right w:val="nil"/>
            </w:tcBorders>
            <w:shd w:val="clear" w:color="000000" w:fill="auto"/>
            <w:noWrap/>
            <w:vAlign w:val="center"/>
          </w:tcPr>
          <w:p w:rsidR="00596FD4" w:rsidRPr="00A13719" w:rsidRDefault="00596FD4" w:rsidP="00CB4EF6">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1.2982</w:t>
            </w:r>
          </w:p>
        </w:tc>
        <w:tc>
          <w:tcPr>
            <w:tcW w:w="1181" w:type="dxa"/>
            <w:tcBorders>
              <w:top w:val="nil"/>
              <w:left w:val="nil"/>
              <w:bottom w:val="nil"/>
            </w:tcBorders>
            <w:shd w:val="clear" w:color="000000" w:fill="auto"/>
          </w:tcPr>
          <w:p w:rsidR="00596FD4" w:rsidRPr="00A13719" w:rsidRDefault="00596FD4" w:rsidP="00CB4EF6">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0.0000</w:t>
            </w:r>
          </w:p>
        </w:tc>
      </w:tr>
      <w:tr w:rsidR="00A13719" w:rsidRPr="00A13719" w:rsidTr="00374C61">
        <w:trPr>
          <w:trHeight w:hRule="exact" w:val="284"/>
          <w:jc w:val="center"/>
        </w:trPr>
        <w:tc>
          <w:tcPr>
            <w:tcW w:w="3119" w:type="dxa"/>
            <w:tcBorders>
              <w:top w:val="nil"/>
              <w:bottom w:val="nil"/>
              <w:right w:val="nil"/>
            </w:tcBorders>
            <w:shd w:val="clear" w:color="000000" w:fill="auto"/>
            <w:noWrap/>
            <w:vAlign w:val="center"/>
          </w:tcPr>
          <w:p w:rsidR="00596FD4" w:rsidRPr="00A13719" w:rsidRDefault="00615197" w:rsidP="00CB4EF6">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 xml:space="preserve">Coef. </w:t>
            </w:r>
            <w:r w:rsidR="00C15D5B" w:rsidRPr="00A13719">
              <w:rPr>
                <w:rFonts w:eastAsia="Times New Roman" w:cs="Times New Roman"/>
                <w:sz w:val="20"/>
                <w:szCs w:val="20"/>
                <w:lang w:eastAsia="en-GB"/>
              </w:rPr>
              <w:t>Confidence i</w:t>
            </w:r>
            <w:r w:rsidR="00596FD4" w:rsidRPr="00A13719">
              <w:rPr>
                <w:rFonts w:eastAsia="Times New Roman" w:cs="Times New Roman"/>
                <w:sz w:val="20"/>
                <w:szCs w:val="20"/>
                <w:lang w:eastAsia="en-GB"/>
              </w:rPr>
              <w:t>nterval 95%</w:t>
            </w:r>
          </w:p>
        </w:tc>
        <w:tc>
          <w:tcPr>
            <w:tcW w:w="1711" w:type="dxa"/>
            <w:tcBorders>
              <w:top w:val="nil"/>
              <w:left w:val="nil"/>
              <w:bottom w:val="nil"/>
              <w:right w:val="nil"/>
            </w:tcBorders>
            <w:shd w:val="clear" w:color="000000" w:fill="auto"/>
            <w:noWrap/>
            <w:vAlign w:val="center"/>
          </w:tcPr>
          <w:p w:rsidR="00596FD4" w:rsidRPr="00A13719" w:rsidRDefault="00596FD4" w:rsidP="00CB4EF6">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Low: -11.2086</w:t>
            </w:r>
          </w:p>
        </w:tc>
        <w:tc>
          <w:tcPr>
            <w:tcW w:w="1502" w:type="dxa"/>
            <w:tcBorders>
              <w:top w:val="nil"/>
              <w:left w:val="nil"/>
              <w:bottom w:val="nil"/>
              <w:right w:val="nil"/>
            </w:tcBorders>
            <w:shd w:val="clear" w:color="000000" w:fill="auto"/>
            <w:noWrap/>
            <w:vAlign w:val="center"/>
          </w:tcPr>
          <w:p w:rsidR="00596FD4" w:rsidRPr="00A13719" w:rsidRDefault="00596FD4" w:rsidP="00CB4EF6">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High: -6.0972</w:t>
            </w:r>
          </w:p>
        </w:tc>
        <w:tc>
          <w:tcPr>
            <w:tcW w:w="1181" w:type="dxa"/>
            <w:tcBorders>
              <w:top w:val="nil"/>
              <w:left w:val="nil"/>
              <w:bottom w:val="nil"/>
            </w:tcBorders>
            <w:shd w:val="clear" w:color="000000" w:fill="auto"/>
          </w:tcPr>
          <w:p w:rsidR="00596FD4" w:rsidRPr="00A13719" w:rsidRDefault="00596FD4" w:rsidP="00CB4EF6">
            <w:pPr>
              <w:spacing w:after="0" w:line="240" w:lineRule="auto"/>
              <w:jc w:val="center"/>
              <w:rPr>
                <w:rFonts w:eastAsia="Times New Roman" w:cs="Times New Roman"/>
                <w:sz w:val="20"/>
                <w:szCs w:val="20"/>
                <w:lang w:eastAsia="en-GB"/>
              </w:rPr>
            </w:pPr>
          </w:p>
        </w:tc>
      </w:tr>
      <w:tr w:rsidR="00A13719" w:rsidRPr="00A13719" w:rsidTr="00620528">
        <w:trPr>
          <w:trHeight w:hRule="exact" w:val="284"/>
          <w:jc w:val="center"/>
        </w:trPr>
        <w:tc>
          <w:tcPr>
            <w:tcW w:w="3119" w:type="dxa"/>
            <w:tcBorders>
              <w:top w:val="nil"/>
              <w:bottom w:val="single" w:sz="8" w:space="0" w:color="auto"/>
              <w:right w:val="nil"/>
            </w:tcBorders>
            <w:shd w:val="clear" w:color="000000" w:fill="auto"/>
            <w:noWrap/>
            <w:vAlign w:val="center"/>
          </w:tcPr>
          <w:p w:rsidR="00596FD4" w:rsidRPr="00A13719" w:rsidRDefault="00615197"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 xml:space="preserve">Coef. </w:t>
            </w:r>
            <w:r w:rsidR="00C15D5B" w:rsidRPr="00A13719">
              <w:rPr>
                <w:rFonts w:eastAsia="Times New Roman" w:cs="Times New Roman"/>
                <w:sz w:val="20"/>
                <w:szCs w:val="20"/>
                <w:lang w:eastAsia="en-GB"/>
              </w:rPr>
              <w:t>Confidence interval</w:t>
            </w:r>
            <w:r w:rsidR="00596FD4" w:rsidRPr="00A13719">
              <w:rPr>
                <w:rFonts w:eastAsia="Times New Roman" w:cs="Times New Roman"/>
                <w:sz w:val="20"/>
                <w:szCs w:val="20"/>
                <w:lang w:eastAsia="en-GB"/>
              </w:rPr>
              <w:t xml:space="preserve"> 99%</w:t>
            </w:r>
          </w:p>
        </w:tc>
        <w:tc>
          <w:tcPr>
            <w:tcW w:w="1711" w:type="dxa"/>
            <w:tcBorders>
              <w:top w:val="nil"/>
              <w:left w:val="nil"/>
              <w:bottom w:val="single" w:sz="8" w:space="0" w:color="auto"/>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Low: -12.0202</w:t>
            </w:r>
          </w:p>
        </w:tc>
        <w:tc>
          <w:tcPr>
            <w:tcW w:w="1502" w:type="dxa"/>
            <w:tcBorders>
              <w:top w:val="nil"/>
              <w:left w:val="nil"/>
              <w:bottom w:val="single" w:sz="8" w:space="0" w:color="auto"/>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High: -5.2857</w:t>
            </w:r>
          </w:p>
        </w:tc>
        <w:tc>
          <w:tcPr>
            <w:tcW w:w="1181" w:type="dxa"/>
            <w:tcBorders>
              <w:top w:val="nil"/>
              <w:left w:val="nil"/>
              <w:bottom w:val="single" w:sz="8" w:space="0" w:color="auto"/>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p>
        </w:tc>
      </w:tr>
      <w:tr w:rsidR="00A13719" w:rsidRPr="00A13719" w:rsidTr="00620528">
        <w:trPr>
          <w:trHeight w:hRule="exact" w:val="227"/>
          <w:jc w:val="center"/>
        </w:trPr>
        <w:tc>
          <w:tcPr>
            <w:tcW w:w="3119" w:type="dxa"/>
            <w:tcBorders>
              <w:top w:val="single" w:sz="8" w:space="0" w:color="auto"/>
              <w:bottom w:val="nil"/>
              <w:right w:val="nil"/>
            </w:tcBorders>
            <w:shd w:val="clear" w:color="000000" w:fill="auto"/>
            <w:noWrap/>
            <w:vAlign w:val="center"/>
          </w:tcPr>
          <w:p w:rsidR="00620528" w:rsidRPr="00A13719" w:rsidRDefault="00620528" w:rsidP="00FE12A4">
            <w:pPr>
              <w:spacing w:after="0" w:line="240" w:lineRule="auto"/>
              <w:rPr>
                <w:rFonts w:eastAsia="Times New Roman" w:cs="Times New Roman"/>
                <w:sz w:val="20"/>
                <w:szCs w:val="20"/>
                <w:lang w:eastAsia="en-GB"/>
              </w:rPr>
            </w:pPr>
          </w:p>
        </w:tc>
        <w:tc>
          <w:tcPr>
            <w:tcW w:w="1711" w:type="dxa"/>
            <w:tcBorders>
              <w:top w:val="single" w:sz="8" w:space="0" w:color="auto"/>
              <w:left w:val="nil"/>
              <w:bottom w:val="nil"/>
              <w:right w:val="nil"/>
            </w:tcBorders>
            <w:shd w:val="clear" w:color="000000" w:fill="auto"/>
            <w:noWrap/>
            <w:vAlign w:val="center"/>
          </w:tcPr>
          <w:p w:rsidR="00620528" w:rsidRPr="00A13719" w:rsidRDefault="00620528"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Coefficient</w:t>
            </w:r>
          </w:p>
        </w:tc>
        <w:tc>
          <w:tcPr>
            <w:tcW w:w="1502" w:type="dxa"/>
            <w:tcBorders>
              <w:top w:val="single" w:sz="8" w:space="0" w:color="auto"/>
              <w:left w:val="nil"/>
              <w:bottom w:val="nil"/>
              <w:right w:val="nil"/>
            </w:tcBorders>
            <w:shd w:val="clear" w:color="000000" w:fill="auto"/>
            <w:noWrap/>
            <w:vAlign w:val="center"/>
          </w:tcPr>
          <w:p w:rsidR="00620528" w:rsidRPr="00A13719" w:rsidRDefault="00620528"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Std. Error</w:t>
            </w:r>
          </w:p>
        </w:tc>
        <w:tc>
          <w:tcPr>
            <w:tcW w:w="1181" w:type="dxa"/>
            <w:tcBorders>
              <w:top w:val="single" w:sz="8" w:space="0" w:color="auto"/>
              <w:left w:val="nil"/>
              <w:bottom w:val="nil"/>
            </w:tcBorders>
            <w:shd w:val="clear" w:color="000000" w:fill="auto"/>
          </w:tcPr>
          <w:p w:rsidR="00620528" w:rsidRPr="00A13719" w:rsidRDefault="00620528"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Prob</w:t>
            </w:r>
          </w:p>
        </w:tc>
      </w:tr>
      <w:tr w:rsidR="00A13719" w:rsidRPr="00A13719" w:rsidTr="00620528">
        <w:trPr>
          <w:trHeight w:hRule="exact" w:val="284"/>
          <w:jc w:val="center"/>
        </w:trPr>
        <w:tc>
          <w:tcPr>
            <w:tcW w:w="3119" w:type="dxa"/>
            <w:tcBorders>
              <w:top w:val="nil"/>
              <w:bottom w:val="nil"/>
              <w:right w:val="nil"/>
            </w:tcBorders>
            <w:shd w:val="clear" w:color="000000" w:fill="auto"/>
            <w:noWrap/>
            <w:vAlign w:val="center"/>
            <w:hideMark/>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Up regime</w:t>
            </w:r>
          </w:p>
        </w:tc>
        <w:tc>
          <w:tcPr>
            <w:tcW w:w="1711" w:type="dxa"/>
            <w:tcBorders>
              <w:top w:val="nil"/>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1.5804</w:t>
            </w:r>
          </w:p>
        </w:tc>
        <w:tc>
          <w:tcPr>
            <w:tcW w:w="1502" w:type="dxa"/>
            <w:tcBorders>
              <w:top w:val="nil"/>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0.2166</w:t>
            </w:r>
          </w:p>
        </w:tc>
        <w:tc>
          <w:tcPr>
            <w:tcW w:w="1181" w:type="dxa"/>
            <w:tcBorders>
              <w:top w:val="nil"/>
              <w:left w:val="nil"/>
              <w:bottom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0.0000</w:t>
            </w:r>
          </w:p>
        </w:tc>
      </w:tr>
      <w:tr w:rsidR="00A13719" w:rsidRPr="00A13719" w:rsidTr="00374C61">
        <w:trPr>
          <w:trHeight w:hRule="exact" w:val="284"/>
          <w:jc w:val="center"/>
        </w:trPr>
        <w:tc>
          <w:tcPr>
            <w:tcW w:w="3119" w:type="dxa"/>
            <w:tcBorders>
              <w:top w:val="nil"/>
              <w:bottom w:val="nil"/>
              <w:right w:val="nil"/>
            </w:tcBorders>
            <w:shd w:val="clear" w:color="000000" w:fill="auto"/>
            <w:noWrap/>
            <w:vAlign w:val="center"/>
          </w:tcPr>
          <w:p w:rsidR="00596FD4" w:rsidRPr="00A13719" w:rsidRDefault="00615197"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 xml:space="preserve">Coef. </w:t>
            </w:r>
            <w:r w:rsidR="00C15D5B" w:rsidRPr="00A13719">
              <w:rPr>
                <w:rFonts w:eastAsia="Times New Roman" w:cs="Times New Roman"/>
                <w:sz w:val="20"/>
                <w:szCs w:val="20"/>
                <w:lang w:eastAsia="en-GB"/>
              </w:rPr>
              <w:t>Confidence interval</w:t>
            </w:r>
            <w:r w:rsidR="00596FD4" w:rsidRPr="00A13719">
              <w:rPr>
                <w:rFonts w:eastAsia="Times New Roman" w:cs="Times New Roman"/>
                <w:sz w:val="20"/>
                <w:szCs w:val="20"/>
                <w:lang w:eastAsia="en-GB"/>
              </w:rPr>
              <w:t xml:space="preserve"> 95%</w:t>
            </w:r>
          </w:p>
        </w:tc>
        <w:tc>
          <w:tcPr>
            <w:tcW w:w="1711" w:type="dxa"/>
            <w:tcBorders>
              <w:top w:val="nil"/>
              <w:left w:val="nil"/>
              <w:bottom w:val="nil"/>
              <w:right w:val="nil"/>
            </w:tcBorders>
            <w:shd w:val="clear" w:color="000000" w:fill="auto"/>
            <w:vAlign w:val="center"/>
          </w:tcPr>
          <w:p w:rsidR="00596FD4" w:rsidRPr="00A13719" w:rsidRDefault="00596FD4" w:rsidP="00596FD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 xml:space="preserve">Low: 1.1539 </w:t>
            </w:r>
          </w:p>
        </w:tc>
        <w:tc>
          <w:tcPr>
            <w:tcW w:w="1502" w:type="dxa"/>
            <w:tcBorders>
              <w:top w:val="nil"/>
              <w:left w:val="nil"/>
              <w:bottom w:val="nil"/>
              <w:right w:val="nil"/>
            </w:tcBorders>
            <w:shd w:val="clear" w:color="000000" w:fill="auto"/>
            <w:vAlign w:val="center"/>
          </w:tcPr>
          <w:p w:rsidR="00596FD4" w:rsidRPr="00A13719" w:rsidRDefault="00596FD4" w:rsidP="00596FD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 xml:space="preserve">High: 2.0069 </w:t>
            </w:r>
          </w:p>
        </w:tc>
        <w:tc>
          <w:tcPr>
            <w:tcW w:w="1181" w:type="dxa"/>
            <w:tcBorders>
              <w:top w:val="nil"/>
              <w:left w:val="nil"/>
              <w:bottom w:val="nil"/>
            </w:tcBorders>
            <w:shd w:val="clear" w:color="000000" w:fill="auto"/>
            <w:vAlign w:val="center"/>
          </w:tcPr>
          <w:p w:rsidR="00596FD4" w:rsidRPr="00A13719" w:rsidRDefault="00596FD4" w:rsidP="00FE12A4">
            <w:pPr>
              <w:spacing w:after="0" w:line="240" w:lineRule="auto"/>
              <w:rPr>
                <w:rFonts w:eastAsia="Times New Roman" w:cs="Times New Roman"/>
                <w:sz w:val="20"/>
                <w:szCs w:val="20"/>
                <w:lang w:eastAsia="en-GB"/>
              </w:rPr>
            </w:pPr>
          </w:p>
        </w:tc>
      </w:tr>
      <w:tr w:rsidR="00A13719" w:rsidRPr="00A13719" w:rsidTr="00374C61">
        <w:trPr>
          <w:trHeight w:hRule="exact" w:val="284"/>
          <w:jc w:val="center"/>
        </w:trPr>
        <w:tc>
          <w:tcPr>
            <w:tcW w:w="3119" w:type="dxa"/>
            <w:tcBorders>
              <w:top w:val="nil"/>
              <w:right w:val="nil"/>
            </w:tcBorders>
            <w:shd w:val="clear" w:color="000000" w:fill="auto"/>
            <w:noWrap/>
            <w:vAlign w:val="center"/>
          </w:tcPr>
          <w:p w:rsidR="00596FD4" w:rsidRPr="00A13719" w:rsidRDefault="00615197"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 xml:space="preserve">Coef. </w:t>
            </w:r>
            <w:r w:rsidR="00C15D5B" w:rsidRPr="00A13719">
              <w:rPr>
                <w:rFonts w:eastAsia="Times New Roman" w:cs="Times New Roman"/>
                <w:sz w:val="20"/>
                <w:szCs w:val="20"/>
                <w:lang w:eastAsia="en-GB"/>
              </w:rPr>
              <w:t>Confidence interval</w:t>
            </w:r>
            <w:r w:rsidR="00596FD4" w:rsidRPr="00A13719">
              <w:rPr>
                <w:rFonts w:eastAsia="Times New Roman" w:cs="Times New Roman"/>
                <w:sz w:val="20"/>
                <w:szCs w:val="20"/>
                <w:lang w:eastAsia="en-GB"/>
              </w:rPr>
              <w:t xml:space="preserve"> 99%</w:t>
            </w:r>
          </w:p>
        </w:tc>
        <w:tc>
          <w:tcPr>
            <w:tcW w:w="1711" w:type="dxa"/>
            <w:tcBorders>
              <w:top w:val="nil"/>
              <w:left w:val="nil"/>
              <w:right w:val="nil"/>
            </w:tcBorders>
            <w:shd w:val="clear" w:color="000000" w:fill="auto"/>
            <w:vAlign w:val="center"/>
          </w:tcPr>
          <w:p w:rsidR="00596FD4" w:rsidRPr="00A13719" w:rsidRDefault="00596FD4" w:rsidP="00596FD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Low: 1.0185</w:t>
            </w:r>
          </w:p>
        </w:tc>
        <w:tc>
          <w:tcPr>
            <w:tcW w:w="1502" w:type="dxa"/>
            <w:tcBorders>
              <w:top w:val="nil"/>
              <w:left w:val="nil"/>
              <w:right w:val="nil"/>
            </w:tcBorders>
            <w:shd w:val="clear" w:color="000000" w:fill="auto"/>
            <w:vAlign w:val="center"/>
          </w:tcPr>
          <w:p w:rsidR="00596FD4" w:rsidRPr="00A13719" w:rsidRDefault="00596FD4" w:rsidP="00596FD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 xml:space="preserve">High: 2.1423 </w:t>
            </w:r>
          </w:p>
        </w:tc>
        <w:tc>
          <w:tcPr>
            <w:tcW w:w="1181" w:type="dxa"/>
            <w:tcBorders>
              <w:top w:val="nil"/>
              <w:left w:val="nil"/>
            </w:tcBorders>
            <w:shd w:val="clear" w:color="000000" w:fill="auto"/>
            <w:vAlign w:val="center"/>
          </w:tcPr>
          <w:p w:rsidR="00596FD4" w:rsidRPr="00A13719" w:rsidRDefault="00596FD4" w:rsidP="00FE12A4">
            <w:pPr>
              <w:spacing w:after="0" w:line="240" w:lineRule="auto"/>
              <w:rPr>
                <w:rFonts w:eastAsia="Times New Roman" w:cs="Times New Roman"/>
                <w:sz w:val="20"/>
                <w:szCs w:val="20"/>
                <w:lang w:eastAsia="en-GB"/>
              </w:rPr>
            </w:pPr>
          </w:p>
        </w:tc>
      </w:tr>
      <w:tr w:rsidR="00A13719" w:rsidRPr="00A13719" w:rsidTr="00620528">
        <w:trPr>
          <w:trHeight w:hRule="exact" w:val="227"/>
          <w:jc w:val="center"/>
        </w:trPr>
        <w:tc>
          <w:tcPr>
            <w:tcW w:w="7513" w:type="dxa"/>
            <w:gridSpan w:val="4"/>
            <w:tcBorders>
              <w:bottom w:val="single" w:sz="8" w:space="0" w:color="auto"/>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Panel B: Transition probabilities</w:t>
            </w:r>
          </w:p>
        </w:tc>
      </w:tr>
      <w:tr w:rsidR="00A13719" w:rsidRPr="00A13719" w:rsidTr="00374C61">
        <w:trPr>
          <w:trHeight w:hRule="exact" w:val="284"/>
          <w:jc w:val="center"/>
        </w:trPr>
        <w:tc>
          <w:tcPr>
            <w:tcW w:w="3119" w:type="dxa"/>
            <w:tcBorders>
              <w:bottom w:val="nil"/>
              <w:right w:val="nil"/>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p>
        </w:tc>
        <w:tc>
          <w:tcPr>
            <w:tcW w:w="1711" w:type="dxa"/>
            <w:tcBorders>
              <w:left w:val="nil"/>
              <w:bottom w:val="nil"/>
              <w:right w:val="nil"/>
            </w:tcBorders>
            <w:shd w:val="clear" w:color="000000" w:fill="auto"/>
            <w:noWrap/>
            <w:vAlign w:val="center"/>
            <w:hideMark/>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Down</w:t>
            </w:r>
          </w:p>
        </w:tc>
        <w:tc>
          <w:tcPr>
            <w:tcW w:w="1502" w:type="dxa"/>
            <w:tcBorders>
              <w:left w:val="nil"/>
              <w:bottom w:val="nil"/>
              <w:right w:val="nil"/>
            </w:tcBorders>
            <w:shd w:val="clear" w:color="000000" w:fill="auto"/>
            <w:noWrap/>
            <w:vAlign w:val="center"/>
            <w:hideMark/>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Up</w:t>
            </w:r>
          </w:p>
        </w:tc>
        <w:tc>
          <w:tcPr>
            <w:tcW w:w="1181" w:type="dxa"/>
            <w:tcBorders>
              <w:left w:val="nil"/>
              <w:bottom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p>
        </w:tc>
      </w:tr>
      <w:tr w:rsidR="00A13719" w:rsidRPr="00A13719" w:rsidTr="00374C61">
        <w:trPr>
          <w:trHeight w:hRule="exact" w:val="284"/>
          <w:jc w:val="center"/>
        </w:trPr>
        <w:tc>
          <w:tcPr>
            <w:tcW w:w="3119" w:type="dxa"/>
            <w:tcBorders>
              <w:top w:val="nil"/>
              <w:bottom w:val="nil"/>
              <w:right w:val="nil"/>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Down regime</w:t>
            </w:r>
          </w:p>
        </w:tc>
        <w:tc>
          <w:tcPr>
            <w:tcW w:w="1711" w:type="dxa"/>
            <w:tcBorders>
              <w:top w:val="nil"/>
              <w:left w:val="nil"/>
              <w:bottom w:val="nil"/>
              <w:right w:val="nil"/>
            </w:tcBorders>
            <w:shd w:val="clear" w:color="000000" w:fill="auto"/>
            <w:noWrap/>
            <w:vAlign w:val="center"/>
            <w:hideMark/>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0.3802</w:t>
            </w:r>
          </w:p>
        </w:tc>
        <w:tc>
          <w:tcPr>
            <w:tcW w:w="1502" w:type="dxa"/>
            <w:tcBorders>
              <w:top w:val="nil"/>
              <w:left w:val="nil"/>
              <w:bottom w:val="nil"/>
              <w:right w:val="nil"/>
            </w:tcBorders>
            <w:shd w:val="clear" w:color="000000" w:fill="auto"/>
            <w:noWrap/>
            <w:vAlign w:val="center"/>
            <w:hideMark/>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0.6198</w:t>
            </w:r>
          </w:p>
        </w:tc>
        <w:tc>
          <w:tcPr>
            <w:tcW w:w="1181" w:type="dxa"/>
            <w:tcBorders>
              <w:top w:val="nil"/>
              <w:left w:val="nil"/>
              <w:bottom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p>
        </w:tc>
      </w:tr>
      <w:tr w:rsidR="00A13719" w:rsidRPr="00A13719" w:rsidTr="00374C61">
        <w:trPr>
          <w:trHeight w:hRule="exact" w:val="284"/>
          <w:jc w:val="center"/>
        </w:trPr>
        <w:tc>
          <w:tcPr>
            <w:tcW w:w="3119" w:type="dxa"/>
            <w:tcBorders>
              <w:top w:val="nil"/>
              <w:right w:val="nil"/>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Up regime</w:t>
            </w:r>
          </w:p>
        </w:tc>
        <w:tc>
          <w:tcPr>
            <w:tcW w:w="1711" w:type="dxa"/>
            <w:tcBorders>
              <w:top w:val="nil"/>
              <w:left w:val="nil"/>
              <w:right w:val="nil"/>
            </w:tcBorders>
            <w:shd w:val="clear" w:color="000000" w:fill="auto"/>
            <w:noWrap/>
            <w:vAlign w:val="center"/>
            <w:hideMark/>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0.0532</w:t>
            </w:r>
          </w:p>
        </w:tc>
        <w:tc>
          <w:tcPr>
            <w:tcW w:w="1502" w:type="dxa"/>
            <w:tcBorders>
              <w:top w:val="nil"/>
              <w:left w:val="nil"/>
              <w:right w:val="nil"/>
            </w:tcBorders>
            <w:shd w:val="clear" w:color="000000" w:fill="auto"/>
            <w:noWrap/>
            <w:vAlign w:val="center"/>
            <w:hideMark/>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0.9468</w:t>
            </w:r>
          </w:p>
        </w:tc>
        <w:tc>
          <w:tcPr>
            <w:tcW w:w="1181" w:type="dxa"/>
            <w:tcBorders>
              <w:top w:val="nil"/>
              <w:left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p>
        </w:tc>
      </w:tr>
      <w:tr w:rsidR="00A13719" w:rsidRPr="00A13719" w:rsidTr="00620528">
        <w:trPr>
          <w:trHeight w:hRule="exact" w:val="227"/>
          <w:jc w:val="center"/>
        </w:trPr>
        <w:tc>
          <w:tcPr>
            <w:tcW w:w="3119" w:type="dxa"/>
            <w:tcBorders>
              <w:bottom w:val="single" w:sz="8" w:space="0" w:color="auto"/>
              <w:right w:val="nil"/>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Panel C: Regime duration</w:t>
            </w:r>
          </w:p>
        </w:tc>
        <w:tc>
          <w:tcPr>
            <w:tcW w:w="1711" w:type="dxa"/>
            <w:tcBorders>
              <w:left w:val="nil"/>
              <w:bottom w:val="single" w:sz="8" w:space="0" w:color="auto"/>
              <w:right w:val="nil"/>
            </w:tcBorders>
            <w:shd w:val="clear" w:color="000000" w:fill="auto"/>
            <w:vAlign w:val="center"/>
          </w:tcPr>
          <w:p w:rsidR="00596FD4" w:rsidRPr="00A13719" w:rsidRDefault="00596FD4" w:rsidP="00FE12A4">
            <w:pPr>
              <w:spacing w:after="0" w:line="240" w:lineRule="auto"/>
              <w:rPr>
                <w:rFonts w:eastAsia="Times New Roman" w:cs="Times New Roman"/>
                <w:sz w:val="20"/>
                <w:szCs w:val="20"/>
                <w:lang w:eastAsia="en-GB"/>
              </w:rPr>
            </w:pPr>
          </w:p>
        </w:tc>
        <w:tc>
          <w:tcPr>
            <w:tcW w:w="1502" w:type="dxa"/>
            <w:tcBorders>
              <w:left w:val="nil"/>
              <w:bottom w:val="single" w:sz="8" w:space="0" w:color="auto"/>
              <w:right w:val="nil"/>
            </w:tcBorders>
            <w:shd w:val="clear" w:color="000000" w:fill="auto"/>
            <w:vAlign w:val="center"/>
          </w:tcPr>
          <w:p w:rsidR="00596FD4" w:rsidRPr="00A13719" w:rsidRDefault="00596FD4" w:rsidP="00FE12A4">
            <w:pPr>
              <w:spacing w:after="0" w:line="240" w:lineRule="auto"/>
              <w:rPr>
                <w:rFonts w:eastAsia="Times New Roman" w:cs="Times New Roman"/>
                <w:sz w:val="20"/>
                <w:szCs w:val="20"/>
                <w:lang w:eastAsia="en-GB"/>
              </w:rPr>
            </w:pPr>
          </w:p>
        </w:tc>
        <w:tc>
          <w:tcPr>
            <w:tcW w:w="1181" w:type="dxa"/>
            <w:tcBorders>
              <w:left w:val="nil"/>
              <w:bottom w:val="single" w:sz="8" w:space="0" w:color="auto"/>
            </w:tcBorders>
            <w:shd w:val="clear" w:color="000000" w:fill="auto"/>
            <w:vAlign w:val="center"/>
          </w:tcPr>
          <w:p w:rsidR="00596FD4" w:rsidRPr="00A13719" w:rsidRDefault="00596FD4" w:rsidP="00FE12A4">
            <w:pPr>
              <w:spacing w:after="0" w:line="240" w:lineRule="auto"/>
              <w:rPr>
                <w:rFonts w:eastAsia="Times New Roman" w:cs="Times New Roman"/>
                <w:sz w:val="20"/>
                <w:szCs w:val="20"/>
                <w:lang w:eastAsia="en-GB"/>
              </w:rPr>
            </w:pPr>
          </w:p>
        </w:tc>
      </w:tr>
      <w:tr w:rsidR="00A13719" w:rsidRPr="00A13719" w:rsidTr="00374C61">
        <w:trPr>
          <w:trHeight w:hRule="exact" w:val="284"/>
          <w:jc w:val="center"/>
        </w:trPr>
        <w:tc>
          <w:tcPr>
            <w:tcW w:w="3119" w:type="dxa"/>
            <w:tcBorders>
              <w:bottom w:val="nil"/>
              <w:right w:val="nil"/>
            </w:tcBorders>
            <w:shd w:val="clear" w:color="000000" w:fill="auto"/>
            <w:noWrap/>
            <w:vAlign w:val="center"/>
            <w:hideMark/>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Constant expected durations:</w:t>
            </w:r>
          </w:p>
        </w:tc>
        <w:tc>
          <w:tcPr>
            <w:tcW w:w="1711" w:type="dxa"/>
            <w:tcBorders>
              <w:left w:val="nil"/>
              <w:bottom w:val="nil"/>
              <w:right w:val="nil"/>
            </w:tcBorders>
            <w:shd w:val="clear" w:color="000000" w:fill="auto"/>
            <w:noWrap/>
            <w:vAlign w:val="center"/>
            <w:hideMark/>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Down</w:t>
            </w:r>
          </w:p>
        </w:tc>
        <w:tc>
          <w:tcPr>
            <w:tcW w:w="1502" w:type="dxa"/>
            <w:tcBorders>
              <w:left w:val="nil"/>
              <w:bottom w:val="nil"/>
              <w:right w:val="nil"/>
            </w:tcBorders>
            <w:shd w:val="clear" w:color="000000" w:fill="auto"/>
            <w:noWrap/>
            <w:vAlign w:val="center"/>
            <w:hideMark/>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Up</w:t>
            </w:r>
          </w:p>
        </w:tc>
        <w:tc>
          <w:tcPr>
            <w:tcW w:w="1181" w:type="dxa"/>
            <w:tcBorders>
              <w:left w:val="nil"/>
              <w:bottom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p>
        </w:tc>
      </w:tr>
      <w:tr w:rsidR="00A13719" w:rsidRPr="00A13719" w:rsidTr="00374C61">
        <w:trPr>
          <w:trHeight w:hRule="exact" w:val="227"/>
          <w:jc w:val="center"/>
        </w:trPr>
        <w:tc>
          <w:tcPr>
            <w:tcW w:w="3119" w:type="dxa"/>
            <w:tcBorders>
              <w:top w:val="nil"/>
              <w:right w:val="nil"/>
            </w:tcBorders>
            <w:shd w:val="clear" w:color="000000" w:fill="auto"/>
            <w:noWrap/>
            <w:vAlign w:val="center"/>
            <w:hideMark/>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 </w:t>
            </w:r>
          </w:p>
        </w:tc>
        <w:tc>
          <w:tcPr>
            <w:tcW w:w="1711" w:type="dxa"/>
            <w:tcBorders>
              <w:top w:val="nil"/>
              <w:left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1.6135</w:t>
            </w:r>
          </w:p>
        </w:tc>
        <w:tc>
          <w:tcPr>
            <w:tcW w:w="1502" w:type="dxa"/>
            <w:tcBorders>
              <w:top w:val="nil"/>
              <w:left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18.7934</w:t>
            </w:r>
          </w:p>
        </w:tc>
        <w:tc>
          <w:tcPr>
            <w:tcW w:w="1181" w:type="dxa"/>
            <w:tcBorders>
              <w:top w:val="nil"/>
              <w:left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p>
        </w:tc>
      </w:tr>
      <w:tr w:rsidR="00A13719" w:rsidRPr="00A13719" w:rsidTr="00620528">
        <w:trPr>
          <w:trHeight w:hRule="exact" w:val="227"/>
          <w:jc w:val="center"/>
        </w:trPr>
        <w:tc>
          <w:tcPr>
            <w:tcW w:w="7513" w:type="dxa"/>
            <w:gridSpan w:val="4"/>
            <w:tcBorders>
              <w:bottom w:val="single" w:sz="8" w:space="0" w:color="auto"/>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Panel D: Regime Coefficients, Time-Varying Transitions</w:t>
            </w:r>
          </w:p>
        </w:tc>
      </w:tr>
      <w:tr w:rsidR="00A13719" w:rsidRPr="00A13719" w:rsidTr="00620528">
        <w:trPr>
          <w:trHeight w:hRule="exact" w:val="284"/>
          <w:jc w:val="center"/>
        </w:trPr>
        <w:tc>
          <w:tcPr>
            <w:tcW w:w="3119" w:type="dxa"/>
            <w:tcBorders>
              <w:bottom w:val="nil"/>
              <w:right w:val="nil"/>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p>
        </w:tc>
        <w:tc>
          <w:tcPr>
            <w:tcW w:w="1711" w:type="dxa"/>
            <w:tcBorders>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Coefficient</w:t>
            </w:r>
          </w:p>
        </w:tc>
        <w:tc>
          <w:tcPr>
            <w:tcW w:w="1502" w:type="dxa"/>
            <w:tcBorders>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Std. Error</w:t>
            </w:r>
          </w:p>
        </w:tc>
        <w:tc>
          <w:tcPr>
            <w:tcW w:w="1181" w:type="dxa"/>
            <w:tcBorders>
              <w:left w:val="nil"/>
              <w:bottom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Prob</w:t>
            </w:r>
          </w:p>
        </w:tc>
      </w:tr>
      <w:tr w:rsidR="00A13719" w:rsidRPr="00A13719" w:rsidTr="00620528">
        <w:trPr>
          <w:trHeight w:hRule="exact" w:val="284"/>
          <w:jc w:val="center"/>
        </w:trPr>
        <w:tc>
          <w:tcPr>
            <w:tcW w:w="3119" w:type="dxa"/>
            <w:tcBorders>
              <w:top w:val="nil"/>
              <w:bottom w:val="nil"/>
              <w:right w:val="nil"/>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 xml:space="preserve">Down </w:t>
            </w:r>
          </w:p>
          <w:p w:rsidR="00596FD4" w:rsidRPr="00A13719" w:rsidRDefault="00596FD4" w:rsidP="00FE12A4">
            <w:pPr>
              <w:spacing w:after="0" w:line="240" w:lineRule="auto"/>
              <w:rPr>
                <w:rFonts w:eastAsia="Times New Roman" w:cs="Times New Roman"/>
                <w:sz w:val="20"/>
                <w:szCs w:val="20"/>
                <w:lang w:eastAsia="en-GB"/>
              </w:rPr>
            </w:pPr>
          </w:p>
        </w:tc>
        <w:tc>
          <w:tcPr>
            <w:tcW w:w="1711" w:type="dxa"/>
            <w:tcBorders>
              <w:top w:val="nil"/>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-9.7269</w:t>
            </w:r>
          </w:p>
        </w:tc>
        <w:tc>
          <w:tcPr>
            <w:tcW w:w="1502" w:type="dxa"/>
            <w:tcBorders>
              <w:top w:val="nil"/>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1.2989</w:t>
            </w:r>
          </w:p>
        </w:tc>
        <w:tc>
          <w:tcPr>
            <w:tcW w:w="1181" w:type="dxa"/>
            <w:tcBorders>
              <w:top w:val="nil"/>
              <w:left w:val="nil"/>
              <w:bottom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0.0000</w:t>
            </w:r>
          </w:p>
        </w:tc>
      </w:tr>
      <w:tr w:rsidR="00A13719" w:rsidRPr="00A13719" w:rsidTr="00374C61">
        <w:trPr>
          <w:trHeight w:hRule="exact" w:val="284"/>
          <w:jc w:val="center"/>
        </w:trPr>
        <w:tc>
          <w:tcPr>
            <w:tcW w:w="3119" w:type="dxa"/>
            <w:tcBorders>
              <w:top w:val="nil"/>
              <w:bottom w:val="nil"/>
              <w:right w:val="nil"/>
            </w:tcBorders>
            <w:shd w:val="clear" w:color="000000" w:fill="auto"/>
            <w:noWrap/>
            <w:vAlign w:val="center"/>
          </w:tcPr>
          <w:p w:rsidR="00C15D5B" w:rsidRPr="00A13719" w:rsidRDefault="00615197" w:rsidP="00C15D5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 xml:space="preserve">Coef. </w:t>
            </w:r>
            <w:r w:rsidR="00C15D5B" w:rsidRPr="00A13719">
              <w:rPr>
                <w:rFonts w:eastAsia="Times New Roman" w:cs="Times New Roman"/>
                <w:sz w:val="20"/>
                <w:szCs w:val="20"/>
                <w:lang w:eastAsia="en-GB"/>
              </w:rPr>
              <w:t>Confidence interval 95%</w:t>
            </w:r>
          </w:p>
        </w:tc>
        <w:tc>
          <w:tcPr>
            <w:tcW w:w="1711" w:type="dxa"/>
            <w:tcBorders>
              <w:top w:val="nil"/>
              <w:left w:val="nil"/>
              <w:bottom w:val="nil"/>
              <w:right w:val="nil"/>
            </w:tcBorders>
            <w:shd w:val="clear" w:color="000000" w:fill="auto"/>
            <w:noWrap/>
            <w:vAlign w:val="center"/>
          </w:tcPr>
          <w:p w:rsidR="00C15D5B" w:rsidRPr="00A13719" w:rsidRDefault="00C15D5B"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Low:-12.284</w:t>
            </w:r>
          </w:p>
        </w:tc>
        <w:tc>
          <w:tcPr>
            <w:tcW w:w="1502" w:type="dxa"/>
            <w:tcBorders>
              <w:top w:val="nil"/>
              <w:left w:val="nil"/>
              <w:bottom w:val="nil"/>
              <w:right w:val="nil"/>
            </w:tcBorders>
            <w:shd w:val="clear" w:color="000000" w:fill="auto"/>
            <w:noWrap/>
            <w:vAlign w:val="center"/>
          </w:tcPr>
          <w:p w:rsidR="00C15D5B" w:rsidRPr="00A13719" w:rsidRDefault="00C15D5B"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High:-7.169</w:t>
            </w:r>
          </w:p>
        </w:tc>
        <w:tc>
          <w:tcPr>
            <w:tcW w:w="1181" w:type="dxa"/>
            <w:tcBorders>
              <w:top w:val="nil"/>
              <w:left w:val="nil"/>
              <w:bottom w:val="nil"/>
            </w:tcBorders>
            <w:shd w:val="clear" w:color="000000" w:fill="auto"/>
          </w:tcPr>
          <w:p w:rsidR="00C15D5B" w:rsidRPr="00A13719" w:rsidRDefault="00C15D5B" w:rsidP="00C15D5B">
            <w:pPr>
              <w:spacing w:after="0" w:line="240" w:lineRule="auto"/>
              <w:jc w:val="center"/>
              <w:rPr>
                <w:rFonts w:eastAsia="Times New Roman" w:cs="Times New Roman"/>
                <w:sz w:val="20"/>
                <w:szCs w:val="20"/>
                <w:lang w:eastAsia="en-GB"/>
              </w:rPr>
            </w:pPr>
          </w:p>
        </w:tc>
      </w:tr>
      <w:tr w:rsidR="00A13719" w:rsidRPr="00A13719" w:rsidTr="00620528">
        <w:trPr>
          <w:trHeight w:hRule="exact" w:val="284"/>
          <w:jc w:val="center"/>
        </w:trPr>
        <w:tc>
          <w:tcPr>
            <w:tcW w:w="3119" w:type="dxa"/>
            <w:tcBorders>
              <w:top w:val="nil"/>
              <w:bottom w:val="single" w:sz="8" w:space="0" w:color="auto"/>
              <w:right w:val="nil"/>
            </w:tcBorders>
            <w:shd w:val="clear" w:color="000000" w:fill="auto"/>
            <w:noWrap/>
            <w:vAlign w:val="center"/>
          </w:tcPr>
          <w:p w:rsidR="00C15D5B" w:rsidRPr="00A13719" w:rsidRDefault="00615197" w:rsidP="00C15D5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 xml:space="preserve">Coef. </w:t>
            </w:r>
            <w:r w:rsidR="00C15D5B" w:rsidRPr="00A13719">
              <w:rPr>
                <w:rFonts w:eastAsia="Times New Roman" w:cs="Times New Roman"/>
                <w:sz w:val="20"/>
                <w:szCs w:val="20"/>
                <w:lang w:eastAsia="en-GB"/>
              </w:rPr>
              <w:t>Confidence interval 99%</w:t>
            </w:r>
          </w:p>
        </w:tc>
        <w:tc>
          <w:tcPr>
            <w:tcW w:w="1711" w:type="dxa"/>
            <w:tcBorders>
              <w:top w:val="nil"/>
              <w:left w:val="nil"/>
              <w:bottom w:val="single" w:sz="8" w:space="0" w:color="auto"/>
              <w:right w:val="nil"/>
            </w:tcBorders>
            <w:shd w:val="clear" w:color="000000" w:fill="auto"/>
            <w:noWrap/>
            <w:vAlign w:val="center"/>
          </w:tcPr>
          <w:p w:rsidR="00C15D5B" w:rsidRPr="00A13719" w:rsidRDefault="00C15D5B"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Low:-13.096</w:t>
            </w:r>
          </w:p>
        </w:tc>
        <w:tc>
          <w:tcPr>
            <w:tcW w:w="1502" w:type="dxa"/>
            <w:tcBorders>
              <w:top w:val="nil"/>
              <w:left w:val="nil"/>
              <w:bottom w:val="single" w:sz="8" w:space="0" w:color="auto"/>
              <w:right w:val="nil"/>
            </w:tcBorders>
            <w:shd w:val="clear" w:color="000000" w:fill="auto"/>
            <w:noWrap/>
            <w:vAlign w:val="center"/>
          </w:tcPr>
          <w:p w:rsidR="00C15D5B" w:rsidRPr="00A13719" w:rsidRDefault="00C15D5B"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High:-6.358</w:t>
            </w:r>
          </w:p>
        </w:tc>
        <w:tc>
          <w:tcPr>
            <w:tcW w:w="1181" w:type="dxa"/>
            <w:tcBorders>
              <w:top w:val="nil"/>
              <w:left w:val="nil"/>
              <w:bottom w:val="single" w:sz="8" w:space="0" w:color="auto"/>
            </w:tcBorders>
            <w:shd w:val="clear" w:color="000000" w:fill="auto"/>
          </w:tcPr>
          <w:p w:rsidR="00C15D5B" w:rsidRPr="00A13719" w:rsidRDefault="00C15D5B" w:rsidP="00C15D5B">
            <w:pPr>
              <w:spacing w:after="0" w:line="240" w:lineRule="auto"/>
              <w:jc w:val="center"/>
              <w:rPr>
                <w:rFonts w:eastAsia="Times New Roman" w:cs="Times New Roman"/>
                <w:sz w:val="20"/>
                <w:szCs w:val="20"/>
                <w:lang w:eastAsia="en-GB"/>
              </w:rPr>
            </w:pPr>
          </w:p>
        </w:tc>
      </w:tr>
      <w:tr w:rsidR="00A13719" w:rsidRPr="00A13719" w:rsidTr="00620528">
        <w:trPr>
          <w:trHeight w:hRule="exact" w:val="284"/>
          <w:jc w:val="center"/>
        </w:trPr>
        <w:tc>
          <w:tcPr>
            <w:tcW w:w="3119" w:type="dxa"/>
            <w:tcBorders>
              <w:top w:val="single" w:sz="8" w:space="0" w:color="auto"/>
              <w:bottom w:val="nil"/>
              <w:right w:val="nil"/>
            </w:tcBorders>
            <w:shd w:val="clear" w:color="000000" w:fill="auto"/>
            <w:noWrap/>
            <w:vAlign w:val="center"/>
          </w:tcPr>
          <w:p w:rsidR="00620528" w:rsidRPr="00A13719" w:rsidRDefault="00620528" w:rsidP="00C15D5B">
            <w:pPr>
              <w:spacing w:after="0" w:line="240" w:lineRule="auto"/>
              <w:rPr>
                <w:rFonts w:eastAsia="Times New Roman" w:cs="Times New Roman"/>
                <w:sz w:val="20"/>
                <w:szCs w:val="20"/>
                <w:lang w:eastAsia="en-GB"/>
              </w:rPr>
            </w:pPr>
          </w:p>
        </w:tc>
        <w:tc>
          <w:tcPr>
            <w:tcW w:w="1711" w:type="dxa"/>
            <w:tcBorders>
              <w:top w:val="single" w:sz="8" w:space="0" w:color="auto"/>
              <w:left w:val="nil"/>
              <w:bottom w:val="nil"/>
              <w:right w:val="nil"/>
            </w:tcBorders>
            <w:shd w:val="clear" w:color="000000" w:fill="auto"/>
            <w:noWrap/>
            <w:vAlign w:val="center"/>
          </w:tcPr>
          <w:p w:rsidR="00620528" w:rsidRPr="00A13719" w:rsidRDefault="00620528"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Coefficient</w:t>
            </w:r>
          </w:p>
        </w:tc>
        <w:tc>
          <w:tcPr>
            <w:tcW w:w="1502" w:type="dxa"/>
            <w:tcBorders>
              <w:top w:val="single" w:sz="8" w:space="0" w:color="auto"/>
              <w:left w:val="nil"/>
              <w:bottom w:val="nil"/>
              <w:right w:val="nil"/>
            </w:tcBorders>
            <w:shd w:val="clear" w:color="000000" w:fill="auto"/>
            <w:noWrap/>
            <w:vAlign w:val="center"/>
          </w:tcPr>
          <w:p w:rsidR="00620528" w:rsidRPr="00A13719" w:rsidRDefault="00620528"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Std. Error</w:t>
            </w:r>
          </w:p>
        </w:tc>
        <w:tc>
          <w:tcPr>
            <w:tcW w:w="1181" w:type="dxa"/>
            <w:tcBorders>
              <w:top w:val="single" w:sz="8" w:space="0" w:color="auto"/>
              <w:left w:val="nil"/>
              <w:bottom w:val="nil"/>
            </w:tcBorders>
            <w:shd w:val="clear" w:color="000000" w:fill="auto"/>
          </w:tcPr>
          <w:p w:rsidR="00620528" w:rsidRPr="00A13719" w:rsidRDefault="00620528"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Prob</w:t>
            </w:r>
          </w:p>
        </w:tc>
      </w:tr>
      <w:tr w:rsidR="00A13719" w:rsidRPr="00A13719" w:rsidTr="00620528">
        <w:trPr>
          <w:trHeight w:hRule="exact" w:val="284"/>
          <w:jc w:val="center"/>
        </w:trPr>
        <w:tc>
          <w:tcPr>
            <w:tcW w:w="3119" w:type="dxa"/>
            <w:tcBorders>
              <w:top w:val="nil"/>
              <w:bottom w:val="nil"/>
              <w:right w:val="nil"/>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Up</w:t>
            </w:r>
          </w:p>
        </w:tc>
        <w:tc>
          <w:tcPr>
            <w:tcW w:w="1711" w:type="dxa"/>
            <w:tcBorders>
              <w:top w:val="nil"/>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1.2911</w:t>
            </w:r>
          </w:p>
        </w:tc>
        <w:tc>
          <w:tcPr>
            <w:tcW w:w="1502" w:type="dxa"/>
            <w:tcBorders>
              <w:top w:val="nil"/>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0.2162</w:t>
            </w:r>
          </w:p>
        </w:tc>
        <w:tc>
          <w:tcPr>
            <w:tcW w:w="1181" w:type="dxa"/>
            <w:tcBorders>
              <w:top w:val="nil"/>
              <w:left w:val="nil"/>
              <w:bottom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0.0000</w:t>
            </w:r>
          </w:p>
        </w:tc>
      </w:tr>
      <w:tr w:rsidR="00A13719" w:rsidRPr="00A13719" w:rsidTr="00374C61">
        <w:trPr>
          <w:trHeight w:hRule="exact" w:val="284"/>
          <w:jc w:val="center"/>
        </w:trPr>
        <w:tc>
          <w:tcPr>
            <w:tcW w:w="3119" w:type="dxa"/>
            <w:tcBorders>
              <w:top w:val="nil"/>
              <w:bottom w:val="nil"/>
              <w:right w:val="nil"/>
            </w:tcBorders>
            <w:shd w:val="clear" w:color="000000" w:fill="auto"/>
            <w:noWrap/>
            <w:vAlign w:val="center"/>
          </w:tcPr>
          <w:p w:rsidR="00C15D5B" w:rsidRPr="00A13719" w:rsidRDefault="00615197" w:rsidP="00C15D5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 xml:space="preserve">Coef. </w:t>
            </w:r>
            <w:r w:rsidR="00C15D5B" w:rsidRPr="00A13719">
              <w:rPr>
                <w:rFonts w:eastAsia="Times New Roman" w:cs="Times New Roman"/>
                <w:sz w:val="20"/>
                <w:szCs w:val="20"/>
                <w:lang w:eastAsia="en-GB"/>
              </w:rPr>
              <w:t>Confidence interval 95%</w:t>
            </w:r>
          </w:p>
        </w:tc>
        <w:tc>
          <w:tcPr>
            <w:tcW w:w="1711" w:type="dxa"/>
            <w:tcBorders>
              <w:top w:val="nil"/>
              <w:left w:val="nil"/>
              <w:bottom w:val="nil"/>
              <w:right w:val="nil"/>
            </w:tcBorders>
            <w:shd w:val="clear" w:color="000000" w:fill="auto"/>
            <w:noWrap/>
            <w:vAlign w:val="center"/>
          </w:tcPr>
          <w:p w:rsidR="00C15D5B" w:rsidRPr="00A13719" w:rsidRDefault="00C15D5B"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Low:0.865</w:t>
            </w:r>
          </w:p>
        </w:tc>
        <w:tc>
          <w:tcPr>
            <w:tcW w:w="1502" w:type="dxa"/>
            <w:tcBorders>
              <w:top w:val="nil"/>
              <w:left w:val="nil"/>
              <w:bottom w:val="nil"/>
              <w:right w:val="nil"/>
            </w:tcBorders>
            <w:shd w:val="clear" w:color="000000" w:fill="auto"/>
            <w:noWrap/>
            <w:vAlign w:val="center"/>
          </w:tcPr>
          <w:p w:rsidR="00C15D5B" w:rsidRPr="00A13719" w:rsidRDefault="00C15D5B"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High:1.717</w:t>
            </w:r>
          </w:p>
        </w:tc>
        <w:tc>
          <w:tcPr>
            <w:tcW w:w="1181" w:type="dxa"/>
            <w:tcBorders>
              <w:top w:val="nil"/>
              <w:left w:val="nil"/>
              <w:bottom w:val="nil"/>
            </w:tcBorders>
            <w:shd w:val="clear" w:color="000000" w:fill="auto"/>
          </w:tcPr>
          <w:p w:rsidR="00C15D5B" w:rsidRPr="00A13719" w:rsidRDefault="00C15D5B" w:rsidP="00C15D5B">
            <w:pPr>
              <w:spacing w:after="0" w:line="240" w:lineRule="auto"/>
              <w:jc w:val="center"/>
              <w:rPr>
                <w:rFonts w:eastAsia="Times New Roman" w:cs="Times New Roman"/>
                <w:sz w:val="20"/>
                <w:szCs w:val="20"/>
                <w:lang w:eastAsia="en-GB"/>
              </w:rPr>
            </w:pPr>
          </w:p>
        </w:tc>
      </w:tr>
      <w:tr w:rsidR="00A13719" w:rsidRPr="00A13719" w:rsidTr="00374C61">
        <w:trPr>
          <w:trHeight w:hRule="exact" w:val="284"/>
          <w:jc w:val="center"/>
        </w:trPr>
        <w:tc>
          <w:tcPr>
            <w:tcW w:w="3119" w:type="dxa"/>
            <w:tcBorders>
              <w:top w:val="nil"/>
              <w:right w:val="nil"/>
            </w:tcBorders>
            <w:shd w:val="clear" w:color="000000" w:fill="auto"/>
            <w:noWrap/>
            <w:vAlign w:val="center"/>
          </w:tcPr>
          <w:p w:rsidR="00C15D5B" w:rsidRPr="00A13719" w:rsidRDefault="00615197" w:rsidP="00C15D5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lastRenderedPageBreak/>
              <w:t xml:space="preserve">Coef. </w:t>
            </w:r>
            <w:r w:rsidR="00C15D5B" w:rsidRPr="00A13719">
              <w:rPr>
                <w:rFonts w:eastAsia="Times New Roman" w:cs="Times New Roman"/>
                <w:sz w:val="20"/>
                <w:szCs w:val="20"/>
                <w:lang w:eastAsia="en-GB"/>
              </w:rPr>
              <w:t>Confidence interval 99%</w:t>
            </w:r>
          </w:p>
        </w:tc>
        <w:tc>
          <w:tcPr>
            <w:tcW w:w="1711" w:type="dxa"/>
            <w:tcBorders>
              <w:top w:val="nil"/>
              <w:left w:val="nil"/>
              <w:right w:val="nil"/>
            </w:tcBorders>
            <w:shd w:val="clear" w:color="000000" w:fill="auto"/>
            <w:noWrap/>
            <w:vAlign w:val="center"/>
          </w:tcPr>
          <w:p w:rsidR="00C15D5B" w:rsidRPr="00A13719" w:rsidRDefault="00C15D5B"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Low:0.730</w:t>
            </w:r>
          </w:p>
        </w:tc>
        <w:tc>
          <w:tcPr>
            <w:tcW w:w="1502" w:type="dxa"/>
            <w:tcBorders>
              <w:top w:val="nil"/>
              <w:left w:val="nil"/>
              <w:right w:val="nil"/>
            </w:tcBorders>
            <w:shd w:val="clear" w:color="000000" w:fill="auto"/>
            <w:noWrap/>
            <w:vAlign w:val="center"/>
          </w:tcPr>
          <w:p w:rsidR="00C15D5B" w:rsidRPr="00A13719" w:rsidRDefault="00C15D5B" w:rsidP="00C15D5B">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High:1.852</w:t>
            </w:r>
          </w:p>
        </w:tc>
        <w:tc>
          <w:tcPr>
            <w:tcW w:w="1181" w:type="dxa"/>
            <w:tcBorders>
              <w:top w:val="nil"/>
              <w:left w:val="nil"/>
            </w:tcBorders>
            <w:shd w:val="clear" w:color="000000" w:fill="auto"/>
          </w:tcPr>
          <w:p w:rsidR="00C15D5B" w:rsidRPr="00A13719" w:rsidRDefault="00C15D5B" w:rsidP="00C15D5B">
            <w:pPr>
              <w:spacing w:after="0" w:line="240" w:lineRule="auto"/>
              <w:jc w:val="center"/>
              <w:rPr>
                <w:rFonts w:eastAsia="Times New Roman" w:cs="Times New Roman"/>
                <w:sz w:val="20"/>
                <w:szCs w:val="20"/>
                <w:lang w:eastAsia="en-GB"/>
              </w:rPr>
            </w:pPr>
          </w:p>
        </w:tc>
      </w:tr>
      <w:tr w:rsidR="00A13719" w:rsidRPr="00A13719" w:rsidTr="00620528">
        <w:trPr>
          <w:trHeight w:hRule="exact" w:val="227"/>
          <w:jc w:val="center"/>
        </w:trPr>
        <w:tc>
          <w:tcPr>
            <w:tcW w:w="7513" w:type="dxa"/>
            <w:gridSpan w:val="4"/>
            <w:tcBorders>
              <w:bottom w:val="single" w:sz="8" w:space="0" w:color="auto"/>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Panel E: Time-Varying Transition Probabilities</w:t>
            </w:r>
          </w:p>
        </w:tc>
      </w:tr>
      <w:tr w:rsidR="00A13719" w:rsidRPr="00A13719" w:rsidTr="00374C61">
        <w:trPr>
          <w:trHeight w:hRule="exact" w:val="284"/>
          <w:jc w:val="center"/>
        </w:trPr>
        <w:tc>
          <w:tcPr>
            <w:tcW w:w="3119" w:type="dxa"/>
            <w:tcBorders>
              <w:bottom w:val="nil"/>
              <w:right w:val="nil"/>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p>
        </w:tc>
        <w:tc>
          <w:tcPr>
            <w:tcW w:w="1711" w:type="dxa"/>
            <w:tcBorders>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Down</w:t>
            </w:r>
          </w:p>
        </w:tc>
        <w:tc>
          <w:tcPr>
            <w:tcW w:w="1502" w:type="dxa"/>
            <w:tcBorders>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Up</w:t>
            </w:r>
          </w:p>
        </w:tc>
        <w:tc>
          <w:tcPr>
            <w:tcW w:w="1181" w:type="dxa"/>
            <w:tcBorders>
              <w:left w:val="nil"/>
              <w:bottom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p>
        </w:tc>
      </w:tr>
      <w:tr w:rsidR="00A13719" w:rsidRPr="00A13719" w:rsidTr="00374C61">
        <w:trPr>
          <w:trHeight w:hRule="exact" w:val="284"/>
          <w:jc w:val="center"/>
        </w:trPr>
        <w:tc>
          <w:tcPr>
            <w:tcW w:w="3119" w:type="dxa"/>
            <w:tcBorders>
              <w:top w:val="nil"/>
              <w:bottom w:val="nil"/>
              <w:right w:val="nil"/>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Down regime</w:t>
            </w:r>
          </w:p>
        </w:tc>
        <w:tc>
          <w:tcPr>
            <w:tcW w:w="1711" w:type="dxa"/>
            <w:tcBorders>
              <w:top w:val="nil"/>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0.0035</w:t>
            </w:r>
          </w:p>
        </w:tc>
        <w:tc>
          <w:tcPr>
            <w:tcW w:w="1502" w:type="dxa"/>
            <w:tcBorders>
              <w:top w:val="nil"/>
              <w:left w:val="nil"/>
              <w:bottom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0.9965</w:t>
            </w:r>
          </w:p>
        </w:tc>
        <w:tc>
          <w:tcPr>
            <w:tcW w:w="1181" w:type="dxa"/>
            <w:tcBorders>
              <w:top w:val="nil"/>
              <w:left w:val="nil"/>
              <w:bottom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p>
        </w:tc>
      </w:tr>
      <w:tr w:rsidR="00A13719" w:rsidRPr="00A13719" w:rsidTr="00374C61">
        <w:trPr>
          <w:trHeight w:hRule="exact" w:val="284"/>
          <w:jc w:val="center"/>
        </w:trPr>
        <w:tc>
          <w:tcPr>
            <w:tcW w:w="3119" w:type="dxa"/>
            <w:tcBorders>
              <w:top w:val="nil"/>
              <w:right w:val="nil"/>
            </w:tcBorders>
            <w:shd w:val="clear" w:color="000000" w:fill="auto"/>
            <w:noWrap/>
            <w:vAlign w:val="center"/>
          </w:tcPr>
          <w:p w:rsidR="00596FD4" w:rsidRPr="00A13719" w:rsidRDefault="00596FD4" w:rsidP="00FE12A4">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Up regime</w:t>
            </w:r>
          </w:p>
        </w:tc>
        <w:tc>
          <w:tcPr>
            <w:tcW w:w="1711" w:type="dxa"/>
            <w:tcBorders>
              <w:top w:val="nil"/>
              <w:left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0.0747</w:t>
            </w:r>
          </w:p>
        </w:tc>
        <w:tc>
          <w:tcPr>
            <w:tcW w:w="1502" w:type="dxa"/>
            <w:tcBorders>
              <w:top w:val="nil"/>
              <w:left w:val="nil"/>
              <w:right w:val="nil"/>
            </w:tcBorders>
            <w:shd w:val="clear" w:color="000000" w:fill="auto"/>
            <w:noWrap/>
            <w:vAlign w:val="center"/>
          </w:tcPr>
          <w:p w:rsidR="00596FD4" w:rsidRPr="00A13719" w:rsidRDefault="00596FD4" w:rsidP="00FE12A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0.9252</w:t>
            </w:r>
          </w:p>
        </w:tc>
        <w:tc>
          <w:tcPr>
            <w:tcW w:w="1181" w:type="dxa"/>
            <w:tcBorders>
              <w:top w:val="nil"/>
              <w:left w:val="nil"/>
            </w:tcBorders>
            <w:shd w:val="clear" w:color="000000" w:fill="auto"/>
          </w:tcPr>
          <w:p w:rsidR="00596FD4" w:rsidRPr="00A13719" w:rsidRDefault="00596FD4" w:rsidP="00FE12A4">
            <w:pPr>
              <w:spacing w:after="0" w:line="240" w:lineRule="auto"/>
              <w:jc w:val="center"/>
              <w:rPr>
                <w:rFonts w:eastAsia="Times New Roman" w:cs="Times New Roman"/>
                <w:sz w:val="20"/>
                <w:szCs w:val="20"/>
                <w:lang w:eastAsia="en-GB"/>
              </w:rPr>
            </w:pPr>
          </w:p>
        </w:tc>
      </w:tr>
    </w:tbl>
    <w:p w:rsidR="00ED71D0" w:rsidRPr="00A13719" w:rsidRDefault="00ED71D0" w:rsidP="00981675">
      <w:pPr>
        <w:jc w:val="both"/>
        <w:rPr>
          <w:lang w:val="en-US"/>
        </w:rPr>
      </w:pPr>
    </w:p>
    <w:p w:rsidR="00A90EFF" w:rsidRPr="00A13719" w:rsidRDefault="00981675" w:rsidP="00981675">
      <w:pPr>
        <w:jc w:val="both"/>
        <w:rPr>
          <w:lang w:val="en-US"/>
        </w:rPr>
      </w:pPr>
      <w:r w:rsidRPr="00A13719">
        <w:rPr>
          <w:lang w:val="en-US"/>
        </w:rPr>
        <w:t xml:space="preserve">Figure </w:t>
      </w:r>
      <w:r w:rsidR="00CB4EF6" w:rsidRPr="00A13719">
        <w:rPr>
          <w:lang w:val="en-US"/>
        </w:rPr>
        <w:t>1</w:t>
      </w:r>
      <w:r w:rsidR="006933D8" w:rsidRPr="00A13719">
        <w:rPr>
          <w:lang w:val="en-US"/>
        </w:rPr>
        <w:t xml:space="preserve"> </w:t>
      </w:r>
      <w:r w:rsidRPr="00A13719">
        <w:rPr>
          <w:lang w:val="en-US"/>
        </w:rPr>
        <w:t>present</w:t>
      </w:r>
      <w:r w:rsidR="006933D8" w:rsidRPr="00A13719">
        <w:rPr>
          <w:lang w:val="en-US"/>
        </w:rPr>
        <w:t>s</w:t>
      </w:r>
      <w:r w:rsidRPr="00A13719">
        <w:rPr>
          <w:lang w:val="en-US"/>
        </w:rPr>
        <w:t xml:space="preserve"> the </w:t>
      </w:r>
      <w:r w:rsidR="00CB4EF6" w:rsidRPr="00A13719">
        <w:rPr>
          <w:lang w:val="en-US"/>
        </w:rPr>
        <w:t xml:space="preserve">business cycles and the down </w:t>
      </w:r>
      <w:r w:rsidRPr="00A13719">
        <w:rPr>
          <w:lang w:val="en-US"/>
        </w:rPr>
        <w:t xml:space="preserve">regime probabilities. The down regime is not simply the </w:t>
      </w:r>
      <w:r w:rsidR="00CB4EF6" w:rsidRPr="00A13719">
        <w:rPr>
          <w:lang w:val="en-US"/>
        </w:rPr>
        <w:t xml:space="preserve">result of </w:t>
      </w:r>
      <w:r w:rsidRPr="00A13719">
        <w:rPr>
          <w:lang w:val="en-US"/>
        </w:rPr>
        <w:t xml:space="preserve">splitting of the data sample into </w:t>
      </w:r>
      <w:r w:rsidR="00244A60" w:rsidRPr="00A13719">
        <w:rPr>
          <w:lang w:val="en-US"/>
        </w:rPr>
        <w:t xml:space="preserve">periods of </w:t>
      </w:r>
      <w:r w:rsidRPr="00A13719">
        <w:rPr>
          <w:lang w:val="en-US"/>
        </w:rPr>
        <w:t xml:space="preserve">positive or </w:t>
      </w:r>
      <w:r w:rsidR="00244A60" w:rsidRPr="00A13719">
        <w:rPr>
          <w:lang w:val="en-US"/>
        </w:rPr>
        <w:t xml:space="preserve">negative </w:t>
      </w:r>
      <w:r w:rsidRPr="00A13719">
        <w:rPr>
          <w:lang w:val="en-US"/>
        </w:rPr>
        <w:t>returns</w:t>
      </w:r>
      <w:r w:rsidR="00244A60" w:rsidRPr="00A13719">
        <w:rPr>
          <w:lang w:val="en-US"/>
        </w:rPr>
        <w:t xml:space="preserve">, but captures </w:t>
      </w:r>
      <w:r w:rsidRPr="00A13719">
        <w:rPr>
          <w:lang w:val="en-US"/>
        </w:rPr>
        <w:t xml:space="preserve">periods when the market volatility </w:t>
      </w:r>
      <w:r w:rsidR="00244A60" w:rsidRPr="00A13719">
        <w:rPr>
          <w:lang w:val="en-US"/>
        </w:rPr>
        <w:t xml:space="preserve">was high and there were </w:t>
      </w:r>
      <w:r w:rsidRPr="00A13719">
        <w:rPr>
          <w:lang w:val="en-US"/>
        </w:rPr>
        <w:t>substantial return downturns</w:t>
      </w:r>
      <w:r w:rsidR="00244A60" w:rsidRPr="00A13719">
        <w:rPr>
          <w:lang w:val="en-US"/>
        </w:rPr>
        <w:t>,</w:t>
      </w:r>
      <w:r w:rsidR="00D81854" w:rsidRPr="00A13719">
        <w:rPr>
          <w:lang w:val="en-US"/>
        </w:rPr>
        <w:t xml:space="preserve"> </w:t>
      </w:r>
      <w:r w:rsidRPr="00A13719">
        <w:rPr>
          <w:lang w:val="en-US"/>
        </w:rPr>
        <w:t xml:space="preserve">not necessarily </w:t>
      </w:r>
      <w:r w:rsidR="00244A60" w:rsidRPr="00A13719">
        <w:rPr>
          <w:lang w:val="en-US"/>
        </w:rPr>
        <w:t>just</w:t>
      </w:r>
      <w:r w:rsidRPr="00A13719">
        <w:rPr>
          <w:lang w:val="en-US"/>
        </w:rPr>
        <w:t xml:space="preserve"> a single shock. </w:t>
      </w:r>
      <w:r w:rsidR="00A413EF" w:rsidRPr="00A13719">
        <w:t xml:space="preserve">The combination of </w:t>
      </w:r>
      <w:r w:rsidR="00A413EF" w:rsidRPr="00A13719">
        <w:rPr>
          <w:lang w:val="en-US"/>
        </w:rPr>
        <w:t xml:space="preserve">substantial return downturns and market volatility can be regarded as a down regime’s </w:t>
      </w:r>
      <w:r w:rsidR="00A413EF" w:rsidRPr="00A13719">
        <w:rPr>
          <w:i/>
          <w:lang w:val="en-US"/>
        </w:rPr>
        <w:t>attribute</w:t>
      </w:r>
      <w:r w:rsidR="00A413EF" w:rsidRPr="00A13719">
        <w:rPr>
          <w:lang w:val="en-US"/>
        </w:rPr>
        <w:t xml:space="preserve">. </w:t>
      </w:r>
      <w:r w:rsidRPr="00A13719">
        <w:rPr>
          <w:lang w:val="en-US"/>
        </w:rPr>
        <w:t xml:space="preserve">In all these different regimes we may have positive or negative returns. </w:t>
      </w:r>
      <w:r w:rsidR="00244A60" w:rsidRPr="00A13719">
        <w:rPr>
          <w:lang w:val="en-US"/>
        </w:rPr>
        <w:t>O</w:t>
      </w:r>
      <w:r w:rsidRPr="00A13719">
        <w:rPr>
          <w:lang w:val="en-US"/>
        </w:rPr>
        <w:t xml:space="preserve">ur period is divided into </w:t>
      </w:r>
      <w:r w:rsidR="00244A60" w:rsidRPr="00A13719">
        <w:rPr>
          <w:lang w:val="en-US"/>
        </w:rPr>
        <w:t xml:space="preserve">four </w:t>
      </w:r>
      <w:r w:rsidRPr="00A13719">
        <w:rPr>
          <w:lang w:val="en-US"/>
        </w:rPr>
        <w:t>up regimes (01/1990-06/1990, 11/1990-10/2000, 10/2002-05/2008</w:t>
      </w:r>
      <w:r w:rsidR="00244A60" w:rsidRPr="00A13719">
        <w:rPr>
          <w:lang w:val="en-US"/>
        </w:rPr>
        <w:t xml:space="preserve"> and</w:t>
      </w:r>
      <w:r w:rsidRPr="00A13719">
        <w:rPr>
          <w:lang w:val="en-US"/>
        </w:rPr>
        <w:t xml:space="preserve"> 03/2009-03/2014) and </w:t>
      </w:r>
      <w:r w:rsidR="00244A60" w:rsidRPr="00A13719">
        <w:rPr>
          <w:lang w:val="en-US"/>
        </w:rPr>
        <w:t xml:space="preserve">three </w:t>
      </w:r>
      <w:r w:rsidRPr="00A13719">
        <w:rPr>
          <w:lang w:val="en-US"/>
        </w:rPr>
        <w:t>down regimes (07/1990-10/1990, 11/2000-09/2002</w:t>
      </w:r>
      <w:r w:rsidR="00244A60" w:rsidRPr="00A13719">
        <w:rPr>
          <w:lang w:val="en-US"/>
        </w:rPr>
        <w:t xml:space="preserve"> and</w:t>
      </w:r>
      <w:r w:rsidRPr="00A13719">
        <w:rPr>
          <w:lang w:val="en-US"/>
        </w:rPr>
        <w:t xml:space="preserve"> 06/2008-02/2009). Down regime</w:t>
      </w:r>
      <w:r w:rsidR="00244A60" w:rsidRPr="00A13719">
        <w:rPr>
          <w:lang w:val="en-US"/>
        </w:rPr>
        <w:t xml:space="preserve"> period</w:t>
      </w:r>
      <w:r w:rsidRPr="00A13719">
        <w:rPr>
          <w:lang w:val="en-US"/>
        </w:rPr>
        <w:t xml:space="preserve">s cover </w:t>
      </w:r>
      <w:r w:rsidR="00244A60" w:rsidRPr="00A13719">
        <w:rPr>
          <w:lang w:val="en-US"/>
        </w:rPr>
        <w:t>h</w:t>
      </w:r>
      <w:r w:rsidRPr="00A13719">
        <w:rPr>
          <w:lang w:val="en-US"/>
        </w:rPr>
        <w:t xml:space="preserve">igher oil prices </w:t>
      </w:r>
      <w:r w:rsidR="00244A60" w:rsidRPr="00A13719">
        <w:rPr>
          <w:lang w:val="en-US"/>
        </w:rPr>
        <w:t xml:space="preserve">in summer 1990 due to the </w:t>
      </w:r>
      <w:r w:rsidRPr="00A13719">
        <w:rPr>
          <w:lang w:val="en-US"/>
        </w:rPr>
        <w:t xml:space="preserve">Persian Gulf crisis, the Japanese down market in March 2001, </w:t>
      </w:r>
      <w:r w:rsidR="00244A60" w:rsidRPr="00A13719">
        <w:rPr>
          <w:lang w:val="en-US"/>
        </w:rPr>
        <w:t>9/11</w:t>
      </w:r>
      <w:r w:rsidRPr="00A13719">
        <w:rPr>
          <w:lang w:val="en-US"/>
        </w:rPr>
        <w:t xml:space="preserve"> and the financial crisis 2008-2009. There are other negative shocks</w:t>
      </w:r>
      <w:r w:rsidR="00244A60" w:rsidRPr="00A13719">
        <w:rPr>
          <w:lang w:val="en-US"/>
        </w:rPr>
        <w:t xml:space="preserve"> outside our identified down regimes, </w:t>
      </w:r>
      <w:r w:rsidRPr="00A13719">
        <w:rPr>
          <w:lang w:val="en-US"/>
        </w:rPr>
        <w:t xml:space="preserve">however the Wilshire 5000TRI </w:t>
      </w:r>
      <w:r w:rsidR="00244A60" w:rsidRPr="00A13719">
        <w:rPr>
          <w:lang w:val="en-US"/>
        </w:rPr>
        <w:t>wa</w:t>
      </w:r>
      <w:r w:rsidRPr="00A13719">
        <w:rPr>
          <w:lang w:val="en-US"/>
        </w:rPr>
        <w:t xml:space="preserve">s not </w:t>
      </w:r>
      <w:r w:rsidR="00244A60" w:rsidRPr="00A13719">
        <w:rPr>
          <w:lang w:val="en-US"/>
        </w:rPr>
        <w:t xml:space="preserve">then </w:t>
      </w:r>
      <w:r w:rsidRPr="00A13719">
        <w:rPr>
          <w:lang w:val="en-US"/>
        </w:rPr>
        <w:t xml:space="preserve">characterized by </w:t>
      </w:r>
      <w:r w:rsidR="00244A60" w:rsidRPr="00A13719">
        <w:rPr>
          <w:lang w:val="en-US"/>
        </w:rPr>
        <w:t>high v</w:t>
      </w:r>
      <w:r w:rsidRPr="00A13719">
        <w:rPr>
          <w:lang w:val="en-US"/>
        </w:rPr>
        <w:t xml:space="preserve">olatility </w:t>
      </w:r>
      <w:r w:rsidR="00244A60" w:rsidRPr="00A13719">
        <w:rPr>
          <w:lang w:val="en-US"/>
        </w:rPr>
        <w:t>and</w:t>
      </w:r>
      <w:r w:rsidRPr="00A13719">
        <w:rPr>
          <w:lang w:val="en-US"/>
        </w:rPr>
        <w:t xml:space="preserve"> substantial return downturns. </w:t>
      </w:r>
    </w:p>
    <w:p w:rsidR="00981675" w:rsidRPr="00A13719" w:rsidRDefault="00244A60" w:rsidP="00981675">
      <w:pPr>
        <w:spacing w:after="0" w:line="240" w:lineRule="auto"/>
        <w:jc w:val="center"/>
        <w:rPr>
          <w:b/>
          <w:sz w:val="28"/>
          <w:szCs w:val="28"/>
          <w:lang w:val="en-US"/>
        </w:rPr>
      </w:pPr>
      <w:r w:rsidRPr="00A13719">
        <w:rPr>
          <w:b/>
          <w:sz w:val="28"/>
          <w:szCs w:val="28"/>
          <w:lang w:val="en-US"/>
        </w:rPr>
        <w:t>Figure 1: Recessions and Down Regimes</w:t>
      </w:r>
    </w:p>
    <w:p w:rsidR="00981675" w:rsidRPr="00A13719" w:rsidRDefault="003C6351" w:rsidP="00981675">
      <w:pPr>
        <w:jc w:val="center"/>
        <w:rPr>
          <w:sz w:val="18"/>
          <w:szCs w:val="18"/>
          <w:lang w:val="en-US"/>
        </w:rPr>
      </w:pPr>
      <w:r>
        <w:rPr>
          <w:noProof/>
          <w:sz w:val="18"/>
          <w:szCs w:val="18"/>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5pt;margin-top:.6pt;width:458.95pt;height:179.15pt;z-index:251666432" filled="t" stroked="t">
            <v:imagedata r:id="rId9" o:title=""/>
          </v:shape>
          <o:OLEObject Type="Embed" ProgID="EViews.Workfile.2" ShapeID="_x0000_s1026" DrawAspect="Content" ObjectID="_1576927433" r:id="rId10"/>
        </w:object>
      </w:r>
    </w:p>
    <w:p w:rsidR="00981675" w:rsidRPr="00A13719" w:rsidRDefault="00981675" w:rsidP="00981675">
      <w:pPr>
        <w:jc w:val="center"/>
        <w:rPr>
          <w:sz w:val="18"/>
          <w:szCs w:val="18"/>
          <w:lang w:val="en-US"/>
        </w:rPr>
      </w:pPr>
    </w:p>
    <w:p w:rsidR="00981675" w:rsidRPr="00A13719" w:rsidRDefault="00981675" w:rsidP="00981675">
      <w:pPr>
        <w:jc w:val="center"/>
        <w:rPr>
          <w:sz w:val="18"/>
          <w:szCs w:val="18"/>
          <w:lang w:val="en-US"/>
        </w:rPr>
      </w:pPr>
    </w:p>
    <w:p w:rsidR="00981675" w:rsidRPr="00A13719" w:rsidRDefault="00981675" w:rsidP="00981675">
      <w:pPr>
        <w:jc w:val="center"/>
        <w:rPr>
          <w:sz w:val="18"/>
          <w:szCs w:val="18"/>
          <w:lang w:val="en-US"/>
        </w:rPr>
      </w:pPr>
    </w:p>
    <w:p w:rsidR="00981675" w:rsidRPr="00A13719" w:rsidRDefault="00981675" w:rsidP="00981675">
      <w:pPr>
        <w:jc w:val="center"/>
        <w:rPr>
          <w:sz w:val="18"/>
          <w:szCs w:val="18"/>
          <w:lang w:val="en-US"/>
        </w:rPr>
      </w:pPr>
    </w:p>
    <w:p w:rsidR="009F5048" w:rsidRPr="00A13719" w:rsidRDefault="00981675" w:rsidP="003955D5">
      <w:pPr>
        <w:autoSpaceDE w:val="0"/>
        <w:autoSpaceDN w:val="0"/>
        <w:adjustRightInd w:val="0"/>
        <w:spacing w:after="0" w:line="240" w:lineRule="auto"/>
        <w:rPr>
          <w:rFonts w:cs="Times New Roman"/>
          <w:sz w:val="18"/>
          <w:szCs w:val="18"/>
        </w:rPr>
      </w:pPr>
      <w:r w:rsidRPr="00A13719">
        <w:rPr>
          <w:rFonts w:cs="Times New Roman"/>
          <w:b/>
          <w:sz w:val="18"/>
          <w:szCs w:val="18"/>
        </w:rPr>
        <w:t xml:space="preserve">   </w:t>
      </w:r>
      <w:r w:rsidR="003955D5" w:rsidRPr="00A13719">
        <w:rPr>
          <w:rFonts w:cs="Times New Roman"/>
          <w:b/>
          <w:sz w:val="18"/>
          <w:szCs w:val="18"/>
        </w:rPr>
        <w:tab/>
      </w:r>
      <w:r w:rsidRPr="00A13719">
        <w:rPr>
          <w:rFonts w:cs="Times New Roman"/>
          <w:b/>
          <w:sz w:val="18"/>
          <w:szCs w:val="18"/>
        </w:rPr>
        <w:t xml:space="preserve">Figure </w:t>
      </w:r>
      <w:r w:rsidR="000A7D64" w:rsidRPr="00A13719">
        <w:rPr>
          <w:rFonts w:cs="Times New Roman"/>
          <w:b/>
          <w:sz w:val="18"/>
          <w:szCs w:val="18"/>
        </w:rPr>
        <w:t>2</w:t>
      </w:r>
      <w:r w:rsidRPr="00A13719">
        <w:rPr>
          <w:rFonts w:cs="Times New Roman"/>
          <w:b/>
          <w:sz w:val="18"/>
          <w:szCs w:val="18"/>
        </w:rPr>
        <w:t>. Probabilities for the down regime</w:t>
      </w:r>
      <w:r w:rsidRPr="00A13719">
        <w:rPr>
          <w:rFonts w:cs="Times New Roman"/>
          <w:sz w:val="18"/>
          <w:szCs w:val="18"/>
        </w:rPr>
        <w:t>. This figure demonstrates th</w:t>
      </w:r>
      <w:r w:rsidR="004739F6" w:rsidRPr="00A13719">
        <w:rPr>
          <w:rFonts w:cs="Times New Roman"/>
          <w:sz w:val="18"/>
          <w:szCs w:val="18"/>
        </w:rPr>
        <w:t>e probabilities of being in the</w:t>
      </w:r>
    </w:p>
    <w:p w:rsidR="00CE6A82" w:rsidRPr="00A13719" w:rsidRDefault="00CE6A82" w:rsidP="00244A60">
      <w:pPr>
        <w:autoSpaceDE w:val="0"/>
        <w:autoSpaceDN w:val="0"/>
        <w:adjustRightInd w:val="0"/>
        <w:spacing w:after="0" w:line="240" w:lineRule="auto"/>
        <w:jc w:val="both"/>
        <w:rPr>
          <w:rFonts w:cs="Times New Roman"/>
          <w:sz w:val="18"/>
          <w:szCs w:val="18"/>
        </w:rPr>
      </w:pPr>
    </w:p>
    <w:p w:rsidR="009F5048" w:rsidRPr="00A13719" w:rsidRDefault="009F5048" w:rsidP="00244A60">
      <w:pPr>
        <w:autoSpaceDE w:val="0"/>
        <w:autoSpaceDN w:val="0"/>
        <w:adjustRightInd w:val="0"/>
        <w:spacing w:after="0" w:line="240" w:lineRule="auto"/>
        <w:jc w:val="both"/>
        <w:rPr>
          <w:rFonts w:cs="Times New Roman"/>
          <w:sz w:val="18"/>
          <w:szCs w:val="18"/>
        </w:rPr>
      </w:pPr>
      <w:r w:rsidRPr="00A13719">
        <w:rPr>
          <w:rFonts w:cs="Times New Roman"/>
          <w:sz w:val="18"/>
          <w:szCs w:val="18"/>
        </w:rPr>
        <w:t xml:space="preserve">This figure </w:t>
      </w:r>
      <w:r w:rsidR="00CE6A82" w:rsidRPr="00A13719">
        <w:rPr>
          <w:rFonts w:cs="Times New Roman"/>
          <w:sz w:val="18"/>
          <w:szCs w:val="18"/>
        </w:rPr>
        <w:t>shows</w:t>
      </w:r>
      <w:r w:rsidRPr="00A13719">
        <w:rPr>
          <w:rFonts w:cs="Times New Roman"/>
          <w:sz w:val="18"/>
          <w:szCs w:val="18"/>
        </w:rPr>
        <w:t xml:space="preserve"> the probabilities of being in the down regime.</w:t>
      </w:r>
      <w:r w:rsidR="005F7B4F" w:rsidRPr="00A13719">
        <w:rPr>
          <w:rFonts w:cs="Times New Roman"/>
          <w:sz w:val="18"/>
          <w:szCs w:val="18"/>
        </w:rPr>
        <w:t xml:space="preserve"> The vertical axis shows the probabilities</w:t>
      </w:r>
      <w:r w:rsidR="00244A60" w:rsidRPr="00A13719">
        <w:rPr>
          <w:rFonts w:cs="Times New Roman"/>
          <w:sz w:val="18"/>
          <w:szCs w:val="18"/>
        </w:rPr>
        <w:t xml:space="preserve"> </w:t>
      </w:r>
      <w:r w:rsidRPr="00A13719">
        <w:rPr>
          <w:rFonts w:cs="Times New Roman"/>
          <w:sz w:val="18"/>
          <w:szCs w:val="18"/>
        </w:rPr>
        <w:t>between 0 and 1</w:t>
      </w:r>
      <w:r w:rsidR="00D81854" w:rsidRPr="00A13719">
        <w:rPr>
          <w:rFonts w:cs="Times New Roman"/>
          <w:sz w:val="18"/>
          <w:szCs w:val="18"/>
        </w:rPr>
        <w:t xml:space="preserve"> and</w:t>
      </w:r>
      <w:r w:rsidRPr="00A13719">
        <w:rPr>
          <w:rFonts w:cs="Times New Roman"/>
          <w:sz w:val="18"/>
          <w:szCs w:val="18"/>
        </w:rPr>
        <w:t xml:space="preserve"> the horizontal axis is the time period under </w:t>
      </w:r>
      <w:r w:rsidR="005F7B4F" w:rsidRPr="00A13719">
        <w:rPr>
          <w:rFonts w:cs="Times New Roman"/>
          <w:sz w:val="18"/>
          <w:szCs w:val="18"/>
        </w:rPr>
        <w:t>examination. The shadow areas represent the</w:t>
      </w:r>
      <w:r w:rsidR="00244A60" w:rsidRPr="00A13719">
        <w:rPr>
          <w:rFonts w:cs="Times New Roman"/>
          <w:sz w:val="18"/>
          <w:szCs w:val="18"/>
        </w:rPr>
        <w:t xml:space="preserve"> </w:t>
      </w:r>
      <w:r w:rsidRPr="00A13719">
        <w:rPr>
          <w:rFonts w:cs="Times New Roman"/>
          <w:sz w:val="18"/>
          <w:szCs w:val="18"/>
        </w:rPr>
        <w:t xml:space="preserve">business cycle recession periods. </w:t>
      </w:r>
      <w:r w:rsidRPr="00A13719">
        <w:rPr>
          <w:lang w:val="en-US"/>
        </w:rPr>
        <w:t xml:space="preserve">       </w:t>
      </w:r>
    </w:p>
    <w:p w:rsidR="009869B3" w:rsidRPr="00A13719" w:rsidRDefault="00981675" w:rsidP="009F5048">
      <w:pPr>
        <w:autoSpaceDE w:val="0"/>
        <w:autoSpaceDN w:val="0"/>
        <w:adjustRightInd w:val="0"/>
        <w:spacing w:after="0" w:line="240" w:lineRule="auto"/>
        <w:rPr>
          <w:lang w:val="en-US"/>
        </w:rPr>
      </w:pPr>
      <w:r w:rsidRPr="00A13719">
        <w:rPr>
          <w:lang w:val="en-US"/>
        </w:rPr>
        <w:t xml:space="preserve">       </w:t>
      </w:r>
    </w:p>
    <w:p w:rsidR="009869B3" w:rsidRPr="00A13719" w:rsidRDefault="009869B3" w:rsidP="00BB733A">
      <w:pPr>
        <w:spacing w:after="0"/>
        <w:jc w:val="both"/>
        <w:rPr>
          <w:lang w:val="en-US"/>
        </w:rPr>
      </w:pPr>
    </w:p>
    <w:p w:rsidR="001830A4" w:rsidRPr="00A13719" w:rsidRDefault="001830A4" w:rsidP="00E40674">
      <w:pPr>
        <w:pStyle w:val="Heading2"/>
        <w:rPr>
          <w:lang w:val="en-US"/>
        </w:rPr>
      </w:pPr>
      <w:bookmarkStart w:id="7" w:name="_Toc425953831"/>
      <w:r w:rsidRPr="00A13719">
        <w:rPr>
          <w:lang w:val="en-US"/>
        </w:rPr>
        <w:lastRenderedPageBreak/>
        <w:t>Multi-Factor Model</w:t>
      </w:r>
      <w:bookmarkEnd w:id="7"/>
    </w:p>
    <w:p w:rsidR="009C6C39" w:rsidRPr="00A13719" w:rsidRDefault="006933D8" w:rsidP="0024086E">
      <w:pPr>
        <w:jc w:val="both"/>
        <w:rPr>
          <w:lang w:val="en-US"/>
        </w:rPr>
      </w:pPr>
      <w:r w:rsidRPr="00A13719">
        <w:rPr>
          <w:lang w:val="en-US"/>
        </w:rPr>
        <w:t>T</w:t>
      </w:r>
      <w:r w:rsidR="00D0244C" w:rsidRPr="00A13719">
        <w:rPr>
          <w:lang w:val="en-US"/>
        </w:rPr>
        <w:t xml:space="preserve">his </w:t>
      </w:r>
      <w:r w:rsidR="00A944F2" w:rsidRPr="00A13719">
        <w:rPr>
          <w:lang w:val="en-US"/>
        </w:rPr>
        <w:t>sub-</w:t>
      </w:r>
      <w:r w:rsidRPr="00A13719">
        <w:rPr>
          <w:lang w:val="en-US"/>
        </w:rPr>
        <w:t xml:space="preserve">section </w:t>
      </w:r>
      <w:r w:rsidR="00D0244C" w:rsidRPr="00A13719">
        <w:rPr>
          <w:lang w:val="en-US"/>
        </w:rPr>
        <w:t>present</w:t>
      </w:r>
      <w:r w:rsidRPr="00A13719">
        <w:rPr>
          <w:lang w:val="en-US"/>
        </w:rPr>
        <w:t>s</w:t>
      </w:r>
      <w:r w:rsidR="00D0244C" w:rsidRPr="00A13719">
        <w:rPr>
          <w:lang w:val="en-US"/>
        </w:rPr>
        <w:t xml:space="preserve"> </w:t>
      </w:r>
      <w:r w:rsidR="007665B4" w:rsidRPr="00A13719">
        <w:rPr>
          <w:lang w:val="en-US"/>
        </w:rPr>
        <w:t xml:space="preserve">the results for </w:t>
      </w:r>
      <w:r w:rsidR="00167E57" w:rsidRPr="00A13719">
        <w:rPr>
          <w:lang w:val="en-US"/>
        </w:rPr>
        <w:t>our empirical specification</w:t>
      </w:r>
      <w:r w:rsidR="00C92D85" w:rsidRPr="00A13719">
        <w:rPr>
          <w:lang w:val="en-US"/>
        </w:rPr>
        <w:t>.</w:t>
      </w:r>
      <w:r w:rsidR="00D0244C" w:rsidRPr="00A13719">
        <w:rPr>
          <w:lang w:val="en-US"/>
        </w:rPr>
        <w:t xml:space="preserve"> </w:t>
      </w:r>
      <w:r w:rsidR="00C92D85" w:rsidRPr="00A13719">
        <w:rPr>
          <w:lang w:val="en-US"/>
        </w:rPr>
        <w:t>First</w:t>
      </w:r>
      <w:r w:rsidR="00353B95" w:rsidRPr="00A13719">
        <w:rPr>
          <w:lang w:val="en-US"/>
        </w:rPr>
        <w:t>,</w:t>
      </w:r>
      <w:r w:rsidR="00D53D1F" w:rsidRPr="00A13719">
        <w:rPr>
          <w:lang w:val="en-US"/>
        </w:rPr>
        <w:t xml:space="preserve"> </w:t>
      </w:r>
      <w:r w:rsidR="00C92D85" w:rsidRPr="00A13719">
        <w:rPr>
          <w:lang w:val="en-US"/>
        </w:rPr>
        <w:t xml:space="preserve">we </w:t>
      </w:r>
      <w:r w:rsidR="00D0244C" w:rsidRPr="00A13719">
        <w:rPr>
          <w:lang w:val="en-US"/>
        </w:rPr>
        <w:t>discuss</w:t>
      </w:r>
      <w:r w:rsidR="00D53D1F" w:rsidRPr="00A13719">
        <w:rPr>
          <w:lang w:val="en-US"/>
        </w:rPr>
        <w:t xml:space="preserve"> some key finding</w:t>
      </w:r>
      <w:r w:rsidR="008424D5" w:rsidRPr="00A13719">
        <w:rPr>
          <w:lang w:val="en-US"/>
        </w:rPr>
        <w:t xml:space="preserve">s concerning the general </w:t>
      </w:r>
      <w:r w:rsidR="001D79DC" w:rsidRPr="00A13719">
        <w:rPr>
          <w:lang w:val="en-US"/>
        </w:rPr>
        <w:t xml:space="preserve">performance </w:t>
      </w:r>
      <w:r w:rsidR="008424D5" w:rsidRPr="00A13719">
        <w:rPr>
          <w:lang w:val="en-US"/>
        </w:rPr>
        <w:t xml:space="preserve">of </w:t>
      </w:r>
      <w:r w:rsidR="00167E57" w:rsidRPr="00A13719">
        <w:rPr>
          <w:rFonts w:eastAsiaTheme="minorEastAsia"/>
          <w:lang w:val="en-US"/>
        </w:rPr>
        <w:t>HF</w:t>
      </w:r>
      <w:r w:rsidR="008424D5" w:rsidRPr="00A13719">
        <w:rPr>
          <w:lang w:val="en-US"/>
        </w:rPr>
        <w:t xml:space="preserve">s during each of the underlying periods under examination. </w:t>
      </w:r>
      <w:r w:rsidR="007665B4" w:rsidRPr="00A13719">
        <w:rPr>
          <w:lang w:val="en-US"/>
        </w:rPr>
        <w:t>W</w:t>
      </w:r>
      <w:r w:rsidR="00BD2A13" w:rsidRPr="00A13719">
        <w:rPr>
          <w:lang w:val="en-US"/>
        </w:rPr>
        <w:t xml:space="preserve">e </w:t>
      </w:r>
      <w:r w:rsidR="007665B4" w:rsidRPr="00A13719">
        <w:rPr>
          <w:lang w:val="en-US"/>
        </w:rPr>
        <w:t xml:space="preserve">then </w:t>
      </w:r>
      <w:r w:rsidR="008730E9" w:rsidRPr="00A13719">
        <w:rPr>
          <w:lang w:val="en-US"/>
        </w:rPr>
        <w:t>describe</w:t>
      </w:r>
      <w:r w:rsidR="00BD2A13" w:rsidRPr="00A13719">
        <w:rPr>
          <w:lang w:val="en-US"/>
        </w:rPr>
        <w:t xml:space="preserve"> </w:t>
      </w:r>
      <w:r w:rsidR="00167E57" w:rsidRPr="00A13719">
        <w:rPr>
          <w:rFonts w:eastAsiaTheme="minorEastAsia"/>
          <w:lang w:val="en-US"/>
        </w:rPr>
        <w:t>HF</w:t>
      </w:r>
      <w:r w:rsidR="00BD2A13" w:rsidRPr="00A13719">
        <w:rPr>
          <w:lang w:val="en-US"/>
        </w:rPr>
        <w:t xml:space="preserve"> </w:t>
      </w:r>
      <w:r w:rsidR="001D79DC" w:rsidRPr="00A13719">
        <w:rPr>
          <w:lang w:val="en-US"/>
        </w:rPr>
        <w:t xml:space="preserve">performance </w:t>
      </w:r>
      <w:r w:rsidR="00BD2A13" w:rsidRPr="00A13719">
        <w:rPr>
          <w:lang w:val="en-US"/>
        </w:rPr>
        <w:t>for each strategy</w:t>
      </w:r>
      <w:r w:rsidR="004930BF" w:rsidRPr="00A13719">
        <w:rPr>
          <w:lang w:val="en-US"/>
        </w:rPr>
        <w:t xml:space="preserve"> </w:t>
      </w:r>
      <w:r w:rsidR="008730E9" w:rsidRPr="00A13719">
        <w:rPr>
          <w:lang w:val="en-US"/>
        </w:rPr>
        <w:t>(briefly since there 11 of them), followed by</w:t>
      </w:r>
      <w:r w:rsidR="00187740" w:rsidRPr="00A13719">
        <w:rPr>
          <w:lang w:val="en-US"/>
        </w:rPr>
        <w:t xml:space="preserve"> a detailed exposure analysis</w:t>
      </w:r>
      <w:r w:rsidR="00353B95" w:rsidRPr="00A13719">
        <w:rPr>
          <w:lang w:val="en-US"/>
        </w:rPr>
        <w:t xml:space="preserve"> at </w:t>
      </w:r>
      <w:r w:rsidR="00DC309F" w:rsidRPr="00A13719">
        <w:rPr>
          <w:lang w:val="en-US"/>
        </w:rPr>
        <w:t xml:space="preserve">the </w:t>
      </w:r>
      <w:r w:rsidR="00353B95" w:rsidRPr="00A13719">
        <w:rPr>
          <w:lang w:val="en-US"/>
        </w:rPr>
        <w:t>strategy group level.</w:t>
      </w:r>
      <w:r w:rsidR="00A944F2" w:rsidRPr="00A13719">
        <w:rPr>
          <w:lang w:val="en-US"/>
        </w:rPr>
        <w:t xml:space="preserve"> This is followed by a more general discussion of our results, and finally details of the robustness checks we carried out.</w:t>
      </w:r>
    </w:p>
    <w:p w:rsidR="00391337" w:rsidRPr="00A13719" w:rsidRDefault="00391337" w:rsidP="00734384">
      <w:pPr>
        <w:spacing w:after="0"/>
        <w:rPr>
          <w:b/>
          <w:lang w:val="en-US"/>
        </w:rPr>
      </w:pPr>
    </w:p>
    <w:p w:rsidR="0023772A" w:rsidRPr="00A13719" w:rsidRDefault="00EE43EF" w:rsidP="00734384">
      <w:pPr>
        <w:spacing w:after="0"/>
        <w:rPr>
          <w:b/>
          <w:lang w:val="en-US"/>
        </w:rPr>
      </w:pPr>
      <w:r w:rsidRPr="00A13719">
        <w:rPr>
          <w:b/>
          <w:lang w:val="en-US"/>
        </w:rPr>
        <w:t>Expansion</w:t>
      </w:r>
      <w:r w:rsidR="0023772A" w:rsidRPr="00A13719">
        <w:rPr>
          <w:b/>
          <w:lang w:val="en-US"/>
        </w:rPr>
        <w:t xml:space="preserve"> Period</w:t>
      </w:r>
      <w:r w:rsidR="007665B4" w:rsidRPr="00A13719">
        <w:rPr>
          <w:b/>
          <w:lang w:val="en-US"/>
        </w:rPr>
        <w:t>s</w:t>
      </w:r>
    </w:p>
    <w:p w:rsidR="00486205" w:rsidRPr="00A13719" w:rsidRDefault="00973EDA" w:rsidP="00BB733A">
      <w:pPr>
        <w:spacing w:after="0"/>
        <w:jc w:val="both"/>
        <w:rPr>
          <w:lang w:val="en-US"/>
        </w:rPr>
      </w:pPr>
      <w:r w:rsidRPr="00A13719">
        <w:rPr>
          <w:lang w:val="en-US"/>
        </w:rPr>
        <w:t xml:space="preserve">Table </w:t>
      </w:r>
      <w:r w:rsidR="00990621" w:rsidRPr="00A13719">
        <w:rPr>
          <w:lang w:val="en-US"/>
        </w:rPr>
        <w:t>3</w:t>
      </w:r>
      <w:r w:rsidRPr="00A13719">
        <w:rPr>
          <w:lang w:val="en-US"/>
        </w:rPr>
        <w:t xml:space="preserve"> presents our</w:t>
      </w:r>
      <w:r w:rsidR="001F187F" w:rsidRPr="00A13719">
        <w:rPr>
          <w:lang w:val="en-US"/>
        </w:rPr>
        <w:t xml:space="preserve"> findings for </w:t>
      </w:r>
      <w:r w:rsidR="00EE43EF" w:rsidRPr="00A13719">
        <w:rPr>
          <w:lang w:val="en-US"/>
        </w:rPr>
        <w:t>expansion</w:t>
      </w:r>
      <w:r w:rsidR="001F187F" w:rsidRPr="00A13719">
        <w:rPr>
          <w:lang w:val="en-US"/>
        </w:rPr>
        <w:t xml:space="preserve"> period</w:t>
      </w:r>
      <w:r w:rsidR="007B6790" w:rsidRPr="00A13719">
        <w:rPr>
          <w:lang w:val="en-US"/>
        </w:rPr>
        <w:t>s</w:t>
      </w:r>
      <w:r w:rsidRPr="00A13719">
        <w:rPr>
          <w:lang w:val="en-US"/>
        </w:rPr>
        <w:t xml:space="preserve">. </w:t>
      </w:r>
      <w:r w:rsidR="007665B4" w:rsidRPr="00A13719">
        <w:rPr>
          <w:lang w:val="en-US"/>
        </w:rPr>
        <w:t>A</w:t>
      </w:r>
      <w:r w:rsidRPr="00A13719">
        <w:rPr>
          <w:lang w:val="en-US"/>
        </w:rPr>
        <w:t xml:space="preserve">ll </w:t>
      </w:r>
      <w:r w:rsidR="00167E57" w:rsidRPr="00A13719">
        <w:rPr>
          <w:rFonts w:eastAsiaTheme="minorEastAsia"/>
          <w:lang w:val="en-US"/>
        </w:rPr>
        <w:t>HF</w:t>
      </w:r>
      <w:r w:rsidRPr="00A13719">
        <w:rPr>
          <w:lang w:val="en-US"/>
        </w:rPr>
        <w:t xml:space="preserve"> strategies deliver strongly significant alpha</w:t>
      </w:r>
      <w:r w:rsidR="00756704" w:rsidRPr="00A13719">
        <w:rPr>
          <w:rStyle w:val="FootnoteReference"/>
          <w:lang w:val="en-US"/>
        </w:rPr>
        <w:footnoteReference w:id="12"/>
      </w:r>
      <w:r w:rsidRPr="00A13719">
        <w:rPr>
          <w:lang w:val="en-US"/>
        </w:rPr>
        <w:t xml:space="preserve"> to investors</w:t>
      </w:r>
      <w:r w:rsidR="004611AD" w:rsidRPr="00A13719">
        <w:rPr>
          <w:lang w:val="en-US"/>
        </w:rPr>
        <w:t xml:space="preserve"> and increase their exposures so as to benefit from the overall market movement.</w:t>
      </w:r>
      <w:r w:rsidRPr="00A13719">
        <w:rPr>
          <w:lang w:val="en-US"/>
        </w:rPr>
        <w:t xml:space="preserve"> </w:t>
      </w:r>
      <w:r w:rsidR="00802156" w:rsidRPr="00A13719">
        <w:rPr>
          <w:lang w:val="en-US"/>
        </w:rPr>
        <w:t>T</w:t>
      </w:r>
      <w:r w:rsidRPr="00A13719">
        <w:rPr>
          <w:lang w:val="en-US"/>
        </w:rPr>
        <w:t>he most common factor across all strategies is the MAI factor, as expected. The second most common factor is the MOM factor and the third is the SMB factor. The MOM factor is the essential factor when the market is in a</w:t>
      </w:r>
      <w:r w:rsidR="00EE43EF" w:rsidRPr="00A13719">
        <w:rPr>
          <w:lang w:val="en-US"/>
        </w:rPr>
        <w:t>n</w:t>
      </w:r>
      <w:r w:rsidRPr="00A13719">
        <w:rPr>
          <w:lang w:val="en-US"/>
        </w:rPr>
        <w:t xml:space="preserve"> </w:t>
      </w:r>
      <w:r w:rsidR="00EE43EF" w:rsidRPr="00A13719">
        <w:rPr>
          <w:lang w:val="en-US"/>
        </w:rPr>
        <w:t>expansion</w:t>
      </w:r>
      <w:r w:rsidRPr="00A13719">
        <w:rPr>
          <w:lang w:val="en-US"/>
        </w:rPr>
        <w:t xml:space="preserve"> state a</w:t>
      </w:r>
      <w:r w:rsidR="007665B4" w:rsidRPr="00A13719">
        <w:rPr>
          <w:lang w:val="en-US"/>
        </w:rPr>
        <w:t xml:space="preserve">s </w:t>
      </w:r>
      <w:r w:rsidRPr="00A13719">
        <w:rPr>
          <w:lang w:val="en-US"/>
        </w:rPr>
        <w:t xml:space="preserve">fund managers keep </w:t>
      </w:r>
      <w:r w:rsidR="007665B4" w:rsidRPr="00A13719">
        <w:rPr>
          <w:lang w:val="en-US"/>
        </w:rPr>
        <w:t xml:space="preserve">up </w:t>
      </w:r>
      <w:r w:rsidR="00747148" w:rsidRPr="00A13719">
        <w:rPr>
          <w:lang w:val="en-US"/>
        </w:rPr>
        <w:t>the</w:t>
      </w:r>
      <w:r w:rsidR="007665B4" w:rsidRPr="00A13719">
        <w:rPr>
          <w:lang w:val="en-US"/>
        </w:rPr>
        <w:t xml:space="preserve">ir investments’ </w:t>
      </w:r>
      <w:r w:rsidRPr="00A13719">
        <w:rPr>
          <w:lang w:val="en-US"/>
        </w:rPr>
        <w:t xml:space="preserve">momentum. The SMB factor is </w:t>
      </w:r>
      <w:r w:rsidR="007665B4" w:rsidRPr="00A13719">
        <w:rPr>
          <w:lang w:val="en-US"/>
        </w:rPr>
        <w:t xml:space="preserve">also </w:t>
      </w:r>
      <w:r w:rsidRPr="00A13719">
        <w:rPr>
          <w:lang w:val="en-US"/>
        </w:rPr>
        <w:t xml:space="preserve">an important element as when there is </w:t>
      </w:r>
      <w:r w:rsidR="00146AF2" w:rsidRPr="00A13719">
        <w:rPr>
          <w:lang w:val="en-US"/>
        </w:rPr>
        <w:t>expansion,</w:t>
      </w:r>
      <w:r w:rsidRPr="00A13719">
        <w:rPr>
          <w:lang w:val="en-US"/>
        </w:rPr>
        <w:t xml:space="preserve"> small </w:t>
      </w:r>
      <w:r w:rsidR="001F195C" w:rsidRPr="00A13719">
        <w:rPr>
          <w:lang w:val="en-US"/>
        </w:rPr>
        <w:t xml:space="preserve">cap </w:t>
      </w:r>
      <w:r w:rsidRPr="00A13719">
        <w:rPr>
          <w:lang w:val="en-US"/>
        </w:rPr>
        <w:t xml:space="preserve">companies tend to outperform large </w:t>
      </w:r>
      <w:r w:rsidR="001F195C" w:rsidRPr="00A13719">
        <w:rPr>
          <w:lang w:val="en-US"/>
        </w:rPr>
        <w:t xml:space="preserve">cap </w:t>
      </w:r>
      <w:r w:rsidRPr="00A13719">
        <w:rPr>
          <w:lang w:val="en-US"/>
        </w:rPr>
        <w:t>companies</w:t>
      </w:r>
      <w:r w:rsidR="007665B4" w:rsidRPr="00A13719">
        <w:rPr>
          <w:lang w:val="en-US"/>
        </w:rPr>
        <w:t>,</w:t>
      </w:r>
      <w:r w:rsidRPr="00A13719">
        <w:rPr>
          <w:lang w:val="en-US"/>
        </w:rPr>
        <w:t xml:space="preserve"> being more sensitive to market conditions. The DEF factor is negative </w:t>
      </w:r>
      <w:r w:rsidR="007665B4" w:rsidRPr="00A13719">
        <w:rPr>
          <w:lang w:val="en-US"/>
        </w:rPr>
        <w:t>for</w:t>
      </w:r>
      <w:r w:rsidRPr="00A13719">
        <w:rPr>
          <w:lang w:val="en-US"/>
        </w:rPr>
        <w:t xml:space="preserve"> five strategies as the uncertainty and therefore the spread between promised yields are lower during </w:t>
      </w:r>
      <w:r w:rsidR="00410BEE" w:rsidRPr="00A13719">
        <w:rPr>
          <w:lang w:val="en-US"/>
        </w:rPr>
        <w:t>expansion</w:t>
      </w:r>
      <w:r w:rsidRPr="00A13719">
        <w:rPr>
          <w:lang w:val="en-US"/>
        </w:rPr>
        <w:t xml:space="preserve"> period</w:t>
      </w:r>
      <w:r w:rsidR="007665B4" w:rsidRPr="00A13719">
        <w:rPr>
          <w:lang w:val="en-US"/>
        </w:rPr>
        <w:t>s</w:t>
      </w:r>
      <w:r w:rsidRPr="00A13719">
        <w:rPr>
          <w:lang w:val="en-US"/>
        </w:rPr>
        <w:t xml:space="preserve">. </w:t>
      </w:r>
      <w:r w:rsidR="00B761AA" w:rsidRPr="00A13719">
        <w:rPr>
          <w:lang w:val="en-US"/>
        </w:rPr>
        <w:t xml:space="preserve">As a </w:t>
      </w:r>
      <w:r w:rsidR="00792800" w:rsidRPr="00A13719">
        <w:rPr>
          <w:lang w:val="en-US"/>
        </w:rPr>
        <w:t>con</w:t>
      </w:r>
      <w:r w:rsidR="00B761AA" w:rsidRPr="00A13719">
        <w:rPr>
          <w:lang w:val="en-US"/>
        </w:rPr>
        <w:t>sequence</w:t>
      </w:r>
      <w:r w:rsidR="00556841" w:rsidRPr="00A13719">
        <w:rPr>
          <w:lang w:val="en-US"/>
        </w:rPr>
        <w:t>,</w:t>
      </w:r>
      <w:r w:rsidRPr="00A13719">
        <w:rPr>
          <w:lang w:val="en-US"/>
        </w:rPr>
        <w:t xml:space="preserve"> strategies that have </w:t>
      </w:r>
      <w:r w:rsidR="007665B4" w:rsidRPr="00A13719">
        <w:rPr>
          <w:lang w:val="en-US"/>
        </w:rPr>
        <w:t xml:space="preserve">strongly </w:t>
      </w:r>
      <w:r w:rsidRPr="00A13719">
        <w:rPr>
          <w:lang w:val="en-US"/>
        </w:rPr>
        <w:t>negative DEF</w:t>
      </w:r>
      <w:r w:rsidR="00C23DFA" w:rsidRPr="00A13719">
        <w:rPr>
          <w:lang w:val="en-US"/>
        </w:rPr>
        <w:t xml:space="preserve"> deliver high alpha</w:t>
      </w:r>
      <w:r w:rsidRPr="00A13719">
        <w:rPr>
          <w:lang w:val="en-US"/>
        </w:rPr>
        <w:t>. In total there are fifty exposures</w:t>
      </w:r>
      <w:r w:rsidR="002F2F87" w:rsidRPr="00A13719">
        <w:rPr>
          <w:lang w:val="en-US"/>
        </w:rPr>
        <w:t xml:space="preserve"> to the various asset classes. </w:t>
      </w:r>
      <w:r w:rsidRPr="00A13719">
        <w:rPr>
          <w:lang w:val="en-US"/>
        </w:rPr>
        <w:t xml:space="preserve">Overall, within the </w:t>
      </w:r>
      <w:r w:rsidR="00410BEE" w:rsidRPr="00A13719">
        <w:rPr>
          <w:lang w:val="en-US"/>
        </w:rPr>
        <w:t>expansion</w:t>
      </w:r>
      <w:r w:rsidRPr="00A13719">
        <w:rPr>
          <w:lang w:val="en-US"/>
        </w:rPr>
        <w:t xml:space="preserve"> period, </w:t>
      </w:r>
      <w:r w:rsidR="00653042" w:rsidRPr="00A13719">
        <w:rPr>
          <w:rFonts w:eastAsiaTheme="minorEastAsia"/>
          <w:lang w:val="en-US"/>
        </w:rPr>
        <w:t>HF</w:t>
      </w:r>
      <w:r w:rsidR="00653042" w:rsidRPr="00A13719">
        <w:rPr>
          <w:lang w:val="en-US"/>
        </w:rPr>
        <w:t xml:space="preserve"> </w:t>
      </w:r>
      <w:r w:rsidR="009103D4" w:rsidRPr="00A13719">
        <w:rPr>
          <w:lang w:val="en-US"/>
        </w:rPr>
        <w:t>managers</w:t>
      </w:r>
      <w:r w:rsidRPr="00A13719">
        <w:rPr>
          <w:lang w:val="en-US"/>
        </w:rPr>
        <w:t xml:space="preserve"> </w:t>
      </w:r>
      <w:r w:rsidR="00BB733A" w:rsidRPr="00A13719">
        <w:rPr>
          <w:lang w:val="en-US"/>
        </w:rPr>
        <w:t xml:space="preserve">try to benefit from the upward market movement </w:t>
      </w:r>
      <w:r w:rsidR="006320E3" w:rsidRPr="00A13719">
        <w:rPr>
          <w:lang w:val="en-US"/>
        </w:rPr>
        <w:t xml:space="preserve">and have relatively high </w:t>
      </w:r>
      <w:r w:rsidR="00781085" w:rsidRPr="00A13719">
        <w:rPr>
          <w:lang w:val="en-US"/>
        </w:rPr>
        <w:t xml:space="preserve">asset </w:t>
      </w:r>
      <w:r w:rsidR="00BB733A" w:rsidRPr="00A13719">
        <w:rPr>
          <w:lang w:val="en-US"/>
        </w:rPr>
        <w:t>class and portfolio exposures for higher</w:t>
      </w:r>
      <w:r w:rsidR="009103D4" w:rsidRPr="00A13719">
        <w:rPr>
          <w:lang w:val="en-US"/>
        </w:rPr>
        <w:t xml:space="preserve"> </w:t>
      </w:r>
      <w:r w:rsidR="00653042" w:rsidRPr="00A13719">
        <w:rPr>
          <w:rFonts w:eastAsiaTheme="minorEastAsia"/>
          <w:lang w:val="en-US"/>
        </w:rPr>
        <w:t>HF</w:t>
      </w:r>
      <w:r w:rsidR="00653042" w:rsidRPr="00A13719">
        <w:rPr>
          <w:lang w:val="en-US"/>
        </w:rPr>
        <w:t xml:space="preserve"> </w:t>
      </w:r>
      <w:r w:rsidR="00BB733A" w:rsidRPr="00A13719">
        <w:rPr>
          <w:lang w:val="en-US"/>
        </w:rPr>
        <w:t>returns.</w:t>
      </w:r>
      <w:r w:rsidR="006752E6" w:rsidRPr="00A13719">
        <w:rPr>
          <w:lang w:val="en-US"/>
        </w:rPr>
        <w:t xml:space="preserve"> Fund managers pay more attention to returns than the systematic risk derived from investing in equity asset classes.</w:t>
      </w:r>
    </w:p>
    <w:p w:rsidR="00D24FF4" w:rsidRPr="00A13719" w:rsidRDefault="006752E6" w:rsidP="00BB733A">
      <w:pPr>
        <w:spacing w:after="0"/>
        <w:jc w:val="both"/>
        <w:rPr>
          <w:lang w:val="en-US"/>
        </w:rPr>
        <w:sectPr w:rsidR="00D24FF4" w:rsidRPr="00A13719" w:rsidSect="00D24FF4">
          <w:footerReference w:type="default" r:id="rId11"/>
          <w:footerReference w:type="first" r:id="rId12"/>
          <w:pgSz w:w="11906" w:h="16838"/>
          <w:pgMar w:top="1440" w:right="1304" w:bottom="1440" w:left="1304" w:header="227" w:footer="227" w:gutter="0"/>
          <w:cols w:space="708"/>
          <w:titlePg/>
          <w:docGrid w:linePitch="360"/>
        </w:sectPr>
      </w:pPr>
      <w:r w:rsidRPr="00A13719">
        <w:rPr>
          <w:lang w:val="en-US"/>
        </w:rPr>
        <w:t xml:space="preserve"> </w:t>
      </w:r>
      <w:r w:rsidR="00BB733A" w:rsidRPr="00A13719">
        <w:rPr>
          <w:lang w:val="en-US"/>
        </w:rPr>
        <w:t xml:space="preserve">  </w:t>
      </w:r>
    </w:p>
    <w:p w:rsidR="00734384" w:rsidRPr="00A13719" w:rsidRDefault="00734384" w:rsidP="00734384">
      <w:pPr>
        <w:spacing w:after="0"/>
        <w:rPr>
          <w:b/>
          <w:sz w:val="28"/>
          <w:szCs w:val="28"/>
          <w:lang w:val="en-US"/>
        </w:rPr>
      </w:pPr>
      <w:r w:rsidRPr="00A13719">
        <w:rPr>
          <w:b/>
          <w:sz w:val="28"/>
          <w:szCs w:val="28"/>
          <w:lang w:val="en-US"/>
        </w:rPr>
        <w:lastRenderedPageBreak/>
        <w:t xml:space="preserve">Table </w:t>
      </w:r>
      <w:r w:rsidR="00990621" w:rsidRPr="00A13719">
        <w:rPr>
          <w:b/>
          <w:sz w:val="28"/>
          <w:szCs w:val="28"/>
          <w:lang w:val="en-US"/>
        </w:rPr>
        <w:t>3</w:t>
      </w:r>
      <w:r w:rsidRPr="00A13719">
        <w:rPr>
          <w:b/>
          <w:sz w:val="28"/>
          <w:szCs w:val="28"/>
          <w:lang w:val="en-US"/>
        </w:rPr>
        <w:t>. Multi-Factor Model</w:t>
      </w:r>
      <w:r w:rsidR="005440B5" w:rsidRPr="00A13719">
        <w:rPr>
          <w:b/>
          <w:sz w:val="28"/>
          <w:szCs w:val="28"/>
          <w:lang w:val="en-US"/>
        </w:rPr>
        <w:t xml:space="preserve"> During </w:t>
      </w:r>
      <w:r w:rsidR="00463489" w:rsidRPr="00A13719">
        <w:rPr>
          <w:b/>
          <w:sz w:val="28"/>
          <w:szCs w:val="28"/>
          <w:lang w:val="en-US"/>
        </w:rPr>
        <w:t>Expansion</w:t>
      </w:r>
      <w:r w:rsidR="005440B5" w:rsidRPr="00A13719">
        <w:rPr>
          <w:b/>
          <w:sz w:val="28"/>
          <w:szCs w:val="28"/>
          <w:lang w:val="en-US"/>
        </w:rPr>
        <w:t xml:space="preserve"> Periods</w:t>
      </w:r>
    </w:p>
    <w:p w:rsidR="00734384" w:rsidRPr="00A13719" w:rsidRDefault="00734384" w:rsidP="00734384">
      <w:pPr>
        <w:spacing w:after="0"/>
        <w:jc w:val="both"/>
        <w:rPr>
          <w:lang w:val="en-US"/>
        </w:rPr>
      </w:pPr>
      <w:r w:rsidRPr="00A13719">
        <w:rPr>
          <w:sz w:val="18"/>
          <w:szCs w:val="18"/>
          <w:lang w:val="en-US"/>
        </w:rPr>
        <w:t xml:space="preserve">This table shows the results in terms of alphas and exposures </w:t>
      </w:r>
      <w:r w:rsidR="00FF359C" w:rsidRPr="00A13719">
        <w:rPr>
          <w:sz w:val="18"/>
          <w:szCs w:val="18"/>
          <w:lang w:val="en-US"/>
        </w:rPr>
        <w:t>using stepwise regression within</w:t>
      </w:r>
      <w:r w:rsidRPr="00A13719">
        <w:rPr>
          <w:sz w:val="18"/>
          <w:szCs w:val="18"/>
          <w:lang w:val="en-US"/>
        </w:rPr>
        <w:t xml:space="preserve"> our </w:t>
      </w:r>
      <w:r w:rsidR="00FF359C" w:rsidRPr="00A13719">
        <w:rPr>
          <w:sz w:val="18"/>
          <w:szCs w:val="18"/>
          <w:lang w:val="en-US"/>
        </w:rPr>
        <w:t>empirical specification</w:t>
      </w:r>
      <w:r w:rsidRPr="00A13719">
        <w:rPr>
          <w:sz w:val="18"/>
          <w:szCs w:val="18"/>
          <w:lang w:val="en-US"/>
        </w:rPr>
        <w:t xml:space="preserve"> for </w:t>
      </w:r>
      <w:r w:rsidR="00463489" w:rsidRPr="00A13719">
        <w:rPr>
          <w:sz w:val="18"/>
          <w:szCs w:val="18"/>
          <w:lang w:val="en-US"/>
        </w:rPr>
        <w:t>expansion</w:t>
      </w:r>
      <w:r w:rsidRPr="00A13719">
        <w:rPr>
          <w:sz w:val="18"/>
          <w:szCs w:val="18"/>
          <w:lang w:val="en-US"/>
        </w:rPr>
        <w:t xml:space="preserve"> period</w:t>
      </w:r>
      <w:r w:rsidR="005440B5" w:rsidRPr="00A13719">
        <w:rPr>
          <w:sz w:val="18"/>
          <w:szCs w:val="18"/>
          <w:lang w:val="en-US"/>
        </w:rPr>
        <w:t>s</w:t>
      </w:r>
      <w:r w:rsidRPr="00A13719">
        <w:rPr>
          <w:sz w:val="18"/>
          <w:szCs w:val="18"/>
          <w:lang w:val="en-US"/>
        </w:rPr>
        <w:t xml:space="preserve">. </w:t>
      </w:r>
      <w:r w:rsidR="008D1FBF" w:rsidRPr="00A13719">
        <w:rPr>
          <w:sz w:val="18"/>
          <w:szCs w:val="18"/>
          <w:lang w:val="en-US"/>
        </w:rPr>
        <w:t>H</w:t>
      </w:r>
      <w:r w:rsidR="00773803" w:rsidRPr="00A13719">
        <w:rPr>
          <w:sz w:val="18"/>
          <w:szCs w:val="18"/>
          <w:lang w:val="en-US"/>
        </w:rPr>
        <w:t>F</w:t>
      </w:r>
      <w:r w:rsidR="008D1FBF" w:rsidRPr="00A13719">
        <w:rPr>
          <w:sz w:val="18"/>
          <w:szCs w:val="18"/>
          <w:lang w:val="en-US"/>
        </w:rPr>
        <w:t xml:space="preserve">s returns are raw returns minus the risk free return. </w:t>
      </w:r>
      <w:r w:rsidRPr="00A13719">
        <w:rPr>
          <w:sz w:val="18"/>
          <w:szCs w:val="18"/>
          <w:lang w:val="en-US"/>
        </w:rPr>
        <w:t>The Risk free (RF) return is the one-month Treasury bill rate from the Fama and French online data-library (Ibbotson Associates). MAI, GEMI, COEN, COPM, COIM, COAG</w:t>
      </w:r>
      <w:r w:rsidR="005440B5" w:rsidRPr="00A13719">
        <w:rPr>
          <w:sz w:val="18"/>
          <w:szCs w:val="18"/>
          <w:lang w:val="en-US"/>
        </w:rPr>
        <w:t xml:space="preserve"> and</w:t>
      </w:r>
      <w:r w:rsidRPr="00A13719">
        <w:rPr>
          <w:sz w:val="18"/>
          <w:szCs w:val="18"/>
          <w:lang w:val="en-US"/>
        </w:rPr>
        <w:t xml:space="preserve"> RLE are excess RF returns. *</w:t>
      </w:r>
      <w:r w:rsidR="00391337" w:rsidRPr="00A13719">
        <w:rPr>
          <w:sz w:val="18"/>
          <w:szCs w:val="18"/>
          <w:lang w:val="en-US"/>
        </w:rPr>
        <w:t>*</w:t>
      </w:r>
      <w:r w:rsidRPr="00A13719">
        <w:rPr>
          <w:sz w:val="18"/>
          <w:szCs w:val="18"/>
          <w:lang w:val="en-US"/>
        </w:rPr>
        <w:t xml:space="preserve"> denotes significance at P &lt; 0.05 and *</w:t>
      </w:r>
      <w:r w:rsidR="00391337" w:rsidRPr="00A13719">
        <w:rPr>
          <w:sz w:val="18"/>
          <w:szCs w:val="18"/>
          <w:lang w:val="en-US"/>
        </w:rPr>
        <w:t>*</w:t>
      </w:r>
      <w:r w:rsidRPr="00A13719">
        <w:rPr>
          <w:sz w:val="18"/>
          <w:szCs w:val="18"/>
          <w:lang w:val="en-US"/>
        </w:rPr>
        <w:t xml:space="preserve">* denotes significance at P &lt; 0.01. </w:t>
      </w:r>
      <w:r w:rsidR="009B612B" w:rsidRPr="00A13719">
        <w:rPr>
          <w:sz w:val="18"/>
          <w:szCs w:val="18"/>
          <w:lang w:val="en-US"/>
        </w:rPr>
        <w:t xml:space="preserve">The t-statistics are in parentheses. </w:t>
      </w:r>
      <w:r w:rsidR="00486205" w:rsidRPr="00A13719">
        <w:rPr>
          <w:sz w:val="18"/>
          <w:szCs w:val="18"/>
          <w:lang w:val="en-US"/>
        </w:rPr>
        <w:t>An e</w:t>
      </w:r>
      <w:r w:rsidR="009B612B" w:rsidRPr="00A13719">
        <w:rPr>
          <w:sz w:val="18"/>
          <w:szCs w:val="18"/>
          <w:lang w:val="en-US"/>
        </w:rPr>
        <w:t>mpty cell mean</w:t>
      </w:r>
      <w:r w:rsidR="00486205" w:rsidRPr="00A13719">
        <w:rPr>
          <w:sz w:val="18"/>
          <w:szCs w:val="18"/>
          <w:lang w:val="en-US"/>
        </w:rPr>
        <w:t>s</w:t>
      </w:r>
      <w:r w:rsidR="009B612B" w:rsidRPr="00A13719">
        <w:rPr>
          <w:sz w:val="18"/>
          <w:szCs w:val="18"/>
          <w:lang w:val="en-US"/>
        </w:rPr>
        <w:t xml:space="preserve"> there is </w:t>
      </w:r>
      <w:r w:rsidR="00486205" w:rsidRPr="00A13719">
        <w:rPr>
          <w:sz w:val="18"/>
          <w:szCs w:val="18"/>
          <w:lang w:val="en-US"/>
        </w:rPr>
        <w:t xml:space="preserve">no </w:t>
      </w:r>
      <w:r w:rsidR="009B612B" w:rsidRPr="00A13719">
        <w:rPr>
          <w:sz w:val="18"/>
          <w:szCs w:val="18"/>
          <w:lang w:val="en-US"/>
        </w:rPr>
        <w:t>significant exposure to th</w:t>
      </w:r>
      <w:r w:rsidR="00486205" w:rsidRPr="00A13719">
        <w:rPr>
          <w:sz w:val="18"/>
          <w:szCs w:val="18"/>
          <w:lang w:val="en-US"/>
        </w:rPr>
        <w:t>is</w:t>
      </w:r>
      <w:r w:rsidR="009B612B" w:rsidRPr="00A13719">
        <w:rPr>
          <w:sz w:val="18"/>
          <w:szCs w:val="18"/>
          <w:lang w:val="en-US"/>
        </w:rPr>
        <w:t xml:space="preserve"> factor.  </w:t>
      </w:r>
    </w:p>
    <w:tbl>
      <w:tblPr>
        <w:tblW w:w="15006" w:type="dxa"/>
        <w:jc w:val="center"/>
        <w:tblBorders>
          <w:top w:val="single" w:sz="8" w:space="0" w:color="auto"/>
          <w:bottom w:val="single" w:sz="8" w:space="0" w:color="auto"/>
        </w:tblBorders>
        <w:shd w:val="clear" w:color="000000" w:fill="auto"/>
        <w:tblLook w:val="04A0" w:firstRow="1" w:lastRow="0" w:firstColumn="1" w:lastColumn="0" w:noHBand="0" w:noVBand="1"/>
      </w:tblPr>
      <w:tblGrid>
        <w:gridCol w:w="2872"/>
        <w:gridCol w:w="1041"/>
        <w:gridCol w:w="1001"/>
        <w:gridCol w:w="1041"/>
        <w:gridCol w:w="1041"/>
        <w:gridCol w:w="1181"/>
        <w:gridCol w:w="1261"/>
        <w:gridCol w:w="1041"/>
        <w:gridCol w:w="1221"/>
        <w:gridCol w:w="1291"/>
        <w:gridCol w:w="1321"/>
        <w:gridCol w:w="997"/>
      </w:tblGrid>
      <w:tr w:rsidR="00A13719" w:rsidRPr="00A13719" w:rsidTr="007D745E">
        <w:trPr>
          <w:trHeight w:val="300"/>
          <w:jc w:val="center"/>
        </w:trPr>
        <w:tc>
          <w:tcPr>
            <w:tcW w:w="2872" w:type="dxa"/>
            <w:tcBorders>
              <w:top w:val="single" w:sz="8" w:space="0" w:color="auto"/>
              <w:bottom w:val="single" w:sz="8" w:space="0" w:color="auto"/>
            </w:tcBorders>
            <w:shd w:val="clear" w:color="000000" w:fill="auto"/>
            <w:noWrap/>
            <w:vAlign w:val="bottom"/>
            <w:hideMark/>
          </w:tcPr>
          <w:p w:rsidR="00734384" w:rsidRPr="00A13719" w:rsidRDefault="00734384" w:rsidP="00840337">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Dep</w:t>
            </w:r>
            <w:r w:rsidR="00840337" w:rsidRPr="00A13719">
              <w:rPr>
                <w:rFonts w:eastAsia="Times New Roman" w:cs="Times New Roman"/>
                <w:sz w:val="18"/>
                <w:szCs w:val="18"/>
                <w:lang w:eastAsia="en-GB"/>
              </w:rPr>
              <w:t>endent variable</w:t>
            </w:r>
          </w:p>
        </w:tc>
        <w:tc>
          <w:tcPr>
            <w:tcW w:w="0" w:type="auto"/>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Short Bias</w:t>
            </w:r>
          </w:p>
        </w:tc>
        <w:tc>
          <w:tcPr>
            <w:tcW w:w="0" w:type="auto"/>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Long Only</w:t>
            </w:r>
          </w:p>
        </w:tc>
        <w:tc>
          <w:tcPr>
            <w:tcW w:w="0" w:type="auto"/>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Sector</w:t>
            </w:r>
          </w:p>
        </w:tc>
        <w:tc>
          <w:tcPr>
            <w:tcW w:w="0" w:type="auto"/>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Long Short</w:t>
            </w:r>
          </w:p>
        </w:tc>
        <w:tc>
          <w:tcPr>
            <w:tcW w:w="0" w:type="auto"/>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Event Driven</w:t>
            </w:r>
          </w:p>
        </w:tc>
        <w:tc>
          <w:tcPr>
            <w:tcW w:w="0" w:type="auto"/>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Multi Strategy</w:t>
            </w:r>
          </w:p>
        </w:tc>
        <w:tc>
          <w:tcPr>
            <w:tcW w:w="0" w:type="auto"/>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Others</w:t>
            </w:r>
          </w:p>
        </w:tc>
        <w:tc>
          <w:tcPr>
            <w:tcW w:w="0" w:type="auto"/>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Global Macro</w:t>
            </w:r>
          </w:p>
        </w:tc>
        <w:tc>
          <w:tcPr>
            <w:tcW w:w="0" w:type="auto"/>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Relative Value</w:t>
            </w:r>
          </w:p>
        </w:tc>
        <w:tc>
          <w:tcPr>
            <w:tcW w:w="0" w:type="auto"/>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Market Neutral</w:t>
            </w:r>
          </w:p>
        </w:tc>
        <w:tc>
          <w:tcPr>
            <w:tcW w:w="997" w:type="dxa"/>
            <w:tcBorders>
              <w:top w:val="single" w:sz="8" w:space="0" w:color="auto"/>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CTAs</w:t>
            </w:r>
          </w:p>
        </w:tc>
      </w:tr>
      <w:tr w:rsidR="00A13719" w:rsidRPr="00A13719" w:rsidTr="007D745E">
        <w:trPr>
          <w:trHeight w:val="285"/>
          <w:jc w:val="center"/>
        </w:trPr>
        <w:tc>
          <w:tcPr>
            <w:tcW w:w="2872" w:type="dxa"/>
            <w:tcBorders>
              <w:top w:val="single" w:sz="8" w:space="0" w:color="auto"/>
            </w:tcBorders>
            <w:shd w:val="clear" w:color="000000" w:fill="auto"/>
            <w:noWrap/>
            <w:vAlign w:val="bottom"/>
            <w:hideMark/>
          </w:tcPr>
          <w:p w:rsidR="00734384" w:rsidRPr="00A13719" w:rsidRDefault="001C02B9" w:rsidP="00734384">
            <w:pPr>
              <w:spacing w:after="0" w:line="240" w:lineRule="auto"/>
              <w:rPr>
                <w:rFonts w:eastAsia="Times New Roman" w:cs="Times New Roman"/>
                <w:sz w:val="18"/>
                <w:szCs w:val="18"/>
                <w:lang w:eastAsia="en-GB"/>
              </w:rPr>
            </w:pPr>
            <w:r w:rsidRPr="00A13719">
              <w:rPr>
                <w:rFonts w:eastAsia="Times New Roman" w:cs="Times New Roman"/>
                <w:sz w:val="20"/>
                <w:szCs w:val="20"/>
                <w:lang w:eastAsia="en-GB"/>
              </w:rPr>
              <w:t>Alpha</w:t>
            </w:r>
          </w:p>
        </w:tc>
        <w:tc>
          <w:tcPr>
            <w:tcW w:w="0" w:type="auto"/>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0.5741**</w:t>
            </w:r>
            <w:r w:rsidR="00391337"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0.2903**</w:t>
            </w:r>
            <w:r w:rsidR="00391337"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1.5764**</w:t>
            </w:r>
            <w:r w:rsidR="00391337"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1.4655**</w:t>
            </w:r>
            <w:r w:rsidR="00391337"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0.4965**</w:t>
            </w:r>
            <w:r w:rsidR="00391337"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1.4297**</w:t>
            </w:r>
            <w:r w:rsidR="00391337"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1.4816*</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0.3725*</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0.2545*</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0.5242*</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997"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0.8174*</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(3.3184)</w:t>
            </w:r>
          </w:p>
        </w:tc>
        <w:tc>
          <w:tcPr>
            <w:tcW w:w="0" w:type="auto"/>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40ABA" w:rsidRPr="00A13719">
              <w:rPr>
                <w:rFonts w:eastAsia="Times New Roman" w:cs="Times New Roman"/>
                <w:sz w:val="18"/>
                <w:szCs w:val="18"/>
                <w:lang w:eastAsia="en-GB"/>
              </w:rPr>
              <w:t>3.4816</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40ABA" w:rsidRPr="00A13719">
              <w:rPr>
                <w:rFonts w:eastAsia="Times New Roman" w:cs="Times New Roman"/>
                <w:sz w:val="18"/>
                <w:szCs w:val="18"/>
                <w:lang w:eastAsia="en-GB"/>
              </w:rPr>
              <w:t>3.8089</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40ABA" w:rsidRPr="00A13719">
              <w:rPr>
                <w:rFonts w:eastAsia="Times New Roman" w:cs="Times New Roman"/>
                <w:sz w:val="18"/>
                <w:szCs w:val="18"/>
                <w:lang w:eastAsia="en-GB"/>
              </w:rPr>
              <w:t>5.4502</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40ABA" w:rsidRPr="00A13719">
              <w:rPr>
                <w:rFonts w:eastAsia="Times New Roman" w:cs="Times New Roman"/>
                <w:sz w:val="18"/>
                <w:szCs w:val="18"/>
                <w:lang w:eastAsia="en-GB"/>
              </w:rPr>
              <w:t>8.5422</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40ABA" w:rsidRPr="00A13719">
              <w:rPr>
                <w:rFonts w:eastAsia="Times New Roman" w:cs="Times New Roman"/>
                <w:sz w:val="18"/>
                <w:szCs w:val="18"/>
                <w:lang w:eastAsia="en-GB"/>
              </w:rPr>
              <w:t>4.5960</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40ABA" w:rsidRPr="00A13719">
              <w:rPr>
                <w:rFonts w:eastAsia="Times New Roman" w:cs="Times New Roman"/>
                <w:sz w:val="18"/>
                <w:szCs w:val="18"/>
                <w:lang w:eastAsia="en-GB"/>
              </w:rPr>
              <w:t>6.1593</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40ABA" w:rsidRPr="00A13719">
              <w:rPr>
                <w:rFonts w:eastAsia="Times New Roman" w:cs="Times New Roman"/>
                <w:sz w:val="18"/>
                <w:szCs w:val="18"/>
                <w:lang w:eastAsia="en-GB"/>
              </w:rPr>
              <w:t>3.2733</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40ABA" w:rsidRPr="00A13719">
              <w:rPr>
                <w:rFonts w:eastAsia="Times New Roman" w:cs="Times New Roman"/>
                <w:sz w:val="18"/>
                <w:szCs w:val="18"/>
                <w:lang w:eastAsia="en-GB"/>
              </w:rPr>
              <w:t>3.1474</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40ABA" w:rsidRPr="00A13719">
              <w:rPr>
                <w:rFonts w:eastAsia="Times New Roman" w:cs="Times New Roman"/>
                <w:sz w:val="18"/>
                <w:szCs w:val="18"/>
                <w:lang w:eastAsia="en-GB"/>
              </w:rPr>
              <w:t>2.9978</w:t>
            </w:r>
            <w:r w:rsidRPr="00A13719">
              <w:rPr>
                <w:rFonts w:eastAsia="Times New Roman" w:cs="Times New Roman"/>
                <w:sz w:val="18"/>
                <w:szCs w:val="18"/>
                <w:lang w:eastAsia="en-GB"/>
              </w:rPr>
              <w:t>)</w:t>
            </w:r>
          </w:p>
        </w:tc>
        <w:tc>
          <w:tcPr>
            <w:tcW w:w="997" w:type="dxa"/>
            <w:shd w:val="clear" w:color="000000" w:fill="auto"/>
            <w:noWrap/>
            <w:vAlign w:val="bottom"/>
            <w:hideMark/>
          </w:tcPr>
          <w:p w:rsidR="00734384" w:rsidRPr="00A13719" w:rsidRDefault="00B73585"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100D70" w:rsidRPr="00A13719">
              <w:rPr>
                <w:rFonts w:eastAsia="Times New Roman" w:cs="Times New Roman"/>
                <w:sz w:val="18"/>
                <w:szCs w:val="18"/>
                <w:lang w:eastAsia="en-GB"/>
              </w:rPr>
              <w:t>3.7917</w:t>
            </w:r>
            <w:r w:rsidRPr="00A13719">
              <w:rPr>
                <w:rFonts w:eastAsia="Times New Roman" w:cs="Times New Roman"/>
                <w:sz w:val="18"/>
                <w:szCs w:val="18"/>
                <w:lang w:eastAsia="en-GB"/>
              </w:rPr>
              <w:t>)</w:t>
            </w:r>
          </w:p>
        </w:tc>
      </w:tr>
      <w:tr w:rsidR="00A13719" w:rsidRPr="00A13719" w:rsidTr="007D745E">
        <w:trPr>
          <w:trHeight w:val="285"/>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Market Index-MAI</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-0.8544**</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0.6725**</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0.5930**</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0.5279**</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0.3045**</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0.2198**</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0.1552**</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0.3057**</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0.14826*</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0.0684**</w:t>
            </w:r>
            <w:r w:rsidR="00391337" w:rsidRPr="00A13719">
              <w:rPr>
                <w:rFonts w:eastAsia="Times New Roman" w:cs="Times New Roman"/>
                <w:sz w:val="18"/>
                <w:szCs w:val="18"/>
                <w:lang w:eastAsia="en-GB"/>
              </w:rPr>
              <w:t>*</w:t>
            </w: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DD77D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(-13.3174)</w:t>
            </w:r>
          </w:p>
        </w:tc>
        <w:tc>
          <w:tcPr>
            <w:tcW w:w="0" w:type="auto"/>
            <w:shd w:val="clear" w:color="000000" w:fill="auto"/>
            <w:noWrap/>
            <w:vAlign w:val="bottom"/>
            <w:hideMark/>
          </w:tcPr>
          <w:p w:rsidR="00734384" w:rsidRPr="00A13719" w:rsidRDefault="00DD77D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(31.7104)</w:t>
            </w:r>
          </w:p>
        </w:tc>
        <w:tc>
          <w:tcPr>
            <w:tcW w:w="0" w:type="auto"/>
            <w:shd w:val="clear" w:color="000000" w:fill="auto"/>
            <w:noWrap/>
            <w:vAlign w:val="bottom"/>
            <w:hideMark/>
          </w:tcPr>
          <w:p w:rsidR="00734384" w:rsidRPr="00A13719" w:rsidRDefault="00DD77D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(22.6857)</w:t>
            </w:r>
          </w:p>
        </w:tc>
        <w:tc>
          <w:tcPr>
            <w:tcW w:w="0" w:type="auto"/>
            <w:shd w:val="clear" w:color="000000" w:fill="auto"/>
            <w:noWrap/>
            <w:vAlign w:val="bottom"/>
            <w:hideMark/>
          </w:tcPr>
          <w:p w:rsidR="00734384" w:rsidRPr="00A13719" w:rsidRDefault="00DD77D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(29.9863)</w:t>
            </w:r>
          </w:p>
        </w:tc>
        <w:tc>
          <w:tcPr>
            <w:tcW w:w="0" w:type="auto"/>
            <w:shd w:val="clear" w:color="000000" w:fill="auto"/>
            <w:noWrap/>
            <w:vAlign w:val="bottom"/>
            <w:hideMark/>
          </w:tcPr>
          <w:p w:rsidR="00734384" w:rsidRPr="00A13719" w:rsidRDefault="00DD77D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(20.4472)</w:t>
            </w:r>
          </w:p>
        </w:tc>
        <w:tc>
          <w:tcPr>
            <w:tcW w:w="0" w:type="auto"/>
            <w:shd w:val="clear" w:color="000000" w:fill="auto"/>
            <w:noWrap/>
            <w:vAlign w:val="bottom"/>
            <w:hideMark/>
          </w:tcPr>
          <w:p w:rsidR="00734384" w:rsidRPr="00A13719" w:rsidRDefault="00DD77D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(10.7826)</w:t>
            </w:r>
          </w:p>
        </w:tc>
        <w:tc>
          <w:tcPr>
            <w:tcW w:w="0" w:type="auto"/>
            <w:shd w:val="clear" w:color="000000" w:fill="auto"/>
            <w:noWrap/>
            <w:vAlign w:val="bottom"/>
            <w:hideMark/>
          </w:tcPr>
          <w:p w:rsidR="00734384" w:rsidRPr="00A13719" w:rsidRDefault="00DD77D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(6.5516)</w:t>
            </w:r>
          </w:p>
        </w:tc>
        <w:tc>
          <w:tcPr>
            <w:tcW w:w="0" w:type="auto"/>
            <w:shd w:val="clear" w:color="000000" w:fill="auto"/>
            <w:noWrap/>
            <w:vAlign w:val="bottom"/>
            <w:hideMark/>
          </w:tcPr>
          <w:p w:rsidR="00734384" w:rsidRPr="00A13719" w:rsidRDefault="00DD77D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(8.3602)</w:t>
            </w:r>
          </w:p>
        </w:tc>
        <w:tc>
          <w:tcPr>
            <w:tcW w:w="0" w:type="auto"/>
            <w:shd w:val="clear" w:color="000000" w:fill="auto"/>
            <w:noWrap/>
            <w:vAlign w:val="bottom"/>
            <w:hideMark/>
          </w:tcPr>
          <w:p w:rsidR="00734384" w:rsidRPr="00A13719" w:rsidRDefault="00DD77D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(12.5996)</w:t>
            </w:r>
          </w:p>
        </w:tc>
        <w:tc>
          <w:tcPr>
            <w:tcW w:w="0" w:type="auto"/>
            <w:shd w:val="clear" w:color="000000" w:fill="auto"/>
            <w:noWrap/>
            <w:vAlign w:val="bottom"/>
            <w:hideMark/>
          </w:tcPr>
          <w:p w:rsidR="00734384" w:rsidRPr="00A13719" w:rsidRDefault="00DD77D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(6.2038)</w:t>
            </w: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285"/>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Momentum-MOM</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-0.1836**</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0.0417*</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0.1020**</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0.0899**</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0.0429*</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0.0397**</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0.0760**</w:t>
            </w:r>
            <w:r w:rsidR="00391337" w:rsidRPr="00A13719">
              <w:rPr>
                <w:rFonts w:eastAsia="Times New Roman" w:cs="Times New Roman"/>
                <w:sz w:val="18"/>
                <w:szCs w:val="18"/>
                <w:lang w:eastAsia="en-GB"/>
              </w:rPr>
              <w:t>*</w:t>
            </w: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0.1153</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217D0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6557E" w:rsidRPr="00A13719">
              <w:rPr>
                <w:rFonts w:eastAsia="Times New Roman" w:cs="Times New Roman"/>
                <w:sz w:val="18"/>
                <w:szCs w:val="18"/>
                <w:lang w:eastAsia="en-GB"/>
              </w:rPr>
              <w:t>-4.5980</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217D0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6557E" w:rsidRPr="00A13719">
              <w:rPr>
                <w:rFonts w:eastAsia="Times New Roman" w:cs="Times New Roman"/>
                <w:sz w:val="18"/>
                <w:szCs w:val="18"/>
                <w:lang w:eastAsia="en-GB"/>
              </w:rPr>
              <w:t>2.1941</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217D0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6557E" w:rsidRPr="00A13719">
              <w:rPr>
                <w:rFonts w:eastAsia="Times New Roman" w:cs="Times New Roman"/>
                <w:sz w:val="18"/>
                <w:szCs w:val="18"/>
                <w:lang w:eastAsia="en-GB"/>
              </w:rPr>
              <w:t>4.1671</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217D0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6557E" w:rsidRPr="00A13719">
              <w:rPr>
                <w:rFonts w:eastAsia="Times New Roman" w:cs="Times New Roman"/>
                <w:sz w:val="18"/>
                <w:szCs w:val="18"/>
                <w:lang w:eastAsia="en-GB"/>
              </w:rPr>
              <w:t>5.6980</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217D0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6557E" w:rsidRPr="00A13719">
              <w:rPr>
                <w:rFonts w:eastAsia="Times New Roman" w:cs="Times New Roman"/>
                <w:sz w:val="18"/>
                <w:szCs w:val="18"/>
                <w:lang w:eastAsia="en-GB"/>
              </w:rPr>
              <w:t>2.3595</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217D0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6557E" w:rsidRPr="00A13719">
              <w:rPr>
                <w:rFonts w:eastAsia="Times New Roman" w:cs="Times New Roman"/>
                <w:sz w:val="18"/>
                <w:szCs w:val="18"/>
                <w:lang w:eastAsia="en-GB"/>
              </w:rPr>
              <w:t>2.8038</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217D0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6557E" w:rsidRPr="00A13719">
              <w:rPr>
                <w:rFonts w:eastAsia="Times New Roman" w:cs="Times New Roman"/>
                <w:sz w:val="18"/>
                <w:szCs w:val="18"/>
                <w:lang w:eastAsia="en-GB"/>
              </w:rPr>
              <w:t>7.3612</w:t>
            </w:r>
            <w:r w:rsidRPr="00A13719">
              <w:rPr>
                <w:rFonts w:eastAsia="Times New Roman" w:cs="Times New Roman"/>
                <w:sz w:val="18"/>
                <w:szCs w:val="18"/>
                <w:lang w:eastAsia="en-GB"/>
              </w:rPr>
              <w:t>)</w:t>
            </w:r>
          </w:p>
        </w:tc>
        <w:tc>
          <w:tcPr>
            <w:tcW w:w="997" w:type="dxa"/>
            <w:shd w:val="clear" w:color="000000" w:fill="auto"/>
            <w:noWrap/>
            <w:vAlign w:val="bottom"/>
            <w:hideMark/>
          </w:tcPr>
          <w:p w:rsidR="00734384" w:rsidRPr="00A13719" w:rsidRDefault="00217D0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6557E" w:rsidRPr="00A13719">
              <w:rPr>
                <w:rFonts w:eastAsia="Times New Roman" w:cs="Times New Roman"/>
                <w:sz w:val="18"/>
                <w:szCs w:val="18"/>
                <w:lang w:eastAsia="en-GB"/>
              </w:rPr>
              <w:t>2.2867</w:t>
            </w:r>
            <w:r w:rsidRPr="00A13719">
              <w:rPr>
                <w:rFonts w:eastAsia="Times New Roman" w:cs="Times New Roman"/>
                <w:sz w:val="18"/>
                <w:szCs w:val="18"/>
                <w:lang w:eastAsia="en-GB"/>
              </w:rPr>
              <w:t>)</w:t>
            </w:r>
          </w:p>
        </w:tc>
      </w:tr>
      <w:tr w:rsidR="00A13719" w:rsidRPr="00A13719" w:rsidTr="007D745E">
        <w:trPr>
          <w:trHeight w:val="285"/>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Small minus Big-SMB</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-0.2556**</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0.2502**</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0.1562**</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0.2006**</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0.1638**</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0.0910**</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0.0703*</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DD73B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1C214E" w:rsidRPr="00A13719">
              <w:rPr>
                <w:rFonts w:eastAsia="Times New Roman" w:cs="Times New Roman"/>
                <w:sz w:val="18"/>
                <w:szCs w:val="18"/>
                <w:lang w:eastAsia="en-GB"/>
              </w:rPr>
              <w:t>-4.9304</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DD73B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1C214E" w:rsidRPr="00A13719">
              <w:rPr>
                <w:rFonts w:eastAsia="Times New Roman" w:cs="Times New Roman"/>
                <w:sz w:val="18"/>
                <w:szCs w:val="18"/>
                <w:lang w:eastAsia="en-GB"/>
              </w:rPr>
              <w:t>9.7241</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DD73B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1C214E" w:rsidRPr="00A13719">
              <w:rPr>
                <w:rFonts w:eastAsia="Times New Roman" w:cs="Times New Roman"/>
                <w:sz w:val="18"/>
                <w:szCs w:val="18"/>
                <w:lang w:eastAsia="en-GB"/>
              </w:rPr>
              <w:t>4.9638</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DD73B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1C214E" w:rsidRPr="00A13719">
              <w:rPr>
                <w:rFonts w:eastAsia="Times New Roman" w:cs="Times New Roman"/>
                <w:sz w:val="18"/>
                <w:szCs w:val="18"/>
                <w:lang w:eastAsia="en-GB"/>
              </w:rPr>
              <w:t>9.1875</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DD73B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1C214E" w:rsidRPr="00A13719">
              <w:rPr>
                <w:rFonts w:eastAsia="Times New Roman" w:cs="Times New Roman"/>
                <w:sz w:val="18"/>
                <w:szCs w:val="18"/>
                <w:lang w:eastAsia="en-GB"/>
              </w:rPr>
              <w:t>9.0695</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DD73B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1C214E" w:rsidRPr="00A13719">
              <w:rPr>
                <w:rFonts w:eastAsia="Times New Roman" w:cs="Times New Roman"/>
                <w:sz w:val="18"/>
                <w:szCs w:val="18"/>
                <w:lang w:eastAsia="en-GB"/>
              </w:rPr>
              <w:t>3.6407</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DD73B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1C214E" w:rsidRPr="00A13719">
              <w:rPr>
                <w:rFonts w:eastAsia="Times New Roman" w:cs="Times New Roman"/>
                <w:sz w:val="18"/>
                <w:szCs w:val="18"/>
                <w:lang w:eastAsia="en-GB"/>
              </w:rPr>
              <w:t>4.8214</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285"/>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Global Market Index (excl. U.S.)-GEMI</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-0.1941**</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0.0725</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8665A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35133E" w:rsidRPr="00A13719">
              <w:rPr>
                <w:rFonts w:eastAsia="Times New Roman" w:cs="Times New Roman"/>
                <w:sz w:val="18"/>
                <w:szCs w:val="18"/>
                <w:lang w:eastAsia="en-GB"/>
              </w:rPr>
              <w:t>-3.3394</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8665A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35133E" w:rsidRPr="00A13719">
              <w:rPr>
                <w:rFonts w:eastAsia="Times New Roman" w:cs="Times New Roman"/>
                <w:sz w:val="18"/>
                <w:szCs w:val="18"/>
                <w:lang w:eastAsia="en-GB"/>
              </w:rPr>
              <w:t>3.5418</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285"/>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Industry Metals-COIM</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0.1126**</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BB73B2"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(3.3252)</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285"/>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High minus Low-HML</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0.2077**</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0.0666**</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0.1774*</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0.0580</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0.0676*</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98230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C5CBF" w:rsidRPr="00A13719">
              <w:rPr>
                <w:rFonts w:eastAsia="Times New Roman" w:cs="Times New Roman"/>
                <w:sz w:val="18"/>
                <w:szCs w:val="18"/>
                <w:lang w:eastAsia="en-GB"/>
              </w:rPr>
              <w:t>7.2650</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98230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C5CBF" w:rsidRPr="00A13719">
              <w:rPr>
                <w:rFonts w:eastAsia="Times New Roman" w:cs="Times New Roman"/>
                <w:sz w:val="18"/>
                <w:szCs w:val="18"/>
                <w:lang w:eastAsia="en-GB"/>
              </w:rPr>
              <w:t>2.8075</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98230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C5CBF" w:rsidRPr="00A13719">
              <w:rPr>
                <w:rFonts w:eastAsia="Times New Roman" w:cs="Times New Roman"/>
                <w:sz w:val="18"/>
                <w:szCs w:val="18"/>
                <w:lang w:eastAsia="en-GB"/>
              </w:rPr>
              <w:t>8.8007</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98230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C5CBF" w:rsidRPr="00A13719">
              <w:rPr>
                <w:rFonts w:eastAsia="Times New Roman" w:cs="Times New Roman"/>
                <w:sz w:val="18"/>
                <w:szCs w:val="18"/>
                <w:lang w:eastAsia="en-GB"/>
              </w:rPr>
              <w:t>2.1147</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98230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C5CBF" w:rsidRPr="00A13719">
              <w:rPr>
                <w:rFonts w:eastAsia="Times New Roman" w:cs="Times New Roman"/>
                <w:sz w:val="18"/>
                <w:szCs w:val="18"/>
                <w:lang w:eastAsia="en-GB"/>
              </w:rPr>
              <w:t>4.2406</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285"/>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Energy-COEN</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0.0226*</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0.0436**</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0.0316**</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E660DF"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(2.2440)</w:t>
            </w:r>
          </w:p>
        </w:tc>
        <w:tc>
          <w:tcPr>
            <w:tcW w:w="0" w:type="auto"/>
            <w:shd w:val="clear" w:color="000000" w:fill="auto"/>
            <w:noWrap/>
            <w:vAlign w:val="bottom"/>
            <w:hideMark/>
          </w:tcPr>
          <w:p w:rsidR="00734384" w:rsidRPr="00A13719" w:rsidRDefault="00E660DF"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(3.3348)</w:t>
            </w:r>
          </w:p>
        </w:tc>
        <w:tc>
          <w:tcPr>
            <w:tcW w:w="0" w:type="auto"/>
            <w:shd w:val="clear" w:color="000000" w:fill="auto"/>
            <w:noWrap/>
            <w:vAlign w:val="bottom"/>
            <w:hideMark/>
          </w:tcPr>
          <w:p w:rsidR="00734384" w:rsidRPr="00A13719" w:rsidRDefault="00E660DF"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(3.7329)</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285"/>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Precious Metals-COPM</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0.0735**</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0.0319*</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0.0427</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0.0888*</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592F1D"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DE2977" w:rsidRPr="00A13719">
              <w:rPr>
                <w:rFonts w:eastAsia="Times New Roman" w:cs="Times New Roman"/>
                <w:sz w:val="18"/>
                <w:szCs w:val="18"/>
                <w:lang w:eastAsia="en-GB"/>
              </w:rPr>
              <w:t>3.2081</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592F1D"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DE2977" w:rsidRPr="00A13719">
              <w:rPr>
                <w:rFonts w:eastAsia="Times New Roman" w:cs="Times New Roman"/>
                <w:sz w:val="18"/>
                <w:szCs w:val="18"/>
                <w:lang w:eastAsia="en-GB"/>
              </w:rPr>
              <w:t>2.1592</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592F1D"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DE2977" w:rsidRPr="00A13719">
              <w:rPr>
                <w:rFonts w:eastAsia="Times New Roman" w:cs="Times New Roman"/>
                <w:sz w:val="18"/>
                <w:szCs w:val="18"/>
                <w:lang w:eastAsia="en-GB"/>
              </w:rPr>
              <w:t>2.5119</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592F1D"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DE2977" w:rsidRPr="00A13719">
              <w:rPr>
                <w:rFonts w:eastAsia="Times New Roman" w:cs="Times New Roman"/>
                <w:sz w:val="18"/>
                <w:szCs w:val="18"/>
                <w:lang w:eastAsia="en-GB"/>
              </w:rPr>
              <w:t>3.7381</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285"/>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Default Spread-DEF</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-1.3262**</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-0.9403**</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-0.8946*</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-0.8748*</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-0.3826*</w:t>
            </w:r>
            <w:r w:rsidR="00391337" w:rsidRPr="00A13719">
              <w:rPr>
                <w:rFonts w:eastAsia="Times New Roman" w:cs="Times New Roman"/>
                <w:sz w:val="18"/>
                <w:szCs w:val="18"/>
                <w:lang w:eastAsia="en-GB"/>
              </w:rPr>
              <w:t>*</w:t>
            </w: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F75102"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E0688A" w:rsidRPr="00A13719">
              <w:rPr>
                <w:rFonts w:eastAsia="Times New Roman" w:cs="Times New Roman"/>
                <w:sz w:val="18"/>
                <w:szCs w:val="18"/>
                <w:lang w:eastAsia="en-GB"/>
              </w:rPr>
              <w:t>-2.9148</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F75102"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E0688A" w:rsidRPr="00A13719">
              <w:rPr>
                <w:rFonts w:eastAsia="Times New Roman" w:cs="Times New Roman"/>
                <w:sz w:val="18"/>
                <w:szCs w:val="18"/>
                <w:lang w:eastAsia="en-GB"/>
              </w:rPr>
              <w:t>-30885</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F75102"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E0688A" w:rsidRPr="00A13719">
              <w:rPr>
                <w:rFonts w:eastAsia="Times New Roman" w:cs="Times New Roman"/>
                <w:sz w:val="18"/>
                <w:szCs w:val="18"/>
                <w:lang w:eastAsia="en-GB"/>
              </w:rPr>
              <w:t>-2.6214</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F75102"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E0688A" w:rsidRPr="00A13719">
              <w:rPr>
                <w:rFonts w:eastAsia="Times New Roman" w:cs="Times New Roman"/>
                <w:sz w:val="18"/>
                <w:szCs w:val="18"/>
                <w:lang w:eastAsia="en-GB"/>
              </w:rPr>
              <w:t>-3.3064</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F75102"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473671" w:rsidRPr="00A13719">
              <w:rPr>
                <w:rFonts w:eastAsia="Times New Roman" w:cs="Times New Roman"/>
                <w:sz w:val="18"/>
                <w:szCs w:val="18"/>
                <w:lang w:eastAsia="en-GB"/>
              </w:rPr>
              <w:t>-1.9932</w:t>
            </w:r>
            <w:r w:rsidRPr="00A13719">
              <w:rPr>
                <w:rFonts w:eastAsia="Times New Roman" w:cs="Times New Roman"/>
                <w:sz w:val="18"/>
                <w:szCs w:val="18"/>
                <w:lang w:eastAsia="en-GB"/>
              </w:rPr>
              <w:t>)</w:t>
            </w: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285"/>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Term Spread-TERM</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-0.1649**</w:t>
            </w:r>
            <w:r w:rsidR="00391337"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0.1235*</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122"/>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BA258D"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E41CDE" w:rsidRPr="00A13719">
              <w:rPr>
                <w:rFonts w:eastAsia="Times New Roman" w:cs="Times New Roman"/>
                <w:sz w:val="18"/>
                <w:szCs w:val="18"/>
                <w:lang w:eastAsia="en-GB"/>
              </w:rPr>
              <w:t>-2.9027</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BA258D"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E41CDE" w:rsidRPr="00A13719">
              <w:rPr>
                <w:rFonts w:eastAsia="Times New Roman" w:cs="Times New Roman"/>
                <w:sz w:val="18"/>
                <w:szCs w:val="18"/>
                <w:lang w:eastAsia="en-GB"/>
              </w:rPr>
              <w:t>3.3405</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300"/>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Real Estate Index-RLE</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-0.0371</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AC3A7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(-2.3581)</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300"/>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Change in VIX-DVIX</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0.0214*</w:t>
            </w:r>
            <w:r w:rsidR="00391337"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D745E">
        <w:trPr>
          <w:trHeight w:val="67"/>
          <w:jc w:val="center"/>
        </w:trPr>
        <w:tc>
          <w:tcPr>
            <w:tcW w:w="2872"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95331D"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(2.6184)</w:t>
            </w: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492159">
        <w:trPr>
          <w:trHeight w:val="313"/>
          <w:jc w:val="center"/>
        </w:trPr>
        <w:tc>
          <w:tcPr>
            <w:tcW w:w="2872" w:type="dxa"/>
            <w:tcBorders>
              <w:bottom w:val="nil"/>
            </w:tcBorders>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Exchange Rate-EXCH</w:t>
            </w:r>
          </w:p>
        </w:tc>
        <w:tc>
          <w:tcPr>
            <w:tcW w:w="0" w:type="auto"/>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0" w:type="auto"/>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997"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7"/>
                <w:szCs w:val="17"/>
                <w:lang w:eastAsia="en-GB"/>
              </w:rPr>
            </w:pPr>
            <w:r w:rsidRPr="00A13719">
              <w:rPr>
                <w:rFonts w:eastAsia="Times New Roman" w:cs="Times New Roman"/>
                <w:sz w:val="17"/>
                <w:szCs w:val="17"/>
                <w:lang w:eastAsia="en-GB"/>
              </w:rPr>
              <w:t>-0.4015*</w:t>
            </w:r>
            <w:r w:rsidR="00391337" w:rsidRPr="00A13719">
              <w:rPr>
                <w:rFonts w:eastAsia="Times New Roman" w:cs="Times New Roman"/>
                <w:sz w:val="17"/>
                <w:szCs w:val="17"/>
                <w:lang w:eastAsia="en-GB"/>
              </w:rPr>
              <w:t>*</w:t>
            </w:r>
            <w:r w:rsidRPr="00A13719">
              <w:rPr>
                <w:rFonts w:eastAsia="Times New Roman" w:cs="Times New Roman"/>
                <w:sz w:val="17"/>
                <w:szCs w:val="17"/>
                <w:lang w:eastAsia="en-GB"/>
              </w:rPr>
              <w:t>*</w:t>
            </w:r>
          </w:p>
        </w:tc>
      </w:tr>
      <w:tr w:rsidR="00A13719" w:rsidRPr="00A13719" w:rsidTr="00492159">
        <w:trPr>
          <w:trHeight w:val="173"/>
          <w:jc w:val="center"/>
        </w:trPr>
        <w:tc>
          <w:tcPr>
            <w:tcW w:w="2872" w:type="dxa"/>
            <w:tcBorders>
              <w:top w:val="nil"/>
              <w:bottom w:val="single" w:sz="8" w:space="0" w:color="auto"/>
            </w:tcBorders>
            <w:shd w:val="clear" w:color="000000" w:fill="auto"/>
            <w:noWrap/>
            <w:vAlign w:val="bottom"/>
          </w:tcPr>
          <w:p w:rsidR="00AF4F1B" w:rsidRPr="00A13719" w:rsidRDefault="00AF4F1B" w:rsidP="00734384">
            <w:pPr>
              <w:spacing w:after="0" w:line="240" w:lineRule="auto"/>
              <w:rPr>
                <w:rFonts w:eastAsia="Times New Roman" w:cs="Times New Roman"/>
                <w:sz w:val="18"/>
                <w:szCs w:val="18"/>
                <w:lang w:eastAsia="en-GB"/>
              </w:rPr>
            </w:pPr>
          </w:p>
        </w:tc>
        <w:tc>
          <w:tcPr>
            <w:tcW w:w="0" w:type="auto"/>
            <w:tcBorders>
              <w:top w:val="nil"/>
              <w:bottom w:val="single" w:sz="8" w:space="0" w:color="auto"/>
            </w:tcBorders>
            <w:shd w:val="clear" w:color="000000" w:fill="auto"/>
            <w:noWrap/>
            <w:vAlign w:val="bottom"/>
          </w:tcPr>
          <w:p w:rsidR="00AF4F1B" w:rsidRPr="00A13719" w:rsidRDefault="00AF4F1B" w:rsidP="00732A8E">
            <w:pPr>
              <w:spacing w:after="0" w:line="240" w:lineRule="auto"/>
              <w:jc w:val="center"/>
              <w:rPr>
                <w:rFonts w:eastAsia="Times New Roman" w:cs="Times New Roman"/>
                <w:sz w:val="18"/>
                <w:szCs w:val="18"/>
                <w:lang w:eastAsia="en-GB"/>
              </w:rPr>
            </w:pPr>
          </w:p>
        </w:tc>
        <w:tc>
          <w:tcPr>
            <w:tcW w:w="0" w:type="auto"/>
            <w:tcBorders>
              <w:top w:val="nil"/>
              <w:bottom w:val="single" w:sz="8" w:space="0" w:color="auto"/>
            </w:tcBorders>
            <w:shd w:val="clear" w:color="000000" w:fill="auto"/>
            <w:noWrap/>
            <w:vAlign w:val="bottom"/>
          </w:tcPr>
          <w:p w:rsidR="00AF4F1B" w:rsidRPr="00A13719" w:rsidRDefault="00AF4F1B" w:rsidP="00732A8E">
            <w:pPr>
              <w:spacing w:after="0" w:line="240" w:lineRule="auto"/>
              <w:jc w:val="center"/>
              <w:rPr>
                <w:rFonts w:eastAsia="Times New Roman" w:cs="Times New Roman"/>
                <w:sz w:val="18"/>
                <w:szCs w:val="18"/>
                <w:lang w:eastAsia="en-GB"/>
              </w:rPr>
            </w:pPr>
          </w:p>
        </w:tc>
        <w:tc>
          <w:tcPr>
            <w:tcW w:w="0" w:type="auto"/>
            <w:tcBorders>
              <w:top w:val="nil"/>
              <w:bottom w:val="single" w:sz="8" w:space="0" w:color="auto"/>
            </w:tcBorders>
            <w:shd w:val="clear" w:color="000000" w:fill="auto"/>
            <w:noWrap/>
            <w:vAlign w:val="bottom"/>
          </w:tcPr>
          <w:p w:rsidR="00AF4F1B" w:rsidRPr="00A13719" w:rsidRDefault="00AF4F1B" w:rsidP="00732A8E">
            <w:pPr>
              <w:spacing w:after="0" w:line="240" w:lineRule="auto"/>
              <w:jc w:val="center"/>
              <w:rPr>
                <w:rFonts w:eastAsia="Times New Roman" w:cs="Times New Roman"/>
                <w:sz w:val="18"/>
                <w:szCs w:val="18"/>
                <w:lang w:eastAsia="en-GB"/>
              </w:rPr>
            </w:pPr>
          </w:p>
        </w:tc>
        <w:tc>
          <w:tcPr>
            <w:tcW w:w="0" w:type="auto"/>
            <w:tcBorders>
              <w:top w:val="nil"/>
              <w:bottom w:val="single" w:sz="8" w:space="0" w:color="auto"/>
            </w:tcBorders>
            <w:shd w:val="clear" w:color="000000" w:fill="auto"/>
            <w:noWrap/>
            <w:vAlign w:val="bottom"/>
          </w:tcPr>
          <w:p w:rsidR="00AF4F1B" w:rsidRPr="00A13719" w:rsidRDefault="00AF4F1B" w:rsidP="00732A8E">
            <w:pPr>
              <w:spacing w:after="0" w:line="240" w:lineRule="auto"/>
              <w:jc w:val="center"/>
              <w:rPr>
                <w:rFonts w:eastAsia="Times New Roman" w:cs="Times New Roman"/>
                <w:sz w:val="18"/>
                <w:szCs w:val="18"/>
                <w:lang w:eastAsia="en-GB"/>
              </w:rPr>
            </w:pPr>
          </w:p>
        </w:tc>
        <w:tc>
          <w:tcPr>
            <w:tcW w:w="0" w:type="auto"/>
            <w:tcBorders>
              <w:top w:val="nil"/>
              <w:bottom w:val="single" w:sz="8" w:space="0" w:color="auto"/>
            </w:tcBorders>
            <w:shd w:val="clear" w:color="000000" w:fill="auto"/>
            <w:noWrap/>
            <w:vAlign w:val="bottom"/>
          </w:tcPr>
          <w:p w:rsidR="00AF4F1B" w:rsidRPr="00A13719" w:rsidRDefault="00AF4F1B" w:rsidP="00732A8E">
            <w:pPr>
              <w:spacing w:after="0" w:line="240" w:lineRule="auto"/>
              <w:jc w:val="center"/>
              <w:rPr>
                <w:rFonts w:eastAsia="Times New Roman" w:cs="Times New Roman"/>
                <w:sz w:val="18"/>
                <w:szCs w:val="18"/>
                <w:lang w:eastAsia="en-GB"/>
              </w:rPr>
            </w:pPr>
          </w:p>
        </w:tc>
        <w:tc>
          <w:tcPr>
            <w:tcW w:w="0" w:type="auto"/>
            <w:tcBorders>
              <w:top w:val="nil"/>
              <w:bottom w:val="single" w:sz="8" w:space="0" w:color="auto"/>
            </w:tcBorders>
            <w:shd w:val="clear" w:color="000000" w:fill="auto"/>
            <w:noWrap/>
            <w:vAlign w:val="bottom"/>
          </w:tcPr>
          <w:p w:rsidR="00AF4F1B" w:rsidRPr="00A13719" w:rsidRDefault="00AF4F1B" w:rsidP="00732A8E">
            <w:pPr>
              <w:spacing w:after="0" w:line="240" w:lineRule="auto"/>
              <w:jc w:val="center"/>
              <w:rPr>
                <w:rFonts w:eastAsia="Times New Roman" w:cs="Times New Roman"/>
                <w:sz w:val="18"/>
                <w:szCs w:val="18"/>
                <w:lang w:eastAsia="en-GB"/>
              </w:rPr>
            </w:pPr>
          </w:p>
        </w:tc>
        <w:tc>
          <w:tcPr>
            <w:tcW w:w="0" w:type="auto"/>
            <w:tcBorders>
              <w:top w:val="nil"/>
              <w:bottom w:val="single" w:sz="8" w:space="0" w:color="auto"/>
            </w:tcBorders>
            <w:shd w:val="clear" w:color="000000" w:fill="auto"/>
            <w:noWrap/>
            <w:vAlign w:val="bottom"/>
          </w:tcPr>
          <w:p w:rsidR="00AF4F1B" w:rsidRPr="00A13719" w:rsidRDefault="00AF4F1B" w:rsidP="00732A8E">
            <w:pPr>
              <w:spacing w:after="0" w:line="240" w:lineRule="auto"/>
              <w:jc w:val="center"/>
              <w:rPr>
                <w:rFonts w:eastAsia="Times New Roman" w:cs="Times New Roman"/>
                <w:sz w:val="18"/>
                <w:szCs w:val="18"/>
                <w:lang w:eastAsia="en-GB"/>
              </w:rPr>
            </w:pPr>
          </w:p>
        </w:tc>
        <w:tc>
          <w:tcPr>
            <w:tcW w:w="0" w:type="auto"/>
            <w:tcBorders>
              <w:top w:val="nil"/>
              <w:bottom w:val="single" w:sz="8" w:space="0" w:color="auto"/>
            </w:tcBorders>
            <w:shd w:val="clear" w:color="000000" w:fill="auto"/>
            <w:noWrap/>
            <w:vAlign w:val="bottom"/>
          </w:tcPr>
          <w:p w:rsidR="00AF4F1B" w:rsidRPr="00A13719" w:rsidRDefault="00AF4F1B" w:rsidP="00732A8E">
            <w:pPr>
              <w:spacing w:after="0" w:line="240" w:lineRule="auto"/>
              <w:jc w:val="center"/>
              <w:rPr>
                <w:rFonts w:eastAsia="Times New Roman" w:cs="Times New Roman"/>
                <w:sz w:val="18"/>
                <w:szCs w:val="18"/>
                <w:lang w:eastAsia="en-GB"/>
              </w:rPr>
            </w:pPr>
          </w:p>
        </w:tc>
        <w:tc>
          <w:tcPr>
            <w:tcW w:w="0" w:type="auto"/>
            <w:tcBorders>
              <w:top w:val="nil"/>
              <w:bottom w:val="single" w:sz="8" w:space="0" w:color="auto"/>
            </w:tcBorders>
            <w:shd w:val="clear" w:color="000000" w:fill="auto"/>
            <w:noWrap/>
            <w:vAlign w:val="bottom"/>
          </w:tcPr>
          <w:p w:rsidR="00AF4F1B" w:rsidRPr="00A13719" w:rsidRDefault="00AF4F1B" w:rsidP="00732A8E">
            <w:pPr>
              <w:spacing w:after="0" w:line="240" w:lineRule="auto"/>
              <w:jc w:val="center"/>
              <w:rPr>
                <w:rFonts w:eastAsia="Times New Roman" w:cs="Times New Roman"/>
                <w:sz w:val="18"/>
                <w:szCs w:val="18"/>
                <w:lang w:eastAsia="en-GB"/>
              </w:rPr>
            </w:pPr>
          </w:p>
        </w:tc>
        <w:tc>
          <w:tcPr>
            <w:tcW w:w="0" w:type="auto"/>
            <w:tcBorders>
              <w:top w:val="nil"/>
              <w:bottom w:val="single" w:sz="8" w:space="0" w:color="auto"/>
            </w:tcBorders>
            <w:shd w:val="clear" w:color="000000" w:fill="auto"/>
            <w:noWrap/>
            <w:vAlign w:val="bottom"/>
          </w:tcPr>
          <w:p w:rsidR="00AF4F1B" w:rsidRPr="00A13719" w:rsidRDefault="00AF4F1B" w:rsidP="00732A8E">
            <w:pPr>
              <w:spacing w:after="0" w:line="240" w:lineRule="auto"/>
              <w:jc w:val="center"/>
              <w:rPr>
                <w:rFonts w:eastAsia="Times New Roman" w:cs="Times New Roman"/>
                <w:sz w:val="18"/>
                <w:szCs w:val="18"/>
                <w:lang w:eastAsia="en-GB"/>
              </w:rPr>
            </w:pPr>
          </w:p>
        </w:tc>
        <w:tc>
          <w:tcPr>
            <w:tcW w:w="997" w:type="dxa"/>
            <w:tcBorders>
              <w:top w:val="nil"/>
              <w:bottom w:val="single" w:sz="8" w:space="0" w:color="auto"/>
            </w:tcBorders>
            <w:shd w:val="clear" w:color="000000" w:fill="auto"/>
            <w:noWrap/>
            <w:vAlign w:val="bottom"/>
          </w:tcPr>
          <w:p w:rsidR="00AF4F1B" w:rsidRPr="00A13719" w:rsidRDefault="0095331D"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(-2.9292)</w:t>
            </w:r>
          </w:p>
        </w:tc>
      </w:tr>
      <w:tr w:rsidR="00A13719" w:rsidRPr="00A13719" w:rsidTr="00492159">
        <w:trPr>
          <w:trHeight w:val="173"/>
          <w:jc w:val="center"/>
        </w:trPr>
        <w:tc>
          <w:tcPr>
            <w:tcW w:w="2872" w:type="dxa"/>
            <w:tcBorders>
              <w:top w:val="single" w:sz="8" w:space="0" w:color="auto"/>
              <w:bottom w:val="nil"/>
            </w:tcBorders>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Adj. R-squared:</w:t>
            </w:r>
          </w:p>
        </w:tc>
        <w:tc>
          <w:tcPr>
            <w:tcW w:w="0" w:type="auto"/>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0.6971</w:t>
            </w:r>
          </w:p>
        </w:tc>
        <w:tc>
          <w:tcPr>
            <w:tcW w:w="0" w:type="auto"/>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0.8250</w:t>
            </w:r>
          </w:p>
        </w:tc>
        <w:tc>
          <w:tcPr>
            <w:tcW w:w="0" w:type="auto"/>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0.7201</w:t>
            </w:r>
          </w:p>
        </w:tc>
        <w:tc>
          <w:tcPr>
            <w:tcW w:w="0" w:type="auto"/>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0.8253</w:t>
            </w:r>
          </w:p>
        </w:tc>
        <w:tc>
          <w:tcPr>
            <w:tcW w:w="0" w:type="auto"/>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0.6699</w:t>
            </w:r>
          </w:p>
        </w:tc>
        <w:tc>
          <w:tcPr>
            <w:tcW w:w="0" w:type="auto"/>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0.3757</w:t>
            </w:r>
          </w:p>
        </w:tc>
        <w:tc>
          <w:tcPr>
            <w:tcW w:w="0" w:type="auto"/>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0.4287</w:t>
            </w:r>
          </w:p>
        </w:tc>
        <w:tc>
          <w:tcPr>
            <w:tcW w:w="0" w:type="auto"/>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0.2873</w:t>
            </w:r>
          </w:p>
        </w:tc>
        <w:tc>
          <w:tcPr>
            <w:tcW w:w="0" w:type="auto"/>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0.4507</w:t>
            </w:r>
          </w:p>
        </w:tc>
        <w:tc>
          <w:tcPr>
            <w:tcW w:w="0" w:type="auto"/>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0.2576</w:t>
            </w:r>
          </w:p>
        </w:tc>
        <w:tc>
          <w:tcPr>
            <w:tcW w:w="997"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0.0417</w:t>
            </w:r>
          </w:p>
        </w:tc>
      </w:tr>
      <w:tr w:rsidR="00A13719" w:rsidRPr="00A13719" w:rsidTr="007D745E">
        <w:trPr>
          <w:trHeight w:val="113"/>
          <w:jc w:val="center"/>
        </w:trPr>
        <w:tc>
          <w:tcPr>
            <w:tcW w:w="2872" w:type="dxa"/>
            <w:tcBorders>
              <w:top w:val="nil"/>
              <w:bottom w:val="nil"/>
            </w:tcBorders>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F-statistic:</w:t>
            </w:r>
          </w:p>
        </w:tc>
        <w:tc>
          <w:tcPr>
            <w:tcW w:w="0" w:type="auto"/>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118.8076</w:t>
            </w:r>
          </w:p>
        </w:tc>
        <w:tc>
          <w:tcPr>
            <w:tcW w:w="0" w:type="auto"/>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242.3137</w:t>
            </w:r>
          </w:p>
        </w:tc>
        <w:tc>
          <w:tcPr>
            <w:tcW w:w="0" w:type="auto"/>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110.7509</w:t>
            </w:r>
          </w:p>
        </w:tc>
        <w:tc>
          <w:tcPr>
            <w:tcW w:w="0" w:type="auto"/>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152.1313</w:t>
            </w:r>
          </w:p>
        </w:tc>
        <w:tc>
          <w:tcPr>
            <w:tcW w:w="0" w:type="auto"/>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174.1677</w:t>
            </w:r>
          </w:p>
        </w:tc>
        <w:tc>
          <w:tcPr>
            <w:tcW w:w="0" w:type="auto"/>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26.6785</w:t>
            </w:r>
          </w:p>
        </w:tc>
        <w:tc>
          <w:tcPr>
            <w:tcW w:w="0" w:type="auto"/>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39.4161</w:t>
            </w:r>
          </w:p>
        </w:tc>
        <w:tc>
          <w:tcPr>
            <w:tcW w:w="0" w:type="auto"/>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35.3934</w:t>
            </w:r>
          </w:p>
        </w:tc>
        <w:tc>
          <w:tcPr>
            <w:tcW w:w="0" w:type="auto"/>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53.5171</w:t>
            </w:r>
          </w:p>
        </w:tc>
        <w:tc>
          <w:tcPr>
            <w:tcW w:w="0" w:type="auto"/>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30.6072</w:t>
            </w:r>
          </w:p>
        </w:tc>
        <w:tc>
          <w:tcPr>
            <w:tcW w:w="997"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6.575</w:t>
            </w:r>
          </w:p>
        </w:tc>
      </w:tr>
      <w:tr w:rsidR="00A13719" w:rsidRPr="00A13719" w:rsidTr="007D745E">
        <w:trPr>
          <w:trHeight w:val="68"/>
          <w:jc w:val="center"/>
        </w:trPr>
        <w:tc>
          <w:tcPr>
            <w:tcW w:w="2872" w:type="dxa"/>
            <w:tcBorders>
              <w:top w:val="nil"/>
              <w:bottom w:val="single" w:sz="8" w:space="0" w:color="auto"/>
            </w:tcBorders>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Prob (F-stat):</w:t>
            </w:r>
          </w:p>
        </w:tc>
        <w:tc>
          <w:tcPr>
            <w:tcW w:w="0" w:type="auto"/>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997"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0.0016</w:t>
            </w:r>
          </w:p>
        </w:tc>
      </w:tr>
    </w:tbl>
    <w:p w:rsidR="00734384" w:rsidRPr="00A13719" w:rsidRDefault="00734384" w:rsidP="00734384">
      <w:pPr>
        <w:jc w:val="both"/>
        <w:rPr>
          <w:lang w:val="en-US"/>
        </w:rPr>
        <w:sectPr w:rsidR="00734384" w:rsidRPr="00A13719" w:rsidSect="00492159">
          <w:pgSz w:w="16838" w:h="11906" w:orient="landscape" w:code="9"/>
          <w:pgMar w:top="567" w:right="1440" w:bottom="567" w:left="1440" w:header="227" w:footer="227" w:gutter="0"/>
          <w:cols w:space="708"/>
          <w:titlePg/>
          <w:docGrid w:linePitch="360"/>
        </w:sectPr>
      </w:pPr>
    </w:p>
    <w:p w:rsidR="007C333D" w:rsidRPr="00A13719" w:rsidRDefault="007C333D" w:rsidP="006A3B3D">
      <w:pPr>
        <w:spacing w:after="0"/>
        <w:rPr>
          <w:b/>
          <w:lang w:val="en-US"/>
        </w:rPr>
      </w:pPr>
      <w:r w:rsidRPr="00A13719">
        <w:rPr>
          <w:b/>
          <w:lang w:val="en-US"/>
        </w:rPr>
        <w:lastRenderedPageBreak/>
        <w:t>Recession</w:t>
      </w:r>
      <w:r w:rsidR="005440B5" w:rsidRPr="00A13719">
        <w:rPr>
          <w:b/>
          <w:lang w:val="en-US"/>
        </w:rPr>
        <w:t xml:space="preserve"> Periods</w:t>
      </w:r>
    </w:p>
    <w:p w:rsidR="00727A2E" w:rsidRPr="00A13719" w:rsidRDefault="0083525A" w:rsidP="00727A2E">
      <w:pPr>
        <w:jc w:val="both"/>
        <w:rPr>
          <w:lang w:val="en-US"/>
        </w:rPr>
      </w:pPr>
      <w:r w:rsidRPr="00A13719">
        <w:rPr>
          <w:lang w:val="en-US"/>
        </w:rPr>
        <w:t xml:space="preserve">Table </w:t>
      </w:r>
      <w:r w:rsidR="00990621" w:rsidRPr="00A13719">
        <w:rPr>
          <w:lang w:val="en-US"/>
        </w:rPr>
        <w:t>4</w:t>
      </w:r>
      <w:r w:rsidR="00802156" w:rsidRPr="00A13719">
        <w:rPr>
          <w:lang w:val="en-US"/>
        </w:rPr>
        <w:t xml:space="preserve"> </w:t>
      </w:r>
      <w:r w:rsidR="00AC2046" w:rsidRPr="00A13719">
        <w:rPr>
          <w:lang w:val="en-US"/>
        </w:rPr>
        <w:t>show</w:t>
      </w:r>
      <w:r w:rsidR="00802156" w:rsidRPr="00A13719">
        <w:rPr>
          <w:lang w:val="en-US"/>
        </w:rPr>
        <w:t>s</w:t>
      </w:r>
      <w:r w:rsidR="00727A2E" w:rsidRPr="00A13719">
        <w:rPr>
          <w:lang w:val="en-US"/>
        </w:rPr>
        <w:t xml:space="preserve"> that </w:t>
      </w:r>
      <w:r w:rsidR="00EE68D8" w:rsidRPr="00A13719">
        <w:rPr>
          <w:lang w:val="en-US"/>
        </w:rPr>
        <w:t xml:space="preserve">the majority </w:t>
      </w:r>
      <w:r w:rsidR="005440B5" w:rsidRPr="00A13719">
        <w:rPr>
          <w:lang w:val="en-US"/>
        </w:rPr>
        <w:t xml:space="preserve">of </w:t>
      </w:r>
      <w:r w:rsidR="00773803" w:rsidRPr="00A13719">
        <w:rPr>
          <w:rFonts w:eastAsiaTheme="minorEastAsia"/>
          <w:lang w:val="en-US"/>
        </w:rPr>
        <w:t>HF</w:t>
      </w:r>
      <w:r w:rsidR="00727A2E" w:rsidRPr="00A13719">
        <w:rPr>
          <w:lang w:val="en-US"/>
        </w:rPr>
        <w:t xml:space="preserve"> strategies do not deliver significant alpha</w:t>
      </w:r>
      <w:r w:rsidR="005440B5" w:rsidRPr="00A13719">
        <w:rPr>
          <w:lang w:val="en-US"/>
        </w:rPr>
        <w:t xml:space="preserve"> during recessions</w:t>
      </w:r>
      <w:r w:rsidR="0060545A" w:rsidRPr="00A13719">
        <w:rPr>
          <w:lang w:val="en-US"/>
        </w:rPr>
        <w:t xml:space="preserve"> as fund managers </w:t>
      </w:r>
      <w:r w:rsidR="00BE5846" w:rsidRPr="00A13719">
        <w:rPr>
          <w:lang w:val="en-US"/>
        </w:rPr>
        <w:t xml:space="preserve">are </w:t>
      </w:r>
      <w:r w:rsidR="0060545A" w:rsidRPr="00A13719">
        <w:rPr>
          <w:lang w:val="en-US"/>
        </w:rPr>
        <w:t>trying to minimize their exposures</w:t>
      </w:r>
      <w:r w:rsidR="00E97B82" w:rsidRPr="00A13719">
        <w:rPr>
          <w:lang w:val="en-US"/>
        </w:rPr>
        <w:t>.</w:t>
      </w:r>
      <w:r w:rsidR="00727A2E" w:rsidRPr="00A13719">
        <w:rPr>
          <w:lang w:val="en-US"/>
        </w:rPr>
        <w:t xml:space="preserve"> </w:t>
      </w:r>
      <w:r w:rsidR="00294E02" w:rsidRPr="00A13719">
        <w:rPr>
          <w:lang w:val="en-US"/>
        </w:rPr>
        <w:t>Also, there are significant differences in alphas between growth and recession periods</w:t>
      </w:r>
      <w:r w:rsidR="000A0511" w:rsidRPr="00A13719">
        <w:rPr>
          <w:lang w:val="en-US"/>
        </w:rPr>
        <w:t xml:space="preserve"> for 8 of 11 strategies, and for 7 of 11 strategies with regard to </w:t>
      </w:r>
      <w:r w:rsidR="00294E02" w:rsidRPr="00A13719">
        <w:rPr>
          <w:lang w:val="en-US"/>
        </w:rPr>
        <w:t>the market exposures (see exposure analysis subsection</w:t>
      </w:r>
      <w:r w:rsidR="000A0511" w:rsidRPr="00A13719">
        <w:rPr>
          <w:lang w:val="en-US"/>
        </w:rPr>
        <w:t xml:space="preserve"> below</w:t>
      </w:r>
      <w:r w:rsidR="00294E02" w:rsidRPr="00A13719">
        <w:rPr>
          <w:lang w:val="en-US"/>
        </w:rPr>
        <w:t xml:space="preserve">). </w:t>
      </w:r>
      <w:r w:rsidR="005440B5" w:rsidRPr="00A13719">
        <w:rPr>
          <w:lang w:val="en-US"/>
        </w:rPr>
        <w:t>A</w:t>
      </w:r>
      <w:r w:rsidR="00D57779" w:rsidRPr="00A13719">
        <w:rPr>
          <w:lang w:val="en-US"/>
        </w:rPr>
        <w:t xml:space="preserve">ll </w:t>
      </w:r>
      <w:r w:rsidR="00773803" w:rsidRPr="00A13719">
        <w:rPr>
          <w:rFonts w:eastAsiaTheme="minorEastAsia"/>
          <w:lang w:val="en-US"/>
        </w:rPr>
        <w:t>HF</w:t>
      </w:r>
      <w:r w:rsidR="00D57779" w:rsidRPr="00A13719">
        <w:rPr>
          <w:lang w:val="en-US"/>
        </w:rPr>
        <w:t xml:space="preserve"> strategies have less exposure compar</w:t>
      </w:r>
      <w:r w:rsidR="005440B5" w:rsidRPr="00A13719">
        <w:rPr>
          <w:lang w:val="en-US"/>
        </w:rPr>
        <w:t xml:space="preserve">ed </w:t>
      </w:r>
      <w:r w:rsidR="00D57779" w:rsidRPr="00A13719">
        <w:rPr>
          <w:lang w:val="en-US"/>
        </w:rPr>
        <w:t xml:space="preserve">to the </w:t>
      </w:r>
      <w:r w:rsidR="00463489" w:rsidRPr="00A13719">
        <w:rPr>
          <w:lang w:val="en-US"/>
        </w:rPr>
        <w:t>expansion</w:t>
      </w:r>
      <w:r w:rsidR="00D57779" w:rsidRPr="00A13719">
        <w:rPr>
          <w:lang w:val="en-US"/>
        </w:rPr>
        <w:t xml:space="preserve"> period. More</w:t>
      </w:r>
      <w:r w:rsidR="005440B5" w:rsidRPr="00A13719">
        <w:rPr>
          <w:lang w:val="en-US"/>
        </w:rPr>
        <w:t>over</w:t>
      </w:r>
      <w:r w:rsidR="00802156" w:rsidRPr="00A13719">
        <w:rPr>
          <w:lang w:val="en-US"/>
        </w:rPr>
        <w:t>,</w:t>
      </w:r>
      <w:r w:rsidR="00D57779" w:rsidRPr="00A13719">
        <w:rPr>
          <w:lang w:val="en-US"/>
        </w:rPr>
        <w:t xml:space="preserve"> there are differences in exposures in terms of asset allocation and portfolio allocation. It is clear that </w:t>
      </w:r>
      <w:r w:rsidR="00773803" w:rsidRPr="00A13719">
        <w:rPr>
          <w:rFonts w:eastAsiaTheme="minorEastAsia"/>
          <w:lang w:val="en-US"/>
        </w:rPr>
        <w:t>HF</w:t>
      </w:r>
      <w:r w:rsidR="00D57779" w:rsidRPr="00A13719">
        <w:rPr>
          <w:lang w:val="en-US"/>
        </w:rPr>
        <w:t xml:space="preserve"> managers adjust their portfolios by minimizing their exposures </w:t>
      </w:r>
      <w:r w:rsidR="005440B5" w:rsidRPr="00A13719">
        <w:rPr>
          <w:lang w:val="en-US"/>
        </w:rPr>
        <w:t xml:space="preserve">during recessions </w:t>
      </w:r>
      <w:r w:rsidR="00D57779" w:rsidRPr="00A13719">
        <w:rPr>
          <w:lang w:val="en-US"/>
        </w:rPr>
        <w:t>in terms of asset and portfolio allocation</w:t>
      </w:r>
      <w:r w:rsidR="005440B5" w:rsidRPr="00A13719">
        <w:rPr>
          <w:lang w:val="en-US"/>
        </w:rPr>
        <w:t>s</w:t>
      </w:r>
      <w:r w:rsidR="00D57779" w:rsidRPr="00A13719">
        <w:rPr>
          <w:lang w:val="en-US"/>
        </w:rPr>
        <w:t xml:space="preserve">. Again, MAI is the most common factor across all </w:t>
      </w:r>
      <w:r w:rsidR="00773803" w:rsidRPr="00A13719">
        <w:rPr>
          <w:rFonts w:eastAsiaTheme="minorEastAsia"/>
          <w:lang w:val="en-US"/>
        </w:rPr>
        <w:t>HF</w:t>
      </w:r>
      <w:r w:rsidR="00D57779" w:rsidRPr="00A13719">
        <w:rPr>
          <w:lang w:val="en-US"/>
        </w:rPr>
        <w:t xml:space="preserve"> strategies. However, the average exposure is 0.147 compared to 0.214 to the </w:t>
      </w:r>
      <w:r w:rsidR="00463489" w:rsidRPr="00A13719">
        <w:rPr>
          <w:lang w:val="en-US"/>
        </w:rPr>
        <w:t>expansion</w:t>
      </w:r>
      <w:r w:rsidR="00D57779" w:rsidRPr="00A13719">
        <w:rPr>
          <w:lang w:val="en-US"/>
        </w:rPr>
        <w:t xml:space="preserve"> period. Furthermore, only seven strategies have exposure to MAI compared to twelve within the </w:t>
      </w:r>
      <w:r w:rsidR="00463489" w:rsidRPr="00A13719">
        <w:rPr>
          <w:lang w:val="en-US"/>
        </w:rPr>
        <w:t>expansion</w:t>
      </w:r>
      <w:r w:rsidR="00D57779" w:rsidRPr="00A13719">
        <w:rPr>
          <w:lang w:val="en-US"/>
        </w:rPr>
        <w:t xml:space="preserve"> period. The second and third more common exposure</w:t>
      </w:r>
      <w:r w:rsidR="005440B5" w:rsidRPr="00A13719">
        <w:rPr>
          <w:lang w:val="en-US"/>
        </w:rPr>
        <w:t>s</w:t>
      </w:r>
      <w:r w:rsidR="00D57779" w:rsidRPr="00A13719">
        <w:rPr>
          <w:lang w:val="en-US"/>
        </w:rPr>
        <w:t xml:space="preserve"> </w:t>
      </w:r>
      <w:r w:rsidR="005440B5" w:rsidRPr="00A13719">
        <w:rPr>
          <w:lang w:val="en-US"/>
        </w:rPr>
        <w:t>are</w:t>
      </w:r>
      <w:r w:rsidR="00D57779" w:rsidRPr="00A13719">
        <w:rPr>
          <w:lang w:val="en-US"/>
        </w:rPr>
        <w:t xml:space="preserve"> COAG </w:t>
      </w:r>
      <w:r w:rsidR="00840337" w:rsidRPr="00A13719">
        <w:rPr>
          <w:lang w:val="en-US"/>
        </w:rPr>
        <w:t xml:space="preserve">(agriculture total return index) </w:t>
      </w:r>
      <w:r w:rsidR="00D57779" w:rsidRPr="00A13719">
        <w:rPr>
          <w:lang w:val="en-US"/>
        </w:rPr>
        <w:t xml:space="preserve">and COEN </w:t>
      </w:r>
      <w:r w:rsidR="00840337" w:rsidRPr="00A13719">
        <w:rPr>
          <w:lang w:val="en-US"/>
        </w:rPr>
        <w:t xml:space="preserve">(energy total return index) </w:t>
      </w:r>
      <w:r w:rsidR="00D57779" w:rsidRPr="00A13719">
        <w:rPr>
          <w:lang w:val="en-US"/>
        </w:rPr>
        <w:t xml:space="preserve">respectively. </w:t>
      </w:r>
      <w:r w:rsidR="005B618E" w:rsidRPr="00A13719">
        <w:rPr>
          <w:lang w:val="en-US"/>
        </w:rPr>
        <w:t>We interpret this</w:t>
      </w:r>
      <w:r w:rsidR="00D57779" w:rsidRPr="00A13719">
        <w:rPr>
          <w:lang w:val="en-US"/>
        </w:rPr>
        <w:t xml:space="preserve"> </w:t>
      </w:r>
      <w:r w:rsidR="00BE5846" w:rsidRPr="00A13719">
        <w:rPr>
          <w:lang w:val="en-US"/>
        </w:rPr>
        <w:t>as</w:t>
      </w:r>
      <w:r w:rsidR="00D57779" w:rsidRPr="00A13719">
        <w:rPr>
          <w:lang w:val="en-US"/>
        </w:rPr>
        <w:t xml:space="preserve"> fund managers mov</w:t>
      </w:r>
      <w:r w:rsidR="00BE5846" w:rsidRPr="00A13719">
        <w:rPr>
          <w:lang w:val="en-US"/>
        </w:rPr>
        <w:t>ing</w:t>
      </w:r>
      <w:r w:rsidR="00D57779" w:rsidRPr="00A13719">
        <w:rPr>
          <w:lang w:val="en-US"/>
        </w:rPr>
        <w:t xml:space="preserve"> toward</w:t>
      </w:r>
      <w:r w:rsidR="00BE5846" w:rsidRPr="00A13719">
        <w:rPr>
          <w:lang w:val="en-US"/>
        </w:rPr>
        <w:t>s</w:t>
      </w:r>
      <w:r w:rsidR="00D57779" w:rsidRPr="00A13719">
        <w:rPr>
          <w:lang w:val="en-US"/>
        </w:rPr>
        <w:t xml:space="preserve"> more counter</w:t>
      </w:r>
      <w:r w:rsidR="008C69AF" w:rsidRPr="00A13719">
        <w:rPr>
          <w:lang w:val="en-US"/>
        </w:rPr>
        <w:t>-</w:t>
      </w:r>
      <w:r w:rsidR="00BE5846" w:rsidRPr="00A13719">
        <w:rPr>
          <w:lang w:val="en-US"/>
        </w:rPr>
        <w:t xml:space="preserve">cyclical industries using </w:t>
      </w:r>
      <w:r w:rsidR="00D57779" w:rsidRPr="00A13719">
        <w:rPr>
          <w:lang w:val="en-US"/>
        </w:rPr>
        <w:t xml:space="preserve">agricultural/food or energy commodities. </w:t>
      </w:r>
      <w:r w:rsidR="00230E02" w:rsidRPr="00A13719">
        <w:rPr>
          <w:lang w:val="en-US"/>
        </w:rPr>
        <w:t>Indeed, agricultural/food commodities are obvious essential</w:t>
      </w:r>
      <w:r w:rsidR="00BE5846" w:rsidRPr="00A13719">
        <w:rPr>
          <w:lang w:val="en-US"/>
        </w:rPr>
        <w:t>s</w:t>
      </w:r>
      <w:r w:rsidR="00230E02" w:rsidRPr="00A13719">
        <w:rPr>
          <w:lang w:val="en-US"/>
        </w:rPr>
        <w:t xml:space="preserve"> for people. </w:t>
      </w:r>
      <w:r w:rsidR="00356E68" w:rsidRPr="00A13719">
        <w:rPr>
          <w:lang w:val="en-US"/>
        </w:rPr>
        <w:t xml:space="preserve">Food consumption cannot easily </w:t>
      </w:r>
      <w:r w:rsidR="00BE5846" w:rsidRPr="00A13719">
        <w:rPr>
          <w:lang w:val="en-US"/>
        </w:rPr>
        <w:t xml:space="preserve">be </w:t>
      </w:r>
      <w:r w:rsidR="0066357D" w:rsidRPr="00A13719">
        <w:rPr>
          <w:lang w:val="en-US"/>
        </w:rPr>
        <w:t>disturb</w:t>
      </w:r>
      <w:r w:rsidR="00BE5846" w:rsidRPr="00A13719">
        <w:rPr>
          <w:lang w:val="en-US"/>
        </w:rPr>
        <w:t>ed</w:t>
      </w:r>
      <w:r w:rsidR="00356E68" w:rsidRPr="00A13719">
        <w:rPr>
          <w:lang w:val="en-US"/>
        </w:rPr>
        <w:t xml:space="preserve"> by “bad” economic conditions</w:t>
      </w:r>
      <w:r w:rsidR="00BE5846" w:rsidRPr="00A13719">
        <w:rPr>
          <w:lang w:val="en-US"/>
        </w:rPr>
        <w:t>,</w:t>
      </w:r>
      <w:r w:rsidR="0066357D" w:rsidRPr="00A13719">
        <w:rPr>
          <w:lang w:val="en-US"/>
        </w:rPr>
        <w:t xml:space="preserve"> thus </w:t>
      </w:r>
      <w:r w:rsidR="000B2119" w:rsidRPr="00A13719">
        <w:rPr>
          <w:lang w:val="en-US"/>
        </w:rPr>
        <w:t>its</w:t>
      </w:r>
      <w:r w:rsidR="0066357D" w:rsidRPr="00A13719">
        <w:rPr>
          <w:lang w:val="en-US"/>
        </w:rPr>
        <w:t xml:space="preserve"> demand </w:t>
      </w:r>
      <w:r w:rsidR="00CF76AA" w:rsidRPr="00A13719">
        <w:rPr>
          <w:lang w:val="en-US"/>
        </w:rPr>
        <w:t>can be considered</w:t>
      </w:r>
      <w:r w:rsidR="0066357D" w:rsidRPr="00A13719">
        <w:rPr>
          <w:lang w:val="en-US"/>
        </w:rPr>
        <w:t xml:space="preserve"> </w:t>
      </w:r>
      <w:r w:rsidR="00CF76AA" w:rsidRPr="00A13719">
        <w:rPr>
          <w:lang w:val="en-US"/>
        </w:rPr>
        <w:t xml:space="preserve">as </w:t>
      </w:r>
      <w:r w:rsidR="0066357D" w:rsidRPr="00A13719">
        <w:rPr>
          <w:lang w:val="en-US"/>
        </w:rPr>
        <w:t>inelastic</w:t>
      </w:r>
      <w:r w:rsidR="00356E68" w:rsidRPr="00A13719">
        <w:rPr>
          <w:lang w:val="en-US"/>
        </w:rPr>
        <w:t xml:space="preserve">. </w:t>
      </w:r>
      <w:r w:rsidR="00BE5846" w:rsidRPr="00A13719">
        <w:rPr>
          <w:lang w:val="en-US"/>
        </w:rPr>
        <w:t>E</w:t>
      </w:r>
      <w:r w:rsidR="004826DD" w:rsidRPr="00A13719">
        <w:rPr>
          <w:lang w:val="en-US"/>
        </w:rPr>
        <w:t xml:space="preserve">nergy can be </w:t>
      </w:r>
      <w:r w:rsidR="00BE5846" w:rsidRPr="00A13719">
        <w:rPr>
          <w:lang w:val="en-US"/>
        </w:rPr>
        <w:t xml:space="preserve">also </w:t>
      </w:r>
      <w:r w:rsidR="004826DD" w:rsidRPr="00A13719">
        <w:rPr>
          <w:lang w:val="en-US"/>
        </w:rPr>
        <w:t xml:space="preserve">regarded as </w:t>
      </w:r>
      <w:r w:rsidR="00BE5846" w:rsidRPr="00A13719">
        <w:rPr>
          <w:lang w:val="en-US"/>
        </w:rPr>
        <w:t xml:space="preserve">an </w:t>
      </w:r>
      <w:r w:rsidR="004826DD" w:rsidRPr="00A13719">
        <w:rPr>
          <w:lang w:val="en-US"/>
        </w:rPr>
        <w:t xml:space="preserve">essential service or good, </w:t>
      </w:r>
      <w:r w:rsidR="005602D5" w:rsidRPr="00A13719">
        <w:rPr>
          <w:lang w:val="en-US"/>
        </w:rPr>
        <w:t>with</w:t>
      </w:r>
      <w:r w:rsidR="003C0A66" w:rsidRPr="00A13719">
        <w:rPr>
          <w:lang w:val="en-US"/>
        </w:rPr>
        <w:t xml:space="preserve"> an inelastic demand</w:t>
      </w:r>
      <w:r w:rsidR="007B418B" w:rsidRPr="00A13719">
        <w:rPr>
          <w:lang w:val="en-US"/>
        </w:rPr>
        <w:t xml:space="preserve">. </w:t>
      </w:r>
      <w:r w:rsidR="00A555F2" w:rsidRPr="00A13719">
        <w:rPr>
          <w:lang w:val="en-US"/>
        </w:rPr>
        <w:t>In general</w:t>
      </w:r>
      <w:r w:rsidR="0067751E" w:rsidRPr="00A13719">
        <w:rPr>
          <w:lang w:val="en-US"/>
        </w:rPr>
        <w:t xml:space="preserve">, </w:t>
      </w:r>
      <w:r w:rsidR="00764B54" w:rsidRPr="00A13719">
        <w:rPr>
          <w:lang w:val="en-US"/>
        </w:rPr>
        <w:t xml:space="preserve">cycles in </w:t>
      </w:r>
      <w:r w:rsidR="0067751E" w:rsidRPr="00A13719">
        <w:rPr>
          <w:lang w:val="en-US"/>
        </w:rPr>
        <w:t xml:space="preserve">economic activity </w:t>
      </w:r>
      <w:r w:rsidR="00CC7F60" w:rsidRPr="00A13719">
        <w:rPr>
          <w:lang w:val="en-US"/>
        </w:rPr>
        <w:t>are not the main drivers</w:t>
      </w:r>
      <w:r w:rsidR="0067751E" w:rsidRPr="00A13719">
        <w:rPr>
          <w:lang w:val="en-US"/>
        </w:rPr>
        <w:t xml:space="preserve"> </w:t>
      </w:r>
      <w:r w:rsidR="00CC7F60" w:rsidRPr="00A13719">
        <w:rPr>
          <w:lang w:val="en-US"/>
        </w:rPr>
        <w:t xml:space="preserve">of </w:t>
      </w:r>
      <w:r w:rsidR="0067751E" w:rsidRPr="00A13719">
        <w:rPr>
          <w:lang w:val="en-US"/>
        </w:rPr>
        <w:t xml:space="preserve">the evolution of commodity prices (Cashin, McDermott, Scott, 2002). </w:t>
      </w:r>
      <w:r w:rsidR="00A12A2D" w:rsidRPr="00A13719">
        <w:rPr>
          <w:lang w:val="en-US"/>
        </w:rPr>
        <w:t>Thus, fund managers have an incentive to increase their exposures to these factors</w:t>
      </w:r>
      <w:r w:rsidR="003103FA" w:rsidRPr="00A13719">
        <w:rPr>
          <w:lang w:val="en-US"/>
        </w:rPr>
        <w:t xml:space="preserve"> during bad economic times</w:t>
      </w:r>
      <w:r w:rsidR="00A12A2D" w:rsidRPr="00A13719">
        <w:rPr>
          <w:lang w:val="en-US"/>
        </w:rPr>
        <w:t xml:space="preserve">. </w:t>
      </w:r>
      <w:r w:rsidR="00D57779" w:rsidRPr="00A13719">
        <w:rPr>
          <w:lang w:val="en-US"/>
        </w:rPr>
        <w:t>Overall</w:t>
      </w:r>
      <w:r w:rsidR="00A04B45" w:rsidRPr="00A13719">
        <w:rPr>
          <w:lang w:val="en-US"/>
        </w:rPr>
        <w:t>,</w:t>
      </w:r>
      <w:r w:rsidR="00D57779" w:rsidRPr="00A13719">
        <w:rPr>
          <w:lang w:val="en-US"/>
        </w:rPr>
        <w:t xml:space="preserve"> there are </w:t>
      </w:r>
      <w:r w:rsidR="00840337" w:rsidRPr="00A13719">
        <w:rPr>
          <w:lang w:val="en-US"/>
        </w:rPr>
        <w:t>28</w:t>
      </w:r>
      <w:r w:rsidR="00D57779" w:rsidRPr="00A13719">
        <w:rPr>
          <w:lang w:val="en-US"/>
        </w:rPr>
        <w:t xml:space="preserve"> exposures to assets classes compared to </w:t>
      </w:r>
      <w:r w:rsidR="00840337" w:rsidRPr="00A13719">
        <w:rPr>
          <w:lang w:val="en-US"/>
        </w:rPr>
        <w:t xml:space="preserve">50 during </w:t>
      </w:r>
      <w:r w:rsidR="00FC346E" w:rsidRPr="00A13719">
        <w:rPr>
          <w:lang w:val="en-US"/>
        </w:rPr>
        <w:t xml:space="preserve">expansion </w:t>
      </w:r>
      <w:r w:rsidR="00D57779" w:rsidRPr="00A13719">
        <w:rPr>
          <w:lang w:val="en-US"/>
        </w:rPr>
        <w:t>period</w:t>
      </w:r>
      <w:r w:rsidR="00840337" w:rsidRPr="00A13719">
        <w:rPr>
          <w:lang w:val="en-US"/>
        </w:rPr>
        <w:t>s</w:t>
      </w:r>
      <w:r w:rsidR="00D57779" w:rsidRPr="00A13719">
        <w:rPr>
          <w:lang w:val="en-US"/>
        </w:rPr>
        <w:t>.</w:t>
      </w:r>
    </w:p>
    <w:p w:rsidR="000A0511" w:rsidRPr="00A13719" w:rsidRDefault="002A598A" w:rsidP="00727A2E">
      <w:pPr>
        <w:jc w:val="both"/>
        <w:rPr>
          <w:lang w:val="en-US"/>
        </w:rPr>
      </w:pPr>
      <w:r w:rsidRPr="00A13719">
        <w:rPr>
          <w:lang w:val="en-US"/>
        </w:rPr>
        <w:t xml:space="preserve"> </w:t>
      </w:r>
    </w:p>
    <w:p w:rsidR="002E4999" w:rsidRPr="00A13719" w:rsidRDefault="002E4999" w:rsidP="00727A2E">
      <w:pPr>
        <w:jc w:val="both"/>
        <w:rPr>
          <w:lang w:val="en-US"/>
        </w:rPr>
      </w:pPr>
    </w:p>
    <w:p w:rsidR="00D24FF4" w:rsidRPr="00A13719" w:rsidRDefault="00D24FF4" w:rsidP="00734384">
      <w:pPr>
        <w:spacing w:after="0"/>
        <w:rPr>
          <w:b/>
          <w:sz w:val="28"/>
          <w:szCs w:val="28"/>
          <w:lang w:val="en-US"/>
        </w:rPr>
        <w:sectPr w:rsidR="00D24FF4" w:rsidRPr="00A13719" w:rsidSect="00D24FF4">
          <w:pgSz w:w="11906" w:h="16838"/>
          <w:pgMar w:top="1440" w:right="1304" w:bottom="1440" w:left="1304" w:header="709" w:footer="567" w:gutter="0"/>
          <w:cols w:space="708"/>
          <w:titlePg/>
          <w:docGrid w:linePitch="360"/>
        </w:sectPr>
      </w:pPr>
    </w:p>
    <w:p w:rsidR="00734384" w:rsidRPr="00A13719" w:rsidRDefault="00734384" w:rsidP="00734384">
      <w:pPr>
        <w:spacing w:after="0"/>
        <w:rPr>
          <w:b/>
          <w:sz w:val="28"/>
          <w:szCs w:val="28"/>
          <w:lang w:val="en-US"/>
        </w:rPr>
      </w:pPr>
      <w:r w:rsidRPr="00A13719">
        <w:rPr>
          <w:b/>
          <w:sz w:val="28"/>
          <w:szCs w:val="28"/>
          <w:lang w:val="en-US"/>
        </w:rPr>
        <w:lastRenderedPageBreak/>
        <w:t xml:space="preserve">Table </w:t>
      </w:r>
      <w:r w:rsidR="00990621" w:rsidRPr="00A13719">
        <w:rPr>
          <w:b/>
          <w:sz w:val="28"/>
          <w:szCs w:val="28"/>
          <w:lang w:val="en-US"/>
        </w:rPr>
        <w:t>4</w:t>
      </w:r>
      <w:r w:rsidRPr="00A13719">
        <w:rPr>
          <w:b/>
          <w:sz w:val="28"/>
          <w:szCs w:val="28"/>
          <w:lang w:val="en-US"/>
        </w:rPr>
        <w:t>. Multi-Factor Model</w:t>
      </w:r>
      <w:r w:rsidR="005440B5" w:rsidRPr="00A13719">
        <w:rPr>
          <w:b/>
          <w:sz w:val="28"/>
          <w:szCs w:val="28"/>
          <w:lang w:val="en-US"/>
        </w:rPr>
        <w:t xml:space="preserve"> During Recessions</w:t>
      </w:r>
    </w:p>
    <w:p w:rsidR="00734384" w:rsidRPr="00A13719" w:rsidRDefault="00734384" w:rsidP="00734384">
      <w:pPr>
        <w:spacing w:after="0"/>
        <w:jc w:val="both"/>
        <w:rPr>
          <w:lang w:val="en-US"/>
        </w:rPr>
      </w:pPr>
      <w:r w:rsidRPr="00A13719">
        <w:rPr>
          <w:sz w:val="18"/>
          <w:szCs w:val="18"/>
          <w:lang w:val="en-US"/>
        </w:rPr>
        <w:t xml:space="preserve">This table shows the results in terms of alphas and exposures </w:t>
      </w:r>
      <w:r w:rsidR="00FF359C" w:rsidRPr="00A13719">
        <w:rPr>
          <w:sz w:val="18"/>
          <w:szCs w:val="18"/>
          <w:lang w:val="en-US"/>
        </w:rPr>
        <w:t>using stepwise regression within our empirical specification,</w:t>
      </w:r>
      <w:r w:rsidRPr="00A13719">
        <w:rPr>
          <w:sz w:val="18"/>
          <w:szCs w:val="18"/>
          <w:lang w:val="en-US"/>
        </w:rPr>
        <w:t xml:space="preserve"> </w:t>
      </w:r>
      <w:r w:rsidR="00840337" w:rsidRPr="00A13719">
        <w:rPr>
          <w:sz w:val="18"/>
          <w:szCs w:val="18"/>
          <w:lang w:val="en-US"/>
        </w:rPr>
        <w:t xml:space="preserve">during </w:t>
      </w:r>
      <w:r w:rsidRPr="00A13719">
        <w:rPr>
          <w:sz w:val="18"/>
          <w:szCs w:val="18"/>
          <w:lang w:val="en-US"/>
        </w:rPr>
        <w:t>recession period</w:t>
      </w:r>
      <w:r w:rsidR="00840337" w:rsidRPr="00A13719">
        <w:rPr>
          <w:sz w:val="18"/>
          <w:szCs w:val="18"/>
          <w:lang w:val="en-US"/>
        </w:rPr>
        <w:t>s</w:t>
      </w:r>
      <w:r w:rsidRPr="00A13719">
        <w:rPr>
          <w:sz w:val="18"/>
          <w:szCs w:val="18"/>
          <w:lang w:val="en-US"/>
        </w:rPr>
        <w:t xml:space="preserve">. </w:t>
      </w:r>
      <w:r w:rsidR="00AA06C4" w:rsidRPr="00A13719">
        <w:rPr>
          <w:sz w:val="18"/>
          <w:szCs w:val="18"/>
          <w:lang w:val="en-US"/>
        </w:rPr>
        <w:t>H</w:t>
      </w:r>
      <w:r w:rsidR="00B56004" w:rsidRPr="00A13719">
        <w:rPr>
          <w:sz w:val="18"/>
          <w:szCs w:val="18"/>
          <w:lang w:val="en-US"/>
        </w:rPr>
        <w:t>F</w:t>
      </w:r>
      <w:r w:rsidR="00AA06C4" w:rsidRPr="00A13719">
        <w:rPr>
          <w:sz w:val="18"/>
          <w:szCs w:val="18"/>
          <w:lang w:val="en-US"/>
        </w:rPr>
        <w:t>s returns are raw returns minus the risk free return</w:t>
      </w:r>
      <w:r w:rsidRPr="00A13719">
        <w:rPr>
          <w:sz w:val="18"/>
          <w:szCs w:val="18"/>
          <w:lang w:val="en-US"/>
        </w:rPr>
        <w:t>. The Risk free (RF) return is the one-month Treasury bill rate from the Fama and French online data-library (Ibbotson Associates). MAI, GEMI, COEN, COPM, COIM, COAG</w:t>
      </w:r>
      <w:r w:rsidR="00840337" w:rsidRPr="00A13719">
        <w:rPr>
          <w:sz w:val="18"/>
          <w:szCs w:val="18"/>
          <w:lang w:val="en-US"/>
        </w:rPr>
        <w:t xml:space="preserve"> and</w:t>
      </w:r>
      <w:r w:rsidRPr="00A13719">
        <w:rPr>
          <w:sz w:val="18"/>
          <w:szCs w:val="18"/>
          <w:lang w:val="en-US"/>
        </w:rPr>
        <w:t xml:space="preserve"> RLE are excess RF re</w:t>
      </w:r>
      <w:r w:rsidR="00840337" w:rsidRPr="00A13719">
        <w:rPr>
          <w:sz w:val="18"/>
          <w:szCs w:val="18"/>
          <w:lang w:val="en-US"/>
        </w:rPr>
        <w:t>tu</w:t>
      </w:r>
      <w:r w:rsidRPr="00A13719">
        <w:rPr>
          <w:sz w:val="18"/>
          <w:szCs w:val="18"/>
          <w:lang w:val="en-US"/>
        </w:rPr>
        <w:t xml:space="preserve">rns. </w:t>
      </w:r>
      <w:r w:rsidR="000D34FD" w:rsidRPr="00A13719">
        <w:rPr>
          <w:sz w:val="20"/>
          <w:szCs w:val="20"/>
          <w:lang w:val="en-US"/>
        </w:rPr>
        <w:t>*</w:t>
      </w:r>
      <w:r w:rsidR="007D344A" w:rsidRPr="00A13719">
        <w:rPr>
          <w:sz w:val="18"/>
          <w:szCs w:val="18"/>
          <w:lang w:val="en-US"/>
        </w:rPr>
        <w:t xml:space="preserve"> denotes significance at P &lt; 0.1</w:t>
      </w:r>
      <w:r w:rsidR="00294E02" w:rsidRPr="00A13719">
        <w:rPr>
          <w:sz w:val="18"/>
          <w:szCs w:val="18"/>
          <w:lang w:val="en-US"/>
        </w:rPr>
        <w:t>,</w:t>
      </w:r>
      <w:r w:rsidR="007D344A" w:rsidRPr="00A13719">
        <w:rPr>
          <w:sz w:val="20"/>
          <w:szCs w:val="20"/>
          <w:lang w:val="en-US"/>
        </w:rPr>
        <w:t xml:space="preserve"> </w:t>
      </w:r>
      <w:r w:rsidRPr="00A13719">
        <w:rPr>
          <w:sz w:val="18"/>
          <w:szCs w:val="18"/>
          <w:lang w:val="en-US"/>
        </w:rPr>
        <w:t>*</w:t>
      </w:r>
      <w:r w:rsidR="000D34FD" w:rsidRPr="00A13719">
        <w:rPr>
          <w:sz w:val="18"/>
          <w:szCs w:val="18"/>
          <w:lang w:val="en-US"/>
        </w:rPr>
        <w:t>*</w:t>
      </w:r>
      <w:r w:rsidRPr="00A13719">
        <w:rPr>
          <w:sz w:val="18"/>
          <w:szCs w:val="18"/>
          <w:lang w:val="en-US"/>
        </w:rPr>
        <w:t xml:space="preserve"> denotes significance at P &lt; 0.05 and **</w:t>
      </w:r>
      <w:r w:rsidR="000D34FD" w:rsidRPr="00A13719">
        <w:rPr>
          <w:sz w:val="18"/>
          <w:szCs w:val="18"/>
          <w:lang w:val="en-US"/>
        </w:rPr>
        <w:t>*</w:t>
      </w:r>
      <w:r w:rsidRPr="00A13719">
        <w:rPr>
          <w:sz w:val="18"/>
          <w:szCs w:val="18"/>
          <w:lang w:val="en-US"/>
        </w:rPr>
        <w:t xml:space="preserve"> denotes significance at P &lt; 0.01. </w:t>
      </w:r>
      <w:r w:rsidR="00486205" w:rsidRPr="00A13719">
        <w:rPr>
          <w:sz w:val="18"/>
          <w:szCs w:val="18"/>
          <w:lang w:val="en-US"/>
        </w:rPr>
        <w:t>The t-statistics are in parentheses. An empty cell means there is no significant exposure to this factor</w:t>
      </w:r>
      <w:r w:rsidR="00294E02" w:rsidRPr="00A13719">
        <w:rPr>
          <w:sz w:val="18"/>
          <w:szCs w:val="18"/>
          <w:lang w:val="en-US"/>
        </w:rPr>
        <w:t>.</w:t>
      </w:r>
      <w:r w:rsidR="007D344A" w:rsidRPr="00A13719">
        <w:rPr>
          <w:sz w:val="18"/>
          <w:szCs w:val="18"/>
          <w:lang w:val="en-US"/>
        </w:rPr>
        <w:t xml:space="preserve"> </w:t>
      </w:r>
      <w:r w:rsidR="009B612B" w:rsidRPr="00A13719">
        <w:rPr>
          <w:sz w:val="18"/>
          <w:szCs w:val="18"/>
          <w:lang w:val="en-US"/>
        </w:rPr>
        <w:t xml:space="preserve"> </w:t>
      </w:r>
    </w:p>
    <w:tbl>
      <w:tblPr>
        <w:tblW w:w="14945" w:type="dxa"/>
        <w:jc w:val="center"/>
        <w:tblBorders>
          <w:top w:val="single" w:sz="8" w:space="0" w:color="auto"/>
          <w:bottom w:val="single" w:sz="8" w:space="0" w:color="auto"/>
        </w:tblBorders>
        <w:shd w:val="clear" w:color="000000" w:fill="auto"/>
        <w:tblLayout w:type="fixed"/>
        <w:tblLook w:val="04A0" w:firstRow="1" w:lastRow="0" w:firstColumn="1" w:lastColumn="0" w:noHBand="0" w:noVBand="1"/>
      </w:tblPr>
      <w:tblGrid>
        <w:gridCol w:w="2410"/>
        <w:gridCol w:w="1139"/>
        <w:gridCol w:w="1140"/>
        <w:gridCol w:w="1139"/>
        <w:gridCol w:w="1140"/>
        <w:gridCol w:w="1139"/>
        <w:gridCol w:w="1140"/>
        <w:gridCol w:w="1139"/>
        <w:gridCol w:w="1140"/>
        <w:gridCol w:w="1139"/>
        <w:gridCol w:w="1140"/>
        <w:gridCol w:w="1140"/>
      </w:tblGrid>
      <w:tr w:rsidR="00A13719" w:rsidRPr="00A13719" w:rsidTr="00732A8E">
        <w:trPr>
          <w:trHeight w:val="315"/>
          <w:jc w:val="center"/>
        </w:trPr>
        <w:tc>
          <w:tcPr>
            <w:tcW w:w="2410" w:type="dxa"/>
            <w:tcBorders>
              <w:top w:val="single" w:sz="8" w:space="0" w:color="auto"/>
              <w:bottom w:val="single" w:sz="8" w:space="0" w:color="auto"/>
            </w:tcBorders>
            <w:shd w:val="clear" w:color="000000" w:fill="auto"/>
            <w:noWrap/>
            <w:vAlign w:val="bottom"/>
            <w:hideMark/>
          </w:tcPr>
          <w:p w:rsidR="00840337" w:rsidRPr="00A13719" w:rsidRDefault="00840337" w:rsidP="00840337">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Dependent variable</w:t>
            </w:r>
          </w:p>
        </w:tc>
        <w:tc>
          <w:tcPr>
            <w:tcW w:w="1139"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Short Bias</w:t>
            </w:r>
          </w:p>
        </w:tc>
        <w:tc>
          <w:tcPr>
            <w:tcW w:w="1140"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Long Only</w:t>
            </w:r>
          </w:p>
        </w:tc>
        <w:tc>
          <w:tcPr>
            <w:tcW w:w="1139"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Sector</w:t>
            </w:r>
          </w:p>
        </w:tc>
        <w:tc>
          <w:tcPr>
            <w:tcW w:w="1140"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Long Short</w:t>
            </w:r>
          </w:p>
        </w:tc>
        <w:tc>
          <w:tcPr>
            <w:tcW w:w="1139"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Event Driven</w:t>
            </w:r>
          </w:p>
        </w:tc>
        <w:tc>
          <w:tcPr>
            <w:tcW w:w="1140"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Multi Strategy</w:t>
            </w:r>
          </w:p>
        </w:tc>
        <w:tc>
          <w:tcPr>
            <w:tcW w:w="1139"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Others</w:t>
            </w:r>
          </w:p>
        </w:tc>
        <w:tc>
          <w:tcPr>
            <w:tcW w:w="1140"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Global Macro</w:t>
            </w:r>
          </w:p>
        </w:tc>
        <w:tc>
          <w:tcPr>
            <w:tcW w:w="1139"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Relative Value</w:t>
            </w:r>
          </w:p>
        </w:tc>
        <w:tc>
          <w:tcPr>
            <w:tcW w:w="1140"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Market Neutral</w:t>
            </w:r>
          </w:p>
        </w:tc>
        <w:tc>
          <w:tcPr>
            <w:tcW w:w="1140" w:type="dxa"/>
            <w:tcBorders>
              <w:top w:val="single" w:sz="8" w:space="0" w:color="auto"/>
              <w:bottom w:val="single" w:sz="8" w:space="0" w:color="auto"/>
            </w:tcBorders>
            <w:shd w:val="clear" w:color="000000" w:fill="auto"/>
            <w:noWrap/>
            <w:vAlign w:val="bottom"/>
            <w:hideMark/>
          </w:tcPr>
          <w:p w:rsidR="00840337" w:rsidRPr="00A13719" w:rsidRDefault="00840337"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CTAs</w:t>
            </w:r>
          </w:p>
        </w:tc>
      </w:tr>
      <w:tr w:rsidR="00A13719" w:rsidRPr="00A13719" w:rsidTr="00732A8E">
        <w:trPr>
          <w:trHeight w:val="300"/>
          <w:jc w:val="center"/>
        </w:trPr>
        <w:tc>
          <w:tcPr>
            <w:tcW w:w="2410" w:type="dxa"/>
            <w:tcBorders>
              <w:top w:val="single" w:sz="8" w:space="0" w:color="auto"/>
            </w:tcBorders>
            <w:shd w:val="clear" w:color="000000" w:fill="auto"/>
            <w:noWrap/>
            <w:vAlign w:val="bottom"/>
            <w:hideMark/>
          </w:tcPr>
          <w:p w:rsidR="00734384" w:rsidRPr="00A13719" w:rsidRDefault="001C02B9" w:rsidP="00734384">
            <w:pPr>
              <w:spacing w:after="0" w:line="240" w:lineRule="auto"/>
              <w:rPr>
                <w:rFonts w:eastAsia="Times New Roman" w:cs="Times New Roman"/>
                <w:sz w:val="18"/>
                <w:szCs w:val="18"/>
                <w:lang w:eastAsia="en-GB"/>
              </w:rPr>
            </w:pPr>
            <w:r w:rsidRPr="00A13719">
              <w:rPr>
                <w:rFonts w:eastAsia="Times New Roman" w:cs="Times New Roman"/>
                <w:sz w:val="20"/>
                <w:szCs w:val="20"/>
                <w:lang w:eastAsia="en-GB"/>
              </w:rPr>
              <w:t>Alpha</w:t>
            </w:r>
          </w:p>
        </w:tc>
        <w:tc>
          <w:tcPr>
            <w:tcW w:w="1139"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-0.4633</w:t>
            </w:r>
          </w:p>
        </w:tc>
        <w:tc>
          <w:tcPr>
            <w:tcW w:w="1140"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-0.4417</w:t>
            </w:r>
          </w:p>
        </w:tc>
        <w:tc>
          <w:tcPr>
            <w:tcW w:w="1139"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0.5627*</w:t>
            </w:r>
            <w:r w:rsidR="000D34FD" w:rsidRPr="00A13719">
              <w:rPr>
                <w:rFonts w:eastAsia="Times New Roman" w:cs="Times New Roman"/>
                <w:sz w:val="18"/>
                <w:szCs w:val="18"/>
                <w:lang w:eastAsia="en-GB"/>
              </w:rPr>
              <w:t>*</w:t>
            </w:r>
          </w:p>
        </w:tc>
        <w:tc>
          <w:tcPr>
            <w:tcW w:w="1140"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0.3497</w:t>
            </w:r>
          </w:p>
        </w:tc>
        <w:tc>
          <w:tcPr>
            <w:tcW w:w="1139"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0.0696</w:t>
            </w:r>
          </w:p>
        </w:tc>
        <w:tc>
          <w:tcPr>
            <w:tcW w:w="1140"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0.3990</w:t>
            </w:r>
          </w:p>
        </w:tc>
        <w:tc>
          <w:tcPr>
            <w:tcW w:w="1139"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2.0808*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-1.1783</w:t>
            </w:r>
          </w:p>
        </w:tc>
        <w:tc>
          <w:tcPr>
            <w:tcW w:w="1139"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0.3688</w:t>
            </w:r>
          </w:p>
        </w:tc>
        <w:tc>
          <w:tcPr>
            <w:tcW w:w="1140"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0.1356</w:t>
            </w:r>
          </w:p>
        </w:tc>
        <w:tc>
          <w:tcPr>
            <w:tcW w:w="1140" w:type="dxa"/>
            <w:tcBorders>
              <w:top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0.8365</w:t>
            </w: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-0.9518</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-1.2102</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2.0864</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1.4670</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0.2082</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1.3481</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3.6397</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-1.5418</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1.2350</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0.7977</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2.0359</w:t>
            </w:r>
            <w:r w:rsidRPr="00A13719">
              <w:rPr>
                <w:rFonts w:eastAsia="Times New Roman" w:cs="Times New Roman"/>
                <w:sz w:val="18"/>
                <w:szCs w:val="18"/>
                <w:lang w:eastAsia="en-GB"/>
              </w:rPr>
              <w:t>)</w:t>
            </w:r>
          </w:p>
        </w:tc>
      </w:tr>
      <w:tr w:rsidR="00A13719" w:rsidRPr="00A13719" w:rsidTr="00732A8E">
        <w:trPr>
          <w:trHeight w:val="300"/>
          <w:jc w:val="center"/>
        </w:trPr>
        <w:tc>
          <w:tcPr>
            <w:tcW w:w="2410" w:type="dxa"/>
            <w:shd w:val="clear" w:color="000000" w:fill="auto"/>
            <w:noWrap/>
            <w:vAlign w:val="bottom"/>
          </w:tcPr>
          <w:p w:rsidR="007D344A" w:rsidRPr="00A13719" w:rsidRDefault="007D344A"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xml:space="preserve">Z-value, alpha </w:t>
            </w:r>
            <w:r w:rsidR="00BF69EE" w:rsidRPr="00A13719">
              <w:rPr>
                <w:rFonts w:eastAsia="Times New Roman" w:cs="Times New Roman"/>
                <w:sz w:val="18"/>
                <w:szCs w:val="18"/>
                <w:lang w:eastAsia="en-GB"/>
              </w:rPr>
              <w:t xml:space="preserve">abs </w:t>
            </w:r>
            <w:r w:rsidRPr="00A13719">
              <w:rPr>
                <w:rFonts w:eastAsia="Times New Roman" w:cs="Times New Roman"/>
                <w:sz w:val="18"/>
                <w:szCs w:val="18"/>
                <w:lang w:eastAsia="en-GB"/>
              </w:rPr>
              <w:t>difference growth vs recession</w:t>
            </w:r>
          </w:p>
        </w:tc>
        <w:tc>
          <w:tcPr>
            <w:tcW w:w="1139"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2.0084</w:t>
            </w:r>
            <w:r w:rsidR="00294E02" w:rsidRPr="00A13719">
              <w:rPr>
                <w:rFonts w:eastAsia="Times New Roman" w:cs="Times New Roman"/>
                <w:sz w:val="18"/>
                <w:szCs w:val="18"/>
                <w:lang w:eastAsia="en-GB"/>
              </w:rPr>
              <w:t>*</w:t>
            </w:r>
            <w:r w:rsidR="000D34FD" w:rsidRPr="00A13719">
              <w:rPr>
                <w:rFonts w:eastAsia="Times New Roman" w:cs="Times New Roman"/>
                <w:sz w:val="18"/>
                <w:szCs w:val="18"/>
                <w:lang w:eastAsia="en-GB"/>
              </w:rPr>
              <w:t>*</w:t>
            </w:r>
          </w:p>
        </w:tc>
        <w:tc>
          <w:tcPr>
            <w:tcW w:w="1140"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1.9551</w:t>
            </w:r>
            <w:r w:rsidR="000D34FD" w:rsidRPr="00A13719">
              <w:rPr>
                <w:rFonts w:eastAsia="Times New Roman" w:cs="Times New Roman"/>
                <w:sz w:val="18"/>
                <w:szCs w:val="18"/>
                <w:lang w:eastAsia="en-GB"/>
              </w:rPr>
              <w:t>*</w:t>
            </w:r>
            <w:r w:rsidR="00294E02" w:rsidRPr="00A13719">
              <w:rPr>
                <w:rFonts w:eastAsia="Times New Roman" w:cs="Times New Roman"/>
                <w:sz w:val="18"/>
                <w:szCs w:val="18"/>
                <w:lang w:eastAsia="en-GB"/>
              </w:rPr>
              <w:t>*</w:t>
            </w:r>
          </w:p>
        </w:tc>
        <w:tc>
          <w:tcPr>
            <w:tcW w:w="1139"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2.0520</w:t>
            </w:r>
            <w:r w:rsidR="00294E02" w:rsidRPr="00A13719">
              <w:rPr>
                <w:rFonts w:eastAsia="Times New Roman" w:cs="Times New Roman"/>
                <w:sz w:val="18"/>
                <w:szCs w:val="18"/>
                <w:lang w:eastAsia="en-GB"/>
              </w:rPr>
              <w:t>*</w:t>
            </w:r>
            <w:r w:rsidR="000D34FD" w:rsidRPr="00A13719">
              <w:rPr>
                <w:rFonts w:eastAsia="Times New Roman" w:cs="Times New Roman"/>
                <w:sz w:val="18"/>
                <w:szCs w:val="18"/>
                <w:lang w:eastAsia="en-GB"/>
              </w:rPr>
              <w:t>*</w:t>
            </w:r>
          </w:p>
        </w:tc>
        <w:tc>
          <w:tcPr>
            <w:tcW w:w="1140"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3.1050</w:t>
            </w:r>
            <w:r w:rsidR="00294E02" w:rsidRPr="00A13719">
              <w:rPr>
                <w:rFonts w:eastAsia="Times New Roman" w:cs="Times New Roman"/>
                <w:sz w:val="18"/>
                <w:szCs w:val="18"/>
                <w:lang w:eastAsia="en-GB"/>
              </w:rPr>
              <w:t>*</w:t>
            </w:r>
            <w:r w:rsidR="000D34FD" w:rsidRPr="00A13719">
              <w:rPr>
                <w:rFonts w:eastAsia="Times New Roman" w:cs="Times New Roman"/>
                <w:sz w:val="18"/>
                <w:szCs w:val="18"/>
                <w:lang w:eastAsia="en-GB"/>
              </w:rPr>
              <w:t>*</w:t>
            </w:r>
            <w:r w:rsidR="00294E02" w:rsidRPr="00A13719">
              <w:rPr>
                <w:rFonts w:eastAsia="Times New Roman" w:cs="Times New Roman"/>
                <w:sz w:val="18"/>
                <w:szCs w:val="18"/>
                <w:lang w:eastAsia="en-GB"/>
              </w:rPr>
              <w:t>*</w:t>
            </w:r>
          </w:p>
        </w:tc>
        <w:tc>
          <w:tcPr>
            <w:tcW w:w="1139"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1.2592</w:t>
            </w:r>
            <w:r w:rsidR="000D34FD" w:rsidRPr="00A13719">
              <w:rPr>
                <w:sz w:val="20"/>
                <w:szCs w:val="20"/>
                <w:lang w:val="en-US"/>
              </w:rPr>
              <w:t>*</w:t>
            </w:r>
          </w:p>
        </w:tc>
        <w:tc>
          <w:tcPr>
            <w:tcW w:w="1140"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2.4008</w:t>
            </w:r>
            <w:r w:rsidR="00294E02" w:rsidRPr="00A13719">
              <w:rPr>
                <w:rFonts w:eastAsia="Times New Roman" w:cs="Times New Roman"/>
                <w:sz w:val="18"/>
                <w:szCs w:val="18"/>
                <w:lang w:eastAsia="en-GB"/>
              </w:rPr>
              <w:t>*</w:t>
            </w:r>
            <w:r w:rsidR="000D34FD" w:rsidRPr="00A13719">
              <w:rPr>
                <w:rFonts w:eastAsia="Times New Roman" w:cs="Times New Roman"/>
                <w:sz w:val="18"/>
                <w:szCs w:val="18"/>
                <w:lang w:eastAsia="en-GB"/>
              </w:rPr>
              <w:t>*</w:t>
            </w:r>
            <w:r w:rsidR="00294E02" w:rsidRPr="00A13719">
              <w:rPr>
                <w:rFonts w:eastAsia="Times New Roman" w:cs="Times New Roman"/>
                <w:sz w:val="18"/>
                <w:szCs w:val="18"/>
                <w:lang w:eastAsia="en-GB"/>
              </w:rPr>
              <w:t>*</w:t>
            </w:r>
          </w:p>
        </w:tc>
        <w:tc>
          <w:tcPr>
            <w:tcW w:w="1139"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0.9661</w:t>
            </w:r>
          </w:p>
        </w:tc>
        <w:tc>
          <w:tcPr>
            <w:tcW w:w="1140"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2.0070</w:t>
            </w:r>
            <w:r w:rsidR="000D34FD" w:rsidRPr="00A13719">
              <w:rPr>
                <w:rFonts w:eastAsia="Times New Roman" w:cs="Times New Roman"/>
                <w:sz w:val="18"/>
                <w:szCs w:val="18"/>
                <w:lang w:eastAsia="en-GB"/>
              </w:rPr>
              <w:t>*</w:t>
            </w:r>
            <w:r w:rsidR="00294E02" w:rsidRPr="00A13719">
              <w:rPr>
                <w:rFonts w:eastAsia="Times New Roman" w:cs="Times New Roman"/>
                <w:sz w:val="18"/>
                <w:szCs w:val="18"/>
                <w:lang w:eastAsia="en-GB"/>
              </w:rPr>
              <w:t>*</w:t>
            </w:r>
          </w:p>
        </w:tc>
        <w:tc>
          <w:tcPr>
            <w:tcW w:w="1139"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0.3696</w:t>
            </w:r>
          </w:p>
        </w:tc>
        <w:tc>
          <w:tcPr>
            <w:tcW w:w="1140"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1.5933</w:t>
            </w:r>
            <w:r w:rsidR="000D34FD" w:rsidRPr="00A13719">
              <w:rPr>
                <w:rFonts w:eastAsia="Times New Roman" w:cs="Times New Roman"/>
                <w:sz w:val="18"/>
                <w:szCs w:val="18"/>
                <w:lang w:eastAsia="en-GB"/>
              </w:rPr>
              <w:t>*</w:t>
            </w:r>
            <w:r w:rsidR="000D34FD" w:rsidRPr="00A13719">
              <w:rPr>
                <w:sz w:val="20"/>
                <w:szCs w:val="20"/>
                <w:lang w:val="en-US"/>
              </w:rPr>
              <w:t>*</w:t>
            </w:r>
          </w:p>
        </w:tc>
        <w:tc>
          <w:tcPr>
            <w:tcW w:w="1140" w:type="dxa"/>
            <w:shd w:val="clear" w:color="000000" w:fill="auto"/>
            <w:noWrap/>
            <w:vAlign w:val="bottom"/>
          </w:tcPr>
          <w:p w:rsidR="007D344A" w:rsidRPr="00A13719" w:rsidRDefault="007D344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0.0412</w:t>
            </w: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Market Index-MAI</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-1.0123*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0.6094*</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0.5409**</w:t>
            </w:r>
            <w:r w:rsidR="000D34FD"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0.4663**</w:t>
            </w:r>
            <w:r w:rsidR="000D34FD"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0.2892*</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0.2839*</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-0.1474</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r>
      <w:tr w:rsidR="00A13719" w:rsidRPr="00A13719" w:rsidTr="00732A8E">
        <w:trPr>
          <w:trHeight w:val="198"/>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-13.8966</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9.4005</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12.4293</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12.1225</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5.2282</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6.3773</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-2.3962</w:t>
            </w:r>
            <w:r w:rsidRPr="00A13719">
              <w:rPr>
                <w:rFonts w:eastAsia="Times New Roman" w:cs="Times New Roman"/>
                <w:sz w:val="18"/>
                <w:szCs w:val="18"/>
                <w:lang w:eastAsia="en-GB"/>
              </w:rPr>
              <w:t>)</w:t>
            </w: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Energy-COEN</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0.1302*</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0.0246</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0.0735*</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0.1045*</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r>
      <w:tr w:rsidR="00A13719" w:rsidRPr="00A13719" w:rsidTr="00732A8E">
        <w:trPr>
          <w:trHeight w:val="164"/>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3.9577</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2.1341</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4.3722</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2F78E1"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(3.7649)</w:t>
            </w: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Small minus Big-SMB</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0.4291*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0.1491*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3.5949</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F78E1" w:rsidRPr="00A13719">
              <w:rPr>
                <w:rFonts w:eastAsia="Times New Roman" w:cs="Times New Roman"/>
                <w:sz w:val="18"/>
                <w:szCs w:val="18"/>
                <w:lang w:eastAsia="en-GB"/>
              </w:rPr>
              <w:t>2.9841</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Agriculture-COAG</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0.1118*</w:t>
            </w:r>
            <w:r w:rsidR="000D34FD"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0.1445*</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0.0781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0.1399*</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0.0600</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2.2248</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3.8158</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2.3317</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4.1236</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2.6532</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High minus Low-HML</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-0.3843*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-0.2013*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-5.0381</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-2.9864</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Industry Metals-COIM</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0.1158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0.1096*</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-0.0858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2.7056</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3.1212</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-2.6899</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Change in VIX-DVIX</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-0.0613*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135"/>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-5.0613</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Global Market Index (exc. U.S.)-GEMI</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0.1349*</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6.7292</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Term Spread-TERM</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-0.6613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734384" w:rsidP="000D34FD">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0.9206</w:t>
            </w:r>
            <w:r w:rsidR="000D34FD"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-2.6003</w:t>
            </w:r>
            <w:r w:rsidRPr="00A13719">
              <w:rPr>
                <w:rFonts w:eastAsia="Times New Roman" w:cs="Times New Roman"/>
                <w:sz w:val="18"/>
                <w:szCs w:val="18"/>
                <w:lang w:eastAsia="en-GB"/>
              </w:rPr>
              <w:t>)</w:t>
            </w:r>
          </w:p>
        </w:tc>
        <w:tc>
          <w:tcPr>
            <w:tcW w:w="1140" w:type="dxa"/>
            <w:shd w:val="clear" w:color="000000" w:fill="auto"/>
            <w:noWrap/>
            <w:vAlign w:val="bottom"/>
            <w:hideMark/>
          </w:tcPr>
          <w:p w:rsidR="00734384"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2.6859</w:t>
            </w:r>
            <w:r w:rsidRPr="00A13719">
              <w:rPr>
                <w:rFonts w:eastAsia="Times New Roman" w:cs="Times New Roman"/>
                <w:sz w:val="18"/>
                <w:szCs w:val="18"/>
                <w:lang w:eastAsia="en-GB"/>
              </w:rPr>
              <w:t>)</w:t>
            </w:r>
          </w:p>
        </w:tc>
        <w:tc>
          <w:tcPr>
            <w:tcW w:w="1139"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A33660">
        <w:trPr>
          <w:trHeight w:val="315"/>
          <w:jc w:val="center"/>
        </w:trPr>
        <w:tc>
          <w:tcPr>
            <w:tcW w:w="2410" w:type="dxa"/>
            <w:tcBorders>
              <w:bottom w:val="nil"/>
            </w:tcBorders>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Momentum-MOM</w:t>
            </w:r>
          </w:p>
        </w:tc>
        <w:tc>
          <w:tcPr>
            <w:tcW w:w="1139"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39"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c>
          <w:tcPr>
            <w:tcW w:w="1140"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0.0559*</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140" w:type="dxa"/>
            <w:tcBorders>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p>
        </w:tc>
      </w:tr>
      <w:tr w:rsidR="00A13719" w:rsidRPr="00A13719" w:rsidTr="00A33660">
        <w:trPr>
          <w:trHeight w:val="315"/>
          <w:jc w:val="center"/>
        </w:trPr>
        <w:tc>
          <w:tcPr>
            <w:tcW w:w="2410" w:type="dxa"/>
            <w:tcBorders>
              <w:top w:val="nil"/>
              <w:bottom w:val="single" w:sz="8" w:space="0" w:color="auto"/>
            </w:tcBorders>
            <w:shd w:val="clear" w:color="000000" w:fill="auto"/>
            <w:noWrap/>
            <w:vAlign w:val="bottom"/>
          </w:tcPr>
          <w:p w:rsidR="00BA07B8" w:rsidRPr="00A13719" w:rsidRDefault="00BA07B8" w:rsidP="00734384">
            <w:pPr>
              <w:spacing w:after="0" w:line="240" w:lineRule="auto"/>
              <w:rPr>
                <w:rFonts w:eastAsia="Times New Roman" w:cs="Times New Roman"/>
                <w:sz w:val="18"/>
                <w:szCs w:val="18"/>
                <w:lang w:eastAsia="en-GB"/>
              </w:rPr>
            </w:pPr>
          </w:p>
        </w:tc>
        <w:tc>
          <w:tcPr>
            <w:tcW w:w="1139" w:type="dxa"/>
            <w:tcBorders>
              <w:top w:val="nil"/>
              <w:bottom w:val="single" w:sz="8" w:space="0" w:color="auto"/>
            </w:tcBorders>
            <w:shd w:val="clear" w:color="000000" w:fill="auto"/>
            <w:noWrap/>
            <w:vAlign w:val="bottom"/>
          </w:tcPr>
          <w:p w:rsidR="00BA07B8" w:rsidRPr="00A13719" w:rsidRDefault="00BA07B8" w:rsidP="00732A8E">
            <w:pPr>
              <w:spacing w:after="0" w:line="240" w:lineRule="auto"/>
              <w:jc w:val="center"/>
              <w:rPr>
                <w:rFonts w:eastAsia="Times New Roman" w:cs="Times New Roman"/>
                <w:sz w:val="18"/>
                <w:szCs w:val="18"/>
                <w:lang w:eastAsia="en-GB"/>
              </w:rPr>
            </w:pPr>
          </w:p>
        </w:tc>
        <w:tc>
          <w:tcPr>
            <w:tcW w:w="1140" w:type="dxa"/>
            <w:tcBorders>
              <w:top w:val="nil"/>
              <w:bottom w:val="single" w:sz="8" w:space="0" w:color="auto"/>
            </w:tcBorders>
            <w:shd w:val="clear" w:color="000000" w:fill="auto"/>
            <w:noWrap/>
            <w:vAlign w:val="bottom"/>
          </w:tcPr>
          <w:p w:rsidR="00BA07B8" w:rsidRPr="00A13719" w:rsidRDefault="00BA07B8" w:rsidP="00732A8E">
            <w:pPr>
              <w:spacing w:after="0" w:line="240" w:lineRule="auto"/>
              <w:jc w:val="center"/>
              <w:rPr>
                <w:rFonts w:eastAsia="Times New Roman" w:cs="Times New Roman"/>
                <w:sz w:val="18"/>
                <w:szCs w:val="18"/>
                <w:lang w:eastAsia="en-GB"/>
              </w:rPr>
            </w:pPr>
          </w:p>
        </w:tc>
        <w:tc>
          <w:tcPr>
            <w:tcW w:w="1139" w:type="dxa"/>
            <w:tcBorders>
              <w:top w:val="nil"/>
              <w:bottom w:val="single" w:sz="8" w:space="0" w:color="auto"/>
            </w:tcBorders>
            <w:shd w:val="clear" w:color="000000" w:fill="auto"/>
            <w:noWrap/>
            <w:vAlign w:val="bottom"/>
          </w:tcPr>
          <w:p w:rsidR="00BA07B8" w:rsidRPr="00A13719" w:rsidRDefault="00BA07B8" w:rsidP="00732A8E">
            <w:pPr>
              <w:spacing w:after="0" w:line="240" w:lineRule="auto"/>
              <w:jc w:val="center"/>
              <w:rPr>
                <w:rFonts w:eastAsia="Times New Roman" w:cs="Times New Roman"/>
                <w:sz w:val="18"/>
                <w:szCs w:val="18"/>
                <w:lang w:eastAsia="en-GB"/>
              </w:rPr>
            </w:pPr>
          </w:p>
        </w:tc>
        <w:tc>
          <w:tcPr>
            <w:tcW w:w="1140" w:type="dxa"/>
            <w:tcBorders>
              <w:top w:val="nil"/>
              <w:bottom w:val="single" w:sz="8" w:space="0" w:color="auto"/>
            </w:tcBorders>
            <w:shd w:val="clear" w:color="000000" w:fill="auto"/>
            <w:noWrap/>
            <w:vAlign w:val="bottom"/>
          </w:tcPr>
          <w:p w:rsidR="00BA07B8" w:rsidRPr="00A13719" w:rsidRDefault="00BA07B8" w:rsidP="00732A8E">
            <w:pPr>
              <w:spacing w:after="0" w:line="240" w:lineRule="auto"/>
              <w:jc w:val="center"/>
              <w:rPr>
                <w:rFonts w:eastAsia="Times New Roman" w:cs="Times New Roman"/>
                <w:sz w:val="18"/>
                <w:szCs w:val="18"/>
                <w:lang w:eastAsia="en-GB"/>
              </w:rPr>
            </w:pPr>
          </w:p>
        </w:tc>
        <w:tc>
          <w:tcPr>
            <w:tcW w:w="1139" w:type="dxa"/>
            <w:tcBorders>
              <w:top w:val="nil"/>
              <w:bottom w:val="single" w:sz="8" w:space="0" w:color="auto"/>
            </w:tcBorders>
            <w:shd w:val="clear" w:color="000000" w:fill="auto"/>
            <w:noWrap/>
            <w:vAlign w:val="bottom"/>
          </w:tcPr>
          <w:p w:rsidR="00BA07B8" w:rsidRPr="00A13719" w:rsidRDefault="00BA07B8" w:rsidP="00732A8E">
            <w:pPr>
              <w:spacing w:after="0" w:line="240" w:lineRule="auto"/>
              <w:jc w:val="center"/>
              <w:rPr>
                <w:rFonts w:eastAsia="Times New Roman" w:cs="Times New Roman"/>
                <w:sz w:val="18"/>
                <w:szCs w:val="18"/>
                <w:lang w:eastAsia="en-GB"/>
              </w:rPr>
            </w:pPr>
          </w:p>
        </w:tc>
        <w:tc>
          <w:tcPr>
            <w:tcW w:w="1140" w:type="dxa"/>
            <w:tcBorders>
              <w:top w:val="nil"/>
              <w:bottom w:val="single" w:sz="8" w:space="0" w:color="auto"/>
            </w:tcBorders>
            <w:shd w:val="clear" w:color="000000" w:fill="auto"/>
            <w:noWrap/>
            <w:vAlign w:val="bottom"/>
          </w:tcPr>
          <w:p w:rsidR="00BA07B8" w:rsidRPr="00A13719" w:rsidRDefault="00BA07B8" w:rsidP="00732A8E">
            <w:pPr>
              <w:spacing w:after="0" w:line="240" w:lineRule="auto"/>
              <w:jc w:val="center"/>
              <w:rPr>
                <w:rFonts w:eastAsia="Times New Roman" w:cs="Times New Roman"/>
                <w:sz w:val="18"/>
                <w:szCs w:val="18"/>
                <w:lang w:eastAsia="en-GB"/>
              </w:rPr>
            </w:pPr>
          </w:p>
        </w:tc>
        <w:tc>
          <w:tcPr>
            <w:tcW w:w="1139" w:type="dxa"/>
            <w:tcBorders>
              <w:top w:val="nil"/>
              <w:bottom w:val="single" w:sz="8" w:space="0" w:color="auto"/>
            </w:tcBorders>
            <w:shd w:val="clear" w:color="000000" w:fill="auto"/>
            <w:noWrap/>
            <w:vAlign w:val="bottom"/>
          </w:tcPr>
          <w:p w:rsidR="00BA07B8" w:rsidRPr="00A13719" w:rsidRDefault="00BA07B8" w:rsidP="00732A8E">
            <w:pPr>
              <w:spacing w:after="0" w:line="240" w:lineRule="auto"/>
              <w:jc w:val="center"/>
              <w:rPr>
                <w:rFonts w:eastAsia="Times New Roman" w:cs="Times New Roman"/>
                <w:sz w:val="18"/>
                <w:szCs w:val="18"/>
                <w:lang w:eastAsia="en-GB"/>
              </w:rPr>
            </w:pPr>
          </w:p>
        </w:tc>
        <w:tc>
          <w:tcPr>
            <w:tcW w:w="1140" w:type="dxa"/>
            <w:tcBorders>
              <w:top w:val="nil"/>
              <w:bottom w:val="single" w:sz="8" w:space="0" w:color="auto"/>
            </w:tcBorders>
            <w:shd w:val="clear" w:color="000000" w:fill="auto"/>
            <w:noWrap/>
            <w:vAlign w:val="bottom"/>
          </w:tcPr>
          <w:p w:rsidR="00BA07B8" w:rsidRPr="00A13719" w:rsidRDefault="00BA07B8" w:rsidP="00732A8E">
            <w:pPr>
              <w:spacing w:after="0" w:line="240" w:lineRule="auto"/>
              <w:jc w:val="center"/>
              <w:rPr>
                <w:rFonts w:eastAsia="Times New Roman" w:cs="Times New Roman"/>
                <w:sz w:val="18"/>
                <w:szCs w:val="18"/>
                <w:lang w:eastAsia="en-GB"/>
              </w:rPr>
            </w:pPr>
          </w:p>
        </w:tc>
        <w:tc>
          <w:tcPr>
            <w:tcW w:w="1139" w:type="dxa"/>
            <w:tcBorders>
              <w:top w:val="nil"/>
              <w:bottom w:val="single" w:sz="8" w:space="0" w:color="auto"/>
            </w:tcBorders>
            <w:shd w:val="clear" w:color="000000" w:fill="auto"/>
            <w:noWrap/>
            <w:vAlign w:val="bottom"/>
          </w:tcPr>
          <w:p w:rsidR="00BA07B8" w:rsidRPr="00A13719" w:rsidRDefault="00BA07B8" w:rsidP="00732A8E">
            <w:pPr>
              <w:spacing w:after="0" w:line="240" w:lineRule="auto"/>
              <w:jc w:val="center"/>
              <w:rPr>
                <w:rFonts w:eastAsia="Times New Roman" w:cs="Times New Roman"/>
                <w:sz w:val="18"/>
                <w:szCs w:val="18"/>
                <w:lang w:eastAsia="en-GB"/>
              </w:rPr>
            </w:pPr>
          </w:p>
        </w:tc>
        <w:tc>
          <w:tcPr>
            <w:tcW w:w="1140" w:type="dxa"/>
            <w:tcBorders>
              <w:top w:val="nil"/>
              <w:bottom w:val="single" w:sz="8" w:space="0" w:color="auto"/>
            </w:tcBorders>
            <w:shd w:val="clear" w:color="000000" w:fill="auto"/>
            <w:noWrap/>
            <w:vAlign w:val="bottom"/>
          </w:tcPr>
          <w:p w:rsidR="00BA07B8" w:rsidRPr="00A13719" w:rsidRDefault="00A33660"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0192C" w:rsidRPr="00A13719">
              <w:rPr>
                <w:rFonts w:eastAsia="Times New Roman" w:cs="Times New Roman"/>
                <w:sz w:val="18"/>
                <w:szCs w:val="18"/>
                <w:lang w:eastAsia="en-GB"/>
              </w:rPr>
              <w:t>2.8421</w:t>
            </w:r>
            <w:r w:rsidRPr="00A13719">
              <w:rPr>
                <w:rFonts w:eastAsia="Times New Roman" w:cs="Times New Roman"/>
                <w:sz w:val="18"/>
                <w:szCs w:val="18"/>
                <w:lang w:eastAsia="en-GB"/>
              </w:rPr>
              <w:t>)</w:t>
            </w:r>
          </w:p>
        </w:tc>
        <w:tc>
          <w:tcPr>
            <w:tcW w:w="1140" w:type="dxa"/>
            <w:tcBorders>
              <w:top w:val="nil"/>
              <w:bottom w:val="single" w:sz="8" w:space="0" w:color="auto"/>
            </w:tcBorders>
            <w:shd w:val="clear" w:color="000000" w:fill="auto"/>
            <w:noWrap/>
            <w:vAlign w:val="bottom"/>
          </w:tcPr>
          <w:p w:rsidR="00BA07B8" w:rsidRPr="00A13719" w:rsidRDefault="00BA07B8" w:rsidP="00732A8E">
            <w:pPr>
              <w:spacing w:after="0" w:line="240" w:lineRule="auto"/>
              <w:jc w:val="center"/>
              <w:rPr>
                <w:rFonts w:eastAsia="Times New Roman" w:cs="Times New Roman"/>
                <w:sz w:val="18"/>
                <w:szCs w:val="18"/>
                <w:lang w:eastAsia="en-GB"/>
              </w:rPr>
            </w:pPr>
          </w:p>
        </w:tc>
      </w:tr>
      <w:tr w:rsidR="00A13719" w:rsidRPr="00A13719" w:rsidTr="00A33660">
        <w:trPr>
          <w:trHeight w:val="315"/>
          <w:jc w:val="center"/>
        </w:trPr>
        <w:tc>
          <w:tcPr>
            <w:tcW w:w="2410" w:type="dxa"/>
            <w:tcBorders>
              <w:top w:val="single" w:sz="8" w:space="0" w:color="auto"/>
              <w:bottom w:val="nil"/>
            </w:tcBorders>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Adj. R-squared:</w:t>
            </w:r>
          </w:p>
        </w:tc>
        <w:tc>
          <w:tcPr>
            <w:tcW w:w="1139"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0.8561</w:t>
            </w:r>
          </w:p>
        </w:tc>
        <w:tc>
          <w:tcPr>
            <w:tcW w:w="1140"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0.8727</w:t>
            </w:r>
          </w:p>
        </w:tc>
        <w:tc>
          <w:tcPr>
            <w:tcW w:w="1139"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0.8830</w:t>
            </w:r>
          </w:p>
        </w:tc>
        <w:tc>
          <w:tcPr>
            <w:tcW w:w="1140"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0.8608</w:t>
            </w:r>
          </w:p>
        </w:tc>
        <w:tc>
          <w:tcPr>
            <w:tcW w:w="1139"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0.6323</w:t>
            </w:r>
          </w:p>
        </w:tc>
        <w:tc>
          <w:tcPr>
            <w:tcW w:w="1140"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0.5677</w:t>
            </w:r>
          </w:p>
        </w:tc>
        <w:tc>
          <w:tcPr>
            <w:tcW w:w="1139"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0.7258</w:t>
            </w:r>
          </w:p>
        </w:tc>
        <w:tc>
          <w:tcPr>
            <w:tcW w:w="1140"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0.5326</w:t>
            </w:r>
          </w:p>
        </w:tc>
        <w:tc>
          <w:tcPr>
            <w:tcW w:w="1139"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0.5459</w:t>
            </w:r>
          </w:p>
        </w:tc>
        <w:tc>
          <w:tcPr>
            <w:tcW w:w="1140"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0.2324</w:t>
            </w:r>
          </w:p>
        </w:tc>
        <w:tc>
          <w:tcPr>
            <w:tcW w:w="1140" w:type="dxa"/>
            <w:tcBorders>
              <w:top w:val="single" w:sz="8" w:space="0" w:color="auto"/>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0.3261</w:t>
            </w:r>
          </w:p>
        </w:tc>
      </w:tr>
      <w:tr w:rsidR="00A13719" w:rsidRPr="00A13719" w:rsidTr="00732A8E">
        <w:trPr>
          <w:trHeight w:val="315"/>
          <w:jc w:val="center"/>
        </w:trPr>
        <w:tc>
          <w:tcPr>
            <w:tcW w:w="2410" w:type="dxa"/>
            <w:tcBorders>
              <w:top w:val="nil"/>
              <w:bottom w:val="nil"/>
            </w:tcBorders>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F-statistic:</w:t>
            </w:r>
          </w:p>
        </w:tc>
        <w:tc>
          <w:tcPr>
            <w:tcW w:w="1139"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99.1289</w:t>
            </w:r>
          </w:p>
        </w:tc>
        <w:tc>
          <w:tcPr>
            <w:tcW w:w="1140"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76.4402</w:t>
            </w:r>
          </w:p>
        </w:tc>
        <w:tc>
          <w:tcPr>
            <w:tcW w:w="1139"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84.0448</w:t>
            </w:r>
          </w:p>
        </w:tc>
        <w:tc>
          <w:tcPr>
            <w:tcW w:w="1140"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69.0318</w:t>
            </w:r>
          </w:p>
        </w:tc>
        <w:tc>
          <w:tcPr>
            <w:tcW w:w="1139"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29.3702</w:t>
            </w:r>
          </w:p>
        </w:tc>
        <w:tc>
          <w:tcPr>
            <w:tcW w:w="1140"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22.6712</w:t>
            </w:r>
          </w:p>
        </w:tc>
        <w:tc>
          <w:tcPr>
            <w:tcW w:w="1139"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22.8366</w:t>
            </w:r>
          </w:p>
        </w:tc>
        <w:tc>
          <w:tcPr>
            <w:tcW w:w="1140"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10.4024</w:t>
            </w:r>
          </w:p>
        </w:tc>
        <w:tc>
          <w:tcPr>
            <w:tcW w:w="1139"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40.6694</w:t>
            </w:r>
          </w:p>
        </w:tc>
        <w:tc>
          <w:tcPr>
            <w:tcW w:w="1140"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5.9962</w:t>
            </w:r>
          </w:p>
        </w:tc>
        <w:tc>
          <w:tcPr>
            <w:tcW w:w="1140" w:type="dxa"/>
            <w:tcBorders>
              <w:top w:val="nil"/>
              <w:bottom w:val="nil"/>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8.9853</w:t>
            </w:r>
          </w:p>
        </w:tc>
      </w:tr>
      <w:tr w:rsidR="00A13719" w:rsidRPr="00A13719" w:rsidTr="00732A8E">
        <w:trPr>
          <w:trHeight w:val="315"/>
          <w:jc w:val="center"/>
        </w:trPr>
        <w:tc>
          <w:tcPr>
            <w:tcW w:w="2410" w:type="dxa"/>
            <w:tcBorders>
              <w:top w:val="nil"/>
              <w:bottom w:val="single" w:sz="8" w:space="0" w:color="auto"/>
            </w:tcBorders>
            <w:shd w:val="clear" w:color="000000" w:fill="auto"/>
            <w:noWrap/>
            <w:vAlign w:val="bottom"/>
            <w:hideMark/>
          </w:tcPr>
          <w:p w:rsidR="00734384" w:rsidRPr="00A13719" w:rsidRDefault="00734384" w:rsidP="0073438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Prob (F-stat):</w:t>
            </w:r>
          </w:p>
        </w:tc>
        <w:tc>
          <w:tcPr>
            <w:tcW w:w="1139"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1140"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1139"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1140"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1139"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1140"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1139"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1140"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1139"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1140"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0.0063</w:t>
            </w:r>
          </w:p>
        </w:tc>
        <w:tc>
          <w:tcPr>
            <w:tcW w:w="1140" w:type="dxa"/>
            <w:tcBorders>
              <w:top w:val="nil"/>
              <w:bottom w:val="single" w:sz="8" w:space="0" w:color="auto"/>
            </w:tcBorders>
            <w:shd w:val="clear" w:color="000000" w:fill="auto"/>
            <w:noWrap/>
            <w:vAlign w:val="bottom"/>
            <w:hideMark/>
          </w:tcPr>
          <w:p w:rsidR="00734384" w:rsidRPr="00A13719" w:rsidRDefault="00734384"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0.0008</w:t>
            </w:r>
          </w:p>
        </w:tc>
      </w:tr>
    </w:tbl>
    <w:p w:rsidR="00D24FF4" w:rsidRPr="00A13719" w:rsidRDefault="00D24FF4" w:rsidP="00B628CA">
      <w:pPr>
        <w:jc w:val="both"/>
        <w:rPr>
          <w:b/>
          <w:lang w:val="en-US"/>
        </w:rPr>
        <w:sectPr w:rsidR="00D24FF4" w:rsidRPr="00A13719" w:rsidSect="00A33660">
          <w:pgSz w:w="16838" w:h="11906" w:orient="landscape" w:code="9"/>
          <w:pgMar w:top="567" w:right="1440" w:bottom="567" w:left="1440" w:header="709" w:footer="567" w:gutter="0"/>
          <w:cols w:space="708"/>
          <w:titlePg/>
          <w:docGrid w:linePitch="360"/>
        </w:sectPr>
      </w:pPr>
    </w:p>
    <w:p w:rsidR="00B628CA" w:rsidRPr="00A13719" w:rsidRDefault="00B628CA" w:rsidP="00B628CA">
      <w:pPr>
        <w:jc w:val="both"/>
        <w:rPr>
          <w:b/>
          <w:lang w:val="en-US"/>
        </w:rPr>
      </w:pPr>
      <w:r w:rsidRPr="00A13719">
        <w:rPr>
          <w:b/>
          <w:lang w:val="en-US"/>
        </w:rPr>
        <w:lastRenderedPageBreak/>
        <w:t>Up Regime</w:t>
      </w:r>
    </w:p>
    <w:p w:rsidR="00B628CA" w:rsidRPr="00A13719" w:rsidRDefault="00B628CA" w:rsidP="00B628CA">
      <w:pPr>
        <w:jc w:val="both"/>
        <w:rPr>
          <w:lang w:val="en-US"/>
        </w:rPr>
      </w:pPr>
      <w:r w:rsidRPr="00A13719">
        <w:rPr>
          <w:lang w:val="en-US"/>
        </w:rPr>
        <w:t xml:space="preserve">Table </w:t>
      </w:r>
      <w:r w:rsidR="00990621" w:rsidRPr="00A13719">
        <w:rPr>
          <w:lang w:val="en-US"/>
        </w:rPr>
        <w:t>5</w:t>
      </w:r>
      <w:r w:rsidR="00802156" w:rsidRPr="00A13719">
        <w:rPr>
          <w:lang w:val="en-US"/>
        </w:rPr>
        <w:t xml:space="preserve"> </w:t>
      </w:r>
      <w:r w:rsidR="00732A8E" w:rsidRPr="00A13719">
        <w:rPr>
          <w:lang w:val="en-US"/>
        </w:rPr>
        <w:t>show</w:t>
      </w:r>
      <w:r w:rsidR="00802156" w:rsidRPr="00A13719">
        <w:rPr>
          <w:lang w:val="en-US"/>
        </w:rPr>
        <w:t>s</w:t>
      </w:r>
      <w:r w:rsidR="00732A8E" w:rsidRPr="00A13719">
        <w:rPr>
          <w:lang w:val="en-US"/>
        </w:rPr>
        <w:t xml:space="preserve"> the performance of </w:t>
      </w:r>
      <w:r w:rsidR="00B56004" w:rsidRPr="00A13719">
        <w:rPr>
          <w:rFonts w:eastAsiaTheme="minorEastAsia"/>
          <w:lang w:val="en-US"/>
        </w:rPr>
        <w:t>HF</w:t>
      </w:r>
      <w:r w:rsidRPr="00A13719">
        <w:rPr>
          <w:lang w:val="en-US"/>
        </w:rPr>
        <w:t xml:space="preserve"> strateg</w:t>
      </w:r>
      <w:r w:rsidR="00732A8E" w:rsidRPr="00A13719">
        <w:rPr>
          <w:lang w:val="en-US"/>
        </w:rPr>
        <w:t>ies</w:t>
      </w:r>
      <w:r w:rsidRPr="00A13719">
        <w:rPr>
          <w:lang w:val="en-US"/>
        </w:rPr>
        <w:t xml:space="preserve"> </w:t>
      </w:r>
      <w:r w:rsidR="00732A8E" w:rsidRPr="00A13719">
        <w:rPr>
          <w:lang w:val="en-US"/>
        </w:rPr>
        <w:t>when the Wilshire 5000 is rising.</w:t>
      </w:r>
      <w:r w:rsidRPr="00A13719">
        <w:rPr>
          <w:lang w:val="en-US"/>
        </w:rPr>
        <w:t xml:space="preserve"> </w:t>
      </w:r>
      <w:r w:rsidR="009601A9" w:rsidRPr="00A13719">
        <w:rPr>
          <w:lang w:val="en-US"/>
        </w:rPr>
        <w:t>Almost a</w:t>
      </w:r>
      <w:r w:rsidRPr="00A13719">
        <w:rPr>
          <w:lang w:val="en-US"/>
        </w:rPr>
        <w:t>ll strategies deliver strongly</w:t>
      </w:r>
      <w:r w:rsidR="00802156" w:rsidRPr="00A13719">
        <w:rPr>
          <w:lang w:val="en-US"/>
        </w:rPr>
        <w:t xml:space="preserve"> significant alphas to investors</w:t>
      </w:r>
      <w:r w:rsidR="00F92808" w:rsidRPr="00A13719">
        <w:rPr>
          <w:lang w:val="en-US"/>
        </w:rPr>
        <w:t>.</w:t>
      </w:r>
      <w:r w:rsidRPr="00A13719">
        <w:rPr>
          <w:lang w:val="en-US"/>
        </w:rPr>
        <w:t xml:space="preserve"> </w:t>
      </w:r>
      <w:r w:rsidR="00732A8E" w:rsidRPr="00A13719">
        <w:rPr>
          <w:lang w:val="en-US"/>
        </w:rPr>
        <w:t>S</w:t>
      </w:r>
      <w:r w:rsidR="00FB7233" w:rsidRPr="00A13719">
        <w:rPr>
          <w:lang w:val="en-US"/>
        </w:rPr>
        <w:t>imilar to</w:t>
      </w:r>
      <w:r w:rsidRPr="00A13719">
        <w:rPr>
          <w:lang w:val="en-US"/>
        </w:rPr>
        <w:t xml:space="preserve"> the </w:t>
      </w:r>
      <w:r w:rsidR="00FC346E" w:rsidRPr="00A13719">
        <w:rPr>
          <w:lang w:val="en-US"/>
        </w:rPr>
        <w:t>expansion</w:t>
      </w:r>
      <w:r w:rsidRPr="00A13719">
        <w:rPr>
          <w:lang w:val="en-US"/>
        </w:rPr>
        <w:t xml:space="preserve"> period, almost all </w:t>
      </w:r>
      <w:r w:rsidR="00B56004" w:rsidRPr="00A13719">
        <w:rPr>
          <w:rFonts w:eastAsiaTheme="minorEastAsia"/>
          <w:lang w:val="en-US"/>
        </w:rPr>
        <w:t>HF</w:t>
      </w:r>
      <w:r w:rsidRPr="00A13719">
        <w:rPr>
          <w:lang w:val="en-US"/>
        </w:rPr>
        <w:t xml:space="preserve"> strategies are trying to increase their exposures so as to gain </w:t>
      </w:r>
      <w:r w:rsidR="005A511E" w:rsidRPr="00A13719">
        <w:rPr>
          <w:lang w:val="en-US"/>
        </w:rPr>
        <w:t>higher</w:t>
      </w:r>
      <w:r w:rsidRPr="00A13719">
        <w:rPr>
          <w:lang w:val="en-US"/>
        </w:rPr>
        <w:t xml:space="preserve"> returns. </w:t>
      </w:r>
      <w:r w:rsidR="00802156" w:rsidRPr="00A13719">
        <w:rPr>
          <w:lang w:val="en-US"/>
        </w:rPr>
        <w:t>F</w:t>
      </w:r>
      <w:r w:rsidR="00544462" w:rsidRPr="00A13719">
        <w:rPr>
          <w:lang w:val="en-US"/>
        </w:rPr>
        <w:t xml:space="preserve">und managers take advantage of the upward market movement and invest </w:t>
      </w:r>
      <w:r w:rsidR="005A511E" w:rsidRPr="00A13719">
        <w:rPr>
          <w:lang w:val="en-US"/>
        </w:rPr>
        <w:t>i</w:t>
      </w:r>
      <w:r w:rsidR="00544462" w:rsidRPr="00A13719">
        <w:rPr>
          <w:lang w:val="en-US"/>
        </w:rPr>
        <w:t xml:space="preserve">n more risky assets such as small cap equities in order to have higher returns. They pay </w:t>
      </w:r>
      <w:r w:rsidR="005A511E" w:rsidRPr="00A13719">
        <w:rPr>
          <w:lang w:val="en-US"/>
        </w:rPr>
        <w:t xml:space="preserve">more </w:t>
      </w:r>
      <w:r w:rsidR="00544462" w:rsidRPr="00A13719">
        <w:rPr>
          <w:lang w:val="en-US"/>
        </w:rPr>
        <w:t xml:space="preserve">attention to returns than </w:t>
      </w:r>
      <w:r w:rsidR="005A511E" w:rsidRPr="00A13719">
        <w:rPr>
          <w:lang w:val="en-US"/>
        </w:rPr>
        <w:t>to</w:t>
      </w:r>
      <w:r w:rsidR="00544462" w:rsidRPr="00A13719">
        <w:rPr>
          <w:lang w:val="en-US"/>
        </w:rPr>
        <w:t xml:space="preserve"> systematic risk during these conditions. </w:t>
      </w:r>
      <w:r w:rsidRPr="00A13719">
        <w:rPr>
          <w:lang w:val="en-US"/>
        </w:rPr>
        <w:t>On average, less directional strategies d</w:t>
      </w:r>
      <w:r w:rsidR="00802156" w:rsidRPr="00A13719">
        <w:rPr>
          <w:lang w:val="en-US"/>
        </w:rPr>
        <w:t>eliver lower alpha</w:t>
      </w:r>
      <w:r w:rsidR="00740913" w:rsidRPr="00A13719">
        <w:rPr>
          <w:lang w:val="en-US"/>
        </w:rPr>
        <w:t xml:space="preserve"> as they benefit less from the upward market movement.</w:t>
      </w:r>
      <w:r w:rsidRPr="00A13719">
        <w:rPr>
          <w:lang w:val="en-US"/>
        </w:rPr>
        <w:t xml:space="preserve"> However, they have fewer exposures compared to the other strategies</w:t>
      </w:r>
      <w:r w:rsidR="00740913" w:rsidRPr="00A13719">
        <w:rPr>
          <w:lang w:val="en-US"/>
        </w:rPr>
        <w:t>, as by nature these are less risky strategies</w:t>
      </w:r>
      <w:r w:rsidRPr="00A13719">
        <w:rPr>
          <w:lang w:val="en-US"/>
        </w:rPr>
        <w:t xml:space="preserve">. In total, there are fifty one asset class exposures across all strategies. </w:t>
      </w:r>
      <w:r w:rsidR="00732A8E" w:rsidRPr="00A13719">
        <w:rPr>
          <w:lang w:val="en-US"/>
        </w:rPr>
        <w:t xml:space="preserve">As for </w:t>
      </w:r>
      <w:r w:rsidR="00FC346E" w:rsidRPr="00A13719">
        <w:rPr>
          <w:lang w:val="en-US"/>
        </w:rPr>
        <w:t>expansion</w:t>
      </w:r>
      <w:r w:rsidR="00732A8E" w:rsidRPr="00A13719">
        <w:rPr>
          <w:lang w:val="en-US"/>
        </w:rPr>
        <w:t xml:space="preserve"> periods, t</w:t>
      </w:r>
      <w:r w:rsidRPr="00A13719">
        <w:rPr>
          <w:lang w:val="en-US"/>
        </w:rPr>
        <w:t>he most common exposure</w:t>
      </w:r>
      <w:r w:rsidR="00732A8E" w:rsidRPr="00A13719">
        <w:rPr>
          <w:lang w:val="en-US"/>
        </w:rPr>
        <w:t>s</w:t>
      </w:r>
      <w:r w:rsidRPr="00A13719">
        <w:rPr>
          <w:lang w:val="en-US"/>
        </w:rPr>
        <w:t xml:space="preserve"> across all strategies </w:t>
      </w:r>
      <w:r w:rsidR="00732A8E" w:rsidRPr="00A13719">
        <w:rPr>
          <w:lang w:val="en-US"/>
        </w:rPr>
        <w:t>are</w:t>
      </w:r>
      <w:r w:rsidRPr="00A13719">
        <w:rPr>
          <w:lang w:val="en-US"/>
        </w:rPr>
        <w:t xml:space="preserve"> MAI</w:t>
      </w:r>
      <w:r w:rsidR="00732A8E" w:rsidRPr="00A13719">
        <w:rPr>
          <w:lang w:val="en-US"/>
        </w:rPr>
        <w:t xml:space="preserve"> followed by</w:t>
      </w:r>
      <w:r w:rsidRPr="00A13719">
        <w:rPr>
          <w:lang w:val="en-US"/>
        </w:rPr>
        <w:t xml:space="preserve"> MOM</w:t>
      </w:r>
      <w:r w:rsidR="00732A8E" w:rsidRPr="00A13719">
        <w:rPr>
          <w:lang w:val="en-US"/>
        </w:rPr>
        <w:t xml:space="preserve"> then </w:t>
      </w:r>
      <w:r w:rsidRPr="00A13719">
        <w:rPr>
          <w:lang w:val="en-US"/>
        </w:rPr>
        <w:t xml:space="preserve">SMB. </w:t>
      </w:r>
    </w:p>
    <w:p w:rsidR="00B628CA" w:rsidRPr="00A13719" w:rsidRDefault="00B628CA" w:rsidP="009C6C39">
      <w:pPr>
        <w:jc w:val="both"/>
        <w:rPr>
          <w:lang w:val="en-US"/>
        </w:rPr>
      </w:pPr>
    </w:p>
    <w:p w:rsidR="00D24FF4" w:rsidRPr="00A13719" w:rsidRDefault="00D24FF4" w:rsidP="00B628CA">
      <w:pPr>
        <w:spacing w:after="0"/>
        <w:rPr>
          <w:b/>
          <w:sz w:val="28"/>
          <w:szCs w:val="28"/>
          <w:lang w:val="en-US"/>
        </w:rPr>
        <w:sectPr w:rsidR="00D24FF4" w:rsidRPr="00A13719" w:rsidSect="00D24FF4">
          <w:pgSz w:w="11906" w:h="16838"/>
          <w:pgMar w:top="1440" w:right="1304" w:bottom="1440" w:left="1304" w:header="709" w:footer="567" w:gutter="0"/>
          <w:cols w:space="708"/>
          <w:titlePg/>
          <w:docGrid w:linePitch="360"/>
        </w:sectPr>
      </w:pPr>
    </w:p>
    <w:p w:rsidR="00B628CA" w:rsidRPr="00A13719" w:rsidRDefault="00B628CA" w:rsidP="00B628CA">
      <w:pPr>
        <w:spacing w:after="0"/>
        <w:rPr>
          <w:b/>
          <w:sz w:val="28"/>
          <w:szCs w:val="28"/>
          <w:lang w:val="en-US"/>
        </w:rPr>
      </w:pPr>
      <w:r w:rsidRPr="00A13719">
        <w:rPr>
          <w:b/>
          <w:sz w:val="28"/>
          <w:szCs w:val="28"/>
          <w:lang w:val="en-US"/>
        </w:rPr>
        <w:lastRenderedPageBreak/>
        <w:t xml:space="preserve">Table </w:t>
      </w:r>
      <w:r w:rsidR="00990621" w:rsidRPr="00A13719">
        <w:rPr>
          <w:b/>
          <w:sz w:val="28"/>
          <w:szCs w:val="28"/>
          <w:lang w:val="en-US"/>
        </w:rPr>
        <w:t>5</w:t>
      </w:r>
      <w:r w:rsidRPr="00A13719">
        <w:rPr>
          <w:b/>
          <w:sz w:val="28"/>
          <w:szCs w:val="28"/>
          <w:lang w:val="en-US"/>
        </w:rPr>
        <w:t>. Multi-Factor Model</w:t>
      </w:r>
      <w:r w:rsidR="00732A8E" w:rsidRPr="00A13719">
        <w:rPr>
          <w:b/>
          <w:sz w:val="28"/>
          <w:szCs w:val="28"/>
          <w:lang w:val="en-US"/>
        </w:rPr>
        <w:t xml:space="preserve"> During a Rising Market</w:t>
      </w:r>
    </w:p>
    <w:p w:rsidR="00B628CA" w:rsidRPr="00A13719" w:rsidRDefault="00B628CA" w:rsidP="00B628CA">
      <w:pPr>
        <w:spacing w:after="0"/>
        <w:jc w:val="both"/>
        <w:rPr>
          <w:lang w:val="en-US"/>
        </w:rPr>
      </w:pPr>
      <w:r w:rsidRPr="00A13719">
        <w:rPr>
          <w:sz w:val="18"/>
          <w:szCs w:val="18"/>
          <w:lang w:val="en-US"/>
        </w:rPr>
        <w:t xml:space="preserve">This table shows the results in terms of alphas and exposures </w:t>
      </w:r>
      <w:r w:rsidR="00FF359C" w:rsidRPr="00A13719">
        <w:rPr>
          <w:sz w:val="18"/>
          <w:szCs w:val="18"/>
          <w:lang w:val="en-US"/>
        </w:rPr>
        <w:t>using stepwise regression within our empirical specification,</w:t>
      </w:r>
      <w:r w:rsidRPr="00A13719">
        <w:rPr>
          <w:sz w:val="18"/>
          <w:szCs w:val="18"/>
          <w:lang w:val="en-US"/>
        </w:rPr>
        <w:t xml:space="preserve"> for the up regime. </w:t>
      </w:r>
      <w:r w:rsidR="00550E05" w:rsidRPr="00A13719">
        <w:rPr>
          <w:sz w:val="18"/>
          <w:szCs w:val="18"/>
          <w:lang w:val="en-US"/>
        </w:rPr>
        <w:t>H</w:t>
      </w:r>
      <w:r w:rsidR="00B56004" w:rsidRPr="00A13719">
        <w:rPr>
          <w:sz w:val="18"/>
          <w:szCs w:val="18"/>
          <w:lang w:val="en-US"/>
        </w:rPr>
        <w:t>F</w:t>
      </w:r>
      <w:r w:rsidR="00550E05" w:rsidRPr="00A13719">
        <w:rPr>
          <w:sz w:val="18"/>
          <w:szCs w:val="18"/>
          <w:lang w:val="en-US"/>
        </w:rPr>
        <w:t>s returns are raw returns minus the risk free return</w:t>
      </w:r>
      <w:r w:rsidRPr="00A13719">
        <w:rPr>
          <w:sz w:val="18"/>
          <w:szCs w:val="18"/>
          <w:lang w:val="en-US"/>
        </w:rPr>
        <w:t>. The Risk free (RF) return is the one-month Treasury bill rate from the Fama and French online data</w:t>
      </w:r>
      <w:r w:rsidR="00732A8E" w:rsidRPr="00A13719">
        <w:rPr>
          <w:sz w:val="18"/>
          <w:szCs w:val="18"/>
          <w:lang w:val="en-US"/>
        </w:rPr>
        <w:t xml:space="preserve"> </w:t>
      </w:r>
      <w:r w:rsidRPr="00A13719">
        <w:rPr>
          <w:sz w:val="18"/>
          <w:szCs w:val="18"/>
          <w:lang w:val="en-US"/>
        </w:rPr>
        <w:t>library (Ibbotson Associates). MAI, GEMI, COEN, COPM, COIM, COAG</w:t>
      </w:r>
      <w:r w:rsidR="00732A8E" w:rsidRPr="00A13719">
        <w:rPr>
          <w:sz w:val="18"/>
          <w:szCs w:val="18"/>
          <w:lang w:val="en-US"/>
        </w:rPr>
        <w:t xml:space="preserve"> and</w:t>
      </w:r>
      <w:r w:rsidRPr="00A13719">
        <w:rPr>
          <w:sz w:val="18"/>
          <w:szCs w:val="18"/>
          <w:lang w:val="en-US"/>
        </w:rPr>
        <w:t xml:space="preserve"> RLE are excess RF returns. *</w:t>
      </w:r>
      <w:r w:rsidR="000D34FD" w:rsidRPr="00A13719">
        <w:rPr>
          <w:sz w:val="18"/>
          <w:szCs w:val="18"/>
          <w:lang w:val="en-US"/>
        </w:rPr>
        <w:t>*</w:t>
      </w:r>
      <w:r w:rsidRPr="00A13719">
        <w:rPr>
          <w:sz w:val="18"/>
          <w:szCs w:val="18"/>
          <w:lang w:val="en-US"/>
        </w:rPr>
        <w:t xml:space="preserve"> denotes significance at P &lt; 0.05 and **</w:t>
      </w:r>
      <w:r w:rsidR="000D34FD" w:rsidRPr="00A13719">
        <w:rPr>
          <w:sz w:val="18"/>
          <w:szCs w:val="18"/>
          <w:lang w:val="en-US"/>
        </w:rPr>
        <w:t>*</w:t>
      </w:r>
      <w:r w:rsidRPr="00A13719">
        <w:rPr>
          <w:sz w:val="18"/>
          <w:szCs w:val="18"/>
          <w:lang w:val="en-US"/>
        </w:rPr>
        <w:t xml:space="preserve"> denotes significance at P &lt; 0.01. </w:t>
      </w:r>
      <w:r w:rsidR="00486205" w:rsidRPr="00A13719">
        <w:rPr>
          <w:sz w:val="18"/>
          <w:szCs w:val="18"/>
          <w:lang w:val="en-US"/>
        </w:rPr>
        <w:t>The t-statistics are in parentheses. An empty cell means there is no significant exposure to this factor.</w:t>
      </w:r>
      <w:r w:rsidR="009B612B" w:rsidRPr="00A13719">
        <w:rPr>
          <w:sz w:val="18"/>
          <w:szCs w:val="18"/>
          <w:lang w:val="en-US"/>
        </w:rPr>
        <w:t xml:space="preserve">  </w:t>
      </w:r>
    </w:p>
    <w:tbl>
      <w:tblPr>
        <w:tblW w:w="14726" w:type="dxa"/>
        <w:jc w:val="center"/>
        <w:tblBorders>
          <w:top w:val="single" w:sz="8" w:space="0" w:color="auto"/>
          <w:bottom w:val="single" w:sz="8" w:space="0" w:color="auto"/>
        </w:tblBorders>
        <w:shd w:val="clear" w:color="000000" w:fill="auto"/>
        <w:tblLook w:val="04A0" w:firstRow="1" w:lastRow="0" w:firstColumn="1" w:lastColumn="0" w:noHBand="0" w:noVBand="1"/>
      </w:tblPr>
      <w:tblGrid>
        <w:gridCol w:w="3014"/>
        <w:gridCol w:w="1041"/>
        <w:gridCol w:w="1001"/>
        <w:gridCol w:w="981"/>
        <w:gridCol w:w="1041"/>
        <w:gridCol w:w="1181"/>
        <w:gridCol w:w="1261"/>
        <w:gridCol w:w="1041"/>
        <w:gridCol w:w="1221"/>
        <w:gridCol w:w="1291"/>
        <w:gridCol w:w="1321"/>
        <w:gridCol w:w="1088"/>
      </w:tblGrid>
      <w:tr w:rsidR="00A13719" w:rsidRPr="00A13719" w:rsidTr="00BE42C3">
        <w:trPr>
          <w:trHeight w:val="315"/>
          <w:jc w:val="center"/>
        </w:trPr>
        <w:tc>
          <w:tcPr>
            <w:tcW w:w="3014" w:type="dxa"/>
            <w:tcBorders>
              <w:top w:val="single" w:sz="8" w:space="0" w:color="auto"/>
              <w:bottom w:val="single" w:sz="8" w:space="0" w:color="auto"/>
            </w:tcBorders>
            <w:shd w:val="clear" w:color="000000" w:fill="auto"/>
            <w:noWrap/>
            <w:vAlign w:val="bottom"/>
            <w:hideMark/>
          </w:tcPr>
          <w:p w:rsidR="00B628CA" w:rsidRPr="00A13719" w:rsidRDefault="00732A8E" w:rsidP="00732A8E">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Dependent variable</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Short Bias</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Long Only</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Sector</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Long Short</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Event Driven</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Multi Strategy</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Others</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Global Macro</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Relative Value</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Market Neutral</w:t>
            </w:r>
          </w:p>
        </w:tc>
        <w:tc>
          <w:tcPr>
            <w:tcW w:w="1088" w:type="dxa"/>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CTAs</w:t>
            </w:r>
          </w:p>
        </w:tc>
      </w:tr>
      <w:tr w:rsidR="00A13719" w:rsidRPr="00A13719" w:rsidTr="00BE42C3">
        <w:trPr>
          <w:trHeight w:val="300"/>
          <w:jc w:val="center"/>
        </w:trPr>
        <w:tc>
          <w:tcPr>
            <w:tcW w:w="3014" w:type="dxa"/>
            <w:tcBorders>
              <w:top w:val="single" w:sz="8" w:space="0" w:color="auto"/>
            </w:tcBorders>
            <w:shd w:val="clear" w:color="000000" w:fill="auto"/>
            <w:noWrap/>
            <w:vAlign w:val="bottom"/>
            <w:hideMark/>
          </w:tcPr>
          <w:p w:rsidR="00B628CA" w:rsidRPr="00A13719" w:rsidRDefault="001C02B9" w:rsidP="004F3650">
            <w:pPr>
              <w:spacing w:after="0" w:line="240" w:lineRule="auto"/>
              <w:rPr>
                <w:rFonts w:eastAsia="Times New Roman" w:cs="Times New Roman"/>
                <w:sz w:val="18"/>
                <w:szCs w:val="18"/>
                <w:lang w:eastAsia="en-GB"/>
              </w:rPr>
            </w:pPr>
            <w:r w:rsidRPr="00A13719">
              <w:rPr>
                <w:rFonts w:eastAsia="Times New Roman" w:cs="Times New Roman"/>
                <w:sz w:val="20"/>
                <w:szCs w:val="20"/>
                <w:lang w:eastAsia="en-GB"/>
              </w:rPr>
              <w:t>Alpha</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0.4899*</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0.2880*</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0.4838*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0.6267*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0.4967*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0.6387*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1.2702*</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0.2970*</w:t>
            </w:r>
            <w:r w:rsidR="000D34FD"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-0.2192</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0.1528*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088" w:type="dxa"/>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0.8312*</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r>
      <w:tr w:rsidR="00A13719" w:rsidRPr="00A13719" w:rsidTr="00BE42C3">
        <w:trPr>
          <w:trHeight w:val="8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2.6382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3.3733</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4.4458</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4.6581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7.9609</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7.5211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6.7701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2.4371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-1.3816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3.0690</w:t>
            </w:r>
            <w:r w:rsidRPr="00A13719">
              <w:rPr>
                <w:rFonts w:eastAsia="Times New Roman" w:cs="Times New Roman"/>
                <w:sz w:val="18"/>
                <w:szCs w:val="18"/>
                <w:lang w:eastAsia="en-GB"/>
              </w:rPr>
              <w:t>)</w:t>
            </w:r>
          </w:p>
        </w:tc>
        <w:tc>
          <w:tcPr>
            <w:tcW w:w="1088" w:type="dxa"/>
            <w:shd w:val="clear" w:color="000000" w:fill="auto"/>
            <w:noWrap/>
            <w:vAlign w:val="bottom"/>
            <w:hideMark/>
          </w:tcPr>
          <w:p w:rsidR="00B628CA" w:rsidRPr="00A13719" w:rsidRDefault="009D37A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53A73" w:rsidRPr="00A13719">
              <w:rPr>
                <w:rFonts w:eastAsia="Times New Roman" w:cs="Times New Roman"/>
                <w:sz w:val="18"/>
                <w:szCs w:val="18"/>
                <w:lang w:eastAsia="en-GB"/>
              </w:rPr>
              <w:t>3.8515</w:t>
            </w:r>
            <w:r w:rsidRPr="00A13719">
              <w:rPr>
                <w:rFonts w:eastAsia="Times New Roman" w:cs="Times New Roman"/>
                <w:sz w:val="18"/>
                <w:szCs w:val="18"/>
                <w:lang w:eastAsia="en-GB"/>
              </w:rPr>
              <w:t>)</w:t>
            </w:r>
          </w:p>
        </w:tc>
      </w:tr>
      <w:tr w:rsidR="00A13719" w:rsidRPr="00A13719" w:rsidTr="00BE42C3">
        <w:trPr>
          <w:trHeight w:val="30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Market Index-MAI</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-0.9337*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0.6690*</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0.5878*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0.5737*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0.2523*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0.2256*</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0.1482*</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0.2846*</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0.1505*</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0.0751*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7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E1591F"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56312" w:rsidRPr="00A13719">
              <w:rPr>
                <w:rFonts w:eastAsia="Times New Roman" w:cs="Times New Roman"/>
                <w:sz w:val="18"/>
                <w:szCs w:val="18"/>
                <w:lang w:eastAsia="en-GB"/>
              </w:rPr>
              <w:t>-13.7157</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D13692"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56312" w:rsidRPr="00A13719">
              <w:rPr>
                <w:rFonts w:eastAsia="Times New Roman" w:cs="Times New Roman"/>
                <w:sz w:val="18"/>
                <w:szCs w:val="18"/>
                <w:lang w:eastAsia="en-GB"/>
              </w:rPr>
              <w:t>30.2888</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D13692"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56312" w:rsidRPr="00A13719">
              <w:rPr>
                <w:rFonts w:eastAsia="Times New Roman" w:cs="Times New Roman"/>
                <w:sz w:val="18"/>
                <w:szCs w:val="18"/>
                <w:lang w:eastAsia="en-GB"/>
              </w:rPr>
              <w:t>20.9548</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D13692"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56312" w:rsidRPr="00A13719">
              <w:rPr>
                <w:rFonts w:eastAsia="Times New Roman" w:cs="Times New Roman"/>
                <w:sz w:val="18"/>
                <w:szCs w:val="18"/>
                <w:lang w:eastAsia="en-GB"/>
              </w:rPr>
              <w:t>23.0726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D13692"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56312" w:rsidRPr="00A13719">
              <w:rPr>
                <w:rFonts w:eastAsia="Times New Roman" w:cs="Times New Roman"/>
                <w:sz w:val="18"/>
                <w:szCs w:val="18"/>
                <w:lang w:eastAsia="en-GB"/>
              </w:rPr>
              <w:t>10.9270</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56312" w:rsidRPr="00A13719">
              <w:rPr>
                <w:rFonts w:eastAsia="Times New Roman" w:cs="Times New Roman"/>
                <w:sz w:val="18"/>
                <w:szCs w:val="18"/>
                <w:lang w:eastAsia="en-GB"/>
              </w:rPr>
              <w:t>10.3531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56312" w:rsidRPr="00A13719">
              <w:rPr>
                <w:rFonts w:eastAsia="Times New Roman" w:cs="Times New Roman"/>
                <w:sz w:val="18"/>
                <w:szCs w:val="18"/>
                <w:lang w:eastAsia="en-GB"/>
              </w:rPr>
              <w:t>5.9860</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56312" w:rsidRPr="00A13719">
              <w:rPr>
                <w:rFonts w:eastAsia="Times New Roman" w:cs="Times New Roman"/>
                <w:sz w:val="18"/>
                <w:szCs w:val="18"/>
                <w:lang w:eastAsia="en-GB"/>
              </w:rPr>
              <w:t>7.3072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56312" w:rsidRPr="00A13719">
              <w:rPr>
                <w:rFonts w:eastAsia="Times New Roman" w:cs="Times New Roman"/>
                <w:sz w:val="18"/>
                <w:szCs w:val="18"/>
                <w:lang w:eastAsia="en-GB"/>
              </w:rPr>
              <w:t>12.0191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056312" w:rsidRPr="00A13719">
              <w:rPr>
                <w:rFonts w:eastAsia="Times New Roman" w:cs="Times New Roman"/>
                <w:sz w:val="18"/>
                <w:szCs w:val="18"/>
                <w:lang w:eastAsia="en-GB"/>
              </w:rPr>
              <w:t>5.9065</w:t>
            </w:r>
            <w:r w:rsidRPr="00A13719">
              <w:rPr>
                <w:rFonts w:eastAsia="Times New Roman" w:cs="Times New Roman"/>
                <w:sz w:val="18"/>
                <w:szCs w:val="18"/>
                <w:lang w:eastAsia="en-GB"/>
              </w:rPr>
              <w:t>)</w:t>
            </w: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30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Small minus Big-SMB</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-0.2704*</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0.2581*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0.1428*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0.1990*</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0.1639*</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0.0949*</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0.0696*</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164"/>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BA574C" w:rsidRPr="00A13719">
              <w:rPr>
                <w:rFonts w:eastAsia="Times New Roman" w:cs="Times New Roman"/>
                <w:sz w:val="18"/>
                <w:szCs w:val="18"/>
                <w:lang w:eastAsia="en-GB"/>
              </w:rPr>
              <w:t>-4.8304</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BA574C" w:rsidRPr="00A13719">
              <w:rPr>
                <w:rFonts w:eastAsia="Times New Roman" w:cs="Times New Roman"/>
                <w:sz w:val="18"/>
                <w:szCs w:val="18"/>
                <w:lang w:eastAsia="en-GB"/>
              </w:rPr>
              <w:t>9.4069</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BA574C" w:rsidRPr="00A13719">
              <w:rPr>
                <w:rFonts w:eastAsia="Times New Roman" w:cs="Times New Roman"/>
                <w:sz w:val="18"/>
                <w:szCs w:val="18"/>
                <w:lang w:eastAsia="en-GB"/>
              </w:rPr>
              <w:t>4.3638</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BA574C" w:rsidRPr="00A13719">
              <w:rPr>
                <w:rFonts w:eastAsia="Times New Roman" w:cs="Times New Roman"/>
                <w:sz w:val="18"/>
                <w:szCs w:val="18"/>
                <w:lang w:eastAsia="en-GB"/>
              </w:rPr>
              <w:t>8.2788</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BA574C" w:rsidRPr="00A13719">
              <w:rPr>
                <w:rFonts w:eastAsia="Times New Roman" w:cs="Times New Roman"/>
                <w:sz w:val="18"/>
                <w:szCs w:val="18"/>
                <w:lang w:eastAsia="en-GB"/>
              </w:rPr>
              <w:t>8.3147</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BA574C" w:rsidRPr="00A13719">
              <w:rPr>
                <w:rFonts w:eastAsia="Times New Roman" w:cs="Times New Roman"/>
                <w:sz w:val="18"/>
                <w:szCs w:val="18"/>
                <w:lang w:eastAsia="en-GB"/>
              </w:rPr>
              <w:t>3.4741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BA574C" w:rsidRPr="00A13719">
              <w:rPr>
                <w:rFonts w:eastAsia="Times New Roman" w:cs="Times New Roman"/>
                <w:sz w:val="18"/>
                <w:szCs w:val="18"/>
                <w:lang w:eastAsia="en-GB"/>
              </w:rPr>
              <w:t>4.3992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30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Momentum-MOM</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-0.1431*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0.0517*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0.1048*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0.0923*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0.0565*</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0.0503*</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0.0237*</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0.0751*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7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D2CBB" w:rsidRPr="00A13719">
              <w:rPr>
                <w:rFonts w:eastAsia="Times New Roman" w:cs="Times New Roman"/>
                <w:sz w:val="18"/>
                <w:szCs w:val="18"/>
                <w:lang w:eastAsia="en-GB"/>
              </w:rPr>
              <w:t>-3.6275</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D2CBB" w:rsidRPr="00A13719">
              <w:rPr>
                <w:rFonts w:eastAsia="Times New Roman" w:cs="Times New Roman"/>
                <w:sz w:val="18"/>
                <w:szCs w:val="18"/>
                <w:lang w:eastAsia="en-GB"/>
              </w:rPr>
              <w:t>2.8137</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D2CBB" w:rsidRPr="00A13719">
              <w:rPr>
                <w:rFonts w:eastAsia="Times New Roman" w:cs="Times New Roman"/>
                <w:sz w:val="18"/>
                <w:szCs w:val="18"/>
                <w:lang w:eastAsia="en-GB"/>
              </w:rPr>
              <w:t>4.5153</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D2CBB" w:rsidRPr="00A13719">
              <w:rPr>
                <w:rFonts w:eastAsia="Times New Roman" w:cs="Times New Roman"/>
                <w:sz w:val="18"/>
                <w:szCs w:val="18"/>
                <w:lang w:eastAsia="en-GB"/>
              </w:rPr>
              <w:t>5.8522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D2CBB" w:rsidRPr="00A13719">
              <w:rPr>
                <w:rFonts w:eastAsia="Times New Roman" w:cs="Times New Roman"/>
                <w:sz w:val="18"/>
                <w:szCs w:val="18"/>
                <w:lang w:eastAsia="en-GB"/>
              </w:rPr>
              <w:t>3.1235</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D2CBB" w:rsidRPr="00A13719">
              <w:rPr>
                <w:rFonts w:eastAsia="Times New Roman" w:cs="Times New Roman"/>
                <w:sz w:val="18"/>
                <w:szCs w:val="18"/>
                <w:lang w:eastAsia="en-GB"/>
              </w:rPr>
              <w:t>2.0351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D2CBB" w:rsidRPr="00A13719">
              <w:rPr>
                <w:rFonts w:eastAsia="Times New Roman" w:cs="Times New Roman"/>
                <w:sz w:val="18"/>
                <w:szCs w:val="18"/>
                <w:lang w:eastAsia="en-GB"/>
              </w:rPr>
              <w:t>2.1054</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D2CBB" w:rsidRPr="00A13719">
              <w:rPr>
                <w:rFonts w:eastAsia="Times New Roman" w:cs="Times New Roman"/>
                <w:sz w:val="18"/>
                <w:szCs w:val="18"/>
                <w:lang w:eastAsia="en-GB"/>
              </w:rPr>
              <w:t>7.2279</w:t>
            </w:r>
            <w:r w:rsidRPr="00A13719">
              <w:rPr>
                <w:rFonts w:eastAsia="Times New Roman" w:cs="Times New Roman"/>
                <w:sz w:val="18"/>
                <w:szCs w:val="18"/>
                <w:lang w:eastAsia="en-GB"/>
              </w:rPr>
              <w:t>)</w:t>
            </w: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30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Industry Metals-COIM</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0.1067*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137"/>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FF7CFE" w:rsidRPr="00A13719">
              <w:rPr>
                <w:rFonts w:eastAsia="Times New Roman" w:cs="Times New Roman"/>
                <w:sz w:val="18"/>
                <w:szCs w:val="18"/>
                <w:lang w:eastAsia="en-GB"/>
              </w:rPr>
              <w:t>3.1326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30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Global Market Index (exc. U.S.)-GEMI</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-0.1477*</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0.0561*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0.0806*</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7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FF7CFE" w:rsidRPr="00A13719">
              <w:rPr>
                <w:rFonts w:eastAsia="Times New Roman" w:cs="Times New Roman"/>
                <w:sz w:val="18"/>
                <w:szCs w:val="18"/>
                <w:lang w:eastAsia="en-GB"/>
              </w:rPr>
              <w:t>-2.5269</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FF7CFE" w:rsidRPr="00A13719">
              <w:rPr>
                <w:rFonts w:eastAsia="Times New Roman" w:cs="Times New Roman"/>
                <w:sz w:val="18"/>
                <w:szCs w:val="18"/>
                <w:lang w:eastAsia="en-GB"/>
              </w:rPr>
              <w:t>2.8826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FF7CFE" w:rsidRPr="00A13719">
              <w:rPr>
                <w:rFonts w:eastAsia="Times New Roman" w:cs="Times New Roman"/>
                <w:sz w:val="18"/>
                <w:szCs w:val="18"/>
                <w:lang w:eastAsia="en-GB"/>
              </w:rPr>
              <w:t>4.0705</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30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High minus Low-HML</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0.2348*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0.0856*</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0.1838*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0.0853*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0.0760*</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0.0347*</w:t>
            </w:r>
            <w:r w:rsidR="000D34FD" w:rsidRPr="00A13719">
              <w:rPr>
                <w:rFonts w:eastAsia="Times New Roman" w:cs="Times New Roman"/>
                <w:sz w:val="18"/>
                <w:szCs w:val="18"/>
                <w:lang w:eastAsia="en-GB"/>
              </w:rPr>
              <w:t>*</w:t>
            </w: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7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B0C69" w:rsidRPr="00A13719">
              <w:rPr>
                <w:rFonts w:eastAsia="Times New Roman" w:cs="Times New Roman"/>
                <w:sz w:val="18"/>
                <w:szCs w:val="18"/>
                <w:lang w:eastAsia="en-GB"/>
              </w:rPr>
              <w:t>7.3084</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B0C69" w:rsidRPr="00A13719">
              <w:rPr>
                <w:rFonts w:eastAsia="Times New Roman" w:cs="Times New Roman"/>
                <w:sz w:val="18"/>
                <w:szCs w:val="18"/>
                <w:lang w:eastAsia="en-GB"/>
              </w:rPr>
              <w:t>3.0792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B0C69" w:rsidRPr="00A13719">
              <w:rPr>
                <w:rFonts w:eastAsia="Times New Roman" w:cs="Times New Roman"/>
                <w:sz w:val="18"/>
                <w:szCs w:val="18"/>
                <w:lang w:eastAsia="en-GB"/>
              </w:rPr>
              <w:t>7.9487</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B0C69" w:rsidRPr="00A13719">
              <w:rPr>
                <w:rFonts w:eastAsia="Times New Roman" w:cs="Times New Roman"/>
                <w:sz w:val="18"/>
                <w:szCs w:val="18"/>
                <w:lang w:eastAsia="en-GB"/>
              </w:rPr>
              <w:t>2.6828</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B0C69" w:rsidRPr="00A13719">
              <w:rPr>
                <w:rFonts w:eastAsia="Times New Roman" w:cs="Times New Roman"/>
                <w:sz w:val="18"/>
                <w:szCs w:val="18"/>
                <w:lang w:eastAsia="en-GB"/>
              </w:rPr>
              <w:t>4.2019</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B0C69" w:rsidRPr="00A13719">
              <w:rPr>
                <w:rFonts w:eastAsia="Times New Roman" w:cs="Times New Roman"/>
                <w:sz w:val="18"/>
                <w:szCs w:val="18"/>
                <w:lang w:eastAsia="en-GB"/>
              </w:rPr>
              <w:t>2.0222</w:t>
            </w:r>
            <w:r w:rsidRPr="00A13719">
              <w:rPr>
                <w:rFonts w:eastAsia="Times New Roman" w:cs="Times New Roman"/>
                <w:sz w:val="18"/>
                <w:szCs w:val="18"/>
                <w:lang w:eastAsia="en-GB"/>
              </w:rPr>
              <w:t>)</w:t>
            </w: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30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Energy-COEN</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0.0338*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0.0468*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0.0420*</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0.0187*</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0.0341*</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7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F65577" w:rsidRPr="00A13719">
              <w:rPr>
                <w:rFonts w:eastAsia="Times New Roman" w:cs="Times New Roman"/>
                <w:sz w:val="18"/>
                <w:szCs w:val="18"/>
                <w:lang w:eastAsia="en-GB"/>
              </w:rPr>
              <w:t>3.3503</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F65577" w:rsidRPr="00A13719">
              <w:rPr>
                <w:rFonts w:eastAsia="Times New Roman" w:cs="Times New Roman"/>
                <w:sz w:val="18"/>
                <w:szCs w:val="18"/>
                <w:lang w:eastAsia="en-GB"/>
              </w:rPr>
              <w:t>3.5352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F65577" w:rsidRPr="00A13719">
              <w:rPr>
                <w:rFonts w:eastAsia="Times New Roman" w:cs="Times New Roman"/>
                <w:sz w:val="18"/>
                <w:szCs w:val="18"/>
                <w:lang w:eastAsia="en-GB"/>
              </w:rPr>
              <w:t>4.8566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F65577" w:rsidRPr="00A13719">
              <w:rPr>
                <w:rFonts w:eastAsia="Times New Roman" w:cs="Times New Roman"/>
                <w:sz w:val="18"/>
                <w:szCs w:val="18"/>
                <w:lang w:eastAsia="en-GB"/>
              </w:rPr>
              <w:t>2.5082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F65577" w:rsidRPr="00A13719">
              <w:rPr>
                <w:rFonts w:eastAsia="Times New Roman" w:cs="Times New Roman"/>
                <w:sz w:val="18"/>
                <w:szCs w:val="18"/>
                <w:lang w:eastAsia="en-GB"/>
              </w:rPr>
              <w:t>2.3862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30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Precious Metals-COPM</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0.0757*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0.0434*</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0.0931*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0.1373*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r>
      <w:tr w:rsidR="00A13719" w:rsidRPr="00A13719" w:rsidTr="00BE42C3">
        <w:trPr>
          <w:trHeight w:val="101"/>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3.3752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2.5700</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3.8755</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2.9884</w:t>
            </w:r>
            <w:r w:rsidRPr="00A13719">
              <w:rPr>
                <w:rFonts w:eastAsia="Times New Roman" w:cs="Times New Roman"/>
                <w:sz w:val="18"/>
                <w:szCs w:val="18"/>
                <w:lang w:eastAsia="en-GB"/>
              </w:rPr>
              <w:t>)</w:t>
            </w:r>
          </w:p>
        </w:tc>
      </w:tr>
      <w:tr w:rsidR="00A13719" w:rsidRPr="00A13719" w:rsidTr="00BE42C3">
        <w:trPr>
          <w:trHeight w:val="30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Term Spread-TERM</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-0.1829*</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0.1114*</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209"/>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-3.0336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2.7577</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315"/>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Change in VIX-DVIX</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0.0111*</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0.0176*</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7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2.1083</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2.0842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315"/>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Default Spread-DEF</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-0.5920*</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0.5683*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70"/>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-2.9541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3.4555</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315"/>
          <w:jc w:val="center"/>
        </w:trPr>
        <w:tc>
          <w:tcPr>
            <w:tcW w:w="3014"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Real Estate Index-RLE</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-0.0318*</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70"/>
          <w:jc w:val="center"/>
        </w:trPr>
        <w:tc>
          <w:tcPr>
            <w:tcW w:w="3014" w:type="dxa"/>
            <w:tcBorders>
              <w:bottom w:val="single" w:sz="8" w:space="0" w:color="auto"/>
            </w:tcBorders>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F3285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79518E" w:rsidRPr="00A13719">
              <w:rPr>
                <w:rFonts w:eastAsia="Times New Roman" w:cs="Times New Roman"/>
                <w:sz w:val="18"/>
                <w:szCs w:val="18"/>
                <w:lang w:eastAsia="en-GB"/>
              </w:rPr>
              <w:t>-2.1332</w:t>
            </w:r>
            <w:r w:rsidRPr="00A13719">
              <w:rPr>
                <w:rFonts w:eastAsia="Times New Roman" w:cs="Times New Roman"/>
                <w:sz w:val="18"/>
                <w:szCs w:val="18"/>
                <w:lang w:eastAsia="en-GB"/>
              </w:rPr>
              <w:t>)</w:t>
            </w: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1088" w:type="dxa"/>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BE42C3">
        <w:trPr>
          <w:trHeight w:val="80"/>
          <w:jc w:val="center"/>
        </w:trPr>
        <w:tc>
          <w:tcPr>
            <w:tcW w:w="3014" w:type="dxa"/>
            <w:tcBorders>
              <w:top w:val="single" w:sz="8" w:space="0" w:color="auto"/>
              <w:bottom w:val="nil"/>
            </w:tcBorders>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Adj. R-squared:</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0.6787</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0.8182</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0.6942</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0.8082</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0.6633</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0.3499</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0.3829</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0.2761</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0.4795</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0.2260</w:t>
            </w:r>
          </w:p>
        </w:tc>
        <w:tc>
          <w:tcPr>
            <w:tcW w:w="1088" w:type="dxa"/>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0.0302</w:t>
            </w:r>
          </w:p>
        </w:tc>
      </w:tr>
      <w:tr w:rsidR="00A13719" w:rsidRPr="00A13719" w:rsidTr="00BE42C3">
        <w:trPr>
          <w:trHeight w:val="159"/>
          <w:jc w:val="center"/>
        </w:trPr>
        <w:tc>
          <w:tcPr>
            <w:tcW w:w="3014" w:type="dxa"/>
            <w:tcBorders>
              <w:top w:val="nil"/>
              <w:bottom w:val="nil"/>
            </w:tcBorders>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F-statistic:</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108.3144</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229.6584</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116.2964</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153.948</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101.056</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28.3362</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40.3992</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20.3706</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40.0062</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25.7152</w:t>
            </w:r>
          </w:p>
        </w:tc>
        <w:tc>
          <w:tcPr>
            <w:tcW w:w="1088" w:type="dxa"/>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8.9304</w:t>
            </w:r>
          </w:p>
        </w:tc>
      </w:tr>
      <w:tr w:rsidR="00A13719" w:rsidRPr="00A13719" w:rsidTr="00BE42C3">
        <w:trPr>
          <w:trHeight w:val="106"/>
          <w:jc w:val="center"/>
        </w:trPr>
        <w:tc>
          <w:tcPr>
            <w:tcW w:w="3014" w:type="dxa"/>
            <w:tcBorders>
              <w:top w:val="nil"/>
              <w:bottom w:val="single" w:sz="8" w:space="0" w:color="auto"/>
            </w:tcBorders>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Prob (F-stat):</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1088" w:type="dxa"/>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0.0031</w:t>
            </w:r>
          </w:p>
        </w:tc>
      </w:tr>
    </w:tbl>
    <w:p w:rsidR="00D24FF4" w:rsidRPr="00A13719" w:rsidRDefault="00D24FF4" w:rsidP="00B628CA">
      <w:pPr>
        <w:spacing w:after="120"/>
        <w:jc w:val="both"/>
        <w:rPr>
          <w:b/>
          <w:lang w:val="en-US"/>
        </w:rPr>
        <w:sectPr w:rsidR="00D24FF4" w:rsidRPr="00A13719" w:rsidSect="00BA07B8">
          <w:pgSz w:w="16838" w:h="11906" w:orient="landscape" w:code="9"/>
          <w:pgMar w:top="567" w:right="1440" w:bottom="567" w:left="1440" w:header="709" w:footer="567" w:gutter="0"/>
          <w:cols w:space="708"/>
          <w:titlePg/>
          <w:docGrid w:linePitch="360"/>
        </w:sectPr>
      </w:pPr>
    </w:p>
    <w:p w:rsidR="00B628CA" w:rsidRPr="00A13719" w:rsidRDefault="00B628CA" w:rsidP="00B628CA">
      <w:pPr>
        <w:spacing w:after="120"/>
        <w:jc w:val="both"/>
        <w:rPr>
          <w:b/>
          <w:lang w:val="en-US"/>
        </w:rPr>
      </w:pPr>
      <w:r w:rsidRPr="00A13719">
        <w:rPr>
          <w:b/>
          <w:lang w:val="en-US"/>
        </w:rPr>
        <w:lastRenderedPageBreak/>
        <w:t>Down Regime</w:t>
      </w:r>
    </w:p>
    <w:p w:rsidR="00B628CA" w:rsidRPr="00A13719" w:rsidRDefault="00B628CA" w:rsidP="00B628CA">
      <w:pPr>
        <w:jc w:val="both"/>
        <w:rPr>
          <w:lang w:val="en-US"/>
        </w:rPr>
      </w:pPr>
      <w:r w:rsidRPr="00A13719">
        <w:rPr>
          <w:lang w:val="en-US"/>
        </w:rPr>
        <w:t xml:space="preserve">Table </w:t>
      </w:r>
      <w:r w:rsidR="00990621" w:rsidRPr="00A13719">
        <w:rPr>
          <w:lang w:val="en-US"/>
        </w:rPr>
        <w:t>6</w:t>
      </w:r>
      <w:r w:rsidR="00802156" w:rsidRPr="00A13719">
        <w:rPr>
          <w:lang w:val="en-US"/>
        </w:rPr>
        <w:t xml:space="preserve"> </w:t>
      </w:r>
      <w:r w:rsidRPr="00A13719">
        <w:rPr>
          <w:lang w:val="en-US"/>
        </w:rPr>
        <w:t>present</w:t>
      </w:r>
      <w:r w:rsidR="00802156" w:rsidRPr="00A13719">
        <w:rPr>
          <w:lang w:val="en-US"/>
        </w:rPr>
        <w:t>s</w:t>
      </w:r>
      <w:r w:rsidRPr="00A13719">
        <w:rPr>
          <w:lang w:val="en-US"/>
        </w:rPr>
        <w:t xml:space="preserve"> </w:t>
      </w:r>
      <w:r w:rsidR="00802156" w:rsidRPr="00A13719">
        <w:rPr>
          <w:lang w:val="en-US"/>
        </w:rPr>
        <w:t>results</w:t>
      </w:r>
      <w:r w:rsidR="00732A8E" w:rsidRPr="00A13719">
        <w:rPr>
          <w:lang w:val="en-US"/>
        </w:rPr>
        <w:t xml:space="preserve"> for when the Wilshire 5000 is falling</w:t>
      </w:r>
      <w:r w:rsidRPr="00A13719">
        <w:rPr>
          <w:lang w:val="en-US"/>
        </w:rPr>
        <w:t xml:space="preserve">. </w:t>
      </w:r>
      <w:r w:rsidR="00DF45E5" w:rsidRPr="00A13719">
        <w:rPr>
          <w:lang w:val="en-US"/>
        </w:rPr>
        <w:t>Similar to</w:t>
      </w:r>
      <w:r w:rsidRPr="00A13719">
        <w:rPr>
          <w:lang w:val="en-US"/>
        </w:rPr>
        <w:t xml:space="preserve"> the recession period, </w:t>
      </w:r>
      <w:r w:rsidR="001744D0" w:rsidRPr="00A13719">
        <w:rPr>
          <w:lang w:val="en-US"/>
        </w:rPr>
        <w:t>most</w:t>
      </w:r>
      <w:r w:rsidRPr="00A13719">
        <w:rPr>
          <w:lang w:val="en-US"/>
        </w:rPr>
        <w:t xml:space="preserve"> </w:t>
      </w:r>
      <w:r w:rsidR="00B56004" w:rsidRPr="00A13719">
        <w:rPr>
          <w:rFonts w:eastAsiaTheme="minorEastAsia"/>
          <w:lang w:val="en-US"/>
        </w:rPr>
        <w:t>HF</w:t>
      </w:r>
      <w:r w:rsidRPr="00A13719">
        <w:rPr>
          <w:lang w:val="en-US"/>
        </w:rPr>
        <w:t xml:space="preserve"> strategies do not produce significant alpha for investors</w:t>
      </w:r>
      <w:r w:rsidR="0096731A" w:rsidRPr="00A13719">
        <w:rPr>
          <w:lang w:val="en-US"/>
        </w:rPr>
        <w:t xml:space="preserve"> as fund managers </w:t>
      </w:r>
      <w:r w:rsidR="001744D0" w:rsidRPr="00A13719">
        <w:rPr>
          <w:lang w:val="en-US"/>
        </w:rPr>
        <w:t xml:space="preserve">are more </w:t>
      </w:r>
      <w:r w:rsidR="0096731A" w:rsidRPr="00A13719">
        <w:rPr>
          <w:lang w:val="en-US"/>
        </w:rPr>
        <w:t>concern</w:t>
      </w:r>
      <w:r w:rsidR="001744D0" w:rsidRPr="00A13719">
        <w:rPr>
          <w:lang w:val="en-US"/>
        </w:rPr>
        <w:t>ed</w:t>
      </w:r>
      <w:r w:rsidR="0096731A" w:rsidRPr="00A13719">
        <w:rPr>
          <w:lang w:val="en-US"/>
        </w:rPr>
        <w:t xml:space="preserve"> about risk</w:t>
      </w:r>
      <w:r w:rsidRPr="00A13719">
        <w:rPr>
          <w:lang w:val="en-US"/>
        </w:rPr>
        <w:t xml:space="preserve">. </w:t>
      </w:r>
      <w:r w:rsidR="00294E02" w:rsidRPr="00A13719">
        <w:rPr>
          <w:lang w:val="en-US"/>
        </w:rPr>
        <w:t>Also, there are significant differences in alphas between up and down regimes</w:t>
      </w:r>
      <w:r w:rsidR="000A0511" w:rsidRPr="00A13719">
        <w:rPr>
          <w:lang w:val="en-US"/>
        </w:rPr>
        <w:t xml:space="preserve"> for 4 of 11 strategies, and for 8 of 11 strategies with regard to </w:t>
      </w:r>
      <w:r w:rsidR="00294E02" w:rsidRPr="00A13719">
        <w:rPr>
          <w:lang w:val="en-US"/>
        </w:rPr>
        <w:t>the market exposures (see exposure analysis subsection</w:t>
      </w:r>
      <w:r w:rsidR="000A0511" w:rsidRPr="00A13719">
        <w:rPr>
          <w:lang w:val="en-US"/>
        </w:rPr>
        <w:t xml:space="preserve"> below</w:t>
      </w:r>
      <w:r w:rsidR="00294E02" w:rsidRPr="00A13719">
        <w:rPr>
          <w:lang w:val="en-US"/>
        </w:rPr>
        <w:t>).</w:t>
      </w:r>
      <w:r w:rsidR="002D4688" w:rsidRPr="00A13719">
        <w:rPr>
          <w:lang w:val="en-US"/>
        </w:rPr>
        <w:t xml:space="preserve"> As with</w:t>
      </w:r>
      <w:r w:rsidRPr="00A13719">
        <w:rPr>
          <w:lang w:val="en-US"/>
        </w:rPr>
        <w:t xml:space="preserve"> business cycles, during the down regimes </w:t>
      </w:r>
      <w:r w:rsidR="00802156" w:rsidRPr="00A13719">
        <w:rPr>
          <w:lang w:val="en-US"/>
        </w:rPr>
        <w:t>there are</w:t>
      </w:r>
      <w:r w:rsidRPr="00A13719">
        <w:rPr>
          <w:lang w:val="en-US"/>
        </w:rPr>
        <w:t xml:space="preserve"> fewer exposures compared to the up regimes. On average</w:t>
      </w:r>
      <w:r w:rsidR="00802156" w:rsidRPr="00A13719">
        <w:rPr>
          <w:lang w:val="en-US"/>
        </w:rPr>
        <w:t>,</w:t>
      </w:r>
      <w:r w:rsidRPr="00A13719">
        <w:rPr>
          <w:lang w:val="en-US"/>
        </w:rPr>
        <w:t xml:space="preserve"> there are </w:t>
      </w:r>
      <w:r w:rsidR="00732A8E" w:rsidRPr="00A13719">
        <w:rPr>
          <w:lang w:val="en-US"/>
        </w:rPr>
        <w:t>29</w:t>
      </w:r>
      <w:r w:rsidRPr="00A13719">
        <w:rPr>
          <w:lang w:val="en-US"/>
        </w:rPr>
        <w:t xml:space="preserve"> asset class exposures across all </w:t>
      </w:r>
      <w:r w:rsidR="00B56004" w:rsidRPr="00A13719">
        <w:rPr>
          <w:rFonts w:eastAsiaTheme="minorEastAsia"/>
          <w:lang w:val="en-US"/>
        </w:rPr>
        <w:t>HF</w:t>
      </w:r>
      <w:r w:rsidRPr="00A13719">
        <w:rPr>
          <w:lang w:val="en-US"/>
        </w:rPr>
        <w:t xml:space="preserve"> strategies compared to </w:t>
      </w:r>
      <w:r w:rsidR="00732A8E" w:rsidRPr="00A13719">
        <w:rPr>
          <w:lang w:val="en-US"/>
        </w:rPr>
        <w:t>51 for</w:t>
      </w:r>
      <w:r w:rsidRPr="00A13719">
        <w:rPr>
          <w:lang w:val="en-US"/>
        </w:rPr>
        <w:t xml:space="preserve"> the up regime. This is because fund managers during </w:t>
      </w:r>
      <w:r w:rsidR="00BC6BA7" w:rsidRPr="00A13719">
        <w:rPr>
          <w:lang w:val="en-US"/>
        </w:rPr>
        <w:t>difficult</w:t>
      </w:r>
      <w:r w:rsidRPr="00A13719">
        <w:rPr>
          <w:lang w:val="en-US"/>
        </w:rPr>
        <w:t xml:space="preserve"> market conditions, are trying to minimize their exposures and </w:t>
      </w:r>
      <w:r w:rsidR="00732A8E" w:rsidRPr="00A13719">
        <w:rPr>
          <w:lang w:val="en-US"/>
        </w:rPr>
        <w:t>con</w:t>
      </w:r>
      <w:r w:rsidRPr="00A13719">
        <w:rPr>
          <w:lang w:val="en-US"/>
        </w:rPr>
        <w:t xml:space="preserve">sequently their losses. The most common exposure across all </w:t>
      </w:r>
      <w:r w:rsidR="00B56004" w:rsidRPr="00A13719">
        <w:rPr>
          <w:rFonts w:eastAsiaTheme="minorEastAsia"/>
          <w:lang w:val="en-US"/>
        </w:rPr>
        <w:t>HF</w:t>
      </w:r>
      <w:r w:rsidRPr="00A13719">
        <w:rPr>
          <w:lang w:val="en-US"/>
        </w:rPr>
        <w:t xml:space="preserve"> strategies is MAI. This is consistent with all the o</w:t>
      </w:r>
      <w:r w:rsidR="00527845" w:rsidRPr="00A13719">
        <w:rPr>
          <w:lang w:val="en-US"/>
        </w:rPr>
        <w:t>ther regimes and business cycle</w:t>
      </w:r>
      <w:r w:rsidRPr="00A13719">
        <w:rPr>
          <w:lang w:val="en-US"/>
        </w:rPr>
        <w:t xml:space="preserve"> conditions. </w:t>
      </w:r>
      <w:r w:rsidR="00802156" w:rsidRPr="00A13719">
        <w:rPr>
          <w:rFonts w:cs="Times New Roman"/>
        </w:rPr>
        <w:t>T</w:t>
      </w:r>
      <w:r w:rsidR="0083766D" w:rsidRPr="00A13719">
        <w:rPr>
          <w:rFonts w:cs="Times New Roman"/>
        </w:rPr>
        <w:t xml:space="preserve">here is </w:t>
      </w:r>
      <w:r w:rsidR="00565874" w:rsidRPr="00A13719">
        <w:rPr>
          <w:rFonts w:cs="Times New Roman"/>
        </w:rPr>
        <w:t>almost the same</w:t>
      </w:r>
      <w:r w:rsidR="0083766D" w:rsidRPr="00A13719">
        <w:rPr>
          <w:rFonts w:cs="Times New Roman"/>
        </w:rPr>
        <w:t xml:space="preserve"> number of exposures across all strategies for both stressful market conditions</w:t>
      </w:r>
      <w:r w:rsidR="00565874" w:rsidRPr="00A13719">
        <w:rPr>
          <w:rFonts w:cs="Times New Roman"/>
        </w:rPr>
        <w:t xml:space="preserve"> (28 exposures for the recession periods and 29 exposures for the down regimes)</w:t>
      </w:r>
      <w:r w:rsidR="0083766D" w:rsidRPr="00A13719">
        <w:rPr>
          <w:rFonts w:cs="Times New Roman"/>
        </w:rPr>
        <w:t xml:space="preserve">. </w:t>
      </w:r>
      <w:r w:rsidR="000F4D0E" w:rsidRPr="00A13719">
        <w:rPr>
          <w:rFonts w:cs="Times New Roman"/>
        </w:rPr>
        <w:t xml:space="preserve">However, in the down regimes there is </w:t>
      </w:r>
      <w:r w:rsidR="00680EC0" w:rsidRPr="00A13719">
        <w:rPr>
          <w:rFonts w:cs="Times New Roman"/>
        </w:rPr>
        <w:t xml:space="preserve">a </w:t>
      </w:r>
      <w:r w:rsidR="000F4D0E" w:rsidRPr="00A13719">
        <w:rPr>
          <w:rFonts w:cs="Times New Roman"/>
        </w:rPr>
        <w:t xml:space="preserve">lower average number of factors within groups compared to the recession periods (see Table </w:t>
      </w:r>
      <w:r w:rsidR="00D26381" w:rsidRPr="00A13719">
        <w:rPr>
          <w:rFonts w:cs="Times New Roman"/>
        </w:rPr>
        <w:t>9</w:t>
      </w:r>
      <w:r w:rsidR="000F4D0E" w:rsidRPr="00A13719">
        <w:rPr>
          <w:rFonts w:cs="Times New Roman"/>
        </w:rPr>
        <w:t xml:space="preserve">). </w:t>
      </w:r>
      <w:r w:rsidR="00205571" w:rsidRPr="00A13719">
        <w:rPr>
          <w:rFonts w:cs="Times New Roman"/>
        </w:rPr>
        <w:t xml:space="preserve">This means that during down regimes, fund managers are trying </w:t>
      </w:r>
      <w:r w:rsidR="00527845" w:rsidRPr="00A13719">
        <w:rPr>
          <w:rFonts w:cs="Times New Roman"/>
        </w:rPr>
        <w:t xml:space="preserve">even harder </w:t>
      </w:r>
      <w:r w:rsidR="00205571" w:rsidRPr="00A13719">
        <w:rPr>
          <w:rFonts w:cs="Times New Roman"/>
        </w:rPr>
        <w:t xml:space="preserve">to minimize their exposures </w:t>
      </w:r>
      <w:r w:rsidR="00527845" w:rsidRPr="00A13719">
        <w:rPr>
          <w:rFonts w:cs="Times New Roman"/>
        </w:rPr>
        <w:t>than they do during recessions</w:t>
      </w:r>
      <w:r w:rsidR="00D26381" w:rsidRPr="00A13719">
        <w:rPr>
          <w:rFonts w:cs="Times New Roman"/>
        </w:rPr>
        <w:t xml:space="preserve"> so as to protect themselves</w:t>
      </w:r>
      <w:r w:rsidR="007E765B" w:rsidRPr="00A13719">
        <w:rPr>
          <w:rFonts w:cs="Times New Roman"/>
        </w:rPr>
        <w:t>.</w:t>
      </w:r>
      <w:r w:rsidR="001835CE" w:rsidRPr="00A13719">
        <w:rPr>
          <w:rFonts w:cs="Times New Roman"/>
        </w:rPr>
        <w:t xml:space="preserve"> </w:t>
      </w:r>
      <w:r w:rsidR="007A23E3" w:rsidRPr="00A13719">
        <w:rPr>
          <w:rFonts w:cs="Times New Roman"/>
          <w:szCs w:val="24"/>
          <w:lang w:val="en-US"/>
        </w:rPr>
        <w:t xml:space="preserve">Down regimes that are related </w:t>
      </w:r>
      <w:r w:rsidR="00D26381" w:rsidRPr="00A13719">
        <w:rPr>
          <w:rFonts w:cs="Times New Roman"/>
          <w:szCs w:val="24"/>
          <w:lang w:val="en-US"/>
        </w:rPr>
        <w:t xml:space="preserve">mostly </w:t>
      </w:r>
      <w:r w:rsidR="000A0511" w:rsidRPr="00A13719">
        <w:rPr>
          <w:rFonts w:cs="Times New Roman"/>
          <w:szCs w:val="24"/>
          <w:lang w:val="en-US"/>
        </w:rPr>
        <w:t>to</w:t>
      </w:r>
      <w:r w:rsidR="00D26381" w:rsidRPr="00A13719">
        <w:rPr>
          <w:rFonts w:cs="Times New Roman"/>
          <w:szCs w:val="24"/>
          <w:lang w:val="en-US"/>
        </w:rPr>
        <w:t xml:space="preserve"> financial assets</w:t>
      </w:r>
      <w:r w:rsidR="007A23E3" w:rsidRPr="00A13719">
        <w:rPr>
          <w:rFonts w:cs="Times New Roman"/>
          <w:szCs w:val="24"/>
          <w:lang w:val="en-US"/>
        </w:rPr>
        <w:t xml:space="preserve"> have a larger impact on HFs</w:t>
      </w:r>
      <w:r w:rsidR="00D26381" w:rsidRPr="00A13719">
        <w:rPr>
          <w:rFonts w:cs="Times New Roman"/>
          <w:szCs w:val="24"/>
          <w:lang w:val="en-US"/>
        </w:rPr>
        <w:t xml:space="preserve"> compared to recession</w:t>
      </w:r>
      <w:r w:rsidR="000A0511" w:rsidRPr="00A13719">
        <w:rPr>
          <w:rFonts w:cs="Times New Roman"/>
          <w:szCs w:val="24"/>
          <w:lang w:val="en-US"/>
        </w:rPr>
        <w:t>s</w:t>
      </w:r>
      <w:r w:rsidR="00D26381" w:rsidRPr="00A13719">
        <w:rPr>
          <w:rFonts w:cs="Times New Roman"/>
          <w:szCs w:val="24"/>
          <w:lang w:val="en-US"/>
        </w:rPr>
        <w:t xml:space="preserve"> that </w:t>
      </w:r>
      <w:r w:rsidR="00D26381" w:rsidRPr="00A13719">
        <w:rPr>
          <w:rFonts w:cs="Times New Roman"/>
          <w:szCs w:val="24"/>
        </w:rPr>
        <w:t xml:space="preserve">refer to </w:t>
      </w:r>
      <w:r w:rsidR="000A0511" w:rsidRPr="00A13719">
        <w:rPr>
          <w:rFonts w:cs="Times New Roman"/>
          <w:szCs w:val="24"/>
        </w:rPr>
        <w:t xml:space="preserve">a </w:t>
      </w:r>
      <w:r w:rsidR="00D26381" w:rsidRPr="00A13719">
        <w:rPr>
          <w:rFonts w:cs="Times New Roman"/>
          <w:szCs w:val="24"/>
        </w:rPr>
        <w:t xml:space="preserve">decline in economic activity and </w:t>
      </w:r>
      <w:r w:rsidR="000A0511" w:rsidRPr="00A13719">
        <w:rPr>
          <w:rFonts w:cs="Times New Roman"/>
          <w:szCs w:val="24"/>
        </w:rPr>
        <w:t>are</w:t>
      </w:r>
      <w:r w:rsidR="00D26381" w:rsidRPr="00A13719">
        <w:rPr>
          <w:rFonts w:cs="Times New Roman"/>
          <w:szCs w:val="24"/>
        </w:rPr>
        <w:t xml:space="preserve"> related mostly </w:t>
      </w:r>
      <w:r w:rsidR="000A0511" w:rsidRPr="00A13719">
        <w:rPr>
          <w:rFonts w:cs="Times New Roman"/>
          <w:szCs w:val="24"/>
        </w:rPr>
        <w:t>to</w:t>
      </w:r>
      <w:r w:rsidR="00D26381" w:rsidRPr="00A13719">
        <w:rPr>
          <w:rFonts w:cs="Times New Roman"/>
          <w:szCs w:val="24"/>
        </w:rPr>
        <w:t xml:space="preserve"> real assets</w:t>
      </w:r>
      <w:r w:rsidR="007A23E3" w:rsidRPr="00A13719">
        <w:rPr>
          <w:rFonts w:cs="Times New Roman"/>
          <w:szCs w:val="24"/>
          <w:lang w:val="en-US"/>
        </w:rPr>
        <w:t xml:space="preserve">. </w:t>
      </w:r>
      <w:r w:rsidR="0009007F" w:rsidRPr="00A13719">
        <w:rPr>
          <w:rFonts w:cs="Times New Roman"/>
        </w:rPr>
        <w:t>S</w:t>
      </w:r>
      <w:r w:rsidR="001835CE" w:rsidRPr="00A13719">
        <w:rPr>
          <w:rFonts w:cs="Times New Roman"/>
        </w:rPr>
        <w:t xml:space="preserve">imilar to recessions, </w:t>
      </w:r>
      <w:r w:rsidR="00960E71" w:rsidRPr="00A13719">
        <w:rPr>
          <w:rFonts w:cs="Times New Roman"/>
        </w:rPr>
        <w:t xml:space="preserve">during bad market conditions </w:t>
      </w:r>
      <w:r w:rsidR="001835CE" w:rsidRPr="00A13719">
        <w:rPr>
          <w:rFonts w:cs="Times New Roman"/>
        </w:rPr>
        <w:t>fund managers have an incentive to invest in counter</w:t>
      </w:r>
      <w:r w:rsidR="00A750EB" w:rsidRPr="00A13719">
        <w:rPr>
          <w:rFonts w:cs="Times New Roman"/>
        </w:rPr>
        <w:t>-</w:t>
      </w:r>
      <w:r w:rsidR="001835CE" w:rsidRPr="00A13719">
        <w:rPr>
          <w:rFonts w:cs="Times New Roman"/>
        </w:rPr>
        <w:t>cyclical industries and more specific</w:t>
      </w:r>
      <w:r w:rsidR="00960E71" w:rsidRPr="00A13719">
        <w:rPr>
          <w:rFonts w:cs="Times New Roman"/>
        </w:rPr>
        <w:t>ally</w:t>
      </w:r>
      <w:r w:rsidR="001835CE" w:rsidRPr="00A13719">
        <w:rPr>
          <w:rFonts w:cs="Times New Roman"/>
        </w:rPr>
        <w:t xml:space="preserve"> </w:t>
      </w:r>
      <w:r w:rsidR="00960E71" w:rsidRPr="00A13719">
        <w:rPr>
          <w:rFonts w:cs="Times New Roman"/>
        </w:rPr>
        <w:t>in</w:t>
      </w:r>
      <w:r w:rsidR="001835CE" w:rsidRPr="00A13719">
        <w:rPr>
          <w:rFonts w:cs="Times New Roman"/>
        </w:rPr>
        <w:t xml:space="preserve"> agriculture/food and energy commodities</w:t>
      </w:r>
      <w:r w:rsidR="00DF73FC" w:rsidRPr="00A13719">
        <w:rPr>
          <w:rFonts w:cs="Times New Roman"/>
        </w:rPr>
        <w:t>.</w:t>
      </w:r>
      <w:r w:rsidR="001835CE" w:rsidRPr="00A13719">
        <w:rPr>
          <w:rFonts w:cs="Times New Roman"/>
        </w:rPr>
        <w:t xml:space="preserve"> </w:t>
      </w:r>
      <w:r w:rsidR="00DF73FC" w:rsidRPr="00A13719">
        <w:rPr>
          <w:rFonts w:cs="Times New Roman"/>
        </w:rPr>
        <w:t xml:space="preserve">We interpret this </w:t>
      </w:r>
      <w:r w:rsidR="001835CE" w:rsidRPr="00A13719">
        <w:rPr>
          <w:rFonts w:cs="Times New Roman"/>
        </w:rPr>
        <w:t xml:space="preserve">as </w:t>
      </w:r>
      <w:r w:rsidR="00DF73FC" w:rsidRPr="00A13719">
        <w:rPr>
          <w:rFonts w:cs="Times New Roman"/>
        </w:rPr>
        <w:t>commodities</w:t>
      </w:r>
      <w:r w:rsidR="001835CE" w:rsidRPr="00A13719">
        <w:rPr>
          <w:rFonts w:cs="Times New Roman"/>
        </w:rPr>
        <w:t xml:space="preserve"> constitut</w:t>
      </w:r>
      <w:r w:rsidR="00DF6456" w:rsidRPr="00A13719">
        <w:rPr>
          <w:rFonts w:cs="Times New Roman"/>
        </w:rPr>
        <w:t>ing</w:t>
      </w:r>
      <w:r w:rsidR="001835CE" w:rsidRPr="00A13719">
        <w:rPr>
          <w:rFonts w:cs="Times New Roman"/>
        </w:rPr>
        <w:t xml:space="preserve"> essential goods or services </w:t>
      </w:r>
      <w:r w:rsidR="00AE176F" w:rsidRPr="00A13719">
        <w:rPr>
          <w:rFonts w:cs="Times New Roman"/>
        </w:rPr>
        <w:t>for</w:t>
      </w:r>
      <w:r w:rsidR="001835CE" w:rsidRPr="00A13719">
        <w:rPr>
          <w:rFonts w:cs="Times New Roman"/>
        </w:rPr>
        <w:t xml:space="preserve"> people </w:t>
      </w:r>
      <w:r w:rsidR="00AE176F" w:rsidRPr="00A13719">
        <w:rPr>
          <w:rFonts w:cs="Times New Roman"/>
        </w:rPr>
        <w:t xml:space="preserve">and </w:t>
      </w:r>
      <w:r w:rsidR="00DF6456" w:rsidRPr="00A13719">
        <w:rPr>
          <w:rFonts w:cs="Times New Roman"/>
        </w:rPr>
        <w:t xml:space="preserve">the </w:t>
      </w:r>
      <w:r w:rsidR="008D68A1" w:rsidRPr="00A13719">
        <w:rPr>
          <w:rFonts w:cs="Times New Roman"/>
        </w:rPr>
        <w:t>economy</w:t>
      </w:r>
      <w:r w:rsidR="00AE1E43" w:rsidRPr="00A13719">
        <w:rPr>
          <w:rFonts w:cs="Times New Roman"/>
        </w:rPr>
        <w:t>,</w:t>
      </w:r>
      <w:r w:rsidR="008D68A1" w:rsidRPr="00A13719">
        <w:rPr>
          <w:rFonts w:cs="Times New Roman"/>
        </w:rPr>
        <w:t xml:space="preserve"> and the</w:t>
      </w:r>
      <w:r w:rsidR="00DF6456" w:rsidRPr="00A13719">
        <w:rPr>
          <w:rFonts w:cs="Times New Roman"/>
        </w:rPr>
        <w:t>ir</w:t>
      </w:r>
      <w:r w:rsidR="008D68A1" w:rsidRPr="00A13719">
        <w:rPr>
          <w:rFonts w:cs="Times New Roman"/>
        </w:rPr>
        <w:t xml:space="preserve"> driving forces hav</w:t>
      </w:r>
      <w:r w:rsidR="00DF6456" w:rsidRPr="00A13719">
        <w:rPr>
          <w:rFonts w:cs="Times New Roman"/>
        </w:rPr>
        <w:t>ing</w:t>
      </w:r>
      <w:r w:rsidR="008D68A1" w:rsidRPr="00A13719">
        <w:rPr>
          <w:rFonts w:cs="Times New Roman"/>
        </w:rPr>
        <w:t xml:space="preserve"> </w:t>
      </w:r>
      <w:r w:rsidR="00DF6456" w:rsidRPr="00A13719">
        <w:rPr>
          <w:rFonts w:cs="Times New Roman"/>
        </w:rPr>
        <w:t xml:space="preserve">more </w:t>
      </w:r>
      <w:r w:rsidR="008D68A1" w:rsidRPr="00A13719">
        <w:rPr>
          <w:rFonts w:cs="Times New Roman"/>
        </w:rPr>
        <w:t xml:space="preserve">to do </w:t>
      </w:r>
      <w:r w:rsidR="00DF6456" w:rsidRPr="00A13719">
        <w:rPr>
          <w:rFonts w:cs="Times New Roman"/>
        </w:rPr>
        <w:t>with</w:t>
      </w:r>
      <w:r w:rsidR="008D68A1" w:rsidRPr="00A13719">
        <w:rPr>
          <w:rFonts w:cs="Times New Roman"/>
        </w:rPr>
        <w:t xml:space="preserve"> </w:t>
      </w:r>
      <w:r w:rsidR="00114827" w:rsidRPr="00A13719">
        <w:rPr>
          <w:rFonts w:cs="Times New Roman"/>
        </w:rPr>
        <w:t xml:space="preserve">global demand and supply shocks or supply risks </w:t>
      </w:r>
      <w:r w:rsidR="00114827" w:rsidRPr="00A13719">
        <w:rPr>
          <w:lang w:val="en-US"/>
        </w:rPr>
        <w:t>(Gleich, Achzet, Mayer, and Rathgeber, 2013)</w:t>
      </w:r>
      <w:r w:rsidR="00D74A1C" w:rsidRPr="00A13719">
        <w:rPr>
          <w:rStyle w:val="FootnoteReference"/>
          <w:lang w:val="en-US"/>
        </w:rPr>
        <w:footnoteReference w:id="13"/>
      </w:r>
      <w:r w:rsidR="00DA5988" w:rsidRPr="00A13719">
        <w:rPr>
          <w:lang w:val="en-US"/>
        </w:rPr>
        <w:t>.</w:t>
      </w:r>
    </w:p>
    <w:p w:rsidR="004F3650" w:rsidRPr="00A13719" w:rsidRDefault="004F3650" w:rsidP="009C6C39">
      <w:pPr>
        <w:jc w:val="both"/>
        <w:rPr>
          <w:lang w:val="en-US"/>
        </w:rPr>
      </w:pPr>
    </w:p>
    <w:p w:rsidR="00D24FF4" w:rsidRPr="00A13719" w:rsidRDefault="00D24FF4" w:rsidP="00B628CA">
      <w:pPr>
        <w:spacing w:after="0"/>
        <w:rPr>
          <w:b/>
          <w:sz w:val="28"/>
          <w:szCs w:val="28"/>
          <w:lang w:val="en-US"/>
        </w:rPr>
        <w:sectPr w:rsidR="00D24FF4" w:rsidRPr="00A13719" w:rsidSect="00D24FF4">
          <w:pgSz w:w="11906" w:h="16838"/>
          <w:pgMar w:top="1440" w:right="1304" w:bottom="1440" w:left="1304" w:header="709" w:footer="567" w:gutter="0"/>
          <w:cols w:space="708"/>
          <w:titlePg/>
          <w:docGrid w:linePitch="360"/>
        </w:sectPr>
      </w:pPr>
    </w:p>
    <w:p w:rsidR="00B628CA" w:rsidRPr="00A13719" w:rsidRDefault="00B628CA" w:rsidP="00B628CA">
      <w:pPr>
        <w:spacing w:after="0"/>
        <w:rPr>
          <w:b/>
          <w:sz w:val="28"/>
          <w:szCs w:val="28"/>
          <w:lang w:val="en-US"/>
        </w:rPr>
      </w:pPr>
      <w:r w:rsidRPr="00A13719">
        <w:rPr>
          <w:b/>
          <w:sz w:val="28"/>
          <w:szCs w:val="28"/>
          <w:lang w:val="en-US"/>
        </w:rPr>
        <w:lastRenderedPageBreak/>
        <w:t xml:space="preserve">Table </w:t>
      </w:r>
      <w:r w:rsidR="00990621" w:rsidRPr="00A13719">
        <w:rPr>
          <w:b/>
          <w:sz w:val="28"/>
          <w:szCs w:val="28"/>
          <w:lang w:val="en-US"/>
        </w:rPr>
        <w:t>6</w:t>
      </w:r>
      <w:r w:rsidRPr="00A13719">
        <w:rPr>
          <w:b/>
          <w:sz w:val="28"/>
          <w:szCs w:val="28"/>
          <w:lang w:val="en-US"/>
        </w:rPr>
        <w:t>. Multi-Factor Model</w:t>
      </w:r>
      <w:r w:rsidR="00732A8E" w:rsidRPr="00A13719">
        <w:rPr>
          <w:b/>
          <w:sz w:val="28"/>
          <w:szCs w:val="28"/>
          <w:lang w:val="en-US"/>
        </w:rPr>
        <w:t xml:space="preserve"> During a Falling Market</w:t>
      </w:r>
    </w:p>
    <w:p w:rsidR="00B628CA" w:rsidRPr="00A13719" w:rsidRDefault="00FF359C" w:rsidP="00B628CA">
      <w:pPr>
        <w:spacing w:after="0"/>
        <w:jc w:val="both"/>
        <w:rPr>
          <w:lang w:val="en-US"/>
        </w:rPr>
      </w:pPr>
      <w:r w:rsidRPr="00A13719">
        <w:rPr>
          <w:sz w:val="18"/>
          <w:szCs w:val="18"/>
          <w:lang w:val="en-US"/>
        </w:rPr>
        <w:t xml:space="preserve">This table shows the results in terms of alphas and exposures using stepwise regression within our empirical specification, </w:t>
      </w:r>
      <w:r w:rsidR="00732A8E" w:rsidRPr="00A13719">
        <w:rPr>
          <w:sz w:val="18"/>
          <w:szCs w:val="18"/>
          <w:lang w:val="en-US"/>
        </w:rPr>
        <w:t>when the Wilshire 5000 is falling</w:t>
      </w:r>
      <w:r w:rsidR="00B628CA" w:rsidRPr="00A13719">
        <w:rPr>
          <w:sz w:val="18"/>
          <w:szCs w:val="18"/>
          <w:lang w:val="en-US"/>
        </w:rPr>
        <w:t xml:space="preserve">. </w:t>
      </w:r>
      <w:r w:rsidR="00550E05" w:rsidRPr="00A13719">
        <w:rPr>
          <w:sz w:val="18"/>
          <w:szCs w:val="18"/>
          <w:lang w:val="en-US"/>
        </w:rPr>
        <w:t>H</w:t>
      </w:r>
      <w:r w:rsidR="00B56004" w:rsidRPr="00A13719">
        <w:rPr>
          <w:sz w:val="18"/>
          <w:szCs w:val="18"/>
          <w:lang w:val="en-US"/>
        </w:rPr>
        <w:t>F</w:t>
      </w:r>
      <w:r w:rsidR="00550E05" w:rsidRPr="00A13719">
        <w:rPr>
          <w:sz w:val="18"/>
          <w:szCs w:val="18"/>
          <w:lang w:val="en-US"/>
        </w:rPr>
        <w:t xml:space="preserve">s returns are raw returns minus the risk free return. </w:t>
      </w:r>
      <w:r w:rsidR="00B628CA" w:rsidRPr="00A13719">
        <w:rPr>
          <w:sz w:val="18"/>
          <w:szCs w:val="18"/>
          <w:lang w:val="en-US"/>
        </w:rPr>
        <w:t>The Risk free (RF) return is the one-month Treasury bill rate from the Fama and French online data-library (Ibbotson Associates). MAI, GEMI, COEN, COPM, COIM, COAG</w:t>
      </w:r>
      <w:r w:rsidR="00732A8E" w:rsidRPr="00A13719">
        <w:rPr>
          <w:sz w:val="18"/>
          <w:szCs w:val="18"/>
          <w:lang w:val="en-US"/>
        </w:rPr>
        <w:t xml:space="preserve"> and</w:t>
      </w:r>
      <w:r w:rsidR="00B628CA" w:rsidRPr="00A13719">
        <w:rPr>
          <w:sz w:val="18"/>
          <w:szCs w:val="18"/>
          <w:lang w:val="en-US"/>
        </w:rPr>
        <w:t xml:space="preserve"> RLE are excess RF re</w:t>
      </w:r>
      <w:r w:rsidR="00732A8E" w:rsidRPr="00A13719">
        <w:rPr>
          <w:sz w:val="18"/>
          <w:szCs w:val="18"/>
          <w:lang w:val="en-US"/>
        </w:rPr>
        <w:t>tu</w:t>
      </w:r>
      <w:r w:rsidR="00B628CA" w:rsidRPr="00A13719">
        <w:rPr>
          <w:sz w:val="18"/>
          <w:szCs w:val="18"/>
          <w:lang w:val="en-US"/>
        </w:rPr>
        <w:t xml:space="preserve">rns. </w:t>
      </w:r>
      <w:r w:rsidR="00110FCD" w:rsidRPr="00A13719">
        <w:rPr>
          <w:sz w:val="20"/>
          <w:szCs w:val="20"/>
          <w:lang w:val="en-US"/>
        </w:rPr>
        <w:t>*</w:t>
      </w:r>
      <w:r w:rsidR="000D04E4" w:rsidRPr="00A13719">
        <w:rPr>
          <w:sz w:val="18"/>
          <w:szCs w:val="18"/>
          <w:lang w:val="en-US"/>
        </w:rPr>
        <w:t xml:space="preserve"> denotes significance at P &lt; 0.1, </w:t>
      </w:r>
      <w:r w:rsidR="00B628CA" w:rsidRPr="00A13719">
        <w:rPr>
          <w:sz w:val="18"/>
          <w:szCs w:val="18"/>
          <w:lang w:val="en-US"/>
        </w:rPr>
        <w:t>*</w:t>
      </w:r>
      <w:r w:rsidR="00110FCD" w:rsidRPr="00A13719">
        <w:rPr>
          <w:sz w:val="18"/>
          <w:szCs w:val="18"/>
          <w:lang w:val="en-US"/>
        </w:rPr>
        <w:t>*</w:t>
      </w:r>
      <w:r w:rsidR="00B628CA" w:rsidRPr="00A13719">
        <w:rPr>
          <w:sz w:val="18"/>
          <w:szCs w:val="18"/>
          <w:lang w:val="en-US"/>
        </w:rPr>
        <w:t xml:space="preserve"> denotes significance at P &lt; 0.05 and *</w:t>
      </w:r>
      <w:r w:rsidR="00110FCD" w:rsidRPr="00A13719">
        <w:rPr>
          <w:sz w:val="18"/>
          <w:szCs w:val="18"/>
          <w:lang w:val="en-US"/>
        </w:rPr>
        <w:t>*</w:t>
      </w:r>
      <w:r w:rsidR="00B628CA" w:rsidRPr="00A13719">
        <w:rPr>
          <w:sz w:val="18"/>
          <w:szCs w:val="18"/>
          <w:lang w:val="en-US"/>
        </w:rPr>
        <w:t xml:space="preserve">* denotes significance at P &lt; 0.01. </w:t>
      </w:r>
      <w:r w:rsidR="00486205" w:rsidRPr="00A13719">
        <w:rPr>
          <w:sz w:val="18"/>
          <w:szCs w:val="18"/>
          <w:lang w:val="en-US"/>
        </w:rPr>
        <w:t>The t-statistics are in parentheses. An empty cell means there is no significant exposure to this factor.</w:t>
      </w:r>
      <w:r w:rsidR="006228CF" w:rsidRPr="00A13719">
        <w:rPr>
          <w:sz w:val="18"/>
          <w:szCs w:val="18"/>
          <w:lang w:val="en-US"/>
        </w:rPr>
        <w:t xml:space="preserve">  </w:t>
      </w:r>
    </w:p>
    <w:tbl>
      <w:tblPr>
        <w:tblW w:w="14588" w:type="dxa"/>
        <w:jc w:val="center"/>
        <w:tblBorders>
          <w:top w:val="single" w:sz="8" w:space="0" w:color="auto"/>
          <w:bottom w:val="single" w:sz="8" w:space="0" w:color="auto"/>
        </w:tblBorders>
        <w:shd w:val="clear" w:color="000000" w:fill="auto"/>
        <w:tblLook w:val="04A0" w:firstRow="1" w:lastRow="0" w:firstColumn="1" w:lastColumn="0" w:noHBand="0" w:noVBand="1"/>
      </w:tblPr>
      <w:tblGrid>
        <w:gridCol w:w="2410"/>
        <w:gridCol w:w="1074"/>
        <w:gridCol w:w="1001"/>
        <w:gridCol w:w="1041"/>
        <w:gridCol w:w="1032"/>
        <w:gridCol w:w="1181"/>
        <w:gridCol w:w="1261"/>
        <w:gridCol w:w="1041"/>
        <w:gridCol w:w="1221"/>
        <w:gridCol w:w="1291"/>
        <w:gridCol w:w="1321"/>
        <w:gridCol w:w="894"/>
      </w:tblGrid>
      <w:tr w:rsidR="00A13719" w:rsidRPr="00A13719" w:rsidTr="00732A8E">
        <w:trPr>
          <w:trHeight w:val="315"/>
          <w:jc w:val="center"/>
        </w:trPr>
        <w:tc>
          <w:tcPr>
            <w:tcW w:w="2410" w:type="dxa"/>
            <w:tcBorders>
              <w:top w:val="single" w:sz="8" w:space="0" w:color="auto"/>
              <w:bottom w:val="single" w:sz="8" w:space="0" w:color="auto"/>
            </w:tcBorders>
            <w:shd w:val="clear" w:color="000000" w:fill="auto"/>
            <w:noWrap/>
            <w:vAlign w:val="bottom"/>
            <w:hideMark/>
          </w:tcPr>
          <w:p w:rsidR="00B628CA" w:rsidRPr="00A13719" w:rsidRDefault="00732A8E"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Dependent variable</w:t>
            </w:r>
          </w:p>
        </w:tc>
        <w:tc>
          <w:tcPr>
            <w:tcW w:w="1074" w:type="dxa"/>
            <w:tcBorders>
              <w:top w:val="single" w:sz="8" w:space="0" w:color="auto"/>
              <w:bottom w:val="single" w:sz="8" w:space="0" w:color="auto"/>
            </w:tcBorders>
            <w:shd w:val="clear" w:color="000000" w:fill="auto"/>
            <w:noWrap/>
            <w:vAlign w:val="bottom"/>
            <w:hideMark/>
          </w:tcPr>
          <w:p w:rsidR="00B628CA" w:rsidRPr="00A13719" w:rsidRDefault="00732A8E"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 xml:space="preserve">Short </w:t>
            </w:r>
            <w:r w:rsidR="00B628CA" w:rsidRPr="00A13719">
              <w:rPr>
                <w:rFonts w:eastAsia="Times New Roman" w:cs="Times New Roman"/>
                <w:sz w:val="18"/>
                <w:szCs w:val="18"/>
                <w:lang w:eastAsia="en-GB"/>
              </w:rPr>
              <w:t>Bias</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Long Only</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Sector</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Long Short</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Event Driven</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Multi Strategy</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Others</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Global Macro</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Relative Value</w:t>
            </w:r>
          </w:p>
        </w:tc>
        <w:tc>
          <w:tcPr>
            <w:tcW w:w="0" w:type="auto"/>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Market Neutral</w:t>
            </w:r>
          </w:p>
        </w:tc>
        <w:tc>
          <w:tcPr>
            <w:tcW w:w="894" w:type="dxa"/>
            <w:tcBorders>
              <w:top w:val="single" w:sz="8" w:space="0" w:color="auto"/>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CTAs</w:t>
            </w:r>
          </w:p>
        </w:tc>
      </w:tr>
      <w:tr w:rsidR="00A13719" w:rsidRPr="00A13719" w:rsidTr="00732A8E">
        <w:trPr>
          <w:trHeight w:val="300"/>
          <w:jc w:val="center"/>
        </w:trPr>
        <w:tc>
          <w:tcPr>
            <w:tcW w:w="2410" w:type="dxa"/>
            <w:tcBorders>
              <w:top w:val="single" w:sz="8" w:space="0" w:color="auto"/>
            </w:tcBorders>
            <w:shd w:val="clear" w:color="000000" w:fill="auto"/>
            <w:noWrap/>
            <w:vAlign w:val="bottom"/>
            <w:hideMark/>
          </w:tcPr>
          <w:p w:rsidR="00B628CA" w:rsidRPr="00A13719" w:rsidRDefault="001C02B9" w:rsidP="004F3650">
            <w:pPr>
              <w:spacing w:after="0" w:line="240" w:lineRule="auto"/>
              <w:rPr>
                <w:rFonts w:eastAsia="Times New Roman" w:cs="Times New Roman"/>
                <w:sz w:val="18"/>
                <w:szCs w:val="18"/>
                <w:lang w:eastAsia="en-GB"/>
              </w:rPr>
            </w:pPr>
            <w:r w:rsidRPr="00A13719">
              <w:rPr>
                <w:rFonts w:eastAsia="Times New Roman" w:cs="Times New Roman"/>
                <w:sz w:val="20"/>
                <w:szCs w:val="20"/>
                <w:lang w:eastAsia="en-GB"/>
              </w:rPr>
              <w:t>Alpha</w:t>
            </w:r>
          </w:p>
        </w:tc>
        <w:tc>
          <w:tcPr>
            <w:tcW w:w="1074" w:type="dxa"/>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0.3522</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-0.3603</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0.4854</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-0.0660</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0.1776</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0.5781*</w:t>
            </w:r>
            <w:r w:rsidR="000D34FD"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0.7432*</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0.8767*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0.0502</w:t>
            </w:r>
          </w:p>
        </w:tc>
        <w:tc>
          <w:tcPr>
            <w:tcW w:w="0" w:type="auto"/>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0.1579</w:t>
            </w:r>
          </w:p>
        </w:tc>
        <w:tc>
          <w:tcPr>
            <w:tcW w:w="894" w:type="dxa"/>
            <w:tcBorders>
              <w:top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0.8324</w:t>
            </w:r>
          </w:p>
        </w:tc>
      </w:tr>
      <w:tr w:rsidR="00A13719" w:rsidRPr="00A13719" w:rsidTr="00732A8E">
        <w:trPr>
          <w:trHeight w:val="8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7639B" w:rsidRPr="00A13719">
              <w:rPr>
                <w:rFonts w:eastAsia="Times New Roman" w:cs="Times New Roman"/>
                <w:sz w:val="18"/>
                <w:szCs w:val="18"/>
                <w:lang w:eastAsia="en-GB"/>
              </w:rPr>
              <w:t>0.7968</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7639B" w:rsidRPr="00A13719">
              <w:rPr>
                <w:rFonts w:eastAsia="Times New Roman" w:cs="Times New Roman"/>
                <w:sz w:val="18"/>
                <w:szCs w:val="18"/>
                <w:lang w:eastAsia="en-GB"/>
              </w:rPr>
              <w:t>-0.8730</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7639B" w:rsidRPr="00A13719">
              <w:rPr>
                <w:rFonts w:eastAsia="Times New Roman" w:cs="Times New Roman"/>
                <w:sz w:val="18"/>
                <w:szCs w:val="18"/>
                <w:lang w:eastAsia="en-GB"/>
              </w:rPr>
              <w:t>1.4854</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7639B" w:rsidRPr="00A13719">
              <w:rPr>
                <w:rFonts w:eastAsia="Times New Roman" w:cs="Times New Roman"/>
                <w:sz w:val="18"/>
                <w:szCs w:val="18"/>
                <w:lang w:eastAsia="en-GB"/>
              </w:rPr>
              <w:t>-0.2702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7639B" w:rsidRPr="00A13719">
              <w:rPr>
                <w:rFonts w:eastAsia="Times New Roman" w:cs="Times New Roman"/>
                <w:sz w:val="18"/>
                <w:szCs w:val="18"/>
                <w:lang w:eastAsia="en-GB"/>
              </w:rPr>
              <w:t>0.5356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7639B" w:rsidRPr="00A13719">
              <w:rPr>
                <w:rFonts w:eastAsia="Times New Roman" w:cs="Times New Roman"/>
                <w:sz w:val="18"/>
                <w:szCs w:val="18"/>
                <w:lang w:eastAsia="en-GB"/>
              </w:rPr>
              <w:t>2.3134</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775A4" w:rsidRPr="00A13719">
              <w:rPr>
                <w:rFonts w:eastAsia="Times New Roman" w:cs="Times New Roman"/>
                <w:sz w:val="18"/>
                <w:szCs w:val="18"/>
                <w:lang w:eastAsia="en-GB"/>
              </w:rPr>
              <w:t>3.6741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775A4" w:rsidRPr="00A13719">
              <w:rPr>
                <w:rFonts w:eastAsia="Times New Roman" w:cs="Times New Roman"/>
                <w:sz w:val="18"/>
                <w:szCs w:val="18"/>
                <w:lang w:eastAsia="en-GB"/>
              </w:rPr>
              <w:t>4.3127</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775A4" w:rsidRPr="00A13719">
              <w:rPr>
                <w:rFonts w:eastAsia="Times New Roman" w:cs="Times New Roman"/>
                <w:sz w:val="18"/>
                <w:szCs w:val="18"/>
                <w:lang w:eastAsia="en-GB"/>
              </w:rPr>
              <w:t>0.1900</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775A4" w:rsidRPr="00A13719">
              <w:rPr>
                <w:rFonts w:eastAsia="Times New Roman" w:cs="Times New Roman"/>
                <w:sz w:val="18"/>
                <w:szCs w:val="18"/>
                <w:lang w:eastAsia="en-GB"/>
              </w:rPr>
              <w:t>1.3120</w:t>
            </w:r>
            <w:r w:rsidRPr="00A13719">
              <w:rPr>
                <w:rFonts w:eastAsia="Times New Roman" w:cs="Times New Roman"/>
                <w:sz w:val="18"/>
                <w:szCs w:val="18"/>
                <w:lang w:eastAsia="en-GB"/>
              </w:rPr>
              <w:t>)</w:t>
            </w:r>
          </w:p>
        </w:tc>
        <w:tc>
          <w:tcPr>
            <w:tcW w:w="894" w:type="dxa"/>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C775A4" w:rsidRPr="00A13719">
              <w:rPr>
                <w:rFonts w:eastAsia="Times New Roman" w:cs="Times New Roman"/>
                <w:sz w:val="18"/>
                <w:szCs w:val="18"/>
                <w:lang w:eastAsia="en-GB"/>
              </w:rPr>
              <w:t>1.7790</w:t>
            </w:r>
            <w:r w:rsidRPr="00A13719">
              <w:rPr>
                <w:rFonts w:eastAsia="Times New Roman" w:cs="Times New Roman"/>
                <w:sz w:val="18"/>
                <w:szCs w:val="18"/>
                <w:lang w:eastAsia="en-GB"/>
              </w:rPr>
              <w:t>)</w:t>
            </w:r>
          </w:p>
        </w:tc>
      </w:tr>
      <w:tr w:rsidR="00A13719" w:rsidRPr="00A13719" w:rsidTr="00732A8E">
        <w:trPr>
          <w:trHeight w:val="80"/>
          <w:jc w:val="center"/>
        </w:trPr>
        <w:tc>
          <w:tcPr>
            <w:tcW w:w="2410" w:type="dxa"/>
            <w:shd w:val="clear" w:color="000000" w:fill="auto"/>
            <w:noWrap/>
            <w:vAlign w:val="bottom"/>
          </w:tcPr>
          <w:p w:rsidR="000D04E4" w:rsidRPr="00A13719" w:rsidRDefault="000D04E4" w:rsidP="000D04E4">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xml:space="preserve">Z-value, alpha </w:t>
            </w:r>
            <w:r w:rsidR="00BF69EE" w:rsidRPr="00A13719">
              <w:rPr>
                <w:rFonts w:eastAsia="Times New Roman" w:cs="Times New Roman"/>
                <w:sz w:val="18"/>
                <w:szCs w:val="18"/>
                <w:lang w:eastAsia="en-GB"/>
              </w:rPr>
              <w:t xml:space="preserve">abs </w:t>
            </w:r>
            <w:r w:rsidRPr="00A13719">
              <w:rPr>
                <w:rFonts w:eastAsia="Times New Roman" w:cs="Times New Roman"/>
                <w:sz w:val="18"/>
                <w:szCs w:val="18"/>
                <w:lang w:eastAsia="en-GB"/>
              </w:rPr>
              <w:t>difference up vs down regime</w:t>
            </w:r>
          </w:p>
        </w:tc>
        <w:tc>
          <w:tcPr>
            <w:tcW w:w="1074" w:type="dxa"/>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0.2870</w:t>
            </w:r>
          </w:p>
        </w:tc>
        <w:tc>
          <w:tcPr>
            <w:tcW w:w="0" w:type="auto"/>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1.5384</w:t>
            </w:r>
            <w:r w:rsidR="000D34FD" w:rsidRPr="00A13719">
              <w:rPr>
                <w:sz w:val="20"/>
                <w:szCs w:val="20"/>
                <w:lang w:val="en-US"/>
              </w:rPr>
              <w:t>*</w:t>
            </w:r>
          </w:p>
        </w:tc>
        <w:tc>
          <w:tcPr>
            <w:tcW w:w="0" w:type="auto"/>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0.0045</w:t>
            </w:r>
          </w:p>
        </w:tc>
        <w:tc>
          <w:tcPr>
            <w:tcW w:w="0" w:type="auto"/>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2.4853</w:t>
            </w:r>
            <w:r w:rsidR="00BF69EE" w:rsidRPr="00A13719">
              <w:rPr>
                <w:rFonts w:eastAsia="Times New Roman" w:cs="Times New Roman"/>
                <w:sz w:val="18"/>
                <w:szCs w:val="18"/>
                <w:lang w:eastAsia="en-GB"/>
              </w:rPr>
              <w:t>*</w:t>
            </w:r>
            <w:r w:rsidR="000D34FD" w:rsidRPr="00A13719">
              <w:rPr>
                <w:rFonts w:eastAsia="Times New Roman" w:cs="Times New Roman"/>
                <w:sz w:val="18"/>
                <w:szCs w:val="18"/>
                <w:lang w:eastAsia="en-GB"/>
              </w:rPr>
              <w:t>*</w:t>
            </w:r>
            <w:r w:rsidR="00BF69EE" w:rsidRPr="00A13719">
              <w:rPr>
                <w:rFonts w:eastAsia="Times New Roman" w:cs="Times New Roman"/>
                <w:sz w:val="18"/>
                <w:szCs w:val="18"/>
                <w:lang w:eastAsia="en-GB"/>
              </w:rPr>
              <w:t>*</w:t>
            </w:r>
          </w:p>
        </w:tc>
        <w:tc>
          <w:tcPr>
            <w:tcW w:w="0" w:type="auto"/>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0.9444</w:t>
            </w:r>
          </w:p>
        </w:tc>
        <w:tc>
          <w:tcPr>
            <w:tcW w:w="0" w:type="auto"/>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0.2293</w:t>
            </w:r>
          </w:p>
        </w:tc>
        <w:tc>
          <w:tcPr>
            <w:tcW w:w="0" w:type="auto"/>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1.9102</w:t>
            </w:r>
            <w:r w:rsidR="00BF69EE" w:rsidRPr="00A13719">
              <w:rPr>
                <w:rFonts w:eastAsia="Times New Roman" w:cs="Times New Roman"/>
                <w:sz w:val="18"/>
                <w:szCs w:val="18"/>
                <w:lang w:eastAsia="en-GB"/>
              </w:rPr>
              <w:t>*</w:t>
            </w:r>
            <w:r w:rsidR="000D34FD" w:rsidRPr="00A13719">
              <w:rPr>
                <w:rFonts w:eastAsia="Times New Roman" w:cs="Times New Roman"/>
                <w:sz w:val="18"/>
                <w:szCs w:val="18"/>
                <w:lang w:eastAsia="en-GB"/>
              </w:rPr>
              <w:t>*</w:t>
            </w:r>
          </w:p>
        </w:tc>
        <w:tc>
          <w:tcPr>
            <w:tcW w:w="0" w:type="auto"/>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2.4452</w:t>
            </w:r>
            <w:r w:rsidR="00BF69EE" w:rsidRPr="00A13719">
              <w:rPr>
                <w:rFonts w:eastAsia="Times New Roman" w:cs="Times New Roman"/>
                <w:sz w:val="18"/>
                <w:szCs w:val="18"/>
                <w:lang w:eastAsia="en-GB"/>
              </w:rPr>
              <w:t>*</w:t>
            </w:r>
            <w:r w:rsidR="000D34FD" w:rsidRPr="00A13719">
              <w:rPr>
                <w:rFonts w:eastAsia="Times New Roman" w:cs="Times New Roman"/>
                <w:sz w:val="18"/>
                <w:szCs w:val="18"/>
                <w:lang w:eastAsia="en-GB"/>
              </w:rPr>
              <w:t>*</w:t>
            </w:r>
            <w:r w:rsidR="00BF69EE" w:rsidRPr="00A13719">
              <w:rPr>
                <w:rFonts w:eastAsia="Times New Roman" w:cs="Times New Roman"/>
                <w:sz w:val="18"/>
                <w:szCs w:val="18"/>
                <w:lang w:eastAsia="en-GB"/>
              </w:rPr>
              <w:t>*</w:t>
            </w:r>
          </w:p>
        </w:tc>
        <w:tc>
          <w:tcPr>
            <w:tcW w:w="0" w:type="auto"/>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0.8744</w:t>
            </w:r>
          </w:p>
        </w:tc>
        <w:tc>
          <w:tcPr>
            <w:tcW w:w="0" w:type="auto"/>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0.0396</w:t>
            </w:r>
          </w:p>
        </w:tc>
        <w:tc>
          <w:tcPr>
            <w:tcW w:w="894" w:type="dxa"/>
            <w:shd w:val="clear" w:color="000000" w:fill="auto"/>
            <w:noWrap/>
            <w:vAlign w:val="bottom"/>
          </w:tcPr>
          <w:p w:rsidR="000D04E4" w:rsidRPr="00A13719" w:rsidRDefault="000D04E4" w:rsidP="000D04E4">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0.0024</w:t>
            </w:r>
          </w:p>
        </w:tc>
      </w:tr>
      <w:tr w:rsidR="00A13719" w:rsidRPr="00A13719" w:rsidTr="00732A8E">
        <w:trPr>
          <w:trHeight w:val="30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Market Index-MAI</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-0.8491*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0.5509*</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0.5016*</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0.3117*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0.2028*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0.1858*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0.0810*</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6"/>
                <w:szCs w:val="16"/>
                <w:lang w:eastAsia="en-GB"/>
              </w:rPr>
            </w:pPr>
            <w:r w:rsidRPr="00A13719">
              <w:rPr>
                <w:rFonts w:eastAsia="Times New Roman" w:cs="Times New Roman"/>
                <w:sz w:val="16"/>
                <w:szCs w:val="16"/>
                <w:lang w:eastAsia="en-GB"/>
              </w:rPr>
              <w:t>-0.1562*</w:t>
            </w:r>
            <w:r w:rsidR="000D34FD" w:rsidRPr="00A13719">
              <w:rPr>
                <w:rFonts w:eastAsia="Times New Roman" w:cs="Times New Roman"/>
                <w:sz w:val="16"/>
                <w:szCs w:val="16"/>
                <w:lang w:eastAsia="en-GB"/>
              </w:rPr>
              <w:t>*</w:t>
            </w:r>
          </w:p>
        </w:tc>
      </w:tr>
      <w:tr w:rsidR="00A13719" w:rsidRPr="00A13719" w:rsidTr="00732A8E">
        <w:trPr>
          <w:trHeight w:val="7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15FB4" w:rsidRPr="00A13719">
              <w:rPr>
                <w:rFonts w:eastAsia="Times New Roman" w:cs="Times New Roman"/>
                <w:sz w:val="18"/>
                <w:szCs w:val="18"/>
                <w:lang w:eastAsia="en-GB"/>
              </w:rPr>
              <w:t>-13.0650</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15FB4" w:rsidRPr="00A13719">
              <w:rPr>
                <w:rFonts w:eastAsia="Times New Roman" w:cs="Times New Roman"/>
                <w:sz w:val="18"/>
                <w:szCs w:val="18"/>
                <w:lang w:eastAsia="en-GB"/>
              </w:rPr>
              <w:t>8.1254</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15FB4" w:rsidRPr="00A13719">
              <w:rPr>
                <w:rFonts w:eastAsia="Times New Roman" w:cs="Times New Roman"/>
                <w:sz w:val="18"/>
                <w:szCs w:val="18"/>
                <w:lang w:eastAsia="en-GB"/>
              </w:rPr>
              <w:t>9.8764</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15FB4" w:rsidRPr="00A13719">
              <w:rPr>
                <w:rFonts w:eastAsia="Times New Roman" w:cs="Times New Roman"/>
                <w:sz w:val="18"/>
                <w:szCs w:val="18"/>
                <w:lang w:eastAsia="en-GB"/>
              </w:rPr>
              <w:t>6.1120</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15FB4" w:rsidRPr="00A13719">
              <w:rPr>
                <w:rFonts w:eastAsia="Times New Roman" w:cs="Times New Roman"/>
                <w:sz w:val="18"/>
                <w:szCs w:val="18"/>
                <w:lang w:eastAsia="en-GB"/>
              </w:rPr>
              <w:t>3.7053</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15FB4" w:rsidRPr="00A13719">
              <w:rPr>
                <w:rFonts w:eastAsia="Times New Roman" w:cs="Times New Roman"/>
                <w:sz w:val="18"/>
                <w:szCs w:val="18"/>
                <w:lang w:eastAsia="en-GB"/>
              </w:rPr>
              <w:t>6.0885</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15FB4" w:rsidRPr="00A13719">
              <w:rPr>
                <w:rFonts w:eastAsia="Times New Roman" w:cs="Times New Roman"/>
                <w:sz w:val="18"/>
                <w:szCs w:val="18"/>
                <w:lang w:eastAsia="en-GB"/>
              </w:rPr>
              <w:t>2.7081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215FB4" w:rsidRPr="00A13719">
              <w:rPr>
                <w:rFonts w:eastAsia="Times New Roman" w:cs="Times New Roman"/>
                <w:sz w:val="18"/>
                <w:szCs w:val="18"/>
                <w:lang w:eastAsia="en-GB"/>
              </w:rPr>
              <w:t>-2.2707</w:t>
            </w:r>
            <w:r w:rsidRPr="00A13719">
              <w:rPr>
                <w:rFonts w:eastAsia="Times New Roman" w:cs="Times New Roman"/>
                <w:sz w:val="18"/>
                <w:szCs w:val="18"/>
                <w:lang w:eastAsia="en-GB"/>
              </w:rPr>
              <w:t>)</w:t>
            </w:r>
          </w:p>
        </w:tc>
      </w:tr>
      <w:tr w:rsidR="00A13719" w:rsidRPr="00A13719" w:rsidTr="00732A8E">
        <w:trPr>
          <w:trHeight w:val="30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Energy-COEN</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0.1091*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0.0401*</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0.0676*</w:t>
            </w:r>
            <w:r w:rsidR="000D34FD" w:rsidRPr="00A13719">
              <w:rPr>
                <w:rFonts w:eastAsia="Times New Roman" w:cs="Times New Roman"/>
                <w:sz w:val="18"/>
                <w:szCs w:val="18"/>
                <w:lang w:eastAsia="en-GB"/>
              </w:rPr>
              <w:t>*</w:t>
            </w:r>
          </w:p>
        </w:tc>
      </w:tr>
      <w:tr w:rsidR="00A13719" w:rsidRPr="00A13719" w:rsidTr="00732A8E">
        <w:trPr>
          <w:trHeight w:val="168"/>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4.1149</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3.2188</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2.4078</w:t>
            </w:r>
            <w:r w:rsidRPr="00A13719">
              <w:rPr>
                <w:rFonts w:eastAsia="Times New Roman" w:cs="Times New Roman"/>
                <w:sz w:val="18"/>
                <w:szCs w:val="18"/>
                <w:lang w:eastAsia="en-GB"/>
              </w:rPr>
              <w:t>)</w:t>
            </w:r>
          </w:p>
        </w:tc>
      </w:tr>
      <w:tr w:rsidR="00A13719" w:rsidRPr="00A13719" w:rsidTr="00732A8E">
        <w:trPr>
          <w:trHeight w:val="30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Small minus Big-SMB</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0.4113*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0.1976*</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0.1987*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134"/>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4.2053</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3.4591</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2.9516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Agriculture-COAG</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0.1131*</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0.1224*</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0.0445</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242"/>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2.0826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2.7412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2.5907</w:t>
            </w:r>
            <w:r w:rsidRPr="00A13719">
              <w:rPr>
                <w:rFonts w:eastAsia="Times New Roman" w:cs="Times New Roman"/>
                <w:sz w:val="18"/>
                <w:szCs w:val="18"/>
                <w:lang w:eastAsia="en-GB"/>
              </w:rPr>
              <w:t>)</w:t>
            </w: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High minus Low-HML</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-0.2175*</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-0.1650*</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-0.0702*</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7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-3.8436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-4.5526</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-2.8440</w:t>
            </w:r>
            <w:r w:rsidRPr="00A13719">
              <w:rPr>
                <w:rFonts w:eastAsia="Times New Roman" w:cs="Times New Roman"/>
                <w:sz w:val="18"/>
                <w:szCs w:val="18"/>
                <w:lang w:eastAsia="en-GB"/>
              </w:rPr>
              <w:t>)</w:t>
            </w: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Change in VIX-DVIX</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-0.0253*</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-0.0313*</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-0.0314*</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7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-2.1933</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-2.7992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-2.9077</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Comm. Industry Metals-COIM</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0.1547*</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0.1175*</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0.1236*</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14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3.4023</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3.2737</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3.4409</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Global Market Index (excl. U.S.)-GEMI</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0.0919*</w:t>
            </w:r>
            <w:r w:rsidR="000D34FD"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106"/>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2.1294</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300"/>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Exchange Rate-EXCH</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-0.2678*</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72"/>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-3.3022</w:t>
            </w:r>
            <w:r w:rsidRPr="00A13719">
              <w:rPr>
                <w:rFonts w:eastAsia="Times New Roman" w:cs="Times New Roman"/>
                <w:sz w:val="18"/>
                <w:szCs w:val="18"/>
                <w:lang w:eastAsia="en-GB"/>
              </w:rPr>
              <w:t>)</w:t>
            </w: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732A8E">
        <w:trPr>
          <w:trHeight w:val="315"/>
          <w:jc w:val="center"/>
        </w:trPr>
        <w:tc>
          <w:tcPr>
            <w:tcW w:w="2410" w:type="dxa"/>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Momentum-MOM</w:t>
            </w:r>
          </w:p>
        </w:tc>
        <w:tc>
          <w:tcPr>
            <w:tcW w:w="107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0.0780*</w:t>
            </w:r>
            <w:r w:rsidR="000D34FD" w:rsidRPr="00A13719">
              <w:rPr>
                <w:rFonts w:eastAsia="Times New Roman" w:cs="Times New Roman"/>
                <w:sz w:val="18"/>
                <w:szCs w:val="18"/>
                <w:lang w:eastAsia="en-GB"/>
              </w:rPr>
              <w:t>*</w:t>
            </w:r>
            <w:r w:rsidRPr="00A13719">
              <w:rPr>
                <w:rFonts w:eastAsia="Times New Roman" w:cs="Times New Roman"/>
                <w:sz w:val="18"/>
                <w:szCs w:val="18"/>
                <w:lang w:eastAsia="en-GB"/>
              </w:rPr>
              <w:t>*</w:t>
            </w:r>
          </w:p>
        </w:tc>
        <w:tc>
          <w:tcPr>
            <w:tcW w:w="894" w:type="dxa"/>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0D04E4">
        <w:trPr>
          <w:trHeight w:hRule="exact" w:val="227"/>
          <w:jc w:val="center"/>
        </w:trPr>
        <w:tc>
          <w:tcPr>
            <w:tcW w:w="2410" w:type="dxa"/>
            <w:tcBorders>
              <w:bottom w:val="single" w:sz="8" w:space="0" w:color="auto"/>
            </w:tcBorders>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 </w:t>
            </w:r>
          </w:p>
        </w:tc>
        <w:tc>
          <w:tcPr>
            <w:tcW w:w="1074" w:type="dxa"/>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c>
          <w:tcPr>
            <w:tcW w:w="0" w:type="auto"/>
            <w:tcBorders>
              <w:bottom w:val="single" w:sz="8" w:space="0" w:color="auto"/>
            </w:tcBorders>
            <w:shd w:val="clear" w:color="000000" w:fill="auto"/>
            <w:noWrap/>
            <w:vAlign w:val="bottom"/>
            <w:hideMark/>
          </w:tcPr>
          <w:p w:rsidR="00B628CA" w:rsidRPr="00A13719" w:rsidRDefault="002172E6"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w:t>
            </w:r>
            <w:r w:rsidR="00AB736C" w:rsidRPr="00A13719">
              <w:rPr>
                <w:rFonts w:eastAsia="Times New Roman" w:cs="Times New Roman"/>
                <w:sz w:val="18"/>
                <w:szCs w:val="18"/>
                <w:lang w:eastAsia="en-GB"/>
              </w:rPr>
              <w:t>4.7392</w:t>
            </w:r>
            <w:r w:rsidRPr="00A13719">
              <w:rPr>
                <w:rFonts w:eastAsia="Times New Roman" w:cs="Times New Roman"/>
                <w:sz w:val="18"/>
                <w:szCs w:val="18"/>
                <w:lang w:eastAsia="en-GB"/>
              </w:rPr>
              <w:t>)</w:t>
            </w:r>
          </w:p>
        </w:tc>
        <w:tc>
          <w:tcPr>
            <w:tcW w:w="894" w:type="dxa"/>
            <w:tcBorders>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p>
        </w:tc>
      </w:tr>
      <w:tr w:rsidR="00A13719" w:rsidRPr="00A13719" w:rsidTr="000D04E4">
        <w:trPr>
          <w:trHeight w:hRule="exact" w:val="227"/>
          <w:jc w:val="center"/>
        </w:trPr>
        <w:tc>
          <w:tcPr>
            <w:tcW w:w="2410" w:type="dxa"/>
            <w:tcBorders>
              <w:top w:val="single" w:sz="8" w:space="0" w:color="auto"/>
              <w:bottom w:val="nil"/>
            </w:tcBorders>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Adj. R-squared:</w:t>
            </w:r>
          </w:p>
        </w:tc>
        <w:tc>
          <w:tcPr>
            <w:tcW w:w="1074" w:type="dxa"/>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0.8385</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0.8281</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0.8218</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0.8429</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0.5600</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0.6302</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0.6266</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0.4938</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0.5639</w:t>
            </w:r>
          </w:p>
        </w:tc>
        <w:tc>
          <w:tcPr>
            <w:tcW w:w="0" w:type="auto"/>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0.4396</w:t>
            </w:r>
          </w:p>
        </w:tc>
        <w:tc>
          <w:tcPr>
            <w:tcW w:w="894" w:type="dxa"/>
            <w:tcBorders>
              <w:top w:val="single" w:sz="8" w:space="0" w:color="auto"/>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0.1962</w:t>
            </w:r>
          </w:p>
        </w:tc>
      </w:tr>
      <w:tr w:rsidR="00A13719" w:rsidRPr="00A13719" w:rsidTr="000D04E4">
        <w:trPr>
          <w:trHeight w:hRule="exact" w:val="227"/>
          <w:jc w:val="center"/>
        </w:trPr>
        <w:tc>
          <w:tcPr>
            <w:tcW w:w="2410" w:type="dxa"/>
            <w:tcBorders>
              <w:top w:val="nil"/>
              <w:bottom w:val="nil"/>
            </w:tcBorders>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F-statistic:</w:t>
            </w:r>
          </w:p>
        </w:tc>
        <w:tc>
          <w:tcPr>
            <w:tcW w:w="1074" w:type="dxa"/>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91.8462</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57.2018</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54.7957</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63.6048</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23.275</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20.8836</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30.3635</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12.3816</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16.0859</w:t>
            </w:r>
          </w:p>
        </w:tc>
        <w:tc>
          <w:tcPr>
            <w:tcW w:w="0" w:type="auto"/>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10.1524</w:t>
            </w:r>
          </w:p>
        </w:tc>
        <w:tc>
          <w:tcPr>
            <w:tcW w:w="894" w:type="dxa"/>
            <w:tcBorders>
              <w:top w:val="nil"/>
              <w:bottom w:val="nil"/>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5.2707</w:t>
            </w:r>
          </w:p>
        </w:tc>
      </w:tr>
      <w:tr w:rsidR="00A13719" w:rsidRPr="00A13719" w:rsidTr="000D04E4">
        <w:trPr>
          <w:trHeight w:hRule="exact" w:val="227"/>
          <w:jc w:val="center"/>
        </w:trPr>
        <w:tc>
          <w:tcPr>
            <w:tcW w:w="2410" w:type="dxa"/>
            <w:tcBorders>
              <w:top w:val="nil"/>
              <w:bottom w:val="single" w:sz="8" w:space="0" w:color="auto"/>
            </w:tcBorders>
            <w:shd w:val="clear" w:color="000000" w:fill="auto"/>
            <w:noWrap/>
            <w:vAlign w:val="bottom"/>
            <w:hideMark/>
          </w:tcPr>
          <w:p w:rsidR="00B628CA" w:rsidRPr="00A13719" w:rsidRDefault="00B628CA" w:rsidP="004F3650">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Prob (F-stat):</w:t>
            </w:r>
          </w:p>
        </w:tc>
        <w:tc>
          <w:tcPr>
            <w:tcW w:w="1074" w:type="dxa"/>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0.0000</w:t>
            </w:r>
          </w:p>
        </w:tc>
        <w:tc>
          <w:tcPr>
            <w:tcW w:w="0" w:type="auto"/>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0.0001</w:t>
            </w:r>
          </w:p>
        </w:tc>
        <w:tc>
          <w:tcPr>
            <w:tcW w:w="894" w:type="dxa"/>
            <w:tcBorders>
              <w:top w:val="nil"/>
              <w:bottom w:val="single" w:sz="8" w:space="0" w:color="auto"/>
            </w:tcBorders>
            <w:shd w:val="clear" w:color="000000" w:fill="auto"/>
            <w:noWrap/>
            <w:vAlign w:val="bottom"/>
            <w:hideMark/>
          </w:tcPr>
          <w:p w:rsidR="00B628CA" w:rsidRPr="00A13719" w:rsidRDefault="00B628CA" w:rsidP="00732A8E">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0.0103</w:t>
            </w:r>
          </w:p>
        </w:tc>
      </w:tr>
    </w:tbl>
    <w:p w:rsidR="00D24FF4" w:rsidRPr="00A13719" w:rsidRDefault="00D24FF4" w:rsidP="004F3650">
      <w:pPr>
        <w:jc w:val="both"/>
        <w:rPr>
          <w:lang w:val="en-US"/>
        </w:rPr>
        <w:sectPr w:rsidR="00D24FF4" w:rsidRPr="00A13719" w:rsidSect="00D24FF4">
          <w:pgSz w:w="16838" w:h="11906" w:orient="landscape"/>
          <w:pgMar w:top="1304" w:right="1440" w:bottom="1304" w:left="1440" w:header="709" w:footer="567" w:gutter="0"/>
          <w:cols w:space="708"/>
          <w:titlePg/>
          <w:docGrid w:linePitch="360"/>
        </w:sectPr>
      </w:pPr>
    </w:p>
    <w:p w:rsidR="00AB3F85" w:rsidRPr="00A13719" w:rsidRDefault="00AB3F85" w:rsidP="004F3650">
      <w:pPr>
        <w:jc w:val="both"/>
        <w:rPr>
          <w:b/>
          <w:lang w:val="en-US"/>
        </w:rPr>
      </w:pPr>
      <w:r w:rsidRPr="00A13719">
        <w:rPr>
          <w:b/>
          <w:lang w:val="en-US"/>
        </w:rPr>
        <w:lastRenderedPageBreak/>
        <w:t>Analysis by Strategy</w:t>
      </w:r>
    </w:p>
    <w:p w:rsidR="004E4926" w:rsidRPr="00A13719" w:rsidRDefault="00380C03" w:rsidP="004F3650">
      <w:pPr>
        <w:jc w:val="both"/>
        <w:rPr>
          <w:lang w:val="en-US"/>
        </w:rPr>
      </w:pPr>
      <w:r w:rsidRPr="00A13719">
        <w:rPr>
          <w:lang w:val="en-US"/>
        </w:rPr>
        <w:t>This</w:t>
      </w:r>
      <w:r w:rsidR="004F3650" w:rsidRPr="00A13719">
        <w:rPr>
          <w:lang w:val="en-US"/>
        </w:rPr>
        <w:t xml:space="preserve"> sub-section</w:t>
      </w:r>
      <w:r w:rsidR="003516EB" w:rsidRPr="00A13719">
        <w:rPr>
          <w:lang w:val="en-US"/>
        </w:rPr>
        <w:t xml:space="preserve"> </w:t>
      </w:r>
      <w:r w:rsidR="004F3650" w:rsidRPr="00A13719">
        <w:rPr>
          <w:lang w:val="en-US"/>
        </w:rPr>
        <w:t>present</w:t>
      </w:r>
      <w:r w:rsidRPr="00A13719">
        <w:rPr>
          <w:lang w:val="en-US"/>
        </w:rPr>
        <w:t>s</w:t>
      </w:r>
      <w:r w:rsidR="004F3650" w:rsidRPr="00A13719">
        <w:rPr>
          <w:lang w:val="en-US"/>
        </w:rPr>
        <w:t xml:space="preserve"> a</w:t>
      </w:r>
      <w:r w:rsidR="00B8306C" w:rsidRPr="00A13719">
        <w:rPr>
          <w:lang w:val="en-US"/>
        </w:rPr>
        <w:t xml:space="preserve">n </w:t>
      </w:r>
      <w:r w:rsidR="00F74826" w:rsidRPr="00A13719">
        <w:rPr>
          <w:lang w:val="en-US"/>
        </w:rPr>
        <w:t xml:space="preserve">overview </w:t>
      </w:r>
      <w:r w:rsidR="00BD0C70" w:rsidRPr="00A13719">
        <w:rPr>
          <w:lang w:val="en-US"/>
        </w:rPr>
        <w:t xml:space="preserve">and </w:t>
      </w:r>
      <w:r w:rsidR="002429AD" w:rsidRPr="00A13719">
        <w:rPr>
          <w:lang w:val="en-US"/>
        </w:rPr>
        <w:t>a brief</w:t>
      </w:r>
      <w:r w:rsidR="00BD0C70" w:rsidRPr="00A13719">
        <w:rPr>
          <w:lang w:val="en-US"/>
        </w:rPr>
        <w:t xml:space="preserve"> </w:t>
      </w:r>
      <w:r w:rsidR="002429AD" w:rsidRPr="00A13719">
        <w:rPr>
          <w:lang w:val="en-US"/>
        </w:rPr>
        <w:t xml:space="preserve">analysis </w:t>
      </w:r>
      <w:r w:rsidR="002F336B" w:rsidRPr="00A13719">
        <w:rPr>
          <w:lang w:val="en-US"/>
        </w:rPr>
        <w:t xml:space="preserve">of the most important </w:t>
      </w:r>
      <w:r w:rsidR="00681039" w:rsidRPr="00A13719">
        <w:rPr>
          <w:lang w:val="en-US"/>
        </w:rPr>
        <w:t>results</w:t>
      </w:r>
      <w:r w:rsidR="002F336B" w:rsidRPr="00A13719">
        <w:rPr>
          <w:lang w:val="en-US"/>
        </w:rPr>
        <w:t xml:space="preserve"> </w:t>
      </w:r>
      <w:r w:rsidR="00B8306C" w:rsidRPr="00A13719">
        <w:rPr>
          <w:lang w:val="en-US"/>
        </w:rPr>
        <w:t xml:space="preserve">for each </w:t>
      </w:r>
      <w:r w:rsidR="002429AD" w:rsidRPr="00A13719">
        <w:rPr>
          <w:lang w:val="en-US"/>
        </w:rPr>
        <w:t xml:space="preserve">of the 11 </w:t>
      </w:r>
      <w:r w:rsidR="00B56004" w:rsidRPr="00A13719">
        <w:rPr>
          <w:rFonts w:eastAsiaTheme="minorEastAsia"/>
          <w:lang w:val="en-US"/>
        </w:rPr>
        <w:t>HF</w:t>
      </w:r>
      <w:r w:rsidR="002429AD" w:rsidRPr="00A13719">
        <w:rPr>
          <w:lang w:val="en-US"/>
        </w:rPr>
        <w:t xml:space="preserve"> strategies</w:t>
      </w:r>
      <w:r w:rsidR="002F336B" w:rsidRPr="00A13719">
        <w:rPr>
          <w:lang w:val="en-US"/>
        </w:rPr>
        <w:t>.</w:t>
      </w:r>
      <w:r w:rsidR="008730E9" w:rsidRPr="00A13719">
        <w:rPr>
          <w:lang w:val="en-US"/>
        </w:rPr>
        <w:t xml:space="preserve"> See Table </w:t>
      </w:r>
      <w:r w:rsidR="00990621" w:rsidRPr="00A13719">
        <w:rPr>
          <w:lang w:val="en-US"/>
        </w:rPr>
        <w:t>7</w:t>
      </w:r>
      <w:r w:rsidR="008730E9" w:rsidRPr="00A13719">
        <w:rPr>
          <w:lang w:val="en-US"/>
        </w:rPr>
        <w:t>.</w:t>
      </w:r>
    </w:p>
    <w:p w:rsidR="00F0587B" w:rsidRPr="00A13719" w:rsidRDefault="004E4926" w:rsidP="004F3650">
      <w:pPr>
        <w:jc w:val="both"/>
        <w:rPr>
          <w:lang w:val="en-US"/>
        </w:rPr>
      </w:pPr>
      <w:r w:rsidRPr="00A13719">
        <w:rPr>
          <w:lang w:val="en-US"/>
        </w:rPr>
        <w:t>The S</w:t>
      </w:r>
      <w:r w:rsidR="008730E9" w:rsidRPr="00A13719">
        <w:rPr>
          <w:lang w:val="en-US"/>
        </w:rPr>
        <w:t>h</w:t>
      </w:r>
      <w:r w:rsidRPr="00A13719">
        <w:rPr>
          <w:lang w:val="en-US"/>
        </w:rPr>
        <w:t xml:space="preserve">ort Bias strategy does not deliver significant alpha during </w:t>
      </w:r>
      <w:r w:rsidR="000431F6" w:rsidRPr="00A13719">
        <w:rPr>
          <w:lang w:val="en-US"/>
        </w:rPr>
        <w:t>“</w:t>
      </w:r>
      <w:r w:rsidRPr="00A13719">
        <w:rPr>
          <w:lang w:val="en-US"/>
        </w:rPr>
        <w:t>bad</w:t>
      </w:r>
      <w:r w:rsidR="000431F6" w:rsidRPr="00A13719">
        <w:rPr>
          <w:lang w:val="en-US"/>
        </w:rPr>
        <w:t>”</w:t>
      </w:r>
      <w:r w:rsidRPr="00A13719">
        <w:rPr>
          <w:lang w:val="en-US"/>
        </w:rPr>
        <w:t xml:space="preserve"> market conditions. </w:t>
      </w:r>
      <w:r w:rsidR="006B6552" w:rsidRPr="00A13719">
        <w:rPr>
          <w:lang w:val="en-US"/>
        </w:rPr>
        <w:t>T</w:t>
      </w:r>
      <w:r w:rsidRPr="00A13719">
        <w:rPr>
          <w:lang w:val="en-US"/>
        </w:rPr>
        <w:t>his strategy was very successful in the early 1990s with high returns</w:t>
      </w:r>
      <w:r w:rsidRPr="00A13719">
        <w:rPr>
          <w:rStyle w:val="FootnoteReference"/>
          <w:lang w:val="en-US"/>
        </w:rPr>
        <w:footnoteReference w:id="14"/>
      </w:r>
      <w:r w:rsidRPr="00A13719">
        <w:rPr>
          <w:lang w:val="en-US"/>
        </w:rPr>
        <w:t xml:space="preserve">. </w:t>
      </w:r>
      <w:r w:rsidR="006B6552" w:rsidRPr="00A13719">
        <w:rPr>
          <w:lang w:val="en-US"/>
        </w:rPr>
        <w:t>It</w:t>
      </w:r>
      <w:r w:rsidRPr="00A13719">
        <w:rPr>
          <w:lang w:val="en-US"/>
        </w:rPr>
        <w:t xml:space="preserve"> delivers high returns from specific unexpected negative events</w:t>
      </w:r>
      <w:r w:rsidR="006B6552" w:rsidRPr="00A13719">
        <w:rPr>
          <w:lang w:val="en-US"/>
        </w:rPr>
        <w:t>.</w:t>
      </w:r>
      <w:r w:rsidRPr="00A13719">
        <w:rPr>
          <w:lang w:val="en-US"/>
        </w:rPr>
        <w:t xml:space="preserve"> During </w:t>
      </w:r>
      <w:r w:rsidR="006B6552" w:rsidRPr="00A13719">
        <w:rPr>
          <w:lang w:val="en-US"/>
        </w:rPr>
        <w:t>‘good’ times</w:t>
      </w:r>
      <w:r w:rsidRPr="00A13719">
        <w:rPr>
          <w:lang w:val="en-US"/>
        </w:rPr>
        <w:t xml:space="preserve"> </w:t>
      </w:r>
      <w:r w:rsidR="006B6552" w:rsidRPr="00A13719">
        <w:rPr>
          <w:lang w:val="en-US"/>
        </w:rPr>
        <w:t>it</w:t>
      </w:r>
      <w:r w:rsidRPr="00A13719">
        <w:rPr>
          <w:lang w:val="en-US"/>
        </w:rPr>
        <w:t xml:space="preserve"> provides frequent small losses accompanied with less frequent large gains that provid</w:t>
      </w:r>
      <w:r w:rsidR="00C23DFA" w:rsidRPr="00A13719">
        <w:rPr>
          <w:lang w:val="en-US"/>
        </w:rPr>
        <w:t>e significant alpha</w:t>
      </w:r>
      <w:r w:rsidRPr="00A13719">
        <w:rPr>
          <w:lang w:val="en-US"/>
        </w:rPr>
        <w:t xml:space="preserve">. There are many negative exposures compared to all the other strategies. </w:t>
      </w:r>
      <w:r w:rsidR="00C01835" w:rsidRPr="00A13719">
        <w:rPr>
          <w:lang w:val="en-US"/>
        </w:rPr>
        <w:t xml:space="preserve">The Long </w:t>
      </w:r>
      <w:r w:rsidR="00D86A73" w:rsidRPr="00A13719">
        <w:rPr>
          <w:lang w:val="en-US"/>
        </w:rPr>
        <w:t>Only</w:t>
      </w:r>
      <w:r w:rsidR="00C01835" w:rsidRPr="00A13719">
        <w:rPr>
          <w:lang w:val="en-US"/>
        </w:rPr>
        <w:t xml:space="preserve"> strategy does not deliver significant alpha during stressful conditions and behaves similarly to other “conventional” investments</w:t>
      </w:r>
      <w:r w:rsidR="00D86A73" w:rsidRPr="00A13719">
        <w:rPr>
          <w:lang w:val="en-US"/>
        </w:rPr>
        <w:t>.</w:t>
      </w:r>
      <w:r w:rsidR="00C01835" w:rsidRPr="00A13719">
        <w:rPr>
          <w:lang w:val="en-US"/>
        </w:rPr>
        <w:t xml:space="preserve"> </w:t>
      </w:r>
      <w:r w:rsidR="00C37115" w:rsidRPr="00A13719">
        <w:rPr>
          <w:lang w:val="en-US"/>
        </w:rPr>
        <w:t>The Sector strategy delivers significant alpha during “good” times and recessions</w:t>
      </w:r>
      <w:r w:rsidR="004E36CD" w:rsidRPr="00A13719">
        <w:rPr>
          <w:lang w:val="en-US"/>
        </w:rPr>
        <w:t>.</w:t>
      </w:r>
      <w:r w:rsidR="00C37115" w:rsidRPr="00A13719">
        <w:rPr>
          <w:lang w:val="en-US"/>
        </w:rPr>
        <w:t xml:space="preserve"> It seems that </w:t>
      </w:r>
      <w:r w:rsidR="00653042" w:rsidRPr="00A13719">
        <w:rPr>
          <w:rFonts w:eastAsiaTheme="minorEastAsia"/>
          <w:lang w:val="en-US"/>
        </w:rPr>
        <w:t>HF</w:t>
      </w:r>
      <w:r w:rsidR="00653042" w:rsidRPr="00A13719">
        <w:rPr>
          <w:lang w:val="en-US"/>
        </w:rPr>
        <w:t xml:space="preserve"> </w:t>
      </w:r>
      <w:r w:rsidR="00C37115" w:rsidRPr="00A13719">
        <w:rPr>
          <w:lang w:val="en-US"/>
        </w:rPr>
        <w:t>managers are able to identify the most profitable companies/sectors, or at least those that are less affected by recession</w:t>
      </w:r>
      <w:r w:rsidR="00557D87" w:rsidRPr="00A13719">
        <w:rPr>
          <w:lang w:val="en-US"/>
        </w:rPr>
        <w:t>s</w:t>
      </w:r>
      <w:r w:rsidR="00C37115" w:rsidRPr="00A13719">
        <w:rPr>
          <w:lang w:val="en-US"/>
        </w:rPr>
        <w:t>.</w:t>
      </w:r>
      <w:r w:rsidR="00DD5EDB" w:rsidRPr="00A13719">
        <w:rPr>
          <w:lang w:val="en-US"/>
        </w:rPr>
        <w:t xml:space="preserve"> </w:t>
      </w:r>
      <w:r w:rsidR="00DF6456" w:rsidRPr="00A13719">
        <w:rPr>
          <w:lang w:val="en-US"/>
        </w:rPr>
        <w:t xml:space="preserve">Particularly </w:t>
      </w:r>
      <w:r w:rsidR="00823448" w:rsidRPr="00A13719">
        <w:rPr>
          <w:lang w:val="en-US"/>
        </w:rPr>
        <w:t>interesting</w:t>
      </w:r>
      <w:r w:rsidR="008730E9" w:rsidRPr="00A13719">
        <w:rPr>
          <w:lang w:val="en-US"/>
        </w:rPr>
        <w:t xml:space="preserve"> </w:t>
      </w:r>
      <w:r w:rsidR="00823448" w:rsidRPr="00A13719">
        <w:rPr>
          <w:lang w:val="en-US"/>
        </w:rPr>
        <w:t xml:space="preserve">(explained later in the </w:t>
      </w:r>
      <w:r w:rsidR="008730E9" w:rsidRPr="00A13719">
        <w:rPr>
          <w:lang w:val="en-US"/>
        </w:rPr>
        <w:t xml:space="preserve">sub-section on </w:t>
      </w:r>
      <w:r w:rsidR="00D16046" w:rsidRPr="00A13719">
        <w:rPr>
          <w:lang w:val="en-US"/>
        </w:rPr>
        <w:t>opposite/reverse exposures</w:t>
      </w:r>
      <w:r w:rsidR="00823448" w:rsidRPr="00A13719">
        <w:rPr>
          <w:lang w:val="en-US"/>
        </w:rPr>
        <w:t xml:space="preserve">) </w:t>
      </w:r>
      <w:r w:rsidR="00DF6456" w:rsidRPr="00A13719">
        <w:rPr>
          <w:lang w:val="en-US"/>
        </w:rPr>
        <w:t>are</w:t>
      </w:r>
      <w:r w:rsidR="00823448" w:rsidRPr="00A13719">
        <w:rPr>
          <w:lang w:val="en-US"/>
        </w:rPr>
        <w:t xml:space="preserve"> the </w:t>
      </w:r>
      <w:r w:rsidR="000D3592" w:rsidRPr="00A13719">
        <w:rPr>
          <w:lang w:val="en-US"/>
        </w:rPr>
        <w:t>statistical</w:t>
      </w:r>
      <w:r w:rsidR="00DF6456" w:rsidRPr="00A13719">
        <w:rPr>
          <w:lang w:val="en-US"/>
        </w:rPr>
        <w:t>ly</w:t>
      </w:r>
      <w:r w:rsidR="000D3592" w:rsidRPr="00A13719">
        <w:rPr>
          <w:lang w:val="en-US"/>
        </w:rPr>
        <w:t xml:space="preserve"> significant </w:t>
      </w:r>
      <w:r w:rsidR="00823448" w:rsidRPr="00A13719">
        <w:rPr>
          <w:lang w:val="en-US"/>
        </w:rPr>
        <w:t>negative exposures for DEF</w:t>
      </w:r>
      <w:r w:rsidR="008730E9" w:rsidRPr="00A13719">
        <w:rPr>
          <w:lang w:val="en-US"/>
        </w:rPr>
        <w:t xml:space="preserve"> and</w:t>
      </w:r>
      <w:r w:rsidR="00823448" w:rsidRPr="00A13719">
        <w:rPr>
          <w:lang w:val="en-US"/>
        </w:rPr>
        <w:t xml:space="preserve"> HML. </w:t>
      </w:r>
      <w:r w:rsidR="008730E9" w:rsidRPr="00A13719">
        <w:rPr>
          <w:lang w:val="en-US"/>
        </w:rPr>
        <w:t xml:space="preserve">The Long Short strategy also has </w:t>
      </w:r>
      <w:r w:rsidR="00B12959" w:rsidRPr="00A13719">
        <w:rPr>
          <w:lang w:val="en-US"/>
        </w:rPr>
        <w:t>negative exposure</w:t>
      </w:r>
      <w:r w:rsidR="008730E9" w:rsidRPr="00A13719">
        <w:rPr>
          <w:lang w:val="en-US"/>
        </w:rPr>
        <w:t>s</w:t>
      </w:r>
      <w:r w:rsidR="00B12959" w:rsidRPr="00A13719">
        <w:rPr>
          <w:lang w:val="en-US"/>
        </w:rPr>
        <w:t xml:space="preserve"> to DEF and HML</w:t>
      </w:r>
      <w:r w:rsidR="00557D87" w:rsidRPr="00A13719">
        <w:rPr>
          <w:lang w:val="en-US"/>
        </w:rPr>
        <w:t xml:space="preserve"> and</w:t>
      </w:r>
      <w:r w:rsidR="006A4DE2" w:rsidRPr="00A13719">
        <w:rPr>
          <w:lang w:val="en-US"/>
        </w:rPr>
        <w:t xml:space="preserve"> </w:t>
      </w:r>
      <w:r w:rsidR="00557D87" w:rsidRPr="00A13719">
        <w:rPr>
          <w:lang w:val="en-US"/>
        </w:rPr>
        <w:t xml:space="preserve">delivers </w:t>
      </w:r>
      <w:r w:rsidR="006A4DE2" w:rsidRPr="00A13719">
        <w:rPr>
          <w:lang w:val="en-US"/>
        </w:rPr>
        <w:t xml:space="preserve">higher alphas and fewer exposures compared to Long Only </w:t>
      </w:r>
      <w:r w:rsidR="00557D87" w:rsidRPr="00A13719">
        <w:rPr>
          <w:lang w:val="en-US"/>
        </w:rPr>
        <w:t>due to</w:t>
      </w:r>
      <w:r w:rsidR="006A4DE2" w:rsidRPr="00A13719">
        <w:rPr>
          <w:lang w:val="en-US"/>
        </w:rPr>
        <w:t xml:space="preserve"> short</w:t>
      </w:r>
      <w:r w:rsidR="0060454E" w:rsidRPr="00A13719">
        <w:rPr>
          <w:lang w:val="en-US"/>
        </w:rPr>
        <w:t xml:space="preserve"> </w:t>
      </w:r>
      <w:r w:rsidR="006A4DE2" w:rsidRPr="00A13719">
        <w:rPr>
          <w:lang w:val="en-US"/>
        </w:rPr>
        <w:t xml:space="preserve">selling. Nevertheless, </w:t>
      </w:r>
      <w:r w:rsidR="00557D87" w:rsidRPr="00A13719">
        <w:rPr>
          <w:lang w:val="en-US"/>
        </w:rPr>
        <w:t>it</w:t>
      </w:r>
      <w:r w:rsidR="006A4DE2" w:rsidRPr="00A13719">
        <w:rPr>
          <w:lang w:val="en-US"/>
        </w:rPr>
        <w:t xml:space="preserve"> is unable to provid</w:t>
      </w:r>
      <w:r w:rsidR="00C23DFA" w:rsidRPr="00A13719">
        <w:rPr>
          <w:lang w:val="en-US"/>
        </w:rPr>
        <w:t>e significant alpha</w:t>
      </w:r>
      <w:r w:rsidR="006A4DE2" w:rsidRPr="00A13719">
        <w:rPr>
          <w:lang w:val="en-US"/>
        </w:rPr>
        <w:t xml:space="preserve"> during </w:t>
      </w:r>
      <w:r w:rsidR="00557D87" w:rsidRPr="00A13719">
        <w:rPr>
          <w:lang w:val="en-US"/>
        </w:rPr>
        <w:t>‘bad’ times</w:t>
      </w:r>
      <w:r w:rsidR="006A4DE2" w:rsidRPr="00A13719">
        <w:rPr>
          <w:lang w:val="en-US"/>
        </w:rPr>
        <w:t>.</w:t>
      </w:r>
      <w:r w:rsidR="00545E38" w:rsidRPr="00A13719">
        <w:rPr>
          <w:lang w:val="en-US"/>
        </w:rPr>
        <w:t xml:space="preserve"> </w:t>
      </w:r>
    </w:p>
    <w:p w:rsidR="0023347F" w:rsidRPr="00A13719" w:rsidRDefault="00CC371E" w:rsidP="00DE1D48">
      <w:pPr>
        <w:jc w:val="both"/>
        <w:rPr>
          <w:lang w:val="en-US"/>
        </w:rPr>
      </w:pPr>
      <w:r w:rsidRPr="00A13719">
        <w:rPr>
          <w:lang w:val="en-US"/>
        </w:rPr>
        <w:t xml:space="preserve">The </w:t>
      </w:r>
      <w:r w:rsidR="00545E38" w:rsidRPr="00A13719">
        <w:rPr>
          <w:lang w:val="en-US"/>
        </w:rPr>
        <w:t>Event Driven strategy does not provide</w:t>
      </w:r>
      <w:r w:rsidR="00C23DFA" w:rsidRPr="00A13719">
        <w:rPr>
          <w:lang w:val="en-US"/>
        </w:rPr>
        <w:t xml:space="preserve"> significant alphas</w:t>
      </w:r>
      <w:r w:rsidR="00545E38" w:rsidRPr="00A13719">
        <w:rPr>
          <w:lang w:val="en-US"/>
        </w:rPr>
        <w:t xml:space="preserve"> during </w:t>
      </w:r>
      <w:r w:rsidR="00557D87" w:rsidRPr="00A13719">
        <w:rPr>
          <w:lang w:val="en-US"/>
        </w:rPr>
        <w:t>‘bad’ times</w:t>
      </w:r>
      <w:r w:rsidR="00545E38" w:rsidRPr="00A13719">
        <w:rPr>
          <w:lang w:val="en-US"/>
        </w:rPr>
        <w:t>.</w:t>
      </w:r>
      <w:r w:rsidRPr="00A13719">
        <w:rPr>
          <w:lang w:val="en-US"/>
        </w:rPr>
        <w:t xml:space="preserve"> </w:t>
      </w:r>
      <w:r w:rsidR="002A7333" w:rsidRPr="00A13719">
        <w:rPr>
          <w:lang w:val="en-US"/>
        </w:rPr>
        <w:t>By nature</w:t>
      </w:r>
      <w:r w:rsidR="003D2953" w:rsidRPr="00A13719">
        <w:rPr>
          <w:lang w:val="en-US"/>
        </w:rPr>
        <w:t>,</w:t>
      </w:r>
      <w:r w:rsidR="002A7333" w:rsidRPr="00A13719">
        <w:rPr>
          <w:lang w:val="en-US"/>
        </w:rPr>
        <w:t xml:space="preserve"> it has relatively few exposures. </w:t>
      </w:r>
      <w:r w:rsidR="00EC2964" w:rsidRPr="00A13719">
        <w:rPr>
          <w:lang w:val="en-US"/>
        </w:rPr>
        <w:t xml:space="preserve">The </w:t>
      </w:r>
      <w:r w:rsidRPr="00A13719">
        <w:rPr>
          <w:lang w:val="en-US"/>
        </w:rPr>
        <w:t>Multi Strategy</w:t>
      </w:r>
      <w:r w:rsidR="000065BC" w:rsidRPr="00A13719">
        <w:rPr>
          <w:lang w:val="en-US"/>
        </w:rPr>
        <w:t>,</w:t>
      </w:r>
      <w:r w:rsidRPr="00A13719">
        <w:rPr>
          <w:lang w:val="en-US"/>
        </w:rPr>
        <w:t xml:space="preserve"> due to the fact that is a mixture of other strategies</w:t>
      </w:r>
      <w:r w:rsidR="000065BC" w:rsidRPr="00A13719">
        <w:rPr>
          <w:lang w:val="en-US"/>
        </w:rPr>
        <w:t>,</w:t>
      </w:r>
      <w:r w:rsidRPr="00A13719">
        <w:rPr>
          <w:lang w:val="en-US"/>
        </w:rPr>
        <w:t xml:space="preserve"> is able to provid</w:t>
      </w:r>
      <w:r w:rsidR="00C23DFA" w:rsidRPr="00A13719">
        <w:rPr>
          <w:lang w:val="en-US"/>
        </w:rPr>
        <w:t>e significant alpha</w:t>
      </w:r>
      <w:r w:rsidRPr="00A13719">
        <w:rPr>
          <w:lang w:val="en-US"/>
        </w:rPr>
        <w:t xml:space="preserve"> even in down regimes, whereas during </w:t>
      </w:r>
      <w:r w:rsidR="00824DE3" w:rsidRPr="00A13719">
        <w:rPr>
          <w:lang w:val="en-US"/>
        </w:rPr>
        <w:t xml:space="preserve">expansion </w:t>
      </w:r>
      <w:r w:rsidRPr="00A13719">
        <w:rPr>
          <w:lang w:val="en-US"/>
        </w:rPr>
        <w:t>periods it del</w:t>
      </w:r>
      <w:r w:rsidR="00557D87" w:rsidRPr="00A13719">
        <w:rPr>
          <w:lang w:val="en-US"/>
        </w:rPr>
        <w:t>ivers one of the highest alphas.</w:t>
      </w:r>
      <w:r w:rsidR="000065BC" w:rsidRPr="00A13719">
        <w:rPr>
          <w:lang w:val="en-US"/>
        </w:rPr>
        <w:t xml:space="preserve"> It </w:t>
      </w:r>
      <w:r w:rsidR="008730E9" w:rsidRPr="00A13719">
        <w:rPr>
          <w:lang w:val="en-US"/>
        </w:rPr>
        <w:t xml:space="preserve">also </w:t>
      </w:r>
      <w:r w:rsidR="000065BC" w:rsidRPr="00A13719">
        <w:rPr>
          <w:lang w:val="en-US"/>
        </w:rPr>
        <w:t xml:space="preserve">has negative exposure to the DEF factor during </w:t>
      </w:r>
      <w:r w:rsidR="00824DE3" w:rsidRPr="00A13719">
        <w:rPr>
          <w:lang w:val="en-US"/>
        </w:rPr>
        <w:t xml:space="preserve">expansion </w:t>
      </w:r>
      <w:r w:rsidR="008730E9" w:rsidRPr="00A13719">
        <w:rPr>
          <w:lang w:val="en-US"/>
        </w:rPr>
        <w:t>periods,</w:t>
      </w:r>
      <w:r w:rsidR="000065BC" w:rsidRPr="00A13719">
        <w:rPr>
          <w:lang w:val="en-US"/>
        </w:rPr>
        <w:t xml:space="preserve"> as other strategies (e.g. Sector</w:t>
      </w:r>
      <w:r w:rsidR="008730E9" w:rsidRPr="00A13719">
        <w:rPr>
          <w:lang w:val="en-US"/>
        </w:rPr>
        <w:t xml:space="preserve"> and</w:t>
      </w:r>
      <w:r w:rsidR="000065BC" w:rsidRPr="00A13719">
        <w:rPr>
          <w:lang w:val="en-US"/>
        </w:rPr>
        <w:t xml:space="preserve"> Long Short). </w:t>
      </w:r>
      <w:r w:rsidR="00C1702C" w:rsidRPr="00A13719">
        <w:rPr>
          <w:lang w:val="en-US"/>
        </w:rPr>
        <w:t>Similar</w:t>
      </w:r>
      <w:r w:rsidR="00996223" w:rsidRPr="00A13719">
        <w:rPr>
          <w:lang w:val="en-US"/>
        </w:rPr>
        <w:t>ly</w:t>
      </w:r>
      <w:r w:rsidR="00C1702C" w:rsidRPr="00A13719">
        <w:rPr>
          <w:lang w:val="en-US"/>
        </w:rPr>
        <w:t xml:space="preserve">, </w:t>
      </w:r>
      <w:r w:rsidR="00996223" w:rsidRPr="00A13719">
        <w:rPr>
          <w:lang w:val="en-US"/>
        </w:rPr>
        <w:t xml:space="preserve">the </w:t>
      </w:r>
      <w:r w:rsidR="00DE1D48" w:rsidRPr="00A13719">
        <w:rPr>
          <w:lang w:val="en-US"/>
        </w:rPr>
        <w:t xml:space="preserve">Others strategy </w:t>
      </w:r>
      <w:r w:rsidR="00C1702C" w:rsidRPr="00A13719">
        <w:rPr>
          <w:lang w:val="en-US"/>
        </w:rPr>
        <w:t>has negative exposure to the</w:t>
      </w:r>
      <w:r w:rsidR="003F65AA" w:rsidRPr="00A13719">
        <w:rPr>
          <w:lang w:val="en-US"/>
        </w:rPr>
        <w:t xml:space="preserve"> DEF factor during “good” times (see opposite</w:t>
      </w:r>
      <w:r w:rsidR="00D16046" w:rsidRPr="00A13719">
        <w:rPr>
          <w:lang w:val="en-US"/>
        </w:rPr>
        <w:t xml:space="preserve">/reverse exposures </w:t>
      </w:r>
      <w:r w:rsidR="003F65AA" w:rsidRPr="00A13719">
        <w:rPr>
          <w:lang w:val="en-US"/>
        </w:rPr>
        <w:t>section).</w:t>
      </w:r>
      <w:r w:rsidR="00C1702C" w:rsidRPr="00A13719">
        <w:rPr>
          <w:lang w:val="en-US"/>
        </w:rPr>
        <w:t xml:space="preserve"> </w:t>
      </w:r>
      <w:r w:rsidR="007144C6" w:rsidRPr="00A13719">
        <w:rPr>
          <w:lang w:val="en-US"/>
        </w:rPr>
        <w:t xml:space="preserve">This strategy has </w:t>
      </w:r>
      <w:r w:rsidR="00710D07" w:rsidRPr="00A13719">
        <w:rPr>
          <w:lang w:val="en-US"/>
        </w:rPr>
        <w:t xml:space="preserve">a </w:t>
      </w:r>
      <w:r w:rsidR="007144C6" w:rsidRPr="00A13719">
        <w:rPr>
          <w:lang w:val="en-US"/>
        </w:rPr>
        <w:t>GEMI exposure</w:t>
      </w:r>
      <w:r w:rsidR="00996223" w:rsidRPr="00A13719">
        <w:rPr>
          <w:lang w:val="en-US"/>
        </w:rPr>
        <w:t>,</w:t>
      </w:r>
      <w:r w:rsidR="007144C6" w:rsidRPr="00A13719">
        <w:rPr>
          <w:lang w:val="en-US"/>
        </w:rPr>
        <w:t xml:space="preserve"> meaning that a part of its portfolio is invested in global markets</w:t>
      </w:r>
      <w:r w:rsidR="00710D07" w:rsidRPr="00A13719">
        <w:rPr>
          <w:lang w:val="en-US"/>
        </w:rPr>
        <w:t xml:space="preserve"> for higher returns</w:t>
      </w:r>
      <w:r w:rsidR="007144C6" w:rsidRPr="00A13719">
        <w:rPr>
          <w:lang w:val="en-US"/>
        </w:rPr>
        <w:t>.</w:t>
      </w:r>
      <w:r w:rsidR="00996223" w:rsidRPr="00A13719">
        <w:rPr>
          <w:lang w:val="en-US"/>
        </w:rPr>
        <w:t xml:space="preserve"> The</w:t>
      </w:r>
      <w:r w:rsidR="007144C6" w:rsidRPr="00A13719">
        <w:rPr>
          <w:lang w:val="en-US"/>
        </w:rPr>
        <w:t xml:space="preserve"> </w:t>
      </w:r>
      <w:r w:rsidR="00733B5C" w:rsidRPr="00A13719">
        <w:rPr>
          <w:lang w:val="en-US"/>
        </w:rPr>
        <w:t>Others</w:t>
      </w:r>
      <w:r w:rsidR="00C1702C" w:rsidRPr="00A13719">
        <w:rPr>
          <w:lang w:val="en-US"/>
        </w:rPr>
        <w:t xml:space="preserve"> strategy </w:t>
      </w:r>
      <w:r w:rsidR="0099397D" w:rsidRPr="00A13719">
        <w:rPr>
          <w:lang w:val="en-US"/>
        </w:rPr>
        <w:t>has styles/tools (PIPES, Close-Ended strategies) or allocations (start-ups) that allow them to invest in promising shares or utilizing illiquidity premia</w:t>
      </w:r>
      <w:r w:rsidR="006B2ECC" w:rsidRPr="00A13719">
        <w:rPr>
          <w:lang w:val="en-US"/>
        </w:rPr>
        <w:t xml:space="preserve"> providing high alphas</w:t>
      </w:r>
      <w:r w:rsidR="0099397D" w:rsidRPr="00A13719">
        <w:rPr>
          <w:lang w:val="en-US"/>
        </w:rPr>
        <w:t xml:space="preserve">. </w:t>
      </w:r>
      <w:r w:rsidR="00996223" w:rsidRPr="00A13719">
        <w:rPr>
          <w:lang w:val="en-US"/>
        </w:rPr>
        <w:t xml:space="preserve">The </w:t>
      </w:r>
      <w:r w:rsidR="00B44F97" w:rsidRPr="00A13719">
        <w:rPr>
          <w:lang w:val="en-US"/>
        </w:rPr>
        <w:t xml:space="preserve">Global Macro strategy delivers higher alpha in down </w:t>
      </w:r>
      <w:r w:rsidR="00B44F97" w:rsidRPr="00A13719">
        <w:rPr>
          <w:lang w:val="en-US"/>
        </w:rPr>
        <w:lastRenderedPageBreak/>
        <w:t xml:space="preserve">compared to up regimes. This may have to do with the fact that </w:t>
      </w:r>
      <w:r w:rsidR="006B2ECC" w:rsidRPr="00A13719">
        <w:rPr>
          <w:lang w:val="en-US"/>
        </w:rPr>
        <w:t>it is</w:t>
      </w:r>
      <w:r w:rsidR="00B44F97" w:rsidRPr="00A13719">
        <w:rPr>
          <w:lang w:val="en-US"/>
        </w:rPr>
        <w:t xml:space="preserve"> able to invest </w:t>
      </w:r>
      <w:r w:rsidR="006B2ECC" w:rsidRPr="00A13719">
        <w:rPr>
          <w:lang w:val="en-US"/>
        </w:rPr>
        <w:t xml:space="preserve">temporarily </w:t>
      </w:r>
      <w:r w:rsidR="00B44F97" w:rsidRPr="00A13719">
        <w:rPr>
          <w:lang w:val="en-US"/>
        </w:rPr>
        <w:t xml:space="preserve">in other regions beyond </w:t>
      </w:r>
      <w:r w:rsidR="006B2ECC" w:rsidRPr="00A13719">
        <w:rPr>
          <w:lang w:val="en-US"/>
        </w:rPr>
        <w:t xml:space="preserve">North America </w:t>
      </w:r>
      <w:r w:rsidR="00B44F97" w:rsidRPr="00A13719">
        <w:rPr>
          <w:lang w:val="en-US"/>
        </w:rPr>
        <w:t>when there are stressful market conditions</w:t>
      </w:r>
      <w:r w:rsidR="006B2ECC" w:rsidRPr="00A13719">
        <w:rPr>
          <w:lang w:val="en-US"/>
        </w:rPr>
        <w:t>.</w:t>
      </w:r>
    </w:p>
    <w:p w:rsidR="00DE1D48" w:rsidRPr="00A13719" w:rsidRDefault="007B1B10" w:rsidP="00DE1D48">
      <w:pPr>
        <w:jc w:val="both"/>
        <w:rPr>
          <w:lang w:val="en-US"/>
        </w:rPr>
      </w:pPr>
      <w:r w:rsidRPr="00A13719">
        <w:rPr>
          <w:lang w:val="en-US"/>
        </w:rPr>
        <w:t xml:space="preserve">The </w:t>
      </w:r>
      <w:r w:rsidR="00B44F97" w:rsidRPr="00A13719">
        <w:rPr>
          <w:lang w:val="en-US"/>
        </w:rPr>
        <w:t>Relative Value along with the Marke</w:t>
      </w:r>
      <w:r w:rsidR="009A29B7" w:rsidRPr="00A13719">
        <w:rPr>
          <w:lang w:val="en-US"/>
        </w:rPr>
        <w:t xml:space="preserve">t Neutral strategy </w:t>
      </w:r>
      <w:r w:rsidR="00B44F97" w:rsidRPr="00A13719">
        <w:rPr>
          <w:lang w:val="en-US"/>
        </w:rPr>
        <w:t>exploit</w:t>
      </w:r>
      <w:r w:rsidR="009A29B7" w:rsidRPr="00A13719">
        <w:rPr>
          <w:lang w:val="en-US"/>
        </w:rPr>
        <w:t>s</w:t>
      </w:r>
      <w:r w:rsidR="00B44F97" w:rsidRPr="00A13719">
        <w:rPr>
          <w:lang w:val="en-US"/>
        </w:rPr>
        <w:t xml:space="preserve"> market pricing anomalies be</w:t>
      </w:r>
      <w:r w:rsidR="009A29B7" w:rsidRPr="00A13719">
        <w:rPr>
          <w:lang w:val="en-US"/>
        </w:rPr>
        <w:t xml:space="preserve">tween similar assets and </w:t>
      </w:r>
      <w:r w:rsidR="00B44F97" w:rsidRPr="00A13719">
        <w:rPr>
          <w:lang w:val="en-US"/>
        </w:rPr>
        <w:t>minimize</w:t>
      </w:r>
      <w:r w:rsidR="009A29B7" w:rsidRPr="00A13719">
        <w:rPr>
          <w:lang w:val="en-US"/>
        </w:rPr>
        <w:t>s</w:t>
      </w:r>
      <w:r w:rsidR="00B44F97" w:rsidRPr="00A13719">
        <w:rPr>
          <w:lang w:val="en-US"/>
        </w:rPr>
        <w:t xml:space="preserve"> </w:t>
      </w:r>
      <w:r w:rsidR="009A29B7" w:rsidRPr="00A13719">
        <w:rPr>
          <w:lang w:val="en-US"/>
        </w:rPr>
        <w:t>its risk exposure.</w:t>
      </w:r>
      <w:r w:rsidR="0023347F" w:rsidRPr="00A13719">
        <w:rPr>
          <w:lang w:val="en-US"/>
        </w:rPr>
        <w:t xml:space="preserve"> </w:t>
      </w:r>
      <w:r w:rsidR="009B7326" w:rsidRPr="00A13719">
        <w:rPr>
          <w:lang w:val="en-US"/>
        </w:rPr>
        <w:t xml:space="preserve">The </w:t>
      </w:r>
      <w:r w:rsidR="0023347F" w:rsidRPr="00A13719">
        <w:rPr>
          <w:lang w:val="en-US"/>
        </w:rPr>
        <w:t>Relative Value strategy deliver</w:t>
      </w:r>
      <w:r w:rsidR="00996223" w:rsidRPr="00A13719">
        <w:rPr>
          <w:lang w:val="en-US"/>
        </w:rPr>
        <w:t>s</w:t>
      </w:r>
      <w:r w:rsidR="0023347F" w:rsidRPr="00A13719">
        <w:rPr>
          <w:lang w:val="en-US"/>
        </w:rPr>
        <w:t xml:space="preserve"> significant low alpha during </w:t>
      </w:r>
      <w:r w:rsidR="00824DE3" w:rsidRPr="00A13719">
        <w:rPr>
          <w:lang w:val="en-US"/>
        </w:rPr>
        <w:t>expansion</w:t>
      </w:r>
      <w:r w:rsidR="009A29B7" w:rsidRPr="00A13719">
        <w:rPr>
          <w:lang w:val="en-US"/>
        </w:rPr>
        <w:t>s</w:t>
      </w:r>
      <w:r w:rsidR="0023347F" w:rsidRPr="00A13719">
        <w:rPr>
          <w:lang w:val="en-US"/>
        </w:rPr>
        <w:t>.</w:t>
      </w:r>
      <w:r w:rsidR="00743BB3" w:rsidRPr="00A13719">
        <w:rPr>
          <w:lang w:val="en-US"/>
        </w:rPr>
        <w:t xml:space="preserve"> Simil</w:t>
      </w:r>
      <w:r w:rsidR="009B7326" w:rsidRPr="00A13719">
        <w:rPr>
          <w:lang w:val="en-US"/>
        </w:rPr>
        <w:t>arly</w:t>
      </w:r>
      <w:r w:rsidR="00743BB3" w:rsidRPr="00A13719">
        <w:rPr>
          <w:lang w:val="en-US"/>
        </w:rPr>
        <w:t xml:space="preserve">, </w:t>
      </w:r>
      <w:r w:rsidR="009B7326" w:rsidRPr="00A13719">
        <w:rPr>
          <w:lang w:val="en-US"/>
        </w:rPr>
        <w:t xml:space="preserve">the </w:t>
      </w:r>
      <w:r w:rsidR="00743BB3" w:rsidRPr="00A13719">
        <w:rPr>
          <w:lang w:val="en-US"/>
        </w:rPr>
        <w:t xml:space="preserve">Market Neutral </w:t>
      </w:r>
      <w:r w:rsidR="009B7326" w:rsidRPr="00A13719">
        <w:rPr>
          <w:lang w:val="en-US"/>
        </w:rPr>
        <w:t>strategy has</w:t>
      </w:r>
      <w:r w:rsidR="00743BB3" w:rsidRPr="00A13719">
        <w:rPr>
          <w:lang w:val="en-US"/>
        </w:rPr>
        <w:t xml:space="preserve"> </w:t>
      </w:r>
      <w:r w:rsidR="00883D9A" w:rsidRPr="00A13719">
        <w:rPr>
          <w:lang w:val="en-US"/>
        </w:rPr>
        <w:t xml:space="preserve">one of the lowest alphas during “good” times. </w:t>
      </w:r>
      <w:r w:rsidR="00743BB3" w:rsidRPr="00A13719">
        <w:rPr>
          <w:lang w:val="en-US"/>
        </w:rPr>
        <w:t xml:space="preserve"> </w:t>
      </w:r>
      <w:r w:rsidR="00EE1181" w:rsidRPr="00A13719">
        <w:rPr>
          <w:lang w:val="en-US"/>
        </w:rPr>
        <w:t>Contrary to other strategies</w:t>
      </w:r>
      <w:r w:rsidR="00553C43" w:rsidRPr="00A13719">
        <w:rPr>
          <w:lang w:val="en-US"/>
        </w:rPr>
        <w:t>,</w:t>
      </w:r>
      <w:r w:rsidR="00EE1181" w:rsidRPr="00A13719">
        <w:rPr>
          <w:lang w:val="en-US"/>
        </w:rPr>
        <w:t xml:space="preserve"> it has a positive MOM exposure </w:t>
      </w:r>
      <w:r w:rsidR="00996223" w:rsidRPr="00A13719">
        <w:rPr>
          <w:lang w:val="en-US"/>
        </w:rPr>
        <w:t>during</w:t>
      </w:r>
      <w:r w:rsidR="00EE1181" w:rsidRPr="00A13719">
        <w:rPr>
          <w:lang w:val="en-US"/>
        </w:rPr>
        <w:t xml:space="preserve"> down regimes and this might explain why it is unab</w:t>
      </w:r>
      <w:r w:rsidR="009A29B7" w:rsidRPr="00A13719">
        <w:rPr>
          <w:lang w:val="en-US"/>
        </w:rPr>
        <w:t>le to deliver significant alpha</w:t>
      </w:r>
      <w:r w:rsidR="00EE1181" w:rsidRPr="00A13719">
        <w:rPr>
          <w:lang w:val="en-US"/>
        </w:rPr>
        <w:t xml:space="preserve">. It is not also a trivial task to keep a market neutral portfolio balanced for all market conditions. </w:t>
      </w:r>
      <w:r w:rsidR="00461D5E" w:rsidRPr="00A13719">
        <w:rPr>
          <w:lang w:val="en-US"/>
        </w:rPr>
        <w:t xml:space="preserve">The </w:t>
      </w:r>
      <w:r w:rsidR="00F15077" w:rsidRPr="00A13719">
        <w:rPr>
          <w:lang w:val="en-US"/>
        </w:rPr>
        <w:t xml:space="preserve">CTA </w:t>
      </w:r>
      <w:r w:rsidR="00461D5E" w:rsidRPr="00A13719">
        <w:rPr>
          <w:lang w:val="en-US"/>
        </w:rPr>
        <w:t xml:space="preserve">strategy has an extensive use </w:t>
      </w:r>
      <w:r w:rsidR="00553C43" w:rsidRPr="00A13719">
        <w:rPr>
          <w:lang w:val="en-US"/>
        </w:rPr>
        <w:t>the trend-</w:t>
      </w:r>
      <w:r w:rsidR="00461D5E" w:rsidRPr="00A13719">
        <w:rPr>
          <w:lang w:val="en-US"/>
        </w:rPr>
        <w:t xml:space="preserve">trading and derivatives thus it has one of the fewest exposures. </w:t>
      </w:r>
      <w:r w:rsidR="009A29B7" w:rsidRPr="00A13719">
        <w:rPr>
          <w:lang w:val="en-US"/>
        </w:rPr>
        <w:t>Its</w:t>
      </w:r>
      <w:r w:rsidR="00C7725E" w:rsidRPr="00A13719">
        <w:rPr>
          <w:lang w:val="en-US"/>
        </w:rPr>
        <w:t xml:space="preserve"> exposures are related </w:t>
      </w:r>
      <w:r w:rsidR="00996223" w:rsidRPr="00A13719">
        <w:rPr>
          <w:lang w:val="en-US"/>
        </w:rPr>
        <w:t>to</w:t>
      </w:r>
      <w:r w:rsidR="00C7725E" w:rsidRPr="00A13719">
        <w:rPr>
          <w:lang w:val="en-US"/>
        </w:rPr>
        <w:t xml:space="preserve"> lookback straddles. </w:t>
      </w:r>
      <w:r w:rsidR="00461D5E" w:rsidRPr="00A13719">
        <w:rPr>
          <w:lang w:val="en-US"/>
        </w:rPr>
        <w:t>D</w:t>
      </w:r>
      <w:r w:rsidR="00F15077" w:rsidRPr="00A13719">
        <w:rPr>
          <w:lang w:val="en-US"/>
        </w:rPr>
        <w:t xml:space="preserve">uring </w:t>
      </w:r>
      <w:r w:rsidR="009A29B7" w:rsidRPr="00A13719">
        <w:rPr>
          <w:lang w:val="en-US"/>
        </w:rPr>
        <w:t>‘bad’ times</w:t>
      </w:r>
      <w:r w:rsidR="00F15077" w:rsidRPr="00A13719">
        <w:rPr>
          <w:lang w:val="en-US"/>
        </w:rPr>
        <w:t xml:space="preserve"> </w:t>
      </w:r>
      <w:r w:rsidR="009A29B7" w:rsidRPr="00A13719">
        <w:rPr>
          <w:lang w:val="en-US"/>
        </w:rPr>
        <w:t>it</w:t>
      </w:r>
      <w:r w:rsidR="00F15077" w:rsidRPr="00A13719">
        <w:rPr>
          <w:lang w:val="en-US"/>
        </w:rPr>
        <w:t xml:space="preserve"> does not deliver</w:t>
      </w:r>
      <w:r w:rsidR="00C23DFA" w:rsidRPr="00A13719">
        <w:rPr>
          <w:lang w:val="en-US"/>
        </w:rPr>
        <w:t xml:space="preserve"> significant alpha</w:t>
      </w:r>
      <w:r w:rsidR="00461D5E" w:rsidRPr="00A13719">
        <w:rPr>
          <w:lang w:val="en-US"/>
        </w:rPr>
        <w:t xml:space="preserve">. </w:t>
      </w:r>
      <w:r w:rsidR="00FD05CB" w:rsidRPr="00A13719">
        <w:rPr>
          <w:lang w:val="en-US"/>
        </w:rPr>
        <w:t xml:space="preserve"> </w:t>
      </w:r>
    </w:p>
    <w:p w:rsidR="00F60BEB" w:rsidRPr="00A13719" w:rsidRDefault="00F60BEB" w:rsidP="00F60BEB">
      <w:pPr>
        <w:jc w:val="both"/>
        <w:rPr>
          <w:b/>
          <w:lang w:val="en-US"/>
        </w:rPr>
      </w:pPr>
      <w:r w:rsidRPr="00A13719">
        <w:rPr>
          <w:b/>
          <w:lang w:val="en-US"/>
        </w:rPr>
        <w:t>Alpha Analysis</w:t>
      </w:r>
    </w:p>
    <w:p w:rsidR="003135B3" w:rsidRPr="00A13719" w:rsidRDefault="00F60BEB" w:rsidP="00F60BEB">
      <w:pPr>
        <w:jc w:val="both"/>
        <w:rPr>
          <w:lang w:val="en-US"/>
        </w:rPr>
      </w:pPr>
      <w:r w:rsidRPr="00A13719">
        <w:rPr>
          <w:lang w:val="en-US"/>
        </w:rPr>
        <w:t xml:space="preserve">We briefly discuss some points for the alphas for all strategies. Within business cycles all strategies except CTA provide average alpha for expansion periods of 0.847 while for the up regime this is 0.558. This is because during expansions some strategies (e.g. Sector, Others) provide extra alpha compared to the up regime. </w:t>
      </w:r>
      <w:r w:rsidR="00B40012" w:rsidRPr="00A13719">
        <w:rPr>
          <w:rFonts w:cs="Times New Roman"/>
          <w:szCs w:val="24"/>
          <w:lang w:val="en-US"/>
        </w:rPr>
        <w:t xml:space="preserve">One explanation that we give is that </w:t>
      </w:r>
      <w:r w:rsidR="00D80A33" w:rsidRPr="00A13719">
        <w:rPr>
          <w:rFonts w:cs="Times New Roman"/>
          <w:szCs w:val="24"/>
          <w:lang w:val="en-US"/>
        </w:rPr>
        <w:t xml:space="preserve">the </w:t>
      </w:r>
      <w:r w:rsidR="00B40012" w:rsidRPr="00A13719">
        <w:rPr>
          <w:rFonts w:cs="Times New Roman"/>
          <w:szCs w:val="24"/>
          <w:lang w:val="en-US"/>
        </w:rPr>
        <w:t>Sector strategy specializes in certain sectors and can invest in cyclical industri</w:t>
      </w:r>
      <w:r w:rsidR="00521C50" w:rsidRPr="00A13719">
        <w:rPr>
          <w:rFonts w:cs="Times New Roman"/>
          <w:szCs w:val="24"/>
          <w:lang w:val="en-US"/>
        </w:rPr>
        <w:t xml:space="preserve">es (e.g. </w:t>
      </w:r>
      <w:r w:rsidR="00D80A33" w:rsidRPr="00A13719">
        <w:rPr>
          <w:rFonts w:cs="Times New Roman"/>
          <w:szCs w:val="24"/>
          <w:lang w:val="en-US"/>
        </w:rPr>
        <w:t xml:space="preserve">the </w:t>
      </w:r>
      <w:r w:rsidR="00521C50" w:rsidRPr="00A13719">
        <w:rPr>
          <w:rFonts w:cs="Times New Roman"/>
          <w:szCs w:val="24"/>
          <w:lang w:val="en-US"/>
        </w:rPr>
        <w:t xml:space="preserve">IT industry) during </w:t>
      </w:r>
      <w:r w:rsidR="00B40012" w:rsidRPr="00A13719">
        <w:rPr>
          <w:rFonts w:cs="Times New Roman"/>
          <w:szCs w:val="24"/>
          <w:lang w:val="en-US"/>
        </w:rPr>
        <w:t xml:space="preserve">expansions. </w:t>
      </w:r>
      <w:r w:rsidR="00D80A33" w:rsidRPr="00A13719">
        <w:rPr>
          <w:rFonts w:cs="Times New Roman"/>
          <w:szCs w:val="24"/>
          <w:lang w:val="en-US"/>
        </w:rPr>
        <w:t>During</w:t>
      </w:r>
      <w:r w:rsidR="00B40012" w:rsidRPr="00A13719">
        <w:rPr>
          <w:rFonts w:cs="Times New Roman"/>
          <w:szCs w:val="24"/>
          <w:lang w:val="en-US"/>
        </w:rPr>
        <w:t xml:space="preserve"> recessions this strategy can invest in counter-cyclical or defensive industries (e.g. </w:t>
      </w:r>
      <w:r w:rsidR="00D80A33" w:rsidRPr="00A13719">
        <w:rPr>
          <w:rFonts w:cs="Times New Roman"/>
          <w:szCs w:val="24"/>
          <w:lang w:val="en-US"/>
        </w:rPr>
        <w:t xml:space="preserve">the </w:t>
      </w:r>
      <w:r w:rsidR="00B40012" w:rsidRPr="00A13719">
        <w:rPr>
          <w:rFonts w:cs="Times New Roman"/>
          <w:szCs w:val="24"/>
          <w:lang w:val="en-US"/>
        </w:rPr>
        <w:t xml:space="preserve">food industry). </w:t>
      </w:r>
      <w:r w:rsidRPr="00A13719">
        <w:rPr>
          <w:lang w:val="en-US"/>
        </w:rPr>
        <w:t xml:space="preserve">For recessions the average alpha is 1.322 compared to 0.733 for the down regime; the difference has to do with the excess high alpha produced by some strategies (e.g. the ‘Others’ strategy) during recessions. </w:t>
      </w:r>
      <w:r w:rsidR="00B40012" w:rsidRPr="00A13719">
        <w:rPr>
          <w:rFonts w:cs="Times New Roman"/>
          <w:szCs w:val="24"/>
          <w:lang w:val="en-US"/>
        </w:rPr>
        <w:t xml:space="preserve">Similar logic to </w:t>
      </w:r>
      <w:r w:rsidR="00D80A33" w:rsidRPr="00A13719">
        <w:rPr>
          <w:rFonts w:cs="Times New Roman"/>
          <w:szCs w:val="24"/>
          <w:lang w:val="en-US"/>
        </w:rPr>
        <w:t xml:space="preserve">the </w:t>
      </w:r>
      <w:r w:rsidR="00B40012" w:rsidRPr="00A13719">
        <w:rPr>
          <w:rFonts w:cs="Times New Roman"/>
          <w:szCs w:val="24"/>
          <w:lang w:val="en-US"/>
        </w:rPr>
        <w:t xml:space="preserve">Sector </w:t>
      </w:r>
      <w:r w:rsidR="00D80A33" w:rsidRPr="00A13719">
        <w:rPr>
          <w:rFonts w:cs="Times New Roman"/>
          <w:szCs w:val="24"/>
          <w:lang w:val="en-US"/>
        </w:rPr>
        <w:t>strategy</w:t>
      </w:r>
      <w:r w:rsidR="00B40012" w:rsidRPr="00A13719">
        <w:rPr>
          <w:rFonts w:cs="Times New Roman"/>
          <w:szCs w:val="24"/>
          <w:lang w:val="en-US"/>
        </w:rPr>
        <w:t xml:space="preserve"> applies to the Other strategy that can invest in promising start-ups</w:t>
      </w:r>
      <w:r w:rsidR="00521C50" w:rsidRPr="00A13719">
        <w:rPr>
          <w:rFonts w:cs="Times New Roman"/>
          <w:szCs w:val="24"/>
          <w:lang w:val="en-US"/>
        </w:rPr>
        <w:t xml:space="preserve"> or </w:t>
      </w:r>
      <w:r w:rsidR="00521C50" w:rsidRPr="00A13719">
        <w:t>private investment in public equity during recessions</w:t>
      </w:r>
      <w:r w:rsidR="00B40012" w:rsidRPr="00A13719">
        <w:rPr>
          <w:rFonts w:cs="Times New Roman"/>
          <w:szCs w:val="24"/>
          <w:lang w:val="en-US"/>
        </w:rPr>
        <w:t xml:space="preserve">. </w:t>
      </w:r>
      <w:r w:rsidRPr="00A13719">
        <w:rPr>
          <w:lang w:val="en-US"/>
        </w:rPr>
        <w:t xml:space="preserve">CTA during expansion and up periods provides 0.817 and 0.831 respectively. During recessions and down regimes CTAs’ alphas are not significant, meaning that this strategy performs well only in good times (one of the highest alphas across all strategies). Overall, concerning ‘bad’ times, down regimes seem to be harsher for </w:t>
      </w:r>
      <w:r w:rsidRPr="00A13719">
        <w:rPr>
          <w:rFonts w:eastAsiaTheme="minorEastAsia"/>
          <w:lang w:val="en-US"/>
        </w:rPr>
        <w:t>HF</w:t>
      </w:r>
      <w:r w:rsidRPr="00A13719">
        <w:rPr>
          <w:lang w:val="en-US"/>
        </w:rPr>
        <w:t xml:space="preserve"> strategies in terms of excess returns. Fund managers are more concerned with minimizing their risk in down regimes than in recessions, even at the cost of lower returns.</w:t>
      </w:r>
    </w:p>
    <w:p w:rsidR="0060454E" w:rsidRPr="00A13719" w:rsidRDefault="0060454E" w:rsidP="00F60BEB">
      <w:pPr>
        <w:jc w:val="both"/>
        <w:rPr>
          <w:lang w:val="en-US"/>
        </w:rPr>
        <w:sectPr w:rsidR="0060454E" w:rsidRPr="00A13719" w:rsidSect="00D1592D">
          <w:pgSz w:w="11906" w:h="16838"/>
          <w:pgMar w:top="1440" w:right="1304" w:bottom="1440" w:left="1304" w:header="709" w:footer="567" w:gutter="0"/>
          <w:cols w:space="708"/>
          <w:titlePg/>
          <w:docGrid w:linePitch="360"/>
        </w:sectPr>
      </w:pPr>
    </w:p>
    <w:p w:rsidR="00F36BAF" w:rsidRPr="00A13719" w:rsidRDefault="00F36BAF" w:rsidP="00F36BAF">
      <w:pPr>
        <w:spacing w:after="0"/>
        <w:rPr>
          <w:b/>
          <w:sz w:val="28"/>
          <w:szCs w:val="28"/>
          <w:lang w:val="en-US"/>
        </w:rPr>
      </w:pPr>
      <w:r w:rsidRPr="00A13719">
        <w:rPr>
          <w:b/>
          <w:sz w:val="28"/>
          <w:szCs w:val="28"/>
          <w:lang w:val="en-US"/>
        </w:rPr>
        <w:lastRenderedPageBreak/>
        <w:t xml:space="preserve">Table </w:t>
      </w:r>
      <w:r w:rsidR="00990621" w:rsidRPr="00A13719">
        <w:rPr>
          <w:b/>
          <w:sz w:val="28"/>
          <w:szCs w:val="28"/>
          <w:lang w:val="en-US"/>
        </w:rPr>
        <w:t>7</w:t>
      </w:r>
      <w:r w:rsidRPr="00A13719">
        <w:rPr>
          <w:b/>
          <w:sz w:val="28"/>
          <w:szCs w:val="28"/>
          <w:lang w:val="en-US"/>
        </w:rPr>
        <w:t xml:space="preserve">. </w:t>
      </w:r>
      <w:r w:rsidR="0058005E" w:rsidRPr="00A13719">
        <w:rPr>
          <w:b/>
          <w:sz w:val="28"/>
          <w:szCs w:val="28"/>
          <w:lang w:val="en-US"/>
        </w:rPr>
        <w:t>Exposures per Strategy</w:t>
      </w:r>
    </w:p>
    <w:tbl>
      <w:tblPr>
        <w:tblStyle w:val="TableGrid"/>
        <w:tblpPr w:leftFromText="180" w:rightFromText="180" w:vertAnchor="page" w:horzAnchor="margin" w:tblpY="2778"/>
        <w:tblW w:w="149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575"/>
        <w:gridCol w:w="2360"/>
        <w:gridCol w:w="1452"/>
        <w:gridCol w:w="1559"/>
        <w:gridCol w:w="1808"/>
        <w:gridCol w:w="1134"/>
        <w:gridCol w:w="1560"/>
        <w:gridCol w:w="1984"/>
      </w:tblGrid>
      <w:tr w:rsidR="00A13719" w:rsidRPr="00A13719" w:rsidTr="00916C92">
        <w:trPr>
          <w:trHeight w:hRule="exact" w:val="284"/>
        </w:trPr>
        <w:tc>
          <w:tcPr>
            <w:tcW w:w="1560" w:type="dxa"/>
            <w:tcBorders>
              <w:top w:val="single" w:sz="4" w:space="0" w:color="auto"/>
              <w:bottom w:val="single" w:sz="4" w:space="0" w:color="auto"/>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1.</w:t>
            </w:r>
            <w:r w:rsidR="00322EAF" w:rsidRPr="00A13719">
              <w:rPr>
                <w:rFonts w:cs="Times New Roman"/>
                <w:bCs/>
                <w:sz w:val="18"/>
                <w:szCs w:val="18"/>
              </w:rPr>
              <w:t xml:space="preserve"> </w:t>
            </w:r>
            <w:r w:rsidRPr="00A13719">
              <w:rPr>
                <w:rFonts w:cs="Times New Roman"/>
                <w:bCs/>
                <w:sz w:val="18"/>
                <w:szCs w:val="18"/>
              </w:rPr>
              <w:t>Short Bias</w:t>
            </w:r>
          </w:p>
        </w:tc>
        <w:tc>
          <w:tcPr>
            <w:tcW w:w="1575" w:type="dxa"/>
            <w:tcBorders>
              <w:top w:val="single" w:sz="4" w:space="0" w:color="auto"/>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2360" w:type="dxa"/>
            <w:tcBorders>
              <w:top w:val="single" w:sz="4" w:space="0" w:color="auto"/>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c>
          <w:tcPr>
            <w:tcW w:w="1452" w:type="dxa"/>
            <w:tcBorders>
              <w:top w:val="single" w:sz="4" w:space="0" w:color="auto"/>
              <w:left w:val="single" w:sz="4" w:space="0" w:color="auto"/>
              <w:bottom w:val="single" w:sz="4" w:space="0" w:color="auto"/>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2.</w:t>
            </w:r>
            <w:r w:rsidR="00322EAF" w:rsidRPr="00A13719">
              <w:rPr>
                <w:rFonts w:cs="Times New Roman"/>
                <w:bCs/>
                <w:sz w:val="18"/>
                <w:szCs w:val="18"/>
              </w:rPr>
              <w:t xml:space="preserve"> </w:t>
            </w:r>
            <w:r w:rsidRPr="00A13719">
              <w:rPr>
                <w:rFonts w:cs="Times New Roman"/>
                <w:bCs/>
                <w:sz w:val="18"/>
                <w:szCs w:val="18"/>
              </w:rPr>
              <w:t>Long Only</w:t>
            </w:r>
          </w:p>
        </w:tc>
        <w:tc>
          <w:tcPr>
            <w:tcW w:w="1559" w:type="dxa"/>
            <w:tcBorders>
              <w:top w:val="single" w:sz="4" w:space="0" w:color="auto"/>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1808" w:type="dxa"/>
            <w:tcBorders>
              <w:top w:val="single" w:sz="4" w:space="0" w:color="auto"/>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c>
          <w:tcPr>
            <w:tcW w:w="1134" w:type="dxa"/>
            <w:tcBorders>
              <w:top w:val="single" w:sz="4" w:space="0" w:color="auto"/>
              <w:left w:val="single" w:sz="4" w:space="0" w:color="auto"/>
              <w:bottom w:val="single" w:sz="4" w:space="0" w:color="auto"/>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3.</w:t>
            </w:r>
            <w:r w:rsidR="00322EAF" w:rsidRPr="00A13719">
              <w:rPr>
                <w:rFonts w:cs="Times New Roman"/>
                <w:bCs/>
                <w:sz w:val="18"/>
                <w:szCs w:val="18"/>
              </w:rPr>
              <w:t xml:space="preserve"> </w:t>
            </w:r>
            <w:r w:rsidRPr="00A13719">
              <w:rPr>
                <w:rFonts w:cs="Times New Roman"/>
                <w:bCs/>
                <w:sz w:val="18"/>
                <w:szCs w:val="18"/>
              </w:rPr>
              <w:t>Sector</w:t>
            </w:r>
          </w:p>
        </w:tc>
        <w:tc>
          <w:tcPr>
            <w:tcW w:w="1560" w:type="dxa"/>
            <w:tcBorders>
              <w:top w:val="single" w:sz="4" w:space="0" w:color="auto"/>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1984" w:type="dxa"/>
            <w:tcBorders>
              <w:top w:val="single" w:sz="4" w:space="0" w:color="auto"/>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r>
      <w:tr w:rsidR="00A13719" w:rsidRPr="00A13719" w:rsidTr="00916C92">
        <w:trPr>
          <w:trHeight w:hRule="exact" w:val="510"/>
        </w:trPr>
        <w:tc>
          <w:tcPr>
            <w:tcW w:w="1560" w:type="dxa"/>
            <w:tcBorders>
              <w:top w:val="single" w:sz="4" w:space="0" w:color="auto"/>
            </w:tcBorders>
            <w:vAlign w:val="bottom"/>
          </w:tcPr>
          <w:p w:rsidR="00ED4A1C" w:rsidRPr="00A13719" w:rsidRDefault="00824DE3" w:rsidP="00ED4A1C">
            <w:pPr>
              <w:spacing w:line="240" w:lineRule="auto"/>
              <w:rPr>
                <w:rFonts w:cs="Times New Roman"/>
                <w:sz w:val="18"/>
                <w:szCs w:val="18"/>
              </w:rPr>
            </w:pPr>
            <w:r w:rsidRPr="00A13719">
              <w:rPr>
                <w:rFonts w:cs="Times New Roman"/>
                <w:sz w:val="18"/>
                <w:szCs w:val="18"/>
              </w:rPr>
              <w:t>Expansion</w:t>
            </w:r>
          </w:p>
        </w:tc>
        <w:tc>
          <w:tcPr>
            <w:tcW w:w="1575" w:type="dxa"/>
            <w:tcBorders>
              <w:top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0.574</w:t>
            </w:r>
          </w:p>
        </w:tc>
        <w:tc>
          <w:tcPr>
            <w:tcW w:w="2360" w:type="dxa"/>
            <w:tcBorders>
              <w:top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-SMB, -GEMI, -MOM, -COIM</w:t>
            </w:r>
          </w:p>
        </w:tc>
        <w:tc>
          <w:tcPr>
            <w:tcW w:w="1452" w:type="dxa"/>
            <w:tcBorders>
              <w:top w:val="single" w:sz="4" w:space="0" w:color="auto"/>
              <w:left w:val="single" w:sz="4" w:space="0" w:color="auto"/>
              <w:bottom w:val="nil"/>
            </w:tcBorders>
            <w:vAlign w:val="bottom"/>
          </w:tcPr>
          <w:p w:rsidR="00ED4A1C" w:rsidRPr="00A13719" w:rsidRDefault="00824DE3" w:rsidP="00ED4A1C">
            <w:pPr>
              <w:spacing w:line="240" w:lineRule="auto"/>
              <w:rPr>
                <w:rFonts w:cs="Times New Roman"/>
                <w:sz w:val="18"/>
                <w:szCs w:val="18"/>
              </w:rPr>
            </w:pPr>
            <w:r w:rsidRPr="00A13719">
              <w:rPr>
                <w:rFonts w:cs="Times New Roman"/>
                <w:sz w:val="18"/>
                <w:szCs w:val="18"/>
              </w:rPr>
              <w:t>Expansion</w:t>
            </w:r>
          </w:p>
        </w:tc>
        <w:tc>
          <w:tcPr>
            <w:tcW w:w="1559" w:type="dxa"/>
            <w:tcBorders>
              <w:top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0.290</w:t>
            </w:r>
          </w:p>
        </w:tc>
        <w:tc>
          <w:tcPr>
            <w:tcW w:w="1808" w:type="dxa"/>
            <w:tcBorders>
              <w:top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SMB, HML, MOM, COEN</w:t>
            </w:r>
          </w:p>
        </w:tc>
        <w:tc>
          <w:tcPr>
            <w:tcW w:w="1134" w:type="dxa"/>
            <w:tcBorders>
              <w:top w:val="single" w:sz="4" w:space="0" w:color="auto"/>
              <w:left w:val="single" w:sz="4" w:space="0" w:color="auto"/>
              <w:bottom w:val="nil"/>
            </w:tcBorders>
            <w:vAlign w:val="bottom"/>
          </w:tcPr>
          <w:p w:rsidR="00ED4A1C" w:rsidRPr="00A13719" w:rsidRDefault="00824DE3" w:rsidP="00ED4A1C">
            <w:pPr>
              <w:spacing w:line="240" w:lineRule="auto"/>
              <w:rPr>
                <w:rFonts w:cs="Times New Roman"/>
                <w:sz w:val="18"/>
                <w:szCs w:val="18"/>
              </w:rPr>
            </w:pPr>
            <w:r w:rsidRPr="00A13719">
              <w:rPr>
                <w:rFonts w:cs="Times New Roman"/>
                <w:sz w:val="18"/>
                <w:szCs w:val="18"/>
              </w:rPr>
              <w:t>Expansion</w:t>
            </w:r>
          </w:p>
        </w:tc>
        <w:tc>
          <w:tcPr>
            <w:tcW w:w="1560" w:type="dxa"/>
            <w:tcBorders>
              <w:top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1.576</w:t>
            </w:r>
          </w:p>
        </w:tc>
        <w:tc>
          <w:tcPr>
            <w:tcW w:w="1984" w:type="dxa"/>
            <w:tcBorders>
              <w:top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 xml:space="preserve"> -DEF, MAI, SMB, MOM, COPM, COEN</w:t>
            </w:r>
          </w:p>
        </w:tc>
      </w:tr>
      <w:tr w:rsidR="00A13719" w:rsidRPr="00A13719" w:rsidTr="00916C92">
        <w:trPr>
          <w:trHeight w:hRule="exact" w:val="289"/>
        </w:trPr>
        <w:tc>
          <w:tcPr>
            <w:tcW w:w="1560" w:type="dxa"/>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75"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2360" w:type="dxa"/>
            <w:tcBorders>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COEN</w:t>
            </w:r>
          </w:p>
        </w:tc>
        <w:tc>
          <w:tcPr>
            <w:tcW w:w="1452"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59"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808" w:type="dxa"/>
            <w:tcBorders>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SMB, COAG</w:t>
            </w:r>
          </w:p>
        </w:tc>
        <w:tc>
          <w:tcPr>
            <w:tcW w:w="1134"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60"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0.563</w:t>
            </w:r>
          </w:p>
        </w:tc>
        <w:tc>
          <w:tcPr>
            <w:tcW w:w="1984" w:type="dxa"/>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-HML, COAG</w:t>
            </w:r>
          </w:p>
        </w:tc>
      </w:tr>
      <w:tr w:rsidR="00A13719" w:rsidRPr="00A13719" w:rsidTr="00916C92">
        <w:trPr>
          <w:trHeight w:hRule="exact" w:val="510"/>
        </w:trPr>
        <w:tc>
          <w:tcPr>
            <w:tcW w:w="1560" w:type="dxa"/>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75"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0.490</w:t>
            </w:r>
          </w:p>
        </w:tc>
        <w:tc>
          <w:tcPr>
            <w:tcW w:w="2360" w:type="dxa"/>
            <w:tcBorders>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-SMB, -GEMI, -MOM, COIM</w:t>
            </w:r>
          </w:p>
        </w:tc>
        <w:tc>
          <w:tcPr>
            <w:tcW w:w="1452"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59"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0.288</w:t>
            </w:r>
          </w:p>
        </w:tc>
        <w:tc>
          <w:tcPr>
            <w:tcW w:w="1808" w:type="dxa"/>
            <w:tcBorders>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SMB, HML, MOM, COEN</w:t>
            </w:r>
          </w:p>
        </w:tc>
        <w:tc>
          <w:tcPr>
            <w:tcW w:w="1134"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60"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0.484</w:t>
            </w:r>
          </w:p>
        </w:tc>
        <w:tc>
          <w:tcPr>
            <w:tcW w:w="1984" w:type="dxa"/>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SMB, MOM, COPM, COEN</w:t>
            </w:r>
          </w:p>
        </w:tc>
      </w:tr>
      <w:tr w:rsidR="00A13719" w:rsidRPr="00A13719" w:rsidTr="00916C92">
        <w:trPr>
          <w:trHeight w:hRule="exact" w:val="289"/>
        </w:trPr>
        <w:tc>
          <w:tcPr>
            <w:tcW w:w="1560" w:type="dxa"/>
            <w:tcBorders>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75" w:type="dxa"/>
            <w:tcBorders>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2360" w:type="dxa"/>
            <w:tcBorders>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COEN</w:t>
            </w:r>
          </w:p>
        </w:tc>
        <w:tc>
          <w:tcPr>
            <w:tcW w:w="1452" w:type="dxa"/>
            <w:tcBorders>
              <w:top w:val="nil"/>
              <w:left w:val="single" w:sz="4" w:space="0" w:color="auto"/>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59" w:type="dxa"/>
            <w:tcBorders>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808" w:type="dxa"/>
            <w:tcBorders>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SMB, COAG</w:t>
            </w:r>
          </w:p>
        </w:tc>
        <w:tc>
          <w:tcPr>
            <w:tcW w:w="1134" w:type="dxa"/>
            <w:tcBorders>
              <w:top w:val="nil"/>
              <w:left w:val="single" w:sz="4" w:space="0" w:color="auto"/>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60" w:type="dxa"/>
            <w:tcBorders>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984" w:type="dxa"/>
            <w:tcBorders>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-HML, COAG</w:t>
            </w:r>
          </w:p>
        </w:tc>
      </w:tr>
      <w:tr w:rsidR="00A13719" w:rsidRPr="00A13719" w:rsidTr="00916C92">
        <w:trPr>
          <w:trHeight w:hRule="exact" w:val="461"/>
        </w:trPr>
        <w:tc>
          <w:tcPr>
            <w:tcW w:w="1560" w:type="dxa"/>
            <w:tcBorders>
              <w:top w:val="single" w:sz="4" w:space="0" w:color="auto"/>
              <w:bottom w:val="single" w:sz="4" w:space="0" w:color="auto"/>
              <w:right w:val="nil"/>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4.</w:t>
            </w:r>
            <w:r w:rsidR="00322EAF" w:rsidRPr="00A13719">
              <w:rPr>
                <w:rFonts w:cs="Times New Roman"/>
                <w:bCs/>
                <w:sz w:val="18"/>
                <w:szCs w:val="18"/>
              </w:rPr>
              <w:t xml:space="preserve"> </w:t>
            </w:r>
            <w:r w:rsidRPr="00A13719">
              <w:rPr>
                <w:rFonts w:cs="Times New Roman"/>
                <w:bCs/>
                <w:sz w:val="18"/>
                <w:szCs w:val="18"/>
              </w:rPr>
              <w:t>Long Short</w:t>
            </w:r>
          </w:p>
        </w:tc>
        <w:tc>
          <w:tcPr>
            <w:tcW w:w="1575" w:type="dxa"/>
            <w:tcBorders>
              <w:top w:val="single" w:sz="4" w:space="0" w:color="auto"/>
              <w:left w:val="nil"/>
              <w:bottom w:val="single" w:sz="4" w:space="0" w:color="auto"/>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2360" w:type="dxa"/>
            <w:tcBorders>
              <w:top w:val="single" w:sz="4" w:space="0" w:color="auto"/>
              <w:left w:val="nil"/>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c>
          <w:tcPr>
            <w:tcW w:w="1452" w:type="dxa"/>
            <w:tcBorders>
              <w:top w:val="single" w:sz="4" w:space="0" w:color="auto"/>
              <w:left w:val="single" w:sz="4" w:space="0" w:color="auto"/>
              <w:bottom w:val="single" w:sz="4" w:space="0" w:color="auto"/>
              <w:right w:val="nil"/>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5.</w:t>
            </w:r>
            <w:r w:rsidR="00322EAF" w:rsidRPr="00A13719">
              <w:rPr>
                <w:rFonts w:cs="Times New Roman"/>
                <w:bCs/>
                <w:sz w:val="18"/>
                <w:szCs w:val="18"/>
              </w:rPr>
              <w:t xml:space="preserve"> </w:t>
            </w:r>
            <w:r w:rsidRPr="00A13719">
              <w:rPr>
                <w:rFonts w:cs="Times New Roman"/>
                <w:bCs/>
                <w:sz w:val="18"/>
                <w:szCs w:val="18"/>
              </w:rPr>
              <w:t>Event Driven</w:t>
            </w:r>
          </w:p>
        </w:tc>
        <w:tc>
          <w:tcPr>
            <w:tcW w:w="1559" w:type="dxa"/>
            <w:tcBorders>
              <w:top w:val="single" w:sz="4" w:space="0" w:color="auto"/>
              <w:left w:val="nil"/>
              <w:bottom w:val="single" w:sz="4" w:space="0" w:color="auto"/>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1808" w:type="dxa"/>
            <w:tcBorders>
              <w:top w:val="single" w:sz="4" w:space="0" w:color="auto"/>
              <w:left w:val="nil"/>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c>
          <w:tcPr>
            <w:tcW w:w="1134" w:type="dxa"/>
            <w:tcBorders>
              <w:top w:val="single" w:sz="4" w:space="0" w:color="auto"/>
              <w:left w:val="single" w:sz="4" w:space="0" w:color="auto"/>
              <w:bottom w:val="single" w:sz="4" w:space="0" w:color="auto"/>
              <w:right w:val="nil"/>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6.</w:t>
            </w:r>
            <w:r w:rsidR="00322EAF" w:rsidRPr="00A13719">
              <w:rPr>
                <w:rFonts w:cs="Times New Roman"/>
                <w:bCs/>
                <w:sz w:val="18"/>
                <w:szCs w:val="18"/>
              </w:rPr>
              <w:t xml:space="preserve"> </w:t>
            </w:r>
            <w:r w:rsidRPr="00A13719">
              <w:rPr>
                <w:rFonts w:cs="Times New Roman"/>
                <w:bCs/>
                <w:sz w:val="18"/>
                <w:szCs w:val="18"/>
              </w:rPr>
              <w:t>Multi-</w:t>
            </w:r>
            <w:r w:rsidR="00F615F8" w:rsidRPr="00A13719">
              <w:rPr>
                <w:rFonts w:cs="Times New Roman"/>
                <w:bCs/>
                <w:sz w:val="18"/>
                <w:szCs w:val="18"/>
              </w:rPr>
              <w:t xml:space="preserve">  </w:t>
            </w:r>
            <w:r w:rsidRPr="00A13719">
              <w:rPr>
                <w:rFonts w:cs="Times New Roman"/>
                <w:bCs/>
                <w:sz w:val="18"/>
                <w:szCs w:val="18"/>
              </w:rPr>
              <w:t>Strategy</w:t>
            </w:r>
          </w:p>
        </w:tc>
        <w:tc>
          <w:tcPr>
            <w:tcW w:w="1560" w:type="dxa"/>
            <w:tcBorders>
              <w:top w:val="single" w:sz="4" w:space="0" w:color="auto"/>
              <w:left w:val="nil"/>
              <w:bottom w:val="single" w:sz="4" w:space="0" w:color="auto"/>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1984" w:type="dxa"/>
            <w:tcBorders>
              <w:top w:val="single" w:sz="4" w:space="0" w:color="auto"/>
              <w:left w:val="nil"/>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r>
      <w:tr w:rsidR="00A13719" w:rsidRPr="00A13719" w:rsidTr="00916C92">
        <w:trPr>
          <w:trHeight w:hRule="exact" w:val="510"/>
        </w:trPr>
        <w:tc>
          <w:tcPr>
            <w:tcW w:w="1560" w:type="dxa"/>
            <w:tcBorders>
              <w:top w:val="single" w:sz="4" w:space="0" w:color="auto"/>
              <w:bottom w:val="nil"/>
              <w:right w:val="nil"/>
            </w:tcBorders>
            <w:vAlign w:val="bottom"/>
          </w:tcPr>
          <w:p w:rsidR="00ED4A1C" w:rsidRPr="00A13719" w:rsidRDefault="00824DE3" w:rsidP="00ED4A1C">
            <w:pPr>
              <w:spacing w:line="240" w:lineRule="auto"/>
              <w:rPr>
                <w:rFonts w:cs="Times New Roman"/>
                <w:sz w:val="18"/>
                <w:szCs w:val="18"/>
              </w:rPr>
            </w:pPr>
            <w:r w:rsidRPr="00A13719">
              <w:rPr>
                <w:rFonts w:cs="Times New Roman"/>
                <w:sz w:val="18"/>
                <w:szCs w:val="18"/>
              </w:rPr>
              <w:t>Expansion</w:t>
            </w:r>
          </w:p>
        </w:tc>
        <w:tc>
          <w:tcPr>
            <w:tcW w:w="1575" w:type="dxa"/>
            <w:tcBorders>
              <w:top w:val="single" w:sz="4" w:space="0" w:color="auto"/>
              <w:left w:val="nil"/>
              <w:bottom w:val="nil"/>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1.466</w:t>
            </w:r>
          </w:p>
        </w:tc>
        <w:tc>
          <w:tcPr>
            <w:tcW w:w="2360" w:type="dxa"/>
            <w:tcBorders>
              <w:top w:val="single" w:sz="4" w:space="0" w:color="auto"/>
              <w:left w:val="nil"/>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-DEF, MAI, SMB, -TERM, MOM, HML, COPM, COEN</w:t>
            </w:r>
          </w:p>
        </w:tc>
        <w:tc>
          <w:tcPr>
            <w:tcW w:w="1452" w:type="dxa"/>
            <w:tcBorders>
              <w:top w:val="single" w:sz="4" w:space="0" w:color="auto"/>
              <w:left w:val="single" w:sz="4" w:space="0" w:color="auto"/>
              <w:bottom w:val="nil"/>
              <w:right w:val="nil"/>
            </w:tcBorders>
            <w:vAlign w:val="bottom"/>
          </w:tcPr>
          <w:p w:rsidR="00ED4A1C" w:rsidRPr="00A13719" w:rsidRDefault="00824DE3" w:rsidP="00ED4A1C">
            <w:pPr>
              <w:spacing w:line="240" w:lineRule="auto"/>
              <w:rPr>
                <w:rFonts w:cs="Times New Roman"/>
                <w:sz w:val="18"/>
                <w:szCs w:val="18"/>
              </w:rPr>
            </w:pPr>
            <w:r w:rsidRPr="00A13719">
              <w:rPr>
                <w:rFonts w:cs="Times New Roman"/>
                <w:sz w:val="18"/>
                <w:szCs w:val="18"/>
              </w:rPr>
              <w:t>Expansion</w:t>
            </w:r>
          </w:p>
        </w:tc>
        <w:tc>
          <w:tcPr>
            <w:tcW w:w="1559" w:type="dxa"/>
            <w:tcBorders>
              <w:top w:val="single" w:sz="4" w:space="0" w:color="auto"/>
              <w:left w:val="nil"/>
              <w:bottom w:val="nil"/>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0.497</w:t>
            </w:r>
          </w:p>
        </w:tc>
        <w:tc>
          <w:tcPr>
            <w:tcW w:w="1808" w:type="dxa"/>
            <w:tcBorders>
              <w:top w:val="single" w:sz="4" w:space="0" w:color="auto"/>
              <w:left w:val="nil"/>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HML, SMB</w:t>
            </w:r>
          </w:p>
        </w:tc>
        <w:tc>
          <w:tcPr>
            <w:tcW w:w="1134" w:type="dxa"/>
            <w:tcBorders>
              <w:top w:val="single" w:sz="4" w:space="0" w:color="auto"/>
              <w:left w:val="single" w:sz="4" w:space="0" w:color="auto"/>
              <w:bottom w:val="nil"/>
              <w:right w:val="nil"/>
            </w:tcBorders>
            <w:vAlign w:val="bottom"/>
          </w:tcPr>
          <w:p w:rsidR="00ED4A1C" w:rsidRPr="00A13719" w:rsidRDefault="00824DE3" w:rsidP="00ED4A1C">
            <w:pPr>
              <w:spacing w:line="240" w:lineRule="auto"/>
              <w:rPr>
                <w:rFonts w:cs="Times New Roman"/>
                <w:sz w:val="18"/>
                <w:szCs w:val="18"/>
              </w:rPr>
            </w:pPr>
            <w:r w:rsidRPr="00A13719">
              <w:rPr>
                <w:rFonts w:cs="Times New Roman"/>
                <w:sz w:val="18"/>
                <w:szCs w:val="18"/>
              </w:rPr>
              <w:t>Expansion</w:t>
            </w:r>
          </w:p>
        </w:tc>
        <w:tc>
          <w:tcPr>
            <w:tcW w:w="1560" w:type="dxa"/>
            <w:tcBorders>
              <w:top w:val="single" w:sz="4" w:space="0" w:color="auto"/>
              <w:left w:val="nil"/>
              <w:bottom w:val="nil"/>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1.430</w:t>
            </w:r>
          </w:p>
        </w:tc>
        <w:tc>
          <w:tcPr>
            <w:tcW w:w="1984" w:type="dxa"/>
            <w:tcBorders>
              <w:top w:val="single" w:sz="4" w:space="0" w:color="auto"/>
              <w:left w:val="nil"/>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-DEF, MAI, SMB, HML, MOM, COPM</w:t>
            </w:r>
          </w:p>
        </w:tc>
      </w:tr>
      <w:tr w:rsidR="00A13719" w:rsidRPr="00A13719" w:rsidTr="00916C92">
        <w:trPr>
          <w:trHeight w:hRule="exact" w:val="289"/>
        </w:trPr>
        <w:tc>
          <w:tcPr>
            <w:tcW w:w="1560" w:type="dxa"/>
            <w:tcBorders>
              <w:top w:val="nil"/>
              <w:bottom w:val="nil"/>
              <w:right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75" w:type="dxa"/>
            <w:tcBorders>
              <w:top w:val="nil"/>
              <w:left w:val="nil"/>
              <w:bottom w:val="nil"/>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2360" w:type="dxa"/>
            <w:tcBorders>
              <w:top w:val="nil"/>
              <w:left w:val="nil"/>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 xml:space="preserve">MAI, </w:t>
            </w:r>
            <w:r w:rsidRPr="00A13719">
              <w:rPr>
                <w:rFonts w:cs="Times New Roman"/>
                <w:bCs/>
                <w:sz w:val="18"/>
                <w:szCs w:val="18"/>
              </w:rPr>
              <w:t>- HML</w:t>
            </w:r>
            <w:r w:rsidRPr="00A13719">
              <w:rPr>
                <w:rFonts w:cs="Times New Roman"/>
                <w:sz w:val="18"/>
                <w:szCs w:val="18"/>
              </w:rPr>
              <w:t>, GOAG</w:t>
            </w:r>
          </w:p>
        </w:tc>
        <w:tc>
          <w:tcPr>
            <w:tcW w:w="1452" w:type="dxa"/>
            <w:tcBorders>
              <w:top w:val="nil"/>
              <w:left w:val="single" w:sz="4" w:space="0" w:color="auto"/>
              <w:bottom w:val="nil"/>
              <w:right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59" w:type="dxa"/>
            <w:tcBorders>
              <w:top w:val="nil"/>
              <w:left w:val="nil"/>
              <w:bottom w:val="nil"/>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808" w:type="dxa"/>
            <w:tcBorders>
              <w:top w:val="nil"/>
              <w:left w:val="nil"/>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COIM</w:t>
            </w:r>
          </w:p>
        </w:tc>
        <w:tc>
          <w:tcPr>
            <w:tcW w:w="1134" w:type="dxa"/>
            <w:tcBorders>
              <w:top w:val="nil"/>
              <w:left w:val="single" w:sz="4" w:space="0" w:color="auto"/>
              <w:bottom w:val="nil"/>
              <w:right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60" w:type="dxa"/>
            <w:tcBorders>
              <w:top w:val="nil"/>
              <w:left w:val="nil"/>
              <w:bottom w:val="nil"/>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984" w:type="dxa"/>
            <w:tcBorders>
              <w:top w:val="nil"/>
              <w:left w:val="nil"/>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COIM, -DVIX</w:t>
            </w:r>
          </w:p>
        </w:tc>
      </w:tr>
      <w:tr w:rsidR="00A13719" w:rsidRPr="00A13719" w:rsidTr="00916C92">
        <w:trPr>
          <w:trHeight w:hRule="exact" w:val="510"/>
        </w:trPr>
        <w:tc>
          <w:tcPr>
            <w:tcW w:w="1560" w:type="dxa"/>
            <w:tcBorders>
              <w:top w:val="nil"/>
              <w:bottom w:val="nil"/>
              <w:right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75" w:type="dxa"/>
            <w:tcBorders>
              <w:top w:val="nil"/>
              <w:left w:val="nil"/>
              <w:bottom w:val="nil"/>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0.627</w:t>
            </w:r>
          </w:p>
        </w:tc>
        <w:tc>
          <w:tcPr>
            <w:tcW w:w="2360" w:type="dxa"/>
            <w:tcBorders>
              <w:top w:val="nil"/>
              <w:left w:val="nil"/>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SMB, -TERM, MOM, HML, HML, COEN, DVIX</w:t>
            </w:r>
          </w:p>
        </w:tc>
        <w:tc>
          <w:tcPr>
            <w:tcW w:w="1452" w:type="dxa"/>
            <w:tcBorders>
              <w:top w:val="nil"/>
              <w:left w:val="single" w:sz="4" w:space="0" w:color="auto"/>
              <w:bottom w:val="nil"/>
              <w:right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59" w:type="dxa"/>
            <w:tcBorders>
              <w:top w:val="nil"/>
              <w:left w:val="nil"/>
              <w:bottom w:val="nil"/>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0.497</w:t>
            </w:r>
          </w:p>
        </w:tc>
        <w:tc>
          <w:tcPr>
            <w:tcW w:w="1808" w:type="dxa"/>
            <w:tcBorders>
              <w:top w:val="nil"/>
              <w:left w:val="nil"/>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HML, SMB, COEN</w:t>
            </w:r>
          </w:p>
        </w:tc>
        <w:tc>
          <w:tcPr>
            <w:tcW w:w="1134" w:type="dxa"/>
            <w:tcBorders>
              <w:top w:val="nil"/>
              <w:left w:val="single" w:sz="4" w:space="0" w:color="auto"/>
              <w:bottom w:val="nil"/>
              <w:right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60" w:type="dxa"/>
            <w:tcBorders>
              <w:top w:val="nil"/>
              <w:left w:val="nil"/>
              <w:bottom w:val="nil"/>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0.639</w:t>
            </w:r>
          </w:p>
        </w:tc>
        <w:tc>
          <w:tcPr>
            <w:tcW w:w="1984" w:type="dxa"/>
            <w:tcBorders>
              <w:top w:val="nil"/>
              <w:left w:val="nil"/>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SMB, HML, MOM, COPM</w:t>
            </w:r>
          </w:p>
        </w:tc>
      </w:tr>
      <w:tr w:rsidR="00A13719" w:rsidRPr="00A13719" w:rsidTr="00916C92">
        <w:trPr>
          <w:trHeight w:hRule="exact" w:val="289"/>
        </w:trPr>
        <w:tc>
          <w:tcPr>
            <w:tcW w:w="1560" w:type="dxa"/>
            <w:tcBorders>
              <w:top w:val="nil"/>
              <w:bottom w:val="single" w:sz="4" w:space="0" w:color="auto"/>
              <w:right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75" w:type="dxa"/>
            <w:tcBorders>
              <w:top w:val="nil"/>
              <w:left w:val="nil"/>
              <w:bottom w:val="single" w:sz="4" w:space="0" w:color="auto"/>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2360" w:type="dxa"/>
            <w:tcBorders>
              <w:top w:val="nil"/>
              <w:left w:val="nil"/>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SMB, -DVIX</w:t>
            </w:r>
          </w:p>
        </w:tc>
        <w:tc>
          <w:tcPr>
            <w:tcW w:w="1452" w:type="dxa"/>
            <w:tcBorders>
              <w:top w:val="nil"/>
              <w:left w:val="single" w:sz="4" w:space="0" w:color="auto"/>
              <w:bottom w:val="single" w:sz="4" w:space="0" w:color="auto"/>
              <w:right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59" w:type="dxa"/>
            <w:tcBorders>
              <w:top w:val="nil"/>
              <w:left w:val="nil"/>
              <w:bottom w:val="single" w:sz="4" w:space="0" w:color="auto"/>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808" w:type="dxa"/>
            <w:tcBorders>
              <w:top w:val="nil"/>
              <w:left w:val="nil"/>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COIM</w:t>
            </w:r>
          </w:p>
        </w:tc>
        <w:tc>
          <w:tcPr>
            <w:tcW w:w="1134" w:type="dxa"/>
            <w:tcBorders>
              <w:top w:val="nil"/>
              <w:left w:val="single" w:sz="4" w:space="0" w:color="auto"/>
              <w:bottom w:val="single" w:sz="4" w:space="0" w:color="auto"/>
              <w:right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60" w:type="dxa"/>
            <w:tcBorders>
              <w:top w:val="nil"/>
              <w:left w:val="nil"/>
              <w:bottom w:val="single" w:sz="4" w:space="0" w:color="auto"/>
              <w:right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0.578</w:t>
            </w:r>
          </w:p>
        </w:tc>
        <w:tc>
          <w:tcPr>
            <w:tcW w:w="1984" w:type="dxa"/>
            <w:tcBorders>
              <w:top w:val="nil"/>
              <w:left w:val="nil"/>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COIM, GEMI, -DVIX</w:t>
            </w:r>
          </w:p>
        </w:tc>
      </w:tr>
      <w:tr w:rsidR="00A13719" w:rsidRPr="00A13719" w:rsidTr="00916C92">
        <w:trPr>
          <w:trHeight w:hRule="exact" w:val="461"/>
        </w:trPr>
        <w:tc>
          <w:tcPr>
            <w:tcW w:w="1560" w:type="dxa"/>
            <w:tcBorders>
              <w:top w:val="single" w:sz="4" w:space="0" w:color="auto"/>
              <w:bottom w:val="single" w:sz="4" w:space="0" w:color="auto"/>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7.</w:t>
            </w:r>
            <w:r w:rsidR="00322EAF" w:rsidRPr="00A13719">
              <w:rPr>
                <w:rFonts w:cs="Times New Roman"/>
                <w:bCs/>
                <w:sz w:val="18"/>
                <w:szCs w:val="18"/>
              </w:rPr>
              <w:t xml:space="preserve"> </w:t>
            </w:r>
            <w:r w:rsidRPr="00A13719">
              <w:rPr>
                <w:rFonts w:cs="Times New Roman"/>
                <w:bCs/>
                <w:sz w:val="18"/>
                <w:szCs w:val="18"/>
              </w:rPr>
              <w:t>Others</w:t>
            </w:r>
          </w:p>
        </w:tc>
        <w:tc>
          <w:tcPr>
            <w:tcW w:w="1575" w:type="dxa"/>
            <w:tcBorders>
              <w:top w:val="single" w:sz="4" w:space="0" w:color="auto"/>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2360" w:type="dxa"/>
            <w:tcBorders>
              <w:top w:val="single" w:sz="4" w:space="0" w:color="auto"/>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c>
          <w:tcPr>
            <w:tcW w:w="1452" w:type="dxa"/>
            <w:tcBorders>
              <w:top w:val="single" w:sz="4" w:space="0" w:color="auto"/>
              <w:left w:val="single" w:sz="4" w:space="0" w:color="auto"/>
              <w:bottom w:val="single" w:sz="4" w:space="0" w:color="auto"/>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8.</w:t>
            </w:r>
            <w:r w:rsidR="00322EAF" w:rsidRPr="00A13719">
              <w:rPr>
                <w:rFonts w:cs="Times New Roman"/>
                <w:bCs/>
                <w:sz w:val="18"/>
                <w:szCs w:val="18"/>
              </w:rPr>
              <w:t xml:space="preserve"> </w:t>
            </w:r>
            <w:r w:rsidRPr="00A13719">
              <w:rPr>
                <w:rFonts w:cs="Times New Roman"/>
                <w:bCs/>
                <w:sz w:val="18"/>
                <w:szCs w:val="18"/>
              </w:rPr>
              <w:t>Global Macro</w:t>
            </w:r>
          </w:p>
        </w:tc>
        <w:tc>
          <w:tcPr>
            <w:tcW w:w="1559" w:type="dxa"/>
            <w:tcBorders>
              <w:top w:val="single" w:sz="4" w:space="0" w:color="auto"/>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1808" w:type="dxa"/>
            <w:tcBorders>
              <w:top w:val="single" w:sz="4" w:space="0" w:color="auto"/>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c>
          <w:tcPr>
            <w:tcW w:w="1134" w:type="dxa"/>
            <w:tcBorders>
              <w:top w:val="single" w:sz="4" w:space="0" w:color="auto"/>
              <w:left w:val="single" w:sz="4" w:space="0" w:color="auto"/>
              <w:bottom w:val="single" w:sz="4" w:space="0" w:color="auto"/>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9.</w:t>
            </w:r>
            <w:r w:rsidR="00322EAF" w:rsidRPr="00A13719">
              <w:rPr>
                <w:rFonts w:cs="Times New Roman"/>
                <w:bCs/>
                <w:sz w:val="18"/>
                <w:szCs w:val="18"/>
              </w:rPr>
              <w:t xml:space="preserve"> </w:t>
            </w:r>
            <w:r w:rsidRPr="00A13719">
              <w:rPr>
                <w:rFonts w:cs="Times New Roman"/>
                <w:bCs/>
                <w:sz w:val="18"/>
                <w:szCs w:val="18"/>
              </w:rPr>
              <w:t xml:space="preserve">Relative </w:t>
            </w:r>
            <w:r w:rsidR="00F615F8" w:rsidRPr="00A13719">
              <w:rPr>
                <w:rFonts w:cs="Times New Roman"/>
                <w:bCs/>
                <w:sz w:val="18"/>
                <w:szCs w:val="18"/>
              </w:rPr>
              <w:t xml:space="preserve"> </w:t>
            </w:r>
            <w:r w:rsidRPr="00A13719">
              <w:rPr>
                <w:rFonts w:cs="Times New Roman"/>
                <w:bCs/>
                <w:sz w:val="18"/>
                <w:szCs w:val="18"/>
              </w:rPr>
              <w:t>Value</w:t>
            </w:r>
          </w:p>
        </w:tc>
        <w:tc>
          <w:tcPr>
            <w:tcW w:w="1560" w:type="dxa"/>
            <w:tcBorders>
              <w:top w:val="single" w:sz="4" w:space="0" w:color="auto"/>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1984" w:type="dxa"/>
            <w:tcBorders>
              <w:top w:val="single" w:sz="4" w:space="0" w:color="auto"/>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r>
      <w:tr w:rsidR="00A13719" w:rsidRPr="00A13719" w:rsidTr="00916C92">
        <w:trPr>
          <w:trHeight w:hRule="exact" w:val="510"/>
        </w:trPr>
        <w:tc>
          <w:tcPr>
            <w:tcW w:w="1560" w:type="dxa"/>
            <w:tcBorders>
              <w:top w:val="single" w:sz="4" w:space="0" w:color="auto"/>
            </w:tcBorders>
            <w:vAlign w:val="bottom"/>
          </w:tcPr>
          <w:p w:rsidR="00ED4A1C" w:rsidRPr="00A13719" w:rsidRDefault="00824DE3" w:rsidP="00ED4A1C">
            <w:pPr>
              <w:spacing w:line="240" w:lineRule="auto"/>
              <w:rPr>
                <w:rFonts w:cs="Times New Roman"/>
                <w:sz w:val="18"/>
                <w:szCs w:val="18"/>
              </w:rPr>
            </w:pPr>
            <w:r w:rsidRPr="00A13719">
              <w:rPr>
                <w:rFonts w:cs="Times New Roman"/>
                <w:sz w:val="18"/>
                <w:szCs w:val="18"/>
              </w:rPr>
              <w:t>Expansion</w:t>
            </w:r>
          </w:p>
        </w:tc>
        <w:tc>
          <w:tcPr>
            <w:tcW w:w="1575" w:type="dxa"/>
            <w:tcBorders>
              <w:top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1.482</w:t>
            </w:r>
          </w:p>
        </w:tc>
        <w:tc>
          <w:tcPr>
            <w:tcW w:w="2360" w:type="dxa"/>
            <w:tcBorders>
              <w:top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-DEF, MAI, GEMI, MOM, -RLE</w:t>
            </w:r>
          </w:p>
        </w:tc>
        <w:tc>
          <w:tcPr>
            <w:tcW w:w="1452" w:type="dxa"/>
            <w:tcBorders>
              <w:top w:val="single" w:sz="4" w:space="0" w:color="auto"/>
              <w:left w:val="single" w:sz="4" w:space="0" w:color="auto"/>
              <w:bottom w:val="nil"/>
            </w:tcBorders>
            <w:vAlign w:val="bottom"/>
          </w:tcPr>
          <w:p w:rsidR="00ED4A1C" w:rsidRPr="00A13719" w:rsidRDefault="00824DE3" w:rsidP="00ED4A1C">
            <w:pPr>
              <w:spacing w:line="240" w:lineRule="auto"/>
              <w:rPr>
                <w:rFonts w:cs="Times New Roman"/>
                <w:sz w:val="18"/>
                <w:szCs w:val="18"/>
              </w:rPr>
            </w:pPr>
            <w:r w:rsidRPr="00A13719">
              <w:rPr>
                <w:rFonts w:cs="Times New Roman"/>
                <w:sz w:val="18"/>
                <w:szCs w:val="18"/>
              </w:rPr>
              <w:t>Expansion</w:t>
            </w:r>
          </w:p>
        </w:tc>
        <w:tc>
          <w:tcPr>
            <w:tcW w:w="1559" w:type="dxa"/>
            <w:tcBorders>
              <w:top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0.373</w:t>
            </w:r>
          </w:p>
        </w:tc>
        <w:tc>
          <w:tcPr>
            <w:tcW w:w="1808" w:type="dxa"/>
            <w:tcBorders>
              <w:top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COPM, DVIX</w:t>
            </w:r>
          </w:p>
        </w:tc>
        <w:tc>
          <w:tcPr>
            <w:tcW w:w="1134" w:type="dxa"/>
            <w:tcBorders>
              <w:top w:val="single" w:sz="4" w:space="0" w:color="auto"/>
              <w:left w:val="single" w:sz="4" w:space="0" w:color="auto"/>
              <w:bottom w:val="nil"/>
            </w:tcBorders>
            <w:vAlign w:val="bottom"/>
          </w:tcPr>
          <w:p w:rsidR="00ED4A1C" w:rsidRPr="00A13719" w:rsidRDefault="00824DE3" w:rsidP="00ED4A1C">
            <w:pPr>
              <w:spacing w:line="240" w:lineRule="auto"/>
              <w:rPr>
                <w:rFonts w:cs="Times New Roman"/>
                <w:sz w:val="18"/>
                <w:szCs w:val="18"/>
              </w:rPr>
            </w:pPr>
            <w:r w:rsidRPr="00A13719">
              <w:rPr>
                <w:rFonts w:cs="Times New Roman"/>
                <w:sz w:val="18"/>
                <w:szCs w:val="18"/>
              </w:rPr>
              <w:t>Expansion</w:t>
            </w:r>
          </w:p>
        </w:tc>
        <w:tc>
          <w:tcPr>
            <w:tcW w:w="1560" w:type="dxa"/>
            <w:tcBorders>
              <w:top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0.255</w:t>
            </w:r>
          </w:p>
        </w:tc>
        <w:tc>
          <w:tcPr>
            <w:tcW w:w="1984" w:type="dxa"/>
            <w:tcBorders>
              <w:top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TERM, SMB, HML</w:t>
            </w:r>
          </w:p>
        </w:tc>
      </w:tr>
      <w:tr w:rsidR="00A13719" w:rsidRPr="00A13719" w:rsidTr="00916C92">
        <w:trPr>
          <w:trHeight w:hRule="exact" w:val="510"/>
        </w:trPr>
        <w:tc>
          <w:tcPr>
            <w:tcW w:w="1560" w:type="dxa"/>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75"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2.081</w:t>
            </w:r>
          </w:p>
        </w:tc>
        <w:tc>
          <w:tcPr>
            <w:tcW w:w="2360" w:type="dxa"/>
            <w:tcBorders>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-TERM, SMB, GEMI, COEN</w:t>
            </w:r>
          </w:p>
        </w:tc>
        <w:tc>
          <w:tcPr>
            <w:tcW w:w="1452"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59"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808" w:type="dxa"/>
            <w:tcBorders>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TERM, COAG, -COIM, COEN</w:t>
            </w:r>
          </w:p>
        </w:tc>
        <w:tc>
          <w:tcPr>
            <w:tcW w:w="1134"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60"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984" w:type="dxa"/>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w:t>
            </w:r>
          </w:p>
        </w:tc>
      </w:tr>
      <w:tr w:rsidR="00A13719" w:rsidRPr="00A13719" w:rsidTr="00916C92">
        <w:trPr>
          <w:trHeight w:hRule="exact" w:val="510"/>
        </w:trPr>
        <w:tc>
          <w:tcPr>
            <w:tcW w:w="1560" w:type="dxa"/>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75"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1.270</w:t>
            </w:r>
          </w:p>
        </w:tc>
        <w:tc>
          <w:tcPr>
            <w:tcW w:w="2360" w:type="dxa"/>
            <w:tcBorders>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-DEF, MAI,  GEMI, -RLE</w:t>
            </w:r>
          </w:p>
        </w:tc>
        <w:tc>
          <w:tcPr>
            <w:tcW w:w="1452"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59"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0.297</w:t>
            </w:r>
          </w:p>
        </w:tc>
        <w:tc>
          <w:tcPr>
            <w:tcW w:w="1808" w:type="dxa"/>
            <w:tcBorders>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COPM, MOM, DVIX, COEN</w:t>
            </w:r>
          </w:p>
        </w:tc>
        <w:tc>
          <w:tcPr>
            <w:tcW w:w="1134"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60" w:type="dxa"/>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984" w:type="dxa"/>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DEF, MAI, TERM, HML, SMB, MOM</w:t>
            </w:r>
          </w:p>
        </w:tc>
      </w:tr>
      <w:tr w:rsidR="00A13719" w:rsidRPr="00A13719" w:rsidTr="000E1978">
        <w:trPr>
          <w:trHeight w:hRule="exact" w:val="289"/>
        </w:trPr>
        <w:tc>
          <w:tcPr>
            <w:tcW w:w="1560" w:type="dxa"/>
            <w:tcBorders>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75" w:type="dxa"/>
            <w:tcBorders>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0.743</w:t>
            </w:r>
          </w:p>
        </w:tc>
        <w:tc>
          <w:tcPr>
            <w:tcW w:w="2360" w:type="dxa"/>
            <w:tcBorders>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-EXCH, MAI</w:t>
            </w:r>
          </w:p>
        </w:tc>
        <w:tc>
          <w:tcPr>
            <w:tcW w:w="1452" w:type="dxa"/>
            <w:tcBorders>
              <w:top w:val="nil"/>
              <w:left w:val="single" w:sz="4" w:space="0" w:color="auto"/>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59" w:type="dxa"/>
            <w:tcBorders>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0.877</w:t>
            </w:r>
          </w:p>
        </w:tc>
        <w:tc>
          <w:tcPr>
            <w:tcW w:w="1808" w:type="dxa"/>
            <w:tcBorders>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-HML, MAI, COEN</w:t>
            </w:r>
          </w:p>
        </w:tc>
        <w:tc>
          <w:tcPr>
            <w:tcW w:w="1134" w:type="dxa"/>
            <w:tcBorders>
              <w:top w:val="nil"/>
              <w:left w:val="single" w:sz="4" w:space="0" w:color="auto"/>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60" w:type="dxa"/>
            <w:tcBorders>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984" w:type="dxa"/>
            <w:tcBorders>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SMB, COIM, DVIX</w:t>
            </w:r>
          </w:p>
        </w:tc>
      </w:tr>
      <w:tr w:rsidR="00A13719" w:rsidRPr="00A13719" w:rsidTr="000E1978">
        <w:trPr>
          <w:trHeight w:hRule="exact" w:val="454"/>
        </w:trPr>
        <w:tc>
          <w:tcPr>
            <w:tcW w:w="1560" w:type="dxa"/>
            <w:tcBorders>
              <w:top w:val="single" w:sz="4" w:space="0" w:color="auto"/>
              <w:bottom w:val="single" w:sz="4" w:space="0" w:color="auto"/>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10.</w:t>
            </w:r>
            <w:r w:rsidR="00322EAF" w:rsidRPr="00A13719">
              <w:rPr>
                <w:rFonts w:cs="Times New Roman"/>
                <w:bCs/>
                <w:sz w:val="18"/>
                <w:szCs w:val="18"/>
              </w:rPr>
              <w:t xml:space="preserve"> </w:t>
            </w:r>
            <w:r w:rsidRPr="00A13719">
              <w:rPr>
                <w:rFonts w:cs="Times New Roman"/>
                <w:bCs/>
                <w:sz w:val="18"/>
                <w:szCs w:val="18"/>
              </w:rPr>
              <w:t>Market Neutral</w:t>
            </w:r>
          </w:p>
        </w:tc>
        <w:tc>
          <w:tcPr>
            <w:tcW w:w="1575" w:type="dxa"/>
            <w:tcBorders>
              <w:top w:val="single" w:sz="4" w:space="0" w:color="auto"/>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2360" w:type="dxa"/>
            <w:tcBorders>
              <w:top w:val="single" w:sz="4" w:space="0" w:color="auto"/>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c>
          <w:tcPr>
            <w:tcW w:w="1452" w:type="dxa"/>
            <w:tcBorders>
              <w:top w:val="single" w:sz="4" w:space="0" w:color="auto"/>
              <w:left w:val="single" w:sz="4" w:space="0" w:color="auto"/>
              <w:bottom w:val="single" w:sz="4" w:space="0" w:color="auto"/>
            </w:tcBorders>
            <w:vAlign w:val="bottom"/>
          </w:tcPr>
          <w:p w:rsidR="00ED4A1C" w:rsidRPr="00A13719" w:rsidRDefault="00ED4A1C" w:rsidP="00ED4A1C">
            <w:pPr>
              <w:spacing w:line="240" w:lineRule="auto"/>
              <w:rPr>
                <w:rFonts w:cs="Times New Roman"/>
                <w:bCs/>
                <w:sz w:val="18"/>
                <w:szCs w:val="18"/>
              </w:rPr>
            </w:pPr>
            <w:r w:rsidRPr="00A13719">
              <w:rPr>
                <w:rFonts w:cs="Times New Roman"/>
                <w:bCs/>
                <w:sz w:val="18"/>
                <w:szCs w:val="18"/>
              </w:rPr>
              <w:t>11.</w:t>
            </w:r>
            <w:r w:rsidR="00322EAF" w:rsidRPr="00A13719">
              <w:rPr>
                <w:rFonts w:cs="Times New Roman"/>
                <w:bCs/>
                <w:sz w:val="18"/>
                <w:szCs w:val="18"/>
              </w:rPr>
              <w:t xml:space="preserve"> </w:t>
            </w:r>
            <w:r w:rsidRPr="00A13719">
              <w:rPr>
                <w:rFonts w:cs="Times New Roman"/>
                <w:bCs/>
                <w:sz w:val="18"/>
                <w:szCs w:val="18"/>
              </w:rPr>
              <w:t>CTA</w:t>
            </w:r>
          </w:p>
        </w:tc>
        <w:tc>
          <w:tcPr>
            <w:tcW w:w="1559" w:type="dxa"/>
            <w:tcBorders>
              <w:top w:val="single" w:sz="4" w:space="0" w:color="auto"/>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Significant alpha</w:t>
            </w:r>
          </w:p>
        </w:tc>
        <w:tc>
          <w:tcPr>
            <w:tcW w:w="1808" w:type="dxa"/>
            <w:tcBorders>
              <w:top w:val="single" w:sz="4" w:space="0" w:color="auto"/>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Significant Exposures</w:t>
            </w:r>
          </w:p>
        </w:tc>
        <w:tc>
          <w:tcPr>
            <w:tcW w:w="1134" w:type="dxa"/>
            <w:tcBorders>
              <w:top w:val="single" w:sz="4" w:space="0" w:color="auto"/>
              <w:left w:val="single" w:sz="4" w:space="0" w:color="auto"/>
              <w:bottom w:val="nil"/>
            </w:tcBorders>
            <w:vAlign w:val="bottom"/>
          </w:tcPr>
          <w:p w:rsidR="00ED4A1C" w:rsidRPr="00A13719" w:rsidRDefault="00ED4A1C" w:rsidP="00ED4A1C">
            <w:pPr>
              <w:spacing w:line="240" w:lineRule="auto"/>
              <w:rPr>
                <w:rFonts w:cs="Times New Roman"/>
                <w:sz w:val="18"/>
                <w:szCs w:val="18"/>
              </w:rPr>
            </w:pPr>
          </w:p>
        </w:tc>
        <w:tc>
          <w:tcPr>
            <w:tcW w:w="1560" w:type="dxa"/>
            <w:tcBorders>
              <w:top w:val="single" w:sz="4" w:space="0" w:color="auto"/>
              <w:bottom w:val="nil"/>
            </w:tcBorders>
            <w:vAlign w:val="bottom"/>
          </w:tcPr>
          <w:p w:rsidR="00ED4A1C" w:rsidRPr="00A13719" w:rsidRDefault="00ED4A1C" w:rsidP="00ED4A1C">
            <w:pPr>
              <w:spacing w:line="240" w:lineRule="auto"/>
              <w:jc w:val="center"/>
              <w:rPr>
                <w:rFonts w:cs="Times New Roman"/>
                <w:sz w:val="18"/>
                <w:szCs w:val="18"/>
              </w:rPr>
            </w:pPr>
          </w:p>
        </w:tc>
        <w:tc>
          <w:tcPr>
            <w:tcW w:w="1984" w:type="dxa"/>
            <w:tcBorders>
              <w:top w:val="single" w:sz="4" w:space="0" w:color="auto"/>
              <w:bottom w:val="nil"/>
            </w:tcBorders>
            <w:vAlign w:val="bottom"/>
          </w:tcPr>
          <w:p w:rsidR="00ED4A1C" w:rsidRPr="00A13719" w:rsidRDefault="00ED4A1C" w:rsidP="00ED4A1C">
            <w:pPr>
              <w:spacing w:line="240" w:lineRule="auto"/>
              <w:rPr>
                <w:rFonts w:cs="Times New Roman"/>
                <w:sz w:val="18"/>
                <w:szCs w:val="18"/>
              </w:rPr>
            </w:pPr>
          </w:p>
        </w:tc>
      </w:tr>
      <w:tr w:rsidR="00A13719" w:rsidRPr="00A13719" w:rsidTr="000E1978">
        <w:trPr>
          <w:trHeight w:hRule="exact" w:val="289"/>
        </w:trPr>
        <w:tc>
          <w:tcPr>
            <w:tcW w:w="1560" w:type="dxa"/>
            <w:tcBorders>
              <w:top w:val="single" w:sz="4" w:space="0" w:color="auto"/>
              <w:bottom w:val="nil"/>
            </w:tcBorders>
            <w:vAlign w:val="bottom"/>
          </w:tcPr>
          <w:p w:rsidR="00ED4A1C" w:rsidRPr="00A13719" w:rsidRDefault="00741438" w:rsidP="00ED4A1C">
            <w:pPr>
              <w:spacing w:line="240" w:lineRule="auto"/>
              <w:rPr>
                <w:rFonts w:cs="Times New Roman"/>
                <w:sz w:val="18"/>
                <w:szCs w:val="18"/>
              </w:rPr>
            </w:pPr>
            <w:r w:rsidRPr="00A13719">
              <w:rPr>
                <w:rFonts w:cs="Times New Roman"/>
                <w:sz w:val="18"/>
                <w:szCs w:val="18"/>
              </w:rPr>
              <w:t>Expansion</w:t>
            </w:r>
          </w:p>
        </w:tc>
        <w:tc>
          <w:tcPr>
            <w:tcW w:w="1575" w:type="dxa"/>
            <w:tcBorders>
              <w:top w:val="single" w:sz="4" w:space="0" w:color="auto"/>
              <w:bottom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0.524</w:t>
            </w:r>
          </w:p>
        </w:tc>
        <w:tc>
          <w:tcPr>
            <w:tcW w:w="2360" w:type="dxa"/>
            <w:tcBorders>
              <w:top w:val="single" w:sz="4" w:space="0" w:color="auto"/>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-DEF, MOM, MAI</w:t>
            </w:r>
          </w:p>
        </w:tc>
        <w:tc>
          <w:tcPr>
            <w:tcW w:w="1452" w:type="dxa"/>
            <w:tcBorders>
              <w:top w:val="single" w:sz="4" w:space="0" w:color="auto"/>
              <w:left w:val="single" w:sz="4" w:space="0" w:color="auto"/>
              <w:bottom w:val="nil"/>
            </w:tcBorders>
            <w:vAlign w:val="bottom"/>
          </w:tcPr>
          <w:p w:rsidR="00ED4A1C" w:rsidRPr="00A13719" w:rsidRDefault="00741438" w:rsidP="00ED4A1C">
            <w:pPr>
              <w:spacing w:line="240" w:lineRule="auto"/>
              <w:rPr>
                <w:rFonts w:cs="Times New Roman"/>
                <w:sz w:val="18"/>
                <w:szCs w:val="18"/>
              </w:rPr>
            </w:pPr>
            <w:r w:rsidRPr="00A13719">
              <w:rPr>
                <w:rFonts w:cs="Times New Roman"/>
                <w:sz w:val="18"/>
                <w:szCs w:val="18"/>
              </w:rPr>
              <w:t>Expansion</w:t>
            </w:r>
          </w:p>
        </w:tc>
        <w:tc>
          <w:tcPr>
            <w:tcW w:w="1559" w:type="dxa"/>
            <w:tcBorders>
              <w:top w:val="single" w:sz="4" w:space="0" w:color="auto"/>
              <w:bottom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0.817</w:t>
            </w:r>
          </w:p>
        </w:tc>
        <w:tc>
          <w:tcPr>
            <w:tcW w:w="1808" w:type="dxa"/>
            <w:tcBorders>
              <w:top w:val="single" w:sz="4" w:space="0" w:color="auto"/>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-EXCH, MOM</w:t>
            </w:r>
          </w:p>
        </w:tc>
        <w:tc>
          <w:tcPr>
            <w:tcW w:w="1134"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p>
        </w:tc>
        <w:tc>
          <w:tcPr>
            <w:tcW w:w="1560" w:type="dxa"/>
            <w:tcBorders>
              <w:top w:val="nil"/>
              <w:bottom w:val="nil"/>
            </w:tcBorders>
            <w:vAlign w:val="bottom"/>
          </w:tcPr>
          <w:p w:rsidR="00ED4A1C" w:rsidRPr="00A13719" w:rsidRDefault="00ED4A1C" w:rsidP="00ED4A1C">
            <w:pPr>
              <w:spacing w:line="240" w:lineRule="auto"/>
              <w:jc w:val="center"/>
              <w:rPr>
                <w:rFonts w:cs="Times New Roman"/>
                <w:sz w:val="18"/>
                <w:szCs w:val="18"/>
              </w:rPr>
            </w:pPr>
          </w:p>
        </w:tc>
        <w:tc>
          <w:tcPr>
            <w:tcW w:w="1984" w:type="dxa"/>
            <w:tcBorders>
              <w:top w:val="nil"/>
              <w:bottom w:val="nil"/>
            </w:tcBorders>
            <w:vAlign w:val="bottom"/>
          </w:tcPr>
          <w:p w:rsidR="00ED4A1C" w:rsidRPr="00A13719" w:rsidRDefault="00ED4A1C" w:rsidP="00ED4A1C">
            <w:pPr>
              <w:spacing w:line="240" w:lineRule="auto"/>
              <w:rPr>
                <w:rFonts w:cs="Times New Roman"/>
                <w:sz w:val="18"/>
                <w:szCs w:val="18"/>
              </w:rPr>
            </w:pPr>
          </w:p>
        </w:tc>
      </w:tr>
      <w:tr w:rsidR="00A13719" w:rsidRPr="00A13719" w:rsidTr="00916C92">
        <w:trPr>
          <w:trHeight w:hRule="exact" w:val="289"/>
        </w:trPr>
        <w:tc>
          <w:tcPr>
            <w:tcW w:w="1560" w:type="dxa"/>
            <w:tcBorders>
              <w:top w:val="nil"/>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75" w:type="dxa"/>
            <w:tcBorders>
              <w:top w:val="nil"/>
              <w:bottom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2360" w:type="dxa"/>
            <w:tcBorders>
              <w:top w:val="nil"/>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GOAG, MOM</w:t>
            </w:r>
          </w:p>
        </w:tc>
        <w:tc>
          <w:tcPr>
            <w:tcW w:w="1452"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Recession</w:t>
            </w:r>
          </w:p>
        </w:tc>
        <w:tc>
          <w:tcPr>
            <w:tcW w:w="1559" w:type="dxa"/>
            <w:tcBorders>
              <w:top w:val="nil"/>
              <w:bottom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808" w:type="dxa"/>
            <w:tcBorders>
              <w:top w:val="nil"/>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COEN</w:t>
            </w:r>
          </w:p>
        </w:tc>
        <w:tc>
          <w:tcPr>
            <w:tcW w:w="1134"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p>
        </w:tc>
        <w:tc>
          <w:tcPr>
            <w:tcW w:w="1560" w:type="dxa"/>
            <w:tcBorders>
              <w:top w:val="nil"/>
              <w:bottom w:val="nil"/>
            </w:tcBorders>
            <w:vAlign w:val="bottom"/>
          </w:tcPr>
          <w:p w:rsidR="00ED4A1C" w:rsidRPr="00A13719" w:rsidRDefault="00ED4A1C" w:rsidP="00ED4A1C">
            <w:pPr>
              <w:spacing w:line="240" w:lineRule="auto"/>
              <w:jc w:val="center"/>
              <w:rPr>
                <w:rFonts w:cs="Times New Roman"/>
                <w:sz w:val="18"/>
                <w:szCs w:val="18"/>
              </w:rPr>
            </w:pPr>
          </w:p>
        </w:tc>
        <w:tc>
          <w:tcPr>
            <w:tcW w:w="1984" w:type="dxa"/>
            <w:tcBorders>
              <w:top w:val="nil"/>
              <w:bottom w:val="nil"/>
            </w:tcBorders>
            <w:vAlign w:val="bottom"/>
          </w:tcPr>
          <w:p w:rsidR="00ED4A1C" w:rsidRPr="00A13719" w:rsidRDefault="00ED4A1C" w:rsidP="00ED4A1C">
            <w:pPr>
              <w:spacing w:line="240" w:lineRule="auto"/>
              <w:rPr>
                <w:rFonts w:cs="Times New Roman"/>
                <w:sz w:val="18"/>
                <w:szCs w:val="18"/>
              </w:rPr>
            </w:pPr>
          </w:p>
        </w:tc>
      </w:tr>
      <w:tr w:rsidR="00A13719" w:rsidRPr="00A13719" w:rsidTr="00916C92">
        <w:trPr>
          <w:trHeight w:hRule="exact" w:val="289"/>
        </w:trPr>
        <w:tc>
          <w:tcPr>
            <w:tcW w:w="1560" w:type="dxa"/>
            <w:tcBorders>
              <w:top w:val="nil"/>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75" w:type="dxa"/>
            <w:tcBorders>
              <w:top w:val="nil"/>
              <w:bottom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0.153</w:t>
            </w:r>
          </w:p>
        </w:tc>
        <w:tc>
          <w:tcPr>
            <w:tcW w:w="2360" w:type="dxa"/>
            <w:tcBorders>
              <w:top w:val="nil"/>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MOM, HML</w:t>
            </w:r>
          </w:p>
        </w:tc>
        <w:tc>
          <w:tcPr>
            <w:tcW w:w="1452"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Up</w:t>
            </w:r>
          </w:p>
        </w:tc>
        <w:tc>
          <w:tcPr>
            <w:tcW w:w="1559" w:type="dxa"/>
            <w:tcBorders>
              <w:top w:val="nil"/>
              <w:bottom w:val="nil"/>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0.831</w:t>
            </w:r>
          </w:p>
        </w:tc>
        <w:tc>
          <w:tcPr>
            <w:tcW w:w="1808" w:type="dxa"/>
            <w:tcBorders>
              <w:top w:val="nil"/>
              <w:bottom w:val="nil"/>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COPM</w:t>
            </w:r>
          </w:p>
        </w:tc>
        <w:tc>
          <w:tcPr>
            <w:tcW w:w="1134" w:type="dxa"/>
            <w:tcBorders>
              <w:top w:val="nil"/>
              <w:left w:val="single" w:sz="4" w:space="0" w:color="auto"/>
              <w:bottom w:val="nil"/>
            </w:tcBorders>
            <w:vAlign w:val="bottom"/>
          </w:tcPr>
          <w:p w:rsidR="00ED4A1C" w:rsidRPr="00A13719" w:rsidRDefault="00ED4A1C" w:rsidP="00ED4A1C">
            <w:pPr>
              <w:spacing w:line="240" w:lineRule="auto"/>
              <w:rPr>
                <w:rFonts w:cs="Times New Roman"/>
                <w:sz w:val="18"/>
                <w:szCs w:val="18"/>
              </w:rPr>
            </w:pPr>
          </w:p>
        </w:tc>
        <w:tc>
          <w:tcPr>
            <w:tcW w:w="1560" w:type="dxa"/>
            <w:tcBorders>
              <w:top w:val="nil"/>
              <w:bottom w:val="nil"/>
            </w:tcBorders>
            <w:vAlign w:val="bottom"/>
          </w:tcPr>
          <w:p w:rsidR="00ED4A1C" w:rsidRPr="00A13719" w:rsidRDefault="00ED4A1C" w:rsidP="00ED4A1C">
            <w:pPr>
              <w:spacing w:line="240" w:lineRule="auto"/>
              <w:jc w:val="center"/>
              <w:rPr>
                <w:rFonts w:cs="Times New Roman"/>
                <w:sz w:val="18"/>
                <w:szCs w:val="18"/>
              </w:rPr>
            </w:pPr>
          </w:p>
        </w:tc>
        <w:tc>
          <w:tcPr>
            <w:tcW w:w="1984" w:type="dxa"/>
            <w:tcBorders>
              <w:top w:val="nil"/>
              <w:bottom w:val="nil"/>
            </w:tcBorders>
            <w:vAlign w:val="bottom"/>
          </w:tcPr>
          <w:p w:rsidR="00ED4A1C" w:rsidRPr="00A13719" w:rsidRDefault="00ED4A1C" w:rsidP="00ED4A1C">
            <w:pPr>
              <w:spacing w:line="240" w:lineRule="auto"/>
              <w:rPr>
                <w:rFonts w:cs="Times New Roman"/>
                <w:sz w:val="18"/>
                <w:szCs w:val="18"/>
              </w:rPr>
            </w:pPr>
          </w:p>
        </w:tc>
      </w:tr>
      <w:tr w:rsidR="00A13719" w:rsidRPr="00A13719" w:rsidTr="00916C92">
        <w:trPr>
          <w:trHeight w:hRule="exact" w:val="289"/>
        </w:trPr>
        <w:tc>
          <w:tcPr>
            <w:tcW w:w="1560" w:type="dxa"/>
            <w:tcBorders>
              <w:top w:val="nil"/>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75" w:type="dxa"/>
            <w:tcBorders>
              <w:top w:val="nil"/>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2360" w:type="dxa"/>
            <w:tcBorders>
              <w:top w:val="nil"/>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MOM, -HML, COAG</w:t>
            </w:r>
          </w:p>
        </w:tc>
        <w:tc>
          <w:tcPr>
            <w:tcW w:w="1452" w:type="dxa"/>
            <w:tcBorders>
              <w:top w:val="nil"/>
              <w:left w:val="single" w:sz="4" w:space="0" w:color="auto"/>
              <w:bottom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Down</w:t>
            </w:r>
          </w:p>
        </w:tc>
        <w:tc>
          <w:tcPr>
            <w:tcW w:w="1559" w:type="dxa"/>
            <w:tcBorders>
              <w:top w:val="nil"/>
              <w:bottom w:val="single" w:sz="4" w:space="0" w:color="auto"/>
            </w:tcBorders>
            <w:vAlign w:val="bottom"/>
          </w:tcPr>
          <w:p w:rsidR="00ED4A1C" w:rsidRPr="00A13719" w:rsidRDefault="00ED4A1C" w:rsidP="00ED4A1C">
            <w:pPr>
              <w:spacing w:line="240" w:lineRule="auto"/>
              <w:jc w:val="center"/>
              <w:rPr>
                <w:rFonts w:cs="Times New Roman"/>
                <w:sz w:val="18"/>
                <w:szCs w:val="18"/>
              </w:rPr>
            </w:pPr>
            <w:r w:rsidRPr="00A13719">
              <w:rPr>
                <w:rFonts w:cs="Times New Roman"/>
                <w:sz w:val="18"/>
                <w:szCs w:val="18"/>
              </w:rPr>
              <w:t>-</w:t>
            </w:r>
          </w:p>
        </w:tc>
        <w:tc>
          <w:tcPr>
            <w:tcW w:w="1808" w:type="dxa"/>
            <w:tcBorders>
              <w:top w:val="nil"/>
              <w:bottom w:val="single" w:sz="4" w:space="0" w:color="auto"/>
              <w:right w:val="single" w:sz="4" w:space="0" w:color="auto"/>
            </w:tcBorders>
            <w:vAlign w:val="bottom"/>
          </w:tcPr>
          <w:p w:rsidR="00ED4A1C" w:rsidRPr="00A13719" w:rsidRDefault="00ED4A1C" w:rsidP="00ED4A1C">
            <w:pPr>
              <w:spacing w:line="240" w:lineRule="auto"/>
              <w:rPr>
                <w:rFonts w:cs="Times New Roman"/>
                <w:sz w:val="18"/>
                <w:szCs w:val="18"/>
              </w:rPr>
            </w:pPr>
            <w:r w:rsidRPr="00A13719">
              <w:rPr>
                <w:rFonts w:cs="Times New Roman"/>
                <w:sz w:val="18"/>
                <w:szCs w:val="18"/>
              </w:rPr>
              <w:t>-MAI, COEN</w:t>
            </w:r>
          </w:p>
        </w:tc>
        <w:tc>
          <w:tcPr>
            <w:tcW w:w="1134" w:type="dxa"/>
            <w:tcBorders>
              <w:top w:val="nil"/>
              <w:left w:val="single" w:sz="4" w:space="0" w:color="auto"/>
              <w:bottom w:val="single" w:sz="4" w:space="0" w:color="auto"/>
            </w:tcBorders>
            <w:vAlign w:val="bottom"/>
          </w:tcPr>
          <w:p w:rsidR="00ED4A1C" w:rsidRPr="00A13719" w:rsidRDefault="00ED4A1C" w:rsidP="00ED4A1C">
            <w:pPr>
              <w:spacing w:line="240" w:lineRule="auto"/>
              <w:rPr>
                <w:rFonts w:cs="Times New Roman"/>
                <w:sz w:val="18"/>
                <w:szCs w:val="18"/>
              </w:rPr>
            </w:pPr>
          </w:p>
        </w:tc>
        <w:tc>
          <w:tcPr>
            <w:tcW w:w="1560" w:type="dxa"/>
            <w:tcBorders>
              <w:top w:val="nil"/>
              <w:bottom w:val="single" w:sz="4" w:space="0" w:color="auto"/>
            </w:tcBorders>
            <w:vAlign w:val="bottom"/>
          </w:tcPr>
          <w:p w:rsidR="00ED4A1C" w:rsidRPr="00A13719" w:rsidRDefault="00ED4A1C" w:rsidP="00ED4A1C">
            <w:pPr>
              <w:spacing w:line="240" w:lineRule="auto"/>
              <w:jc w:val="center"/>
              <w:rPr>
                <w:rFonts w:cs="Times New Roman"/>
                <w:sz w:val="18"/>
                <w:szCs w:val="18"/>
              </w:rPr>
            </w:pPr>
          </w:p>
        </w:tc>
        <w:tc>
          <w:tcPr>
            <w:tcW w:w="1984" w:type="dxa"/>
            <w:tcBorders>
              <w:top w:val="nil"/>
              <w:bottom w:val="single" w:sz="4" w:space="0" w:color="auto"/>
            </w:tcBorders>
            <w:vAlign w:val="bottom"/>
          </w:tcPr>
          <w:p w:rsidR="00ED4A1C" w:rsidRPr="00A13719" w:rsidRDefault="00ED4A1C" w:rsidP="00ED4A1C">
            <w:pPr>
              <w:spacing w:line="240" w:lineRule="auto"/>
              <w:rPr>
                <w:rFonts w:cs="Times New Roman"/>
                <w:sz w:val="18"/>
                <w:szCs w:val="18"/>
              </w:rPr>
            </w:pPr>
          </w:p>
        </w:tc>
      </w:tr>
    </w:tbl>
    <w:p w:rsidR="005E518B" w:rsidRPr="00A13719" w:rsidRDefault="00ED4A1C" w:rsidP="00526174">
      <w:pPr>
        <w:spacing w:after="0"/>
        <w:jc w:val="both"/>
        <w:rPr>
          <w:sz w:val="18"/>
          <w:szCs w:val="18"/>
          <w:lang w:val="en-US"/>
        </w:rPr>
      </w:pPr>
      <w:r w:rsidRPr="00A13719">
        <w:rPr>
          <w:sz w:val="18"/>
          <w:szCs w:val="18"/>
          <w:lang w:val="en-US"/>
        </w:rPr>
        <w:t xml:space="preserve"> </w:t>
      </w:r>
      <w:r w:rsidR="00F36BAF" w:rsidRPr="00A13719">
        <w:rPr>
          <w:sz w:val="18"/>
          <w:szCs w:val="18"/>
          <w:lang w:val="en-US"/>
        </w:rPr>
        <w:t xml:space="preserve">This table </w:t>
      </w:r>
      <w:r w:rsidR="006B6891" w:rsidRPr="00A13719">
        <w:rPr>
          <w:sz w:val="18"/>
          <w:szCs w:val="18"/>
          <w:lang w:val="en-US"/>
        </w:rPr>
        <w:t xml:space="preserve">is </w:t>
      </w:r>
      <w:r w:rsidR="00996223" w:rsidRPr="00A13719">
        <w:rPr>
          <w:sz w:val="18"/>
          <w:szCs w:val="18"/>
          <w:lang w:val="en-US"/>
        </w:rPr>
        <w:t>a summary of T</w:t>
      </w:r>
      <w:r w:rsidR="00AA34A3" w:rsidRPr="00A13719">
        <w:rPr>
          <w:sz w:val="18"/>
          <w:szCs w:val="18"/>
          <w:lang w:val="en-US"/>
        </w:rPr>
        <w:t xml:space="preserve">ables </w:t>
      </w:r>
      <w:r w:rsidR="00990621" w:rsidRPr="00A13719">
        <w:rPr>
          <w:sz w:val="18"/>
          <w:szCs w:val="18"/>
          <w:lang w:val="en-US"/>
        </w:rPr>
        <w:t>3</w:t>
      </w:r>
      <w:r w:rsidR="00AA34A3" w:rsidRPr="00A13719">
        <w:rPr>
          <w:sz w:val="18"/>
          <w:szCs w:val="18"/>
          <w:lang w:val="en-US"/>
        </w:rPr>
        <w:t xml:space="preserve">, </w:t>
      </w:r>
      <w:r w:rsidR="00990621" w:rsidRPr="00A13719">
        <w:rPr>
          <w:sz w:val="18"/>
          <w:szCs w:val="18"/>
          <w:lang w:val="en-US"/>
        </w:rPr>
        <w:t>4</w:t>
      </w:r>
      <w:r w:rsidR="00AA34A3" w:rsidRPr="00A13719">
        <w:rPr>
          <w:sz w:val="18"/>
          <w:szCs w:val="18"/>
          <w:lang w:val="en-US"/>
        </w:rPr>
        <w:t xml:space="preserve">, </w:t>
      </w:r>
      <w:r w:rsidR="00990621" w:rsidRPr="00A13719">
        <w:rPr>
          <w:sz w:val="18"/>
          <w:szCs w:val="18"/>
          <w:lang w:val="en-US"/>
        </w:rPr>
        <w:t>5</w:t>
      </w:r>
      <w:r w:rsidR="00AA34A3" w:rsidRPr="00A13719">
        <w:rPr>
          <w:sz w:val="18"/>
          <w:szCs w:val="18"/>
          <w:lang w:val="en-US"/>
        </w:rPr>
        <w:t xml:space="preserve">, and </w:t>
      </w:r>
      <w:r w:rsidR="00990621" w:rsidRPr="00A13719">
        <w:rPr>
          <w:sz w:val="18"/>
          <w:szCs w:val="18"/>
          <w:lang w:val="en-US"/>
        </w:rPr>
        <w:t>6</w:t>
      </w:r>
      <w:r w:rsidR="00D46AF0" w:rsidRPr="00A13719">
        <w:rPr>
          <w:sz w:val="18"/>
          <w:szCs w:val="18"/>
          <w:lang w:val="en-US"/>
        </w:rPr>
        <w:t>.</w:t>
      </w:r>
      <w:r w:rsidR="00AA34A3" w:rsidRPr="00A13719">
        <w:rPr>
          <w:lang w:val="en-US"/>
        </w:rPr>
        <w:t xml:space="preserve"> </w:t>
      </w:r>
      <w:r w:rsidR="00D46AF0" w:rsidRPr="00A13719">
        <w:rPr>
          <w:sz w:val="18"/>
          <w:szCs w:val="18"/>
          <w:lang w:val="en-US"/>
        </w:rPr>
        <w:t>It s</w:t>
      </w:r>
      <w:r w:rsidR="00F36BAF" w:rsidRPr="00A13719">
        <w:rPr>
          <w:sz w:val="18"/>
          <w:szCs w:val="18"/>
          <w:lang w:val="en-US"/>
        </w:rPr>
        <w:t xml:space="preserve">hows the exposures of our multi-factor model </w:t>
      </w:r>
      <w:r w:rsidR="00E64ADE" w:rsidRPr="00A13719">
        <w:rPr>
          <w:sz w:val="18"/>
          <w:szCs w:val="18"/>
          <w:lang w:val="en-US"/>
        </w:rPr>
        <w:t xml:space="preserve">for all </w:t>
      </w:r>
      <w:r w:rsidR="00B56004" w:rsidRPr="00A13719">
        <w:rPr>
          <w:sz w:val="18"/>
          <w:szCs w:val="18"/>
          <w:lang w:val="en-US"/>
        </w:rPr>
        <w:t>HF</w:t>
      </w:r>
      <w:r w:rsidR="00E64ADE" w:rsidRPr="00A13719">
        <w:rPr>
          <w:sz w:val="18"/>
          <w:szCs w:val="18"/>
          <w:lang w:val="en-US"/>
        </w:rPr>
        <w:t xml:space="preserve"> strategies across all market conditions</w:t>
      </w:r>
      <w:r w:rsidR="00AA34A3" w:rsidRPr="00A13719">
        <w:rPr>
          <w:sz w:val="18"/>
          <w:szCs w:val="18"/>
          <w:lang w:val="en-US"/>
        </w:rPr>
        <w:t xml:space="preserve">. </w:t>
      </w:r>
      <w:r w:rsidR="000D15AD" w:rsidRPr="00A13719">
        <w:rPr>
          <w:sz w:val="18"/>
          <w:szCs w:val="18"/>
          <w:lang w:val="en-US"/>
        </w:rPr>
        <w:t xml:space="preserve">The up-left </w:t>
      </w:r>
      <w:r w:rsidR="00E25FD6" w:rsidRPr="00A13719">
        <w:rPr>
          <w:sz w:val="18"/>
          <w:szCs w:val="18"/>
          <w:lang w:val="en-US"/>
        </w:rPr>
        <w:t>side contains</w:t>
      </w:r>
      <w:r w:rsidR="000D15AD" w:rsidRPr="00A13719">
        <w:rPr>
          <w:sz w:val="18"/>
          <w:szCs w:val="18"/>
          <w:lang w:val="en-US"/>
        </w:rPr>
        <w:t xml:space="preserve"> more directional strategies whereas the down-right </w:t>
      </w:r>
      <w:r w:rsidR="00E25FD6" w:rsidRPr="00A13719">
        <w:rPr>
          <w:sz w:val="18"/>
          <w:szCs w:val="18"/>
          <w:lang w:val="en-US"/>
        </w:rPr>
        <w:t>side contains</w:t>
      </w:r>
      <w:r w:rsidR="000D15AD" w:rsidRPr="00A13719">
        <w:rPr>
          <w:sz w:val="18"/>
          <w:szCs w:val="18"/>
          <w:lang w:val="en-US"/>
        </w:rPr>
        <w:t xml:space="preserve"> </w:t>
      </w:r>
      <w:r w:rsidR="00F36293" w:rsidRPr="00A13719">
        <w:rPr>
          <w:sz w:val="18"/>
          <w:szCs w:val="18"/>
          <w:lang w:val="en-US"/>
        </w:rPr>
        <w:t>more non-</w:t>
      </w:r>
      <w:r w:rsidR="000D15AD" w:rsidRPr="00A13719">
        <w:rPr>
          <w:sz w:val="18"/>
          <w:szCs w:val="18"/>
          <w:lang w:val="en-US"/>
        </w:rPr>
        <w:t xml:space="preserve">directional strategies. </w:t>
      </w:r>
      <w:r w:rsidR="00A719AA" w:rsidRPr="00A13719">
        <w:rPr>
          <w:sz w:val="18"/>
          <w:szCs w:val="18"/>
          <w:lang w:val="en-US"/>
        </w:rPr>
        <w:t xml:space="preserve">The exposures (in each strategy and according to each market condition) are presented </w:t>
      </w:r>
      <w:r w:rsidR="00D95ADD" w:rsidRPr="00A13719">
        <w:rPr>
          <w:sz w:val="18"/>
          <w:szCs w:val="18"/>
          <w:lang w:val="en-US"/>
        </w:rPr>
        <w:t>according to their importance (the intensity in absolute terms) from left (more intense) to the right (less intense).</w:t>
      </w:r>
      <w:r w:rsidR="00D125BC" w:rsidRPr="00A13719">
        <w:rPr>
          <w:sz w:val="18"/>
          <w:szCs w:val="18"/>
          <w:lang w:val="en-US"/>
        </w:rPr>
        <w:t xml:space="preserve"> In order to facilitate the reader we mention again the acronyms of the factors: </w:t>
      </w:r>
      <w:r w:rsidR="00B96895" w:rsidRPr="00A13719">
        <w:rPr>
          <w:sz w:val="18"/>
          <w:szCs w:val="18"/>
          <w:lang w:val="en-US"/>
        </w:rPr>
        <w:t xml:space="preserve">COAG: Commodity Agriculture/Food, COEN: Commodity Energy, COIM: Commodity Industrial Metals, COPM: Commodity Precious Metals, DEF: Default Spread, TERM: Term Spread, DVIX: Change in VIX, EXCH: Exchange Rate, HML: High minus Low, GEMI: Global Market Index excluding U.S. </w:t>
      </w:r>
      <w:r w:rsidR="005E518B" w:rsidRPr="00A13719">
        <w:rPr>
          <w:sz w:val="18"/>
          <w:szCs w:val="18"/>
          <w:lang w:val="en-US"/>
        </w:rPr>
        <w:t xml:space="preserve">MAI: Market Index, MOM: Momentum, </w:t>
      </w:r>
      <w:r w:rsidR="00B96895" w:rsidRPr="00A13719">
        <w:rPr>
          <w:sz w:val="18"/>
          <w:szCs w:val="18"/>
          <w:lang w:val="en-US"/>
        </w:rPr>
        <w:t xml:space="preserve">RLE: Real Estate Index, </w:t>
      </w:r>
      <w:r w:rsidR="005E518B" w:rsidRPr="00A13719">
        <w:rPr>
          <w:sz w:val="18"/>
          <w:szCs w:val="18"/>
          <w:lang w:val="en-US"/>
        </w:rPr>
        <w:t>SMB: Small minus</w:t>
      </w:r>
      <w:r w:rsidR="00B96895" w:rsidRPr="00A13719">
        <w:rPr>
          <w:sz w:val="18"/>
          <w:szCs w:val="18"/>
          <w:lang w:val="en-US"/>
        </w:rPr>
        <w:t xml:space="preserve"> Big.</w:t>
      </w:r>
    </w:p>
    <w:p w:rsidR="00526174" w:rsidRPr="00A13719" w:rsidRDefault="00526174" w:rsidP="00B670B0">
      <w:pPr>
        <w:spacing w:after="0"/>
        <w:jc w:val="both"/>
        <w:rPr>
          <w:lang w:val="en-US"/>
        </w:rPr>
        <w:sectPr w:rsidR="00526174" w:rsidRPr="00A13719" w:rsidSect="00D00ED2">
          <w:pgSz w:w="16838" w:h="11906" w:orient="landscape"/>
          <w:pgMar w:top="737" w:right="1134" w:bottom="680" w:left="1134" w:header="709" w:footer="567" w:gutter="0"/>
          <w:cols w:space="708"/>
          <w:titlePg/>
          <w:docGrid w:linePitch="360"/>
        </w:sectPr>
      </w:pPr>
    </w:p>
    <w:p w:rsidR="004F3650" w:rsidRPr="00A13719" w:rsidRDefault="004F3650" w:rsidP="00F60BEB">
      <w:pPr>
        <w:jc w:val="both"/>
        <w:rPr>
          <w:lang w:val="en-US"/>
        </w:rPr>
      </w:pPr>
      <w:r w:rsidRPr="00A13719">
        <w:rPr>
          <w:b/>
          <w:lang w:val="en-US"/>
        </w:rPr>
        <w:lastRenderedPageBreak/>
        <w:t>Exposure Analysis</w:t>
      </w:r>
    </w:p>
    <w:p w:rsidR="002B6590" w:rsidRPr="00A13719" w:rsidRDefault="004F3650" w:rsidP="004F3650">
      <w:pPr>
        <w:jc w:val="both"/>
        <w:rPr>
          <w:lang w:val="en-US"/>
        </w:rPr>
      </w:pPr>
      <w:r w:rsidRPr="00A13719">
        <w:rPr>
          <w:lang w:val="en-US"/>
        </w:rPr>
        <w:t xml:space="preserve">Table </w:t>
      </w:r>
      <w:r w:rsidR="00990621" w:rsidRPr="00A13719">
        <w:rPr>
          <w:lang w:val="en-US"/>
        </w:rPr>
        <w:t>8</w:t>
      </w:r>
      <w:r w:rsidR="00A83CF2" w:rsidRPr="00A13719">
        <w:rPr>
          <w:lang w:val="en-US"/>
        </w:rPr>
        <w:t>, panel A</w:t>
      </w:r>
      <w:r w:rsidR="00AE0277" w:rsidRPr="00A13719">
        <w:rPr>
          <w:lang w:val="en-US"/>
        </w:rPr>
        <w:t xml:space="preserve"> </w:t>
      </w:r>
      <w:r w:rsidRPr="00A13719">
        <w:rPr>
          <w:lang w:val="en-US"/>
        </w:rPr>
        <w:t>present</w:t>
      </w:r>
      <w:r w:rsidR="00AE0277" w:rsidRPr="00A13719">
        <w:rPr>
          <w:lang w:val="en-US"/>
        </w:rPr>
        <w:t>s</w:t>
      </w:r>
      <w:r w:rsidRPr="00A13719">
        <w:rPr>
          <w:lang w:val="en-US"/>
        </w:rPr>
        <w:t xml:space="preserve"> the MAI exposure changes for all </w:t>
      </w:r>
      <w:r w:rsidR="00B56004" w:rsidRPr="00A13719">
        <w:rPr>
          <w:rFonts w:eastAsiaTheme="minorEastAsia"/>
          <w:lang w:val="en-US"/>
        </w:rPr>
        <w:t>HF</w:t>
      </w:r>
      <w:r w:rsidR="00B56004" w:rsidRPr="00A13719">
        <w:rPr>
          <w:lang w:val="en-US"/>
        </w:rPr>
        <w:t xml:space="preserve"> </w:t>
      </w:r>
      <w:r w:rsidRPr="00A13719">
        <w:rPr>
          <w:lang w:val="en-US"/>
        </w:rPr>
        <w:t>strategies</w:t>
      </w:r>
      <w:r w:rsidR="00A944F2" w:rsidRPr="00A13719">
        <w:rPr>
          <w:lang w:val="en-US"/>
        </w:rPr>
        <w:t>,</w:t>
      </w:r>
      <w:r w:rsidRPr="00A13719">
        <w:rPr>
          <w:lang w:val="en-US"/>
        </w:rPr>
        <w:t xml:space="preserve"> </w:t>
      </w:r>
      <w:r w:rsidR="000620DE" w:rsidRPr="00A13719">
        <w:rPr>
          <w:lang w:val="en-US"/>
        </w:rPr>
        <w:t xml:space="preserve">comparing </w:t>
      </w:r>
      <w:r w:rsidR="00741438" w:rsidRPr="00A13719">
        <w:rPr>
          <w:lang w:val="en-US"/>
        </w:rPr>
        <w:t>expansion</w:t>
      </w:r>
      <w:r w:rsidR="000620DE" w:rsidRPr="00A13719">
        <w:rPr>
          <w:lang w:val="en-US"/>
        </w:rPr>
        <w:t xml:space="preserve"> to </w:t>
      </w:r>
      <w:r w:rsidRPr="00A13719">
        <w:rPr>
          <w:lang w:val="en-US"/>
        </w:rPr>
        <w:t>recession periods</w:t>
      </w:r>
      <w:r w:rsidR="00D81854" w:rsidRPr="00A13719">
        <w:rPr>
          <w:lang w:val="en-US"/>
        </w:rPr>
        <w:t xml:space="preserve"> and</w:t>
      </w:r>
      <w:r w:rsidRPr="00A13719">
        <w:rPr>
          <w:lang w:val="en-US"/>
        </w:rPr>
        <w:t xml:space="preserve"> up</w:t>
      </w:r>
      <w:r w:rsidR="000620DE" w:rsidRPr="00A13719">
        <w:rPr>
          <w:lang w:val="en-US"/>
        </w:rPr>
        <w:t xml:space="preserve"> regimes to </w:t>
      </w:r>
      <w:r w:rsidRPr="00A13719">
        <w:rPr>
          <w:lang w:val="en-US"/>
        </w:rPr>
        <w:t xml:space="preserve">down regimes. Almost all </w:t>
      </w:r>
      <w:r w:rsidR="00B56004" w:rsidRPr="00A13719">
        <w:rPr>
          <w:rFonts w:eastAsiaTheme="minorEastAsia"/>
          <w:lang w:val="en-US"/>
        </w:rPr>
        <w:t>HF</w:t>
      </w:r>
      <w:r w:rsidR="00B56004" w:rsidRPr="00A13719">
        <w:rPr>
          <w:lang w:val="en-US"/>
        </w:rPr>
        <w:t xml:space="preserve"> </w:t>
      </w:r>
      <w:r w:rsidRPr="00A13719">
        <w:rPr>
          <w:lang w:val="en-US"/>
        </w:rPr>
        <w:t xml:space="preserve">strategies have low or negative exposures </w:t>
      </w:r>
      <w:r w:rsidR="00AE0277" w:rsidRPr="00A13719">
        <w:rPr>
          <w:lang w:val="en-US"/>
        </w:rPr>
        <w:t xml:space="preserve">during </w:t>
      </w:r>
      <w:r w:rsidR="00CA3FF0" w:rsidRPr="00A13719">
        <w:rPr>
          <w:lang w:val="en-US"/>
        </w:rPr>
        <w:t>stressful market conditions</w:t>
      </w:r>
      <w:r w:rsidR="00AB1427" w:rsidRPr="00A13719">
        <w:rPr>
          <w:lang w:val="en-US"/>
        </w:rPr>
        <w:t xml:space="preserve"> as fund managers try to minimize their risk</w:t>
      </w:r>
      <w:r w:rsidRPr="00A13719">
        <w:rPr>
          <w:lang w:val="en-US"/>
        </w:rPr>
        <w:t xml:space="preserve">. </w:t>
      </w:r>
      <w:r w:rsidR="004F49EE" w:rsidRPr="00A13719">
        <w:rPr>
          <w:lang w:val="en-US"/>
        </w:rPr>
        <w:t xml:space="preserve">A few of them do not even have significant market exposure. </w:t>
      </w:r>
      <w:r w:rsidRPr="00A13719">
        <w:rPr>
          <w:lang w:val="en-US"/>
        </w:rPr>
        <w:t>Th</w:t>
      </w:r>
      <w:r w:rsidR="004F49EE" w:rsidRPr="00A13719">
        <w:rPr>
          <w:lang w:val="en-US"/>
        </w:rPr>
        <w:t>ese</w:t>
      </w:r>
      <w:r w:rsidRPr="00A13719">
        <w:rPr>
          <w:lang w:val="en-US"/>
        </w:rPr>
        <w:t xml:space="preserve"> </w:t>
      </w:r>
      <w:r w:rsidR="000A0511" w:rsidRPr="00A13719">
        <w:rPr>
          <w:lang w:val="en-US"/>
        </w:rPr>
        <w:t xml:space="preserve">results </w:t>
      </w:r>
      <w:r w:rsidRPr="00A13719">
        <w:rPr>
          <w:lang w:val="en-US"/>
        </w:rPr>
        <w:t xml:space="preserve">suggest that fund managers are able to hedge market exposures </w:t>
      </w:r>
      <w:r w:rsidR="000620DE" w:rsidRPr="00A13719">
        <w:rPr>
          <w:lang w:val="en-US"/>
        </w:rPr>
        <w:t>at such times</w:t>
      </w:r>
      <w:r w:rsidRPr="00A13719">
        <w:rPr>
          <w:lang w:val="en-US"/>
        </w:rPr>
        <w:t>. Co</w:t>
      </w:r>
      <w:r w:rsidR="000620DE" w:rsidRPr="00A13719">
        <w:rPr>
          <w:lang w:val="en-US"/>
        </w:rPr>
        <w:t xml:space="preserve">mparing </w:t>
      </w:r>
      <w:r w:rsidR="00741438" w:rsidRPr="00A13719">
        <w:rPr>
          <w:lang w:val="en-US"/>
        </w:rPr>
        <w:t xml:space="preserve">expansion </w:t>
      </w:r>
      <w:r w:rsidR="000620DE" w:rsidRPr="00A13719">
        <w:rPr>
          <w:lang w:val="en-US"/>
        </w:rPr>
        <w:t xml:space="preserve">to </w:t>
      </w:r>
      <w:r w:rsidRPr="00A13719">
        <w:rPr>
          <w:lang w:val="en-US"/>
        </w:rPr>
        <w:t xml:space="preserve">recession periods, </w:t>
      </w:r>
      <w:r w:rsidR="000620DE" w:rsidRPr="00A13719">
        <w:rPr>
          <w:lang w:val="en-US"/>
        </w:rPr>
        <w:t>most</w:t>
      </w:r>
      <w:r w:rsidRPr="00A13719">
        <w:rPr>
          <w:lang w:val="en-US"/>
        </w:rPr>
        <w:t xml:space="preserve"> </w:t>
      </w:r>
      <w:r w:rsidR="00653042" w:rsidRPr="00A13719">
        <w:rPr>
          <w:rFonts w:eastAsiaTheme="minorEastAsia"/>
          <w:lang w:val="en-US"/>
        </w:rPr>
        <w:t>HF</w:t>
      </w:r>
      <w:r w:rsidR="00653042" w:rsidRPr="00A13719">
        <w:rPr>
          <w:lang w:val="en-US"/>
        </w:rPr>
        <w:t xml:space="preserve"> </w:t>
      </w:r>
      <w:r w:rsidRPr="00A13719">
        <w:rPr>
          <w:lang w:val="en-US"/>
        </w:rPr>
        <w:t xml:space="preserve">strategies decrease their exposures to MAI during recessions. The Short Bias strategy in the </w:t>
      </w:r>
      <w:r w:rsidR="00C728CB" w:rsidRPr="00A13719">
        <w:rPr>
          <w:lang w:val="en-US"/>
        </w:rPr>
        <w:t xml:space="preserve">expansion </w:t>
      </w:r>
      <w:r w:rsidRPr="00A13719">
        <w:rPr>
          <w:lang w:val="en-US"/>
        </w:rPr>
        <w:t>period already has negative exposure, however during recession period</w:t>
      </w:r>
      <w:r w:rsidR="000620DE" w:rsidRPr="00A13719">
        <w:rPr>
          <w:lang w:val="en-US"/>
        </w:rPr>
        <w:t>s</w:t>
      </w:r>
      <w:r w:rsidRPr="00A13719">
        <w:rPr>
          <w:lang w:val="en-US"/>
        </w:rPr>
        <w:t xml:space="preserve"> its exposure bec</w:t>
      </w:r>
      <w:r w:rsidR="000620DE" w:rsidRPr="00A13719">
        <w:rPr>
          <w:lang w:val="en-US"/>
        </w:rPr>
        <w:t>o</w:t>
      </w:r>
      <w:r w:rsidRPr="00A13719">
        <w:rPr>
          <w:lang w:val="en-US"/>
        </w:rPr>
        <w:t>me</w:t>
      </w:r>
      <w:r w:rsidR="000620DE" w:rsidRPr="00A13719">
        <w:rPr>
          <w:lang w:val="en-US"/>
        </w:rPr>
        <w:t xml:space="preserve">s more </w:t>
      </w:r>
      <w:r w:rsidRPr="00A13719">
        <w:rPr>
          <w:lang w:val="en-US"/>
        </w:rPr>
        <w:t>negative so as to benefit from expected downward market movement. Relative value has one of t</w:t>
      </w:r>
      <w:r w:rsidR="00AE0277" w:rsidRPr="00A13719">
        <w:rPr>
          <w:lang w:val="en-US"/>
        </w:rPr>
        <w:t>he lower exposures during the</w:t>
      </w:r>
      <w:r w:rsidR="00C728CB" w:rsidRPr="00A13719">
        <w:rPr>
          <w:lang w:val="en-US"/>
        </w:rPr>
        <w:t xml:space="preserve"> expansion </w:t>
      </w:r>
      <w:r w:rsidR="00AE0277" w:rsidRPr="00A13719">
        <w:rPr>
          <w:lang w:val="en-US"/>
        </w:rPr>
        <w:t>gr</w:t>
      </w:r>
      <w:r w:rsidRPr="00A13719">
        <w:rPr>
          <w:lang w:val="en-US"/>
        </w:rPr>
        <w:t xml:space="preserve">owth period but it is almost double that during recession periods. </w:t>
      </w:r>
      <w:r w:rsidR="00AE0277" w:rsidRPr="00A13719">
        <w:rPr>
          <w:lang w:val="en-US"/>
        </w:rPr>
        <w:t>Although t</w:t>
      </w:r>
      <w:r w:rsidRPr="00A13719">
        <w:rPr>
          <w:lang w:val="en-US"/>
        </w:rPr>
        <w:t xml:space="preserve">his is </w:t>
      </w:r>
      <w:r w:rsidR="000620DE" w:rsidRPr="00A13719">
        <w:rPr>
          <w:lang w:val="en-US"/>
        </w:rPr>
        <w:t>un</w:t>
      </w:r>
      <w:r w:rsidRPr="00A13719">
        <w:rPr>
          <w:lang w:val="en-US"/>
        </w:rPr>
        <w:t>usual, this strategy during the recession</w:t>
      </w:r>
      <w:r w:rsidR="00AE0277" w:rsidRPr="00A13719">
        <w:rPr>
          <w:lang w:val="en-US"/>
        </w:rPr>
        <w:t>s</w:t>
      </w:r>
      <w:r w:rsidRPr="00A13719">
        <w:rPr>
          <w:lang w:val="en-US"/>
        </w:rPr>
        <w:t xml:space="preserve"> has the lowest exposure to the MAI factor across all </w:t>
      </w:r>
      <w:r w:rsidR="00B56004" w:rsidRPr="00A13719">
        <w:rPr>
          <w:rFonts w:eastAsiaTheme="minorEastAsia"/>
          <w:lang w:val="en-US"/>
        </w:rPr>
        <w:t>HF</w:t>
      </w:r>
      <w:r w:rsidR="00B56004" w:rsidRPr="00A13719">
        <w:rPr>
          <w:lang w:val="en-US"/>
        </w:rPr>
        <w:t xml:space="preserve"> </w:t>
      </w:r>
      <w:r w:rsidRPr="00A13719">
        <w:rPr>
          <w:lang w:val="en-US"/>
        </w:rPr>
        <w:t xml:space="preserve">strategies. Furthermore, during the </w:t>
      </w:r>
      <w:r w:rsidR="00C728CB" w:rsidRPr="00A13719">
        <w:rPr>
          <w:lang w:val="en-US"/>
        </w:rPr>
        <w:t>expansion</w:t>
      </w:r>
      <w:r w:rsidR="00AE0277" w:rsidRPr="00A13719">
        <w:rPr>
          <w:lang w:val="en-US"/>
        </w:rPr>
        <w:t>s</w:t>
      </w:r>
      <w:r w:rsidRPr="00A13719">
        <w:rPr>
          <w:lang w:val="en-US"/>
        </w:rPr>
        <w:t xml:space="preserve"> this strategy has three more factor exposures (SMB, HML</w:t>
      </w:r>
      <w:r w:rsidR="000620DE" w:rsidRPr="00A13719">
        <w:rPr>
          <w:lang w:val="en-US"/>
        </w:rPr>
        <w:t xml:space="preserve"> and</w:t>
      </w:r>
      <w:r w:rsidRPr="00A13719">
        <w:rPr>
          <w:lang w:val="en-US"/>
        </w:rPr>
        <w:t xml:space="preserve"> TERM) an</w:t>
      </w:r>
      <w:r w:rsidR="000620DE" w:rsidRPr="00A13719">
        <w:rPr>
          <w:lang w:val="en-US"/>
        </w:rPr>
        <w:t>d</w:t>
      </w:r>
      <w:r w:rsidRPr="00A13719">
        <w:rPr>
          <w:lang w:val="en-US"/>
        </w:rPr>
        <w:t xml:space="preserve"> these may interact positively overall (e.g. this portfolio with these asset class exposures is better in terms of risk incurred and alpha produced to the investor). </w:t>
      </w:r>
    </w:p>
    <w:p w:rsidR="004F3650" w:rsidRPr="00A13719" w:rsidRDefault="004F3650" w:rsidP="004F3650">
      <w:pPr>
        <w:jc w:val="both"/>
        <w:rPr>
          <w:rFonts w:cs="Times New Roman"/>
        </w:rPr>
      </w:pPr>
      <w:r w:rsidRPr="00A13719">
        <w:rPr>
          <w:lang w:val="en-US"/>
        </w:rPr>
        <w:t>Regarding the up-down regimes</w:t>
      </w:r>
      <w:r w:rsidR="00AE0277" w:rsidRPr="00A13719">
        <w:rPr>
          <w:lang w:val="en-US"/>
        </w:rPr>
        <w:t>,</w:t>
      </w:r>
      <w:r w:rsidRPr="00A13719">
        <w:rPr>
          <w:lang w:val="en-US"/>
        </w:rPr>
        <w:t xml:space="preserve"> all the strategies decrease </w:t>
      </w:r>
      <w:r w:rsidR="004F49EE" w:rsidRPr="00A13719">
        <w:rPr>
          <w:lang w:val="en-US"/>
        </w:rPr>
        <w:t xml:space="preserve">or eliminate </w:t>
      </w:r>
      <w:r w:rsidRPr="00A13719">
        <w:rPr>
          <w:lang w:val="en-US"/>
        </w:rPr>
        <w:t xml:space="preserve">their exposures to the market factor during </w:t>
      </w:r>
      <w:r w:rsidR="000620DE" w:rsidRPr="00A13719">
        <w:rPr>
          <w:lang w:val="en-US"/>
        </w:rPr>
        <w:t>falling markets</w:t>
      </w:r>
      <w:r w:rsidRPr="00A13719">
        <w:rPr>
          <w:lang w:val="en-US"/>
        </w:rPr>
        <w:t xml:space="preserve">. The </w:t>
      </w:r>
      <w:r w:rsidR="000620DE" w:rsidRPr="00A13719">
        <w:rPr>
          <w:lang w:val="en-US"/>
        </w:rPr>
        <w:t>largest</w:t>
      </w:r>
      <w:r w:rsidRPr="00A13719">
        <w:rPr>
          <w:lang w:val="en-US"/>
        </w:rPr>
        <w:t xml:space="preserve"> decrease is </w:t>
      </w:r>
      <w:r w:rsidR="000620DE" w:rsidRPr="00A13719">
        <w:rPr>
          <w:lang w:val="en-US"/>
        </w:rPr>
        <w:t>by</w:t>
      </w:r>
      <w:r w:rsidRPr="00A13719">
        <w:rPr>
          <w:lang w:val="en-US"/>
        </w:rPr>
        <w:t xml:space="preserve"> </w:t>
      </w:r>
      <w:r w:rsidR="000620DE" w:rsidRPr="00A13719">
        <w:rPr>
          <w:lang w:val="en-US"/>
        </w:rPr>
        <w:t xml:space="preserve">the </w:t>
      </w:r>
      <w:r w:rsidRPr="00A13719">
        <w:rPr>
          <w:lang w:val="en-US"/>
        </w:rPr>
        <w:t>Global Macro strategy</w:t>
      </w:r>
      <w:r w:rsidR="000620DE" w:rsidRPr="00A13719">
        <w:rPr>
          <w:lang w:val="en-US"/>
        </w:rPr>
        <w:t>,</w:t>
      </w:r>
      <w:r w:rsidRPr="00A13719">
        <w:rPr>
          <w:lang w:val="en-US"/>
        </w:rPr>
        <w:t xml:space="preserve"> equal to 7</w:t>
      </w:r>
      <w:r w:rsidR="00DF22F1" w:rsidRPr="00A13719">
        <w:rPr>
          <w:lang w:val="en-US"/>
        </w:rPr>
        <w:t>2</w:t>
      </w:r>
      <w:r w:rsidRPr="00A13719">
        <w:rPr>
          <w:lang w:val="en-US"/>
        </w:rPr>
        <w:t>%</w:t>
      </w:r>
      <w:r w:rsidR="000620DE" w:rsidRPr="00A13719">
        <w:rPr>
          <w:lang w:val="en-US"/>
        </w:rPr>
        <w:t>,</w:t>
      </w:r>
      <w:r w:rsidRPr="00A13719">
        <w:rPr>
          <w:lang w:val="en-US"/>
        </w:rPr>
        <w:t xml:space="preserve"> whereas the </w:t>
      </w:r>
      <w:r w:rsidR="000620DE" w:rsidRPr="00A13719">
        <w:rPr>
          <w:lang w:val="en-US"/>
        </w:rPr>
        <w:t>smallest</w:t>
      </w:r>
      <w:r w:rsidRPr="00A13719">
        <w:rPr>
          <w:lang w:val="en-US"/>
        </w:rPr>
        <w:t xml:space="preserve"> decrease is </w:t>
      </w:r>
      <w:r w:rsidR="000620DE" w:rsidRPr="00A13719">
        <w:rPr>
          <w:lang w:val="en-US"/>
        </w:rPr>
        <w:t>by</w:t>
      </w:r>
      <w:r w:rsidRPr="00A13719">
        <w:rPr>
          <w:lang w:val="en-US"/>
        </w:rPr>
        <w:t xml:space="preserve"> the </w:t>
      </w:r>
      <w:r w:rsidR="00436A0D" w:rsidRPr="00A13719">
        <w:rPr>
          <w:lang w:val="en-US"/>
        </w:rPr>
        <w:t>SB</w:t>
      </w:r>
      <w:r w:rsidRPr="00A13719">
        <w:rPr>
          <w:lang w:val="en-US"/>
        </w:rPr>
        <w:t xml:space="preserve"> strategy</w:t>
      </w:r>
      <w:r w:rsidR="000620DE" w:rsidRPr="00A13719">
        <w:rPr>
          <w:lang w:val="en-US"/>
        </w:rPr>
        <w:t xml:space="preserve"> at </w:t>
      </w:r>
      <w:r w:rsidR="003C6853" w:rsidRPr="00A13719">
        <w:rPr>
          <w:lang w:val="en-US"/>
        </w:rPr>
        <w:t>9</w:t>
      </w:r>
      <w:r w:rsidRPr="00A13719">
        <w:rPr>
          <w:lang w:val="en-US"/>
        </w:rPr>
        <w:t xml:space="preserve">%. </w:t>
      </w:r>
      <w:r w:rsidR="008C6E47" w:rsidRPr="00A13719">
        <w:rPr>
          <w:rFonts w:cs="Times New Roman"/>
        </w:rPr>
        <w:t>This is because</w:t>
      </w:r>
      <w:r w:rsidR="008C6E47" w:rsidRPr="00A13719">
        <w:rPr>
          <w:rFonts w:cs="Times New Roman"/>
          <w:b/>
        </w:rPr>
        <w:t xml:space="preserve"> </w:t>
      </w:r>
      <w:r w:rsidR="008C6E47" w:rsidRPr="00A13719">
        <w:rPr>
          <w:rFonts w:cs="Times New Roman"/>
        </w:rPr>
        <w:t xml:space="preserve">during stressful market conditions, Global Macro strategies are able </w:t>
      </w:r>
      <w:r w:rsidR="00F122F6" w:rsidRPr="00A13719">
        <w:rPr>
          <w:rFonts w:cs="Times New Roman"/>
        </w:rPr>
        <w:t xml:space="preserve">to </w:t>
      </w:r>
      <w:r w:rsidR="008C6E47" w:rsidRPr="00A13719">
        <w:rPr>
          <w:rFonts w:cs="Times New Roman"/>
        </w:rPr>
        <w:t>switch to other regions (relying on the top-down approach) for a relatively short period of time as their main focus is in North America. Hence</w:t>
      </w:r>
      <w:r w:rsidR="00AE0277" w:rsidRPr="00A13719">
        <w:rPr>
          <w:rFonts w:cs="Times New Roman"/>
        </w:rPr>
        <w:t xml:space="preserve"> they </w:t>
      </w:r>
      <w:r w:rsidR="008C6E47" w:rsidRPr="00A13719">
        <w:rPr>
          <w:rFonts w:cs="Times New Roman"/>
        </w:rPr>
        <w:t xml:space="preserve">demonstrate a </w:t>
      </w:r>
      <w:r w:rsidR="00A944F2" w:rsidRPr="00A13719">
        <w:rPr>
          <w:rFonts w:cs="Times New Roman"/>
        </w:rPr>
        <w:t>large</w:t>
      </w:r>
      <w:r w:rsidR="008C6E47" w:rsidRPr="00A13719">
        <w:rPr>
          <w:rFonts w:cs="Times New Roman"/>
        </w:rPr>
        <w:t xml:space="preserve"> decrease in the</w:t>
      </w:r>
      <w:r w:rsidR="00F122F6" w:rsidRPr="00A13719">
        <w:rPr>
          <w:rFonts w:cs="Times New Roman"/>
        </w:rPr>
        <w:t>ir</w:t>
      </w:r>
      <w:r w:rsidR="008C6E47" w:rsidRPr="00A13719">
        <w:rPr>
          <w:rFonts w:cs="Times New Roman"/>
        </w:rPr>
        <w:t xml:space="preserve"> MAI exposure. </w:t>
      </w:r>
      <w:r w:rsidR="00F122F6" w:rsidRPr="00A13719">
        <w:rPr>
          <w:rFonts w:cs="Times New Roman"/>
        </w:rPr>
        <w:t>On</w:t>
      </w:r>
      <w:r w:rsidR="008C6E47" w:rsidRPr="00A13719">
        <w:rPr>
          <w:rFonts w:cs="Times New Roman"/>
        </w:rPr>
        <w:t xml:space="preserve"> the contrary, </w:t>
      </w:r>
      <w:r w:rsidR="00F122F6" w:rsidRPr="00A13719">
        <w:rPr>
          <w:rFonts w:cs="Times New Roman"/>
        </w:rPr>
        <w:t xml:space="preserve">the </w:t>
      </w:r>
      <w:r w:rsidR="008C6E47" w:rsidRPr="00A13719">
        <w:rPr>
          <w:rFonts w:cs="Times New Roman"/>
        </w:rPr>
        <w:t>S</w:t>
      </w:r>
      <w:r w:rsidR="00F122F6" w:rsidRPr="00A13719">
        <w:rPr>
          <w:rFonts w:cs="Times New Roman"/>
        </w:rPr>
        <w:t xml:space="preserve">hort </w:t>
      </w:r>
      <w:r w:rsidR="008C6E47" w:rsidRPr="00A13719">
        <w:rPr>
          <w:rFonts w:cs="Times New Roman"/>
        </w:rPr>
        <w:t>B</w:t>
      </w:r>
      <w:r w:rsidR="00F122F6" w:rsidRPr="00A13719">
        <w:rPr>
          <w:rFonts w:cs="Times New Roman"/>
        </w:rPr>
        <w:t>ias</w:t>
      </w:r>
      <w:r w:rsidR="008C6E47" w:rsidRPr="00A13719">
        <w:rPr>
          <w:rFonts w:cs="Times New Roman"/>
        </w:rPr>
        <w:t xml:space="preserve"> strategy already </w:t>
      </w:r>
      <w:r w:rsidR="00F122F6" w:rsidRPr="00A13719">
        <w:rPr>
          <w:rFonts w:cs="Times New Roman"/>
        </w:rPr>
        <w:t xml:space="preserve">has a </w:t>
      </w:r>
      <w:r w:rsidR="008C6E47" w:rsidRPr="00A13719">
        <w:rPr>
          <w:rFonts w:cs="Times New Roman"/>
        </w:rPr>
        <w:t>negative correlation with MAI</w:t>
      </w:r>
      <w:r w:rsidR="00F122F6" w:rsidRPr="00A13719">
        <w:rPr>
          <w:rFonts w:cs="Times New Roman"/>
        </w:rPr>
        <w:t>,</w:t>
      </w:r>
      <w:r w:rsidR="008C6E47" w:rsidRPr="00A13719">
        <w:rPr>
          <w:rFonts w:cs="Times New Roman"/>
        </w:rPr>
        <w:t xml:space="preserve"> </w:t>
      </w:r>
      <w:r w:rsidR="00A353AD" w:rsidRPr="00A13719">
        <w:rPr>
          <w:rFonts w:cs="Times New Roman"/>
        </w:rPr>
        <w:t>thus</w:t>
      </w:r>
      <w:r w:rsidR="008C6E47" w:rsidRPr="00A13719">
        <w:rPr>
          <w:rFonts w:cs="Times New Roman"/>
        </w:rPr>
        <w:t xml:space="preserve"> there is no need for </w:t>
      </w:r>
      <w:r w:rsidR="00F122F6" w:rsidRPr="00A13719">
        <w:rPr>
          <w:rFonts w:cs="Times New Roman"/>
        </w:rPr>
        <w:t>a large</w:t>
      </w:r>
      <w:r w:rsidR="008C6E47" w:rsidRPr="00A13719">
        <w:rPr>
          <w:rFonts w:cs="Times New Roman"/>
        </w:rPr>
        <w:t xml:space="preserve"> change in their position. Moreover, during down regimes the SB strategy has only two exposures</w:t>
      </w:r>
      <w:r w:rsidR="00F122F6" w:rsidRPr="00A13719">
        <w:rPr>
          <w:rFonts w:cs="Times New Roman"/>
        </w:rPr>
        <w:t>,</w:t>
      </w:r>
      <w:r w:rsidR="008C6E47" w:rsidRPr="00A13719">
        <w:rPr>
          <w:rFonts w:cs="Times New Roman"/>
        </w:rPr>
        <w:t xml:space="preserve"> compared to the five within the up regimes as it tries to reduce its exposures </w:t>
      </w:r>
      <w:r w:rsidR="002B7083" w:rsidRPr="00A13719">
        <w:rPr>
          <w:rFonts w:cs="Times New Roman"/>
        </w:rPr>
        <w:t>(to protect themselves from “bad” conditions).</w:t>
      </w:r>
    </w:p>
    <w:p w:rsidR="00A83CF2" w:rsidRPr="00A13719" w:rsidRDefault="00A83CF2" w:rsidP="00A83CF2">
      <w:pPr>
        <w:spacing w:after="120"/>
        <w:jc w:val="both"/>
        <w:rPr>
          <w:b/>
          <w:lang w:val="en-US"/>
        </w:rPr>
      </w:pPr>
      <w:r w:rsidRPr="00A13719">
        <w:rPr>
          <w:lang w:val="en-US"/>
        </w:rPr>
        <w:t xml:space="preserve">Table 8, Panel B reports other statistically significant important factors (excluding MAI) across all strategies. During expansion periods fund managers invest more in equity factors such as MOM, SMB and HML. Hence momentum sub-strategies, investing in small firms compared to large or investing in value versus growth stocks are efficient in delivering high excess returns to investors. During recessions, the three most important factors are COAG, COEN, and COIM. Fund managers change their asset allocations and are trying to invest in commodity factors </w:t>
      </w:r>
      <w:r w:rsidRPr="00A13719">
        <w:rPr>
          <w:lang w:val="en-US"/>
        </w:rPr>
        <w:lastRenderedPageBreak/>
        <w:t xml:space="preserve">(food/agriculture, energy, and industrial metals) that relate to more defensive or counter-cyclical industries. This is in agreement with Cashin, McDermott, Scott (2002) who found that economic cycles are not the fundamental drivers of the evolution of commodity prices and Gleich, Achzet, Mayer, and Rathgeber (2013) who found that commodity prices depend on other fundamental factors such as economic scarcity and supply risk. However, the Others strategy is able to deliver significant excess returns as it has significant exposures to the GEMI factor meaning that is investing in global markets. The same applies to the Sector strategy that invests in certain (counter-cyclical) industries, providing significant alpha. </w:t>
      </w:r>
    </w:p>
    <w:p w:rsidR="00A83CF2" w:rsidRPr="00A13719" w:rsidRDefault="00A83CF2" w:rsidP="00A83CF2">
      <w:pPr>
        <w:jc w:val="both"/>
        <w:rPr>
          <w:rFonts w:cs="Times New Roman"/>
        </w:rPr>
      </w:pPr>
      <w:r w:rsidRPr="00A13719">
        <w:rPr>
          <w:lang w:val="en-US"/>
        </w:rPr>
        <w:t xml:space="preserve">During the up regime, similar to expansion periods, the most common exposures are to MOM, SMB, and HML. Fund managers invest in equity factors and implement momentum sub-strategies investing more heavily in smaller firms, and value stocks. Like the expansion periods, directional and semi-directional strategies mainly have these exposures. During down regimes, fund managers invest primarily in commodity factors. Although, SMB is still a main exposure for </w:t>
      </w:r>
      <w:r w:rsidRPr="00A13719">
        <w:rPr>
          <w:rFonts w:eastAsiaTheme="minorEastAsia"/>
          <w:lang w:val="en-US"/>
        </w:rPr>
        <w:t>HF</w:t>
      </w:r>
      <w:r w:rsidRPr="00A13719">
        <w:rPr>
          <w:lang w:val="en-US"/>
        </w:rPr>
        <w:t xml:space="preserve"> strategies, nevertheless, this exposure is lower compared to the up regime. Similarly to the recession period, in the down regime fund managers take exposures to the factors COAG and COIM, as they are related to more defensive counter-cyclical industries</w:t>
      </w:r>
      <w:r w:rsidRPr="00A13719">
        <w:rPr>
          <w:rStyle w:val="FootnoteReference"/>
          <w:lang w:val="en-US"/>
        </w:rPr>
        <w:footnoteReference w:id="15"/>
      </w:r>
      <w:r w:rsidRPr="00A13719">
        <w:rPr>
          <w:lang w:val="en-US"/>
        </w:rPr>
        <w:t>. This aligns with the results of the studies of Cashin, McDermott, Scott (2002) and Gleich, Achzet, Mayer, and Rathgeber (2013), mentioned above.</w:t>
      </w:r>
    </w:p>
    <w:p w:rsidR="00996223" w:rsidRPr="00A13719" w:rsidRDefault="00996223">
      <w:pPr>
        <w:spacing w:after="200" w:line="276" w:lineRule="auto"/>
        <w:rPr>
          <w:b/>
          <w:sz w:val="28"/>
          <w:szCs w:val="28"/>
          <w:lang w:val="en-US"/>
        </w:rPr>
      </w:pPr>
      <w:r w:rsidRPr="00A13719">
        <w:rPr>
          <w:b/>
          <w:sz w:val="28"/>
          <w:szCs w:val="28"/>
          <w:lang w:val="en-US"/>
        </w:rPr>
        <w:br w:type="page"/>
      </w:r>
    </w:p>
    <w:p w:rsidR="00B113CF" w:rsidRPr="00A13719" w:rsidRDefault="00B113CF" w:rsidP="00B113CF">
      <w:pPr>
        <w:spacing w:after="0"/>
        <w:rPr>
          <w:b/>
          <w:sz w:val="28"/>
          <w:szCs w:val="28"/>
          <w:lang w:val="en-US"/>
        </w:rPr>
      </w:pPr>
      <w:r w:rsidRPr="00A13719">
        <w:rPr>
          <w:b/>
          <w:sz w:val="28"/>
          <w:szCs w:val="28"/>
          <w:lang w:val="en-US"/>
        </w:rPr>
        <w:lastRenderedPageBreak/>
        <w:t xml:space="preserve">Table </w:t>
      </w:r>
      <w:r w:rsidR="00990621" w:rsidRPr="00A13719">
        <w:rPr>
          <w:b/>
          <w:sz w:val="28"/>
          <w:szCs w:val="28"/>
          <w:lang w:val="en-US"/>
        </w:rPr>
        <w:t>8</w:t>
      </w:r>
      <w:r w:rsidR="0082645C" w:rsidRPr="00A13719">
        <w:rPr>
          <w:b/>
          <w:sz w:val="28"/>
          <w:szCs w:val="28"/>
          <w:lang w:val="en-US"/>
        </w:rPr>
        <w:t>. Exposures to the m</w:t>
      </w:r>
      <w:r w:rsidRPr="00A13719">
        <w:rPr>
          <w:b/>
          <w:sz w:val="28"/>
          <w:szCs w:val="28"/>
          <w:lang w:val="en-US"/>
        </w:rPr>
        <w:t>arket</w:t>
      </w:r>
      <w:r w:rsidR="00A83CF2" w:rsidRPr="00A13719">
        <w:rPr>
          <w:b/>
          <w:sz w:val="28"/>
          <w:szCs w:val="28"/>
          <w:lang w:val="en-US"/>
        </w:rPr>
        <w:t xml:space="preserve"> and most common factors</w:t>
      </w:r>
    </w:p>
    <w:p w:rsidR="00B113CF" w:rsidRPr="00A13719" w:rsidRDefault="00B113CF" w:rsidP="00B113CF">
      <w:pPr>
        <w:spacing w:after="0"/>
        <w:jc w:val="both"/>
        <w:rPr>
          <w:lang w:val="en-US"/>
        </w:rPr>
      </w:pPr>
      <w:r w:rsidRPr="00A13719">
        <w:rPr>
          <w:sz w:val="18"/>
          <w:szCs w:val="18"/>
          <w:lang w:val="en-US"/>
        </w:rPr>
        <w:t xml:space="preserve"> </w:t>
      </w:r>
      <w:r w:rsidR="00A83CF2" w:rsidRPr="00A13719">
        <w:rPr>
          <w:sz w:val="18"/>
          <w:szCs w:val="18"/>
          <w:lang w:val="en-US"/>
        </w:rPr>
        <w:t>Panel A</w:t>
      </w:r>
      <w:r w:rsidRPr="00A13719">
        <w:rPr>
          <w:sz w:val="18"/>
          <w:szCs w:val="18"/>
          <w:lang w:val="en-US"/>
        </w:rPr>
        <w:t xml:space="preserve"> shows the exposures to the MAI market index for all </w:t>
      </w:r>
      <w:r w:rsidR="00B56004" w:rsidRPr="00A13719">
        <w:rPr>
          <w:sz w:val="18"/>
          <w:szCs w:val="18"/>
          <w:lang w:val="en-US"/>
        </w:rPr>
        <w:t>HF</w:t>
      </w:r>
      <w:r w:rsidRPr="00A13719">
        <w:rPr>
          <w:sz w:val="18"/>
          <w:szCs w:val="18"/>
          <w:lang w:val="en-US"/>
        </w:rPr>
        <w:t xml:space="preserve"> strategies during </w:t>
      </w:r>
      <w:r w:rsidR="00C728CB" w:rsidRPr="00A13719">
        <w:rPr>
          <w:sz w:val="18"/>
          <w:szCs w:val="18"/>
          <w:lang w:val="en-US"/>
        </w:rPr>
        <w:t>expansion</w:t>
      </w:r>
      <w:r w:rsidRPr="00A13719">
        <w:rPr>
          <w:sz w:val="18"/>
          <w:szCs w:val="18"/>
          <w:lang w:val="en-US"/>
        </w:rPr>
        <w:t xml:space="preserve"> and recession periods as well as the up and down regimes. Since the </w:t>
      </w:r>
      <w:r w:rsidR="00C728CB" w:rsidRPr="00A13719">
        <w:rPr>
          <w:sz w:val="18"/>
          <w:szCs w:val="18"/>
          <w:lang w:val="en-US"/>
        </w:rPr>
        <w:t>expansion</w:t>
      </w:r>
      <w:r w:rsidRPr="00A13719">
        <w:rPr>
          <w:sz w:val="18"/>
          <w:szCs w:val="18"/>
          <w:lang w:val="en-US"/>
        </w:rPr>
        <w:t xml:space="preserve"> periods and up regimes times are the longest we use them as the base to measure the percentage change of the exposure.</w:t>
      </w:r>
      <w:r w:rsidRPr="00A13719">
        <w:rPr>
          <w:lang w:val="en-US"/>
        </w:rPr>
        <w:t xml:space="preserve"> </w:t>
      </w:r>
      <w:r w:rsidR="00110FCD" w:rsidRPr="00A13719">
        <w:rPr>
          <w:sz w:val="20"/>
          <w:szCs w:val="20"/>
          <w:lang w:val="en-US"/>
        </w:rPr>
        <w:t>*</w:t>
      </w:r>
      <w:r w:rsidR="00A05161" w:rsidRPr="00A13719">
        <w:rPr>
          <w:sz w:val="18"/>
          <w:szCs w:val="18"/>
          <w:lang w:val="en-US"/>
        </w:rPr>
        <w:t xml:space="preserve"> denotes significance at P &lt; 0.1, *</w:t>
      </w:r>
      <w:r w:rsidR="00110FCD" w:rsidRPr="00A13719">
        <w:rPr>
          <w:sz w:val="18"/>
          <w:szCs w:val="18"/>
          <w:lang w:val="en-US"/>
        </w:rPr>
        <w:t>*</w:t>
      </w:r>
      <w:r w:rsidR="00A05161" w:rsidRPr="00A13719">
        <w:rPr>
          <w:sz w:val="18"/>
          <w:szCs w:val="18"/>
          <w:lang w:val="en-US"/>
        </w:rPr>
        <w:t xml:space="preserve"> denotes significance at P &lt; 0.05 and *</w:t>
      </w:r>
      <w:r w:rsidR="00110FCD" w:rsidRPr="00A13719">
        <w:rPr>
          <w:sz w:val="18"/>
          <w:szCs w:val="18"/>
          <w:lang w:val="en-US"/>
        </w:rPr>
        <w:t>*</w:t>
      </w:r>
      <w:r w:rsidR="00A05161" w:rsidRPr="00A13719">
        <w:rPr>
          <w:sz w:val="18"/>
          <w:szCs w:val="18"/>
          <w:lang w:val="en-US"/>
        </w:rPr>
        <w:t>* denotes significance at P &lt; 0.01.</w:t>
      </w:r>
      <w:r w:rsidR="00DF30B3" w:rsidRPr="00A13719">
        <w:rPr>
          <w:sz w:val="18"/>
          <w:szCs w:val="18"/>
          <w:lang w:val="en-US"/>
        </w:rPr>
        <w:t xml:space="preserve"> “-” denotes that the HF strategy does not have significant market exposure</w:t>
      </w:r>
      <w:r w:rsidR="004F49EE" w:rsidRPr="00A13719">
        <w:rPr>
          <w:sz w:val="18"/>
          <w:szCs w:val="18"/>
          <w:lang w:val="en-US"/>
        </w:rPr>
        <w:t>; this mostly happens during ‘bad’ times.</w:t>
      </w:r>
      <w:r w:rsidR="00A83CF2" w:rsidRPr="00A13719">
        <w:rPr>
          <w:sz w:val="18"/>
          <w:szCs w:val="18"/>
          <w:lang w:val="en-US"/>
        </w:rPr>
        <w:t xml:space="preserve"> Panel B shows the most frequent exposures for all strategies across business cycles and during different market conditions. The </w:t>
      </w:r>
      <w:r w:rsidR="00A83CF2" w:rsidRPr="00A13719">
        <w:rPr>
          <w:i/>
          <w:sz w:val="18"/>
          <w:szCs w:val="18"/>
          <w:lang w:val="en-US"/>
        </w:rPr>
        <w:t>x</w:t>
      </w:r>
      <w:r w:rsidR="00A83CF2" w:rsidRPr="00A13719">
        <w:rPr>
          <w:sz w:val="18"/>
          <w:szCs w:val="18"/>
          <w:lang w:val="en-US"/>
        </w:rPr>
        <w:t xml:space="preserve"> symbol represents the existence of a statistically significant exposure. During down regimes we have more common exposures (e.g. COAG), however we present the three most intense.  </w:t>
      </w:r>
    </w:p>
    <w:tbl>
      <w:tblPr>
        <w:tblW w:w="9356" w:type="dxa"/>
        <w:jc w:val="center"/>
        <w:tblBorders>
          <w:top w:val="single" w:sz="8" w:space="0" w:color="auto"/>
          <w:bottom w:val="single" w:sz="8" w:space="0" w:color="auto"/>
        </w:tblBorders>
        <w:shd w:val="clear" w:color="000000" w:fill="auto"/>
        <w:tblLayout w:type="fixed"/>
        <w:tblLook w:val="04A0" w:firstRow="1" w:lastRow="0" w:firstColumn="1" w:lastColumn="0" w:noHBand="0" w:noVBand="1"/>
      </w:tblPr>
      <w:tblGrid>
        <w:gridCol w:w="993"/>
        <w:gridCol w:w="283"/>
        <w:gridCol w:w="425"/>
        <w:gridCol w:w="567"/>
        <w:gridCol w:w="142"/>
        <w:gridCol w:w="851"/>
        <w:gridCol w:w="141"/>
        <w:gridCol w:w="567"/>
        <w:gridCol w:w="567"/>
        <w:gridCol w:w="142"/>
        <w:gridCol w:w="851"/>
        <w:gridCol w:w="708"/>
        <w:gridCol w:w="142"/>
        <w:gridCol w:w="567"/>
        <w:gridCol w:w="284"/>
        <w:gridCol w:w="567"/>
        <w:gridCol w:w="567"/>
        <w:gridCol w:w="276"/>
        <w:gridCol w:w="7"/>
        <w:gridCol w:w="709"/>
      </w:tblGrid>
      <w:tr w:rsidR="00A13719" w:rsidRPr="00A13719" w:rsidTr="00892E33">
        <w:trPr>
          <w:trHeight w:hRule="exact" w:val="227"/>
          <w:jc w:val="center"/>
        </w:trPr>
        <w:tc>
          <w:tcPr>
            <w:tcW w:w="1276" w:type="dxa"/>
            <w:gridSpan w:val="2"/>
            <w:tcBorders>
              <w:top w:val="single" w:sz="8" w:space="0" w:color="auto"/>
              <w:bottom w:val="single" w:sz="8" w:space="0" w:color="auto"/>
            </w:tcBorders>
            <w:shd w:val="clear" w:color="000000" w:fill="auto"/>
            <w:vAlign w:val="center"/>
          </w:tcPr>
          <w:p w:rsidR="00DD203B" w:rsidRPr="00A13719" w:rsidRDefault="00A83CF2" w:rsidP="00BF69EE">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Panel A</w:t>
            </w:r>
          </w:p>
        </w:tc>
        <w:tc>
          <w:tcPr>
            <w:tcW w:w="992" w:type="dxa"/>
            <w:gridSpan w:val="2"/>
            <w:tcBorders>
              <w:top w:val="single" w:sz="8" w:space="0" w:color="auto"/>
              <w:bottom w:val="single" w:sz="8" w:space="0" w:color="auto"/>
            </w:tcBorders>
            <w:shd w:val="clear" w:color="000000" w:fill="auto"/>
            <w:vAlign w:val="center"/>
          </w:tcPr>
          <w:p w:rsidR="00DD203B" w:rsidRPr="00A13719" w:rsidRDefault="00DD203B" w:rsidP="00BF69EE">
            <w:pPr>
              <w:spacing w:after="0" w:line="240" w:lineRule="auto"/>
              <w:jc w:val="center"/>
              <w:rPr>
                <w:rFonts w:eastAsia="Times New Roman" w:cs="Times New Roman"/>
                <w:sz w:val="20"/>
                <w:szCs w:val="20"/>
                <w:lang w:eastAsia="en-GB"/>
              </w:rPr>
            </w:pPr>
          </w:p>
        </w:tc>
        <w:tc>
          <w:tcPr>
            <w:tcW w:w="1134" w:type="dxa"/>
            <w:gridSpan w:val="3"/>
            <w:tcBorders>
              <w:top w:val="single" w:sz="8" w:space="0" w:color="auto"/>
              <w:bottom w:val="single" w:sz="8" w:space="0" w:color="auto"/>
            </w:tcBorders>
            <w:shd w:val="clear" w:color="000000" w:fill="auto"/>
            <w:vAlign w:val="center"/>
          </w:tcPr>
          <w:p w:rsidR="00DD203B" w:rsidRPr="00A13719" w:rsidRDefault="00DD203B" w:rsidP="00BF69EE">
            <w:pPr>
              <w:spacing w:after="0" w:line="240" w:lineRule="auto"/>
              <w:jc w:val="center"/>
              <w:rPr>
                <w:rFonts w:eastAsia="Times New Roman" w:cs="Times New Roman"/>
                <w:sz w:val="20"/>
                <w:szCs w:val="20"/>
                <w:lang w:eastAsia="en-GB"/>
              </w:rPr>
            </w:pPr>
          </w:p>
        </w:tc>
        <w:tc>
          <w:tcPr>
            <w:tcW w:w="1134" w:type="dxa"/>
            <w:gridSpan w:val="2"/>
            <w:tcBorders>
              <w:top w:val="single" w:sz="8" w:space="0" w:color="auto"/>
              <w:bottom w:val="single" w:sz="8" w:space="0" w:color="auto"/>
            </w:tcBorders>
            <w:shd w:val="clear" w:color="000000" w:fill="auto"/>
            <w:vAlign w:val="center"/>
          </w:tcPr>
          <w:p w:rsidR="00DD203B" w:rsidRPr="00A13719" w:rsidRDefault="00DD203B" w:rsidP="00BF69EE">
            <w:pPr>
              <w:spacing w:after="0" w:line="240" w:lineRule="auto"/>
              <w:jc w:val="center"/>
              <w:rPr>
                <w:rFonts w:eastAsia="Times New Roman" w:cs="Times New Roman"/>
                <w:sz w:val="20"/>
                <w:szCs w:val="20"/>
                <w:lang w:eastAsia="en-GB"/>
              </w:rPr>
            </w:pPr>
          </w:p>
        </w:tc>
        <w:tc>
          <w:tcPr>
            <w:tcW w:w="993" w:type="dxa"/>
            <w:gridSpan w:val="2"/>
            <w:tcBorders>
              <w:top w:val="single" w:sz="8" w:space="0" w:color="auto"/>
              <w:bottom w:val="single" w:sz="8" w:space="0" w:color="auto"/>
            </w:tcBorders>
            <w:shd w:val="clear" w:color="000000" w:fill="auto"/>
          </w:tcPr>
          <w:p w:rsidR="00DD203B" w:rsidRPr="00A13719" w:rsidRDefault="00DD203B" w:rsidP="00BF69EE">
            <w:pPr>
              <w:spacing w:after="0" w:line="240" w:lineRule="auto"/>
              <w:jc w:val="center"/>
              <w:rPr>
                <w:rFonts w:eastAsia="Times New Roman" w:cs="Times New Roman"/>
                <w:sz w:val="20"/>
                <w:szCs w:val="20"/>
                <w:lang w:eastAsia="en-GB"/>
              </w:rPr>
            </w:pPr>
          </w:p>
        </w:tc>
        <w:tc>
          <w:tcPr>
            <w:tcW w:w="850" w:type="dxa"/>
            <w:gridSpan w:val="2"/>
            <w:tcBorders>
              <w:top w:val="single" w:sz="8" w:space="0" w:color="auto"/>
              <w:bottom w:val="single" w:sz="8" w:space="0" w:color="auto"/>
            </w:tcBorders>
            <w:shd w:val="clear" w:color="000000" w:fill="auto"/>
            <w:vAlign w:val="center"/>
          </w:tcPr>
          <w:p w:rsidR="00DD203B" w:rsidRPr="00A13719" w:rsidRDefault="00DD203B" w:rsidP="00BF69EE">
            <w:pPr>
              <w:spacing w:after="0" w:line="240" w:lineRule="auto"/>
              <w:jc w:val="center"/>
              <w:rPr>
                <w:rFonts w:eastAsia="Times New Roman" w:cs="Times New Roman"/>
                <w:sz w:val="20"/>
                <w:szCs w:val="20"/>
                <w:lang w:eastAsia="en-GB"/>
              </w:rPr>
            </w:pPr>
          </w:p>
        </w:tc>
        <w:tc>
          <w:tcPr>
            <w:tcW w:w="851" w:type="dxa"/>
            <w:gridSpan w:val="2"/>
            <w:tcBorders>
              <w:top w:val="single" w:sz="8" w:space="0" w:color="auto"/>
              <w:bottom w:val="single" w:sz="8" w:space="0" w:color="auto"/>
            </w:tcBorders>
            <w:shd w:val="clear" w:color="000000" w:fill="auto"/>
            <w:vAlign w:val="center"/>
          </w:tcPr>
          <w:p w:rsidR="00DD203B" w:rsidRPr="00A13719" w:rsidRDefault="00DD203B" w:rsidP="00BF69EE">
            <w:pPr>
              <w:spacing w:after="0" w:line="240" w:lineRule="auto"/>
              <w:jc w:val="center"/>
              <w:rPr>
                <w:rFonts w:eastAsia="Times New Roman" w:cs="Times New Roman"/>
                <w:sz w:val="20"/>
                <w:szCs w:val="20"/>
                <w:lang w:eastAsia="en-GB"/>
              </w:rPr>
            </w:pPr>
          </w:p>
        </w:tc>
        <w:tc>
          <w:tcPr>
            <w:tcW w:w="1134" w:type="dxa"/>
            <w:gridSpan w:val="2"/>
            <w:tcBorders>
              <w:top w:val="single" w:sz="8" w:space="0" w:color="auto"/>
              <w:bottom w:val="single" w:sz="8" w:space="0" w:color="auto"/>
            </w:tcBorders>
            <w:shd w:val="clear" w:color="000000" w:fill="auto"/>
            <w:vAlign w:val="center"/>
          </w:tcPr>
          <w:p w:rsidR="00DD203B" w:rsidRPr="00A13719" w:rsidRDefault="00DD203B" w:rsidP="00BF69EE">
            <w:pPr>
              <w:spacing w:after="0" w:line="240" w:lineRule="auto"/>
              <w:jc w:val="center"/>
              <w:rPr>
                <w:rFonts w:eastAsia="Times New Roman" w:cs="Times New Roman"/>
                <w:sz w:val="20"/>
                <w:szCs w:val="20"/>
                <w:lang w:eastAsia="en-GB"/>
              </w:rPr>
            </w:pPr>
          </w:p>
        </w:tc>
        <w:tc>
          <w:tcPr>
            <w:tcW w:w="992" w:type="dxa"/>
            <w:gridSpan w:val="3"/>
            <w:tcBorders>
              <w:top w:val="single" w:sz="8" w:space="0" w:color="auto"/>
              <w:bottom w:val="single" w:sz="8" w:space="0" w:color="auto"/>
            </w:tcBorders>
            <w:shd w:val="clear" w:color="000000" w:fill="auto"/>
          </w:tcPr>
          <w:p w:rsidR="00DD203B" w:rsidRPr="00A13719" w:rsidRDefault="00DD203B" w:rsidP="00BF69EE">
            <w:pPr>
              <w:spacing w:after="0" w:line="240" w:lineRule="auto"/>
              <w:jc w:val="center"/>
              <w:rPr>
                <w:rFonts w:eastAsia="Times New Roman" w:cs="Times New Roman"/>
                <w:sz w:val="20"/>
                <w:szCs w:val="20"/>
                <w:lang w:eastAsia="en-GB"/>
              </w:rPr>
            </w:pPr>
          </w:p>
        </w:tc>
      </w:tr>
      <w:tr w:rsidR="00A13719" w:rsidRPr="00A13719" w:rsidTr="00892E33">
        <w:trPr>
          <w:trHeight w:val="367"/>
          <w:jc w:val="center"/>
        </w:trPr>
        <w:tc>
          <w:tcPr>
            <w:tcW w:w="1276" w:type="dxa"/>
            <w:gridSpan w:val="2"/>
            <w:tcBorders>
              <w:top w:val="single" w:sz="8" w:space="0" w:color="auto"/>
              <w:bottom w:val="single" w:sz="8" w:space="0" w:color="auto"/>
            </w:tcBorders>
            <w:shd w:val="clear" w:color="000000" w:fill="auto"/>
            <w:vAlign w:val="center"/>
            <w:hideMark/>
          </w:tcPr>
          <w:p w:rsidR="00BF69EE" w:rsidRPr="00A13719" w:rsidRDefault="00892E33" w:rsidP="00BF69EE">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Strategy</w:t>
            </w:r>
          </w:p>
        </w:tc>
        <w:tc>
          <w:tcPr>
            <w:tcW w:w="992" w:type="dxa"/>
            <w:gridSpan w:val="2"/>
            <w:tcBorders>
              <w:top w:val="single" w:sz="8" w:space="0" w:color="auto"/>
              <w:bottom w:val="single" w:sz="8" w:space="0" w:color="auto"/>
            </w:tcBorders>
            <w:shd w:val="clear" w:color="000000" w:fill="auto"/>
            <w:vAlign w:val="center"/>
            <w:hideMark/>
          </w:tcPr>
          <w:p w:rsidR="00BF69EE" w:rsidRPr="00A13719" w:rsidRDefault="00BF69EE" w:rsidP="00BF69EE">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Expan</w:t>
            </w:r>
            <w:r w:rsidR="00892E33" w:rsidRPr="00A13719">
              <w:rPr>
                <w:rFonts w:eastAsia="Times New Roman" w:cs="Times New Roman"/>
                <w:sz w:val="20"/>
                <w:szCs w:val="20"/>
                <w:lang w:eastAsia="en-GB"/>
              </w:rPr>
              <w:t>-</w:t>
            </w:r>
            <w:r w:rsidRPr="00A13719">
              <w:rPr>
                <w:rFonts w:eastAsia="Times New Roman" w:cs="Times New Roman"/>
                <w:sz w:val="20"/>
                <w:szCs w:val="20"/>
                <w:lang w:eastAsia="en-GB"/>
              </w:rPr>
              <w:t>sion</w:t>
            </w:r>
          </w:p>
        </w:tc>
        <w:tc>
          <w:tcPr>
            <w:tcW w:w="1134" w:type="dxa"/>
            <w:gridSpan w:val="3"/>
            <w:tcBorders>
              <w:top w:val="single" w:sz="8" w:space="0" w:color="auto"/>
              <w:bottom w:val="single" w:sz="8" w:space="0" w:color="auto"/>
            </w:tcBorders>
            <w:shd w:val="clear" w:color="000000" w:fill="auto"/>
            <w:vAlign w:val="center"/>
            <w:hideMark/>
          </w:tcPr>
          <w:p w:rsidR="00BF69EE" w:rsidRPr="00A13719" w:rsidRDefault="00BF69EE" w:rsidP="00BF69EE">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Recession</w:t>
            </w:r>
          </w:p>
        </w:tc>
        <w:tc>
          <w:tcPr>
            <w:tcW w:w="1134" w:type="dxa"/>
            <w:gridSpan w:val="2"/>
            <w:tcBorders>
              <w:top w:val="single" w:sz="8" w:space="0" w:color="auto"/>
              <w:bottom w:val="single" w:sz="8" w:space="0" w:color="auto"/>
            </w:tcBorders>
            <w:shd w:val="clear" w:color="000000" w:fill="auto"/>
            <w:vAlign w:val="center"/>
            <w:hideMark/>
          </w:tcPr>
          <w:p w:rsidR="00BF69EE" w:rsidRPr="00A13719" w:rsidRDefault="00BF69EE" w:rsidP="00BF69EE">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 xml:space="preserve">% Difference </w:t>
            </w:r>
            <w:r w:rsidRPr="00A13719">
              <w:rPr>
                <w:rFonts w:eastAsia="Times New Roman" w:cs="Times New Roman"/>
                <w:sz w:val="16"/>
                <w:szCs w:val="16"/>
                <w:lang w:eastAsia="en-GB"/>
              </w:rPr>
              <w:t>(Base = Expansion)</w:t>
            </w:r>
          </w:p>
        </w:tc>
        <w:tc>
          <w:tcPr>
            <w:tcW w:w="993" w:type="dxa"/>
            <w:gridSpan w:val="2"/>
            <w:tcBorders>
              <w:top w:val="single" w:sz="8" w:space="0" w:color="auto"/>
              <w:bottom w:val="single" w:sz="8" w:space="0" w:color="auto"/>
            </w:tcBorders>
            <w:shd w:val="clear" w:color="000000" w:fill="auto"/>
          </w:tcPr>
          <w:p w:rsidR="00BF69EE" w:rsidRPr="00A13719" w:rsidRDefault="00BF69EE" w:rsidP="00BF69EE">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Z-score</w:t>
            </w:r>
            <w:r w:rsidR="0070212A" w:rsidRPr="00A13719">
              <w:rPr>
                <w:rFonts w:eastAsia="Times New Roman" w:cs="Times New Roman"/>
                <w:sz w:val="20"/>
                <w:szCs w:val="20"/>
                <w:lang w:eastAsia="en-GB"/>
              </w:rPr>
              <w:t xml:space="preserve">, abs diff </w:t>
            </w:r>
          </w:p>
        </w:tc>
        <w:tc>
          <w:tcPr>
            <w:tcW w:w="850" w:type="dxa"/>
            <w:gridSpan w:val="2"/>
            <w:tcBorders>
              <w:top w:val="single" w:sz="8" w:space="0" w:color="auto"/>
              <w:bottom w:val="single" w:sz="8" w:space="0" w:color="auto"/>
            </w:tcBorders>
            <w:shd w:val="clear" w:color="000000" w:fill="auto"/>
            <w:vAlign w:val="center"/>
            <w:hideMark/>
          </w:tcPr>
          <w:p w:rsidR="00BF69EE" w:rsidRPr="00A13719" w:rsidRDefault="00BF69EE" w:rsidP="00BF69EE">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Up</w:t>
            </w:r>
          </w:p>
        </w:tc>
        <w:tc>
          <w:tcPr>
            <w:tcW w:w="851" w:type="dxa"/>
            <w:gridSpan w:val="2"/>
            <w:tcBorders>
              <w:top w:val="single" w:sz="8" w:space="0" w:color="auto"/>
              <w:bottom w:val="single" w:sz="8" w:space="0" w:color="auto"/>
            </w:tcBorders>
            <w:shd w:val="clear" w:color="000000" w:fill="auto"/>
            <w:vAlign w:val="center"/>
            <w:hideMark/>
          </w:tcPr>
          <w:p w:rsidR="00BF69EE" w:rsidRPr="00A13719" w:rsidRDefault="00BF69EE" w:rsidP="00BF69EE">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Down</w:t>
            </w:r>
          </w:p>
        </w:tc>
        <w:tc>
          <w:tcPr>
            <w:tcW w:w="1134" w:type="dxa"/>
            <w:gridSpan w:val="2"/>
            <w:tcBorders>
              <w:top w:val="single" w:sz="8" w:space="0" w:color="auto"/>
              <w:bottom w:val="single" w:sz="8" w:space="0" w:color="auto"/>
            </w:tcBorders>
            <w:shd w:val="clear" w:color="000000" w:fill="auto"/>
            <w:vAlign w:val="center"/>
            <w:hideMark/>
          </w:tcPr>
          <w:p w:rsidR="00BF69EE" w:rsidRPr="00A13719" w:rsidRDefault="00BF69EE" w:rsidP="00BF69EE">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 xml:space="preserve">% Difference </w:t>
            </w:r>
            <w:r w:rsidRPr="00A13719">
              <w:rPr>
                <w:rFonts w:eastAsia="Times New Roman" w:cs="Times New Roman"/>
                <w:sz w:val="16"/>
                <w:szCs w:val="16"/>
                <w:lang w:eastAsia="en-GB"/>
              </w:rPr>
              <w:t>(Base = Up)</w:t>
            </w:r>
          </w:p>
        </w:tc>
        <w:tc>
          <w:tcPr>
            <w:tcW w:w="992" w:type="dxa"/>
            <w:gridSpan w:val="3"/>
            <w:tcBorders>
              <w:top w:val="single" w:sz="8" w:space="0" w:color="auto"/>
              <w:bottom w:val="single" w:sz="8" w:space="0" w:color="auto"/>
            </w:tcBorders>
            <w:shd w:val="clear" w:color="000000" w:fill="auto"/>
          </w:tcPr>
          <w:p w:rsidR="00BF69EE" w:rsidRPr="00A13719" w:rsidRDefault="0070212A" w:rsidP="00BF69EE">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Z-score, abs diff</w:t>
            </w:r>
          </w:p>
        </w:tc>
      </w:tr>
      <w:tr w:rsidR="00A13719" w:rsidRPr="00A13719" w:rsidTr="00892E33">
        <w:trPr>
          <w:trHeight w:val="300"/>
          <w:jc w:val="center"/>
        </w:trPr>
        <w:tc>
          <w:tcPr>
            <w:tcW w:w="1276" w:type="dxa"/>
            <w:gridSpan w:val="2"/>
            <w:tcBorders>
              <w:top w:val="single" w:sz="8" w:space="0" w:color="auto"/>
            </w:tcBorders>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Short Bias</w:t>
            </w:r>
          </w:p>
        </w:tc>
        <w:tc>
          <w:tcPr>
            <w:tcW w:w="992" w:type="dxa"/>
            <w:gridSpan w:val="2"/>
            <w:tcBorders>
              <w:top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-0.854</w:t>
            </w:r>
          </w:p>
        </w:tc>
        <w:tc>
          <w:tcPr>
            <w:tcW w:w="1134" w:type="dxa"/>
            <w:gridSpan w:val="3"/>
            <w:tcBorders>
              <w:top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-1.012</w:t>
            </w:r>
          </w:p>
        </w:tc>
        <w:tc>
          <w:tcPr>
            <w:tcW w:w="1134" w:type="dxa"/>
            <w:gridSpan w:val="2"/>
            <w:tcBorders>
              <w:top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18%</w:t>
            </w:r>
          </w:p>
        </w:tc>
        <w:tc>
          <w:tcPr>
            <w:tcW w:w="993" w:type="dxa"/>
            <w:gridSpan w:val="2"/>
            <w:tcBorders>
              <w:top w:val="single" w:sz="8" w:space="0" w:color="auto"/>
            </w:tcBorders>
            <w:shd w:val="clear" w:color="000000" w:fill="auto"/>
          </w:tcPr>
          <w:p w:rsidR="00BF69EE" w:rsidRPr="00A13719" w:rsidRDefault="00FF0FCC"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1.627</w:t>
            </w:r>
            <w:r w:rsidR="0068507E" w:rsidRPr="00A13719">
              <w:rPr>
                <w:rFonts w:eastAsia="Times New Roman" w:cs="Times New Roman"/>
                <w:sz w:val="20"/>
                <w:szCs w:val="20"/>
                <w:lang w:eastAsia="en-GB"/>
              </w:rPr>
              <w:t>*</w:t>
            </w:r>
            <w:r w:rsidR="00110FCD" w:rsidRPr="00A13719">
              <w:rPr>
                <w:rFonts w:eastAsia="Times New Roman" w:cs="Times New Roman"/>
                <w:sz w:val="20"/>
                <w:szCs w:val="20"/>
                <w:lang w:eastAsia="en-GB"/>
              </w:rPr>
              <w:t>*</w:t>
            </w:r>
          </w:p>
        </w:tc>
        <w:tc>
          <w:tcPr>
            <w:tcW w:w="850" w:type="dxa"/>
            <w:gridSpan w:val="2"/>
            <w:tcBorders>
              <w:top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-0.934</w:t>
            </w:r>
          </w:p>
        </w:tc>
        <w:tc>
          <w:tcPr>
            <w:tcW w:w="851" w:type="dxa"/>
            <w:gridSpan w:val="2"/>
            <w:tcBorders>
              <w:top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-0.849</w:t>
            </w:r>
          </w:p>
        </w:tc>
        <w:tc>
          <w:tcPr>
            <w:tcW w:w="1134" w:type="dxa"/>
            <w:gridSpan w:val="2"/>
            <w:tcBorders>
              <w:top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-9%</w:t>
            </w:r>
          </w:p>
        </w:tc>
        <w:tc>
          <w:tcPr>
            <w:tcW w:w="992" w:type="dxa"/>
            <w:gridSpan w:val="3"/>
            <w:tcBorders>
              <w:top w:val="single" w:sz="8" w:space="0" w:color="auto"/>
            </w:tcBorders>
            <w:shd w:val="clear" w:color="000000" w:fill="auto"/>
          </w:tcPr>
          <w:p w:rsidR="00BF69EE" w:rsidRPr="00A13719" w:rsidRDefault="00FF0FCC"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0.899</w:t>
            </w:r>
          </w:p>
        </w:tc>
      </w:tr>
      <w:tr w:rsidR="00A13719" w:rsidRPr="00A13719" w:rsidTr="00892E33">
        <w:trPr>
          <w:trHeight w:val="300"/>
          <w:jc w:val="center"/>
        </w:trPr>
        <w:tc>
          <w:tcPr>
            <w:tcW w:w="1276" w:type="dxa"/>
            <w:gridSpan w:val="2"/>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Long Only</w:t>
            </w:r>
          </w:p>
        </w:tc>
        <w:tc>
          <w:tcPr>
            <w:tcW w:w="992"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0.672</w:t>
            </w:r>
          </w:p>
        </w:tc>
        <w:tc>
          <w:tcPr>
            <w:tcW w:w="1134" w:type="dxa"/>
            <w:gridSpan w:val="3"/>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0.609</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-9%</w:t>
            </w:r>
          </w:p>
        </w:tc>
        <w:tc>
          <w:tcPr>
            <w:tcW w:w="993" w:type="dxa"/>
            <w:gridSpan w:val="2"/>
            <w:shd w:val="clear" w:color="000000" w:fill="auto"/>
          </w:tcPr>
          <w:p w:rsidR="00BF69EE" w:rsidRPr="00A13719" w:rsidRDefault="00FF0FCC"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0.943</w:t>
            </w:r>
          </w:p>
        </w:tc>
        <w:tc>
          <w:tcPr>
            <w:tcW w:w="850"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0.669</w:t>
            </w:r>
          </w:p>
        </w:tc>
        <w:tc>
          <w:tcPr>
            <w:tcW w:w="851"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0.551</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-18%</w:t>
            </w:r>
          </w:p>
        </w:tc>
        <w:tc>
          <w:tcPr>
            <w:tcW w:w="992" w:type="dxa"/>
            <w:gridSpan w:val="3"/>
            <w:shd w:val="clear" w:color="000000" w:fill="auto"/>
          </w:tcPr>
          <w:p w:rsidR="00BF69EE" w:rsidRPr="00A13719" w:rsidRDefault="006000D0"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w:t>
            </w:r>
            <w:r w:rsidR="00FF0FCC" w:rsidRPr="00A13719">
              <w:rPr>
                <w:rFonts w:eastAsia="Times New Roman" w:cs="Times New Roman"/>
                <w:sz w:val="20"/>
                <w:szCs w:val="20"/>
                <w:lang w:eastAsia="en-GB"/>
              </w:rPr>
              <w:t>.657</w:t>
            </w:r>
            <w:r w:rsidR="0068507E" w:rsidRPr="00A13719">
              <w:rPr>
                <w:rFonts w:eastAsia="Times New Roman" w:cs="Times New Roman"/>
                <w:sz w:val="20"/>
                <w:szCs w:val="20"/>
                <w:lang w:eastAsia="en-GB"/>
              </w:rPr>
              <w:t>*</w:t>
            </w:r>
            <w:r w:rsidR="00110FCD" w:rsidRPr="00A13719">
              <w:rPr>
                <w:rFonts w:eastAsia="Times New Roman" w:cs="Times New Roman"/>
                <w:sz w:val="20"/>
                <w:szCs w:val="20"/>
                <w:lang w:eastAsia="en-GB"/>
              </w:rPr>
              <w:t>*</w:t>
            </w:r>
          </w:p>
        </w:tc>
      </w:tr>
      <w:tr w:rsidR="00A13719" w:rsidRPr="00A13719" w:rsidTr="00892E33">
        <w:trPr>
          <w:trHeight w:val="300"/>
          <w:jc w:val="center"/>
        </w:trPr>
        <w:tc>
          <w:tcPr>
            <w:tcW w:w="1276" w:type="dxa"/>
            <w:gridSpan w:val="2"/>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Sector</w:t>
            </w:r>
          </w:p>
        </w:tc>
        <w:tc>
          <w:tcPr>
            <w:tcW w:w="992"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0.593</w:t>
            </w:r>
          </w:p>
        </w:tc>
        <w:tc>
          <w:tcPr>
            <w:tcW w:w="1134" w:type="dxa"/>
            <w:gridSpan w:val="3"/>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0.541</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-9%</w:t>
            </w:r>
          </w:p>
        </w:tc>
        <w:tc>
          <w:tcPr>
            <w:tcW w:w="993" w:type="dxa"/>
            <w:gridSpan w:val="2"/>
            <w:shd w:val="clear" w:color="000000" w:fill="auto"/>
          </w:tcPr>
          <w:p w:rsidR="00BF69EE" w:rsidRPr="00A13719" w:rsidRDefault="0068507E" w:rsidP="001A097F">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w:t>
            </w:r>
            <w:r w:rsidR="006000D0" w:rsidRPr="00A13719">
              <w:rPr>
                <w:rFonts w:eastAsia="Times New Roman" w:cs="Times New Roman"/>
                <w:sz w:val="20"/>
                <w:szCs w:val="20"/>
                <w:lang w:eastAsia="en-GB"/>
              </w:rPr>
              <w:t>2</w:t>
            </w:r>
            <w:r w:rsidR="001A097F" w:rsidRPr="00A13719">
              <w:rPr>
                <w:rFonts w:eastAsia="Times New Roman" w:cs="Times New Roman"/>
                <w:sz w:val="20"/>
                <w:szCs w:val="20"/>
                <w:lang w:eastAsia="en-GB"/>
              </w:rPr>
              <w:t>8</w:t>
            </w:r>
            <w:r w:rsidR="006000D0" w:rsidRPr="00A13719">
              <w:rPr>
                <w:rFonts w:eastAsia="Times New Roman" w:cs="Times New Roman"/>
                <w:sz w:val="20"/>
                <w:szCs w:val="20"/>
                <w:lang w:eastAsia="en-GB"/>
              </w:rPr>
              <w:t>3</w:t>
            </w:r>
            <w:r w:rsidR="00110FCD" w:rsidRPr="00A13719">
              <w:rPr>
                <w:sz w:val="20"/>
                <w:szCs w:val="20"/>
                <w:lang w:val="en-US"/>
              </w:rPr>
              <w:t>*</w:t>
            </w:r>
          </w:p>
        </w:tc>
        <w:tc>
          <w:tcPr>
            <w:tcW w:w="850"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0.588</w:t>
            </w:r>
          </w:p>
        </w:tc>
        <w:tc>
          <w:tcPr>
            <w:tcW w:w="851"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0.502</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-15%</w:t>
            </w:r>
          </w:p>
        </w:tc>
        <w:tc>
          <w:tcPr>
            <w:tcW w:w="992" w:type="dxa"/>
            <w:gridSpan w:val="3"/>
            <w:shd w:val="clear" w:color="000000" w:fill="auto"/>
          </w:tcPr>
          <w:p w:rsidR="00BF69EE" w:rsidRPr="00A13719" w:rsidRDefault="00FF0FCC"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1.485</w:t>
            </w:r>
            <w:r w:rsidR="0068507E" w:rsidRPr="00A13719">
              <w:rPr>
                <w:rFonts w:eastAsia="Times New Roman" w:cs="Times New Roman"/>
                <w:sz w:val="20"/>
                <w:szCs w:val="20"/>
                <w:lang w:eastAsia="en-GB"/>
              </w:rPr>
              <w:t>*</w:t>
            </w:r>
            <w:r w:rsidR="00110FCD" w:rsidRPr="00A13719">
              <w:rPr>
                <w:rFonts w:eastAsia="Times New Roman" w:cs="Times New Roman"/>
                <w:sz w:val="20"/>
                <w:szCs w:val="20"/>
                <w:lang w:eastAsia="en-GB"/>
              </w:rPr>
              <w:t>*</w:t>
            </w:r>
          </w:p>
        </w:tc>
      </w:tr>
      <w:tr w:rsidR="00A13719" w:rsidRPr="00A13719" w:rsidTr="00892E33">
        <w:trPr>
          <w:trHeight w:val="300"/>
          <w:jc w:val="center"/>
        </w:trPr>
        <w:tc>
          <w:tcPr>
            <w:tcW w:w="1276" w:type="dxa"/>
            <w:gridSpan w:val="2"/>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Long Short</w:t>
            </w:r>
          </w:p>
        </w:tc>
        <w:tc>
          <w:tcPr>
            <w:tcW w:w="992"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0.528</w:t>
            </w:r>
          </w:p>
        </w:tc>
        <w:tc>
          <w:tcPr>
            <w:tcW w:w="1134" w:type="dxa"/>
            <w:gridSpan w:val="3"/>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0.466</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-12%</w:t>
            </w:r>
          </w:p>
        </w:tc>
        <w:tc>
          <w:tcPr>
            <w:tcW w:w="993" w:type="dxa"/>
            <w:gridSpan w:val="2"/>
            <w:shd w:val="clear" w:color="000000" w:fill="auto"/>
          </w:tcPr>
          <w:p w:rsidR="00BF69EE" w:rsidRPr="00A13719" w:rsidRDefault="00FF0FCC"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1.457</w:t>
            </w:r>
            <w:r w:rsidR="0068507E" w:rsidRPr="00A13719">
              <w:rPr>
                <w:rFonts w:eastAsia="Times New Roman" w:cs="Times New Roman"/>
                <w:sz w:val="20"/>
                <w:szCs w:val="20"/>
                <w:lang w:eastAsia="en-GB"/>
              </w:rPr>
              <w:t>*</w:t>
            </w:r>
            <w:r w:rsidR="00110FCD" w:rsidRPr="00A13719">
              <w:rPr>
                <w:rFonts w:eastAsia="Times New Roman" w:cs="Times New Roman"/>
                <w:sz w:val="20"/>
                <w:szCs w:val="20"/>
                <w:lang w:eastAsia="en-GB"/>
              </w:rPr>
              <w:t>*</w:t>
            </w:r>
          </w:p>
        </w:tc>
        <w:tc>
          <w:tcPr>
            <w:tcW w:w="850"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0.574</w:t>
            </w:r>
          </w:p>
        </w:tc>
        <w:tc>
          <w:tcPr>
            <w:tcW w:w="851"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0.312</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-46%</w:t>
            </w:r>
          </w:p>
        </w:tc>
        <w:tc>
          <w:tcPr>
            <w:tcW w:w="992" w:type="dxa"/>
            <w:gridSpan w:val="3"/>
            <w:shd w:val="clear" w:color="000000" w:fill="auto"/>
          </w:tcPr>
          <w:p w:rsidR="00BF69EE" w:rsidRPr="00A13719" w:rsidRDefault="00FF0FCC"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4.617</w:t>
            </w:r>
            <w:r w:rsidR="0068507E" w:rsidRPr="00A13719">
              <w:rPr>
                <w:rFonts w:eastAsia="Times New Roman" w:cs="Times New Roman"/>
                <w:sz w:val="20"/>
                <w:szCs w:val="20"/>
                <w:lang w:eastAsia="en-GB"/>
              </w:rPr>
              <w:t>**</w:t>
            </w:r>
            <w:r w:rsidR="00110FCD" w:rsidRPr="00A13719">
              <w:rPr>
                <w:rFonts w:eastAsia="Times New Roman" w:cs="Times New Roman"/>
                <w:sz w:val="20"/>
                <w:szCs w:val="20"/>
                <w:lang w:eastAsia="en-GB"/>
              </w:rPr>
              <w:t>*</w:t>
            </w:r>
          </w:p>
        </w:tc>
      </w:tr>
      <w:tr w:rsidR="00A13719" w:rsidRPr="00A13719" w:rsidTr="00892E33">
        <w:trPr>
          <w:trHeight w:val="300"/>
          <w:jc w:val="center"/>
        </w:trPr>
        <w:tc>
          <w:tcPr>
            <w:tcW w:w="1276" w:type="dxa"/>
            <w:gridSpan w:val="2"/>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Event Driven</w:t>
            </w:r>
          </w:p>
        </w:tc>
        <w:tc>
          <w:tcPr>
            <w:tcW w:w="992"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0.304</w:t>
            </w:r>
          </w:p>
        </w:tc>
        <w:tc>
          <w:tcPr>
            <w:tcW w:w="1134" w:type="dxa"/>
            <w:gridSpan w:val="3"/>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0.289</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-5%</w:t>
            </w:r>
          </w:p>
        </w:tc>
        <w:tc>
          <w:tcPr>
            <w:tcW w:w="993" w:type="dxa"/>
            <w:gridSpan w:val="2"/>
            <w:shd w:val="clear" w:color="000000" w:fill="auto"/>
          </w:tcPr>
          <w:p w:rsidR="00BF69EE" w:rsidRPr="00A13719" w:rsidRDefault="00FF0FCC"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0.267</w:t>
            </w:r>
          </w:p>
        </w:tc>
        <w:tc>
          <w:tcPr>
            <w:tcW w:w="850"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0.252</w:t>
            </w:r>
          </w:p>
        </w:tc>
        <w:tc>
          <w:tcPr>
            <w:tcW w:w="851"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0.203</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-20%</w:t>
            </w:r>
          </w:p>
        </w:tc>
        <w:tc>
          <w:tcPr>
            <w:tcW w:w="992" w:type="dxa"/>
            <w:gridSpan w:val="3"/>
            <w:shd w:val="clear" w:color="000000" w:fill="auto"/>
          </w:tcPr>
          <w:p w:rsidR="00BF69EE" w:rsidRPr="00A13719" w:rsidRDefault="00FF0FCC"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0.834</w:t>
            </w:r>
          </w:p>
        </w:tc>
      </w:tr>
      <w:tr w:rsidR="00A13719" w:rsidRPr="00A13719" w:rsidTr="00892E33">
        <w:trPr>
          <w:trHeight w:val="300"/>
          <w:jc w:val="center"/>
        </w:trPr>
        <w:tc>
          <w:tcPr>
            <w:tcW w:w="1276" w:type="dxa"/>
            <w:gridSpan w:val="2"/>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Multi-Strategy</w:t>
            </w:r>
          </w:p>
        </w:tc>
        <w:tc>
          <w:tcPr>
            <w:tcW w:w="992"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0.219</w:t>
            </w:r>
          </w:p>
        </w:tc>
        <w:tc>
          <w:tcPr>
            <w:tcW w:w="1134" w:type="dxa"/>
            <w:gridSpan w:val="3"/>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993" w:type="dxa"/>
            <w:gridSpan w:val="2"/>
            <w:shd w:val="clear" w:color="000000" w:fill="auto"/>
          </w:tcPr>
          <w:p w:rsidR="00BF69EE" w:rsidRPr="00A13719" w:rsidRDefault="006000D0"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850"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0.226</w:t>
            </w:r>
          </w:p>
        </w:tc>
        <w:tc>
          <w:tcPr>
            <w:tcW w:w="851"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992" w:type="dxa"/>
            <w:gridSpan w:val="3"/>
            <w:shd w:val="clear" w:color="000000" w:fill="auto"/>
          </w:tcPr>
          <w:p w:rsidR="00BF69EE" w:rsidRPr="00A13719" w:rsidRDefault="006000D0"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r>
      <w:tr w:rsidR="00A13719" w:rsidRPr="00A13719" w:rsidTr="00892E33">
        <w:trPr>
          <w:trHeight w:val="300"/>
          <w:jc w:val="center"/>
        </w:trPr>
        <w:tc>
          <w:tcPr>
            <w:tcW w:w="1276" w:type="dxa"/>
            <w:gridSpan w:val="2"/>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Others</w:t>
            </w:r>
          </w:p>
        </w:tc>
        <w:tc>
          <w:tcPr>
            <w:tcW w:w="992"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0.155</w:t>
            </w:r>
          </w:p>
        </w:tc>
        <w:tc>
          <w:tcPr>
            <w:tcW w:w="1134" w:type="dxa"/>
            <w:gridSpan w:val="3"/>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993" w:type="dxa"/>
            <w:gridSpan w:val="2"/>
            <w:shd w:val="clear" w:color="000000" w:fill="auto"/>
          </w:tcPr>
          <w:p w:rsidR="00BF69EE" w:rsidRPr="00A13719" w:rsidRDefault="006000D0"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850"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0.148</w:t>
            </w:r>
          </w:p>
        </w:tc>
        <w:tc>
          <w:tcPr>
            <w:tcW w:w="851"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0.186</w:t>
            </w:r>
          </w:p>
        </w:tc>
        <w:tc>
          <w:tcPr>
            <w:tcW w:w="1134" w:type="dxa"/>
            <w:gridSpan w:val="2"/>
            <w:shd w:val="clear" w:color="000000" w:fill="auto"/>
            <w:noWrap/>
            <w:vAlign w:val="bottom"/>
            <w:hideMark/>
          </w:tcPr>
          <w:p w:rsidR="00BF69EE" w:rsidRPr="00A13719" w:rsidRDefault="006000D0"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25%</w:t>
            </w:r>
          </w:p>
        </w:tc>
        <w:tc>
          <w:tcPr>
            <w:tcW w:w="992" w:type="dxa"/>
            <w:gridSpan w:val="3"/>
            <w:shd w:val="clear" w:color="000000" w:fill="auto"/>
          </w:tcPr>
          <w:p w:rsidR="00BF69EE" w:rsidRPr="00A13719" w:rsidRDefault="00FF0FCC"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0.958</w:t>
            </w:r>
          </w:p>
        </w:tc>
      </w:tr>
      <w:tr w:rsidR="00A13719" w:rsidRPr="00A13719" w:rsidTr="00892E33">
        <w:trPr>
          <w:trHeight w:val="300"/>
          <w:jc w:val="center"/>
        </w:trPr>
        <w:tc>
          <w:tcPr>
            <w:tcW w:w="1276" w:type="dxa"/>
            <w:gridSpan w:val="2"/>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Global Macro</w:t>
            </w:r>
          </w:p>
        </w:tc>
        <w:tc>
          <w:tcPr>
            <w:tcW w:w="992"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0.306</w:t>
            </w:r>
          </w:p>
        </w:tc>
        <w:tc>
          <w:tcPr>
            <w:tcW w:w="1134" w:type="dxa"/>
            <w:gridSpan w:val="3"/>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993" w:type="dxa"/>
            <w:gridSpan w:val="2"/>
            <w:shd w:val="clear" w:color="000000" w:fill="auto"/>
          </w:tcPr>
          <w:p w:rsidR="00BF69EE" w:rsidRPr="00A13719" w:rsidRDefault="006000D0"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850"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0.285</w:t>
            </w:r>
          </w:p>
        </w:tc>
        <w:tc>
          <w:tcPr>
            <w:tcW w:w="851"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0.081</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-72%</w:t>
            </w:r>
          </w:p>
        </w:tc>
        <w:tc>
          <w:tcPr>
            <w:tcW w:w="992" w:type="dxa"/>
            <w:gridSpan w:val="3"/>
            <w:shd w:val="clear" w:color="000000" w:fill="auto"/>
          </w:tcPr>
          <w:p w:rsidR="00BF69EE" w:rsidRPr="00A13719" w:rsidRDefault="0068507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4</w:t>
            </w:r>
            <w:r w:rsidR="00FF0FCC" w:rsidRPr="00A13719">
              <w:rPr>
                <w:rFonts w:eastAsia="Times New Roman" w:cs="Times New Roman"/>
                <w:sz w:val="20"/>
                <w:szCs w:val="20"/>
                <w:lang w:eastAsia="en-GB"/>
              </w:rPr>
              <w:t>.144</w:t>
            </w:r>
            <w:r w:rsidRPr="00A13719">
              <w:rPr>
                <w:rFonts w:eastAsia="Times New Roman" w:cs="Times New Roman"/>
                <w:sz w:val="20"/>
                <w:szCs w:val="20"/>
                <w:lang w:eastAsia="en-GB"/>
              </w:rPr>
              <w:t>*</w:t>
            </w:r>
            <w:r w:rsidR="00110FCD" w:rsidRPr="00A13719">
              <w:rPr>
                <w:rFonts w:eastAsia="Times New Roman" w:cs="Times New Roman"/>
                <w:sz w:val="20"/>
                <w:szCs w:val="20"/>
                <w:lang w:eastAsia="en-GB"/>
              </w:rPr>
              <w:t>*</w:t>
            </w:r>
            <w:r w:rsidRPr="00A13719">
              <w:rPr>
                <w:rFonts w:eastAsia="Times New Roman" w:cs="Times New Roman"/>
                <w:sz w:val="20"/>
                <w:szCs w:val="20"/>
                <w:lang w:eastAsia="en-GB"/>
              </w:rPr>
              <w:t>*</w:t>
            </w:r>
          </w:p>
        </w:tc>
      </w:tr>
      <w:tr w:rsidR="00A13719" w:rsidRPr="00A13719" w:rsidTr="00892E33">
        <w:trPr>
          <w:trHeight w:val="300"/>
          <w:jc w:val="center"/>
        </w:trPr>
        <w:tc>
          <w:tcPr>
            <w:tcW w:w="1276" w:type="dxa"/>
            <w:gridSpan w:val="2"/>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Relative Value</w:t>
            </w:r>
          </w:p>
        </w:tc>
        <w:tc>
          <w:tcPr>
            <w:tcW w:w="992"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0.148</w:t>
            </w:r>
          </w:p>
        </w:tc>
        <w:tc>
          <w:tcPr>
            <w:tcW w:w="1134" w:type="dxa"/>
            <w:gridSpan w:val="3"/>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0.284</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91%</w:t>
            </w:r>
          </w:p>
        </w:tc>
        <w:tc>
          <w:tcPr>
            <w:tcW w:w="993" w:type="dxa"/>
            <w:gridSpan w:val="2"/>
            <w:shd w:val="clear" w:color="000000" w:fill="auto"/>
          </w:tcPr>
          <w:p w:rsidR="00BF69EE" w:rsidRPr="00A13719" w:rsidRDefault="006000D0"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2</w:t>
            </w:r>
            <w:r w:rsidR="00FF0FCC" w:rsidRPr="00A13719">
              <w:rPr>
                <w:rFonts w:eastAsia="Times New Roman" w:cs="Times New Roman"/>
                <w:sz w:val="20"/>
                <w:szCs w:val="20"/>
                <w:lang w:eastAsia="en-GB"/>
              </w:rPr>
              <w:t>.946</w:t>
            </w:r>
            <w:r w:rsidR="0068507E" w:rsidRPr="00A13719">
              <w:rPr>
                <w:rFonts w:eastAsia="Times New Roman" w:cs="Times New Roman"/>
                <w:sz w:val="20"/>
                <w:szCs w:val="20"/>
                <w:lang w:eastAsia="en-GB"/>
              </w:rPr>
              <w:t>*</w:t>
            </w:r>
            <w:r w:rsidR="00110FCD" w:rsidRPr="00A13719">
              <w:rPr>
                <w:rFonts w:eastAsia="Times New Roman" w:cs="Times New Roman"/>
                <w:sz w:val="20"/>
                <w:szCs w:val="20"/>
                <w:lang w:eastAsia="en-GB"/>
              </w:rPr>
              <w:t>*</w:t>
            </w:r>
            <w:r w:rsidR="0068507E" w:rsidRPr="00A13719">
              <w:rPr>
                <w:rFonts w:eastAsia="Times New Roman" w:cs="Times New Roman"/>
                <w:sz w:val="20"/>
                <w:szCs w:val="20"/>
                <w:lang w:eastAsia="en-GB"/>
              </w:rPr>
              <w:t>*</w:t>
            </w:r>
          </w:p>
        </w:tc>
        <w:tc>
          <w:tcPr>
            <w:tcW w:w="850"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0.151</w:t>
            </w:r>
          </w:p>
        </w:tc>
        <w:tc>
          <w:tcPr>
            <w:tcW w:w="851"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992" w:type="dxa"/>
            <w:gridSpan w:val="3"/>
            <w:shd w:val="clear" w:color="000000" w:fill="auto"/>
          </w:tcPr>
          <w:p w:rsidR="00BF69EE" w:rsidRPr="00A13719" w:rsidRDefault="00BF69EE" w:rsidP="00D10834">
            <w:pPr>
              <w:spacing w:after="0" w:line="240" w:lineRule="auto"/>
              <w:jc w:val="center"/>
              <w:rPr>
                <w:rFonts w:eastAsia="Times New Roman" w:cs="Times New Roman"/>
                <w:sz w:val="20"/>
                <w:szCs w:val="20"/>
                <w:lang w:eastAsia="en-GB"/>
              </w:rPr>
            </w:pPr>
          </w:p>
        </w:tc>
      </w:tr>
      <w:tr w:rsidR="00A13719" w:rsidRPr="00A13719" w:rsidTr="00892E33">
        <w:trPr>
          <w:trHeight w:val="300"/>
          <w:jc w:val="center"/>
        </w:trPr>
        <w:tc>
          <w:tcPr>
            <w:tcW w:w="1276" w:type="dxa"/>
            <w:gridSpan w:val="2"/>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Market Neutral</w:t>
            </w:r>
          </w:p>
        </w:tc>
        <w:tc>
          <w:tcPr>
            <w:tcW w:w="992"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0.068</w:t>
            </w:r>
          </w:p>
        </w:tc>
        <w:tc>
          <w:tcPr>
            <w:tcW w:w="1134" w:type="dxa"/>
            <w:gridSpan w:val="3"/>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993" w:type="dxa"/>
            <w:gridSpan w:val="2"/>
            <w:shd w:val="clear" w:color="000000" w:fill="auto"/>
          </w:tcPr>
          <w:p w:rsidR="00BF69EE" w:rsidRPr="00A13719" w:rsidRDefault="006000D0"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850"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0.075</w:t>
            </w:r>
          </w:p>
        </w:tc>
        <w:tc>
          <w:tcPr>
            <w:tcW w:w="851"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1134" w:type="dxa"/>
            <w:gridSpan w:val="2"/>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992" w:type="dxa"/>
            <w:gridSpan w:val="3"/>
            <w:shd w:val="clear" w:color="000000" w:fill="auto"/>
          </w:tcPr>
          <w:p w:rsidR="00BF69EE" w:rsidRPr="00A13719" w:rsidRDefault="00BF69EE" w:rsidP="00D10834">
            <w:pPr>
              <w:spacing w:after="0" w:line="240" w:lineRule="auto"/>
              <w:jc w:val="center"/>
              <w:rPr>
                <w:rFonts w:eastAsia="Times New Roman" w:cs="Times New Roman"/>
                <w:sz w:val="20"/>
                <w:szCs w:val="20"/>
                <w:lang w:eastAsia="en-GB"/>
              </w:rPr>
            </w:pPr>
          </w:p>
        </w:tc>
      </w:tr>
      <w:tr w:rsidR="00A13719" w:rsidRPr="00A13719" w:rsidTr="00892E33">
        <w:trPr>
          <w:trHeight w:val="315"/>
          <w:jc w:val="center"/>
        </w:trPr>
        <w:tc>
          <w:tcPr>
            <w:tcW w:w="1276" w:type="dxa"/>
            <w:gridSpan w:val="2"/>
            <w:tcBorders>
              <w:bottom w:val="single" w:sz="8" w:space="0" w:color="auto"/>
            </w:tcBorders>
            <w:shd w:val="clear" w:color="000000" w:fill="auto"/>
            <w:noWrap/>
            <w:vAlign w:val="bottom"/>
            <w:hideMark/>
          </w:tcPr>
          <w:p w:rsidR="00BF69EE" w:rsidRPr="00A13719" w:rsidRDefault="00BF69EE" w:rsidP="00E81E21">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CTAs</w:t>
            </w:r>
          </w:p>
        </w:tc>
        <w:tc>
          <w:tcPr>
            <w:tcW w:w="992" w:type="dxa"/>
            <w:gridSpan w:val="2"/>
            <w:tcBorders>
              <w:bottom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1134" w:type="dxa"/>
            <w:gridSpan w:val="3"/>
            <w:tcBorders>
              <w:bottom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-0.147</w:t>
            </w:r>
          </w:p>
        </w:tc>
        <w:tc>
          <w:tcPr>
            <w:tcW w:w="1134" w:type="dxa"/>
            <w:gridSpan w:val="2"/>
            <w:tcBorders>
              <w:bottom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993" w:type="dxa"/>
            <w:gridSpan w:val="2"/>
            <w:tcBorders>
              <w:bottom w:val="single" w:sz="8" w:space="0" w:color="auto"/>
            </w:tcBorders>
            <w:shd w:val="clear" w:color="000000" w:fill="auto"/>
          </w:tcPr>
          <w:p w:rsidR="00BF69EE" w:rsidRPr="00A13719" w:rsidRDefault="006000D0"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850" w:type="dxa"/>
            <w:gridSpan w:val="2"/>
            <w:tcBorders>
              <w:bottom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851" w:type="dxa"/>
            <w:gridSpan w:val="2"/>
            <w:tcBorders>
              <w:bottom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-0.156</w:t>
            </w:r>
          </w:p>
        </w:tc>
        <w:tc>
          <w:tcPr>
            <w:tcW w:w="1134" w:type="dxa"/>
            <w:gridSpan w:val="2"/>
            <w:tcBorders>
              <w:bottom w:val="single" w:sz="8" w:space="0" w:color="auto"/>
            </w:tcBorders>
            <w:shd w:val="clear" w:color="000000" w:fill="auto"/>
            <w:noWrap/>
            <w:vAlign w:val="bottom"/>
            <w:hideMark/>
          </w:tcPr>
          <w:p w:rsidR="00BF69EE" w:rsidRPr="00A13719" w:rsidRDefault="00BF69EE" w:rsidP="00D10834">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w:t>
            </w:r>
          </w:p>
        </w:tc>
        <w:tc>
          <w:tcPr>
            <w:tcW w:w="992" w:type="dxa"/>
            <w:gridSpan w:val="3"/>
            <w:tcBorders>
              <w:bottom w:val="single" w:sz="8" w:space="0" w:color="auto"/>
            </w:tcBorders>
            <w:shd w:val="clear" w:color="000000" w:fill="auto"/>
          </w:tcPr>
          <w:p w:rsidR="00BF69EE" w:rsidRPr="00A13719" w:rsidRDefault="00BF69EE" w:rsidP="00D10834">
            <w:pPr>
              <w:spacing w:after="0" w:line="240" w:lineRule="auto"/>
              <w:jc w:val="center"/>
              <w:rPr>
                <w:rFonts w:eastAsia="Times New Roman" w:cs="Times New Roman"/>
                <w:sz w:val="20"/>
                <w:szCs w:val="20"/>
                <w:lang w:eastAsia="en-GB"/>
              </w:rPr>
            </w:pPr>
          </w:p>
        </w:tc>
      </w:tr>
      <w:tr w:rsidR="00A13719" w:rsidRPr="00A13719" w:rsidTr="00892E33">
        <w:trPr>
          <w:trHeight w:hRule="exact" w:val="227"/>
          <w:jc w:val="center"/>
        </w:trPr>
        <w:tc>
          <w:tcPr>
            <w:tcW w:w="1276" w:type="dxa"/>
            <w:gridSpan w:val="2"/>
            <w:tcBorders>
              <w:top w:val="single" w:sz="8" w:space="0" w:color="auto"/>
              <w:bottom w:val="single" w:sz="8" w:space="0" w:color="auto"/>
            </w:tcBorders>
            <w:shd w:val="clear" w:color="000000" w:fill="auto"/>
            <w:noWrap/>
            <w:vAlign w:val="bottom"/>
          </w:tcPr>
          <w:p w:rsidR="00DD203B" w:rsidRPr="00A13719" w:rsidRDefault="00A83CF2" w:rsidP="00A83CF2">
            <w:pPr>
              <w:spacing w:after="0" w:line="240" w:lineRule="auto"/>
              <w:jc w:val="center"/>
              <w:rPr>
                <w:rFonts w:eastAsia="Times New Roman" w:cs="Times New Roman"/>
                <w:sz w:val="20"/>
                <w:szCs w:val="20"/>
                <w:lang w:eastAsia="en-GB"/>
              </w:rPr>
            </w:pPr>
            <w:r w:rsidRPr="00A13719">
              <w:rPr>
                <w:rFonts w:eastAsia="Times New Roman" w:cs="Times New Roman"/>
                <w:sz w:val="20"/>
                <w:szCs w:val="20"/>
                <w:lang w:eastAsia="en-GB"/>
              </w:rPr>
              <w:t>Panel B</w:t>
            </w:r>
          </w:p>
        </w:tc>
        <w:tc>
          <w:tcPr>
            <w:tcW w:w="992" w:type="dxa"/>
            <w:gridSpan w:val="2"/>
            <w:tcBorders>
              <w:top w:val="single" w:sz="8" w:space="0" w:color="auto"/>
              <w:bottom w:val="single" w:sz="8" w:space="0" w:color="auto"/>
            </w:tcBorders>
            <w:shd w:val="clear" w:color="000000" w:fill="auto"/>
            <w:noWrap/>
            <w:vAlign w:val="bottom"/>
          </w:tcPr>
          <w:p w:rsidR="00DD203B" w:rsidRPr="00A13719" w:rsidRDefault="00DD203B" w:rsidP="00D10834">
            <w:pPr>
              <w:spacing w:after="0" w:line="240" w:lineRule="auto"/>
              <w:jc w:val="center"/>
              <w:rPr>
                <w:rFonts w:eastAsia="Times New Roman" w:cs="Times New Roman"/>
                <w:sz w:val="20"/>
                <w:szCs w:val="20"/>
                <w:lang w:eastAsia="en-GB"/>
              </w:rPr>
            </w:pPr>
          </w:p>
        </w:tc>
        <w:tc>
          <w:tcPr>
            <w:tcW w:w="1134" w:type="dxa"/>
            <w:gridSpan w:val="3"/>
            <w:tcBorders>
              <w:top w:val="single" w:sz="8" w:space="0" w:color="auto"/>
              <w:bottom w:val="single" w:sz="8" w:space="0" w:color="auto"/>
            </w:tcBorders>
            <w:shd w:val="clear" w:color="000000" w:fill="auto"/>
            <w:noWrap/>
            <w:vAlign w:val="bottom"/>
          </w:tcPr>
          <w:p w:rsidR="00DD203B" w:rsidRPr="00A13719" w:rsidRDefault="00DD203B" w:rsidP="00D10834">
            <w:pPr>
              <w:spacing w:after="0" w:line="240" w:lineRule="auto"/>
              <w:jc w:val="center"/>
              <w:rPr>
                <w:rFonts w:eastAsia="Times New Roman" w:cs="Times New Roman"/>
                <w:sz w:val="20"/>
                <w:szCs w:val="20"/>
                <w:lang w:eastAsia="en-GB"/>
              </w:rPr>
            </w:pPr>
          </w:p>
        </w:tc>
        <w:tc>
          <w:tcPr>
            <w:tcW w:w="1134" w:type="dxa"/>
            <w:gridSpan w:val="2"/>
            <w:tcBorders>
              <w:top w:val="single" w:sz="8" w:space="0" w:color="auto"/>
              <w:bottom w:val="single" w:sz="8" w:space="0" w:color="auto"/>
            </w:tcBorders>
            <w:shd w:val="clear" w:color="000000" w:fill="auto"/>
            <w:noWrap/>
            <w:vAlign w:val="bottom"/>
          </w:tcPr>
          <w:p w:rsidR="00DD203B" w:rsidRPr="00A13719" w:rsidRDefault="00DD203B" w:rsidP="00D10834">
            <w:pPr>
              <w:spacing w:after="0" w:line="240" w:lineRule="auto"/>
              <w:jc w:val="center"/>
              <w:rPr>
                <w:rFonts w:eastAsia="Times New Roman" w:cs="Times New Roman"/>
                <w:sz w:val="20"/>
                <w:szCs w:val="20"/>
                <w:lang w:eastAsia="en-GB"/>
              </w:rPr>
            </w:pPr>
          </w:p>
        </w:tc>
        <w:tc>
          <w:tcPr>
            <w:tcW w:w="993" w:type="dxa"/>
            <w:gridSpan w:val="2"/>
            <w:tcBorders>
              <w:top w:val="single" w:sz="8" w:space="0" w:color="auto"/>
              <w:bottom w:val="single" w:sz="8" w:space="0" w:color="auto"/>
            </w:tcBorders>
            <w:shd w:val="clear" w:color="000000" w:fill="auto"/>
          </w:tcPr>
          <w:p w:rsidR="00DD203B" w:rsidRPr="00A13719" w:rsidRDefault="00DD203B" w:rsidP="00D10834">
            <w:pPr>
              <w:spacing w:after="0" w:line="240" w:lineRule="auto"/>
              <w:jc w:val="center"/>
              <w:rPr>
                <w:rFonts w:eastAsia="Times New Roman" w:cs="Times New Roman"/>
                <w:sz w:val="20"/>
                <w:szCs w:val="20"/>
                <w:lang w:eastAsia="en-GB"/>
              </w:rPr>
            </w:pPr>
          </w:p>
        </w:tc>
        <w:tc>
          <w:tcPr>
            <w:tcW w:w="850" w:type="dxa"/>
            <w:gridSpan w:val="2"/>
            <w:tcBorders>
              <w:top w:val="single" w:sz="8" w:space="0" w:color="auto"/>
              <w:bottom w:val="single" w:sz="8" w:space="0" w:color="auto"/>
            </w:tcBorders>
            <w:shd w:val="clear" w:color="000000" w:fill="auto"/>
            <w:noWrap/>
            <w:vAlign w:val="bottom"/>
          </w:tcPr>
          <w:p w:rsidR="00DD203B" w:rsidRPr="00A13719" w:rsidRDefault="00DD203B" w:rsidP="00D10834">
            <w:pPr>
              <w:spacing w:after="0" w:line="240" w:lineRule="auto"/>
              <w:jc w:val="center"/>
              <w:rPr>
                <w:rFonts w:eastAsia="Times New Roman" w:cs="Times New Roman"/>
                <w:sz w:val="20"/>
                <w:szCs w:val="20"/>
                <w:lang w:eastAsia="en-GB"/>
              </w:rPr>
            </w:pPr>
          </w:p>
        </w:tc>
        <w:tc>
          <w:tcPr>
            <w:tcW w:w="851" w:type="dxa"/>
            <w:gridSpan w:val="2"/>
            <w:tcBorders>
              <w:top w:val="single" w:sz="8" w:space="0" w:color="auto"/>
              <w:bottom w:val="single" w:sz="8" w:space="0" w:color="auto"/>
            </w:tcBorders>
            <w:shd w:val="clear" w:color="000000" w:fill="auto"/>
            <w:noWrap/>
            <w:vAlign w:val="bottom"/>
          </w:tcPr>
          <w:p w:rsidR="00DD203B" w:rsidRPr="00A13719" w:rsidRDefault="00DD203B" w:rsidP="00D10834">
            <w:pPr>
              <w:spacing w:after="0" w:line="240" w:lineRule="auto"/>
              <w:jc w:val="center"/>
              <w:rPr>
                <w:rFonts w:eastAsia="Times New Roman" w:cs="Times New Roman"/>
                <w:sz w:val="20"/>
                <w:szCs w:val="20"/>
                <w:lang w:eastAsia="en-GB"/>
              </w:rPr>
            </w:pPr>
          </w:p>
        </w:tc>
        <w:tc>
          <w:tcPr>
            <w:tcW w:w="1134" w:type="dxa"/>
            <w:gridSpan w:val="2"/>
            <w:tcBorders>
              <w:top w:val="single" w:sz="8" w:space="0" w:color="auto"/>
              <w:bottom w:val="single" w:sz="8" w:space="0" w:color="auto"/>
            </w:tcBorders>
            <w:shd w:val="clear" w:color="000000" w:fill="auto"/>
            <w:noWrap/>
            <w:vAlign w:val="bottom"/>
          </w:tcPr>
          <w:p w:rsidR="00DD203B" w:rsidRPr="00A13719" w:rsidRDefault="00DD203B" w:rsidP="00D10834">
            <w:pPr>
              <w:spacing w:after="0" w:line="240" w:lineRule="auto"/>
              <w:jc w:val="center"/>
              <w:rPr>
                <w:rFonts w:eastAsia="Times New Roman" w:cs="Times New Roman"/>
                <w:sz w:val="20"/>
                <w:szCs w:val="20"/>
                <w:lang w:eastAsia="en-GB"/>
              </w:rPr>
            </w:pPr>
          </w:p>
        </w:tc>
        <w:tc>
          <w:tcPr>
            <w:tcW w:w="992" w:type="dxa"/>
            <w:gridSpan w:val="3"/>
            <w:tcBorders>
              <w:top w:val="single" w:sz="8" w:space="0" w:color="auto"/>
              <w:bottom w:val="single" w:sz="8" w:space="0" w:color="auto"/>
            </w:tcBorders>
            <w:shd w:val="clear" w:color="000000" w:fill="auto"/>
          </w:tcPr>
          <w:p w:rsidR="00DD203B" w:rsidRPr="00A13719" w:rsidRDefault="00DD203B" w:rsidP="00D10834">
            <w:pPr>
              <w:spacing w:after="0" w:line="240" w:lineRule="auto"/>
              <w:jc w:val="center"/>
              <w:rPr>
                <w:rFonts w:eastAsia="Times New Roman" w:cs="Times New Roman"/>
                <w:sz w:val="20"/>
                <w:szCs w:val="20"/>
                <w:lang w:eastAsia="en-GB"/>
              </w:rPr>
            </w:pPr>
          </w:p>
        </w:tc>
      </w:tr>
      <w:tr w:rsidR="00A13719" w:rsidRPr="00A13719" w:rsidTr="00110FCD">
        <w:trPr>
          <w:cantSplit/>
          <w:trHeight w:hRule="exact" w:val="567"/>
          <w:jc w:val="center"/>
        </w:trPr>
        <w:tc>
          <w:tcPr>
            <w:tcW w:w="993" w:type="dxa"/>
            <w:tcBorders>
              <w:top w:val="single" w:sz="8" w:space="0" w:color="auto"/>
              <w:bottom w:val="single" w:sz="8" w:space="0" w:color="auto"/>
            </w:tcBorders>
            <w:shd w:val="clear" w:color="000000" w:fill="auto"/>
            <w:vAlign w:val="center"/>
            <w:hideMark/>
          </w:tcPr>
          <w:p w:rsidR="00DD203B" w:rsidRPr="00A13719" w:rsidRDefault="00DD203B" w:rsidP="00DD203B">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Expansion Period</w:t>
            </w:r>
          </w:p>
        </w:tc>
        <w:tc>
          <w:tcPr>
            <w:tcW w:w="708" w:type="dxa"/>
            <w:gridSpan w:val="2"/>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Short Bias</w:t>
            </w:r>
          </w:p>
        </w:tc>
        <w:tc>
          <w:tcPr>
            <w:tcW w:w="709" w:type="dxa"/>
            <w:gridSpan w:val="2"/>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Long Only</w:t>
            </w:r>
          </w:p>
        </w:tc>
        <w:tc>
          <w:tcPr>
            <w:tcW w:w="851" w:type="dxa"/>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Sector</w:t>
            </w:r>
          </w:p>
        </w:tc>
        <w:tc>
          <w:tcPr>
            <w:tcW w:w="708" w:type="dxa"/>
            <w:gridSpan w:val="2"/>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Long Short</w:t>
            </w:r>
          </w:p>
        </w:tc>
        <w:tc>
          <w:tcPr>
            <w:tcW w:w="709" w:type="dxa"/>
            <w:gridSpan w:val="2"/>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7"/>
                <w:szCs w:val="17"/>
                <w:lang w:eastAsia="en-GB"/>
              </w:rPr>
            </w:pPr>
            <w:r w:rsidRPr="00A13719">
              <w:rPr>
                <w:rFonts w:eastAsia="Times New Roman" w:cs="Times New Roman"/>
                <w:sz w:val="17"/>
                <w:szCs w:val="17"/>
                <w:lang w:eastAsia="en-GB"/>
              </w:rPr>
              <w:t>Event Driven</w:t>
            </w:r>
          </w:p>
        </w:tc>
        <w:tc>
          <w:tcPr>
            <w:tcW w:w="851" w:type="dxa"/>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Multi Strategy</w:t>
            </w:r>
          </w:p>
        </w:tc>
        <w:tc>
          <w:tcPr>
            <w:tcW w:w="708" w:type="dxa"/>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Others</w:t>
            </w:r>
          </w:p>
        </w:tc>
        <w:tc>
          <w:tcPr>
            <w:tcW w:w="709" w:type="dxa"/>
            <w:gridSpan w:val="2"/>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Global Macro</w:t>
            </w:r>
          </w:p>
        </w:tc>
        <w:tc>
          <w:tcPr>
            <w:tcW w:w="851" w:type="dxa"/>
            <w:gridSpan w:val="2"/>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Relative Value</w:t>
            </w:r>
          </w:p>
        </w:tc>
        <w:tc>
          <w:tcPr>
            <w:tcW w:w="850" w:type="dxa"/>
            <w:gridSpan w:val="3"/>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Market Neutral</w:t>
            </w:r>
          </w:p>
        </w:tc>
        <w:tc>
          <w:tcPr>
            <w:tcW w:w="709" w:type="dxa"/>
            <w:tcBorders>
              <w:top w:val="single" w:sz="8" w:space="0" w:color="auto"/>
              <w:bottom w:val="single" w:sz="8" w:space="0" w:color="auto"/>
            </w:tcBorders>
            <w:shd w:val="clear" w:color="000000" w:fill="auto"/>
            <w:noWrap/>
            <w:vAlign w:val="center"/>
            <w:hideMark/>
          </w:tcPr>
          <w:p w:rsidR="00DD203B" w:rsidRPr="00A13719" w:rsidRDefault="00DD203B" w:rsidP="00DD203B">
            <w:pPr>
              <w:spacing w:after="0" w:line="240" w:lineRule="auto"/>
              <w:jc w:val="center"/>
              <w:rPr>
                <w:rFonts w:eastAsia="Times New Roman" w:cs="Times New Roman"/>
                <w:sz w:val="18"/>
                <w:szCs w:val="18"/>
                <w:lang w:eastAsia="en-GB"/>
              </w:rPr>
            </w:pPr>
            <w:r w:rsidRPr="00A13719">
              <w:rPr>
                <w:rFonts w:eastAsia="Times New Roman" w:cs="Times New Roman"/>
                <w:sz w:val="18"/>
                <w:szCs w:val="18"/>
                <w:lang w:eastAsia="en-GB"/>
              </w:rPr>
              <w:t>CTA</w:t>
            </w:r>
          </w:p>
        </w:tc>
      </w:tr>
      <w:tr w:rsidR="00A13719" w:rsidRPr="00A13719" w:rsidTr="00110FCD">
        <w:trPr>
          <w:trHeight w:val="300"/>
          <w:jc w:val="center"/>
        </w:trPr>
        <w:tc>
          <w:tcPr>
            <w:tcW w:w="993" w:type="dxa"/>
            <w:tcBorders>
              <w:top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MOM</w:t>
            </w:r>
          </w:p>
        </w:tc>
        <w:tc>
          <w:tcPr>
            <w:tcW w:w="708"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0" w:type="dxa"/>
            <w:gridSpan w:val="3"/>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r>
      <w:tr w:rsidR="00A13719" w:rsidRPr="00A13719" w:rsidTr="00110FCD">
        <w:trPr>
          <w:trHeight w:val="315"/>
          <w:jc w:val="center"/>
        </w:trPr>
        <w:tc>
          <w:tcPr>
            <w:tcW w:w="993" w:type="dxa"/>
            <w:tcBorders>
              <w:bottom w:val="nil"/>
            </w:tcBorders>
            <w:shd w:val="clear" w:color="000000" w:fill="auto"/>
            <w:noWrap/>
            <w:vAlign w:val="bottom"/>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SMB</w:t>
            </w:r>
          </w:p>
        </w:tc>
        <w:tc>
          <w:tcPr>
            <w:tcW w:w="708"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0" w:type="dxa"/>
            <w:gridSpan w:val="3"/>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r>
      <w:tr w:rsidR="00A13719" w:rsidRPr="00A13719" w:rsidTr="00110FCD">
        <w:trPr>
          <w:trHeight w:val="315"/>
          <w:jc w:val="center"/>
        </w:trPr>
        <w:tc>
          <w:tcPr>
            <w:tcW w:w="993" w:type="dxa"/>
            <w:tcBorders>
              <w:top w:val="nil"/>
              <w:bottom w:val="single" w:sz="8" w:space="0" w:color="auto"/>
            </w:tcBorders>
            <w:shd w:val="clear" w:color="000000" w:fill="auto"/>
            <w:noWrap/>
            <w:vAlign w:val="bottom"/>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HML</w:t>
            </w:r>
          </w:p>
        </w:tc>
        <w:tc>
          <w:tcPr>
            <w:tcW w:w="708"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9"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8"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9"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851"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0" w:type="dxa"/>
            <w:gridSpan w:val="3"/>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9" w:type="dxa"/>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r>
      <w:tr w:rsidR="00A13719" w:rsidRPr="00A13719" w:rsidTr="00110FCD">
        <w:trPr>
          <w:trHeight w:val="225"/>
          <w:jc w:val="center"/>
        </w:trPr>
        <w:tc>
          <w:tcPr>
            <w:tcW w:w="993" w:type="dxa"/>
            <w:tcBorders>
              <w:top w:val="single" w:sz="8" w:space="0" w:color="auto"/>
              <w:bottom w:val="single" w:sz="8" w:space="0" w:color="auto"/>
            </w:tcBorders>
            <w:shd w:val="clear" w:color="000000" w:fill="auto"/>
            <w:vAlign w:val="center"/>
            <w:hideMark/>
          </w:tcPr>
          <w:p w:rsidR="00DD203B" w:rsidRPr="00A13719" w:rsidRDefault="00DD203B" w:rsidP="00DD203B">
            <w:pPr>
              <w:spacing w:after="0" w:line="240" w:lineRule="auto"/>
              <w:rPr>
                <w:rFonts w:eastAsia="Times New Roman" w:cs="Times New Roman"/>
                <w:sz w:val="18"/>
                <w:szCs w:val="18"/>
                <w:lang w:eastAsia="en-GB"/>
              </w:rPr>
            </w:pPr>
            <w:r w:rsidRPr="00A13719">
              <w:rPr>
                <w:rFonts w:eastAsia="Times New Roman" w:cs="Times New Roman"/>
                <w:sz w:val="18"/>
                <w:szCs w:val="18"/>
                <w:lang w:eastAsia="en-GB"/>
              </w:rPr>
              <w:t>Recession Period</w:t>
            </w:r>
          </w:p>
        </w:tc>
        <w:tc>
          <w:tcPr>
            <w:tcW w:w="708"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1"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8"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1"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8"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1"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0" w:type="dxa"/>
            <w:gridSpan w:val="3"/>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r>
      <w:tr w:rsidR="00A13719" w:rsidRPr="00A13719" w:rsidTr="00110FCD">
        <w:trPr>
          <w:trHeight w:val="300"/>
          <w:jc w:val="center"/>
        </w:trPr>
        <w:tc>
          <w:tcPr>
            <w:tcW w:w="993" w:type="dxa"/>
            <w:tcBorders>
              <w:top w:val="single" w:sz="8" w:space="0" w:color="auto"/>
              <w:bottom w:val="nil"/>
            </w:tcBorders>
            <w:shd w:val="clear" w:color="000000" w:fill="auto"/>
            <w:noWrap/>
            <w:vAlign w:val="bottom"/>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COAG</w:t>
            </w:r>
          </w:p>
        </w:tc>
        <w:tc>
          <w:tcPr>
            <w:tcW w:w="708" w:type="dxa"/>
            <w:gridSpan w:val="2"/>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gridSpan w:val="2"/>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8" w:type="dxa"/>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gridSpan w:val="2"/>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0" w:type="dxa"/>
            <w:gridSpan w:val="3"/>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tcBorders>
              <w:top w:val="single" w:sz="8" w:space="0" w:color="auto"/>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r>
      <w:tr w:rsidR="00A13719" w:rsidRPr="00A13719" w:rsidTr="00110FCD">
        <w:trPr>
          <w:trHeight w:val="315"/>
          <w:jc w:val="center"/>
        </w:trPr>
        <w:tc>
          <w:tcPr>
            <w:tcW w:w="993" w:type="dxa"/>
            <w:tcBorders>
              <w:top w:val="nil"/>
              <w:bottom w:val="nil"/>
            </w:tcBorders>
            <w:shd w:val="clear" w:color="000000" w:fill="auto"/>
            <w:noWrap/>
            <w:vAlign w:val="bottom"/>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COEN</w:t>
            </w:r>
          </w:p>
        </w:tc>
        <w:tc>
          <w:tcPr>
            <w:tcW w:w="708" w:type="dxa"/>
            <w:gridSpan w:val="2"/>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851" w:type="dxa"/>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8" w:type="dxa"/>
            <w:gridSpan w:val="2"/>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9" w:type="dxa"/>
            <w:gridSpan w:val="2"/>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851" w:type="dxa"/>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8" w:type="dxa"/>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gridSpan w:val="2"/>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850" w:type="dxa"/>
            <w:gridSpan w:val="3"/>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9" w:type="dxa"/>
            <w:tcBorders>
              <w:top w:val="nil"/>
              <w:bottom w:val="nil"/>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r>
      <w:tr w:rsidR="00A13719" w:rsidRPr="00A13719" w:rsidTr="00110FCD">
        <w:trPr>
          <w:trHeight w:val="315"/>
          <w:jc w:val="center"/>
        </w:trPr>
        <w:tc>
          <w:tcPr>
            <w:tcW w:w="993" w:type="dxa"/>
            <w:tcBorders>
              <w:top w:val="nil"/>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COIM</w:t>
            </w:r>
          </w:p>
        </w:tc>
        <w:tc>
          <w:tcPr>
            <w:tcW w:w="708" w:type="dxa"/>
            <w:gridSpan w:val="2"/>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8" w:type="dxa"/>
            <w:gridSpan w:val="2"/>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8" w:type="dxa"/>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gridSpan w:val="2"/>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0" w:type="dxa"/>
            <w:gridSpan w:val="3"/>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tcBorders>
              <w:top w:val="nil"/>
              <w:bottom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p>
        </w:tc>
      </w:tr>
      <w:tr w:rsidR="00A13719" w:rsidRPr="00A13719" w:rsidTr="00110FCD">
        <w:trPr>
          <w:trHeight w:val="240"/>
          <w:jc w:val="center"/>
        </w:trPr>
        <w:tc>
          <w:tcPr>
            <w:tcW w:w="993" w:type="dxa"/>
            <w:tcBorders>
              <w:top w:val="single" w:sz="8" w:space="0" w:color="auto"/>
              <w:bottom w:val="single" w:sz="8" w:space="0" w:color="auto"/>
            </w:tcBorders>
            <w:shd w:val="clear" w:color="000000" w:fill="auto"/>
            <w:vAlign w:val="center"/>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Up Regime</w:t>
            </w:r>
          </w:p>
        </w:tc>
        <w:tc>
          <w:tcPr>
            <w:tcW w:w="708"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1"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8"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1"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8"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1"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0" w:type="dxa"/>
            <w:gridSpan w:val="3"/>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r>
      <w:tr w:rsidR="00A13719" w:rsidRPr="00A13719" w:rsidTr="00110FCD">
        <w:trPr>
          <w:trHeight w:val="300"/>
          <w:jc w:val="center"/>
        </w:trPr>
        <w:tc>
          <w:tcPr>
            <w:tcW w:w="993" w:type="dxa"/>
            <w:tcBorders>
              <w:top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MOM</w:t>
            </w:r>
          </w:p>
        </w:tc>
        <w:tc>
          <w:tcPr>
            <w:tcW w:w="708"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0" w:type="dxa"/>
            <w:gridSpan w:val="3"/>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r>
      <w:tr w:rsidR="00A13719" w:rsidRPr="00A13719" w:rsidTr="00110FCD">
        <w:trPr>
          <w:trHeight w:val="315"/>
          <w:jc w:val="center"/>
        </w:trPr>
        <w:tc>
          <w:tcPr>
            <w:tcW w:w="993" w:type="dxa"/>
            <w:tcBorders>
              <w:bottom w:val="nil"/>
            </w:tcBorders>
            <w:shd w:val="clear" w:color="000000" w:fill="auto"/>
            <w:noWrap/>
            <w:vAlign w:val="bottom"/>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SMB</w:t>
            </w:r>
          </w:p>
        </w:tc>
        <w:tc>
          <w:tcPr>
            <w:tcW w:w="708"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gridSpan w:val="2"/>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0" w:type="dxa"/>
            <w:gridSpan w:val="3"/>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tcBorders>
              <w:bottom w:val="nil"/>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r>
      <w:tr w:rsidR="00A13719" w:rsidRPr="00A13719" w:rsidTr="00110FCD">
        <w:trPr>
          <w:trHeight w:val="315"/>
          <w:jc w:val="center"/>
        </w:trPr>
        <w:tc>
          <w:tcPr>
            <w:tcW w:w="993" w:type="dxa"/>
            <w:tcBorders>
              <w:top w:val="nil"/>
              <w:bottom w:val="single" w:sz="8" w:space="0" w:color="auto"/>
            </w:tcBorders>
            <w:shd w:val="clear" w:color="000000" w:fill="auto"/>
            <w:noWrap/>
            <w:vAlign w:val="bottom"/>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HML</w:t>
            </w:r>
          </w:p>
        </w:tc>
        <w:tc>
          <w:tcPr>
            <w:tcW w:w="708"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9"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8"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709"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c>
          <w:tcPr>
            <w:tcW w:w="851" w:type="dxa"/>
            <w:gridSpan w:val="2"/>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0" w:type="dxa"/>
            <w:gridSpan w:val="3"/>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tcBorders>
              <w:top w:val="nil"/>
              <w:bottom w:val="single" w:sz="8" w:space="0" w:color="auto"/>
            </w:tcBorders>
            <w:shd w:val="clear" w:color="000000" w:fill="auto"/>
            <w:noWrap/>
            <w:vAlign w:val="bottom"/>
          </w:tcPr>
          <w:p w:rsidR="00DD203B" w:rsidRPr="00A13719" w:rsidRDefault="00DD203B" w:rsidP="00DD203B">
            <w:pPr>
              <w:spacing w:after="0" w:line="240" w:lineRule="auto"/>
              <w:jc w:val="center"/>
              <w:rPr>
                <w:rFonts w:eastAsia="Times New Roman" w:cs="Times New Roman"/>
                <w:sz w:val="22"/>
                <w:lang w:eastAsia="en-GB"/>
              </w:rPr>
            </w:pPr>
          </w:p>
        </w:tc>
      </w:tr>
      <w:tr w:rsidR="00A13719" w:rsidRPr="00A13719" w:rsidTr="00110FCD">
        <w:trPr>
          <w:trHeight w:val="240"/>
          <w:jc w:val="center"/>
        </w:trPr>
        <w:tc>
          <w:tcPr>
            <w:tcW w:w="993" w:type="dxa"/>
            <w:tcBorders>
              <w:top w:val="single" w:sz="8" w:space="0" w:color="auto"/>
              <w:bottom w:val="single" w:sz="8" w:space="0" w:color="auto"/>
            </w:tcBorders>
            <w:shd w:val="clear" w:color="000000" w:fill="auto"/>
            <w:vAlign w:val="center"/>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Down Regime</w:t>
            </w:r>
          </w:p>
        </w:tc>
        <w:tc>
          <w:tcPr>
            <w:tcW w:w="708"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1"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8"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1"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8"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1" w:type="dxa"/>
            <w:gridSpan w:val="2"/>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850" w:type="dxa"/>
            <w:gridSpan w:val="3"/>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c>
          <w:tcPr>
            <w:tcW w:w="709" w:type="dxa"/>
            <w:tcBorders>
              <w:top w:val="single" w:sz="8" w:space="0" w:color="auto"/>
              <w:bottom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2"/>
                <w:lang w:eastAsia="en-GB"/>
              </w:rPr>
            </w:pPr>
            <w:r w:rsidRPr="00A13719">
              <w:rPr>
                <w:rFonts w:eastAsia="Times New Roman" w:cs="Times New Roman"/>
                <w:sz w:val="22"/>
                <w:lang w:eastAsia="en-GB"/>
              </w:rPr>
              <w:t> </w:t>
            </w:r>
          </w:p>
        </w:tc>
      </w:tr>
      <w:tr w:rsidR="00A13719" w:rsidRPr="00A13719" w:rsidTr="00110FCD">
        <w:trPr>
          <w:trHeight w:val="300"/>
          <w:jc w:val="center"/>
        </w:trPr>
        <w:tc>
          <w:tcPr>
            <w:tcW w:w="993" w:type="dxa"/>
            <w:tcBorders>
              <w:top w:val="single" w:sz="8" w:space="0" w:color="auto"/>
            </w:tcBorders>
            <w:shd w:val="clear" w:color="000000" w:fill="auto"/>
            <w:noWrap/>
            <w:vAlign w:val="bottom"/>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SMB</w:t>
            </w:r>
          </w:p>
        </w:tc>
        <w:tc>
          <w:tcPr>
            <w:tcW w:w="708"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8"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9"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8"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gridSpan w:val="2"/>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0" w:type="dxa"/>
            <w:gridSpan w:val="3"/>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tcBorders>
              <w:top w:val="single" w:sz="8" w:space="0" w:color="auto"/>
            </w:tcBorders>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r>
      <w:tr w:rsidR="00A13719" w:rsidRPr="00A13719" w:rsidTr="00110FCD">
        <w:trPr>
          <w:trHeight w:val="300"/>
          <w:jc w:val="center"/>
        </w:trPr>
        <w:tc>
          <w:tcPr>
            <w:tcW w:w="993" w:type="dxa"/>
            <w:shd w:val="clear" w:color="000000" w:fill="auto"/>
            <w:noWrap/>
            <w:vAlign w:val="bottom"/>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COIM</w:t>
            </w:r>
          </w:p>
        </w:tc>
        <w:tc>
          <w:tcPr>
            <w:tcW w:w="708"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8"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708" w:type="dxa"/>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43"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16"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r>
      <w:tr w:rsidR="00A13719" w:rsidRPr="00A13719" w:rsidTr="00110FCD">
        <w:trPr>
          <w:trHeight w:val="315"/>
          <w:jc w:val="center"/>
        </w:trPr>
        <w:tc>
          <w:tcPr>
            <w:tcW w:w="993" w:type="dxa"/>
            <w:shd w:val="clear" w:color="000000" w:fill="auto"/>
            <w:noWrap/>
            <w:vAlign w:val="bottom"/>
            <w:hideMark/>
          </w:tcPr>
          <w:p w:rsidR="00DD203B" w:rsidRPr="00A13719" w:rsidRDefault="00DD203B" w:rsidP="00DD203B">
            <w:pPr>
              <w:spacing w:after="0" w:line="240" w:lineRule="auto"/>
              <w:rPr>
                <w:rFonts w:eastAsia="Times New Roman" w:cs="Times New Roman"/>
                <w:sz w:val="20"/>
                <w:szCs w:val="20"/>
                <w:lang w:eastAsia="en-GB"/>
              </w:rPr>
            </w:pPr>
            <w:r w:rsidRPr="00A13719">
              <w:rPr>
                <w:rFonts w:eastAsia="Times New Roman" w:cs="Times New Roman"/>
                <w:sz w:val="20"/>
                <w:szCs w:val="20"/>
                <w:lang w:eastAsia="en-GB"/>
              </w:rPr>
              <w:t>COEN</w:t>
            </w:r>
          </w:p>
        </w:tc>
        <w:tc>
          <w:tcPr>
            <w:tcW w:w="708"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 </w:t>
            </w:r>
          </w:p>
        </w:tc>
        <w:tc>
          <w:tcPr>
            <w:tcW w:w="709"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p>
        </w:tc>
        <w:tc>
          <w:tcPr>
            <w:tcW w:w="851" w:type="dxa"/>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p>
        </w:tc>
        <w:tc>
          <w:tcPr>
            <w:tcW w:w="708"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51" w:type="dxa"/>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8" w:type="dxa"/>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709"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c>
          <w:tcPr>
            <w:tcW w:w="851"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 </w:t>
            </w:r>
          </w:p>
        </w:tc>
        <w:tc>
          <w:tcPr>
            <w:tcW w:w="843"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p>
        </w:tc>
        <w:tc>
          <w:tcPr>
            <w:tcW w:w="716" w:type="dxa"/>
            <w:gridSpan w:val="2"/>
            <w:shd w:val="clear" w:color="000000" w:fill="auto"/>
            <w:noWrap/>
            <w:vAlign w:val="bottom"/>
            <w:hideMark/>
          </w:tcPr>
          <w:p w:rsidR="00DD203B" w:rsidRPr="00A13719" w:rsidRDefault="00DD203B" w:rsidP="00DD203B">
            <w:pPr>
              <w:spacing w:after="0" w:line="240" w:lineRule="auto"/>
              <w:jc w:val="center"/>
              <w:rPr>
                <w:rFonts w:eastAsia="Times New Roman" w:cs="Times New Roman"/>
                <w:sz w:val="22"/>
                <w:lang w:eastAsia="en-GB"/>
              </w:rPr>
            </w:pPr>
            <w:r w:rsidRPr="00A13719">
              <w:rPr>
                <w:rFonts w:eastAsia="Times New Roman" w:cs="Times New Roman"/>
                <w:sz w:val="22"/>
                <w:lang w:eastAsia="en-GB"/>
              </w:rPr>
              <w:t>x</w:t>
            </w:r>
          </w:p>
        </w:tc>
      </w:tr>
    </w:tbl>
    <w:p w:rsidR="00CF70F8" w:rsidRPr="00A13719" w:rsidRDefault="00996223" w:rsidP="00A83CF2">
      <w:pPr>
        <w:jc w:val="both"/>
        <w:rPr>
          <w:b/>
          <w:lang w:val="en-US"/>
        </w:rPr>
      </w:pPr>
      <w:r w:rsidRPr="00A13719">
        <w:rPr>
          <w:b/>
          <w:sz w:val="28"/>
          <w:szCs w:val="28"/>
          <w:lang w:val="en-US"/>
        </w:rPr>
        <w:br w:type="page"/>
      </w:r>
      <w:r w:rsidR="000234DC" w:rsidRPr="00A13719">
        <w:rPr>
          <w:b/>
          <w:lang w:val="en-US"/>
        </w:rPr>
        <w:lastRenderedPageBreak/>
        <w:t>Opposite/</w:t>
      </w:r>
      <w:r w:rsidR="00CF70F8" w:rsidRPr="00A13719">
        <w:rPr>
          <w:b/>
          <w:lang w:val="en-US"/>
        </w:rPr>
        <w:t>Reverse Exposures</w:t>
      </w:r>
    </w:p>
    <w:p w:rsidR="000234DC" w:rsidRPr="00A13719" w:rsidRDefault="00E54CB0" w:rsidP="00E54CB0">
      <w:pPr>
        <w:jc w:val="both"/>
        <w:rPr>
          <w:lang w:val="en-US"/>
        </w:rPr>
      </w:pPr>
      <w:r w:rsidRPr="00A13719">
        <w:rPr>
          <w:lang w:val="en-US"/>
        </w:rPr>
        <w:t xml:space="preserve">So far we have shown that </w:t>
      </w:r>
      <w:r w:rsidR="00B56004" w:rsidRPr="00A13719">
        <w:rPr>
          <w:rFonts w:eastAsiaTheme="minorEastAsia"/>
          <w:lang w:val="en-US"/>
        </w:rPr>
        <w:t>HF</w:t>
      </w:r>
      <w:r w:rsidR="00B56004" w:rsidRPr="00A13719">
        <w:rPr>
          <w:lang w:val="en-US"/>
        </w:rPr>
        <w:t xml:space="preserve"> </w:t>
      </w:r>
      <w:r w:rsidRPr="00A13719">
        <w:rPr>
          <w:lang w:val="en-US"/>
        </w:rPr>
        <w:t>strategies</w:t>
      </w:r>
      <w:r w:rsidR="002F46AE" w:rsidRPr="00A13719">
        <w:rPr>
          <w:lang w:val="en-US"/>
        </w:rPr>
        <w:t>,</w:t>
      </w:r>
      <w:r w:rsidRPr="00A13719">
        <w:rPr>
          <w:lang w:val="en-US"/>
        </w:rPr>
        <w:t xml:space="preserve"> </w:t>
      </w:r>
      <w:r w:rsidR="00B531A3" w:rsidRPr="00A13719">
        <w:rPr>
          <w:lang w:val="en-US"/>
        </w:rPr>
        <w:t>conditional on market conditions</w:t>
      </w:r>
      <w:r w:rsidR="002F46AE" w:rsidRPr="00A13719">
        <w:rPr>
          <w:lang w:val="en-US"/>
        </w:rPr>
        <w:t>,</w:t>
      </w:r>
      <w:r w:rsidR="00B531A3" w:rsidRPr="00A13719">
        <w:rPr>
          <w:lang w:val="en-US"/>
        </w:rPr>
        <w:t xml:space="preserve"> </w:t>
      </w:r>
      <w:r w:rsidR="00E31D02" w:rsidRPr="00A13719">
        <w:rPr>
          <w:lang w:val="en-US"/>
        </w:rPr>
        <w:t xml:space="preserve">reduce both the number of their exposures to different asset classes and their portfolio allocations. </w:t>
      </w:r>
      <w:r w:rsidR="007868C0" w:rsidRPr="00A13719">
        <w:rPr>
          <w:lang w:val="en-US"/>
        </w:rPr>
        <w:t xml:space="preserve">However, there are some exposures </w:t>
      </w:r>
      <w:r w:rsidR="000B5F5E" w:rsidRPr="00A13719">
        <w:rPr>
          <w:lang w:val="en-US"/>
        </w:rPr>
        <w:t xml:space="preserve">for a few </w:t>
      </w:r>
      <w:r w:rsidR="00653042" w:rsidRPr="00A13719">
        <w:rPr>
          <w:rFonts w:eastAsiaTheme="minorEastAsia"/>
          <w:lang w:val="en-US"/>
        </w:rPr>
        <w:t>HF</w:t>
      </w:r>
      <w:r w:rsidR="00653042" w:rsidRPr="00A13719">
        <w:rPr>
          <w:lang w:val="en-US"/>
        </w:rPr>
        <w:t xml:space="preserve"> </w:t>
      </w:r>
      <w:r w:rsidR="000B5F5E" w:rsidRPr="00A13719">
        <w:rPr>
          <w:lang w:val="en-US"/>
        </w:rPr>
        <w:t xml:space="preserve">strategies </w:t>
      </w:r>
      <w:r w:rsidR="00812F8E" w:rsidRPr="00A13719">
        <w:rPr>
          <w:lang w:val="en-US"/>
        </w:rPr>
        <w:t xml:space="preserve">that </w:t>
      </w:r>
      <w:r w:rsidR="007868C0" w:rsidRPr="00A13719">
        <w:rPr>
          <w:lang w:val="en-US"/>
        </w:rPr>
        <w:t xml:space="preserve">are </w:t>
      </w:r>
      <w:r w:rsidR="00C20236" w:rsidRPr="00A13719">
        <w:rPr>
          <w:lang w:val="en-US"/>
        </w:rPr>
        <w:t xml:space="preserve">systematically </w:t>
      </w:r>
      <w:r w:rsidR="007868C0" w:rsidRPr="00A13719">
        <w:rPr>
          <w:lang w:val="en-US"/>
        </w:rPr>
        <w:t xml:space="preserve">negative </w:t>
      </w:r>
      <w:r w:rsidR="00C20236" w:rsidRPr="00A13719">
        <w:rPr>
          <w:lang w:val="en-US"/>
        </w:rPr>
        <w:t xml:space="preserve">(positive) </w:t>
      </w:r>
      <w:r w:rsidR="00453A97" w:rsidRPr="00A13719">
        <w:rPr>
          <w:lang w:val="en-US"/>
        </w:rPr>
        <w:t xml:space="preserve">during stressful market conditions and positive </w:t>
      </w:r>
      <w:r w:rsidR="00C20236" w:rsidRPr="00A13719">
        <w:rPr>
          <w:lang w:val="en-US"/>
        </w:rPr>
        <w:t xml:space="preserve">(negative) </w:t>
      </w:r>
      <w:r w:rsidR="00453A97" w:rsidRPr="00A13719">
        <w:rPr>
          <w:lang w:val="en-US"/>
        </w:rPr>
        <w:t xml:space="preserve">during good times. </w:t>
      </w:r>
      <w:r w:rsidR="00616279" w:rsidRPr="00A13719">
        <w:rPr>
          <w:lang w:val="en-US"/>
        </w:rPr>
        <w:t>For example, d</w:t>
      </w:r>
      <w:r w:rsidR="00900646" w:rsidRPr="00A13719">
        <w:rPr>
          <w:lang w:val="en-US"/>
        </w:rPr>
        <w:t xml:space="preserve">uring </w:t>
      </w:r>
      <w:r w:rsidR="00C728CB" w:rsidRPr="00A13719">
        <w:rPr>
          <w:lang w:val="en-US"/>
        </w:rPr>
        <w:t>expansion</w:t>
      </w:r>
      <w:r w:rsidR="00900646" w:rsidRPr="00A13719">
        <w:rPr>
          <w:lang w:val="en-US"/>
        </w:rPr>
        <w:t xml:space="preserve"> and recession periods fund managers </w:t>
      </w:r>
      <w:r w:rsidR="0068772E" w:rsidRPr="00A13719">
        <w:rPr>
          <w:lang w:val="en-US"/>
        </w:rPr>
        <w:t xml:space="preserve">(e.g. Sector, Long Short, Others) </w:t>
      </w:r>
      <w:r w:rsidR="00900646" w:rsidRPr="00A13719">
        <w:rPr>
          <w:lang w:val="en-US"/>
        </w:rPr>
        <w:t xml:space="preserve">take positions with </w:t>
      </w:r>
      <w:r w:rsidR="000D3592" w:rsidRPr="00A13719">
        <w:rPr>
          <w:lang w:val="en-US"/>
        </w:rPr>
        <w:t>statistical</w:t>
      </w:r>
      <w:r w:rsidR="00DF6456" w:rsidRPr="00A13719">
        <w:rPr>
          <w:lang w:val="en-US"/>
        </w:rPr>
        <w:t>ly</w:t>
      </w:r>
      <w:r w:rsidR="000D3592" w:rsidRPr="00A13719">
        <w:rPr>
          <w:lang w:val="en-US"/>
        </w:rPr>
        <w:t xml:space="preserve"> significant </w:t>
      </w:r>
      <w:r w:rsidR="00900646" w:rsidRPr="00A13719">
        <w:rPr>
          <w:lang w:val="en-US"/>
        </w:rPr>
        <w:t xml:space="preserve">negative exposures toward DEF </w:t>
      </w:r>
      <w:r w:rsidR="00FF2A5B" w:rsidRPr="00A13719">
        <w:rPr>
          <w:lang w:val="en-US"/>
        </w:rPr>
        <w:t xml:space="preserve">(default premium) </w:t>
      </w:r>
      <w:r w:rsidR="00900646" w:rsidRPr="00A13719">
        <w:rPr>
          <w:lang w:val="en-US"/>
        </w:rPr>
        <w:t>and HML</w:t>
      </w:r>
      <w:r w:rsidR="00FF2A5B" w:rsidRPr="00A13719">
        <w:rPr>
          <w:lang w:val="en-US"/>
        </w:rPr>
        <w:t xml:space="preserve"> (High minus Low)</w:t>
      </w:r>
      <w:r w:rsidR="00900646" w:rsidRPr="00A13719">
        <w:rPr>
          <w:lang w:val="en-US"/>
        </w:rPr>
        <w:t xml:space="preserve">, respectively. </w:t>
      </w:r>
      <w:r w:rsidR="008E38CC" w:rsidRPr="00A13719">
        <w:rPr>
          <w:lang w:val="en-US"/>
        </w:rPr>
        <w:t>W</w:t>
      </w:r>
      <w:r w:rsidR="00AC1204" w:rsidRPr="00A13719">
        <w:rPr>
          <w:lang w:val="en-US"/>
        </w:rPr>
        <w:t xml:space="preserve">e computed that the DEF spread is lower during </w:t>
      </w:r>
      <w:r w:rsidR="00C728CB" w:rsidRPr="00A13719">
        <w:rPr>
          <w:lang w:val="en-US"/>
        </w:rPr>
        <w:t xml:space="preserve">expansion </w:t>
      </w:r>
      <w:r w:rsidR="00AC1204" w:rsidRPr="00A13719">
        <w:rPr>
          <w:lang w:val="en-US"/>
        </w:rPr>
        <w:t xml:space="preserve">periods (average equal to 0.88) </w:t>
      </w:r>
      <w:r w:rsidR="00996223" w:rsidRPr="00A13719">
        <w:rPr>
          <w:lang w:val="en-US"/>
        </w:rPr>
        <w:t xml:space="preserve">than during </w:t>
      </w:r>
      <w:r w:rsidR="00AC1204" w:rsidRPr="00A13719">
        <w:rPr>
          <w:lang w:val="en-US"/>
        </w:rPr>
        <w:t>recessions (average equal to 1.60)</w:t>
      </w:r>
      <w:r w:rsidR="00F82CFC" w:rsidRPr="00A13719">
        <w:rPr>
          <w:lang w:val="en-US"/>
        </w:rPr>
        <w:t xml:space="preserve"> due to market uncertainty. </w:t>
      </w:r>
      <w:r w:rsidR="00D32C87" w:rsidRPr="00A13719">
        <w:rPr>
          <w:lang w:val="en-US"/>
        </w:rPr>
        <w:t xml:space="preserve">Hence, fund managers during </w:t>
      </w:r>
      <w:r w:rsidR="00C728CB" w:rsidRPr="00A13719">
        <w:rPr>
          <w:lang w:val="en-US"/>
        </w:rPr>
        <w:t xml:space="preserve">expansion </w:t>
      </w:r>
      <w:r w:rsidR="00D32C87" w:rsidRPr="00A13719">
        <w:rPr>
          <w:lang w:val="en-US"/>
        </w:rPr>
        <w:t xml:space="preserve">periods take negative exposure against DEF for higher returns. </w:t>
      </w:r>
      <w:r w:rsidR="00740EEC" w:rsidRPr="00A13719">
        <w:rPr>
          <w:lang w:val="en-US"/>
        </w:rPr>
        <w:t xml:space="preserve">The HML spread is higher during </w:t>
      </w:r>
      <w:r w:rsidR="00C728CB" w:rsidRPr="00A13719">
        <w:rPr>
          <w:lang w:val="en-US"/>
        </w:rPr>
        <w:t>expansion</w:t>
      </w:r>
      <w:r w:rsidR="00740EEC" w:rsidRPr="00A13719">
        <w:rPr>
          <w:lang w:val="en-US"/>
        </w:rPr>
        <w:t xml:space="preserve"> periods (average equal to 0.51) compared to recessions (average equal to </w:t>
      </w:r>
      <w:r w:rsidR="002F46AE" w:rsidRPr="00A13719">
        <w:rPr>
          <w:lang w:val="en-US"/>
        </w:rPr>
        <w:t>-0.39</w:t>
      </w:r>
      <w:r w:rsidR="00740EEC" w:rsidRPr="00A13719">
        <w:rPr>
          <w:lang w:val="en-US"/>
        </w:rPr>
        <w:t xml:space="preserve">), as value stocks are in better </w:t>
      </w:r>
      <w:r w:rsidR="00834D0E" w:rsidRPr="00A13719">
        <w:rPr>
          <w:lang w:val="en-US"/>
        </w:rPr>
        <w:t xml:space="preserve">(worse) </w:t>
      </w:r>
      <w:r w:rsidR="00740EEC" w:rsidRPr="00A13719">
        <w:rPr>
          <w:lang w:val="en-US"/>
        </w:rPr>
        <w:t>position than growth stocks</w:t>
      </w:r>
      <w:r w:rsidR="00C116BF" w:rsidRPr="00A13719">
        <w:rPr>
          <w:lang w:val="en-US"/>
        </w:rPr>
        <w:t xml:space="preserve"> during </w:t>
      </w:r>
      <w:r w:rsidR="00C728CB" w:rsidRPr="00A13719">
        <w:rPr>
          <w:lang w:val="en-US"/>
        </w:rPr>
        <w:t xml:space="preserve">expansion </w:t>
      </w:r>
      <w:r w:rsidR="00C116BF" w:rsidRPr="00A13719">
        <w:rPr>
          <w:lang w:val="en-US"/>
        </w:rPr>
        <w:t>periods</w:t>
      </w:r>
      <w:r w:rsidR="00834D0E" w:rsidRPr="00A13719">
        <w:rPr>
          <w:lang w:val="en-US"/>
        </w:rPr>
        <w:t xml:space="preserve"> (recessions)</w:t>
      </w:r>
      <w:r w:rsidR="00740EEC" w:rsidRPr="00A13719">
        <w:rPr>
          <w:lang w:val="en-US"/>
        </w:rPr>
        <w:t>. Thus, fund managers during recessions take negative exposures against the HML.</w:t>
      </w:r>
      <w:r w:rsidR="003E5A46" w:rsidRPr="00A13719">
        <w:rPr>
          <w:lang w:val="en-US"/>
        </w:rPr>
        <w:t xml:space="preserve"> Overall, there is evidence that fund managers take </w:t>
      </w:r>
      <w:r w:rsidR="00575F8F" w:rsidRPr="00A13719">
        <w:rPr>
          <w:lang w:val="en-US"/>
        </w:rPr>
        <w:t>statistically</w:t>
      </w:r>
      <w:r w:rsidR="000D3592" w:rsidRPr="00A13719">
        <w:rPr>
          <w:lang w:val="en-US"/>
        </w:rPr>
        <w:t xml:space="preserve"> significant </w:t>
      </w:r>
      <w:r w:rsidR="003E5A46" w:rsidRPr="00A13719">
        <w:rPr>
          <w:lang w:val="en-US"/>
        </w:rPr>
        <w:t xml:space="preserve">negative positions to some factors conditional on changing market conditions.  </w:t>
      </w:r>
    </w:p>
    <w:p w:rsidR="008B380B" w:rsidRPr="00A13719" w:rsidRDefault="000234DC" w:rsidP="00E54CB0">
      <w:pPr>
        <w:jc w:val="both"/>
        <w:rPr>
          <w:lang w:val="en-US"/>
        </w:rPr>
      </w:pPr>
      <w:r w:rsidRPr="00A13719">
        <w:rPr>
          <w:lang w:val="en-US"/>
        </w:rPr>
        <w:t xml:space="preserve">There are also </w:t>
      </w:r>
      <w:r w:rsidR="00193624" w:rsidRPr="00A13719">
        <w:rPr>
          <w:lang w:val="en-US"/>
        </w:rPr>
        <w:t>fund managers</w:t>
      </w:r>
      <w:r w:rsidR="007751C4" w:rsidRPr="00A13719">
        <w:rPr>
          <w:lang w:val="en-US"/>
        </w:rPr>
        <w:t xml:space="preserve"> </w:t>
      </w:r>
      <w:r w:rsidR="00996223" w:rsidRPr="00A13719">
        <w:rPr>
          <w:lang w:val="en-US"/>
        </w:rPr>
        <w:t xml:space="preserve">who </w:t>
      </w:r>
      <w:r w:rsidR="007751C4" w:rsidRPr="00A13719">
        <w:rPr>
          <w:lang w:val="en-US"/>
        </w:rPr>
        <w:t>reverse their exposure f</w:t>
      </w:r>
      <w:r w:rsidR="00996223" w:rsidRPr="00A13719">
        <w:rPr>
          <w:lang w:val="en-US"/>
        </w:rPr>
        <w:t>r</w:t>
      </w:r>
      <w:r w:rsidR="007751C4" w:rsidRPr="00A13719">
        <w:rPr>
          <w:lang w:val="en-US"/>
        </w:rPr>
        <w:t>om negative to positive</w:t>
      </w:r>
      <w:r w:rsidR="004655A2" w:rsidRPr="00A13719">
        <w:rPr>
          <w:lang w:val="en-US"/>
        </w:rPr>
        <w:t xml:space="preserve"> and vice versa</w:t>
      </w:r>
      <w:r w:rsidR="00072123" w:rsidRPr="00A13719">
        <w:rPr>
          <w:lang w:val="en-US"/>
        </w:rPr>
        <w:t xml:space="preserve"> </w:t>
      </w:r>
      <w:r w:rsidR="00996223" w:rsidRPr="00A13719">
        <w:rPr>
          <w:lang w:val="en-US"/>
        </w:rPr>
        <w:t>i</w:t>
      </w:r>
      <w:r w:rsidR="00072123" w:rsidRPr="00A13719">
        <w:rPr>
          <w:lang w:val="en-US"/>
        </w:rPr>
        <w:t>n the same asset class</w:t>
      </w:r>
      <w:r w:rsidR="00996223" w:rsidRPr="00A13719">
        <w:rPr>
          <w:lang w:val="en-US"/>
        </w:rPr>
        <w:t>, depending on market conditions</w:t>
      </w:r>
      <w:r w:rsidR="007751C4" w:rsidRPr="00A13719">
        <w:rPr>
          <w:lang w:val="en-US"/>
        </w:rPr>
        <w:t xml:space="preserve">. </w:t>
      </w:r>
      <w:r w:rsidR="00193624" w:rsidRPr="00A13719">
        <w:rPr>
          <w:lang w:val="en-US"/>
        </w:rPr>
        <w:t xml:space="preserve">For example, Long Short and </w:t>
      </w:r>
      <w:r w:rsidR="007134E1" w:rsidRPr="00A13719">
        <w:rPr>
          <w:lang w:val="en-US"/>
        </w:rPr>
        <w:t>M</w:t>
      </w:r>
      <w:r w:rsidR="00193624" w:rsidRPr="00A13719">
        <w:rPr>
          <w:lang w:val="en-US"/>
        </w:rPr>
        <w:t xml:space="preserve">arket Neutral strategies </w:t>
      </w:r>
      <w:r w:rsidR="00A7417F" w:rsidRPr="00A13719">
        <w:rPr>
          <w:lang w:val="en-US"/>
        </w:rPr>
        <w:t xml:space="preserve">have </w:t>
      </w:r>
      <w:r w:rsidR="00575F8F" w:rsidRPr="00A13719">
        <w:rPr>
          <w:lang w:val="en-US"/>
        </w:rPr>
        <w:t>statistically</w:t>
      </w:r>
      <w:r w:rsidR="000D3592" w:rsidRPr="00A13719">
        <w:rPr>
          <w:lang w:val="en-US"/>
        </w:rPr>
        <w:t xml:space="preserve"> significant </w:t>
      </w:r>
      <w:r w:rsidR="00A7417F" w:rsidRPr="00A13719">
        <w:rPr>
          <w:lang w:val="en-US"/>
        </w:rPr>
        <w:t xml:space="preserve">positive HML exposure during “good” times and </w:t>
      </w:r>
      <w:r w:rsidR="00575F8F" w:rsidRPr="00A13719">
        <w:rPr>
          <w:lang w:val="en-US"/>
        </w:rPr>
        <w:t>statistically</w:t>
      </w:r>
      <w:r w:rsidR="000D3592" w:rsidRPr="00A13719">
        <w:rPr>
          <w:lang w:val="en-US"/>
        </w:rPr>
        <w:t xml:space="preserve"> significant </w:t>
      </w:r>
      <w:r w:rsidR="00A7417F" w:rsidRPr="00A13719">
        <w:rPr>
          <w:lang w:val="en-US"/>
        </w:rPr>
        <w:t xml:space="preserve">negative HML exposure during “bad” times. </w:t>
      </w:r>
      <w:r w:rsidR="00686013" w:rsidRPr="00A13719">
        <w:rPr>
          <w:lang w:val="en-US"/>
        </w:rPr>
        <w:t>By doing this they provide high excess returns when there is upward market movement and protect themselves from risk during “bad”</w:t>
      </w:r>
      <w:r w:rsidR="00FB51A2" w:rsidRPr="00A13719">
        <w:rPr>
          <w:lang w:val="en-US"/>
        </w:rPr>
        <w:t xml:space="preserve"> times. </w:t>
      </w:r>
      <w:r w:rsidR="002129A6" w:rsidRPr="00A13719">
        <w:rPr>
          <w:lang w:val="en-US"/>
        </w:rPr>
        <w:t>Ultimately, f</w:t>
      </w:r>
      <w:r w:rsidR="00FB51A2" w:rsidRPr="00A13719">
        <w:rPr>
          <w:lang w:val="en-US"/>
        </w:rPr>
        <w:t xml:space="preserve">und managers, beyond taking negative positions </w:t>
      </w:r>
      <w:r w:rsidR="00996223" w:rsidRPr="00A13719">
        <w:rPr>
          <w:lang w:val="en-US"/>
        </w:rPr>
        <w:t>in</w:t>
      </w:r>
      <w:r w:rsidR="008A42FB" w:rsidRPr="00A13719">
        <w:rPr>
          <w:lang w:val="en-US"/>
        </w:rPr>
        <w:t xml:space="preserve"> some asset classes as mentioned </w:t>
      </w:r>
      <w:r w:rsidR="008E38CC" w:rsidRPr="00A13719">
        <w:rPr>
          <w:lang w:val="en-US"/>
        </w:rPr>
        <w:t>previously</w:t>
      </w:r>
      <w:r w:rsidR="008A42FB" w:rsidRPr="00A13719">
        <w:rPr>
          <w:lang w:val="en-US"/>
        </w:rPr>
        <w:t xml:space="preserve">, move further by taking </w:t>
      </w:r>
      <w:r w:rsidR="00575F8F" w:rsidRPr="00A13719">
        <w:rPr>
          <w:lang w:val="en-US"/>
        </w:rPr>
        <w:t>statistically</w:t>
      </w:r>
      <w:r w:rsidR="000D3592" w:rsidRPr="00A13719">
        <w:rPr>
          <w:lang w:val="en-US"/>
        </w:rPr>
        <w:t xml:space="preserve"> significant </w:t>
      </w:r>
      <w:r w:rsidR="008A42FB" w:rsidRPr="00A13719">
        <w:rPr>
          <w:lang w:val="en-US"/>
        </w:rPr>
        <w:t xml:space="preserve">negative or positive positions on the same asset class conditional on changing market conditions. </w:t>
      </w:r>
      <w:r w:rsidR="00686013" w:rsidRPr="00A13719">
        <w:rPr>
          <w:lang w:val="en-US"/>
        </w:rPr>
        <w:t xml:space="preserve"> </w:t>
      </w:r>
      <w:r w:rsidR="00A7417F" w:rsidRPr="00A13719">
        <w:rPr>
          <w:lang w:val="en-US"/>
        </w:rPr>
        <w:t xml:space="preserve"> </w:t>
      </w:r>
      <w:r w:rsidR="00193624" w:rsidRPr="00A13719">
        <w:rPr>
          <w:lang w:val="en-US"/>
        </w:rPr>
        <w:t xml:space="preserve"> </w:t>
      </w:r>
      <w:r w:rsidR="007751C4" w:rsidRPr="00A13719">
        <w:rPr>
          <w:lang w:val="en-US"/>
        </w:rPr>
        <w:t xml:space="preserve"> </w:t>
      </w:r>
      <w:r w:rsidRPr="00A13719">
        <w:rPr>
          <w:lang w:val="en-US"/>
        </w:rPr>
        <w:t xml:space="preserve"> </w:t>
      </w:r>
      <w:r w:rsidR="00AC1204" w:rsidRPr="00A13719">
        <w:rPr>
          <w:lang w:val="en-US"/>
        </w:rPr>
        <w:t xml:space="preserve">  </w:t>
      </w:r>
    </w:p>
    <w:p w:rsidR="004F3650" w:rsidRPr="00A13719" w:rsidRDefault="004F3650" w:rsidP="004F3650">
      <w:pPr>
        <w:spacing w:after="120"/>
        <w:jc w:val="both"/>
        <w:rPr>
          <w:b/>
          <w:lang w:val="en-US"/>
        </w:rPr>
      </w:pPr>
      <w:r w:rsidRPr="00A13719">
        <w:rPr>
          <w:b/>
          <w:lang w:val="en-US"/>
        </w:rPr>
        <w:t xml:space="preserve">Exposure </w:t>
      </w:r>
      <w:r w:rsidR="0032461E" w:rsidRPr="00A13719">
        <w:rPr>
          <w:b/>
          <w:lang w:val="en-US"/>
        </w:rPr>
        <w:t>by</w:t>
      </w:r>
      <w:r w:rsidRPr="00A13719">
        <w:rPr>
          <w:b/>
          <w:lang w:val="en-US"/>
        </w:rPr>
        <w:t xml:space="preserve"> Group</w:t>
      </w:r>
    </w:p>
    <w:p w:rsidR="004F3650" w:rsidRPr="00A13719" w:rsidRDefault="004F3650" w:rsidP="004F3650">
      <w:pPr>
        <w:jc w:val="both"/>
        <w:rPr>
          <w:lang w:val="en-US"/>
        </w:rPr>
      </w:pPr>
      <w:r w:rsidRPr="00A13719">
        <w:rPr>
          <w:lang w:val="en-US"/>
        </w:rPr>
        <w:t xml:space="preserve">We </w:t>
      </w:r>
      <w:r w:rsidR="0032461E" w:rsidRPr="00A13719">
        <w:rPr>
          <w:lang w:val="en-US"/>
        </w:rPr>
        <w:t xml:space="preserve">now </w:t>
      </w:r>
      <w:r w:rsidRPr="00A13719">
        <w:rPr>
          <w:lang w:val="en-US"/>
        </w:rPr>
        <w:t xml:space="preserve">examine the most common exposures for </w:t>
      </w:r>
      <w:r w:rsidR="0032461E" w:rsidRPr="00A13719">
        <w:rPr>
          <w:lang w:val="en-US"/>
        </w:rPr>
        <w:t>the three</w:t>
      </w:r>
      <w:r w:rsidRPr="00A13719">
        <w:rPr>
          <w:lang w:val="en-US"/>
        </w:rPr>
        <w:t xml:space="preserve"> group</w:t>
      </w:r>
      <w:r w:rsidR="0032461E" w:rsidRPr="00A13719">
        <w:rPr>
          <w:lang w:val="en-US"/>
        </w:rPr>
        <w:t>s of strategies: directional</w:t>
      </w:r>
      <w:r w:rsidRPr="00A13719">
        <w:rPr>
          <w:lang w:val="en-US"/>
        </w:rPr>
        <w:t>, semi-directional</w:t>
      </w:r>
      <w:r w:rsidR="00D81854" w:rsidRPr="00A13719">
        <w:rPr>
          <w:lang w:val="en-US"/>
        </w:rPr>
        <w:t xml:space="preserve"> and</w:t>
      </w:r>
      <w:r w:rsidRPr="00A13719">
        <w:rPr>
          <w:lang w:val="en-US"/>
        </w:rPr>
        <w:t xml:space="preserve"> non-directional</w:t>
      </w:r>
      <w:r w:rsidR="008D39BF" w:rsidRPr="00A13719">
        <w:rPr>
          <w:rStyle w:val="FootnoteReference"/>
          <w:lang w:val="en-US"/>
        </w:rPr>
        <w:footnoteReference w:id="16"/>
      </w:r>
      <w:r w:rsidRPr="00A13719">
        <w:rPr>
          <w:lang w:val="en-US"/>
        </w:rPr>
        <w:t xml:space="preserve">. For directional the most common exposures (excluding MAI) </w:t>
      </w:r>
      <w:r w:rsidRPr="00A13719">
        <w:rPr>
          <w:lang w:val="en-US"/>
        </w:rPr>
        <w:lastRenderedPageBreak/>
        <w:t xml:space="preserve">during </w:t>
      </w:r>
      <w:r w:rsidR="00914AED" w:rsidRPr="00A13719">
        <w:rPr>
          <w:lang w:val="en-US"/>
        </w:rPr>
        <w:t>“good”</w:t>
      </w:r>
      <w:r w:rsidRPr="00A13719">
        <w:rPr>
          <w:lang w:val="en-US"/>
        </w:rPr>
        <w:t xml:space="preserve"> </w:t>
      </w:r>
      <w:r w:rsidR="00914AED" w:rsidRPr="00A13719">
        <w:rPr>
          <w:lang w:val="en-US"/>
        </w:rPr>
        <w:t xml:space="preserve">times </w:t>
      </w:r>
      <w:r w:rsidRPr="00A13719">
        <w:rPr>
          <w:lang w:val="en-US"/>
        </w:rPr>
        <w:t xml:space="preserve">are </w:t>
      </w:r>
      <w:r w:rsidR="00BD693F" w:rsidRPr="00A13719">
        <w:rPr>
          <w:lang w:val="en-US"/>
        </w:rPr>
        <w:t xml:space="preserve">SMB and MOM as </w:t>
      </w:r>
      <w:r w:rsidR="00761FC7" w:rsidRPr="00A13719">
        <w:rPr>
          <w:lang w:val="en-US"/>
        </w:rPr>
        <w:t>fund managers</w:t>
      </w:r>
      <w:r w:rsidR="00BD693F" w:rsidRPr="00A13719">
        <w:rPr>
          <w:lang w:val="en-US"/>
        </w:rPr>
        <w:t xml:space="preserve"> exploit the momentum and the size effect.</w:t>
      </w:r>
      <w:r w:rsidR="000A68C6" w:rsidRPr="00A13719">
        <w:rPr>
          <w:lang w:val="en-US"/>
        </w:rPr>
        <w:t xml:space="preserve"> </w:t>
      </w:r>
      <w:r w:rsidR="00DD0472" w:rsidRPr="00A13719">
        <w:rPr>
          <w:lang w:val="en-US"/>
        </w:rPr>
        <w:t>During stressful market conditions fund managers are trying to minimize their risk. Hence, f</w:t>
      </w:r>
      <w:r w:rsidR="000A68C6" w:rsidRPr="00A13719">
        <w:rPr>
          <w:lang w:val="en-US"/>
        </w:rPr>
        <w:t>or recession periods the</w:t>
      </w:r>
      <w:r w:rsidRPr="00A13719">
        <w:rPr>
          <w:lang w:val="en-US"/>
        </w:rPr>
        <w:t xml:space="preserve"> </w:t>
      </w:r>
      <w:r w:rsidR="000A68C6" w:rsidRPr="00A13719">
        <w:rPr>
          <w:lang w:val="en-US"/>
        </w:rPr>
        <w:t xml:space="preserve">exposures </w:t>
      </w:r>
      <w:r w:rsidRPr="00A13719">
        <w:rPr>
          <w:lang w:val="en-US"/>
        </w:rPr>
        <w:t>are COAG and the</w:t>
      </w:r>
      <w:r w:rsidR="000A68C6" w:rsidRPr="00A13719">
        <w:rPr>
          <w:lang w:val="en-US"/>
        </w:rPr>
        <w:t>n HML (with negative exposures)</w:t>
      </w:r>
      <w:r w:rsidRPr="00A13719">
        <w:rPr>
          <w:lang w:val="en-US"/>
        </w:rPr>
        <w:t xml:space="preserve"> </w:t>
      </w:r>
      <w:r w:rsidR="000A68C6" w:rsidRPr="00A13719">
        <w:rPr>
          <w:lang w:val="en-US"/>
        </w:rPr>
        <w:t>while f</w:t>
      </w:r>
      <w:r w:rsidRPr="00A13719">
        <w:rPr>
          <w:lang w:val="en-US"/>
        </w:rPr>
        <w:t xml:space="preserve">or the down regime </w:t>
      </w:r>
      <w:r w:rsidR="000A68C6" w:rsidRPr="00A13719">
        <w:rPr>
          <w:lang w:val="en-US"/>
        </w:rPr>
        <w:t>these</w:t>
      </w:r>
      <w:r w:rsidRPr="00A13719">
        <w:rPr>
          <w:lang w:val="en-US"/>
        </w:rPr>
        <w:t xml:space="preserve"> are SMB and COAG. Semi-directional strategies have </w:t>
      </w:r>
      <w:r w:rsidR="004B3077" w:rsidRPr="00A13719">
        <w:rPr>
          <w:lang w:val="en-US"/>
        </w:rPr>
        <w:t>fewer</w:t>
      </w:r>
      <w:r w:rsidRPr="00A13719">
        <w:rPr>
          <w:lang w:val="en-US"/>
        </w:rPr>
        <w:t xml:space="preserve"> common exposures between them</w:t>
      </w:r>
      <w:r w:rsidR="00761FC7" w:rsidRPr="00A13719">
        <w:rPr>
          <w:lang w:val="en-US"/>
        </w:rPr>
        <w:t xml:space="preserve"> as they have less systematic risk than directional strategies</w:t>
      </w:r>
      <w:r w:rsidRPr="00A13719">
        <w:rPr>
          <w:lang w:val="en-US"/>
        </w:rPr>
        <w:t xml:space="preserve">. The most important for </w:t>
      </w:r>
      <w:r w:rsidR="00C728CB" w:rsidRPr="00A13719">
        <w:rPr>
          <w:lang w:val="en-US"/>
        </w:rPr>
        <w:t xml:space="preserve">expansion </w:t>
      </w:r>
      <w:r w:rsidRPr="00A13719">
        <w:rPr>
          <w:lang w:val="en-US"/>
        </w:rPr>
        <w:t xml:space="preserve">periods (in terms of intensity) are DEF (negative exposures) and SMB. For recession periods the most common are COIM and TERM. For the up regime they are the HML and SMB (in terms of intensity) whereas for the down regime it is the COIM factor. Regarding the non-directional strategies </w:t>
      </w:r>
      <w:r w:rsidR="00B528C3" w:rsidRPr="00A13719">
        <w:rPr>
          <w:lang w:val="en-US"/>
        </w:rPr>
        <w:t>these by nature have very low systematic risk</w:t>
      </w:r>
      <w:r w:rsidR="00B1403E" w:rsidRPr="00A13719">
        <w:rPr>
          <w:lang w:val="en-US"/>
        </w:rPr>
        <w:t xml:space="preserve"> and are less sensitive to business cycles and market conditions</w:t>
      </w:r>
      <w:r w:rsidR="00B528C3" w:rsidRPr="00A13719">
        <w:rPr>
          <w:lang w:val="en-US"/>
        </w:rPr>
        <w:t>. F</w:t>
      </w:r>
      <w:r w:rsidRPr="00A13719">
        <w:rPr>
          <w:lang w:val="en-US"/>
        </w:rPr>
        <w:t xml:space="preserve">or </w:t>
      </w:r>
      <w:r w:rsidR="00C728CB" w:rsidRPr="00A13719">
        <w:rPr>
          <w:lang w:val="en-US"/>
        </w:rPr>
        <w:t xml:space="preserve">expansion </w:t>
      </w:r>
      <w:r w:rsidRPr="00A13719">
        <w:rPr>
          <w:lang w:val="en-US"/>
        </w:rPr>
        <w:t>periods the most common is the MOM factor</w:t>
      </w:r>
      <w:r w:rsidR="008250EA" w:rsidRPr="00A13719">
        <w:rPr>
          <w:lang w:val="en-US"/>
        </w:rPr>
        <w:t xml:space="preserve"> whereas for the up regime there is an additional factor</w:t>
      </w:r>
      <w:r w:rsidR="00B403A7" w:rsidRPr="00A13719">
        <w:rPr>
          <w:lang w:val="en-US"/>
        </w:rPr>
        <w:t>,</w:t>
      </w:r>
      <w:r w:rsidR="008250EA" w:rsidRPr="00A13719">
        <w:rPr>
          <w:lang w:val="en-US"/>
        </w:rPr>
        <w:t xml:space="preserve"> the HML. </w:t>
      </w:r>
      <w:r w:rsidR="001B6453" w:rsidRPr="00A13719">
        <w:rPr>
          <w:lang w:val="en-US"/>
        </w:rPr>
        <w:t>F</w:t>
      </w:r>
      <w:r w:rsidRPr="00A13719">
        <w:rPr>
          <w:lang w:val="en-US"/>
        </w:rPr>
        <w:t xml:space="preserve">or recession periods </w:t>
      </w:r>
      <w:r w:rsidR="001B6453" w:rsidRPr="00A13719">
        <w:rPr>
          <w:lang w:val="en-US"/>
        </w:rPr>
        <w:t>and down regimes</w:t>
      </w:r>
      <w:r w:rsidR="00B403A7" w:rsidRPr="00A13719">
        <w:rPr>
          <w:lang w:val="en-US"/>
        </w:rPr>
        <w:t>,</w:t>
      </w:r>
      <w:r w:rsidR="001B6453" w:rsidRPr="00A13719">
        <w:rPr>
          <w:lang w:val="en-US"/>
        </w:rPr>
        <w:t xml:space="preserve"> </w:t>
      </w:r>
      <w:r w:rsidRPr="00A13719">
        <w:rPr>
          <w:lang w:val="en-US"/>
        </w:rPr>
        <w:t>except for th</w:t>
      </w:r>
      <w:r w:rsidR="00030BC3" w:rsidRPr="00A13719">
        <w:rPr>
          <w:lang w:val="en-US"/>
        </w:rPr>
        <w:t>e MAI</w:t>
      </w:r>
      <w:r w:rsidR="00B403A7" w:rsidRPr="00A13719">
        <w:rPr>
          <w:lang w:val="en-US"/>
        </w:rPr>
        <w:t>,</w:t>
      </w:r>
      <w:r w:rsidR="00030BC3" w:rsidRPr="00A13719">
        <w:rPr>
          <w:lang w:val="en-US"/>
        </w:rPr>
        <w:t xml:space="preserve"> there is no common factor as each strategy may exploit different factors.</w:t>
      </w:r>
      <w:r w:rsidRPr="00A13719">
        <w:rPr>
          <w:lang w:val="en-US"/>
        </w:rPr>
        <w:t xml:space="preserve"> </w:t>
      </w:r>
      <w:r w:rsidR="001B6453" w:rsidRPr="00A13719">
        <w:rPr>
          <w:lang w:val="en-US"/>
        </w:rPr>
        <w:t xml:space="preserve"> </w:t>
      </w:r>
      <w:r w:rsidRPr="00A13719">
        <w:rPr>
          <w:lang w:val="en-US"/>
        </w:rPr>
        <w:t xml:space="preserve"> </w:t>
      </w:r>
    </w:p>
    <w:p w:rsidR="00F76128" w:rsidRPr="00A13719" w:rsidRDefault="004F3650" w:rsidP="004F3650">
      <w:pPr>
        <w:jc w:val="both"/>
        <w:rPr>
          <w:lang w:val="en-US"/>
        </w:rPr>
      </w:pPr>
      <w:r w:rsidRPr="00A13719">
        <w:rPr>
          <w:lang w:val="en-US"/>
        </w:rPr>
        <w:t xml:space="preserve">Table </w:t>
      </w:r>
      <w:r w:rsidR="00A83CF2" w:rsidRPr="00A13719">
        <w:rPr>
          <w:lang w:val="en-US"/>
        </w:rPr>
        <w:t>9</w:t>
      </w:r>
      <w:r w:rsidR="001E7C38" w:rsidRPr="00A13719">
        <w:rPr>
          <w:lang w:val="en-US"/>
        </w:rPr>
        <w:t xml:space="preserve"> </w:t>
      </w:r>
      <w:r w:rsidR="00A944F2" w:rsidRPr="00A13719">
        <w:rPr>
          <w:lang w:val="en-US"/>
        </w:rPr>
        <w:t>shows</w:t>
      </w:r>
      <w:r w:rsidR="001E7C38" w:rsidRPr="00A13719">
        <w:rPr>
          <w:lang w:val="en-US"/>
        </w:rPr>
        <w:t xml:space="preserve"> that</w:t>
      </w:r>
      <w:r w:rsidRPr="00A13719">
        <w:rPr>
          <w:lang w:val="en-US"/>
        </w:rPr>
        <w:t xml:space="preserve"> directional strategies have less disperse</w:t>
      </w:r>
      <w:r w:rsidR="0032461E" w:rsidRPr="00A13719">
        <w:rPr>
          <w:lang w:val="en-US"/>
        </w:rPr>
        <w:t>d</w:t>
      </w:r>
      <w:r w:rsidRPr="00A13719">
        <w:rPr>
          <w:lang w:val="en-US"/>
        </w:rPr>
        <w:t xml:space="preserve"> (more common) factors concerning the</w:t>
      </w:r>
      <w:r w:rsidR="0032461E" w:rsidRPr="00A13719">
        <w:rPr>
          <w:lang w:val="en-US"/>
        </w:rPr>
        <w:t>ir</w:t>
      </w:r>
      <w:r w:rsidRPr="00A13719">
        <w:rPr>
          <w:lang w:val="en-US"/>
        </w:rPr>
        <w:t xml:space="preserve"> asset class exposures within different business cycles and market conditions (on average, 2.2 asset class exposures per </w:t>
      </w:r>
      <w:r w:rsidR="00CF30E8" w:rsidRPr="00A13719">
        <w:rPr>
          <w:lang w:val="en-US"/>
        </w:rPr>
        <w:t>group</w:t>
      </w:r>
      <w:r w:rsidRPr="00A13719">
        <w:rPr>
          <w:lang w:val="en-US"/>
        </w:rPr>
        <w:t xml:space="preserve">). Next are the semi-directional strategies (on average 1.8 asset class exposures per </w:t>
      </w:r>
      <w:r w:rsidR="00CF30E8" w:rsidRPr="00A13719">
        <w:rPr>
          <w:lang w:val="en-US"/>
        </w:rPr>
        <w:t>group</w:t>
      </w:r>
      <w:r w:rsidRPr="00A13719">
        <w:rPr>
          <w:lang w:val="en-US"/>
        </w:rPr>
        <w:t>)</w:t>
      </w:r>
      <w:r w:rsidR="00D81854" w:rsidRPr="00A13719">
        <w:rPr>
          <w:lang w:val="en-US"/>
        </w:rPr>
        <w:t xml:space="preserve"> and</w:t>
      </w:r>
      <w:r w:rsidRPr="00A13719">
        <w:rPr>
          <w:lang w:val="en-US"/>
        </w:rPr>
        <w:t xml:space="preserve"> then the non-directional strategies (1.3</w:t>
      </w:r>
      <w:r w:rsidR="0032461E" w:rsidRPr="00A13719">
        <w:rPr>
          <w:lang w:val="en-US"/>
        </w:rPr>
        <w:t>)</w:t>
      </w:r>
      <w:r w:rsidR="00795392" w:rsidRPr="00A13719">
        <w:rPr>
          <w:lang w:val="en-US"/>
        </w:rPr>
        <w:t>,</w:t>
      </w:r>
      <w:r w:rsidRPr="00A13719">
        <w:rPr>
          <w:lang w:val="en-US"/>
        </w:rPr>
        <w:t xml:space="preserve"> </w:t>
      </w:r>
      <w:r w:rsidR="00795392" w:rsidRPr="00A13719">
        <w:rPr>
          <w:lang w:val="en-US"/>
        </w:rPr>
        <w:t>i.e.</w:t>
      </w:r>
      <w:r w:rsidRPr="00A13719">
        <w:rPr>
          <w:lang w:val="en-US"/>
        </w:rPr>
        <w:t xml:space="preserve"> the last group </w:t>
      </w:r>
      <w:r w:rsidR="0032461E" w:rsidRPr="00A13719">
        <w:rPr>
          <w:lang w:val="en-US"/>
        </w:rPr>
        <w:t>ha</w:t>
      </w:r>
      <w:r w:rsidRPr="00A13719">
        <w:rPr>
          <w:lang w:val="en-US"/>
        </w:rPr>
        <w:t xml:space="preserve">s the least common exposures within its </w:t>
      </w:r>
      <w:r w:rsidR="00653042" w:rsidRPr="00A13719">
        <w:rPr>
          <w:rFonts w:eastAsiaTheme="minorEastAsia"/>
          <w:lang w:val="en-US"/>
        </w:rPr>
        <w:t>HF</w:t>
      </w:r>
      <w:r w:rsidR="00653042" w:rsidRPr="00A13719">
        <w:rPr>
          <w:lang w:val="en-US"/>
        </w:rPr>
        <w:t xml:space="preserve"> </w:t>
      </w:r>
      <w:r w:rsidRPr="00A13719">
        <w:rPr>
          <w:lang w:val="en-US"/>
        </w:rPr>
        <w:t>strategies. This dispersion increases gradually when moving from directional to non</w:t>
      </w:r>
      <w:r w:rsidR="0032461E" w:rsidRPr="00A13719">
        <w:rPr>
          <w:lang w:val="en-US"/>
        </w:rPr>
        <w:t>-</w:t>
      </w:r>
      <w:r w:rsidR="00F76128" w:rsidRPr="00A13719">
        <w:rPr>
          <w:lang w:val="en-US"/>
        </w:rPr>
        <w:t>directional strategies.</w:t>
      </w:r>
    </w:p>
    <w:p w:rsidR="00642E12" w:rsidRPr="00A13719" w:rsidRDefault="00642E12">
      <w:pPr>
        <w:spacing w:after="200" w:line="276" w:lineRule="auto"/>
        <w:rPr>
          <w:lang w:val="en-US"/>
        </w:rPr>
      </w:pPr>
      <w:r w:rsidRPr="00A13719">
        <w:rPr>
          <w:lang w:val="en-US"/>
        </w:rPr>
        <w:br w:type="page"/>
      </w:r>
    </w:p>
    <w:p w:rsidR="004F3650" w:rsidRPr="00A13719" w:rsidRDefault="004F3650" w:rsidP="004F3650">
      <w:pPr>
        <w:spacing w:after="0"/>
        <w:jc w:val="both"/>
        <w:rPr>
          <w:b/>
          <w:sz w:val="28"/>
          <w:szCs w:val="28"/>
          <w:lang w:val="en-US"/>
        </w:rPr>
      </w:pPr>
      <w:r w:rsidRPr="00A13719">
        <w:rPr>
          <w:b/>
          <w:sz w:val="28"/>
          <w:szCs w:val="28"/>
          <w:lang w:val="en-US"/>
        </w:rPr>
        <w:lastRenderedPageBreak/>
        <w:t xml:space="preserve">Table </w:t>
      </w:r>
      <w:r w:rsidR="00A83CF2" w:rsidRPr="00A13719">
        <w:rPr>
          <w:b/>
          <w:sz w:val="28"/>
          <w:szCs w:val="28"/>
          <w:lang w:val="en-US"/>
        </w:rPr>
        <w:t>9</w:t>
      </w:r>
      <w:r w:rsidR="00E355C3" w:rsidRPr="00A13719">
        <w:rPr>
          <w:b/>
          <w:sz w:val="28"/>
          <w:szCs w:val="28"/>
          <w:lang w:val="en-US"/>
        </w:rPr>
        <w:t>. Exposures per Group (excluding</w:t>
      </w:r>
      <w:r w:rsidRPr="00A13719">
        <w:rPr>
          <w:b/>
          <w:sz w:val="28"/>
          <w:szCs w:val="28"/>
          <w:lang w:val="en-US"/>
        </w:rPr>
        <w:t xml:space="preserve"> MAI)</w:t>
      </w:r>
    </w:p>
    <w:p w:rsidR="004F3650" w:rsidRPr="00A13719" w:rsidRDefault="004F3650" w:rsidP="004F3650">
      <w:pPr>
        <w:spacing w:after="0"/>
        <w:jc w:val="both"/>
        <w:rPr>
          <w:sz w:val="18"/>
          <w:szCs w:val="18"/>
          <w:lang w:val="en-US"/>
        </w:rPr>
      </w:pPr>
      <w:r w:rsidRPr="00A13719">
        <w:rPr>
          <w:sz w:val="18"/>
          <w:szCs w:val="18"/>
          <w:lang w:val="en-US"/>
        </w:rPr>
        <w:t xml:space="preserve">This table </w:t>
      </w:r>
      <w:r w:rsidR="00A944F2" w:rsidRPr="00A13719">
        <w:rPr>
          <w:sz w:val="18"/>
          <w:szCs w:val="18"/>
          <w:lang w:val="en-US"/>
        </w:rPr>
        <w:t>shows</w:t>
      </w:r>
      <w:r w:rsidRPr="00A13719">
        <w:rPr>
          <w:sz w:val="18"/>
          <w:szCs w:val="18"/>
          <w:lang w:val="en-US"/>
        </w:rPr>
        <w:t xml:space="preserve"> the number of exposures and the most common factor within different business cycles and market</w:t>
      </w:r>
      <w:r w:rsidR="0032461E" w:rsidRPr="00A13719">
        <w:rPr>
          <w:sz w:val="18"/>
          <w:szCs w:val="18"/>
          <w:lang w:val="en-US"/>
        </w:rPr>
        <w:t xml:space="preserve"> </w:t>
      </w:r>
      <w:r w:rsidRPr="00A13719">
        <w:rPr>
          <w:sz w:val="18"/>
          <w:szCs w:val="18"/>
          <w:lang w:val="en-US"/>
        </w:rPr>
        <w:t xml:space="preserve">conditions </w:t>
      </w:r>
      <w:r w:rsidR="00642E12" w:rsidRPr="00A13719">
        <w:rPr>
          <w:sz w:val="18"/>
          <w:szCs w:val="18"/>
          <w:lang w:val="en-US"/>
        </w:rPr>
        <w:t xml:space="preserve">  </w:t>
      </w:r>
      <w:r w:rsidRPr="00A13719">
        <w:rPr>
          <w:sz w:val="18"/>
          <w:szCs w:val="18"/>
          <w:lang w:val="en-US"/>
        </w:rPr>
        <w:t>across three groups: directional, semi-directional</w:t>
      </w:r>
      <w:r w:rsidR="00D81854" w:rsidRPr="00A13719">
        <w:rPr>
          <w:sz w:val="18"/>
          <w:szCs w:val="18"/>
          <w:lang w:val="en-US"/>
        </w:rPr>
        <w:t xml:space="preserve"> and</w:t>
      </w:r>
      <w:r w:rsidRPr="00A13719">
        <w:rPr>
          <w:sz w:val="18"/>
          <w:szCs w:val="18"/>
          <w:lang w:val="en-US"/>
        </w:rPr>
        <w:t xml:space="preserve"> non-directional strategies (depending on their</w:t>
      </w:r>
      <w:r w:rsidR="0032461E" w:rsidRPr="00A13719">
        <w:rPr>
          <w:sz w:val="18"/>
          <w:szCs w:val="18"/>
          <w:lang w:val="en-US"/>
        </w:rPr>
        <w:t xml:space="preserve"> c</w:t>
      </w:r>
      <w:r w:rsidRPr="00A13719">
        <w:rPr>
          <w:sz w:val="18"/>
          <w:szCs w:val="18"/>
          <w:lang w:val="en-US"/>
        </w:rPr>
        <w:t>orrelation with the MAI market index).</w:t>
      </w:r>
      <w:r w:rsidR="00955D10" w:rsidRPr="00A13719">
        <w:rPr>
          <w:sz w:val="18"/>
          <w:szCs w:val="18"/>
          <w:lang w:val="en-US"/>
        </w:rPr>
        <w:t xml:space="preserve"> </w:t>
      </w:r>
    </w:p>
    <w:tbl>
      <w:tblPr>
        <w:tblW w:w="0" w:type="auto"/>
        <w:jc w:val="center"/>
        <w:tblBorders>
          <w:top w:val="single" w:sz="8" w:space="0" w:color="auto"/>
          <w:bottom w:val="single" w:sz="8" w:space="0" w:color="auto"/>
        </w:tblBorders>
        <w:shd w:val="clear" w:color="000000" w:fill="auto"/>
        <w:tblLook w:val="04A0" w:firstRow="1" w:lastRow="0" w:firstColumn="1" w:lastColumn="0" w:noHBand="0" w:noVBand="1"/>
      </w:tblPr>
      <w:tblGrid>
        <w:gridCol w:w="2802"/>
        <w:gridCol w:w="1559"/>
        <w:gridCol w:w="1701"/>
        <w:gridCol w:w="1560"/>
        <w:gridCol w:w="1477"/>
      </w:tblGrid>
      <w:tr w:rsidR="00A13719" w:rsidRPr="00A13719" w:rsidTr="00E9559E">
        <w:trPr>
          <w:trHeight w:val="315"/>
          <w:jc w:val="center"/>
        </w:trPr>
        <w:tc>
          <w:tcPr>
            <w:tcW w:w="2802" w:type="dxa"/>
            <w:tcBorders>
              <w:top w:val="single" w:sz="8" w:space="0" w:color="auto"/>
              <w:bottom w:val="single" w:sz="8" w:space="0" w:color="auto"/>
            </w:tcBorders>
            <w:shd w:val="clear" w:color="000000" w:fill="auto"/>
            <w:noWrap/>
            <w:vAlign w:val="center"/>
            <w:hideMark/>
          </w:tcPr>
          <w:p w:rsidR="004F3650" w:rsidRPr="00A13719" w:rsidRDefault="004F3650" w:rsidP="00E9559E">
            <w:pPr>
              <w:spacing w:after="0" w:line="240" w:lineRule="auto"/>
              <w:rPr>
                <w:rFonts w:eastAsia="Times New Roman" w:cs="Times New Roman"/>
                <w:szCs w:val="24"/>
                <w:lang w:eastAsia="en-GB"/>
              </w:rPr>
            </w:pPr>
            <w:r w:rsidRPr="00A13719">
              <w:rPr>
                <w:rFonts w:cs="Times New Roman"/>
                <w:szCs w:val="24"/>
                <w:lang w:val="en-US"/>
              </w:rPr>
              <w:t xml:space="preserve">        </w:t>
            </w:r>
            <w:r w:rsidRPr="00A13719">
              <w:rPr>
                <w:rFonts w:eastAsia="Times New Roman" w:cs="Times New Roman"/>
                <w:szCs w:val="24"/>
                <w:lang w:eastAsia="en-GB"/>
              </w:rPr>
              <w:t> </w:t>
            </w:r>
          </w:p>
        </w:tc>
        <w:tc>
          <w:tcPr>
            <w:tcW w:w="1559" w:type="dxa"/>
            <w:tcBorders>
              <w:top w:val="single" w:sz="8" w:space="0" w:color="auto"/>
              <w:bottom w:val="single" w:sz="8" w:space="0" w:color="auto"/>
            </w:tcBorders>
            <w:shd w:val="clear" w:color="000000" w:fill="auto"/>
            <w:noWrap/>
            <w:vAlign w:val="center"/>
            <w:hideMark/>
          </w:tcPr>
          <w:p w:rsidR="004F3650" w:rsidRPr="00A13719" w:rsidRDefault="00C728CB"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Expansion</w:t>
            </w:r>
          </w:p>
        </w:tc>
        <w:tc>
          <w:tcPr>
            <w:tcW w:w="1701" w:type="dxa"/>
            <w:tcBorders>
              <w:top w:val="single" w:sz="8" w:space="0" w:color="auto"/>
              <w:bottom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Recession</w:t>
            </w:r>
          </w:p>
        </w:tc>
        <w:tc>
          <w:tcPr>
            <w:tcW w:w="1560" w:type="dxa"/>
            <w:tcBorders>
              <w:top w:val="single" w:sz="8" w:space="0" w:color="auto"/>
              <w:bottom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Up</w:t>
            </w:r>
          </w:p>
        </w:tc>
        <w:tc>
          <w:tcPr>
            <w:tcW w:w="1134" w:type="dxa"/>
            <w:tcBorders>
              <w:top w:val="single" w:sz="8" w:space="0" w:color="auto"/>
              <w:bottom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Down</w:t>
            </w:r>
          </w:p>
        </w:tc>
      </w:tr>
      <w:tr w:rsidR="00A13719" w:rsidRPr="00A13719" w:rsidTr="00E9559E">
        <w:trPr>
          <w:trHeight w:val="315"/>
          <w:jc w:val="center"/>
        </w:trPr>
        <w:tc>
          <w:tcPr>
            <w:tcW w:w="2802" w:type="dxa"/>
            <w:tcBorders>
              <w:top w:val="single" w:sz="8" w:space="0" w:color="auto"/>
              <w:bottom w:val="single" w:sz="8" w:space="0" w:color="auto"/>
            </w:tcBorders>
            <w:shd w:val="clear" w:color="000000" w:fill="auto"/>
            <w:noWrap/>
            <w:vAlign w:val="center"/>
            <w:hideMark/>
          </w:tcPr>
          <w:p w:rsidR="004F3650" w:rsidRPr="00A13719" w:rsidRDefault="004F3650" w:rsidP="00E9559E">
            <w:pPr>
              <w:spacing w:after="0" w:line="240" w:lineRule="auto"/>
              <w:rPr>
                <w:rFonts w:eastAsia="Times New Roman" w:cs="Times New Roman"/>
                <w:szCs w:val="24"/>
                <w:lang w:eastAsia="en-GB"/>
              </w:rPr>
            </w:pPr>
            <w:r w:rsidRPr="00A13719">
              <w:rPr>
                <w:rFonts w:eastAsia="Times New Roman" w:cs="Times New Roman"/>
                <w:szCs w:val="24"/>
                <w:lang w:eastAsia="en-GB"/>
              </w:rPr>
              <w:t> </w:t>
            </w:r>
            <w:r w:rsidR="006F3D53" w:rsidRPr="00A13719">
              <w:rPr>
                <w:rFonts w:eastAsia="Times New Roman" w:cs="Times New Roman"/>
                <w:szCs w:val="24"/>
                <w:lang w:eastAsia="en-GB"/>
              </w:rPr>
              <w:t>Panel A</w:t>
            </w:r>
          </w:p>
        </w:tc>
        <w:tc>
          <w:tcPr>
            <w:tcW w:w="5954" w:type="dxa"/>
            <w:gridSpan w:val="4"/>
            <w:tcBorders>
              <w:top w:val="single" w:sz="8" w:space="0" w:color="auto"/>
              <w:bottom w:val="single" w:sz="8" w:space="0" w:color="auto"/>
            </w:tcBorders>
            <w:shd w:val="clear" w:color="000000" w:fill="auto"/>
            <w:noWrap/>
            <w:vAlign w:val="center"/>
            <w:hideMark/>
          </w:tcPr>
          <w:p w:rsidR="004F3650" w:rsidRPr="00A13719" w:rsidRDefault="004F3650" w:rsidP="004F3650">
            <w:pPr>
              <w:spacing w:after="0" w:line="240" w:lineRule="auto"/>
              <w:jc w:val="center"/>
              <w:rPr>
                <w:rFonts w:eastAsia="Times New Roman" w:cs="Times New Roman"/>
                <w:szCs w:val="24"/>
                <w:lang w:eastAsia="en-GB"/>
              </w:rPr>
            </w:pPr>
            <w:r w:rsidRPr="00A13719">
              <w:rPr>
                <w:rFonts w:eastAsia="Times New Roman" w:cs="Times New Roman"/>
                <w:szCs w:val="24"/>
                <w:lang w:eastAsia="en-GB"/>
              </w:rPr>
              <w:t>Directional Strategies</w:t>
            </w:r>
          </w:p>
        </w:tc>
      </w:tr>
      <w:tr w:rsidR="00A13719" w:rsidRPr="00A13719" w:rsidTr="00E9559E">
        <w:trPr>
          <w:trHeight w:val="285"/>
          <w:jc w:val="center"/>
        </w:trPr>
        <w:tc>
          <w:tcPr>
            <w:tcW w:w="2802" w:type="dxa"/>
            <w:tcBorders>
              <w:top w:val="single" w:sz="8" w:space="0" w:color="auto"/>
            </w:tcBorders>
            <w:shd w:val="clear" w:color="000000" w:fill="auto"/>
            <w:vAlign w:val="center"/>
            <w:hideMark/>
          </w:tcPr>
          <w:p w:rsidR="004F3650" w:rsidRPr="00A13719" w:rsidRDefault="004F3650" w:rsidP="008724E4">
            <w:pPr>
              <w:spacing w:after="0" w:line="240" w:lineRule="auto"/>
              <w:rPr>
                <w:rFonts w:eastAsia="Times New Roman" w:cs="Times New Roman"/>
                <w:szCs w:val="24"/>
                <w:lang w:eastAsia="en-GB"/>
              </w:rPr>
            </w:pPr>
            <w:r w:rsidRPr="00A13719">
              <w:rPr>
                <w:rFonts w:eastAsia="Times New Roman" w:cs="Times New Roman"/>
                <w:szCs w:val="24"/>
                <w:lang w:eastAsia="en-GB"/>
              </w:rPr>
              <w:t>Av</w:t>
            </w:r>
            <w:r w:rsidR="0032461E" w:rsidRPr="00A13719">
              <w:rPr>
                <w:rFonts w:eastAsia="Times New Roman" w:cs="Times New Roman"/>
                <w:szCs w:val="24"/>
                <w:lang w:eastAsia="en-GB"/>
              </w:rPr>
              <w:t>erage</w:t>
            </w:r>
            <w:r w:rsidRPr="00A13719">
              <w:rPr>
                <w:rFonts w:eastAsia="Times New Roman" w:cs="Times New Roman"/>
                <w:szCs w:val="24"/>
                <w:lang w:eastAsia="en-GB"/>
              </w:rPr>
              <w:t xml:space="preserve"> </w:t>
            </w:r>
            <w:r w:rsidR="0032461E" w:rsidRPr="00A13719">
              <w:rPr>
                <w:rFonts w:eastAsia="Times New Roman" w:cs="Times New Roman"/>
                <w:szCs w:val="24"/>
                <w:lang w:eastAsia="en-GB"/>
              </w:rPr>
              <w:t>number of f</w:t>
            </w:r>
            <w:r w:rsidRPr="00A13719">
              <w:rPr>
                <w:rFonts w:eastAsia="Times New Roman" w:cs="Times New Roman"/>
                <w:szCs w:val="24"/>
                <w:lang w:eastAsia="en-GB"/>
              </w:rPr>
              <w:t>actors</w:t>
            </w:r>
            <w:r w:rsidR="0032461E" w:rsidRPr="00A13719">
              <w:rPr>
                <w:rFonts w:eastAsia="Times New Roman" w:cs="Times New Roman"/>
                <w:szCs w:val="24"/>
                <w:lang w:eastAsia="en-GB"/>
              </w:rPr>
              <w:t xml:space="preserve"> </w:t>
            </w:r>
            <w:r w:rsidR="008724E4" w:rsidRPr="00A13719">
              <w:rPr>
                <w:rFonts w:eastAsia="Times New Roman" w:cs="Times New Roman"/>
                <w:szCs w:val="24"/>
                <w:lang w:eastAsia="en-GB"/>
              </w:rPr>
              <w:t>within</w:t>
            </w:r>
            <w:r w:rsidR="0032461E" w:rsidRPr="00A13719">
              <w:rPr>
                <w:rFonts w:eastAsia="Times New Roman" w:cs="Times New Roman"/>
                <w:szCs w:val="24"/>
                <w:lang w:eastAsia="en-GB"/>
              </w:rPr>
              <w:t xml:space="preserve"> </w:t>
            </w:r>
            <w:r w:rsidR="004739F6" w:rsidRPr="00A13719">
              <w:rPr>
                <w:rFonts w:eastAsia="Times New Roman" w:cs="Times New Roman"/>
                <w:szCs w:val="24"/>
                <w:lang w:eastAsia="en-GB"/>
              </w:rPr>
              <w:t>group</w:t>
            </w:r>
          </w:p>
        </w:tc>
        <w:tc>
          <w:tcPr>
            <w:tcW w:w="1559" w:type="dxa"/>
            <w:tcBorders>
              <w:top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2.4</w:t>
            </w:r>
          </w:p>
        </w:tc>
        <w:tc>
          <w:tcPr>
            <w:tcW w:w="1701" w:type="dxa"/>
            <w:tcBorders>
              <w:top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2.2</w:t>
            </w:r>
          </w:p>
        </w:tc>
        <w:tc>
          <w:tcPr>
            <w:tcW w:w="1560" w:type="dxa"/>
            <w:tcBorders>
              <w:top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2.2</w:t>
            </w:r>
          </w:p>
        </w:tc>
        <w:tc>
          <w:tcPr>
            <w:tcW w:w="1134" w:type="dxa"/>
            <w:tcBorders>
              <w:top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1.8</w:t>
            </w:r>
          </w:p>
        </w:tc>
      </w:tr>
      <w:tr w:rsidR="00A13719" w:rsidRPr="00A13719" w:rsidTr="00E9559E">
        <w:trPr>
          <w:trHeight w:val="270"/>
          <w:jc w:val="center"/>
        </w:trPr>
        <w:tc>
          <w:tcPr>
            <w:tcW w:w="2802" w:type="dxa"/>
            <w:shd w:val="clear" w:color="000000" w:fill="auto"/>
            <w:vAlign w:val="center"/>
            <w:hideMark/>
          </w:tcPr>
          <w:p w:rsidR="004F3650" w:rsidRPr="00A13719" w:rsidRDefault="004F3650" w:rsidP="00E9559E">
            <w:pPr>
              <w:spacing w:after="0" w:line="240" w:lineRule="auto"/>
              <w:rPr>
                <w:rFonts w:eastAsia="Times New Roman" w:cs="Times New Roman"/>
                <w:szCs w:val="24"/>
                <w:lang w:eastAsia="en-GB"/>
              </w:rPr>
            </w:pPr>
            <w:r w:rsidRPr="00A13719">
              <w:rPr>
                <w:rFonts w:eastAsia="Times New Roman" w:cs="Times New Roman"/>
                <w:szCs w:val="24"/>
                <w:lang w:eastAsia="en-GB"/>
              </w:rPr>
              <w:t xml:space="preserve">Total </w:t>
            </w:r>
            <w:r w:rsidR="0032461E" w:rsidRPr="00A13719">
              <w:rPr>
                <w:rFonts w:eastAsia="Times New Roman" w:cs="Times New Roman"/>
                <w:szCs w:val="24"/>
                <w:lang w:eastAsia="en-GB"/>
              </w:rPr>
              <w:t>n</w:t>
            </w:r>
            <w:r w:rsidRPr="00A13719">
              <w:rPr>
                <w:rFonts w:eastAsia="Times New Roman" w:cs="Times New Roman"/>
                <w:szCs w:val="24"/>
                <w:lang w:eastAsia="en-GB"/>
              </w:rPr>
              <w:t xml:space="preserve">umber of </w:t>
            </w:r>
            <w:r w:rsidR="0032461E" w:rsidRPr="00A13719">
              <w:rPr>
                <w:rFonts w:eastAsia="Times New Roman" w:cs="Times New Roman"/>
                <w:szCs w:val="24"/>
                <w:lang w:eastAsia="en-GB"/>
              </w:rPr>
              <w:t>f</w:t>
            </w:r>
            <w:r w:rsidRPr="00A13719">
              <w:rPr>
                <w:rFonts w:eastAsia="Times New Roman" w:cs="Times New Roman"/>
                <w:szCs w:val="24"/>
                <w:lang w:eastAsia="en-GB"/>
              </w:rPr>
              <w:t>actors</w:t>
            </w:r>
          </w:p>
        </w:tc>
        <w:tc>
          <w:tcPr>
            <w:tcW w:w="1559" w:type="dxa"/>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10</w:t>
            </w:r>
          </w:p>
        </w:tc>
        <w:tc>
          <w:tcPr>
            <w:tcW w:w="1701" w:type="dxa"/>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5</w:t>
            </w:r>
          </w:p>
        </w:tc>
        <w:tc>
          <w:tcPr>
            <w:tcW w:w="1560" w:type="dxa"/>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10</w:t>
            </w:r>
          </w:p>
        </w:tc>
        <w:tc>
          <w:tcPr>
            <w:tcW w:w="1134" w:type="dxa"/>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6</w:t>
            </w:r>
          </w:p>
        </w:tc>
      </w:tr>
      <w:tr w:rsidR="00A13719" w:rsidRPr="00A13719" w:rsidTr="00E9559E">
        <w:trPr>
          <w:trHeight w:val="285"/>
          <w:jc w:val="center"/>
        </w:trPr>
        <w:tc>
          <w:tcPr>
            <w:tcW w:w="2802" w:type="dxa"/>
            <w:tcBorders>
              <w:bottom w:val="single" w:sz="8" w:space="0" w:color="auto"/>
            </w:tcBorders>
            <w:shd w:val="clear" w:color="000000" w:fill="auto"/>
            <w:vAlign w:val="center"/>
            <w:hideMark/>
          </w:tcPr>
          <w:p w:rsidR="004F3650" w:rsidRPr="00A13719" w:rsidRDefault="004F3650" w:rsidP="00E9559E">
            <w:pPr>
              <w:spacing w:after="0" w:line="240" w:lineRule="auto"/>
              <w:rPr>
                <w:rFonts w:eastAsia="Times New Roman" w:cs="Times New Roman"/>
                <w:szCs w:val="24"/>
                <w:lang w:eastAsia="en-GB"/>
              </w:rPr>
            </w:pPr>
            <w:r w:rsidRPr="00A13719">
              <w:rPr>
                <w:rFonts w:eastAsia="Times New Roman" w:cs="Times New Roman"/>
                <w:szCs w:val="24"/>
                <w:lang w:eastAsia="en-GB"/>
              </w:rPr>
              <w:t xml:space="preserve">Most </w:t>
            </w:r>
            <w:r w:rsidR="0032461E" w:rsidRPr="00A13719">
              <w:rPr>
                <w:rFonts w:eastAsia="Times New Roman" w:cs="Times New Roman"/>
                <w:szCs w:val="24"/>
                <w:lang w:eastAsia="en-GB"/>
              </w:rPr>
              <w:t>c</w:t>
            </w:r>
            <w:r w:rsidRPr="00A13719">
              <w:rPr>
                <w:rFonts w:eastAsia="Times New Roman" w:cs="Times New Roman"/>
                <w:szCs w:val="24"/>
                <w:lang w:eastAsia="en-GB"/>
              </w:rPr>
              <w:t xml:space="preserve">ommon </w:t>
            </w:r>
            <w:r w:rsidR="0032461E" w:rsidRPr="00A13719">
              <w:rPr>
                <w:rFonts w:eastAsia="Times New Roman" w:cs="Times New Roman"/>
                <w:szCs w:val="24"/>
                <w:lang w:eastAsia="en-GB"/>
              </w:rPr>
              <w:t>f</w:t>
            </w:r>
            <w:r w:rsidRPr="00A13719">
              <w:rPr>
                <w:rFonts w:eastAsia="Times New Roman" w:cs="Times New Roman"/>
                <w:szCs w:val="24"/>
                <w:lang w:eastAsia="en-GB"/>
              </w:rPr>
              <w:t>actors</w:t>
            </w:r>
          </w:p>
        </w:tc>
        <w:tc>
          <w:tcPr>
            <w:tcW w:w="1559" w:type="dxa"/>
            <w:tcBorders>
              <w:bottom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SMB, MOM</w:t>
            </w:r>
          </w:p>
        </w:tc>
        <w:tc>
          <w:tcPr>
            <w:tcW w:w="1701" w:type="dxa"/>
            <w:tcBorders>
              <w:bottom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COAG, HML</w:t>
            </w:r>
          </w:p>
        </w:tc>
        <w:tc>
          <w:tcPr>
            <w:tcW w:w="1560" w:type="dxa"/>
            <w:tcBorders>
              <w:bottom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SMB, MOM</w:t>
            </w:r>
          </w:p>
        </w:tc>
        <w:tc>
          <w:tcPr>
            <w:tcW w:w="1134" w:type="dxa"/>
            <w:tcBorders>
              <w:bottom w:val="single" w:sz="8" w:space="0" w:color="auto"/>
            </w:tcBorders>
            <w:shd w:val="clear" w:color="000000" w:fill="auto"/>
            <w:noWrap/>
            <w:vAlign w:val="center"/>
            <w:hideMark/>
          </w:tcPr>
          <w:p w:rsidR="004F3650" w:rsidRPr="00A13719" w:rsidRDefault="004F3650"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SMB,GOAG</w:t>
            </w:r>
          </w:p>
        </w:tc>
      </w:tr>
      <w:tr w:rsidR="00A13719" w:rsidRPr="00A13719" w:rsidTr="00E9559E">
        <w:trPr>
          <w:trHeight w:val="315"/>
          <w:jc w:val="center"/>
        </w:trPr>
        <w:tc>
          <w:tcPr>
            <w:tcW w:w="2802" w:type="dxa"/>
            <w:tcBorders>
              <w:top w:val="single" w:sz="8" w:space="0" w:color="auto"/>
              <w:bottom w:val="single" w:sz="8" w:space="0" w:color="auto"/>
            </w:tcBorders>
            <w:shd w:val="clear" w:color="000000" w:fill="auto"/>
            <w:noWrap/>
            <w:vAlign w:val="center"/>
            <w:hideMark/>
          </w:tcPr>
          <w:p w:rsidR="004F3650" w:rsidRPr="00A13719" w:rsidRDefault="004F3650" w:rsidP="00E9559E">
            <w:pPr>
              <w:spacing w:after="0" w:line="240" w:lineRule="auto"/>
              <w:rPr>
                <w:rFonts w:eastAsia="Times New Roman" w:cs="Times New Roman"/>
                <w:szCs w:val="24"/>
                <w:lang w:eastAsia="en-GB"/>
              </w:rPr>
            </w:pPr>
            <w:r w:rsidRPr="00A13719">
              <w:rPr>
                <w:rFonts w:eastAsia="Times New Roman" w:cs="Times New Roman"/>
                <w:szCs w:val="24"/>
                <w:lang w:eastAsia="en-GB"/>
              </w:rPr>
              <w:t> </w:t>
            </w:r>
            <w:r w:rsidR="006F3D53" w:rsidRPr="00A13719">
              <w:rPr>
                <w:rFonts w:eastAsia="Times New Roman" w:cs="Times New Roman"/>
                <w:szCs w:val="24"/>
                <w:lang w:eastAsia="en-GB"/>
              </w:rPr>
              <w:t>Panel B</w:t>
            </w:r>
          </w:p>
        </w:tc>
        <w:tc>
          <w:tcPr>
            <w:tcW w:w="5954" w:type="dxa"/>
            <w:gridSpan w:val="4"/>
            <w:tcBorders>
              <w:top w:val="single" w:sz="8" w:space="0" w:color="auto"/>
              <w:bottom w:val="single" w:sz="8" w:space="0" w:color="auto"/>
            </w:tcBorders>
            <w:shd w:val="clear" w:color="000000" w:fill="auto"/>
            <w:noWrap/>
            <w:vAlign w:val="center"/>
            <w:hideMark/>
          </w:tcPr>
          <w:p w:rsidR="004F3650" w:rsidRPr="00A13719" w:rsidRDefault="004F3650" w:rsidP="004F3650">
            <w:pPr>
              <w:spacing w:after="0" w:line="240" w:lineRule="auto"/>
              <w:jc w:val="center"/>
              <w:rPr>
                <w:rFonts w:eastAsia="Times New Roman" w:cs="Times New Roman"/>
                <w:szCs w:val="24"/>
                <w:lang w:eastAsia="en-GB"/>
              </w:rPr>
            </w:pPr>
            <w:r w:rsidRPr="00A13719">
              <w:rPr>
                <w:rFonts w:eastAsia="Times New Roman" w:cs="Times New Roman"/>
                <w:szCs w:val="24"/>
                <w:lang w:eastAsia="en-GB"/>
              </w:rPr>
              <w:t>Semi Directional Strategies</w:t>
            </w:r>
          </w:p>
        </w:tc>
      </w:tr>
      <w:tr w:rsidR="00A13719" w:rsidRPr="00A13719" w:rsidTr="00E9559E">
        <w:trPr>
          <w:trHeight w:val="270"/>
          <w:jc w:val="center"/>
        </w:trPr>
        <w:tc>
          <w:tcPr>
            <w:tcW w:w="2802" w:type="dxa"/>
            <w:tcBorders>
              <w:top w:val="single" w:sz="8" w:space="0" w:color="auto"/>
            </w:tcBorders>
            <w:shd w:val="clear" w:color="000000" w:fill="auto"/>
            <w:vAlign w:val="center"/>
            <w:hideMark/>
          </w:tcPr>
          <w:p w:rsidR="0032461E" w:rsidRPr="00A13719" w:rsidRDefault="0032461E" w:rsidP="008724E4">
            <w:pPr>
              <w:spacing w:after="0" w:line="240" w:lineRule="auto"/>
              <w:rPr>
                <w:rFonts w:eastAsia="Times New Roman" w:cs="Times New Roman"/>
                <w:szCs w:val="24"/>
                <w:lang w:eastAsia="en-GB"/>
              </w:rPr>
            </w:pPr>
            <w:r w:rsidRPr="00A13719">
              <w:rPr>
                <w:rFonts w:eastAsia="Times New Roman" w:cs="Times New Roman"/>
                <w:szCs w:val="24"/>
                <w:lang w:eastAsia="en-GB"/>
              </w:rPr>
              <w:t xml:space="preserve">Average number of factors </w:t>
            </w:r>
            <w:r w:rsidR="008724E4" w:rsidRPr="00A13719">
              <w:rPr>
                <w:rFonts w:eastAsia="Times New Roman" w:cs="Times New Roman"/>
                <w:szCs w:val="24"/>
                <w:lang w:eastAsia="en-GB"/>
              </w:rPr>
              <w:t>within</w:t>
            </w:r>
            <w:r w:rsidRPr="00A13719">
              <w:rPr>
                <w:rFonts w:eastAsia="Times New Roman" w:cs="Times New Roman"/>
                <w:szCs w:val="24"/>
                <w:lang w:eastAsia="en-GB"/>
              </w:rPr>
              <w:t xml:space="preserve"> </w:t>
            </w:r>
            <w:r w:rsidR="004739F6" w:rsidRPr="00A13719">
              <w:rPr>
                <w:rFonts w:eastAsia="Times New Roman" w:cs="Times New Roman"/>
                <w:szCs w:val="24"/>
                <w:lang w:eastAsia="en-GB"/>
              </w:rPr>
              <w:t>group</w:t>
            </w:r>
          </w:p>
        </w:tc>
        <w:tc>
          <w:tcPr>
            <w:tcW w:w="1559" w:type="dxa"/>
            <w:tcBorders>
              <w:top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1.9</w:t>
            </w:r>
          </w:p>
        </w:tc>
        <w:tc>
          <w:tcPr>
            <w:tcW w:w="1701" w:type="dxa"/>
            <w:tcBorders>
              <w:top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1.5</w:t>
            </w:r>
          </w:p>
        </w:tc>
        <w:tc>
          <w:tcPr>
            <w:tcW w:w="1560" w:type="dxa"/>
            <w:tcBorders>
              <w:top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1.9</w:t>
            </w:r>
          </w:p>
        </w:tc>
        <w:tc>
          <w:tcPr>
            <w:tcW w:w="1134" w:type="dxa"/>
            <w:tcBorders>
              <w:top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1.4</w:t>
            </w:r>
          </w:p>
        </w:tc>
      </w:tr>
      <w:tr w:rsidR="00A13719" w:rsidRPr="00A13719" w:rsidTr="00E9559E">
        <w:trPr>
          <w:trHeight w:val="300"/>
          <w:jc w:val="center"/>
        </w:trPr>
        <w:tc>
          <w:tcPr>
            <w:tcW w:w="2802" w:type="dxa"/>
            <w:shd w:val="clear" w:color="000000" w:fill="auto"/>
            <w:vAlign w:val="center"/>
            <w:hideMark/>
          </w:tcPr>
          <w:p w:rsidR="0032461E" w:rsidRPr="00A13719" w:rsidRDefault="0032461E" w:rsidP="00E9559E">
            <w:pPr>
              <w:spacing w:after="0" w:line="240" w:lineRule="auto"/>
              <w:rPr>
                <w:rFonts w:eastAsia="Times New Roman" w:cs="Times New Roman"/>
                <w:szCs w:val="24"/>
                <w:lang w:eastAsia="en-GB"/>
              </w:rPr>
            </w:pPr>
            <w:r w:rsidRPr="00A13719">
              <w:rPr>
                <w:rFonts w:eastAsia="Times New Roman" w:cs="Times New Roman"/>
                <w:szCs w:val="24"/>
                <w:lang w:eastAsia="en-GB"/>
              </w:rPr>
              <w:t>Total number of factors</w:t>
            </w:r>
          </w:p>
        </w:tc>
        <w:tc>
          <w:tcPr>
            <w:tcW w:w="1559"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8</w:t>
            </w:r>
          </w:p>
        </w:tc>
        <w:tc>
          <w:tcPr>
            <w:tcW w:w="1701"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8</w:t>
            </w:r>
          </w:p>
        </w:tc>
        <w:tc>
          <w:tcPr>
            <w:tcW w:w="1560"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10</w:t>
            </w:r>
          </w:p>
        </w:tc>
        <w:tc>
          <w:tcPr>
            <w:tcW w:w="1134"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7</w:t>
            </w:r>
          </w:p>
        </w:tc>
      </w:tr>
      <w:tr w:rsidR="00A13719" w:rsidRPr="00A13719" w:rsidTr="00E9559E">
        <w:trPr>
          <w:trHeight w:val="270"/>
          <w:jc w:val="center"/>
        </w:trPr>
        <w:tc>
          <w:tcPr>
            <w:tcW w:w="2802" w:type="dxa"/>
            <w:tcBorders>
              <w:bottom w:val="single" w:sz="8" w:space="0" w:color="auto"/>
            </w:tcBorders>
            <w:shd w:val="clear" w:color="000000" w:fill="auto"/>
            <w:vAlign w:val="center"/>
            <w:hideMark/>
          </w:tcPr>
          <w:p w:rsidR="0032461E" w:rsidRPr="00A13719" w:rsidRDefault="0032461E" w:rsidP="00E9559E">
            <w:pPr>
              <w:spacing w:after="0" w:line="240" w:lineRule="auto"/>
              <w:rPr>
                <w:rFonts w:eastAsia="Times New Roman" w:cs="Times New Roman"/>
                <w:szCs w:val="24"/>
                <w:lang w:eastAsia="en-GB"/>
              </w:rPr>
            </w:pPr>
            <w:r w:rsidRPr="00A13719">
              <w:rPr>
                <w:rFonts w:eastAsia="Times New Roman" w:cs="Times New Roman"/>
                <w:szCs w:val="24"/>
                <w:lang w:eastAsia="en-GB"/>
              </w:rPr>
              <w:t>Most common factors</w:t>
            </w:r>
          </w:p>
        </w:tc>
        <w:tc>
          <w:tcPr>
            <w:tcW w:w="1559" w:type="dxa"/>
            <w:tcBorders>
              <w:bottom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DEF, SMB</w:t>
            </w:r>
          </w:p>
        </w:tc>
        <w:tc>
          <w:tcPr>
            <w:tcW w:w="1701" w:type="dxa"/>
            <w:tcBorders>
              <w:bottom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COIM, TERM</w:t>
            </w:r>
          </w:p>
        </w:tc>
        <w:tc>
          <w:tcPr>
            <w:tcW w:w="1560" w:type="dxa"/>
            <w:tcBorders>
              <w:bottom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HML, SMB</w:t>
            </w:r>
          </w:p>
        </w:tc>
        <w:tc>
          <w:tcPr>
            <w:tcW w:w="1134" w:type="dxa"/>
            <w:tcBorders>
              <w:bottom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COIM</w:t>
            </w:r>
          </w:p>
        </w:tc>
      </w:tr>
      <w:tr w:rsidR="00A13719" w:rsidRPr="00A13719" w:rsidTr="00E9559E">
        <w:trPr>
          <w:trHeight w:val="315"/>
          <w:jc w:val="center"/>
        </w:trPr>
        <w:tc>
          <w:tcPr>
            <w:tcW w:w="2802" w:type="dxa"/>
            <w:tcBorders>
              <w:top w:val="single" w:sz="8" w:space="0" w:color="auto"/>
              <w:bottom w:val="single" w:sz="8" w:space="0" w:color="auto"/>
            </w:tcBorders>
            <w:shd w:val="clear" w:color="000000" w:fill="auto"/>
            <w:noWrap/>
            <w:vAlign w:val="center"/>
            <w:hideMark/>
          </w:tcPr>
          <w:p w:rsidR="004F3650" w:rsidRPr="00A13719" w:rsidRDefault="004F3650" w:rsidP="00E9559E">
            <w:pPr>
              <w:spacing w:after="0" w:line="240" w:lineRule="auto"/>
              <w:rPr>
                <w:rFonts w:eastAsia="Times New Roman" w:cs="Times New Roman"/>
                <w:szCs w:val="24"/>
                <w:lang w:eastAsia="en-GB"/>
              </w:rPr>
            </w:pPr>
            <w:r w:rsidRPr="00A13719">
              <w:rPr>
                <w:rFonts w:eastAsia="Times New Roman" w:cs="Times New Roman"/>
                <w:szCs w:val="24"/>
                <w:lang w:eastAsia="en-GB"/>
              </w:rPr>
              <w:t> </w:t>
            </w:r>
            <w:r w:rsidR="006F3D53" w:rsidRPr="00A13719">
              <w:rPr>
                <w:rFonts w:eastAsia="Times New Roman" w:cs="Times New Roman"/>
                <w:szCs w:val="24"/>
                <w:lang w:eastAsia="en-GB"/>
              </w:rPr>
              <w:t>Panel C</w:t>
            </w:r>
          </w:p>
        </w:tc>
        <w:tc>
          <w:tcPr>
            <w:tcW w:w="5954" w:type="dxa"/>
            <w:gridSpan w:val="4"/>
            <w:tcBorders>
              <w:top w:val="single" w:sz="8" w:space="0" w:color="auto"/>
              <w:bottom w:val="single" w:sz="8" w:space="0" w:color="auto"/>
            </w:tcBorders>
            <w:shd w:val="clear" w:color="000000" w:fill="auto"/>
            <w:noWrap/>
            <w:vAlign w:val="center"/>
            <w:hideMark/>
          </w:tcPr>
          <w:p w:rsidR="004F3650" w:rsidRPr="00A13719" w:rsidRDefault="004F3650" w:rsidP="0032461E">
            <w:pPr>
              <w:spacing w:after="0" w:line="240" w:lineRule="auto"/>
              <w:jc w:val="center"/>
              <w:rPr>
                <w:rFonts w:eastAsia="Times New Roman" w:cs="Times New Roman"/>
                <w:szCs w:val="24"/>
                <w:lang w:eastAsia="en-GB"/>
              </w:rPr>
            </w:pPr>
            <w:r w:rsidRPr="00A13719">
              <w:rPr>
                <w:rFonts w:eastAsia="Times New Roman" w:cs="Times New Roman"/>
                <w:szCs w:val="24"/>
                <w:lang w:eastAsia="en-GB"/>
              </w:rPr>
              <w:t>No</w:t>
            </w:r>
            <w:r w:rsidR="0032461E" w:rsidRPr="00A13719">
              <w:rPr>
                <w:rFonts w:eastAsia="Times New Roman" w:cs="Times New Roman"/>
                <w:szCs w:val="24"/>
                <w:lang w:eastAsia="en-GB"/>
              </w:rPr>
              <w:t>n</w:t>
            </w:r>
            <w:r w:rsidRPr="00A13719">
              <w:rPr>
                <w:rFonts w:eastAsia="Times New Roman" w:cs="Times New Roman"/>
                <w:szCs w:val="24"/>
                <w:lang w:eastAsia="en-GB"/>
              </w:rPr>
              <w:t>-Directional Strategies</w:t>
            </w:r>
          </w:p>
        </w:tc>
      </w:tr>
      <w:tr w:rsidR="00A13719" w:rsidRPr="00A13719" w:rsidTr="00E9559E">
        <w:trPr>
          <w:trHeight w:val="285"/>
          <w:jc w:val="center"/>
        </w:trPr>
        <w:tc>
          <w:tcPr>
            <w:tcW w:w="2802" w:type="dxa"/>
            <w:tcBorders>
              <w:top w:val="single" w:sz="8" w:space="0" w:color="auto"/>
            </w:tcBorders>
            <w:shd w:val="clear" w:color="000000" w:fill="auto"/>
            <w:vAlign w:val="center"/>
            <w:hideMark/>
          </w:tcPr>
          <w:p w:rsidR="0032461E" w:rsidRPr="00A13719" w:rsidRDefault="0032461E" w:rsidP="008724E4">
            <w:pPr>
              <w:spacing w:after="0" w:line="240" w:lineRule="auto"/>
              <w:rPr>
                <w:rFonts w:eastAsia="Times New Roman" w:cs="Times New Roman"/>
                <w:szCs w:val="24"/>
                <w:lang w:eastAsia="en-GB"/>
              </w:rPr>
            </w:pPr>
            <w:r w:rsidRPr="00A13719">
              <w:rPr>
                <w:rFonts w:eastAsia="Times New Roman" w:cs="Times New Roman"/>
                <w:szCs w:val="24"/>
                <w:lang w:eastAsia="en-GB"/>
              </w:rPr>
              <w:t xml:space="preserve">Average number of factors </w:t>
            </w:r>
            <w:r w:rsidR="008724E4" w:rsidRPr="00A13719">
              <w:rPr>
                <w:rFonts w:eastAsia="Times New Roman" w:cs="Times New Roman"/>
                <w:szCs w:val="24"/>
                <w:lang w:eastAsia="en-GB"/>
              </w:rPr>
              <w:t>within</w:t>
            </w:r>
            <w:r w:rsidRPr="00A13719">
              <w:rPr>
                <w:rFonts w:eastAsia="Times New Roman" w:cs="Times New Roman"/>
                <w:szCs w:val="24"/>
                <w:lang w:eastAsia="en-GB"/>
              </w:rPr>
              <w:t xml:space="preserve"> </w:t>
            </w:r>
            <w:r w:rsidR="004739F6" w:rsidRPr="00A13719">
              <w:rPr>
                <w:rFonts w:eastAsia="Times New Roman" w:cs="Times New Roman"/>
                <w:szCs w:val="24"/>
                <w:lang w:eastAsia="en-GB"/>
              </w:rPr>
              <w:t>group</w:t>
            </w:r>
          </w:p>
        </w:tc>
        <w:tc>
          <w:tcPr>
            <w:tcW w:w="1559" w:type="dxa"/>
            <w:tcBorders>
              <w:top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1.3</w:t>
            </w:r>
          </w:p>
        </w:tc>
        <w:tc>
          <w:tcPr>
            <w:tcW w:w="1701" w:type="dxa"/>
            <w:tcBorders>
              <w:top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1.3</w:t>
            </w:r>
          </w:p>
        </w:tc>
        <w:tc>
          <w:tcPr>
            <w:tcW w:w="1560" w:type="dxa"/>
            <w:tcBorders>
              <w:top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1.4</w:t>
            </w:r>
          </w:p>
        </w:tc>
        <w:tc>
          <w:tcPr>
            <w:tcW w:w="1134" w:type="dxa"/>
            <w:tcBorders>
              <w:top w:val="single" w:sz="8" w:space="0" w:color="auto"/>
            </w:tcBorders>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1</w:t>
            </w:r>
          </w:p>
        </w:tc>
      </w:tr>
      <w:tr w:rsidR="00A13719" w:rsidRPr="00A13719" w:rsidTr="00E9559E">
        <w:trPr>
          <w:trHeight w:val="255"/>
          <w:jc w:val="center"/>
        </w:trPr>
        <w:tc>
          <w:tcPr>
            <w:tcW w:w="2802" w:type="dxa"/>
            <w:shd w:val="clear" w:color="000000" w:fill="auto"/>
            <w:vAlign w:val="center"/>
            <w:hideMark/>
          </w:tcPr>
          <w:p w:rsidR="0032461E" w:rsidRPr="00A13719" w:rsidRDefault="0032461E" w:rsidP="00E9559E">
            <w:pPr>
              <w:spacing w:after="0" w:line="240" w:lineRule="auto"/>
              <w:rPr>
                <w:rFonts w:eastAsia="Times New Roman" w:cs="Times New Roman"/>
                <w:szCs w:val="24"/>
                <w:lang w:eastAsia="en-GB"/>
              </w:rPr>
            </w:pPr>
            <w:r w:rsidRPr="00A13719">
              <w:rPr>
                <w:rFonts w:eastAsia="Times New Roman" w:cs="Times New Roman"/>
                <w:szCs w:val="24"/>
                <w:lang w:eastAsia="en-GB"/>
              </w:rPr>
              <w:t>Total number of factors</w:t>
            </w:r>
          </w:p>
        </w:tc>
        <w:tc>
          <w:tcPr>
            <w:tcW w:w="1559"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7</w:t>
            </w:r>
          </w:p>
        </w:tc>
        <w:tc>
          <w:tcPr>
            <w:tcW w:w="1701"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4</w:t>
            </w:r>
          </w:p>
        </w:tc>
        <w:tc>
          <w:tcPr>
            <w:tcW w:w="1560"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7</w:t>
            </w:r>
          </w:p>
        </w:tc>
        <w:tc>
          <w:tcPr>
            <w:tcW w:w="1134"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8</w:t>
            </w:r>
          </w:p>
        </w:tc>
      </w:tr>
      <w:tr w:rsidR="00A13719" w:rsidRPr="00A13719" w:rsidTr="00E9559E">
        <w:trPr>
          <w:trHeight w:val="240"/>
          <w:jc w:val="center"/>
        </w:trPr>
        <w:tc>
          <w:tcPr>
            <w:tcW w:w="2802" w:type="dxa"/>
            <w:shd w:val="clear" w:color="000000" w:fill="auto"/>
            <w:vAlign w:val="center"/>
            <w:hideMark/>
          </w:tcPr>
          <w:p w:rsidR="0032461E" w:rsidRPr="00A13719" w:rsidRDefault="0032461E" w:rsidP="00E9559E">
            <w:pPr>
              <w:spacing w:after="0" w:line="240" w:lineRule="auto"/>
              <w:rPr>
                <w:rFonts w:eastAsia="Times New Roman" w:cs="Times New Roman"/>
                <w:szCs w:val="24"/>
                <w:lang w:eastAsia="en-GB"/>
              </w:rPr>
            </w:pPr>
            <w:r w:rsidRPr="00A13719">
              <w:rPr>
                <w:rFonts w:eastAsia="Times New Roman" w:cs="Times New Roman"/>
                <w:szCs w:val="24"/>
                <w:lang w:eastAsia="en-GB"/>
              </w:rPr>
              <w:t>Most common factors</w:t>
            </w:r>
          </w:p>
        </w:tc>
        <w:tc>
          <w:tcPr>
            <w:tcW w:w="1559"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MOM</w:t>
            </w:r>
          </w:p>
        </w:tc>
        <w:tc>
          <w:tcPr>
            <w:tcW w:w="1701"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w:t>
            </w:r>
          </w:p>
        </w:tc>
        <w:tc>
          <w:tcPr>
            <w:tcW w:w="1560"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MOM, HML</w:t>
            </w:r>
          </w:p>
        </w:tc>
        <w:tc>
          <w:tcPr>
            <w:tcW w:w="1134" w:type="dxa"/>
            <w:shd w:val="clear" w:color="000000" w:fill="auto"/>
            <w:noWrap/>
            <w:vAlign w:val="center"/>
            <w:hideMark/>
          </w:tcPr>
          <w:p w:rsidR="0032461E" w:rsidRPr="00A13719" w:rsidRDefault="0032461E" w:rsidP="00E9559E">
            <w:pPr>
              <w:spacing w:after="0" w:line="240" w:lineRule="auto"/>
              <w:jc w:val="center"/>
              <w:rPr>
                <w:rFonts w:eastAsia="Times New Roman" w:cs="Times New Roman"/>
                <w:szCs w:val="24"/>
                <w:lang w:eastAsia="en-GB"/>
              </w:rPr>
            </w:pPr>
            <w:r w:rsidRPr="00A13719">
              <w:rPr>
                <w:rFonts w:eastAsia="Times New Roman" w:cs="Times New Roman"/>
                <w:szCs w:val="24"/>
                <w:lang w:eastAsia="en-GB"/>
              </w:rPr>
              <w:t>-</w:t>
            </w:r>
          </w:p>
        </w:tc>
      </w:tr>
    </w:tbl>
    <w:p w:rsidR="004F3650" w:rsidRPr="00A13719" w:rsidRDefault="004F3650" w:rsidP="004F3650">
      <w:pPr>
        <w:jc w:val="both"/>
        <w:rPr>
          <w:lang w:val="en-US"/>
        </w:rPr>
      </w:pPr>
    </w:p>
    <w:p w:rsidR="004F3650" w:rsidRPr="00A13719" w:rsidRDefault="004F3650" w:rsidP="00D61D6A">
      <w:pPr>
        <w:spacing w:after="200" w:line="276" w:lineRule="auto"/>
        <w:rPr>
          <w:b/>
          <w:sz w:val="28"/>
          <w:szCs w:val="28"/>
          <w:lang w:val="en-US"/>
        </w:rPr>
      </w:pPr>
      <w:r w:rsidRPr="00A13719">
        <w:rPr>
          <w:b/>
          <w:lang w:val="en-US"/>
        </w:rPr>
        <w:t>Discussion</w:t>
      </w:r>
    </w:p>
    <w:p w:rsidR="004F3650" w:rsidRPr="00A13719" w:rsidRDefault="0005428A" w:rsidP="004F3650">
      <w:pPr>
        <w:jc w:val="both"/>
        <w:rPr>
          <w:rFonts w:eastAsiaTheme="minorEastAsia"/>
          <w:lang w:val="en-US"/>
        </w:rPr>
      </w:pPr>
      <w:r w:rsidRPr="00A13719">
        <w:rPr>
          <w:lang w:val="en-US"/>
        </w:rPr>
        <w:t xml:space="preserve">Our results confirm our initial </w:t>
      </w:r>
      <w:r w:rsidR="00995119" w:rsidRPr="00A13719">
        <w:rPr>
          <w:lang w:val="en-US"/>
        </w:rPr>
        <w:t>assumption</w:t>
      </w:r>
      <w:r w:rsidRPr="00A13719">
        <w:rPr>
          <w:lang w:val="en-US"/>
        </w:rPr>
        <w:t xml:space="preserve"> that </w:t>
      </w:r>
      <w:r w:rsidR="00816087" w:rsidRPr="00A13719">
        <w:rPr>
          <w:rFonts w:eastAsiaTheme="minorEastAsia"/>
          <w:lang w:val="en-US"/>
        </w:rPr>
        <w:t>HF</w:t>
      </w:r>
      <w:r w:rsidRPr="00A13719">
        <w:rPr>
          <w:lang w:val="en-US"/>
        </w:rPr>
        <w:t xml:space="preserve">s have exposures to different factors and are time-varying, conditional on different cycles and regimes. Moreover, our results do not confirm our </w:t>
      </w:r>
      <w:r w:rsidR="00995119" w:rsidRPr="00A13719">
        <w:rPr>
          <w:lang w:val="en-US"/>
        </w:rPr>
        <w:t>assumption</w:t>
      </w:r>
      <w:r w:rsidRPr="00A13719">
        <w:rPr>
          <w:lang w:val="en-US"/>
        </w:rPr>
        <w:t xml:space="preserve"> that </w:t>
      </w:r>
      <w:r w:rsidR="00816087" w:rsidRPr="00A13719">
        <w:rPr>
          <w:rFonts w:eastAsiaTheme="minorEastAsia"/>
          <w:lang w:val="en-US"/>
        </w:rPr>
        <w:t>HF</w:t>
      </w:r>
      <w:r w:rsidRPr="00A13719">
        <w:rPr>
          <w:lang w:val="en-US"/>
        </w:rPr>
        <w:t>s a</w:t>
      </w:r>
      <w:r w:rsidR="00AB4FB1" w:rsidRPr="00A13719">
        <w:rPr>
          <w:lang w:val="en-US"/>
        </w:rPr>
        <w:t>re</w:t>
      </w:r>
      <w:r w:rsidRPr="00A13719">
        <w:rPr>
          <w:lang w:val="en-US"/>
        </w:rPr>
        <w:t xml:space="preserve"> superior investment vehicles, </w:t>
      </w:r>
      <w:r w:rsidR="00AB4FB1" w:rsidRPr="00A13719">
        <w:rPr>
          <w:lang w:val="en-US"/>
        </w:rPr>
        <w:t xml:space="preserve">i.e. they do not </w:t>
      </w:r>
      <w:r w:rsidRPr="00A13719">
        <w:rPr>
          <w:lang w:val="en-US"/>
        </w:rPr>
        <w:t>deliver excess returns to investors in all business cycles and market conditions.</w:t>
      </w:r>
      <w:r w:rsidRPr="00A13719">
        <w:rPr>
          <w:rFonts w:ascii="TimesNewRomanPSMT" w:hAnsi="TimesNewRomanPSMT" w:cs="TimesNewRomanPSMT"/>
          <w:szCs w:val="24"/>
        </w:rPr>
        <w:t xml:space="preserve"> </w:t>
      </w:r>
      <w:r w:rsidR="004F3650" w:rsidRPr="00A13719">
        <w:rPr>
          <w:lang w:val="en-US"/>
        </w:rPr>
        <w:t>In general, our findings agree with other authors (e</w:t>
      </w:r>
      <w:r w:rsidR="00496051" w:rsidRPr="00A13719">
        <w:rPr>
          <w:lang w:val="en-US"/>
        </w:rPr>
        <w:t>.g. Bali, Brown</w:t>
      </w:r>
      <w:r w:rsidR="00D81854" w:rsidRPr="00A13719">
        <w:rPr>
          <w:lang w:val="en-US"/>
        </w:rPr>
        <w:t xml:space="preserve"> and</w:t>
      </w:r>
      <w:r w:rsidR="00164CB2" w:rsidRPr="00A13719">
        <w:rPr>
          <w:lang w:val="en-US"/>
        </w:rPr>
        <w:t xml:space="preserve"> Caglayan, 2011, Jawadi</w:t>
      </w:r>
      <w:r w:rsidR="00496051" w:rsidRPr="00A13719">
        <w:rPr>
          <w:lang w:val="en-US"/>
        </w:rPr>
        <w:t xml:space="preserve"> </w:t>
      </w:r>
      <w:r w:rsidR="00164CB2" w:rsidRPr="00A13719">
        <w:rPr>
          <w:lang w:val="en-US"/>
        </w:rPr>
        <w:t xml:space="preserve">and </w:t>
      </w:r>
      <w:r w:rsidR="00496051" w:rsidRPr="00A13719">
        <w:rPr>
          <w:lang w:val="en-US"/>
        </w:rPr>
        <w:t>Khanniche, 2012</w:t>
      </w:r>
      <w:r w:rsidR="004F3650" w:rsidRPr="00A13719">
        <w:rPr>
          <w:lang w:val="en-US"/>
        </w:rPr>
        <w:t xml:space="preserve"> and Giannikis and Vrontos</w:t>
      </w:r>
      <w:r w:rsidR="00496051" w:rsidRPr="00A13719">
        <w:rPr>
          <w:lang w:val="en-US"/>
        </w:rPr>
        <w:t>, 2011</w:t>
      </w:r>
      <w:r w:rsidR="004F3650" w:rsidRPr="00A13719">
        <w:rPr>
          <w:lang w:val="en-US"/>
        </w:rPr>
        <w:t xml:space="preserve">) that </w:t>
      </w:r>
      <w:r w:rsidR="00816087" w:rsidRPr="00A13719">
        <w:rPr>
          <w:rFonts w:eastAsiaTheme="minorEastAsia"/>
          <w:lang w:val="en-US"/>
        </w:rPr>
        <w:t>HF</w:t>
      </w:r>
      <w:r w:rsidR="00816087" w:rsidRPr="00A13719">
        <w:rPr>
          <w:lang w:val="en-US"/>
        </w:rPr>
        <w:t xml:space="preserve"> </w:t>
      </w:r>
      <w:r w:rsidR="004F3650" w:rsidRPr="00A13719">
        <w:rPr>
          <w:lang w:val="en-US"/>
        </w:rPr>
        <w:t>strategies are dynamic in terms of exposures and returns</w:t>
      </w:r>
      <w:r w:rsidR="00E360ED" w:rsidRPr="00A13719">
        <w:rPr>
          <w:lang w:val="en-US"/>
        </w:rPr>
        <w:t xml:space="preserve">. </w:t>
      </w:r>
      <w:r w:rsidR="004F3650" w:rsidRPr="00A13719">
        <w:rPr>
          <w:lang w:val="en-US"/>
        </w:rPr>
        <w:t>Mo</w:t>
      </w:r>
      <w:r w:rsidR="005B6F70" w:rsidRPr="00A13719">
        <w:rPr>
          <w:lang w:val="en-US"/>
        </w:rPr>
        <w:t xml:space="preserve">re specifically, our </w:t>
      </w:r>
      <w:r w:rsidR="004F3650" w:rsidRPr="00A13719">
        <w:rPr>
          <w:lang w:val="en-US"/>
        </w:rPr>
        <w:t xml:space="preserve">model agrees with the literature that </w:t>
      </w:r>
      <w:r w:rsidR="007E3E72" w:rsidRPr="00A13719">
        <w:rPr>
          <w:lang w:val="en-US"/>
        </w:rPr>
        <w:t xml:space="preserve">returns and </w:t>
      </w:r>
      <w:r w:rsidR="004F3650" w:rsidRPr="00A13719">
        <w:rPr>
          <w:lang w:val="en-US"/>
        </w:rPr>
        <w:t xml:space="preserve">factor exposures change </w:t>
      </w:r>
      <w:r w:rsidR="00FA0DB1" w:rsidRPr="00A13719">
        <w:rPr>
          <w:lang w:val="en-US"/>
        </w:rPr>
        <w:t>over time</w:t>
      </w:r>
      <w:r w:rsidR="00CF1569" w:rsidRPr="00A13719">
        <w:rPr>
          <w:lang w:val="en-US"/>
        </w:rPr>
        <w:t>,</w:t>
      </w:r>
      <w:r w:rsidR="00056167" w:rsidRPr="00A13719">
        <w:rPr>
          <w:lang w:val="en-US"/>
        </w:rPr>
        <w:t xml:space="preserve"> </w:t>
      </w:r>
      <w:r w:rsidR="006032DD" w:rsidRPr="00A13719">
        <w:rPr>
          <w:lang w:val="en-US"/>
        </w:rPr>
        <w:t>as we found major switches o</w:t>
      </w:r>
      <w:r w:rsidR="0039713A" w:rsidRPr="00A13719">
        <w:rPr>
          <w:lang w:val="en-US"/>
        </w:rPr>
        <w:t>f</w:t>
      </w:r>
      <w:r w:rsidR="006032DD" w:rsidRPr="00A13719">
        <w:rPr>
          <w:lang w:val="en-US"/>
        </w:rPr>
        <w:t xml:space="preserve"> </w:t>
      </w:r>
      <w:r w:rsidR="00816087" w:rsidRPr="00A13719">
        <w:rPr>
          <w:rFonts w:eastAsiaTheme="minorEastAsia"/>
          <w:lang w:val="en-US"/>
        </w:rPr>
        <w:t>HF</w:t>
      </w:r>
      <w:r w:rsidR="00816087" w:rsidRPr="00A13719">
        <w:rPr>
          <w:lang w:val="en-US"/>
        </w:rPr>
        <w:t xml:space="preserve"> </w:t>
      </w:r>
      <w:r w:rsidR="006032DD" w:rsidRPr="00A13719">
        <w:rPr>
          <w:lang w:val="en-US"/>
        </w:rPr>
        <w:t xml:space="preserve">returns </w:t>
      </w:r>
      <w:r w:rsidR="00CF1569" w:rsidRPr="00A13719">
        <w:rPr>
          <w:lang w:val="en-US"/>
        </w:rPr>
        <w:t xml:space="preserve">(as </w:t>
      </w:r>
      <w:r w:rsidR="006032DD" w:rsidRPr="00A13719">
        <w:rPr>
          <w:lang w:val="en-US"/>
        </w:rPr>
        <w:t>mod</w:t>
      </w:r>
      <w:r w:rsidR="00CF1569" w:rsidRPr="00A13719">
        <w:rPr>
          <w:lang w:val="en-US"/>
        </w:rPr>
        <w:t>elled by Jawadi, Khannich, 2012)</w:t>
      </w:r>
      <w:r w:rsidR="00130809" w:rsidRPr="00A13719">
        <w:rPr>
          <w:lang w:val="en-US"/>
        </w:rPr>
        <w:t xml:space="preserve"> </w:t>
      </w:r>
      <w:r w:rsidR="00977E26" w:rsidRPr="00A13719">
        <w:rPr>
          <w:lang w:val="en-US"/>
        </w:rPr>
        <w:t>occurred</w:t>
      </w:r>
      <w:r w:rsidR="00CF1569" w:rsidRPr="00A13719">
        <w:rPr>
          <w:lang w:val="en-US"/>
        </w:rPr>
        <w:t xml:space="preserve"> in </w:t>
      </w:r>
      <w:r w:rsidR="006032DD" w:rsidRPr="00A13719">
        <w:rPr>
          <w:lang w:val="en-US"/>
        </w:rPr>
        <w:t xml:space="preserve">stressful </w:t>
      </w:r>
      <w:r w:rsidR="0039713A" w:rsidRPr="00A13719">
        <w:rPr>
          <w:lang w:val="en-US"/>
        </w:rPr>
        <w:t>market conditions.</w:t>
      </w:r>
      <w:r w:rsidR="006032DD" w:rsidRPr="00A13719">
        <w:rPr>
          <w:lang w:val="en-US"/>
        </w:rPr>
        <w:t xml:space="preserve"> </w:t>
      </w:r>
      <w:r w:rsidR="007E3E72" w:rsidRPr="00A13719">
        <w:rPr>
          <w:lang w:val="en-US"/>
        </w:rPr>
        <w:t>In addition, w</w:t>
      </w:r>
      <w:r w:rsidR="00056167" w:rsidRPr="00A13719">
        <w:rPr>
          <w:lang w:val="en-US"/>
        </w:rPr>
        <w:t xml:space="preserve">e partly agree </w:t>
      </w:r>
      <w:r w:rsidR="003F28E8" w:rsidRPr="00A13719">
        <w:rPr>
          <w:lang w:val="en-US"/>
        </w:rPr>
        <w:t xml:space="preserve">with </w:t>
      </w:r>
      <w:r w:rsidR="00056167" w:rsidRPr="00A13719">
        <w:rPr>
          <w:lang w:val="en-US"/>
        </w:rPr>
        <w:t xml:space="preserve">Bollen and Whaley (2009) since we found </w:t>
      </w:r>
      <w:r w:rsidR="00B20C0A" w:rsidRPr="00A13719">
        <w:rPr>
          <w:lang w:val="en-US"/>
        </w:rPr>
        <w:t xml:space="preserve">that </w:t>
      </w:r>
      <w:r w:rsidR="00BC0410" w:rsidRPr="00A13719">
        <w:rPr>
          <w:lang w:val="en-US"/>
        </w:rPr>
        <w:t xml:space="preserve">only </w:t>
      </w:r>
      <w:r w:rsidR="00056167" w:rsidRPr="00A13719">
        <w:rPr>
          <w:lang w:val="en-US"/>
        </w:rPr>
        <w:t xml:space="preserve">one of their two </w:t>
      </w:r>
      <w:r w:rsidR="0097243F" w:rsidRPr="00A13719">
        <w:rPr>
          <w:lang w:val="en-US"/>
        </w:rPr>
        <w:t>samples</w:t>
      </w:r>
      <w:r w:rsidR="00065B0B" w:rsidRPr="00A13719">
        <w:rPr>
          <w:lang w:val="en-US"/>
        </w:rPr>
        <w:t>,</w:t>
      </w:r>
      <w:r w:rsidR="0097243F" w:rsidRPr="00A13719">
        <w:rPr>
          <w:lang w:val="en-US"/>
        </w:rPr>
        <w:t xml:space="preserve"> containing </w:t>
      </w:r>
      <w:r w:rsidR="00241780" w:rsidRPr="00A13719">
        <w:rPr>
          <w:lang w:val="en-US"/>
        </w:rPr>
        <w:t xml:space="preserve">spikes of </w:t>
      </w:r>
      <w:r w:rsidR="00191651" w:rsidRPr="00A13719">
        <w:rPr>
          <w:lang w:val="en-US"/>
        </w:rPr>
        <w:t>exposure</w:t>
      </w:r>
      <w:r w:rsidR="009C5230" w:rsidRPr="00A13719">
        <w:rPr>
          <w:lang w:val="en-US"/>
        </w:rPr>
        <w:t>s’</w:t>
      </w:r>
      <w:r w:rsidR="00191651" w:rsidRPr="00A13719">
        <w:rPr>
          <w:lang w:val="en-US"/>
        </w:rPr>
        <w:t xml:space="preserve"> </w:t>
      </w:r>
      <w:r w:rsidR="00056167" w:rsidRPr="00A13719">
        <w:rPr>
          <w:lang w:val="en-US"/>
        </w:rPr>
        <w:t>switch</w:t>
      </w:r>
      <w:r w:rsidR="009C5230" w:rsidRPr="00A13719">
        <w:rPr>
          <w:lang w:val="en-US"/>
        </w:rPr>
        <w:t>ing</w:t>
      </w:r>
      <w:r w:rsidR="00056167" w:rsidRPr="00A13719">
        <w:rPr>
          <w:lang w:val="en-US"/>
        </w:rPr>
        <w:t xml:space="preserve"> </w:t>
      </w:r>
      <w:r w:rsidR="00A75CE4" w:rsidRPr="00A13719">
        <w:rPr>
          <w:lang w:val="en-US"/>
        </w:rPr>
        <w:t>to appear</w:t>
      </w:r>
      <w:r w:rsidR="00056167" w:rsidRPr="00A13719">
        <w:rPr>
          <w:lang w:val="en-US"/>
        </w:rPr>
        <w:t xml:space="preserve"> during </w:t>
      </w:r>
      <w:r w:rsidR="00191651" w:rsidRPr="00A13719">
        <w:rPr>
          <w:lang w:val="en-US"/>
        </w:rPr>
        <w:t xml:space="preserve">our </w:t>
      </w:r>
      <w:r w:rsidR="00056167" w:rsidRPr="00A13719">
        <w:rPr>
          <w:lang w:val="en-US"/>
        </w:rPr>
        <w:t xml:space="preserve">stressful </w:t>
      </w:r>
      <w:r w:rsidR="00191651" w:rsidRPr="00A13719">
        <w:rPr>
          <w:lang w:val="en-US"/>
        </w:rPr>
        <w:t xml:space="preserve">market </w:t>
      </w:r>
      <w:r w:rsidR="00056167" w:rsidRPr="00A13719">
        <w:rPr>
          <w:lang w:val="en-US"/>
        </w:rPr>
        <w:t>conditions</w:t>
      </w:r>
      <w:r w:rsidR="00A46E8E" w:rsidRPr="00A13719">
        <w:rPr>
          <w:lang w:val="en-US"/>
        </w:rPr>
        <w:t>.</w:t>
      </w:r>
      <w:r w:rsidR="00E01BB0" w:rsidRPr="00A13719">
        <w:rPr>
          <w:lang w:val="en-US"/>
        </w:rPr>
        <w:t xml:space="preserve"> However, it is important to mention that they focus (contrary to this study) on the internal change of funds’ exposures examining funds during the period 1994 to 2005, allowing for a single shift in the parameters (asset weightings) of the funds. We have shown</w:t>
      </w:r>
      <w:r w:rsidR="001C0A6D" w:rsidRPr="00A13719">
        <w:rPr>
          <w:lang w:val="en-US"/>
        </w:rPr>
        <w:t xml:space="preserve"> that</w:t>
      </w:r>
      <w:r w:rsidR="004F3650" w:rsidRPr="00A13719">
        <w:rPr>
          <w:lang w:val="en-US"/>
        </w:rPr>
        <w:t xml:space="preserve"> different strategies (especially between directional and non-direct</w:t>
      </w:r>
      <w:r w:rsidR="00853B6F" w:rsidRPr="00A13719">
        <w:rPr>
          <w:lang w:val="en-US"/>
        </w:rPr>
        <w:t>ional) have different exposures.</w:t>
      </w:r>
      <w:r w:rsidR="004F3650" w:rsidRPr="00A13719">
        <w:rPr>
          <w:lang w:val="en-US"/>
        </w:rPr>
        <w:t xml:space="preserve"> </w:t>
      </w:r>
      <w:r w:rsidR="00E01BB0" w:rsidRPr="00A13719">
        <w:rPr>
          <w:lang w:val="en-US"/>
        </w:rPr>
        <w:t>In addition</w:t>
      </w:r>
      <w:r w:rsidR="004F3650" w:rsidRPr="00A13719">
        <w:rPr>
          <w:lang w:val="en-US"/>
        </w:rPr>
        <w:t xml:space="preserve">, there are some common risk factors such as </w:t>
      </w:r>
      <w:r w:rsidR="007F0107" w:rsidRPr="00A13719">
        <w:rPr>
          <w:lang w:val="en-US"/>
        </w:rPr>
        <w:t xml:space="preserve">the </w:t>
      </w:r>
      <w:r w:rsidR="004F3650" w:rsidRPr="00A13719">
        <w:rPr>
          <w:lang w:val="en-US"/>
        </w:rPr>
        <w:t xml:space="preserve">market, credit, </w:t>
      </w:r>
      <w:r w:rsidR="007F0107" w:rsidRPr="00A13719">
        <w:rPr>
          <w:lang w:val="en-US"/>
        </w:rPr>
        <w:t>the term spread</w:t>
      </w:r>
      <w:r w:rsidR="00D81854" w:rsidRPr="00A13719">
        <w:rPr>
          <w:lang w:val="en-US"/>
        </w:rPr>
        <w:t xml:space="preserve"> and</w:t>
      </w:r>
      <w:r w:rsidR="004F3650" w:rsidRPr="00A13719">
        <w:rPr>
          <w:lang w:val="en-US"/>
        </w:rPr>
        <w:t xml:space="preserve"> commodities that are </w:t>
      </w:r>
      <w:r w:rsidR="007F0107" w:rsidRPr="00A13719">
        <w:rPr>
          <w:lang w:val="en-US"/>
        </w:rPr>
        <w:t xml:space="preserve">shared </w:t>
      </w:r>
      <w:r w:rsidR="004F3650" w:rsidRPr="00A13719">
        <w:rPr>
          <w:lang w:val="en-US"/>
        </w:rPr>
        <w:t xml:space="preserve">between many </w:t>
      </w:r>
      <w:r w:rsidR="00653042" w:rsidRPr="00A13719">
        <w:rPr>
          <w:rFonts w:eastAsiaTheme="minorEastAsia"/>
          <w:lang w:val="en-US"/>
        </w:rPr>
        <w:t>HF</w:t>
      </w:r>
      <w:r w:rsidR="00653042" w:rsidRPr="00A13719">
        <w:rPr>
          <w:lang w:val="en-US"/>
        </w:rPr>
        <w:t xml:space="preserve"> </w:t>
      </w:r>
      <w:r w:rsidR="004F3650" w:rsidRPr="00A13719">
        <w:rPr>
          <w:lang w:val="en-US"/>
        </w:rPr>
        <w:t>strategies</w:t>
      </w:r>
      <w:r w:rsidR="007F0107" w:rsidRPr="00A13719">
        <w:rPr>
          <w:lang w:val="en-US"/>
        </w:rPr>
        <w:t xml:space="preserve"> (as mentioned by </w:t>
      </w:r>
      <w:r w:rsidR="007F0107" w:rsidRPr="00A13719">
        <w:rPr>
          <w:lang w:val="en-US"/>
        </w:rPr>
        <w:lastRenderedPageBreak/>
        <w:t>Bill</w:t>
      </w:r>
      <w:r w:rsidR="00C64F41" w:rsidRPr="00A13719">
        <w:rPr>
          <w:lang w:val="en-US"/>
        </w:rPr>
        <w:t>io, Getmansky and Pelizzon, 2012</w:t>
      </w:r>
      <w:r w:rsidR="007F0107" w:rsidRPr="00A13719">
        <w:rPr>
          <w:lang w:val="en-US"/>
        </w:rPr>
        <w:t>)</w:t>
      </w:r>
      <w:r w:rsidR="00A21918" w:rsidRPr="00A13719">
        <w:rPr>
          <w:lang w:val="en-US"/>
        </w:rPr>
        <w:t xml:space="preserve"> </w:t>
      </w:r>
      <w:r w:rsidR="00984276" w:rsidRPr="00A13719">
        <w:rPr>
          <w:lang w:val="en-US"/>
        </w:rPr>
        <w:t>and there</w:t>
      </w:r>
      <w:r w:rsidR="00A21918" w:rsidRPr="00A13719">
        <w:rPr>
          <w:lang w:val="en-US"/>
        </w:rPr>
        <w:t xml:space="preserve"> </w:t>
      </w:r>
      <w:r w:rsidR="00984276" w:rsidRPr="00A13719">
        <w:rPr>
          <w:lang w:val="en-US"/>
        </w:rPr>
        <w:t xml:space="preserve">are </w:t>
      </w:r>
      <w:r w:rsidR="00A21918" w:rsidRPr="00A13719">
        <w:rPr>
          <w:lang w:val="en-US"/>
        </w:rPr>
        <w:t xml:space="preserve">some </w:t>
      </w:r>
      <w:r w:rsidR="00D62B83" w:rsidRPr="00A13719">
        <w:rPr>
          <w:lang w:val="en-US"/>
        </w:rPr>
        <w:t>other</w:t>
      </w:r>
      <w:r w:rsidR="00D61874" w:rsidRPr="00A13719">
        <w:rPr>
          <w:lang w:val="en-US"/>
        </w:rPr>
        <w:t xml:space="preserve"> factors such as default spread</w:t>
      </w:r>
      <w:r w:rsidR="00A21918" w:rsidRPr="00A13719">
        <w:rPr>
          <w:lang w:val="en-US"/>
        </w:rPr>
        <w:t xml:space="preserve"> and VIX that are economically important (Avramov et.al. 2013)</w:t>
      </w:r>
      <w:r w:rsidR="004F3650" w:rsidRPr="00A13719">
        <w:rPr>
          <w:lang w:val="en-US"/>
        </w:rPr>
        <w:t xml:space="preserve">. </w:t>
      </w:r>
      <w:r w:rsidR="00D61874" w:rsidRPr="00A13719">
        <w:rPr>
          <w:lang w:val="en-US"/>
        </w:rPr>
        <w:t>O</w:t>
      </w:r>
      <w:r w:rsidR="004F3650" w:rsidRPr="00A13719">
        <w:rPr>
          <w:lang w:val="en-US"/>
        </w:rPr>
        <w:t>ur findings agree with Melig</w:t>
      </w:r>
      <w:r w:rsidR="0026337A" w:rsidRPr="00A13719">
        <w:rPr>
          <w:lang w:val="en-US"/>
        </w:rPr>
        <w:t>k</w:t>
      </w:r>
      <w:r w:rsidR="004F3650" w:rsidRPr="00A13719">
        <w:rPr>
          <w:lang w:val="en-US"/>
        </w:rPr>
        <w:t xml:space="preserve">otsidou and Vrontos (2014) that the market index and the spread of small cap minus large cap were the most significant factors in </w:t>
      </w:r>
      <w:r w:rsidR="00816087" w:rsidRPr="00A13719">
        <w:rPr>
          <w:rFonts w:eastAsiaTheme="minorEastAsia"/>
          <w:lang w:val="en-US"/>
        </w:rPr>
        <w:t>HF</w:t>
      </w:r>
      <w:r w:rsidR="00816087" w:rsidRPr="00A13719">
        <w:rPr>
          <w:lang w:val="en-US"/>
        </w:rPr>
        <w:t xml:space="preserve"> </w:t>
      </w:r>
      <w:r w:rsidR="004F3650" w:rsidRPr="00A13719">
        <w:rPr>
          <w:lang w:val="en-US"/>
        </w:rPr>
        <w:t>return</w:t>
      </w:r>
      <w:r w:rsidR="00ED51F0" w:rsidRPr="00A13719">
        <w:rPr>
          <w:lang w:val="en-US"/>
        </w:rPr>
        <w:t>s</w:t>
      </w:r>
      <w:r w:rsidR="004F3650" w:rsidRPr="00A13719">
        <w:rPr>
          <w:lang w:val="en-US"/>
        </w:rPr>
        <w:t>. Fourth, there are changes in portfolio allocation</w:t>
      </w:r>
      <w:r w:rsidR="007F0107" w:rsidRPr="00A13719">
        <w:rPr>
          <w:lang w:val="en-US"/>
        </w:rPr>
        <w:t>s</w:t>
      </w:r>
      <w:r w:rsidR="004F3650" w:rsidRPr="00A13719">
        <w:rPr>
          <w:lang w:val="en-US"/>
        </w:rPr>
        <w:t xml:space="preserve"> </w:t>
      </w:r>
      <w:r w:rsidR="007F0107" w:rsidRPr="00A13719">
        <w:rPr>
          <w:lang w:val="en-US"/>
        </w:rPr>
        <w:t>that</w:t>
      </w:r>
      <w:r w:rsidR="004F3650" w:rsidRPr="00A13719">
        <w:rPr>
          <w:lang w:val="en-US"/>
        </w:rPr>
        <w:t xml:space="preserve"> are more intense than changes in exposures to asset classes</w:t>
      </w:r>
      <w:r w:rsidR="007F0107" w:rsidRPr="00A13719">
        <w:rPr>
          <w:lang w:val="en-US"/>
        </w:rPr>
        <w:t>,</w:t>
      </w:r>
      <w:r w:rsidR="004F3650" w:rsidRPr="00A13719">
        <w:rPr>
          <w:lang w:val="en-US"/>
        </w:rPr>
        <w:t xml:space="preserve"> as Patton and Ramadorai (2013) found. We partly agree with Ibbotson, Chen</w:t>
      </w:r>
      <w:r w:rsidR="00D81854" w:rsidRPr="00A13719">
        <w:rPr>
          <w:lang w:val="en-US"/>
        </w:rPr>
        <w:t xml:space="preserve"> and</w:t>
      </w:r>
      <w:r w:rsidR="004F3650" w:rsidRPr="00A13719">
        <w:rPr>
          <w:lang w:val="en-US"/>
        </w:rPr>
        <w:t xml:space="preserve"> Zhu (2011) </w:t>
      </w:r>
      <w:r w:rsidR="00FB72A4" w:rsidRPr="00A13719">
        <w:rPr>
          <w:lang w:val="en-US"/>
        </w:rPr>
        <w:t>as</w:t>
      </w:r>
      <w:r w:rsidR="004F3650" w:rsidRPr="00A13719">
        <w:rPr>
          <w:lang w:val="en-US"/>
        </w:rPr>
        <w:t xml:space="preserve"> only a few strategies add significant value to investors during bear market conditions</w:t>
      </w:r>
      <w:r w:rsidR="00D224F6" w:rsidRPr="00A13719">
        <w:rPr>
          <w:lang w:val="en-US"/>
        </w:rPr>
        <w:t xml:space="preserve"> because fund managers </w:t>
      </w:r>
      <w:r w:rsidR="00C40CEC" w:rsidRPr="00A13719">
        <w:rPr>
          <w:lang w:val="en-US"/>
        </w:rPr>
        <w:t xml:space="preserve">are </w:t>
      </w:r>
      <w:r w:rsidR="00D224F6" w:rsidRPr="00A13719">
        <w:rPr>
          <w:lang w:val="en-US"/>
        </w:rPr>
        <w:t>concern</w:t>
      </w:r>
      <w:r w:rsidR="00C40CEC" w:rsidRPr="00A13719">
        <w:rPr>
          <w:lang w:val="en-US"/>
        </w:rPr>
        <w:t>ed</w:t>
      </w:r>
      <w:r w:rsidR="00D224F6" w:rsidRPr="00A13719">
        <w:rPr>
          <w:lang w:val="en-US"/>
        </w:rPr>
        <w:t xml:space="preserve"> about risk</w:t>
      </w:r>
      <w:r w:rsidR="004F3650" w:rsidRPr="00A13719">
        <w:rPr>
          <w:lang w:val="en-US"/>
        </w:rPr>
        <w:t xml:space="preserve">. </w:t>
      </w:r>
      <w:r w:rsidR="009D679E" w:rsidRPr="00A13719">
        <w:rPr>
          <w:lang w:val="en-US"/>
        </w:rPr>
        <w:t>Nonetheless,</w:t>
      </w:r>
      <w:r w:rsidR="004F3650" w:rsidRPr="00A13719">
        <w:rPr>
          <w:lang w:val="en-US"/>
        </w:rPr>
        <w:t xml:space="preserve"> they examined alpha and exposures only du</w:t>
      </w:r>
      <w:r w:rsidR="004D7DCB" w:rsidRPr="00A13719">
        <w:rPr>
          <w:lang w:val="en-US"/>
        </w:rPr>
        <w:t>ring the 2008 financial crisis.</w:t>
      </w:r>
      <w:r w:rsidR="004F3650" w:rsidRPr="00A13719">
        <w:rPr>
          <w:lang w:val="en-US"/>
        </w:rPr>
        <w:t xml:space="preserve"> </w:t>
      </w:r>
      <w:r w:rsidR="001E7C38" w:rsidRPr="00A13719">
        <w:rPr>
          <w:lang w:val="en-US"/>
        </w:rPr>
        <w:t>Finally</w:t>
      </w:r>
      <w:r w:rsidR="004F3650" w:rsidRPr="00A13719">
        <w:rPr>
          <w:lang w:val="en-US"/>
        </w:rPr>
        <w:t xml:space="preserve">, as Agarwal and Naik (2004) found, we find that many </w:t>
      </w:r>
      <w:r w:rsidR="00816087" w:rsidRPr="00A13719">
        <w:rPr>
          <w:rFonts w:eastAsiaTheme="minorEastAsia"/>
          <w:lang w:val="en-US"/>
        </w:rPr>
        <w:t>HF</w:t>
      </w:r>
      <w:r w:rsidR="00816087" w:rsidRPr="00A13719">
        <w:rPr>
          <w:lang w:val="en-US"/>
        </w:rPr>
        <w:t xml:space="preserve"> </w:t>
      </w:r>
      <w:r w:rsidR="004F3650" w:rsidRPr="00A13719">
        <w:rPr>
          <w:lang w:val="en-US"/>
        </w:rPr>
        <w:t xml:space="preserve">strategies exhibited significant exposures </w:t>
      </w:r>
      <w:r w:rsidR="004F3650" w:rsidRPr="00A13719">
        <w:rPr>
          <w:rFonts w:eastAsiaTheme="minorEastAsia"/>
          <w:lang w:val="en-US"/>
        </w:rPr>
        <w:t>to Fama and French’s (1993) three-factor model and Carhart’s (1997) momentum factor.</w:t>
      </w:r>
    </w:p>
    <w:p w:rsidR="004F3650" w:rsidRPr="00A13719" w:rsidRDefault="004F3650" w:rsidP="004F3650">
      <w:pPr>
        <w:spacing w:after="120"/>
        <w:jc w:val="both"/>
        <w:rPr>
          <w:b/>
          <w:lang w:val="en-US"/>
        </w:rPr>
      </w:pPr>
      <w:r w:rsidRPr="00A13719">
        <w:rPr>
          <w:b/>
          <w:lang w:val="en-US"/>
        </w:rPr>
        <w:t>Robustness</w:t>
      </w:r>
      <w:r w:rsidR="00575F8F" w:rsidRPr="00A13719">
        <w:rPr>
          <w:b/>
          <w:lang w:val="en-US"/>
        </w:rPr>
        <w:t xml:space="preserve"> Checks</w:t>
      </w:r>
    </w:p>
    <w:p w:rsidR="003D1A21" w:rsidRPr="00A13719" w:rsidRDefault="002020A4" w:rsidP="004F3650">
      <w:pPr>
        <w:jc w:val="both"/>
        <w:rPr>
          <w:lang w:val="en-US"/>
        </w:rPr>
      </w:pPr>
      <w:r w:rsidRPr="00A13719">
        <w:rPr>
          <w:lang w:val="en-US"/>
        </w:rPr>
        <w:t>We first examine</w:t>
      </w:r>
      <w:r w:rsidR="00A944F2" w:rsidRPr="00A13719">
        <w:rPr>
          <w:lang w:val="en-US"/>
        </w:rPr>
        <w:t>d</w:t>
      </w:r>
      <w:r w:rsidRPr="00A13719">
        <w:rPr>
          <w:lang w:val="en-US"/>
        </w:rPr>
        <w:t xml:space="preserve"> </w:t>
      </w:r>
      <w:r w:rsidRPr="00A13719">
        <w:rPr>
          <w:rFonts w:eastAsiaTheme="minorEastAsia"/>
          <w:lang w:val="en-US"/>
        </w:rPr>
        <w:t>HF</w:t>
      </w:r>
      <w:r w:rsidRPr="00A13719">
        <w:rPr>
          <w:lang w:val="en-US"/>
        </w:rPr>
        <w:t xml:space="preserve"> strategies’ alphas and exposures using the basic market </w:t>
      </w:r>
      <w:r w:rsidR="00B54486" w:rsidRPr="00A13719">
        <w:rPr>
          <w:lang w:val="en-US"/>
        </w:rPr>
        <w:t xml:space="preserve">(one factor) </w:t>
      </w:r>
      <w:r w:rsidRPr="00A13719">
        <w:rPr>
          <w:lang w:val="en-US"/>
        </w:rPr>
        <w:t xml:space="preserve">model within business cycles and different market conditions. </w:t>
      </w:r>
      <w:r w:rsidR="00930CE1" w:rsidRPr="00A13719">
        <w:rPr>
          <w:lang w:val="en-US"/>
        </w:rPr>
        <w:t>The</w:t>
      </w:r>
      <w:r w:rsidR="004F3650" w:rsidRPr="00A13719">
        <w:rPr>
          <w:lang w:val="en-US"/>
        </w:rPr>
        <w:t xml:space="preserve"> statistical significance of the factor loadings on the Wilshire 5000TRI, conditional on the different regimes, is almost the same as th</w:t>
      </w:r>
      <w:r w:rsidR="007F0107" w:rsidRPr="00A13719">
        <w:rPr>
          <w:lang w:val="en-US"/>
        </w:rPr>
        <w:t>at</w:t>
      </w:r>
      <w:r w:rsidR="004F3650" w:rsidRPr="00A13719">
        <w:rPr>
          <w:lang w:val="en-US"/>
        </w:rPr>
        <w:t xml:space="preserve"> obtained in the simple </w:t>
      </w:r>
      <w:r w:rsidR="007900CC" w:rsidRPr="00A13719">
        <w:rPr>
          <w:lang w:val="en-US"/>
        </w:rPr>
        <w:t xml:space="preserve">market model </w:t>
      </w:r>
      <w:r w:rsidR="004F3650" w:rsidRPr="00A13719">
        <w:rPr>
          <w:lang w:val="en-US"/>
        </w:rPr>
        <w:t>with only the Wilshire 5000 TRI risk factor. This indicates that the analysis performed above is robust to the inclusion of other factors that may affect hedge index ret</w:t>
      </w:r>
      <w:r w:rsidR="004D0AEB" w:rsidRPr="00A13719">
        <w:rPr>
          <w:lang w:val="en-US"/>
        </w:rPr>
        <w:t>urns. Moreover, the average adjusted</w:t>
      </w:r>
      <w:r w:rsidR="004F3650" w:rsidRPr="00A13719">
        <w:rPr>
          <w:lang w:val="en-US"/>
        </w:rPr>
        <w:t xml:space="preserve"> </w:t>
      </w:r>
      <m:oMath>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oMath>
      <w:r w:rsidR="004D0AEB" w:rsidRPr="00A13719">
        <w:rPr>
          <w:lang w:val="en-US"/>
        </w:rPr>
        <w:t xml:space="preserve"> for all strategies (excluding</w:t>
      </w:r>
      <w:r w:rsidR="004F3650" w:rsidRPr="00A13719">
        <w:rPr>
          <w:lang w:val="en-US"/>
        </w:rPr>
        <w:t xml:space="preserve"> CTA) within all periods/regimes is 0.61 for our multi-factor model. The average highest is 0.84 for the Long Only strategy and the lowest is 0.29 for the Market Neutral strategy; </w:t>
      </w:r>
      <w:r w:rsidR="004761F6" w:rsidRPr="00A13719">
        <w:rPr>
          <w:lang w:val="en-US"/>
        </w:rPr>
        <w:t>I</w:t>
      </w:r>
      <w:r w:rsidR="004F3650" w:rsidRPr="00A13719">
        <w:rPr>
          <w:lang w:val="en-US"/>
        </w:rPr>
        <w:t xml:space="preserve">t is 0.15 for CTA. This is compared to 0.48 </w:t>
      </w:r>
      <w:r w:rsidR="003D1A21" w:rsidRPr="00A13719">
        <w:rPr>
          <w:lang w:val="en-US"/>
        </w:rPr>
        <w:t>for the simple</w:t>
      </w:r>
      <w:r w:rsidR="004F3650" w:rsidRPr="00A13719">
        <w:rPr>
          <w:lang w:val="en-US"/>
        </w:rPr>
        <w:t xml:space="preserve"> </w:t>
      </w:r>
      <w:r w:rsidR="007900CC" w:rsidRPr="00A13719">
        <w:rPr>
          <w:lang w:val="en-US"/>
        </w:rPr>
        <w:t>market model</w:t>
      </w:r>
      <w:r w:rsidR="004F3650" w:rsidRPr="00A13719">
        <w:rPr>
          <w:lang w:val="en-US"/>
        </w:rPr>
        <w:t xml:space="preserve">. </w:t>
      </w:r>
    </w:p>
    <w:p w:rsidR="004F3650" w:rsidRPr="00A13719" w:rsidRDefault="003D1A21" w:rsidP="004F3650">
      <w:pPr>
        <w:jc w:val="both"/>
        <w:rPr>
          <w:lang w:val="en-US"/>
        </w:rPr>
      </w:pPr>
      <w:r w:rsidRPr="00A13719">
        <w:rPr>
          <w:lang w:val="en-US"/>
        </w:rPr>
        <w:t>W</w:t>
      </w:r>
      <w:r w:rsidR="004F3650" w:rsidRPr="00A13719">
        <w:rPr>
          <w:lang w:val="en-US"/>
        </w:rPr>
        <w:t xml:space="preserve">e tested our model by using Carhart’s (1997) four-factor model and all the regressors in the model had the same sign and most </w:t>
      </w:r>
      <w:r w:rsidR="00DA3E9C" w:rsidRPr="00A13719">
        <w:rPr>
          <w:lang w:val="en-US"/>
        </w:rPr>
        <w:t>we</w:t>
      </w:r>
      <w:r w:rsidR="004F3650" w:rsidRPr="00A13719">
        <w:rPr>
          <w:lang w:val="en-US"/>
        </w:rPr>
        <w:t>re statistically significant. This process took place for all periods/regimes under consideration. Moreover, our model adj</w:t>
      </w:r>
      <w:r w:rsidR="00046D6B" w:rsidRPr="00A13719">
        <w:rPr>
          <w:lang w:val="en-US"/>
        </w:rPr>
        <w:t>usted</w:t>
      </w:r>
      <w:r w:rsidR="004F3650" w:rsidRPr="00A13719">
        <w:rPr>
          <w:lang w:val="en-US"/>
        </w:rPr>
        <w:t xml:space="preserve"> </w:t>
      </w:r>
      <m:oMath>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 xml:space="preserve">2 </m:t>
            </m:r>
          </m:sup>
        </m:sSup>
      </m:oMath>
      <w:r w:rsidR="004F3650" w:rsidRPr="00A13719">
        <w:rPr>
          <w:rFonts w:eastAsiaTheme="minorEastAsia"/>
          <w:lang w:val="en-US"/>
        </w:rPr>
        <w:t xml:space="preserve"> </w:t>
      </w:r>
      <w:r w:rsidR="00DA3E9C" w:rsidRPr="00A13719">
        <w:rPr>
          <w:lang w:val="en-US"/>
        </w:rPr>
        <w:t>was</w:t>
      </w:r>
      <w:r w:rsidR="004F3650" w:rsidRPr="00A13719">
        <w:rPr>
          <w:lang w:val="en-US"/>
        </w:rPr>
        <w:t xml:space="preserve"> higher than Carhart’s model which </w:t>
      </w:r>
      <w:r w:rsidR="00DA3E9C" w:rsidRPr="00A13719">
        <w:rPr>
          <w:rFonts w:eastAsiaTheme="minorEastAsia"/>
          <w:lang w:val="en-US"/>
        </w:rPr>
        <w:t>was</w:t>
      </w:r>
      <w:r w:rsidR="004F3650" w:rsidRPr="00A13719">
        <w:rPr>
          <w:rFonts w:eastAsiaTheme="minorEastAsia"/>
          <w:lang w:val="en-US"/>
        </w:rPr>
        <w:t xml:space="preserve"> 0.53</w:t>
      </w:r>
      <w:r w:rsidR="00172A87" w:rsidRPr="00A13719">
        <w:rPr>
          <w:rFonts w:eastAsiaTheme="minorEastAsia"/>
          <w:lang w:val="en-US"/>
        </w:rPr>
        <w:t>.</w:t>
      </w:r>
      <w:r w:rsidR="004F3650" w:rsidRPr="00A13719">
        <w:rPr>
          <w:lang w:val="en-US"/>
        </w:rPr>
        <w:t xml:space="preserve"> </w:t>
      </w:r>
      <w:r w:rsidR="00AD56DC" w:rsidRPr="00A13719">
        <w:rPr>
          <w:lang w:val="en-US"/>
        </w:rPr>
        <w:t>A</w:t>
      </w:r>
      <w:r w:rsidR="00D85D08" w:rsidRPr="00A13719">
        <w:rPr>
          <w:lang w:val="en-US"/>
        </w:rPr>
        <w:t>n</w:t>
      </w:r>
      <w:r w:rsidR="00AD56DC" w:rsidRPr="00A13719">
        <w:rPr>
          <w:lang w:val="en-US"/>
        </w:rPr>
        <w:t xml:space="preserve"> </w:t>
      </w:r>
      <w:r w:rsidR="00615B81" w:rsidRPr="00A13719">
        <w:rPr>
          <w:lang w:val="en-US"/>
        </w:rPr>
        <w:t xml:space="preserve">essential </w:t>
      </w:r>
      <w:r w:rsidR="00AD56DC" w:rsidRPr="00A13719">
        <w:rPr>
          <w:lang w:val="en-US"/>
        </w:rPr>
        <w:t xml:space="preserve">robustness test </w:t>
      </w:r>
      <w:r w:rsidR="00435C64" w:rsidRPr="00A13719">
        <w:rPr>
          <w:lang w:val="en-US"/>
        </w:rPr>
        <w:t xml:space="preserve">is </w:t>
      </w:r>
      <w:r w:rsidR="00AD56DC" w:rsidRPr="00A13719">
        <w:rPr>
          <w:lang w:val="en-US"/>
        </w:rPr>
        <w:t xml:space="preserve">that we performed </w:t>
      </w:r>
      <w:r w:rsidR="00DA3E9C" w:rsidRPr="00A13719">
        <w:rPr>
          <w:lang w:val="en-US"/>
        </w:rPr>
        <w:t xml:space="preserve">the </w:t>
      </w:r>
      <w:r w:rsidR="00C7692B" w:rsidRPr="00A13719">
        <w:rPr>
          <w:lang w:val="en-US"/>
        </w:rPr>
        <w:t>analysis</w:t>
      </w:r>
      <w:r w:rsidR="00AD56DC" w:rsidRPr="00A13719">
        <w:rPr>
          <w:lang w:val="en-US"/>
        </w:rPr>
        <w:t xml:space="preserve"> </w:t>
      </w:r>
      <w:r w:rsidR="00DA3E9C" w:rsidRPr="00A13719">
        <w:rPr>
          <w:lang w:val="en-US"/>
        </w:rPr>
        <w:t xml:space="preserve">again </w:t>
      </w:r>
      <w:r w:rsidR="00583878" w:rsidRPr="00A13719">
        <w:rPr>
          <w:lang w:val="en-US"/>
        </w:rPr>
        <w:t xml:space="preserve">by excluding the first 48 months (1/1990-12/1993) </w:t>
      </w:r>
      <w:r w:rsidR="00A57B3E" w:rsidRPr="00A13719">
        <w:rPr>
          <w:lang w:val="en-US"/>
        </w:rPr>
        <w:t>and</w:t>
      </w:r>
      <w:r w:rsidR="008028F7" w:rsidRPr="00A13719">
        <w:rPr>
          <w:lang w:val="en-US"/>
        </w:rPr>
        <w:t xml:space="preserve"> implementing our model</w:t>
      </w:r>
      <w:r w:rsidR="00DA3E9C" w:rsidRPr="00A13719">
        <w:rPr>
          <w:lang w:val="en-US"/>
        </w:rPr>
        <w:t xml:space="preserve"> again</w:t>
      </w:r>
      <w:r w:rsidR="008028F7" w:rsidRPr="00A13719">
        <w:rPr>
          <w:lang w:val="en-US"/>
        </w:rPr>
        <w:t>.</w:t>
      </w:r>
      <w:r w:rsidR="00A57B3E" w:rsidRPr="00A13719">
        <w:rPr>
          <w:lang w:val="en-US"/>
        </w:rPr>
        <w:t xml:space="preserve"> </w:t>
      </w:r>
      <w:r w:rsidR="008028F7" w:rsidRPr="00A13719">
        <w:rPr>
          <w:lang w:val="en-US"/>
        </w:rPr>
        <w:t xml:space="preserve">Within all cycles/regimes, </w:t>
      </w:r>
      <w:r w:rsidR="00AD56DC" w:rsidRPr="00A13719">
        <w:rPr>
          <w:lang w:val="en-US"/>
        </w:rPr>
        <w:t xml:space="preserve">all the regressors had the same sign and </w:t>
      </w:r>
      <w:r w:rsidR="00D55A14" w:rsidRPr="00A13719">
        <w:rPr>
          <w:lang w:val="en-US"/>
        </w:rPr>
        <w:t>mostly</w:t>
      </w:r>
      <w:r w:rsidR="00AD56DC" w:rsidRPr="00A13719">
        <w:rPr>
          <w:lang w:val="en-US"/>
        </w:rPr>
        <w:t xml:space="preserve"> statistically significant</w:t>
      </w:r>
      <w:r w:rsidR="006F2DF2" w:rsidRPr="00A13719">
        <w:rPr>
          <w:lang w:val="en-US"/>
        </w:rPr>
        <w:t>,</w:t>
      </w:r>
      <w:r w:rsidR="00E879CE" w:rsidRPr="00A13719">
        <w:rPr>
          <w:lang w:val="en-US"/>
        </w:rPr>
        <w:t xml:space="preserve"> making our findings more robust</w:t>
      </w:r>
      <w:r w:rsidR="00D13F39" w:rsidRPr="00A13719">
        <w:rPr>
          <w:lang w:val="en-US"/>
        </w:rPr>
        <w:t>.</w:t>
      </w:r>
      <w:r w:rsidR="002E0744" w:rsidRPr="00A13719">
        <w:rPr>
          <w:lang w:val="en-US"/>
        </w:rPr>
        <w:t xml:space="preserve"> Another robustness test we implemented </w:t>
      </w:r>
      <w:r w:rsidR="00B20C0A" w:rsidRPr="00A13719">
        <w:rPr>
          <w:lang w:val="en-US"/>
        </w:rPr>
        <w:t xml:space="preserve">was to </w:t>
      </w:r>
      <w:r w:rsidR="002E0744" w:rsidRPr="00A13719">
        <w:rPr>
          <w:lang w:val="en-US"/>
        </w:rPr>
        <w:t xml:space="preserve">model </w:t>
      </w:r>
      <w:r w:rsidR="00B20C0A" w:rsidRPr="00A13719">
        <w:rPr>
          <w:lang w:val="en-US"/>
        </w:rPr>
        <w:t>only</w:t>
      </w:r>
      <w:r w:rsidR="002E0744" w:rsidRPr="00A13719">
        <w:rPr>
          <w:lang w:val="en-US"/>
        </w:rPr>
        <w:t xml:space="preserve"> the first 48 months (1/1990-12/1993)</w:t>
      </w:r>
      <w:r w:rsidR="00B20C0A" w:rsidRPr="00A13719">
        <w:rPr>
          <w:lang w:val="en-US"/>
        </w:rPr>
        <w:t>. O</w:t>
      </w:r>
      <w:r w:rsidR="002E0744" w:rsidRPr="00A13719">
        <w:rPr>
          <w:lang w:val="en-US"/>
        </w:rPr>
        <w:t xml:space="preserve">ur results were </w:t>
      </w:r>
      <w:r w:rsidR="00B20C0A" w:rsidRPr="00A13719">
        <w:rPr>
          <w:lang w:val="en-US"/>
        </w:rPr>
        <w:t>qualitatively similar</w:t>
      </w:r>
      <w:r w:rsidR="002E0744" w:rsidRPr="00A13719">
        <w:rPr>
          <w:lang w:val="en-US"/>
        </w:rPr>
        <w:t xml:space="preserve">. </w:t>
      </w:r>
      <w:r w:rsidR="00F93EFF" w:rsidRPr="00A13719">
        <w:rPr>
          <w:lang w:val="en-US"/>
        </w:rPr>
        <w:t xml:space="preserve">We confirmed that during “good” times </w:t>
      </w:r>
      <w:r w:rsidR="00816087" w:rsidRPr="00A13719">
        <w:rPr>
          <w:rFonts w:eastAsiaTheme="minorEastAsia"/>
          <w:lang w:val="en-US"/>
        </w:rPr>
        <w:t>HF</w:t>
      </w:r>
      <w:r w:rsidR="00816087" w:rsidRPr="00A13719">
        <w:rPr>
          <w:lang w:val="en-US"/>
        </w:rPr>
        <w:t xml:space="preserve"> </w:t>
      </w:r>
      <w:r w:rsidR="002E0744" w:rsidRPr="00A13719">
        <w:rPr>
          <w:lang w:val="en-US"/>
        </w:rPr>
        <w:t xml:space="preserve">strategies </w:t>
      </w:r>
      <w:r w:rsidR="00AE3CA6" w:rsidRPr="00A13719">
        <w:rPr>
          <w:lang w:val="en-US"/>
        </w:rPr>
        <w:t>invest</w:t>
      </w:r>
      <w:r w:rsidR="002E0744" w:rsidRPr="00A13719">
        <w:rPr>
          <w:lang w:val="en-US"/>
        </w:rPr>
        <w:t xml:space="preserve"> </w:t>
      </w:r>
      <w:r w:rsidR="00F93EFF" w:rsidRPr="00A13719">
        <w:rPr>
          <w:lang w:val="en-US"/>
        </w:rPr>
        <w:t>mainly</w:t>
      </w:r>
      <w:r w:rsidR="002E0744" w:rsidRPr="00A13719">
        <w:rPr>
          <w:lang w:val="en-US"/>
        </w:rPr>
        <w:t xml:space="preserve"> </w:t>
      </w:r>
      <w:r w:rsidR="00F93EFF" w:rsidRPr="00A13719">
        <w:rPr>
          <w:lang w:val="en-US"/>
        </w:rPr>
        <w:t xml:space="preserve">in </w:t>
      </w:r>
      <w:r w:rsidR="002E0744" w:rsidRPr="00A13719">
        <w:rPr>
          <w:lang w:val="en-US"/>
        </w:rPr>
        <w:t>equity asset classes</w:t>
      </w:r>
      <w:r w:rsidR="00F93EFF" w:rsidRPr="00A13719">
        <w:rPr>
          <w:lang w:val="en-US"/>
        </w:rPr>
        <w:t xml:space="preserve"> (MAI, MOM, SMB, </w:t>
      </w:r>
      <w:r w:rsidR="001C4C9E" w:rsidRPr="00A13719">
        <w:rPr>
          <w:lang w:val="en-US"/>
        </w:rPr>
        <w:t xml:space="preserve">and </w:t>
      </w:r>
      <w:r w:rsidR="00F93EFF" w:rsidRPr="00A13719">
        <w:rPr>
          <w:lang w:val="en-US"/>
        </w:rPr>
        <w:t>HML)</w:t>
      </w:r>
      <w:r w:rsidR="002E0744" w:rsidRPr="00A13719">
        <w:rPr>
          <w:lang w:val="en-US"/>
        </w:rPr>
        <w:t xml:space="preserve">. </w:t>
      </w:r>
      <w:r w:rsidR="0040560A" w:rsidRPr="00A13719">
        <w:rPr>
          <w:lang w:val="en-US"/>
        </w:rPr>
        <w:t>A</w:t>
      </w:r>
      <w:r w:rsidR="005F3007" w:rsidRPr="00A13719">
        <w:rPr>
          <w:lang w:val="en-US"/>
        </w:rPr>
        <w:t>n additional</w:t>
      </w:r>
      <w:r w:rsidR="0040560A" w:rsidRPr="00A13719">
        <w:rPr>
          <w:lang w:val="en-US"/>
        </w:rPr>
        <w:t xml:space="preserve"> robustness check was to examine our model for the post-1994 period (1/1994-</w:t>
      </w:r>
      <w:r w:rsidR="0040560A" w:rsidRPr="00A13719">
        <w:rPr>
          <w:lang w:val="en-US"/>
        </w:rPr>
        <w:lastRenderedPageBreak/>
        <w:t xml:space="preserve">3/2014) using lookback straddles on </w:t>
      </w:r>
      <w:r w:rsidR="00EE6F78" w:rsidRPr="00A13719">
        <w:rPr>
          <w:lang w:val="en-US"/>
        </w:rPr>
        <w:t>bonds, currenc</w:t>
      </w:r>
      <w:r w:rsidR="00B20C0A" w:rsidRPr="00A13719">
        <w:rPr>
          <w:lang w:val="en-US"/>
        </w:rPr>
        <w:t>ies</w:t>
      </w:r>
      <w:r w:rsidR="00EE6F78" w:rsidRPr="00A13719">
        <w:rPr>
          <w:lang w:val="en-US"/>
        </w:rPr>
        <w:t>, commodit</w:t>
      </w:r>
      <w:r w:rsidR="00B20C0A" w:rsidRPr="00A13719">
        <w:rPr>
          <w:lang w:val="en-US"/>
        </w:rPr>
        <w:t>ies</w:t>
      </w:r>
      <w:r w:rsidR="00EE6F78" w:rsidRPr="00A13719">
        <w:rPr>
          <w:lang w:val="en-US"/>
        </w:rPr>
        <w:t>, short term interest rate</w:t>
      </w:r>
      <w:r w:rsidR="00B20C0A" w:rsidRPr="00A13719">
        <w:rPr>
          <w:lang w:val="en-US"/>
        </w:rPr>
        <w:t>s</w:t>
      </w:r>
      <w:r w:rsidR="00EE6F78" w:rsidRPr="00A13719">
        <w:rPr>
          <w:lang w:val="en-US"/>
        </w:rPr>
        <w:t xml:space="preserve"> and stock ind</w:t>
      </w:r>
      <w:r w:rsidR="00B20C0A" w:rsidRPr="00A13719">
        <w:rPr>
          <w:lang w:val="en-US"/>
        </w:rPr>
        <w:t>ices</w:t>
      </w:r>
      <w:r w:rsidR="00EE6F78" w:rsidRPr="00A13719">
        <w:rPr>
          <w:lang w:val="en-US"/>
        </w:rPr>
        <w:t xml:space="preserve">. </w:t>
      </w:r>
      <w:r w:rsidR="00B20C0A" w:rsidRPr="00A13719">
        <w:rPr>
          <w:lang w:val="en-US"/>
        </w:rPr>
        <w:t>As well as</w:t>
      </w:r>
      <w:r w:rsidR="00705D77" w:rsidRPr="00A13719">
        <w:rPr>
          <w:lang w:val="en-US"/>
        </w:rPr>
        <w:t xml:space="preserve"> the lookback straddles, </w:t>
      </w:r>
      <w:r w:rsidR="00462669" w:rsidRPr="00A13719">
        <w:rPr>
          <w:lang w:val="en-US"/>
        </w:rPr>
        <w:t xml:space="preserve">we found that </w:t>
      </w:r>
      <w:r w:rsidR="00705D77" w:rsidRPr="00A13719">
        <w:rPr>
          <w:lang w:val="en-US"/>
        </w:rPr>
        <w:t xml:space="preserve">COAG, COEN, and COIM were significant for this </w:t>
      </w:r>
      <w:r w:rsidR="00653042" w:rsidRPr="00A13719">
        <w:rPr>
          <w:rFonts w:eastAsiaTheme="minorEastAsia"/>
          <w:lang w:val="en-US"/>
        </w:rPr>
        <w:t>HF</w:t>
      </w:r>
      <w:r w:rsidR="00653042" w:rsidRPr="00A13719">
        <w:rPr>
          <w:lang w:val="en-US"/>
        </w:rPr>
        <w:t xml:space="preserve"> </w:t>
      </w:r>
      <w:r w:rsidR="00705D77" w:rsidRPr="00A13719">
        <w:rPr>
          <w:lang w:val="en-US"/>
        </w:rPr>
        <w:t>strategy.</w:t>
      </w:r>
      <w:r w:rsidR="00534D9B" w:rsidRPr="00A13719">
        <w:rPr>
          <w:lang w:val="en-US"/>
        </w:rPr>
        <w:t xml:space="preserve"> </w:t>
      </w:r>
      <w:r w:rsidR="0008427C" w:rsidRPr="00A13719">
        <w:rPr>
          <w:lang w:val="en-US"/>
        </w:rPr>
        <w:t>We examined several sample periods so as to</w:t>
      </w:r>
      <w:r w:rsidR="00542949" w:rsidRPr="00A13719">
        <w:rPr>
          <w:lang w:val="en-US"/>
        </w:rPr>
        <w:t xml:space="preserve"> assure that our results are not driven by data-mining and do not change.</w:t>
      </w:r>
      <w:r w:rsidR="0008427C" w:rsidRPr="00A13719">
        <w:rPr>
          <w:lang w:val="en-US"/>
        </w:rPr>
        <w:t xml:space="preserve"> </w:t>
      </w:r>
      <w:r w:rsidR="00072B30" w:rsidRPr="00A13719">
        <w:rPr>
          <w:lang w:val="en-US"/>
        </w:rPr>
        <w:t>W</w:t>
      </w:r>
      <w:r w:rsidR="0008427C" w:rsidRPr="00A13719">
        <w:rPr>
          <w:lang w:val="en-US"/>
        </w:rPr>
        <w:t xml:space="preserve">e </w:t>
      </w:r>
      <w:r w:rsidR="00534D9B" w:rsidRPr="00A13719">
        <w:rPr>
          <w:lang w:val="en-US"/>
        </w:rPr>
        <w:t>proceed</w:t>
      </w:r>
      <w:r w:rsidR="004B3077" w:rsidRPr="00A13719">
        <w:rPr>
          <w:lang w:val="en-US"/>
        </w:rPr>
        <w:t>ed</w:t>
      </w:r>
      <w:r w:rsidR="00534D9B" w:rsidRPr="00A13719">
        <w:rPr>
          <w:lang w:val="en-US"/>
        </w:rPr>
        <w:t xml:space="preserve"> to another statistical test of our model for all </w:t>
      </w:r>
      <w:r w:rsidR="00653042" w:rsidRPr="00A13719">
        <w:rPr>
          <w:rFonts w:eastAsiaTheme="minorEastAsia"/>
          <w:lang w:val="en-US"/>
        </w:rPr>
        <w:t>HF</w:t>
      </w:r>
      <w:r w:rsidR="00653042" w:rsidRPr="00A13719">
        <w:rPr>
          <w:lang w:val="en-US"/>
        </w:rPr>
        <w:t xml:space="preserve"> </w:t>
      </w:r>
      <w:r w:rsidR="00534D9B" w:rsidRPr="00A13719">
        <w:rPr>
          <w:lang w:val="en-US"/>
        </w:rPr>
        <w:t xml:space="preserve">strategies using the HAC/Newey-West estimator for any unknown residual autocorrelation and </w:t>
      </w:r>
      <w:r w:rsidR="00072B30" w:rsidRPr="00A13719">
        <w:rPr>
          <w:lang w:val="en-US"/>
        </w:rPr>
        <w:t>heteroscedasticity</w:t>
      </w:r>
      <w:r w:rsidR="00534D9B" w:rsidRPr="00A13719">
        <w:rPr>
          <w:lang w:val="en-US"/>
        </w:rPr>
        <w:t xml:space="preserve"> and our results </w:t>
      </w:r>
      <w:r w:rsidR="004B3077" w:rsidRPr="00A13719">
        <w:rPr>
          <w:lang w:val="en-US"/>
        </w:rPr>
        <w:t xml:space="preserve">were </w:t>
      </w:r>
      <w:r w:rsidR="00534D9B" w:rsidRPr="00A13719">
        <w:rPr>
          <w:lang w:val="en-US"/>
        </w:rPr>
        <w:t>still valid</w:t>
      </w:r>
      <w:r w:rsidR="00072B30" w:rsidRPr="00A13719">
        <w:rPr>
          <w:lang w:val="en-US"/>
        </w:rPr>
        <w:t>. Finally, we use</w:t>
      </w:r>
      <w:r w:rsidR="004B3077" w:rsidRPr="00A13719">
        <w:rPr>
          <w:lang w:val="en-US"/>
        </w:rPr>
        <w:t>d</w:t>
      </w:r>
      <w:r w:rsidR="00072B30" w:rsidRPr="00A13719">
        <w:rPr>
          <w:lang w:val="en-US"/>
        </w:rPr>
        <w:t xml:space="preserve"> a holdback period to test the underlying model out-of-sample. Half of the data were used (in-sample data) to test our model whereas the other half were reserved (out-of-sample data), for different business cycles and market conditions</w:t>
      </w:r>
      <w:r w:rsidR="004B3077" w:rsidRPr="00A13719">
        <w:rPr>
          <w:lang w:val="en-US"/>
        </w:rPr>
        <w:t>. O</w:t>
      </w:r>
      <w:r w:rsidR="00072B30" w:rsidRPr="00A13719">
        <w:rPr>
          <w:lang w:val="en-US"/>
        </w:rPr>
        <w:t>ur results still h</w:t>
      </w:r>
      <w:r w:rsidR="004B3077" w:rsidRPr="00A13719">
        <w:rPr>
          <w:lang w:val="en-US"/>
        </w:rPr>
        <w:t>e</w:t>
      </w:r>
      <w:r w:rsidR="00072B30" w:rsidRPr="00A13719">
        <w:rPr>
          <w:lang w:val="en-US"/>
        </w:rPr>
        <w:t>ld</w:t>
      </w:r>
      <w:r w:rsidR="00072B30" w:rsidRPr="00A13719">
        <w:rPr>
          <w:rStyle w:val="FootnoteReference"/>
          <w:rFonts w:eastAsiaTheme="minorEastAsia"/>
          <w:lang w:val="en-US"/>
        </w:rPr>
        <w:t xml:space="preserve"> </w:t>
      </w:r>
      <w:r w:rsidR="00D13F39" w:rsidRPr="00A13719">
        <w:rPr>
          <w:rStyle w:val="FootnoteReference"/>
          <w:rFonts w:eastAsiaTheme="minorEastAsia"/>
          <w:lang w:val="en-US"/>
        </w:rPr>
        <w:footnoteReference w:id="17"/>
      </w:r>
      <w:r w:rsidR="00534D9B" w:rsidRPr="00A13719">
        <w:rPr>
          <w:lang w:val="en-US"/>
        </w:rPr>
        <w:t>.</w:t>
      </w:r>
    </w:p>
    <w:p w:rsidR="00ED2220" w:rsidRPr="00A13719" w:rsidRDefault="00ED2220" w:rsidP="00E05D17">
      <w:pPr>
        <w:pStyle w:val="Heading1"/>
        <w:jc w:val="left"/>
        <w:rPr>
          <w:lang w:val="en-US"/>
        </w:rPr>
      </w:pPr>
      <w:bookmarkStart w:id="8" w:name="_Toc425953832"/>
      <w:r w:rsidRPr="00A13719">
        <w:rPr>
          <w:lang w:val="en-US"/>
        </w:rPr>
        <w:t>Conclusion</w:t>
      </w:r>
      <w:bookmarkEnd w:id="8"/>
    </w:p>
    <w:p w:rsidR="00FC6976" w:rsidRPr="00A13719" w:rsidRDefault="00632EC1" w:rsidP="0079450C">
      <w:pPr>
        <w:jc w:val="both"/>
        <w:rPr>
          <w:lang w:val="en-US"/>
        </w:rPr>
      </w:pPr>
      <w:r w:rsidRPr="00A13719">
        <w:rPr>
          <w:lang w:val="en-US"/>
        </w:rPr>
        <w:t>In this paper w</w:t>
      </w:r>
      <w:r w:rsidR="0079450C" w:rsidRPr="00A13719">
        <w:rPr>
          <w:lang w:val="en-US"/>
        </w:rPr>
        <w:t xml:space="preserve">e </w:t>
      </w:r>
      <w:r w:rsidR="007F0107" w:rsidRPr="00A13719">
        <w:rPr>
          <w:lang w:val="en-US"/>
        </w:rPr>
        <w:t xml:space="preserve">have modelled 11 different </w:t>
      </w:r>
      <w:r w:rsidR="00816087" w:rsidRPr="00A13719">
        <w:rPr>
          <w:rFonts w:eastAsiaTheme="minorEastAsia"/>
          <w:lang w:val="en-US"/>
        </w:rPr>
        <w:t>HF</w:t>
      </w:r>
      <w:r w:rsidR="00816087" w:rsidRPr="00A13719">
        <w:rPr>
          <w:lang w:val="en-US"/>
        </w:rPr>
        <w:t xml:space="preserve"> </w:t>
      </w:r>
      <w:r w:rsidR="007F0107" w:rsidRPr="00A13719">
        <w:rPr>
          <w:lang w:val="en-US"/>
        </w:rPr>
        <w:t xml:space="preserve">strategies </w:t>
      </w:r>
      <w:r w:rsidR="0079450C" w:rsidRPr="00A13719">
        <w:rPr>
          <w:lang w:val="en-US"/>
        </w:rPr>
        <w:t>us</w:t>
      </w:r>
      <w:r w:rsidR="007F0107" w:rsidRPr="00A13719">
        <w:rPr>
          <w:lang w:val="en-US"/>
        </w:rPr>
        <w:t>ing</w:t>
      </w:r>
      <w:r w:rsidR="0079450C" w:rsidRPr="00A13719">
        <w:rPr>
          <w:lang w:val="en-US"/>
        </w:rPr>
        <w:t xml:space="preserve"> </w:t>
      </w:r>
      <w:r w:rsidR="003F6080" w:rsidRPr="00A13719">
        <w:rPr>
          <w:lang w:val="en-US"/>
        </w:rPr>
        <w:t>exogenous break points</w:t>
      </w:r>
      <w:r w:rsidR="007F0107" w:rsidRPr="00A13719">
        <w:rPr>
          <w:lang w:val="en-US"/>
        </w:rPr>
        <w:t>,</w:t>
      </w:r>
      <w:r w:rsidR="0079450C" w:rsidRPr="00A13719">
        <w:rPr>
          <w:lang w:val="en-US"/>
        </w:rPr>
        <w:t xml:space="preserve"> ba</w:t>
      </w:r>
      <w:r w:rsidR="00974B37" w:rsidRPr="00A13719">
        <w:rPr>
          <w:lang w:val="en-US"/>
        </w:rPr>
        <w:t>sed on multiple business cycles</w:t>
      </w:r>
      <w:r w:rsidR="007F0107" w:rsidRPr="00A13719">
        <w:rPr>
          <w:lang w:val="en-US"/>
        </w:rPr>
        <w:t xml:space="preserve">. </w:t>
      </w:r>
      <w:r w:rsidR="002123E5" w:rsidRPr="00A13719">
        <w:rPr>
          <w:lang w:val="en-US"/>
        </w:rPr>
        <w:t>Also</w:t>
      </w:r>
      <w:r w:rsidR="0079450C" w:rsidRPr="00A13719">
        <w:rPr>
          <w:lang w:val="en-US"/>
        </w:rPr>
        <w:t xml:space="preserve">, we used a Markov Switching </w:t>
      </w:r>
      <w:r w:rsidR="009D705B" w:rsidRPr="00A13719">
        <w:rPr>
          <w:lang w:val="en-US"/>
        </w:rPr>
        <w:t>m</w:t>
      </w:r>
      <w:r w:rsidR="0079450C" w:rsidRPr="00A13719">
        <w:rPr>
          <w:lang w:val="en-US"/>
        </w:rPr>
        <w:t xml:space="preserve">odel to identify in our model the </w:t>
      </w:r>
      <w:r w:rsidR="00690715" w:rsidRPr="00A13719">
        <w:rPr>
          <w:lang w:val="en-US"/>
        </w:rPr>
        <w:t>endogenous break points</w:t>
      </w:r>
      <w:r w:rsidR="0079450C" w:rsidRPr="00A13719">
        <w:rPr>
          <w:lang w:val="en-US"/>
        </w:rPr>
        <w:t xml:space="preserve"> conditional on the different states of the market index</w:t>
      </w:r>
      <w:r w:rsidR="00D32B16" w:rsidRPr="00A13719">
        <w:rPr>
          <w:lang w:val="en-US"/>
        </w:rPr>
        <w:t xml:space="preserve"> incorporating</w:t>
      </w:r>
      <w:r w:rsidR="006004A7" w:rsidRPr="00A13719">
        <w:rPr>
          <w:lang w:val="en-US"/>
        </w:rPr>
        <w:t xml:space="preserve"> the stepwise regression technique</w:t>
      </w:r>
      <w:r w:rsidR="0090030F" w:rsidRPr="00A13719">
        <w:rPr>
          <w:lang w:val="en-US"/>
        </w:rPr>
        <w:t>.</w:t>
      </w:r>
      <w:r w:rsidR="006004A7" w:rsidRPr="00A13719">
        <w:rPr>
          <w:lang w:val="en-US"/>
        </w:rPr>
        <w:t xml:space="preserve"> </w:t>
      </w:r>
      <w:r w:rsidR="0079450C" w:rsidRPr="00A13719">
        <w:rPr>
          <w:lang w:val="en-US"/>
        </w:rPr>
        <w:t xml:space="preserve"> </w:t>
      </w:r>
    </w:p>
    <w:p w:rsidR="009D705B" w:rsidRPr="00A13719" w:rsidRDefault="00974B37" w:rsidP="009D705B">
      <w:pPr>
        <w:jc w:val="both"/>
        <w:rPr>
          <w:lang w:val="en-US"/>
        </w:rPr>
      </w:pPr>
      <w:r w:rsidRPr="00A13719">
        <w:rPr>
          <w:lang w:val="en-US"/>
        </w:rPr>
        <w:t>Our conclusions</w:t>
      </w:r>
      <w:r w:rsidR="009D705B" w:rsidRPr="00A13719">
        <w:rPr>
          <w:lang w:val="en-US"/>
        </w:rPr>
        <w:t xml:space="preserve"> contribute significantly to the </w:t>
      </w:r>
      <w:r w:rsidR="00816087" w:rsidRPr="00A13719">
        <w:rPr>
          <w:rFonts w:eastAsiaTheme="minorEastAsia"/>
          <w:lang w:val="en-US"/>
        </w:rPr>
        <w:t>HF</w:t>
      </w:r>
      <w:r w:rsidR="00816087" w:rsidRPr="00A13719">
        <w:rPr>
          <w:lang w:val="en-US"/>
        </w:rPr>
        <w:t xml:space="preserve"> </w:t>
      </w:r>
      <w:r w:rsidR="00C23DFA" w:rsidRPr="00A13719">
        <w:rPr>
          <w:lang w:val="en-US"/>
        </w:rPr>
        <w:t>literature.</w:t>
      </w:r>
      <w:r w:rsidR="009D705B" w:rsidRPr="00A13719">
        <w:rPr>
          <w:lang w:val="en-US"/>
        </w:rPr>
        <w:t xml:space="preserve"> First, </w:t>
      </w:r>
      <w:r w:rsidR="001D7E2C" w:rsidRPr="00A13719">
        <w:rPr>
          <w:lang w:val="en-US"/>
        </w:rPr>
        <w:t>stressful market conditions</w:t>
      </w:r>
      <w:r w:rsidR="009D705B" w:rsidRPr="00A13719">
        <w:rPr>
          <w:lang w:val="en-US"/>
        </w:rPr>
        <w:t xml:space="preserve"> have a negative impact on </w:t>
      </w:r>
      <w:r w:rsidR="00816087" w:rsidRPr="00A13719">
        <w:rPr>
          <w:rFonts w:eastAsiaTheme="minorEastAsia"/>
          <w:lang w:val="en-US"/>
        </w:rPr>
        <w:t>HF</w:t>
      </w:r>
      <w:r w:rsidR="00816087" w:rsidRPr="00A13719">
        <w:rPr>
          <w:lang w:val="en-US"/>
        </w:rPr>
        <w:t xml:space="preserve"> </w:t>
      </w:r>
      <w:r w:rsidR="009D705B" w:rsidRPr="00A13719">
        <w:rPr>
          <w:lang w:val="en-US"/>
        </w:rPr>
        <w:t>performance in terms</w:t>
      </w:r>
      <w:r w:rsidR="009473C3" w:rsidRPr="00A13719">
        <w:rPr>
          <w:lang w:val="en-US"/>
        </w:rPr>
        <w:t xml:space="preserve"> of alphas as </w:t>
      </w:r>
      <w:r w:rsidR="009D705B" w:rsidRPr="00A13719">
        <w:rPr>
          <w:lang w:val="en-US"/>
        </w:rPr>
        <w:t xml:space="preserve">the majority of </w:t>
      </w:r>
      <w:r w:rsidR="00653042" w:rsidRPr="00A13719">
        <w:rPr>
          <w:rFonts w:eastAsiaTheme="minorEastAsia"/>
          <w:lang w:val="en-US"/>
        </w:rPr>
        <w:t>HF</w:t>
      </w:r>
      <w:r w:rsidR="00653042" w:rsidRPr="00A13719">
        <w:rPr>
          <w:lang w:val="en-US"/>
        </w:rPr>
        <w:t xml:space="preserve"> </w:t>
      </w:r>
      <w:r w:rsidR="009D705B" w:rsidRPr="00A13719">
        <w:rPr>
          <w:lang w:val="en-US"/>
        </w:rPr>
        <w:t xml:space="preserve">strategies do not provide significant </w:t>
      </w:r>
      <w:r w:rsidR="00CC3C84" w:rsidRPr="00A13719">
        <w:rPr>
          <w:lang w:val="en-US"/>
        </w:rPr>
        <w:t>excess return</w:t>
      </w:r>
      <w:r w:rsidR="005327D2" w:rsidRPr="00A13719">
        <w:rPr>
          <w:lang w:val="en-US"/>
        </w:rPr>
        <w:t>s</w:t>
      </w:r>
      <w:r w:rsidR="009473C3" w:rsidRPr="00A13719">
        <w:rPr>
          <w:lang w:val="en-US"/>
        </w:rPr>
        <w:t>.</w:t>
      </w:r>
      <w:r w:rsidR="009C43B7" w:rsidRPr="00A13719">
        <w:rPr>
          <w:lang w:val="en-US"/>
        </w:rPr>
        <w:t xml:space="preserve"> In addition, </w:t>
      </w:r>
      <w:r w:rsidR="00C915F9" w:rsidRPr="00A13719">
        <w:rPr>
          <w:lang w:val="en-US"/>
        </w:rPr>
        <w:t xml:space="preserve">fund </w:t>
      </w:r>
      <w:r w:rsidR="00024CC6" w:rsidRPr="00A13719">
        <w:rPr>
          <w:lang w:val="en-US"/>
        </w:rPr>
        <w:t xml:space="preserve">managers </w:t>
      </w:r>
      <w:r w:rsidR="008A7974" w:rsidRPr="00A13719">
        <w:rPr>
          <w:lang w:val="en-US"/>
        </w:rPr>
        <w:t xml:space="preserve">are </w:t>
      </w:r>
      <w:r w:rsidR="00024CC6" w:rsidRPr="00A13719">
        <w:rPr>
          <w:lang w:val="en-US"/>
        </w:rPr>
        <w:t>concern</w:t>
      </w:r>
      <w:r w:rsidR="008A7974" w:rsidRPr="00A13719">
        <w:rPr>
          <w:lang w:val="en-US"/>
        </w:rPr>
        <w:t>ed</w:t>
      </w:r>
      <w:r w:rsidR="00024CC6" w:rsidRPr="00A13719">
        <w:rPr>
          <w:lang w:val="en-US"/>
        </w:rPr>
        <w:t xml:space="preserve"> more about risk </w:t>
      </w:r>
      <w:r w:rsidR="008A7974" w:rsidRPr="00A13719">
        <w:rPr>
          <w:lang w:val="en-US"/>
        </w:rPr>
        <w:t>at times when</w:t>
      </w:r>
      <w:r w:rsidR="00C12CA9" w:rsidRPr="00A13719">
        <w:rPr>
          <w:lang w:val="en-US"/>
        </w:rPr>
        <w:t xml:space="preserve"> </w:t>
      </w:r>
      <w:r w:rsidR="00024CC6" w:rsidRPr="00A13719">
        <w:rPr>
          <w:lang w:val="en-US"/>
        </w:rPr>
        <w:t xml:space="preserve">it is </w:t>
      </w:r>
      <w:r w:rsidR="00C12CA9" w:rsidRPr="00A13719">
        <w:rPr>
          <w:lang w:val="en-US"/>
        </w:rPr>
        <w:t xml:space="preserve">difficult to </w:t>
      </w:r>
      <w:r w:rsidR="00B40865" w:rsidRPr="00A13719">
        <w:rPr>
          <w:lang w:val="en-US"/>
        </w:rPr>
        <w:t xml:space="preserve">find opportunities and </w:t>
      </w:r>
      <w:r w:rsidR="00C12CA9" w:rsidRPr="00A13719">
        <w:rPr>
          <w:lang w:val="en-US"/>
        </w:rPr>
        <w:t xml:space="preserve">deliver </w:t>
      </w:r>
      <w:r w:rsidR="004913C2" w:rsidRPr="00A13719">
        <w:rPr>
          <w:lang w:val="en-US"/>
        </w:rPr>
        <w:t>high</w:t>
      </w:r>
      <w:r w:rsidR="005327D2" w:rsidRPr="00A13719">
        <w:rPr>
          <w:lang w:val="en-US"/>
        </w:rPr>
        <w:t xml:space="preserve"> returns</w:t>
      </w:r>
      <w:r w:rsidR="003C22AD" w:rsidRPr="00A13719">
        <w:rPr>
          <w:lang w:val="en-US"/>
        </w:rPr>
        <w:t>.</w:t>
      </w:r>
      <w:r w:rsidR="009D705B" w:rsidRPr="00A13719">
        <w:rPr>
          <w:lang w:val="en-US"/>
        </w:rPr>
        <w:t xml:space="preserve"> </w:t>
      </w:r>
      <w:r w:rsidR="00816087" w:rsidRPr="00A13719">
        <w:rPr>
          <w:rFonts w:eastAsiaTheme="minorEastAsia"/>
          <w:lang w:val="en-US"/>
        </w:rPr>
        <w:t>HF</w:t>
      </w:r>
      <w:r w:rsidR="00816087" w:rsidRPr="00A13719">
        <w:rPr>
          <w:lang w:val="en-US"/>
        </w:rPr>
        <w:t xml:space="preserve"> </w:t>
      </w:r>
      <w:r w:rsidR="009D705B" w:rsidRPr="00A13719">
        <w:rPr>
          <w:lang w:val="en-US"/>
        </w:rPr>
        <w:t>strategies have much less exposure during stressful market conditions in terms of different assets classes and portfolio allocations (e.g. equity classes)</w:t>
      </w:r>
      <w:r w:rsidR="003C7F18" w:rsidRPr="00A13719">
        <w:rPr>
          <w:lang w:val="en-US"/>
        </w:rPr>
        <w:t xml:space="preserve"> as </w:t>
      </w:r>
      <w:r w:rsidR="00C915F9" w:rsidRPr="00A13719">
        <w:rPr>
          <w:lang w:val="en-US"/>
        </w:rPr>
        <w:t>fund managers</w:t>
      </w:r>
      <w:r w:rsidR="003C7F18" w:rsidRPr="00A13719">
        <w:rPr>
          <w:lang w:val="en-US"/>
        </w:rPr>
        <w:t xml:space="preserve"> </w:t>
      </w:r>
      <w:r w:rsidR="00D0030C" w:rsidRPr="00A13719">
        <w:rPr>
          <w:lang w:val="en-US"/>
        </w:rPr>
        <w:t xml:space="preserve">are </w:t>
      </w:r>
      <w:r w:rsidR="003C7F18" w:rsidRPr="00A13719">
        <w:rPr>
          <w:lang w:val="en-US"/>
        </w:rPr>
        <w:t>concern</w:t>
      </w:r>
      <w:r w:rsidR="00D0030C" w:rsidRPr="00A13719">
        <w:rPr>
          <w:lang w:val="en-US"/>
        </w:rPr>
        <w:t>ed</w:t>
      </w:r>
      <w:r w:rsidR="003C7F18" w:rsidRPr="00A13719">
        <w:rPr>
          <w:lang w:val="en-US"/>
        </w:rPr>
        <w:t xml:space="preserve"> more about risks </w:t>
      </w:r>
      <w:r w:rsidR="001C0120" w:rsidRPr="00A13719">
        <w:rPr>
          <w:lang w:val="en-US"/>
        </w:rPr>
        <w:t xml:space="preserve">even </w:t>
      </w:r>
      <w:r w:rsidR="009848A2" w:rsidRPr="00A13719">
        <w:rPr>
          <w:lang w:val="en-US"/>
        </w:rPr>
        <w:t>at</w:t>
      </w:r>
      <w:r w:rsidR="002C2A45" w:rsidRPr="00A13719">
        <w:rPr>
          <w:lang w:val="en-US"/>
        </w:rPr>
        <w:t xml:space="preserve"> the cost</w:t>
      </w:r>
      <w:r w:rsidR="003C7F18" w:rsidRPr="00A13719">
        <w:rPr>
          <w:lang w:val="en-US"/>
        </w:rPr>
        <w:t xml:space="preserve"> </w:t>
      </w:r>
      <w:r w:rsidR="002C2A45" w:rsidRPr="00A13719">
        <w:rPr>
          <w:lang w:val="en-US"/>
        </w:rPr>
        <w:t xml:space="preserve">of </w:t>
      </w:r>
      <w:r w:rsidR="009376D2" w:rsidRPr="00A13719">
        <w:rPr>
          <w:lang w:val="en-US"/>
        </w:rPr>
        <w:t>low</w:t>
      </w:r>
      <w:r w:rsidR="003C7F18" w:rsidRPr="00A13719">
        <w:rPr>
          <w:lang w:val="en-US"/>
        </w:rPr>
        <w:t xml:space="preserve"> </w:t>
      </w:r>
      <w:r w:rsidR="00FD7A01" w:rsidRPr="00A13719">
        <w:rPr>
          <w:lang w:val="en-US"/>
        </w:rPr>
        <w:t xml:space="preserve">excess </w:t>
      </w:r>
      <w:r w:rsidR="003C7F18" w:rsidRPr="00A13719">
        <w:rPr>
          <w:lang w:val="en-US"/>
        </w:rPr>
        <w:t>returns.</w:t>
      </w:r>
      <w:r w:rsidR="00540CBC" w:rsidRPr="00A13719">
        <w:rPr>
          <w:lang w:val="en-US"/>
        </w:rPr>
        <w:t xml:space="preserve"> </w:t>
      </w:r>
      <w:r w:rsidR="009114CA" w:rsidRPr="00A13719">
        <w:rPr>
          <w:lang w:val="en-US"/>
        </w:rPr>
        <w:t xml:space="preserve">There are some strategies such as Long Short that even </w:t>
      </w:r>
      <w:r w:rsidR="004B3077" w:rsidRPr="00A13719">
        <w:rPr>
          <w:lang w:val="en-US"/>
        </w:rPr>
        <w:t xml:space="preserve">see </w:t>
      </w:r>
      <w:r w:rsidR="000E0554" w:rsidRPr="00A13719">
        <w:rPr>
          <w:lang w:val="en-US"/>
        </w:rPr>
        <w:t>statistically significant</w:t>
      </w:r>
      <w:r w:rsidR="002F0DD7" w:rsidRPr="00A13719">
        <w:rPr>
          <w:lang w:val="en-US"/>
        </w:rPr>
        <w:t xml:space="preserve"> </w:t>
      </w:r>
      <w:r w:rsidR="009114CA" w:rsidRPr="00A13719">
        <w:rPr>
          <w:lang w:val="en-US"/>
        </w:rPr>
        <w:t>revers</w:t>
      </w:r>
      <w:r w:rsidR="004B3077" w:rsidRPr="00A13719">
        <w:rPr>
          <w:lang w:val="en-US"/>
        </w:rPr>
        <w:t>als of</w:t>
      </w:r>
      <w:r w:rsidR="009114CA" w:rsidRPr="00A13719">
        <w:rPr>
          <w:lang w:val="en-US"/>
        </w:rPr>
        <w:t xml:space="preserve"> their exposures to some factors, to protect </w:t>
      </w:r>
      <w:r w:rsidR="00D0030C" w:rsidRPr="00A13719">
        <w:rPr>
          <w:lang w:val="en-US"/>
        </w:rPr>
        <w:t xml:space="preserve">themselves </w:t>
      </w:r>
      <w:r w:rsidR="009114CA" w:rsidRPr="00A13719">
        <w:rPr>
          <w:lang w:val="en-US"/>
        </w:rPr>
        <w:t xml:space="preserve">from risk. </w:t>
      </w:r>
      <w:r w:rsidR="007F4BE3" w:rsidRPr="00A13719">
        <w:rPr>
          <w:lang w:val="en-US"/>
        </w:rPr>
        <w:t>Second, d</w:t>
      </w:r>
      <w:r w:rsidR="009D705B" w:rsidRPr="00A13719">
        <w:rPr>
          <w:lang w:val="en-US"/>
        </w:rPr>
        <w:t>irectional strategies have, on average, more common exposures between themselves, within all business cycles / different market conditions, compared to less directional strategies</w:t>
      </w:r>
      <w:r w:rsidR="005E2487" w:rsidRPr="00A13719">
        <w:rPr>
          <w:lang w:val="en-US"/>
        </w:rPr>
        <w:t xml:space="preserve"> </w:t>
      </w:r>
      <w:r w:rsidR="005E2487" w:rsidRPr="00A13719">
        <w:rPr>
          <w:rFonts w:eastAsiaTheme="minorEastAsia"/>
          <w:lang w:val="en-US"/>
        </w:rPr>
        <w:t xml:space="preserve">as by nature </w:t>
      </w:r>
      <w:r w:rsidR="00F67350" w:rsidRPr="00A13719">
        <w:rPr>
          <w:rFonts w:eastAsiaTheme="minorEastAsia"/>
          <w:lang w:val="en-US"/>
        </w:rPr>
        <w:t xml:space="preserve">they </w:t>
      </w:r>
      <w:r w:rsidR="005E2487" w:rsidRPr="00A13719">
        <w:rPr>
          <w:rFonts w:eastAsiaTheme="minorEastAsia"/>
          <w:lang w:val="en-US"/>
        </w:rPr>
        <w:t>have more systematic risk</w:t>
      </w:r>
      <w:r w:rsidR="00FA1434" w:rsidRPr="00A13719">
        <w:rPr>
          <w:rFonts w:eastAsiaTheme="minorEastAsia"/>
          <w:lang w:val="en-US"/>
        </w:rPr>
        <w:t xml:space="preserve"> than non-directional strategies</w:t>
      </w:r>
      <w:r w:rsidR="009D705B" w:rsidRPr="00A13719">
        <w:rPr>
          <w:lang w:val="en-US"/>
        </w:rPr>
        <w:t xml:space="preserve">. </w:t>
      </w:r>
      <w:r w:rsidR="00350C64" w:rsidRPr="00A13719">
        <w:rPr>
          <w:lang w:val="en-US"/>
        </w:rPr>
        <w:t>Third</w:t>
      </w:r>
      <w:r w:rsidR="009D705B" w:rsidRPr="00A13719">
        <w:rPr>
          <w:lang w:val="en-US"/>
        </w:rPr>
        <w:t>, factors related to</w:t>
      </w:r>
      <w:r w:rsidR="00350312" w:rsidRPr="00A13719">
        <w:rPr>
          <w:lang w:val="en-US"/>
        </w:rPr>
        <w:t xml:space="preserve"> commodities such as COAG, COEN and</w:t>
      </w:r>
      <w:r w:rsidR="009D705B" w:rsidRPr="00A13719">
        <w:rPr>
          <w:lang w:val="en-US"/>
        </w:rPr>
        <w:t xml:space="preserve"> COIM are the most common exposures during stressful market conditions (in addition to the MAI factor)</w:t>
      </w:r>
      <w:r w:rsidR="005819E0" w:rsidRPr="00A13719">
        <w:rPr>
          <w:lang w:val="en-US"/>
        </w:rPr>
        <w:t xml:space="preserve"> as they </w:t>
      </w:r>
      <w:r w:rsidR="00350312" w:rsidRPr="00A13719">
        <w:rPr>
          <w:lang w:val="en-US"/>
        </w:rPr>
        <w:t xml:space="preserve">are </w:t>
      </w:r>
      <w:r w:rsidR="005819E0" w:rsidRPr="00A13719">
        <w:rPr>
          <w:lang w:val="en-US"/>
        </w:rPr>
        <w:t>regarded counter</w:t>
      </w:r>
      <w:r w:rsidR="00253977" w:rsidRPr="00A13719">
        <w:rPr>
          <w:lang w:val="en-US"/>
        </w:rPr>
        <w:t>-</w:t>
      </w:r>
      <w:r w:rsidR="005819E0" w:rsidRPr="00A13719">
        <w:rPr>
          <w:lang w:val="en-US"/>
        </w:rPr>
        <w:t xml:space="preserve">cyclical industries </w:t>
      </w:r>
      <w:r w:rsidR="005819E0" w:rsidRPr="00A13719">
        <w:rPr>
          <w:lang w:val="en-US"/>
        </w:rPr>
        <w:lastRenderedPageBreak/>
        <w:t xml:space="preserve">or essential goods/services. </w:t>
      </w:r>
      <w:r w:rsidR="007831A4" w:rsidRPr="00A13719">
        <w:rPr>
          <w:lang w:val="en-US"/>
        </w:rPr>
        <w:t>On the contrary,</w:t>
      </w:r>
      <w:r w:rsidR="009D705B" w:rsidRPr="00A13719">
        <w:rPr>
          <w:lang w:val="en-US"/>
        </w:rPr>
        <w:t xml:space="preserve"> some factors such as MAI, MOM, SMB and HML are the most common fact</w:t>
      </w:r>
      <w:r w:rsidR="005A212E" w:rsidRPr="00A13719">
        <w:rPr>
          <w:lang w:val="en-US"/>
        </w:rPr>
        <w:t>ors for the “good” time periods because fund managers benefit from</w:t>
      </w:r>
      <w:r w:rsidR="00A630BB" w:rsidRPr="00A13719">
        <w:rPr>
          <w:lang w:val="en-US"/>
        </w:rPr>
        <w:t xml:space="preserve"> the upward market movement, </w:t>
      </w:r>
      <w:r w:rsidR="005A212E" w:rsidRPr="00A13719">
        <w:rPr>
          <w:lang w:val="en-US"/>
        </w:rPr>
        <w:t xml:space="preserve">paying attention more </w:t>
      </w:r>
      <w:r w:rsidR="00CF1650" w:rsidRPr="00A13719">
        <w:rPr>
          <w:lang w:val="en-US"/>
        </w:rPr>
        <w:t>to</w:t>
      </w:r>
      <w:r w:rsidR="005A212E" w:rsidRPr="00A13719">
        <w:rPr>
          <w:lang w:val="en-US"/>
        </w:rPr>
        <w:t xml:space="preserve"> high returns compared to </w:t>
      </w:r>
      <w:r w:rsidR="00A25FD7" w:rsidRPr="00A13719">
        <w:rPr>
          <w:lang w:val="en-US"/>
        </w:rPr>
        <w:t xml:space="preserve">the </w:t>
      </w:r>
      <w:r w:rsidR="00DF3465" w:rsidRPr="00A13719">
        <w:rPr>
          <w:lang w:val="en-US"/>
        </w:rPr>
        <w:t xml:space="preserve">systematic </w:t>
      </w:r>
      <w:r w:rsidR="005A212E" w:rsidRPr="00A13719">
        <w:rPr>
          <w:lang w:val="en-US"/>
        </w:rPr>
        <w:t>risk.</w:t>
      </w:r>
      <w:r w:rsidR="007831A4" w:rsidRPr="00A13719">
        <w:rPr>
          <w:lang w:val="en-US"/>
        </w:rPr>
        <w:t xml:space="preserve"> </w:t>
      </w:r>
      <w:r w:rsidR="003D2DC8" w:rsidRPr="00A13719">
        <w:rPr>
          <w:lang w:val="en-US"/>
        </w:rPr>
        <w:t>Fourth</w:t>
      </w:r>
      <w:r w:rsidR="007831A4" w:rsidRPr="00A13719">
        <w:rPr>
          <w:lang w:val="en-US"/>
        </w:rPr>
        <w:t xml:space="preserve">, market volatility appears to affect </w:t>
      </w:r>
      <w:r w:rsidR="00816087" w:rsidRPr="00A13719">
        <w:rPr>
          <w:rFonts w:eastAsiaTheme="minorEastAsia"/>
          <w:lang w:val="en-US"/>
        </w:rPr>
        <w:t>HF</w:t>
      </w:r>
      <w:r w:rsidR="00816087" w:rsidRPr="00A13719">
        <w:rPr>
          <w:lang w:val="en-US"/>
        </w:rPr>
        <w:t xml:space="preserve"> </w:t>
      </w:r>
      <w:r w:rsidR="00C23DFA" w:rsidRPr="00A13719">
        <w:rPr>
          <w:lang w:val="en-US"/>
        </w:rPr>
        <w:t>performance</w:t>
      </w:r>
      <w:r w:rsidR="00A415BF" w:rsidRPr="00A13719">
        <w:rPr>
          <w:lang w:val="en-US"/>
        </w:rPr>
        <w:t xml:space="preserve"> </w:t>
      </w:r>
      <w:r w:rsidR="007831A4" w:rsidRPr="00A13719">
        <w:rPr>
          <w:lang w:val="en-US"/>
        </w:rPr>
        <w:t xml:space="preserve">more than business cycles volatility as down regimes are difficult to </w:t>
      </w:r>
      <w:r w:rsidR="00E11ADF" w:rsidRPr="00A13719">
        <w:rPr>
          <w:lang w:val="en-US"/>
        </w:rPr>
        <w:t xml:space="preserve">predict or to </w:t>
      </w:r>
      <w:r w:rsidR="001D0A4C" w:rsidRPr="00A13719">
        <w:rPr>
          <w:lang w:val="en-US"/>
        </w:rPr>
        <w:t xml:space="preserve">instantly </w:t>
      </w:r>
      <w:r w:rsidR="00E11ADF" w:rsidRPr="00A13719">
        <w:rPr>
          <w:lang w:val="en-US"/>
        </w:rPr>
        <w:t>realize once they happen.</w:t>
      </w:r>
      <w:r w:rsidR="00892F12" w:rsidRPr="00A13719">
        <w:rPr>
          <w:lang w:val="en-US"/>
        </w:rPr>
        <w:t xml:space="preserve"> </w:t>
      </w:r>
    </w:p>
    <w:p w:rsidR="00274F00" w:rsidRPr="00A13719" w:rsidRDefault="0079450C" w:rsidP="0079450C">
      <w:pPr>
        <w:jc w:val="both"/>
        <w:rPr>
          <w:rFonts w:cs="Times New Roman"/>
          <w:szCs w:val="24"/>
        </w:rPr>
      </w:pPr>
      <w:r w:rsidRPr="00A13719">
        <w:rPr>
          <w:lang w:val="en-US"/>
        </w:rPr>
        <w:t xml:space="preserve">Our results are important because </w:t>
      </w:r>
      <w:r w:rsidR="009D705B" w:rsidRPr="00A13719">
        <w:rPr>
          <w:lang w:val="en-US"/>
        </w:rPr>
        <w:t xml:space="preserve">they enable us to better </w:t>
      </w:r>
      <w:r w:rsidRPr="00A13719">
        <w:rPr>
          <w:lang w:val="en-US"/>
        </w:rPr>
        <w:t xml:space="preserve">understand </w:t>
      </w:r>
      <w:r w:rsidR="00816087" w:rsidRPr="00A13719">
        <w:rPr>
          <w:rFonts w:eastAsiaTheme="minorEastAsia"/>
          <w:lang w:val="en-US"/>
        </w:rPr>
        <w:t>HF</w:t>
      </w:r>
      <w:r w:rsidRPr="00A13719">
        <w:rPr>
          <w:lang w:val="en-US"/>
        </w:rPr>
        <w:t>s</w:t>
      </w:r>
      <w:r w:rsidR="009D705B" w:rsidRPr="00A13719">
        <w:rPr>
          <w:lang w:val="en-US"/>
        </w:rPr>
        <w:t>’</w:t>
      </w:r>
      <w:r w:rsidRPr="00A13719">
        <w:rPr>
          <w:lang w:val="en-US"/>
        </w:rPr>
        <w:t xml:space="preserve"> </w:t>
      </w:r>
      <w:r w:rsidR="001D79DC" w:rsidRPr="00A13719">
        <w:rPr>
          <w:lang w:val="en-US"/>
        </w:rPr>
        <w:t>performance</w:t>
      </w:r>
      <w:r w:rsidRPr="00A13719">
        <w:rPr>
          <w:lang w:val="en-US"/>
        </w:rPr>
        <w:t xml:space="preserve"> and we reveal aspects that have not been examined before. Although </w:t>
      </w:r>
      <w:r w:rsidR="00816087" w:rsidRPr="00A13719">
        <w:rPr>
          <w:rFonts w:eastAsiaTheme="minorEastAsia"/>
          <w:lang w:val="en-US"/>
        </w:rPr>
        <w:t>HF</w:t>
      </w:r>
      <w:r w:rsidRPr="00A13719">
        <w:rPr>
          <w:lang w:val="en-US"/>
        </w:rPr>
        <w:t xml:space="preserve">s are complex investment vehicles and difficult to model, there are </w:t>
      </w:r>
      <w:r w:rsidR="009D705B" w:rsidRPr="00A13719">
        <w:rPr>
          <w:lang w:val="en-US"/>
        </w:rPr>
        <w:t xml:space="preserve">nevertheless </w:t>
      </w:r>
      <w:r w:rsidRPr="00A13719">
        <w:rPr>
          <w:lang w:val="en-US"/>
        </w:rPr>
        <w:t xml:space="preserve">some consistent patterns in their </w:t>
      </w:r>
      <w:r w:rsidR="001D79DC" w:rsidRPr="00A13719">
        <w:rPr>
          <w:lang w:val="en-US"/>
        </w:rPr>
        <w:t>performance</w:t>
      </w:r>
      <w:r w:rsidRPr="00A13719">
        <w:rPr>
          <w:lang w:val="en-US"/>
        </w:rPr>
        <w:t xml:space="preserve">. These patterns are related to </w:t>
      </w:r>
      <w:r w:rsidR="003F02D9" w:rsidRPr="00A13719">
        <w:rPr>
          <w:lang w:val="en-US"/>
        </w:rPr>
        <w:t xml:space="preserve">fund </w:t>
      </w:r>
      <w:r w:rsidRPr="00A13719">
        <w:rPr>
          <w:lang w:val="en-US"/>
        </w:rPr>
        <w:t xml:space="preserve">managers’ </w:t>
      </w:r>
      <w:r w:rsidR="000E1F2A" w:rsidRPr="00A13719">
        <w:rPr>
          <w:lang w:val="en-US"/>
        </w:rPr>
        <w:t xml:space="preserve">response </w:t>
      </w:r>
      <w:r w:rsidRPr="00A13719">
        <w:rPr>
          <w:lang w:val="en-US"/>
        </w:rPr>
        <w:t>in terms of the excess</w:t>
      </w:r>
      <w:r w:rsidR="00C23DFA" w:rsidRPr="00A13719">
        <w:rPr>
          <w:lang w:val="en-US"/>
        </w:rPr>
        <w:t xml:space="preserve"> returns </w:t>
      </w:r>
      <w:r w:rsidRPr="00A13719">
        <w:rPr>
          <w:lang w:val="en-US"/>
        </w:rPr>
        <w:t xml:space="preserve">and their exposures to factors within business cycles and different market conditions. </w:t>
      </w:r>
      <w:r w:rsidR="0070189A" w:rsidRPr="00A13719">
        <w:rPr>
          <w:lang w:val="en-US"/>
        </w:rPr>
        <w:t>The long period of our database</w:t>
      </w:r>
      <w:r w:rsidR="009D705B" w:rsidRPr="00A13719">
        <w:rPr>
          <w:lang w:val="en-US"/>
        </w:rPr>
        <w:t xml:space="preserve"> </w:t>
      </w:r>
      <w:r w:rsidRPr="00A13719">
        <w:rPr>
          <w:lang w:val="en-US"/>
        </w:rPr>
        <w:t>enabl</w:t>
      </w:r>
      <w:r w:rsidR="009D705B" w:rsidRPr="00A13719">
        <w:rPr>
          <w:lang w:val="en-US"/>
        </w:rPr>
        <w:t>es</w:t>
      </w:r>
      <w:r w:rsidRPr="00A13719">
        <w:rPr>
          <w:lang w:val="en-US"/>
        </w:rPr>
        <w:t xml:space="preserve"> us to examine </w:t>
      </w:r>
      <w:r w:rsidR="00816087" w:rsidRPr="00A13719">
        <w:rPr>
          <w:rFonts w:eastAsiaTheme="minorEastAsia"/>
          <w:lang w:val="en-US"/>
        </w:rPr>
        <w:t>HF</w:t>
      </w:r>
      <w:r w:rsidR="00816087" w:rsidRPr="00A13719">
        <w:rPr>
          <w:lang w:val="en-US"/>
        </w:rPr>
        <w:t xml:space="preserve"> </w:t>
      </w:r>
      <w:r w:rsidR="001D79DC" w:rsidRPr="00A13719">
        <w:rPr>
          <w:lang w:val="en-US"/>
        </w:rPr>
        <w:t>performance</w:t>
      </w:r>
      <w:r w:rsidRPr="00A13719">
        <w:rPr>
          <w:lang w:val="en-US"/>
        </w:rPr>
        <w:t xml:space="preserve"> in </w:t>
      </w:r>
      <w:r w:rsidR="004B3077" w:rsidRPr="00A13719">
        <w:rPr>
          <w:lang w:val="en-US"/>
        </w:rPr>
        <w:t xml:space="preserve">a </w:t>
      </w:r>
      <w:r w:rsidRPr="00A13719">
        <w:rPr>
          <w:lang w:val="en-US"/>
        </w:rPr>
        <w:t>more comprehensive way</w:t>
      </w:r>
      <w:r w:rsidR="009D705B" w:rsidRPr="00A13719">
        <w:rPr>
          <w:lang w:val="en-US"/>
        </w:rPr>
        <w:t>,</w:t>
      </w:r>
      <w:r w:rsidRPr="00A13719">
        <w:rPr>
          <w:lang w:val="en-US"/>
        </w:rPr>
        <w:t xml:space="preserve"> not isolating a relatively short period of time containing </w:t>
      </w:r>
      <w:r w:rsidR="009D705B" w:rsidRPr="00A13719">
        <w:rPr>
          <w:lang w:val="en-US"/>
        </w:rPr>
        <w:t>just</w:t>
      </w:r>
      <w:r w:rsidRPr="00A13719">
        <w:rPr>
          <w:lang w:val="en-US"/>
        </w:rPr>
        <w:t xml:space="preserve"> one </w:t>
      </w:r>
      <w:r w:rsidR="004B3077" w:rsidRPr="00A13719">
        <w:rPr>
          <w:lang w:val="en-US"/>
        </w:rPr>
        <w:t xml:space="preserve">bubble or </w:t>
      </w:r>
      <w:r w:rsidRPr="00A13719">
        <w:rPr>
          <w:lang w:val="en-US"/>
        </w:rPr>
        <w:t>financial crisis.</w:t>
      </w:r>
      <w:r w:rsidR="007C0E24" w:rsidRPr="00A13719">
        <w:rPr>
          <w:lang w:val="en-US"/>
        </w:rPr>
        <w:t xml:space="preserve"> </w:t>
      </w:r>
      <w:r w:rsidR="002123E5" w:rsidRPr="00A13719">
        <w:rPr>
          <w:lang w:val="en-US"/>
        </w:rPr>
        <w:t>I</w:t>
      </w:r>
      <w:r w:rsidRPr="00A13719">
        <w:rPr>
          <w:lang w:val="en-US"/>
        </w:rPr>
        <w:t>nstead of using one general commodity factor we used specific ones for more precise results</w:t>
      </w:r>
      <w:r w:rsidR="009D705B" w:rsidRPr="00A13719">
        <w:rPr>
          <w:lang w:val="en-US"/>
        </w:rPr>
        <w:t xml:space="preserve"> including </w:t>
      </w:r>
      <w:r w:rsidRPr="00A13719">
        <w:rPr>
          <w:lang w:val="en-US"/>
        </w:rPr>
        <w:t>for the first time (to our knowledge) the commodity factor COAG (agricultural/food industry)</w:t>
      </w:r>
      <w:r w:rsidR="009D705B" w:rsidRPr="00A13719">
        <w:rPr>
          <w:lang w:val="en-US"/>
        </w:rPr>
        <w:t>. This</w:t>
      </w:r>
      <w:r w:rsidRPr="00A13719">
        <w:rPr>
          <w:lang w:val="en-US"/>
        </w:rPr>
        <w:t xml:space="preserve"> is one of the prime exposure factors during recession and down regimes for many strategies.</w:t>
      </w:r>
      <w:r w:rsidR="00CC56B5" w:rsidRPr="00A13719">
        <w:rPr>
          <w:lang w:val="en-US"/>
        </w:rPr>
        <w:t xml:space="preserve"> </w:t>
      </w:r>
      <w:r w:rsidR="00274F00" w:rsidRPr="00A13719">
        <w:rPr>
          <w:rFonts w:cs="Times New Roman"/>
          <w:szCs w:val="24"/>
        </w:rPr>
        <w:t xml:space="preserve">The economic significance of our results is important. More specifically, overall, HF strategies </w:t>
      </w:r>
      <w:r w:rsidR="00892E33" w:rsidRPr="00A13719">
        <w:rPr>
          <w:rFonts w:cs="Times New Roman"/>
          <w:szCs w:val="24"/>
        </w:rPr>
        <w:t xml:space="preserve">are </w:t>
      </w:r>
      <w:r w:rsidR="00274F00" w:rsidRPr="00A13719">
        <w:rPr>
          <w:rFonts w:cs="Times New Roman"/>
          <w:szCs w:val="24"/>
        </w:rPr>
        <w:t xml:space="preserve">affected by ‘bad’ times, in other words they are not able to consistently produce excess returns </w:t>
      </w:r>
      <w:r w:rsidR="00D80A33" w:rsidRPr="00A13719">
        <w:rPr>
          <w:rFonts w:cs="Times New Roman"/>
          <w:szCs w:val="24"/>
        </w:rPr>
        <w:t>for</w:t>
      </w:r>
      <w:r w:rsidR="00274F00" w:rsidRPr="00A13719">
        <w:rPr>
          <w:rFonts w:cs="Times New Roman"/>
          <w:szCs w:val="24"/>
        </w:rPr>
        <w:t xml:space="preserve"> investors. Furthermore, </w:t>
      </w:r>
      <w:r w:rsidR="007D6371" w:rsidRPr="00A13719">
        <w:rPr>
          <w:rFonts w:cs="Times New Roman"/>
          <w:szCs w:val="24"/>
        </w:rPr>
        <w:t xml:space="preserve">as </w:t>
      </w:r>
      <w:r w:rsidR="00274F00" w:rsidRPr="00A13719">
        <w:rPr>
          <w:rFonts w:cs="Times New Roman"/>
          <w:szCs w:val="24"/>
        </w:rPr>
        <w:t>market volatility is related most</w:t>
      </w:r>
      <w:r w:rsidR="007D6371" w:rsidRPr="00A13719">
        <w:rPr>
          <w:rFonts w:cs="Times New Roman"/>
          <w:szCs w:val="24"/>
        </w:rPr>
        <w:t xml:space="preserve">ly </w:t>
      </w:r>
      <w:r w:rsidR="00892E33" w:rsidRPr="00A13719">
        <w:rPr>
          <w:rFonts w:cs="Times New Roman"/>
          <w:szCs w:val="24"/>
        </w:rPr>
        <w:t>to</w:t>
      </w:r>
      <w:r w:rsidR="007D6371" w:rsidRPr="00A13719">
        <w:rPr>
          <w:rFonts w:cs="Times New Roman"/>
          <w:szCs w:val="24"/>
        </w:rPr>
        <w:t xml:space="preserve"> financial assets,</w:t>
      </w:r>
      <w:r w:rsidR="00274F00" w:rsidRPr="00A13719">
        <w:rPr>
          <w:rFonts w:cs="Times New Roman"/>
          <w:szCs w:val="24"/>
        </w:rPr>
        <w:t xml:space="preserve"> down regimes have a more direct and severe impact on HFs</w:t>
      </w:r>
      <w:r w:rsidR="00892E33" w:rsidRPr="00A13719">
        <w:rPr>
          <w:rFonts w:cs="Times New Roman"/>
          <w:szCs w:val="24"/>
        </w:rPr>
        <w:t>’</w:t>
      </w:r>
      <w:r w:rsidR="00274F00" w:rsidRPr="00A13719">
        <w:rPr>
          <w:rFonts w:cs="Times New Roman"/>
          <w:szCs w:val="24"/>
        </w:rPr>
        <w:t xml:space="preserve"> performance (in alphas and exposures). On the other hand, business cycles are related mostly </w:t>
      </w:r>
      <w:r w:rsidR="00892E33" w:rsidRPr="00A13719">
        <w:rPr>
          <w:rFonts w:cs="Times New Roman"/>
          <w:szCs w:val="24"/>
        </w:rPr>
        <w:t>to</w:t>
      </w:r>
      <w:r w:rsidR="00274F00" w:rsidRPr="00A13719">
        <w:rPr>
          <w:rFonts w:cs="Times New Roman"/>
          <w:szCs w:val="24"/>
        </w:rPr>
        <w:t xml:space="preserve"> real assets and have less impact on HF performance. Therefore, investors should worry more when there is market volatility.</w:t>
      </w:r>
    </w:p>
    <w:p w:rsidR="00627FCE" w:rsidRPr="00A13719" w:rsidRDefault="0079450C" w:rsidP="0079450C">
      <w:pPr>
        <w:jc w:val="both"/>
        <w:rPr>
          <w:lang w:val="en-US"/>
        </w:rPr>
      </w:pPr>
      <w:r w:rsidRPr="00A13719">
        <w:rPr>
          <w:lang w:val="en-US"/>
        </w:rPr>
        <w:t>Investors can benefit from our findings as they are able to know what to e</w:t>
      </w:r>
      <w:r w:rsidR="00E041C2" w:rsidRPr="00A13719">
        <w:rPr>
          <w:lang w:val="en-US"/>
        </w:rPr>
        <w:t>xpect from different strategies,</w:t>
      </w:r>
      <w:r w:rsidR="00336E12" w:rsidRPr="00A13719">
        <w:rPr>
          <w:lang w:val="en-US"/>
        </w:rPr>
        <w:t xml:space="preserve"> having a clear distinction between </w:t>
      </w:r>
      <w:r w:rsidR="00D750BD" w:rsidRPr="00A13719">
        <w:rPr>
          <w:lang w:val="en-US"/>
        </w:rPr>
        <w:t xml:space="preserve">business cycles and </w:t>
      </w:r>
      <w:r w:rsidR="00391DED" w:rsidRPr="00A13719">
        <w:rPr>
          <w:lang w:val="en-US"/>
        </w:rPr>
        <w:t>bull/bear</w:t>
      </w:r>
      <w:r w:rsidR="00D750BD" w:rsidRPr="00A13719">
        <w:rPr>
          <w:lang w:val="en-US"/>
        </w:rPr>
        <w:t xml:space="preserve"> market conditions</w:t>
      </w:r>
      <w:r w:rsidRPr="00A13719">
        <w:rPr>
          <w:lang w:val="en-US"/>
        </w:rPr>
        <w:t xml:space="preserve">. </w:t>
      </w:r>
      <w:r w:rsidR="005C2E93" w:rsidRPr="00A13719">
        <w:rPr>
          <w:lang w:val="en-US"/>
        </w:rPr>
        <w:t xml:space="preserve">This is </w:t>
      </w:r>
      <w:r w:rsidR="00BE15FE" w:rsidRPr="00A13719">
        <w:rPr>
          <w:lang w:val="en-US"/>
        </w:rPr>
        <w:t>essential</w:t>
      </w:r>
      <w:r w:rsidR="005C2E93" w:rsidRPr="00A13719">
        <w:rPr>
          <w:lang w:val="en-US"/>
        </w:rPr>
        <w:t xml:space="preserve"> </w:t>
      </w:r>
      <w:r w:rsidR="0008139E" w:rsidRPr="00A13719">
        <w:rPr>
          <w:rFonts w:eastAsiaTheme="minorEastAsia"/>
          <w:lang w:val="en-US"/>
        </w:rPr>
        <w:t xml:space="preserve">as these two different states do not </w:t>
      </w:r>
      <w:r w:rsidR="009C38B2" w:rsidRPr="00A13719">
        <w:rPr>
          <w:rFonts w:eastAsiaTheme="minorEastAsia"/>
          <w:lang w:val="en-US"/>
        </w:rPr>
        <w:t xml:space="preserve">necessarily </w:t>
      </w:r>
      <w:r w:rsidR="0008139E" w:rsidRPr="00A13719">
        <w:rPr>
          <w:rFonts w:eastAsiaTheme="minorEastAsia"/>
          <w:lang w:val="en-US"/>
        </w:rPr>
        <w:t xml:space="preserve">coincide and they have different implications for </w:t>
      </w:r>
      <w:r w:rsidR="00816087" w:rsidRPr="00A13719">
        <w:rPr>
          <w:rFonts w:eastAsiaTheme="minorEastAsia"/>
          <w:lang w:val="en-US"/>
        </w:rPr>
        <w:t>HF</w:t>
      </w:r>
      <w:r w:rsidR="0008139E" w:rsidRPr="00A13719">
        <w:rPr>
          <w:rFonts w:eastAsiaTheme="minorEastAsia"/>
          <w:lang w:val="en-US"/>
        </w:rPr>
        <w:t>s.</w:t>
      </w:r>
      <w:r w:rsidR="0008139E" w:rsidRPr="00A13719">
        <w:rPr>
          <w:lang w:val="en-US"/>
        </w:rPr>
        <w:t xml:space="preserve"> </w:t>
      </w:r>
      <w:r w:rsidRPr="00A13719">
        <w:rPr>
          <w:lang w:val="en-US"/>
        </w:rPr>
        <w:t xml:space="preserve">Our </w:t>
      </w:r>
      <w:r w:rsidR="0061751E" w:rsidRPr="00A13719">
        <w:rPr>
          <w:lang w:val="en-US"/>
        </w:rPr>
        <w:t>results should help inv</w:t>
      </w:r>
      <w:r w:rsidR="0095220A" w:rsidRPr="00A13719">
        <w:rPr>
          <w:lang w:val="en-US"/>
        </w:rPr>
        <w:t>estors</w:t>
      </w:r>
      <w:r w:rsidR="0061751E" w:rsidRPr="00A13719">
        <w:rPr>
          <w:lang w:val="en-US"/>
        </w:rPr>
        <w:t xml:space="preserve"> in their strategic asset allocation process</w:t>
      </w:r>
      <w:r w:rsidR="002F0DD7" w:rsidRPr="00A13719">
        <w:rPr>
          <w:lang w:val="en-US"/>
        </w:rPr>
        <w:t xml:space="preserve">, for instance, </w:t>
      </w:r>
      <w:r w:rsidR="0061751E" w:rsidRPr="00A13719">
        <w:rPr>
          <w:lang w:val="en-US"/>
        </w:rPr>
        <w:t>selecting specific strategies during “bad”</w:t>
      </w:r>
      <w:r w:rsidR="002F0DD7" w:rsidRPr="00A13719">
        <w:rPr>
          <w:lang w:val="en-US"/>
        </w:rPr>
        <w:t xml:space="preserve"> times that do not suffer a lot;</w:t>
      </w:r>
      <w:r w:rsidR="0061751E" w:rsidRPr="00A13719">
        <w:rPr>
          <w:lang w:val="en-US"/>
        </w:rPr>
        <w:t xml:space="preserve"> </w:t>
      </w:r>
      <w:r w:rsidR="002F0DD7" w:rsidRPr="00A13719">
        <w:rPr>
          <w:lang w:val="en-US"/>
        </w:rPr>
        <w:t>however,</w:t>
      </w:r>
      <w:r w:rsidR="0061751E" w:rsidRPr="00A13719">
        <w:rPr>
          <w:lang w:val="en-US"/>
        </w:rPr>
        <w:t xml:space="preserve"> </w:t>
      </w:r>
      <w:r w:rsidR="00F65E6A" w:rsidRPr="00A13719">
        <w:rPr>
          <w:lang w:val="en-US"/>
        </w:rPr>
        <w:t>they</w:t>
      </w:r>
      <w:r w:rsidR="00BE15FE" w:rsidRPr="00A13719">
        <w:rPr>
          <w:lang w:val="en-US"/>
        </w:rPr>
        <w:t xml:space="preserve"> should predict </w:t>
      </w:r>
      <w:r w:rsidR="0095220A" w:rsidRPr="00A13719">
        <w:rPr>
          <w:lang w:val="en-US"/>
        </w:rPr>
        <w:t>in</w:t>
      </w:r>
      <w:r w:rsidR="00A43AD4" w:rsidRPr="00A13719">
        <w:rPr>
          <w:lang w:val="en-US"/>
        </w:rPr>
        <w:t xml:space="preserve"> </w:t>
      </w:r>
      <w:r w:rsidR="003B070D" w:rsidRPr="00A13719">
        <w:rPr>
          <w:lang w:val="en-US"/>
        </w:rPr>
        <w:t xml:space="preserve">a </w:t>
      </w:r>
      <w:r w:rsidR="00A43AD4" w:rsidRPr="00A13719">
        <w:rPr>
          <w:lang w:val="en-US"/>
        </w:rPr>
        <w:t>probabilistic way</w:t>
      </w:r>
      <w:r w:rsidR="0061751E" w:rsidRPr="00A13719">
        <w:rPr>
          <w:lang w:val="en-US"/>
        </w:rPr>
        <w:t xml:space="preserve"> these market conditions</w:t>
      </w:r>
      <w:r w:rsidR="00E37022" w:rsidRPr="00A13719">
        <w:rPr>
          <w:lang w:val="en-US"/>
        </w:rPr>
        <w:t xml:space="preserve"> </w:t>
      </w:r>
      <w:r w:rsidR="002F0DD7" w:rsidRPr="00A13719">
        <w:rPr>
          <w:lang w:val="en-US"/>
        </w:rPr>
        <w:t xml:space="preserve">(this is out of scope of this study) </w:t>
      </w:r>
      <w:r w:rsidR="00E37022" w:rsidRPr="00A13719">
        <w:rPr>
          <w:lang w:val="en-US"/>
        </w:rPr>
        <w:t xml:space="preserve">and </w:t>
      </w:r>
      <w:r w:rsidR="005618A8" w:rsidRPr="00A13719">
        <w:rPr>
          <w:lang w:val="en-US"/>
        </w:rPr>
        <w:t xml:space="preserve">then </w:t>
      </w:r>
      <w:r w:rsidR="00E37022" w:rsidRPr="00A13719">
        <w:rPr>
          <w:lang w:val="en-US"/>
        </w:rPr>
        <w:t>use our findings</w:t>
      </w:r>
      <w:r w:rsidR="0061751E" w:rsidRPr="00A13719">
        <w:rPr>
          <w:lang w:val="en-US"/>
        </w:rPr>
        <w:t xml:space="preserve">. </w:t>
      </w:r>
      <w:r w:rsidR="005E4A03" w:rsidRPr="00A13719">
        <w:rPr>
          <w:lang w:val="en-US"/>
        </w:rPr>
        <w:t>F</w:t>
      </w:r>
      <w:r w:rsidRPr="00A13719">
        <w:rPr>
          <w:lang w:val="en-US"/>
        </w:rPr>
        <w:t xml:space="preserve">und administrators </w:t>
      </w:r>
      <w:r w:rsidR="005E4A03" w:rsidRPr="00A13719">
        <w:rPr>
          <w:lang w:val="en-US"/>
        </w:rPr>
        <w:t>could use our findings for more flexible</w:t>
      </w:r>
      <w:r w:rsidRPr="00A13719">
        <w:rPr>
          <w:lang w:val="en-US"/>
        </w:rPr>
        <w:t xml:space="preserve"> </w:t>
      </w:r>
      <w:r w:rsidR="002123E5" w:rsidRPr="00A13719">
        <w:rPr>
          <w:lang w:val="en-US"/>
        </w:rPr>
        <w:t>fee</w:t>
      </w:r>
      <w:r w:rsidRPr="00A13719">
        <w:rPr>
          <w:lang w:val="en-US"/>
        </w:rPr>
        <w:t xml:space="preserve"> policies that can </w:t>
      </w:r>
      <w:r w:rsidR="002F0139" w:rsidRPr="00A13719">
        <w:rPr>
          <w:lang w:val="en-US"/>
        </w:rPr>
        <w:t xml:space="preserve">better </w:t>
      </w:r>
      <w:r w:rsidRPr="00A13719">
        <w:rPr>
          <w:lang w:val="en-US"/>
        </w:rPr>
        <w:t xml:space="preserve">capture </w:t>
      </w:r>
      <w:r w:rsidR="00653042" w:rsidRPr="00A13719">
        <w:rPr>
          <w:rFonts w:eastAsiaTheme="minorEastAsia"/>
          <w:lang w:val="en-US"/>
        </w:rPr>
        <w:t>HF</w:t>
      </w:r>
      <w:r w:rsidR="00653042" w:rsidRPr="00A13719">
        <w:rPr>
          <w:lang w:val="en-US"/>
        </w:rPr>
        <w:t xml:space="preserve"> </w:t>
      </w:r>
      <w:r w:rsidR="005E4A03" w:rsidRPr="00A13719">
        <w:rPr>
          <w:lang w:val="en-US"/>
        </w:rPr>
        <w:t>managers’ performance.</w:t>
      </w:r>
    </w:p>
    <w:p w:rsidR="00D335BC" w:rsidRPr="00A13719" w:rsidRDefault="003022DD" w:rsidP="00E05D17">
      <w:pPr>
        <w:pStyle w:val="Heading1"/>
        <w:jc w:val="left"/>
        <w:rPr>
          <w:rFonts w:eastAsiaTheme="minorEastAsia"/>
          <w:lang w:val="en-US"/>
        </w:rPr>
      </w:pPr>
      <w:bookmarkStart w:id="9" w:name="_Toc425953833"/>
      <w:r w:rsidRPr="00A13719">
        <w:rPr>
          <w:rFonts w:eastAsiaTheme="minorEastAsia"/>
          <w:lang w:val="en-US"/>
        </w:rPr>
        <w:lastRenderedPageBreak/>
        <w:t>References</w:t>
      </w:r>
      <w:bookmarkEnd w:id="9"/>
    </w:p>
    <w:p w:rsidR="008F773A" w:rsidRPr="00A13719" w:rsidRDefault="008F773A" w:rsidP="008F773A">
      <w:pPr>
        <w:spacing w:after="0"/>
        <w:jc w:val="both"/>
        <w:rPr>
          <w:rFonts w:cs="Times New Roman"/>
          <w:szCs w:val="24"/>
        </w:rPr>
      </w:pPr>
      <w:r w:rsidRPr="00A13719">
        <w:rPr>
          <w:rFonts w:cs="Times New Roman"/>
          <w:szCs w:val="24"/>
        </w:rPr>
        <w:t xml:space="preserve">Aebi, V., Sabato, G., and Schmid, M. (2012). Risk management, corporate governance, and bank performance in the financial crisis, </w:t>
      </w:r>
      <w:r w:rsidRPr="00A13719">
        <w:rPr>
          <w:rFonts w:cs="Times New Roman"/>
          <w:i/>
          <w:szCs w:val="24"/>
        </w:rPr>
        <w:t>Journal of Banking and Finance</w:t>
      </w:r>
      <w:r w:rsidRPr="00A13719">
        <w:rPr>
          <w:rFonts w:cs="Times New Roman"/>
          <w:szCs w:val="24"/>
        </w:rPr>
        <w:t>, 36(12), pp.3213-3226.</w:t>
      </w:r>
    </w:p>
    <w:p w:rsidR="008F773A" w:rsidRPr="00A13719" w:rsidRDefault="008F773A" w:rsidP="008F773A">
      <w:pPr>
        <w:spacing w:after="0"/>
        <w:jc w:val="both"/>
        <w:rPr>
          <w:rFonts w:cs="Times New Roman"/>
          <w:szCs w:val="24"/>
        </w:rPr>
      </w:pPr>
    </w:p>
    <w:p w:rsidR="008A4109" w:rsidRPr="00A13719" w:rsidRDefault="008A4109" w:rsidP="00911951">
      <w:r w:rsidRPr="00A13719">
        <w:t xml:space="preserve">Agarwal, V., Arisoy, E. </w:t>
      </w:r>
      <w:r w:rsidR="002F0139" w:rsidRPr="00A13719">
        <w:t xml:space="preserve">and </w:t>
      </w:r>
      <w:r w:rsidRPr="00A13719">
        <w:t>Nai</w:t>
      </w:r>
      <w:r w:rsidR="002F0139" w:rsidRPr="00A13719">
        <w:t>k</w:t>
      </w:r>
      <w:r w:rsidRPr="00A13719">
        <w:t xml:space="preserve">, N. (2017). Volatility of aggregate volatility and hedge fund returns, </w:t>
      </w:r>
      <w:r w:rsidRPr="00A13719">
        <w:rPr>
          <w:i/>
        </w:rPr>
        <w:t>Journal of Financial Economics</w:t>
      </w:r>
      <w:r w:rsidRPr="00A13719">
        <w:t>,</w:t>
      </w:r>
      <w:r w:rsidR="002F0139" w:rsidRPr="00A13719">
        <w:t xml:space="preserve"> in press.</w:t>
      </w:r>
      <w:r w:rsidRPr="00A13719">
        <w:t xml:space="preserve"> </w:t>
      </w:r>
      <w:hyperlink r:id="rId13" w:tgtFrame="doilink" w:history="1">
        <w:r w:rsidR="00123A5F" w:rsidRPr="00A13719">
          <w:rPr>
            <w:rStyle w:val="Hyperlink"/>
            <w:rFonts w:ascii="Arial" w:hAnsi="Arial" w:cs="Arial"/>
            <w:color w:val="auto"/>
            <w:sz w:val="20"/>
            <w:szCs w:val="20"/>
            <w:bdr w:val="none" w:sz="0" w:space="0" w:color="auto" w:frame="1"/>
            <w:shd w:val="clear" w:color="auto" w:fill="FFFFFF"/>
          </w:rPr>
          <w:t>https://doi.org/10.1016/j.jfineco.2017.06.015</w:t>
        </w:r>
      </w:hyperlink>
      <w:r w:rsidRPr="00A13719">
        <w:t xml:space="preserve">.  </w:t>
      </w:r>
    </w:p>
    <w:p w:rsidR="0007548E" w:rsidRPr="00A13719" w:rsidRDefault="0007548E" w:rsidP="00911951">
      <w:r w:rsidRPr="00A13719">
        <w:t>Agarwal, V.</w:t>
      </w:r>
      <w:r w:rsidR="00D81854" w:rsidRPr="00A13719">
        <w:t xml:space="preserve"> and</w:t>
      </w:r>
      <w:r w:rsidRPr="00A13719">
        <w:t xml:space="preserve"> Naik N. (2000). Performance Evaluation of Hedge Funds with Option-based and Buy-and-Hold Strategies, </w:t>
      </w:r>
      <w:r w:rsidRPr="00A13719">
        <w:rPr>
          <w:i/>
        </w:rPr>
        <w:t xml:space="preserve">Working Paper, </w:t>
      </w:r>
      <w:r w:rsidR="00387468" w:rsidRPr="00A13719">
        <w:t>[</w:t>
      </w:r>
      <w:r w:rsidR="00336378" w:rsidRPr="00A13719">
        <w:t>Onl</w:t>
      </w:r>
      <w:r w:rsidR="00387468" w:rsidRPr="00A13719">
        <w:t>ine]</w:t>
      </w:r>
      <w:r w:rsidR="00D000A9" w:rsidRPr="00A13719">
        <w:t>.</w:t>
      </w:r>
      <w:r w:rsidR="00387468" w:rsidRPr="00A13719">
        <w:rPr>
          <w:i/>
        </w:rPr>
        <w:t xml:space="preserve"> </w:t>
      </w:r>
      <w:r w:rsidR="00D000A9" w:rsidRPr="00A13719">
        <w:t>A</w:t>
      </w:r>
      <w:r w:rsidR="00387468" w:rsidRPr="00A13719">
        <w:t>vailable at</w:t>
      </w:r>
      <w:r w:rsidR="00387468" w:rsidRPr="00A13719">
        <w:rPr>
          <w:i/>
        </w:rPr>
        <w:t xml:space="preserve"> </w:t>
      </w:r>
      <w:r w:rsidR="00387468" w:rsidRPr="00A13719">
        <w:t>http://www</w:t>
      </w:r>
      <w:r w:rsidR="008C4363" w:rsidRPr="00A13719">
        <w:t>2.gsu.edu/~fncvaa/benchmark.pdf</w:t>
      </w:r>
      <w:r w:rsidRPr="00A13719">
        <w:t>,</w:t>
      </w:r>
      <w:r w:rsidR="00387468" w:rsidRPr="00A13719">
        <w:t xml:space="preserve"> [</w:t>
      </w:r>
      <w:r w:rsidR="00D000A9" w:rsidRPr="00A13719">
        <w:t>A</w:t>
      </w:r>
      <w:r w:rsidR="00387468" w:rsidRPr="00A13719">
        <w:t>ccessed 06 July 2015]</w:t>
      </w:r>
      <w:r w:rsidRPr="00A13719">
        <w:t>.</w:t>
      </w:r>
      <w:r w:rsidR="00CB7C71" w:rsidRPr="00A13719">
        <w:t xml:space="preserve"> </w:t>
      </w:r>
    </w:p>
    <w:p w:rsidR="00FE0BC5" w:rsidRPr="00A13719" w:rsidRDefault="00FE0BC5" w:rsidP="00911951">
      <w:r w:rsidRPr="00A13719">
        <w:t>Agarwal, V.</w:t>
      </w:r>
      <w:r w:rsidR="00D81854" w:rsidRPr="00A13719">
        <w:t xml:space="preserve"> and</w:t>
      </w:r>
      <w:r w:rsidRPr="00A13719">
        <w:t xml:space="preserve"> Naik, N. (2004). Risks and Portfolio Decisions Involving Hedge Funds. </w:t>
      </w:r>
      <w:r w:rsidRPr="00A13719">
        <w:rPr>
          <w:i/>
        </w:rPr>
        <w:t>The Review of Financial Studies</w:t>
      </w:r>
      <w:r w:rsidRPr="00A13719">
        <w:t xml:space="preserve">, 17(1), </w:t>
      </w:r>
      <w:r w:rsidR="001459AF" w:rsidRPr="00A13719">
        <w:t>pp.</w:t>
      </w:r>
      <w:r w:rsidRPr="00A13719">
        <w:t>63-98.</w:t>
      </w:r>
      <w:r w:rsidR="00CE3975" w:rsidRPr="00A13719">
        <w:t xml:space="preserve"> </w:t>
      </w:r>
    </w:p>
    <w:p w:rsidR="00E72589" w:rsidRPr="00A13719" w:rsidRDefault="00E72589" w:rsidP="00911951">
      <w:r w:rsidRPr="00A13719">
        <w:t xml:space="preserve">Amenc, N. and Goltz, F. (2008). Revisiting the Limits of Hedge Fund Indices: A Comparative Approach, </w:t>
      </w:r>
      <w:r w:rsidRPr="00A13719">
        <w:rPr>
          <w:i/>
        </w:rPr>
        <w:t>The Journal of Alternative Investments</w:t>
      </w:r>
      <w:r w:rsidRPr="00A13719">
        <w:t xml:space="preserve">, </w:t>
      </w:r>
      <w:r w:rsidR="00100141" w:rsidRPr="00A13719">
        <w:t xml:space="preserve">10(4), </w:t>
      </w:r>
      <w:r w:rsidR="004C7310" w:rsidRPr="00A13719">
        <w:t>pp.</w:t>
      </w:r>
      <w:r w:rsidRPr="00A13719">
        <w:t>50-63.</w:t>
      </w:r>
      <w:r w:rsidR="00CB7C71" w:rsidRPr="00A13719">
        <w:t xml:space="preserve"> </w:t>
      </w:r>
    </w:p>
    <w:p w:rsidR="008457E1" w:rsidRPr="00A13719" w:rsidRDefault="008457E1" w:rsidP="008457E1">
      <w:r w:rsidRPr="00A13719">
        <w:rPr>
          <w:rFonts w:eastAsiaTheme="minorEastAsia"/>
          <w:lang w:val="en-US"/>
        </w:rPr>
        <w:t xml:space="preserve">Avramov, D., Barras, L., and Kosowski, R. (2013). Hedge fund return predictability under the magnifying glass, </w:t>
      </w:r>
      <w:r w:rsidRPr="00A13719">
        <w:rPr>
          <w:rFonts w:eastAsiaTheme="minorEastAsia"/>
          <w:i/>
          <w:lang w:val="en-US"/>
        </w:rPr>
        <w:t>Journal of Financial and Quantitative Analysis</w:t>
      </w:r>
      <w:r w:rsidRPr="00A13719">
        <w:rPr>
          <w:rFonts w:eastAsiaTheme="minorEastAsia"/>
          <w:lang w:val="en-US"/>
        </w:rPr>
        <w:t>, 48(4), pp.1057-1083.</w:t>
      </w:r>
    </w:p>
    <w:p w:rsidR="004E1933" w:rsidRPr="00A13719" w:rsidRDefault="004E1933" w:rsidP="00911951">
      <w:r w:rsidRPr="00A13719">
        <w:rPr>
          <w:rFonts w:eastAsiaTheme="minorEastAsia"/>
          <w:lang w:val="en-US"/>
        </w:rPr>
        <w:t>Bali, T., Brown, S.</w:t>
      </w:r>
      <w:r w:rsidR="00D81854" w:rsidRPr="00A13719">
        <w:rPr>
          <w:rFonts w:eastAsiaTheme="minorEastAsia"/>
          <w:lang w:val="en-US"/>
        </w:rPr>
        <w:t xml:space="preserve"> and</w:t>
      </w:r>
      <w:r w:rsidRPr="00A13719">
        <w:rPr>
          <w:rFonts w:eastAsiaTheme="minorEastAsia"/>
          <w:lang w:val="en-US"/>
        </w:rPr>
        <w:t xml:space="preserve"> Caglayan, M. (2011). Do </w:t>
      </w:r>
      <w:r w:rsidR="00D1592D" w:rsidRPr="00A13719">
        <w:rPr>
          <w:rFonts w:eastAsiaTheme="minorEastAsia"/>
          <w:lang w:val="en-US"/>
        </w:rPr>
        <w:t>Hedge F</w:t>
      </w:r>
      <w:r w:rsidRPr="00A13719">
        <w:rPr>
          <w:rFonts w:eastAsiaTheme="minorEastAsia"/>
          <w:lang w:val="en-US"/>
        </w:rPr>
        <w:t xml:space="preserve">unds’ </w:t>
      </w:r>
      <w:r w:rsidR="00D1592D" w:rsidRPr="00A13719">
        <w:rPr>
          <w:rFonts w:eastAsiaTheme="minorEastAsia"/>
          <w:lang w:val="en-US"/>
        </w:rPr>
        <w:t>E</w:t>
      </w:r>
      <w:r w:rsidRPr="00A13719">
        <w:rPr>
          <w:rFonts w:eastAsiaTheme="minorEastAsia"/>
          <w:lang w:val="en-US"/>
        </w:rPr>
        <w:t xml:space="preserve">xposures to </w:t>
      </w:r>
      <w:r w:rsidR="00D1592D" w:rsidRPr="00A13719">
        <w:rPr>
          <w:rFonts w:eastAsiaTheme="minorEastAsia"/>
          <w:lang w:val="en-US"/>
        </w:rPr>
        <w:t>R</w:t>
      </w:r>
      <w:r w:rsidRPr="00A13719">
        <w:rPr>
          <w:rFonts w:eastAsiaTheme="minorEastAsia"/>
          <w:lang w:val="en-US"/>
        </w:rPr>
        <w:t xml:space="preserve">isk </w:t>
      </w:r>
      <w:r w:rsidR="00D1592D" w:rsidRPr="00A13719">
        <w:rPr>
          <w:rFonts w:eastAsiaTheme="minorEastAsia"/>
          <w:lang w:val="en-US"/>
        </w:rPr>
        <w:t>F</w:t>
      </w:r>
      <w:r w:rsidRPr="00A13719">
        <w:rPr>
          <w:rFonts w:eastAsiaTheme="minorEastAsia"/>
          <w:lang w:val="en-US"/>
        </w:rPr>
        <w:t xml:space="preserve">actors </w:t>
      </w:r>
      <w:r w:rsidR="00D1592D" w:rsidRPr="00A13719">
        <w:rPr>
          <w:rFonts w:eastAsiaTheme="minorEastAsia"/>
          <w:lang w:val="en-US"/>
        </w:rPr>
        <w:t>P</w:t>
      </w:r>
      <w:r w:rsidRPr="00A13719">
        <w:rPr>
          <w:rFonts w:eastAsiaTheme="minorEastAsia"/>
          <w:lang w:val="en-US"/>
        </w:rPr>
        <w:t xml:space="preserve">redict their </w:t>
      </w:r>
      <w:r w:rsidR="00D1592D" w:rsidRPr="00A13719">
        <w:rPr>
          <w:rFonts w:eastAsiaTheme="minorEastAsia"/>
          <w:lang w:val="en-US"/>
        </w:rPr>
        <w:t>F</w:t>
      </w:r>
      <w:r w:rsidRPr="00A13719">
        <w:rPr>
          <w:rFonts w:eastAsiaTheme="minorEastAsia"/>
          <w:lang w:val="en-US"/>
        </w:rPr>
        <w:t xml:space="preserve">uture </w:t>
      </w:r>
      <w:r w:rsidR="00D1592D" w:rsidRPr="00A13719">
        <w:rPr>
          <w:rFonts w:eastAsiaTheme="minorEastAsia"/>
          <w:lang w:val="en-US"/>
        </w:rPr>
        <w:t>R</w:t>
      </w:r>
      <w:r w:rsidRPr="00A13719">
        <w:rPr>
          <w:rFonts w:eastAsiaTheme="minorEastAsia"/>
          <w:lang w:val="en-US"/>
        </w:rPr>
        <w:t xml:space="preserve">eturns? </w:t>
      </w:r>
      <w:r w:rsidRPr="00A13719">
        <w:rPr>
          <w:rFonts w:eastAsiaTheme="minorEastAsia"/>
          <w:i/>
          <w:lang w:val="en-US"/>
        </w:rPr>
        <w:t>Journal of Financial Economics</w:t>
      </w:r>
      <w:r w:rsidRPr="00A13719">
        <w:rPr>
          <w:rFonts w:eastAsiaTheme="minorEastAsia"/>
          <w:lang w:val="en-US"/>
        </w:rPr>
        <w:t xml:space="preserve">, </w:t>
      </w:r>
      <w:r w:rsidR="00451D2B" w:rsidRPr="00A13719">
        <w:rPr>
          <w:rFonts w:eastAsiaTheme="minorEastAsia"/>
          <w:lang w:val="en-US"/>
        </w:rPr>
        <w:t>101(1)</w:t>
      </w:r>
      <w:r w:rsidRPr="00A13719">
        <w:rPr>
          <w:rFonts w:eastAsiaTheme="minorEastAsia"/>
          <w:lang w:val="en-US"/>
        </w:rPr>
        <w:t xml:space="preserve">, </w:t>
      </w:r>
      <w:r w:rsidR="00A262E9" w:rsidRPr="00A13719">
        <w:rPr>
          <w:rFonts w:eastAsiaTheme="minorEastAsia"/>
          <w:lang w:val="en-US"/>
        </w:rPr>
        <w:t>pp.</w:t>
      </w:r>
      <w:r w:rsidRPr="00A13719">
        <w:rPr>
          <w:rFonts w:eastAsiaTheme="minorEastAsia"/>
          <w:lang w:val="en-US"/>
        </w:rPr>
        <w:t>36-68.</w:t>
      </w:r>
      <w:r w:rsidR="001E09BB" w:rsidRPr="00A13719">
        <w:rPr>
          <w:rFonts w:eastAsiaTheme="minorEastAsia"/>
          <w:lang w:val="en-US"/>
        </w:rPr>
        <w:t xml:space="preserve"> </w:t>
      </w:r>
    </w:p>
    <w:p w:rsidR="002E2405" w:rsidRPr="00A13719" w:rsidRDefault="002E2405" w:rsidP="002E2405">
      <w:pPr>
        <w:rPr>
          <w:rFonts w:eastAsiaTheme="minorEastAsia"/>
          <w:lang w:val="en-US"/>
        </w:rPr>
      </w:pPr>
      <w:r w:rsidRPr="00A13719">
        <w:rPr>
          <w:rFonts w:eastAsiaTheme="minorEastAsia"/>
          <w:lang w:val="en-US"/>
        </w:rPr>
        <w:t xml:space="preserve">Bali, T., Brown, S., and Caglayan, M. (2014). Macroeconomic risk and hedge fund returns, </w:t>
      </w:r>
      <w:r w:rsidRPr="00A13719">
        <w:rPr>
          <w:rFonts w:eastAsiaTheme="minorEastAsia"/>
          <w:i/>
          <w:lang w:val="en-US"/>
        </w:rPr>
        <w:t>Journal of Financial Economics</w:t>
      </w:r>
      <w:r w:rsidR="001E09BB" w:rsidRPr="00A13719">
        <w:rPr>
          <w:rFonts w:eastAsiaTheme="minorEastAsia"/>
          <w:lang w:val="en-US"/>
        </w:rPr>
        <w:t>, 114(1), pp.1-19.</w:t>
      </w:r>
    </w:p>
    <w:p w:rsidR="00274DE4" w:rsidRPr="00A13719" w:rsidRDefault="00274DE4" w:rsidP="00274DE4">
      <w:r w:rsidRPr="00A13719">
        <w:t>Bhardwaj, G., and Dunsby, A. (2012). How Many Commodity Sectors are There, and How doThey Behave?, Working Paper, [Online]. Available at</w:t>
      </w:r>
      <w:r w:rsidR="002F0139" w:rsidRPr="00A13719">
        <w:t xml:space="preserve"> </w:t>
      </w:r>
      <w:r w:rsidRPr="00A13719">
        <w:t>http://papers.ssrn.com/sol3/papers.cfm?abstract_id=1973753 [Accessed 28 July 2015].</w:t>
      </w:r>
    </w:p>
    <w:p w:rsidR="003B72B1" w:rsidRPr="00A13719" w:rsidRDefault="003B72B1" w:rsidP="00911951">
      <w:r w:rsidRPr="00A13719">
        <w:t>Billio, M., Getmansky, M.</w:t>
      </w:r>
      <w:r w:rsidR="00D81854" w:rsidRPr="00A13719">
        <w:t xml:space="preserve"> and</w:t>
      </w:r>
      <w:r w:rsidRPr="00A13719">
        <w:t xml:space="preserve"> Pelizzon, L. (2009). Crises and Hedge Fund Risk, </w:t>
      </w:r>
      <w:r w:rsidRPr="00A13719">
        <w:rPr>
          <w:i/>
        </w:rPr>
        <w:t>Working Paper</w:t>
      </w:r>
      <w:r w:rsidRPr="00A13719">
        <w:t xml:space="preserve">, </w:t>
      </w:r>
      <w:r w:rsidR="001E5644" w:rsidRPr="00A13719">
        <w:t>[Online]</w:t>
      </w:r>
      <w:r w:rsidR="00D000A9" w:rsidRPr="00A13719">
        <w:t>.</w:t>
      </w:r>
      <w:r w:rsidR="001E5644" w:rsidRPr="00A13719">
        <w:t xml:space="preserve"> </w:t>
      </w:r>
      <w:r w:rsidR="00D000A9" w:rsidRPr="00A13719">
        <w:t>A</w:t>
      </w:r>
      <w:r w:rsidR="001E5644" w:rsidRPr="00A13719">
        <w:t xml:space="preserve">vailable at http://papers.ssrn.com/sol3/papers.cfm?abstract_id=1130742 </w:t>
      </w:r>
      <w:r w:rsidRPr="00A13719">
        <w:t>1-54</w:t>
      </w:r>
      <w:r w:rsidR="001E5644" w:rsidRPr="00A13719">
        <w:t xml:space="preserve"> [Accessed 06 July 2015]</w:t>
      </w:r>
      <w:r w:rsidRPr="00A13719">
        <w:t>.</w:t>
      </w:r>
    </w:p>
    <w:p w:rsidR="00A37EAD" w:rsidRPr="00A13719" w:rsidRDefault="00A37EAD" w:rsidP="00911951">
      <w:r w:rsidRPr="00A13719">
        <w:rPr>
          <w:lang w:val="en-US"/>
        </w:rPr>
        <w:lastRenderedPageBreak/>
        <w:t>Bil</w:t>
      </w:r>
      <w:r w:rsidR="002D2446" w:rsidRPr="00A13719">
        <w:rPr>
          <w:lang w:val="en-US"/>
        </w:rPr>
        <w:t>l</w:t>
      </w:r>
      <w:r w:rsidRPr="00A13719">
        <w:rPr>
          <w:lang w:val="en-US"/>
        </w:rPr>
        <w:t xml:space="preserve">io, </w:t>
      </w:r>
      <w:r w:rsidR="00A80927" w:rsidRPr="00A13719">
        <w:rPr>
          <w:lang w:val="en-US"/>
        </w:rPr>
        <w:t xml:space="preserve">M., </w:t>
      </w:r>
      <w:r w:rsidRPr="00A13719">
        <w:rPr>
          <w:lang w:val="en-US"/>
        </w:rPr>
        <w:t xml:space="preserve">Getmansky, </w:t>
      </w:r>
      <w:r w:rsidR="00A80927" w:rsidRPr="00A13719">
        <w:rPr>
          <w:lang w:val="en-US"/>
        </w:rPr>
        <w:t>M.</w:t>
      </w:r>
      <w:r w:rsidR="00D81854" w:rsidRPr="00A13719">
        <w:rPr>
          <w:lang w:val="en-US"/>
        </w:rPr>
        <w:t xml:space="preserve"> and</w:t>
      </w:r>
      <w:r w:rsidRPr="00A13719">
        <w:rPr>
          <w:lang w:val="en-US"/>
        </w:rPr>
        <w:t xml:space="preserve"> Pelizzon</w:t>
      </w:r>
      <w:r w:rsidR="00A80927" w:rsidRPr="00A13719">
        <w:rPr>
          <w:lang w:val="en-US"/>
        </w:rPr>
        <w:t>, L.</w:t>
      </w:r>
      <w:r w:rsidRPr="00A13719">
        <w:rPr>
          <w:lang w:val="en-US"/>
        </w:rPr>
        <w:t xml:space="preserve"> (2012). Dynamic </w:t>
      </w:r>
      <w:r w:rsidR="00D1592D" w:rsidRPr="00A13719">
        <w:rPr>
          <w:lang w:val="en-US"/>
        </w:rPr>
        <w:t>R</w:t>
      </w:r>
      <w:r w:rsidRPr="00A13719">
        <w:rPr>
          <w:lang w:val="en-US"/>
        </w:rPr>
        <w:t xml:space="preserve">isk </w:t>
      </w:r>
      <w:r w:rsidR="00D1592D" w:rsidRPr="00A13719">
        <w:rPr>
          <w:lang w:val="en-US"/>
        </w:rPr>
        <w:t>E</w:t>
      </w:r>
      <w:r w:rsidRPr="00A13719">
        <w:rPr>
          <w:lang w:val="en-US"/>
        </w:rPr>
        <w:t xml:space="preserve">xposures in </w:t>
      </w:r>
      <w:r w:rsidR="00D1592D" w:rsidRPr="00A13719">
        <w:rPr>
          <w:lang w:val="en-US"/>
        </w:rPr>
        <w:t>H</w:t>
      </w:r>
      <w:r w:rsidRPr="00A13719">
        <w:rPr>
          <w:lang w:val="en-US"/>
        </w:rPr>
        <w:t xml:space="preserve">edge </w:t>
      </w:r>
      <w:r w:rsidR="00D1592D" w:rsidRPr="00A13719">
        <w:rPr>
          <w:lang w:val="en-US"/>
        </w:rPr>
        <w:t>F</w:t>
      </w:r>
      <w:r w:rsidRPr="00A13719">
        <w:rPr>
          <w:lang w:val="en-US"/>
        </w:rPr>
        <w:t xml:space="preserve">unds, </w:t>
      </w:r>
      <w:r w:rsidRPr="00A13719">
        <w:rPr>
          <w:i/>
          <w:lang w:val="en-US"/>
        </w:rPr>
        <w:t>Computational Statistics and Data Analysis</w:t>
      </w:r>
      <w:r w:rsidR="00884243" w:rsidRPr="00A13719">
        <w:rPr>
          <w:lang w:val="en-US"/>
        </w:rPr>
        <w:t>, 56(1</w:t>
      </w:r>
      <w:r w:rsidR="00251965" w:rsidRPr="00A13719">
        <w:rPr>
          <w:lang w:val="en-US"/>
        </w:rPr>
        <w:t>1</w:t>
      </w:r>
      <w:r w:rsidR="00884243" w:rsidRPr="00A13719">
        <w:rPr>
          <w:lang w:val="en-US"/>
        </w:rPr>
        <w:t xml:space="preserve">), </w:t>
      </w:r>
      <w:r w:rsidR="00F8517B" w:rsidRPr="00A13719">
        <w:rPr>
          <w:lang w:val="en-US"/>
        </w:rPr>
        <w:t>pp.</w:t>
      </w:r>
      <w:r w:rsidR="00884243" w:rsidRPr="00A13719">
        <w:rPr>
          <w:lang w:val="en-US"/>
        </w:rPr>
        <w:t>3517-3532.</w:t>
      </w:r>
    </w:p>
    <w:p w:rsidR="009467DF" w:rsidRPr="00A13719" w:rsidRDefault="009467DF" w:rsidP="00911951">
      <w:r w:rsidRPr="00A13719">
        <w:rPr>
          <w:rFonts w:eastAsiaTheme="minorEastAsia"/>
          <w:lang w:val="en-US"/>
        </w:rPr>
        <w:t xml:space="preserve">Bollen, N. and Whaley, R. (2009). Hedge fund risk dynamics: Implications for performance appraisal, </w:t>
      </w:r>
      <w:r w:rsidRPr="00A13719">
        <w:rPr>
          <w:rFonts w:eastAsiaTheme="minorEastAsia"/>
          <w:i/>
          <w:lang w:val="en-US"/>
        </w:rPr>
        <w:t>The Journal of Finance</w:t>
      </w:r>
      <w:r w:rsidRPr="00A13719">
        <w:rPr>
          <w:rFonts w:eastAsiaTheme="minorEastAsia"/>
          <w:lang w:val="en-US"/>
        </w:rPr>
        <w:t>, 66(2), pp.985-1035.</w:t>
      </w:r>
    </w:p>
    <w:p w:rsidR="008F773A" w:rsidRPr="00A13719" w:rsidRDefault="008F773A" w:rsidP="00892E33">
      <w:pPr>
        <w:jc w:val="both"/>
        <w:rPr>
          <w:rFonts w:cs="Times New Roman"/>
          <w:szCs w:val="24"/>
        </w:rPr>
      </w:pPr>
      <w:r w:rsidRPr="00A13719">
        <w:rPr>
          <w:rFonts w:cs="Times New Roman"/>
          <w:szCs w:val="24"/>
        </w:rPr>
        <w:t xml:space="preserve">Brown, L. and Caylor, M. (2009). Corporate governance and firm operating performance, </w:t>
      </w:r>
      <w:r w:rsidRPr="00A13719">
        <w:rPr>
          <w:rFonts w:cs="Times New Roman"/>
          <w:i/>
          <w:szCs w:val="24"/>
        </w:rPr>
        <w:t>Review of Quantitative Finance and Accounting</w:t>
      </w:r>
      <w:r w:rsidRPr="00A13719">
        <w:rPr>
          <w:rFonts w:cs="Times New Roman"/>
          <w:szCs w:val="24"/>
        </w:rPr>
        <w:t xml:space="preserve">, 32(2), pp.129-144.  </w:t>
      </w:r>
    </w:p>
    <w:p w:rsidR="003B72B1" w:rsidRPr="00A13719" w:rsidRDefault="002E22F5" w:rsidP="00911951">
      <w:r w:rsidRPr="00A13719">
        <w:t xml:space="preserve">Capocci, D. (2009). The Persistence in Hedge Fund Performance: Extended Analysis, </w:t>
      </w:r>
      <w:r w:rsidRPr="00A13719">
        <w:rPr>
          <w:i/>
        </w:rPr>
        <w:t>International Journal of Finance and Economics</w:t>
      </w:r>
      <w:r w:rsidRPr="00A13719">
        <w:t>, 14</w:t>
      </w:r>
      <w:r w:rsidR="00653EEC" w:rsidRPr="00A13719">
        <w:t>(3)</w:t>
      </w:r>
      <w:r w:rsidRPr="00A13719">
        <w:t xml:space="preserve">, </w:t>
      </w:r>
      <w:r w:rsidR="00C15D12" w:rsidRPr="00A13719">
        <w:t>pp.</w:t>
      </w:r>
      <w:r w:rsidR="005A5780" w:rsidRPr="00A13719">
        <w:t>2</w:t>
      </w:r>
      <w:r w:rsidRPr="00A13719">
        <w:t>33-255</w:t>
      </w:r>
      <w:r w:rsidR="00316DB6" w:rsidRPr="00A13719">
        <w:t>.</w:t>
      </w:r>
    </w:p>
    <w:p w:rsidR="003B72B1" w:rsidRPr="00A13719" w:rsidRDefault="003B72B1" w:rsidP="00911951">
      <w:r w:rsidRPr="00A13719">
        <w:t xml:space="preserve">Capocci, D. and Hubner, G. (2004). Analysis of </w:t>
      </w:r>
      <w:r w:rsidR="00D1592D" w:rsidRPr="00A13719">
        <w:t>H</w:t>
      </w:r>
      <w:r w:rsidRPr="00A13719">
        <w:t xml:space="preserve">edge </w:t>
      </w:r>
      <w:r w:rsidR="00D1592D" w:rsidRPr="00A13719">
        <w:t>F</w:t>
      </w:r>
      <w:r w:rsidRPr="00A13719">
        <w:t xml:space="preserve">und </w:t>
      </w:r>
      <w:r w:rsidR="00D1592D" w:rsidRPr="00A13719">
        <w:t>P</w:t>
      </w:r>
      <w:r w:rsidRPr="00A13719">
        <w:t xml:space="preserve">erformance, </w:t>
      </w:r>
      <w:r w:rsidRPr="00A13719">
        <w:rPr>
          <w:i/>
        </w:rPr>
        <w:t>Journal of Empirical Finance</w:t>
      </w:r>
      <w:r w:rsidRPr="00A13719">
        <w:t>, 11</w:t>
      </w:r>
      <w:r w:rsidR="00C30C69" w:rsidRPr="00A13719">
        <w:t>(1)</w:t>
      </w:r>
      <w:r w:rsidRPr="00A13719">
        <w:t xml:space="preserve">, </w:t>
      </w:r>
      <w:r w:rsidR="00D63EF7" w:rsidRPr="00A13719">
        <w:t>pp.</w:t>
      </w:r>
      <w:r w:rsidRPr="00A13719">
        <w:t>55-89.</w:t>
      </w:r>
    </w:p>
    <w:p w:rsidR="005F3544" w:rsidRPr="00A13719" w:rsidRDefault="005F3544" w:rsidP="00911951">
      <w:r w:rsidRPr="00A13719">
        <w:t xml:space="preserve">Carhart, M. (1997). On </w:t>
      </w:r>
      <w:r w:rsidR="00D1592D" w:rsidRPr="00A13719">
        <w:t>P</w:t>
      </w:r>
      <w:r w:rsidRPr="00A13719">
        <w:t xml:space="preserve">ersistence in </w:t>
      </w:r>
      <w:r w:rsidR="00D1592D" w:rsidRPr="00A13719">
        <w:t>M</w:t>
      </w:r>
      <w:r w:rsidRPr="00A13719">
        <w:t xml:space="preserve">utual </w:t>
      </w:r>
      <w:r w:rsidR="00D1592D" w:rsidRPr="00A13719">
        <w:t>F</w:t>
      </w:r>
      <w:r w:rsidRPr="00A13719">
        <w:t xml:space="preserve">und </w:t>
      </w:r>
      <w:r w:rsidR="00D1592D" w:rsidRPr="00A13719">
        <w:t>P</w:t>
      </w:r>
      <w:r w:rsidRPr="00A13719">
        <w:t xml:space="preserve">erformance, </w:t>
      </w:r>
      <w:r w:rsidRPr="00A13719">
        <w:rPr>
          <w:i/>
        </w:rPr>
        <w:t>Journal of Finance</w:t>
      </w:r>
      <w:r w:rsidRPr="00A13719">
        <w:t>, 52</w:t>
      </w:r>
      <w:r w:rsidR="0085742C" w:rsidRPr="00A13719">
        <w:t>(1)</w:t>
      </w:r>
      <w:r w:rsidRPr="00A13719">
        <w:t xml:space="preserve">, </w:t>
      </w:r>
      <w:r w:rsidR="00466A8D" w:rsidRPr="00A13719">
        <w:t>pp.</w:t>
      </w:r>
      <w:r w:rsidRPr="00A13719">
        <w:t>57-82.</w:t>
      </w:r>
      <w:r w:rsidR="00793A30" w:rsidRPr="00A13719">
        <w:t xml:space="preserve"> </w:t>
      </w:r>
    </w:p>
    <w:p w:rsidR="007946C9" w:rsidRPr="00A13719" w:rsidRDefault="007946C9" w:rsidP="00911951">
      <w:r w:rsidRPr="00A13719">
        <w:rPr>
          <w:rFonts w:eastAsiaTheme="minorEastAsia"/>
          <w:lang w:val="en-US"/>
        </w:rPr>
        <w:t xml:space="preserve">Cashin, P., McDermott, Scott, A. (2002). Booms and slumps in world commodity prices, </w:t>
      </w:r>
      <w:r w:rsidRPr="00A13719">
        <w:rPr>
          <w:rFonts w:eastAsiaTheme="minorEastAsia"/>
          <w:i/>
          <w:lang w:val="en-US"/>
        </w:rPr>
        <w:t>Journal of Development Economics</w:t>
      </w:r>
      <w:r w:rsidR="001E09BB" w:rsidRPr="00A13719">
        <w:rPr>
          <w:rFonts w:eastAsiaTheme="minorEastAsia"/>
          <w:lang w:val="en-US"/>
        </w:rPr>
        <w:t>, 69(1), pp.277-296.</w:t>
      </w:r>
    </w:p>
    <w:p w:rsidR="00696C8A" w:rsidRPr="00A13719" w:rsidRDefault="00696C8A" w:rsidP="00911951">
      <w:pPr>
        <w:rPr>
          <w:rFonts w:eastAsiaTheme="minorEastAsia"/>
          <w:lang w:val="en-US"/>
        </w:rPr>
      </w:pPr>
      <w:r w:rsidRPr="00A13719">
        <w:rPr>
          <w:rFonts w:eastAsiaTheme="minorEastAsia"/>
          <w:lang w:val="en-US"/>
        </w:rPr>
        <w:t xml:space="preserve">Denvir, E. and Hutson, E. (2006). The performance and diversification benefits of funds of hedge funds, </w:t>
      </w:r>
      <w:r w:rsidRPr="00A13719">
        <w:rPr>
          <w:rFonts w:eastAsiaTheme="minorEastAsia"/>
          <w:i/>
          <w:lang w:val="en-US"/>
        </w:rPr>
        <w:t>Journal of International Financial Markets, Institutions and Money</w:t>
      </w:r>
      <w:r w:rsidRPr="00A13719">
        <w:rPr>
          <w:rFonts w:eastAsiaTheme="minorEastAsia"/>
          <w:lang w:val="en-US"/>
        </w:rPr>
        <w:t xml:space="preserve">, 16(1), </w:t>
      </w:r>
      <w:r w:rsidR="001304BF" w:rsidRPr="00A13719">
        <w:rPr>
          <w:rFonts w:eastAsiaTheme="minorEastAsia"/>
          <w:lang w:val="en-US"/>
        </w:rPr>
        <w:t>pp.</w:t>
      </w:r>
      <w:r w:rsidRPr="00A13719">
        <w:rPr>
          <w:rFonts w:eastAsiaTheme="minorEastAsia"/>
          <w:lang w:val="en-US"/>
        </w:rPr>
        <w:t xml:space="preserve">4-22. </w:t>
      </w:r>
    </w:p>
    <w:p w:rsidR="00BF5B6F" w:rsidRPr="00A13719" w:rsidRDefault="00BF5B6F" w:rsidP="00911951">
      <w:pPr>
        <w:rPr>
          <w:rFonts w:eastAsiaTheme="minorEastAsia"/>
          <w:lang w:val="en-US"/>
        </w:rPr>
      </w:pPr>
      <w:r w:rsidRPr="00A13719">
        <w:rPr>
          <w:rFonts w:eastAsiaTheme="minorEastAsia"/>
          <w:lang w:val="en-US"/>
        </w:rPr>
        <w:t>Dor, A.B., Dynkin, L.</w:t>
      </w:r>
      <w:r w:rsidR="00D81854" w:rsidRPr="00A13719">
        <w:rPr>
          <w:rFonts w:eastAsiaTheme="minorEastAsia"/>
          <w:lang w:val="en-US"/>
        </w:rPr>
        <w:t xml:space="preserve"> and</w:t>
      </w:r>
      <w:r w:rsidRPr="00A13719">
        <w:rPr>
          <w:rFonts w:eastAsiaTheme="minorEastAsia"/>
          <w:lang w:val="en-US"/>
        </w:rPr>
        <w:t xml:space="preserve"> Gould, T. (2006). Style Analysis and Classification of Hedge Funds, </w:t>
      </w:r>
      <w:r w:rsidRPr="00A13719">
        <w:rPr>
          <w:rFonts w:eastAsiaTheme="minorEastAsia"/>
          <w:i/>
          <w:lang w:val="en-US"/>
        </w:rPr>
        <w:t>The Journal of Alternative Investments</w:t>
      </w:r>
      <w:r w:rsidRPr="00A13719">
        <w:rPr>
          <w:rFonts w:eastAsiaTheme="minorEastAsia"/>
          <w:lang w:val="en-US"/>
        </w:rPr>
        <w:t xml:space="preserve">, </w:t>
      </w:r>
      <w:r w:rsidR="00A651AF" w:rsidRPr="00A13719">
        <w:rPr>
          <w:rFonts w:eastAsiaTheme="minorEastAsia"/>
          <w:lang w:val="en-US"/>
        </w:rPr>
        <w:t xml:space="preserve">9(2), </w:t>
      </w:r>
      <w:r w:rsidR="00D2599E" w:rsidRPr="00A13719">
        <w:rPr>
          <w:rFonts w:eastAsiaTheme="minorEastAsia"/>
          <w:lang w:val="en-US"/>
        </w:rPr>
        <w:t>pp.</w:t>
      </w:r>
      <w:r w:rsidRPr="00A13719">
        <w:rPr>
          <w:rFonts w:eastAsiaTheme="minorEastAsia"/>
          <w:lang w:val="en-US"/>
        </w:rPr>
        <w:t>10-29.</w:t>
      </w:r>
      <w:r w:rsidR="00C61110" w:rsidRPr="00A13719">
        <w:rPr>
          <w:rFonts w:eastAsiaTheme="minorEastAsia"/>
          <w:lang w:val="en-US"/>
        </w:rPr>
        <w:t xml:space="preserve"> </w:t>
      </w:r>
    </w:p>
    <w:p w:rsidR="00B2796C" w:rsidRPr="00A13719" w:rsidRDefault="00B2796C" w:rsidP="00B2796C">
      <w:r w:rsidRPr="00A13719">
        <w:t xml:space="preserve">Duarte, J, Longstaff, F., and Yu, F. (2007). Risk and return in fixed-income arbitrage: Nickels in front of steamroller?, </w:t>
      </w:r>
      <w:r w:rsidRPr="00A13719">
        <w:rPr>
          <w:i/>
        </w:rPr>
        <w:t>Review of Financial Studies</w:t>
      </w:r>
      <w:r w:rsidRPr="00A13719">
        <w:t>, 20(1), pp.770-811.</w:t>
      </w:r>
      <w:r w:rsidR="0072007B" w:rsidRPr="00A13719">
        <w:t xml:space="preserve"> </w:t>
      </w:r>
    </w:p>
    <w:p w:rsidR="002C2520" w:rsidRPr="00A13719" w:rsidRDefault="002C2520" w:rsidP="00911951">
      <w:pPr>
        <w:rPr>
          <w:lang w:val="en-US"/>
        </w:rPr>
      </w:pPr>
      <w:r w:rsidRPr="00A13719">
        <w:rPr>
          <w:lang w:val="en-US"/>
        </w:rPr>
        <w:t xml:space="preserve">Engel, C. and Hamilton, J. (1990). Long swings in the dollar: Are they in the data and do markets know it?, </w:t>
      </w:r>
      <w:r w:rsidRPr="00A13719">
        <w:rPr>
          <w:i/>
          <w:lang w:val="en-US"/>
        </w:rPr>
        <w:t>The American Economic Review</w:t>
      </w:r>
      <w:r w:rsidRPr="00A13719">
        <w:rPr>
          <w:lang w:val="en-US"/>
        </w:rPr>
        <w:t>, 80(4), pp.689-713.</w:t>
      </w:r>
    </w:p>
    <w:p w:rsidR="005F3544" w:rsidRPr="00A13719" w:rsidRDefault="005F3544" w:rsidP="00911951">
      <w:pPr>
        <w:rPr>
          <w:lang w:val="en-US"/>
        </w:rPr>
      </w:pPr>
      <w:r w:rsidRPr="00A13719">
        <w:rPr>
          <w:lang w:val="en-US"/>
        </w:rPr>
        <w:lastRenderedPageBreak/>
        <w:t xml:space="preserve">Fama, E. and French, K. (1993). Common Risk Factors in the Returns of Stocks and Bonds, </w:t>
      </w:r>
      <w:r w:rsidRPr="00A13719">
        <w:rPr>
          <w:i/>
          <w:lang w:val="en-US"/>
        </w:rPr>
        <w:t>Journal of Financial Economics</w:t>
      </w:r>
      <w:r w:rsidRPr="00A13719">
        <w:rPr>
          <w:lang w:val="en-US"/>
        </w:rPr>
        <w:t>, 33</w:t>
      </w:r>
      <w:r w:rsidR="004E1E4B" w:rsidRPr="00A13719">
        <w:rPr>
          <w:lang w:val="en-US"/>
        </w:rPr>
        <w:t>(1)</w:t>
      </w:r>
      <w:r w:rsidRPr="00A13719">
        <w:rPr>
          <w:lang w:val="en-US"/>
        </w:rPr>
        <w:t xml:space="preserve">, </w:t>
      </w:r>
      <w:r w:rsidR="00235224" w:rsidRPr="00A13719">
        <w:rPr>
          <w:lang w:val="en-US"/>
        </w:rPr>
        <w:t>pp.</w:t>
      </w:r>
      <w:r w:rsidRPr="00A13719">
        <w:rPr>
          <w:lang w:val="en-US"/>
        </w:rPr>
        <w:t>3-56.</w:t>
      </w:r>
    </w:p>
    <w:p w:rsidR="008B71CF" w:rsidRPr="00A13719" w:rsidRDefault="001B2C54" w:rsidP="00911951">
      <w:r w:rsidRPr="00A13719">
        <w:rPr>
          <w:rFonts w:eastAsiaTheme="minorEastAsia"/>
          <w:lang w:val="en-US"/>
        </w:rPr>
        <w:t>Fung, W. and Hsieh, D. (</w:t>
      </w:r>
      <w:r w:rsidR="00146CB3" w:rsidRPr="00A13719">
        <w:rPr>
          <w:rFonts w:eastAsiaTheme="minorEastAsia"/>
          <w:lang w:val="en-US"/>
        </w:rPr>
        <w:t>1997</w:t>
      </w:r>
      <w:r w:rsidRPr="00A13719">
        <w:rPr>
          <w:rFonts w:eastAsiaTheme="minorEastAsia"/>
          <w:lang w:val="en-US"/>
        </w:rPr>
        <w:t>)</w:t>
      </w:r>
      <w:r w:rsidR="00146CB3" w:rsidRPr="00A13719">
        <w:rPr>
          <w:rFonts w:eastAsiaTheme="minorEastAsia"/>
          <w:lang w:val="en-US"/>
        </w:rPr>
        <w:t xml:space="preserve">. </w:t>
      </w:r>
      <w:r w:rsidR="008B71CF" w:rsidRPr="00A13719">
        <w:t xml:space="preserve">Empirical Characteristics of Dynamic Trading Strategies: The Case of Hedge Funds, </w:t>
      </w:r>
      <w:r w:rsidR="008B71CF" w:rsidRPr="00A13719">
        <w:rPr>
          <w:i/>
        </w:rPr>
        <w:t>The Review of Financial Studies</w:t>
      </w:r>
      <w:r w:rsidR="008B71CF" w:rsidRPr="00A13719">
        <w:t xml:space="preserve">, 10(2), </w:t>
      </w:r>
      <w:r w:rsidR="000234CA" w:rsidRPr="00A13719">
        <w:t>pp.</w:t>
      </w:r>
      <w:r w:rsidR="008B71CF" w:rsidRPr="00A13719">
        <w:t>275-302.</w:t>
      </w:r>
    </w:p>
    <w:p w:rsidR="001A5771" w:rsidRPr="00A13719" w:rsidRDefault="001A5771" w:rsidP="00911951">
      <w:pPr>
        <w:rPr>
          <w:rFonts w:eastAsiaTheme="minorEastAsia"/>
          <w:lang w:val="en-US"/>
        </w:rPr>
      </w:pPr>
      <w:r w:rsidRPr="00A13719">
        <w:rPr>
          <w:rFonts w:eastAsiaTheme="minorEastAsia"/>
          <w:lang w:val="en-US"/>
        </w:rPr>
        <w:t>Fung</w:t>
      </w:r>
      <w:r w:rsidR="00840B41" w:rsidRPr="00A13719">
        <w:rPr>
          <w:rFonts w:eastAsiaTheme="minorEastAsia"/>
          <w:lang w:val="en-US"/>
        </w:rPr>
        <w:t>, W.</w:t>
      </w:r>
      <w:r w:rsidRPr="00A13719">
        <w:rPr>
          <w:rFonts w:eastAsiaTheme="minorEastAsia"/>
          <w:lang w:val="en-US"/>
        </w:rPr>
        <w:t xml:space="preserve"> and Hsieh</w:t>
      </w:r>
      <w:r w:rsidR="00840B41" w:rsidRPr="00A13719">
        <w:rPr>
          <w:rFonts w:eastAsiaTheme="minorEastAsia"/>
          <w:lang w:val="en-US"/>
        </w:rPr>
        <w:t>, D.</w:t>
      </w:r>
      <w:r w:rsidRPr="00A13719">
        <w:rPr>
          <w:rFonts w:eastAsiaTheme="minorEastAsia"/>
          <w:lang w:val="en-US"/>
        </w:rPr>
        <w:t xml:space="preserve"> (2001). </w:t>
      </w:r>
      <w:r w:rsidR="00E112F0" w:rsidRPr="00A13719">
        <w:rPr>
          <w:rFonts w:eastAsiaTheme="minorEastAsia"/>
          <w:lang w:val="en-US"/>
        </w:rPr>
        <w:t xml:space="preserve">The Risk in Hedge Fund Strategies: Theory and Evidence from Trend Followers, </w:t>
      </w:r>
      <w:r w:rsidR="00E112F0" w:rsidRPr="00A13719">
        <w:rPr>
          <w:rFonts w:eastAsiaTheme="minorEastAsia"/>
          <w:i/>
          <w:lang w:val="en-US"/>
        </w:rPr>
        <w:t>The Review of Financial Studies</w:t>
      </w:r>
      <w:r w:rsidR="00E112F0" w:rsidRPr="00A13719">
        <w:rPr>
          <w:rFonts w:eastAsiaTheme="minorEastAsia"/>
          <w:lang w:val="en-US"/>
        </w:rPr>
        <w:t xml:space="preserve">, 14(2), </w:t>
      </w:r>
      <w:r w:rsidR="00E04896" w:rsidRPr="00A13719">
        <w:rPr>
          <w:rFonts w:eastAsiaTheme="minorEastAsia"/>
          <w:lang w:val="en-US"/>
        </w:rPr>
        <w:t>pp.</w:t>
      </w:r>
      <w:r w:rsidR="00E112F0" w:rsidRPr="00A13719">
        <w:rPr>
          <w:rFonts w:eastAsiaTheme="minorEastAsia"/>
          <w:lang w:val="en-US"/>
        </w:rPr>
        <w:t>313-341.</w:t>
      </w:r>
    </w:p>
    <w:p w:rsidR="003022DD" w:rsidRPr="00A13719" w:rsidRDefault="003022DD" w:rsidP="00911951">
      <w:pPr>
        <w:rPr>
          <w:rFonts w:eastAsiaTheme="minorEastAsia"/>
          <w:lang w:val="en-US"/>
        </w:rPr>
      </w:pPr>
      <w:r w:rsidRPr="00A13719">
        <w:t xml:space="preserve">Fung , W. and Hsieh, D. (2002). Asset-Based Style Factors for Hedge Funds, </w:t>
      </w:r>
      <w:r w:rsidRPr="00A13719">
        <w:rPr>
          <w:i/>
        </w:rPr>
        <w:t>Financial Analysts Journal</w:t>
      </w:r>
      <w:r w:rsidRPr="00A13719">
        <w:t xml:space="preserve">, 58(5), </w:t>
      </w:r>
      <w:r w:rsidR="009D11E3" w:rsidRPr="00A13719">
        <w:t>pp.</w:t>
      </w:r>
      <w:r w:rsidRPr="00A13719">
        <w:t>16-27.</w:t>
      </w:r>
    </w:p>
    <w:p w:rsidR="003B72B1" w:rsidRPr="00A13719" w:rsidRDefault="003B72B1" w:rsidP="00911951">
      <w:r w:rsidRPr="00A13719">
        <w:t xml:space="preserve">Fung, W. and Hsieh, D. (2004). Hedge Fund Benchmarks: A Risk-Based Approach, </w:t>
      </w:r>
      <w:r w:rsidRPr="00A13719">
        <w:rPr>
          <w:i/>
        </w:rPr>
        <w:t>Financial Analysts Journal</w:t>
      </w:r>
      <w:r w:rsidRPr="00A13719">
        <w:t xml:space="preserve">, 60(5), </w:t>
      </w:r>
      <w:r w:rsidR="00934C0B" w:rsidRPr="00A13719">
        <w:t>pp.</w:t>
      </w:r>
      <w:r w:rsidR="001E09BB" w:rsidRPr="00A13719">
        <w:t>65-80.</w:t>
      </w:r>
    </w:p>
    <w:p w:rsidR="00E22571" w:rsidRPr="00A13719" w:rsidRDefault="00E22571" w:rsidP="00911951">
      <w:pPr>
        <w:rPr>
          <w:rFonts w:eastAsiaTheme="minorEastAsia"/>
          <w:lang w:val="en-US"/>
        </w:rPr>
      </w:pPr>
      <w:r w:rsidRPr="00A13719">
        <w:rPr>
          <w:rFonts w:eastAsiaTheme="minorEastAsia"/>
          <w:lang w:val="en-US"/>
        </w:rPr>
        <w:t>G</w:t>
      </w:r>
      <w:r w:rsidR="0007548E" w:rsidRPr="00A13719">
        <w:rPr>
          <w:rFonts w:eastAsiaTheme="minorEastAsia"/>
          <w:lang w:val="en-US"/>
        </w:rPr>
        <w:t>ia</w:t>
      </w:r>
      <w:r w:rsidRPr="00A13719">
        <w:rPr>
          <w:rFonts w:eastAsiaTheme="minorEastAsia"/>
          <w:lang w:val="en-US"/>
        </w:rPr>
        <w:t xml:space="preserve">nnikis, D., Vrontos, I. (2011). </w:t>
      </w:r>
      <w:r w:rsidR="00060E31" w:rsidRPr="00A13719">
        <w:rPr>
          <w:rFonts w:eastAsiaTheme="minorEastAsia"/>
          <w:lang w:val="en-US"/>
        </w:rPr>
        <w:t xml:space="preserve">A Bayesian </w:t>
      </w:r>
      <w:r w:rsidR="00D1592D" w:rsidRPr="00A13719">
        <w:rPr>
          <w:rFonts w:eastAsiaTheme="minorEastAsia"/>
          <w:lang w:val="en-US"/>
        </w:rPr>
        <w:t>A</w:t>
      </w:r>
      <w:r w:rsidR="00060E31" w:rsidRPr="00A13719">
        <w:rPr>
          <w:rFonts w:eastAsiaTheme="minorEastAsia"/>
          <w:lang w:val="en-US"/>
        </w:rPr>
        <w:t xml:space="preserve">pproach to </w:t>
      </w:r>
      <w:r w:rsidR="00D1592D" w:rsidRPr="00A13719">
        <w:rPr>
          <w:rFonts w:eastAsiaTheme="minorEastAsia"/>
          <w:lang w:val="en-US"/>
        </w:rPr>
        <w:t>D</w:t>
      </w:r>
      <w:r w:rsidR="00060E31" w:rsidRPr="00A13719">
        <w:rPr>
          <w:rFonts w:eastAsiaTheme="minorEastAsia"/>
          <w:lang w:val="en-US"/>
        </w:rPr>
        <w:t xml:space="preserve">etect </w:t>
      </w:r>
      <w:r w:rsidR="00D1592D" w:rsidRPr="00A13719">
        <w:rPr>
          <w:rFonts w:eastAsiaTheme="minorEastAsia"/>
          <w:lang w:val="en-US"/>
        </w:rPr>
        <w:t>N</w:t>
      </w:r>
      <w:r w:rsidR="00060E31" w:rsidRPr="00A13719">
        <w:rPr>
          <w:rFonts w:eastAsiaTheme="minorEastAsia"/>
          <w:lang w:val="en-US"/>
        </w:rPr>
        <w:t xml:space="preserve">onlinear </w:t>
      </w:r>
      <w:r w:rsidR="00D1592D" w:rsidRPr="00A13719">
        <w:rPr>
          <w:rFonts w:eastAsiaTheme="minorEastAsia"/>
          <w:lang w:val="en-US"/>
        </w:rPr>
        <w:t>R</w:t>
      </w:r>
      <w:r w:rsidR="00060E31" w:rsidRPr="00A13719">
        <w:rPr>
          <w:rFonts w:eastAsiaTheme="minorEastAsia"/>
          <w:lang w:val="en-US"/>
        </w:rPr>
        <w:t xml:space="preserve">isk </w:t>
      </w:r>
      <w:r w:rsidR="00D1592D" w:rsidRPr="00A13719">
        <w:rPr>
          <w:rFonts w:eastAsiaTheme="minorEastAsia"/>
          <w:lang w:val="en-US"/>
        </w:rPr>
        <w:t>E</w:t>
      </w:r>
      <w:r w:rsidR="00060E31" w:rsidRPr="00A13719">
        <w:rPr>
          <w:rFonts w:eastAsiaTheme="minorEastAsia"/>
          <w:lang w:val="en-US"/>
        </w:rPr>
        <w:t xml:space="preserve">xposures in </w:t>
      </w:r>
      <w:r w:rsidR="00D1592D" w:rsidRPr="00A13719">
        <w:rPr>
          <w:rFonts w:eastAsiaTheme="minorEastAsia"/>
          <w:lang w:val="en-US"/>
        </w:rPr>
        <w:t>H</w:t>
      </w:r>
      <w:r w:rsidR="00060E31" w:rsidRPr="00A13719">
        <w:rPr>
          <w:rFonts w:eastAsiaTheme="minorEastAsia"/>
          <w:lang w:val="en-US"/>
        </w:rPr>
        <w:t xml:space="preserve">edge </w:t>
      </w:r>
      <w:r w:rsidR="00D1592D" w:rsidRPr="00A13719">
        <w:rPr>
          <w:rFonts w:eastAsiaTheme="minorEastAsia"/>
          <w:lang w:val="en-US"/>
        </w:rPr>
        <w:t>F</w:t>
      </w:r>
      <w:r w:rsidR="00060E31" w:rsidRPr="00A13719">
        <w:rPr>
          <w:rFonts w:eastAsiaTheme="minorEastAsia"/>
          <w:lang w:val="en-US"/>
        </w:rPr>
        <w:t xml:space="preserve">und </w:t>
      </w:r>
      <w:r w:rsidR="00D1592D" w:rsidRPr="00A13719">
        <w:rPr>
          <w:rFonts w:eastAsiaTheme="minorEastAsia"/>
          <w:lang w:val="en-US"/>
        </w:rPr>
        <w:t>S</w:t>
      </w:r>
      <w:r w:rsidR="00060E31" w:rsidRPr="00A13719">
        <w:rPr>
          <w:rFonts w:eastAsiaTheme="minorEastAsia"/>
          <w:lang w:val="en-US"/>
        </w:rPr>
        <w:t xml:space="preserve">trategies, </w:t>
      </w:r>
      <w:r w:rsidR="00060E31" w:rsidRPr="00A13719">
        <w:rPr>
          <w:rFonts w:eastAsiaTheme="minorEastAsia"/>
          <w:i/>
          <w:lang w:val="en-US"/>
        </w:rPr>
        <w:t>Journal of Banking and Finance</w:t>
      </w:r>
      <w:r w:rsidR="00060E31" w:rsidRPr="00A13719">
        <w:rPr>
          <w:rFonts w:eastAsiaTheme="minorEastAsia"/>
          <w:lang w:val="en-US"/>
        </w:rPr>
        <w:t xml:space="preserve">, 35(6), </w:t>
      </w:r>
      <w:r w:rsidR="003F153F" w:rsidRPr="00A13719">
        <w:rPr>
          <w:rFonts w:eastAsiaTheme="minorEastAsia"/>
          <w:lang w:val="en-US"/>
        </w:rPr>
        <w:t>pp.</w:t>
      </w:r>
      <w:r w:rsidR="001E09BB" w:rsidRPr="00A13719">
        <w:rPr>
          <w:rFonts w:eastAsiaTheme="minorEastAsia"/>
          <w:lang w:val="en-US"/>
        </w:rPr>
        <w:t>1399-1414.</w:t>
      </w:r>
    </w:p>
    <w:p w:rsidR="00D23E4D" w:rsidRPr="00A13719" w:rsidRDefault="00D23E4D" w:rsidP="00911951">
      <w:pPr>
        <w:rPr>
          <w:rFonts w:eastAsiaTheme="minorEastAsia"/>
          <w:lang w:val="en-US"/>
        </w:rPr>
      </w:pPr>
      <w:r w:rsidRPr="00A13719">
        <w:rPr>
          <w:lang w:val="en-US"/>
        </w:rPr>
        <w:t xml:space="preserve">Gleich, B, Achzet, B, Mayer, H. and Rathgeber, A. (2013). </w:t>
      </w:r>
      <w:r w:rsidR="00DD5086" w:rsidRPr="00A13719">
        <w:rPr>
          <w:lang w:val="en-US"/>
        </w:rPr>
        <w:t xml:space="preserve">An empirical approach to determine specific weights of driving factors of the price of commodities – A contribution to the measurement of the economic scarcity of minerals and metals, </w:t>
      </w:r>
      <w:r w:rsidR="00DD5086" w:rsidRPr="00A13719">
        <w:rPr>
          <w:i/>
          <w:lang w:val="en-US"/>
        </w:rPr>
        <w:t>Resources Policy</w:t>
      </w:r>
      <w:r w:rsidR="00DD5086" w:rsidRPr="00A13719">
        <w:rPr>
          <w:lang w:val="en-US"/>
        </w:rPr>
        <w:t>, 38(3), pp.350-362.</w:t>
      </w:r>
    </w:p>
    <w:p w:rsidR="004E3592" w:rsidRPr="00A13719" w:rsidRDefault="004E3592" w:rsidP="00911951">
      <w:pPr>
        <w:rPr>
          <w:rFonts w:eastAsiaTheme="minorEastAsia"/>
          <w:lang w:val="en-US"/>
        </w:rPr>
      </w:pPr>
      <w:r w:rsidRPr="00A13719">
        <w:rPr>
          <w:rFonts w:eastAsiaTheme="minorEastAsia"/>
          <w:lang w:val="en-US"/>
        </w:rPr>
        <w:t xml:space="preserve">Hamilton, J.D. (1989). A New Approach to the Economic Analysis of Nonstationary Time Series and the Business Cycle, </w:t>
      </w:r>
      <w:r w:rsidRPr="00A13719">
        <w:rPr>
          <w:rFonts w:eastAsiaTheme="minorEastAsia"/>
          <w:i/>
          <w:lang w:val="en-US"/>
        </w:rPr>
        <w:t>Econometrica</w:t>
      </w:r>
      <w:r w:rsidRPr="00A13719">
        <w:rPr>
          <w:rFonts w:eastAsiaTheme="minorEastAsia"/>
          <w:lang w:val="en-US"/>
        </w:rPr>
        <w:t xml:space="preserve">, 57(2), </w:t>
      </w:r>
      <w:r w:rsidR="0059335F" w:rsidRPr="00A13719">
        <w:rPr>
          <w:rFonts w:eastAsiaTheme="minorEastAsia"/>
          <w:lang w:val="en-US"/>
        </w:rPr>
        <w:t>pp.</w:t>
      </w:r>
      <w:r w:rsidRPr="00A13719">
        <w:rPr>
          <w:rFonts w:eastAsiaTheme="minorEastAsia"/>
          <w:lang w:val="en-US"/>
        </w:rPr>
        <w:t>357-384.</w:t>
      </w:r>
    </w:p>
    <w:p w:rsidR="00696C8A" w:rsidRPr="00A13719" w:rsidRDefault="00696C8A" w:rsidP="00696C8A">
      <w:pPr>
        <w:rPr>
          <w:rFonts w:eastAsiaTheme="minorEastAsia"/>
          <w:lang w:val="en-US"/>
        </w:rPr>
      </w:pPr>
      <w:r w:rsidRPr="00A13719">
        <w:rPr>
          <w:rFonts w:eastAsiaTheme="minorEastAsia"/>
          <w:lang w:val="en-US"/>
        </w:rPr>
        <w:t xml:space="preserve">Harris, R.D.F., </w:t>
      </w:r>
      <w:r w:rsidR="001304BF" w:rsidRPr="00A13719">
        <w:rPr>
          <w:rFonts w:eastAsiaTheme="minorEastAsia"/>
          <w:lang w:val="en-US"/>
        </w:rPr>
        <w:t>and</w:t>
      </w:r>
      <w:r w:rsidRPr="00A13719">
        <w:rPr>
          <w:rFonts w:eastAsiaTheme="minorEastAsia"/>
          <w:lang w:val="en-US"/>
        </w:rPr>
        <w:t xml:space="preserve"> Mazibas, M. (2010). Dynamic hedge fund portfolio construction</w:t>
      </w:r>
      <w:r w:rsidRPr="00A13719">
        <w:rPr>
          <w:rFonts w:eastAsiaTheme="minorEastAsia"/>
          <w:i/>
          <w:lang w:val="en-US"/>
        </w:rPr>
        <w:t>, International Review of Financial Analysis</w:t>
      </w:r>
      <w:r w:rsidRPr="00A13719">
        <w:rPr>
          <w:rFonts w:eastAsiaTheme="minorEastAsia"/>
          <w:lang w:val="en-US"/>
        </w:rPr>
        <w:t>, 19</w:t>
      </w:r>
      <w:r w:rsidR="001304BF" w:rsidRPr="00A13719">
        <w:rPr>
          <w:rFonts w:eastAsiaTheme="minorEastAsia"/>
          <w:lang w:val="en-US"/>
        </w:rPr>
        <w:t>(1)</w:t>
      </w:r>
      <w:r w:rsidRPr="00A13719">
        <w:rPr>
          <w:rFonts w:eastAsiaTheme="minorEastAsia"/>
          <w:lang w:val="en-US"/>
        </w:rPr>
        <w:t xml:space="preserve">, </w:t>
      </w:r>
      <w:r w:rsidR="001304BF" w:rsidRPr="00A13719">
        <w:rPr>
          <w:rFonts w:eastAsiaTheme="minorEastAsia"/>
          <w:lang w:val="en-US"/>
        </w:rPr>
        <w:t>pp.</w:t>
      </w:r>
      <w:r w:rsidRPr="00A13719">
        <w:rPr>
          <w:rFonts w:eastAsiaTheme="minorEastAsia"/>
          <w:lang w:val="en-US"/>
        </w:rPr>
        <w:t>351–357.</w:t>
      </w:r>
    </w:p>
    <w:p w:rsidR="00B715BC" w:rsidRPr="00A13719" w:rsidRDefault="00B715BC" w:rsidP="00911951">
      <w:r w:rsidRPr="00A13719">
        <w:t>Hentati-Kaf</w:t>
      </w:r>
      <w:r w:rsidR="00494B1E" w:rsidRPr="00A13719">
        <w:t>fel</w:t>
      </w:r>
      <w:r w:rsidRPr="00A13719">
        <w:t xml:space="preserve">, R. and Peretti, P. (2015). Generalized Runs to Detect Randomness in Hedge Funds Returns, </w:t>
      </w:r>
      <w:r w:rsidRPr="00A13719">
        <w:rPr>
          <w:i/>
        </w:rPr>
        <w:t>Journal of banking and Finance</w:t>
      </w:r>
      <w:r w:rsidRPr="00A13719">
        <w:t>, 50(1), pp.608-615.</w:t>
      </w:r>
    </w:p>
    <w:p w:rsidR="004E62E8" w:rsidRPr="00A13719" w:rsidRDefault="00052F05" w:rsidP="00911951">
      <w:pPr>
        <w:rPr>
          <w:lang w:val="en-US"/>
        </w:rPr>
      </w:pPr>
      <w:r w:rsidRPr="00A13719">
        <w:rPr>
          <w:lang w:val="en-US"/>
        </w:rPr>
        <w:t>Ibbotson, R., Chen, P.</w:t>
      </w:r>
      <w:r w:rsidR="00D81854" w:rsidRPr="00A13719">
        <w:rPr>
          <w:lang w:val="en-US"/>
        </w:rPr>
        <w:t xml:space="preserve"> and</w:t>
      </w:r>
      <w:r w:rsidR="004E62E8" w:rsidRPr="00A13719">
        <w:rPr>
          <w:lang w:val="en-US"/>
        </w:rPr>
        <w:t xml:space="preserve"> Zhu, K. (2011). The ABC of Hedge Funds: Alphas, Betas</w:t>
      </w:r>
      <w:r w:rsidR="00D81854" w:rsidRPr="00A13719">
        <w:rPr>
          <w:lang w:val="en-US"/>
        </w:rPr>
        <w:t xml:space="preserve"> and</w:t>
      </w:r>
      <w:r w:rsidR="004E62E8" w:rsidRPr="00A13719">
        <w:rPr>
          <w:lang w:val="en-US"/>
        </w:rPr>
        <w:t xml:space="preserve"> Costs, </w:t>
      </w:r>
      <w:r w:rsidR="004E62E8" w:rsidRPr="00A13719">
        <w:rPr>
          <w:i/>
          <w:lang w:val="en-US"/>
        </w:rPr>
        <w:t>Financial Analysts Journal</w:t>
      </w:r>
      <w:r w:rsidR="004E62E8" w:rsidRPr="00A13719">
        <w:rPr>
          <w:lang w:val="en-US"/>
        </w:rPr>
        <w:t xml:space="preserve">, 67(1), </w:t>
      </w:r>
      <w:r w:rsidR="00E04E3D" w:rsidRPr="00A13719">
        <w:rPr>
          <w:lang w:val="en-US"/>
        </w:rPr>
        <w:t>pp.</w:t>
      </w:r>
      <w:r w:rsidR="004E62E8" w:rsidRPr="00A13719">
        <w:rPr>
          <w:lang w:val="en-US"/>
        </w:rPr>
        <w:t>15-25.</w:t>
      </w:r>
      <w:r w:rsidR="00743030" w:rsidRPr="00A13719">
        <w:rPr>
          <w:lang w:val="en-US"/>
        </w:rPr>
        <w:t xml:space="preserve"> </w:t>
      </w:r>
    </w:p>
    <w:p w:rsidR="00D96E11" w:rsidRPr="00A13719" w:rsidRDefault="00D96E11" w:rsidP="00911951">
      <w:pPr>
        <w:rPr>
          <w:lang w:val="en-US"/>
        </w:rPr>
      </w:pPr>
      <w:r w:rsidRPr="00A13719">
        <w:rPr>
          <w:rFonts w:eastAsiaTheme="minorEastAsia"/>
          <w:lang w:val="en-US"/>
        </w:rPr>
        <w:lastRenderedPageBreak/>
        <w:t>Jawadi, F.</w:t>
      </w:r>
      <w:r w:rsidR="00D81854" w:rsidRPr="00A13719">
        <w:rPr>
          <w:rFonts w:eastAsiaTheme="minorEastAsia"/>
          <w:lang w:val="en-US"/>
        </w:rPr>
        <w:t xml:space="preserve"> and</w:t>
      </w:r>
      <w:r w:rsidRPr="00A13719">
        <w:rPr>
          <w:rFonts w:eastAsiaTheme="minorEastAsia"/>
          <w:lang w:val="en-US"/>
        </w:rPr>
        <w:t xml:space="preserve"> Khanniche, S. (2012). </w:t>
      </w:r>
      <w:r w:rsidR="005771C9" w:rsidRPr="00A13719">
        <w:rPr>
          <w:rFonts w:eastAsiaTheme="minorEastAsia"/>
          <w:lang w:val="en-US"/>
        </w:rPr>
        <w:t xml:space="preserve">Modeling </w:t>
      </w:r>
      <w:r w:rsidR="00D1592D" w:rsidRPr="00A13719">
        <w:rPr>
          <w:rFonts w:eastAsiaTheme="minorEastAsia"/>
          <w:lang w:val="en-US"/>
        </w:rPr>
        <w:t>H</w:t>
      </w:r>
      <w:r w:rsidR="005771C9" w:rsidRPr="00A13719">
        <w:rPr>
          <w:rFonts w:eastAsiaTheme="minorEastAsia"/>
          <w:lang w:val="en-US"/>
        </w:rPr>
        <w:t xml:space="preserve">edge </w:t>
      </w:r>
      <w:r w:rsidR="00D1592D" w:rsidRPr="00A13719">
        <w:rPr>
          <w:rFonts w:eastAsiaTheme="minorEastAsia"/>
          <w:lang w:val="en-US"/>
        </w:rPr>
        <w:t>F</w:t>
      </w:r>
      <w:r w:rsidR="005771C9" w:rsidRPr="00A13719">
        <w:rPr>
          <w:rFonts w:eastAsiaTheme="minorEastAsia"/>
          <w:lang w:val="en-US"/>
        </w:rPr>
        <w:t xml:space="preserve">und </w:t>
      </w:r>
      <w:r w:rsidR="00D1592D" w:rsidRPr="00A13719">
        <w:rPr>
          <w:rFonts w:eastAsiaTheme="minorEastAsia"/>
          <w:lang w:val="en-US"/>
        </w:rPr>
        <w:t>E</w:t>
      </w:r>
      <w:r w:rsidR="005771C9" w:rsidRPr="00A13719">
        <w:rPr>
          <w:rFonts w:eastAsiaTheme="minorEastAsia"/>
          <w:lang w:val="en-US"/>
        </w:rPr>
        <w:t xml:space="preserve">xposure to </w:t>
      </w:r>
      <w:r w:rsidR="00D1592D" w:rsidRPr="00A13719">
        <w:rPr>
          <w:rFonts w:eastAsiaTheme="minorEastAsia"/>
          <w:lang w:val="en-US"/>
        </w:rPr>
        <w:t>R</w:t>
      </w:r>
      <w:r w:rsidR="005771C9" w:rsidRPr="00A13719">
        <w:rPr>
          <w:rFonts w:eastAsiaTheme="minorEastAsia"/>
          <w:lang w:val="en-US"/>
        </w:rPr>
        <w:t xml:space="preserve">isk </w:t>
      </w:r>
      <w:r w:rsidR="00D1592D" w:rsidRPr="00A13719">
        <w:rPr>
          <w:rFonts w:eastAsiaTheme="minorEastAsia"/>
          <w:lang w:val="en-US"/>
        </w:rPr>
        <w:t>F</w:t>
      </w:r>
      <w:r w:rsidR="005771C9" w:rsidRPr="00A13719">
        <w:rPr>
          <w:rFonts w:eastAsiaTheme="minorEastAsia"/>
          <w:lang w:val="en-US"/>
        </w:rPr>
        <w:t xml:space="preserve">actors, </w:t>
      </w:r>
      <w:r w:rsidR="005771C9" w:rsidRPr="00A13719">
        <w:rPr>
          <w:rFonts w:eastAsiaTheme="minorEastAsia"/>
          <w:i/>
          <w:lang w:val="en-US"/>
        </w:rPr>
        <w:t xml:space="preserve">Economic Modelling, </w:t>
      </w:r>
      <w:r w:rsidR="005771C9" w:rsidRPr="00A13719">
        <w:rPr>
          <w:rFonts w:eastAsiaTheme="minorEastAsia"/>
          <w:lang w:val="en-US"/>
        </w:rPr>
        <w:t>29</w:t>
      </w:r>
      <w:r w:rsidR="00D60CFD" w:rsidRPr="00A13719">
        <w:rPr>
          <w:rFonts w:eastAsiaTheme="minorEastAsia"/>
          <w:lang w:val="en-US"/>
        </w:rPr>
        <w:t xml:space="preserve"> </w:t>
      </w:r>
      <w:r w:rsidR="005771C9" w:rsidRPr="00A13719">
        <w:rPr>
          <w:rFonts w:eastAsiaTheme="minorEastAsia"/>
          <w:lang w:val="en-US"/>
        </w:rPr>
        <w:t xml:space="preserve">(4), </w:t>
      </w:r>
      <w:r w:rsidR="00995329" w:rsidRPr="00A13719">
        <w:rPr>
          <w:rFonts w:eastAsiaTheme="minorEastAsia"/>
          <w:lang w:val="en-US"/>
        </w:rPr>
        <w:t>pp.</w:t>
      </w:r>
      <w:r w:rsidR="005771C9" w:rsidRPr="00A13719">
        <w:rPr>
          <w:rFonts w:eastAsiaTheme="minorEastAsia"/>
          <w:lang w:val="en-US"/>
        </w:rPr>
        <w:t>1003-1018.</w:t>
      </w:r>
    </w:p>
    <w:p w:rsidR="00D60CFD" w:rsidRPr="00A13719" w:rsidRDefault="00D60CFD" w:rsidP="00911951">
      <w:r w:rsidRPr="00A13719">
        <w:t>Jensen, M</w:t>
      </w:r>
      <w:r w:rsidR="00D1592D" w:rsidRPr="00A13719">
        <w:t xml:space="preserve">. </w:t>
      </w:r>
      <w:r w:rsidRPr="00A13719">
        <w:t xml:space="preserve">C. (1968). </w:t>
      </w:r>
      <w:r w:rsidRPr="00A13719">
        <w:rPr>
          <w:rFonts w:eastAsiaTheme="minorEastAsia"/>
          <w:lang w:val="en-US"/>
        </w:rPr>
        <w:t xml:space="preserve">The </w:t>
      </w:r>
      <w:r w:rsidR="00D1592D" w:rsidRPr="00A13719">
        <w:rPr>
          <w:rFonts w:eastAsiaTheme="minorEastAsia"/>
          <w:lang w:val="en-US"/>
        </w:rPr>
        <w:t>P</w:t>
      </w:r>
      <w:r w:rsidRPr="00A13719">
        <w:rPr>
          <w:rFonts w:eastAsiaTheme="minorEastAsia"/>
          <w:lang w:val="en-US"/>
        </w:rPr>
        <w:t xml:space="preserve">erformance of </w:t>
      </w:r>
      <w:r w:rsidR="00D1592D" w:rsidRPr="00A13719">
        <w:rPr>
          <w:rFonts w:eastAsiaTheme="minorEastAsia"/>
          <w:lang w:val="en-US"/>
        </w:rPr>
        <w:t>M</w:t>
      </w:r>
      <w:r w:rsidRPr="00A13719">
        <w:rPr>
          <w:rFonts w:eastAsiaTheme="minorEastAsia"/>
          <w:lang w:val="en-US"/>
        </w:rPr>
        <w:t xml:space="preserve">utual </w:t>
      </w:r>
      <w:r w:rsidR="00D1592D" w:rsidRPr="00A13719">
        <w:rPr>
          <w:rFonts w:eastAsiaTheme="minorEastAsia"/>
          <w:lang w:val="en-US"/>
        </w:rPr>
        <w:t>F</w:t>
      </w:r>
      <w:r w:rsidRPr="00A13719">
        <w:rPr>
          <w:rFonts w:eastAsiaTheme="minorEastAsia"/>
          <w:lang w:val="en-US"/>
        </w:rPr>
        <w:t xml:space="preserve">unds in the </w:t>
      </w:r>
      <w:r w:rsidR="00D1592D" w:rsidRPr="00A13719">
        <w:rPr>
          <w:rFonts w:eastAsiaTheme="minorEastAsia"/>
          <w:lang w:val="en-US"/>
        </w:rPr>
        <w:t>P</w:t>
      </w:r>
      <w:r w:rsidRPr="00A13719">
        <w:rPr>
          <w:rFonts w:eastAsiaTheme="minorEastAsia"/>
          <w:lang w:val="en-US"/>
        </w:rPr>
        <w:t xml:space="preserve">eriod 1945-1964, </w:t>
      </w:r>
      <w:r w:rsidRPr="00A13719">
        <w:rPr>
          <w:rFonts w:eastAsiaTheme="minorEastAsia"/>
          <w:i/>
          <w:lang w:val="en-US"/>
        </w:rPr>
        <w:t>The Journal of Finance,</w:t>
      </w:r>
      <w:r w:rsidRPr="00A13719">
        <w:rPr>
          <w:rFonts w:eastAsiaTheme="minorEastAsia"/>
          <w:lang w:val="en-US"/>
        </w:rPr>
        <w:t xml:space="preserve"> 23(2), </w:t>
      </w:r>
      <w:r w:rsidR="00F518BA" w:rsidRPr="00A13719">
        <w:rPr>
          <w:rFonts w:eastAsiaTheme="minorEastAsia"/>
          <w:lang w:val="en-US"/>
        </w:rPr>
        <w:t>pp.</w:t>
      </w:r>
      <w:r w:rsidR="001E09BB" w:rsidRPr="00A13719">
        <w:rPr>
          <w:rFonts w:eastAsiaTheme="minorEastAsia"/>
          <w:lang w:val="en-US"/>
        </w:rPr>
        <w:t>389-416.</w:t>
      </w:r>
    </w:p>
    <w:p w:rsidR="004E47C6" w:rsidRPr="00A13719" w:rsidRDefault="004E47C6" w:rsidP="00911951">
      <w:r w:rsidRPr="00A13719">
        <w:t>Joenv</w:t>
      </w:r>
      <w:r w:rsidR="00957D07" w:rsidRPr="00A13719">
        <w:t>a</w:t>
      </w:r>
      <w:r w:rsidRPr="00A13719">
        <w:t xml:space="preserve">ara, </w:t>
      </w:r>
      <w:r w:rsidR="00AF6DD0" w:rsidRPr="00A13719">
        <w:t xml:space="preserve">J., </w:t>
      </w:r>
      <w:r w:rsidRPr="00A13719">
        <w:t>Kosowski</w:t>
      </w:r>
      <w:r w:rsidR="00AF6DD0" w:rsidRPr="00A13719">
        <w:t>, R.,</w:t>
      </w:r>
      <w:r w:rsidR="00D81854" w:rsidRPr="00A13719">
        <w:t xml:space="preserve"> and</w:t>
      </w:r>
      <w:r w:rsidRPr="00A13719">
        <w:t xml:space="preserve"> Tolonen</w:t>
      </w:r>
      <w:r w:rsidR="00AF6DD0" w:rsidRPr="00A13719">
        <w:t>, P.</w:t>
      </w:r>
      <w:r w:rsidRPr="00A13719">
        <w:t xml:space="preserve"> (2012). </w:t>
      </w:r>
      <w:r w:rsidR="00957D07" w:rsidRPr="00A13719">
        <w:t>Revisiting “</w:t>
      </w:r>
      <w:r w:rsidR="00D1592D" w:rsidRPr="00A13719">
        <w:t>S</w:t>
      </w:r>
      <w:r w:rsidR="00957D07" w:rsidRPr="00A13719">
        <w:t xml:space="preserve">tylized </w:t>
      </w:r>
      <w:r w:rsidR="00D1592D" w:rsidRPr="00A13719">
        <w:t>F</w:t>
      </w:r>
      <w:r w:rsidR="00957D07" w:rsidRPr="00A13719">
        <w:t xml:space="preserve">acts” </w:t>
      </w:r>
      <w:r w:rsidR="0055704E" w:rsidRPr="00A13719">
        <w:t>A</w:t>
      </w:r>
      <w:r w:rsidR="00957D07" w:rsidRPr="00A13719">
        <w:t xml:space="preserve">bout </w:t>
      </w:r>
      <w:r w:rsidR="00D1592D" w:rsidRPr="00A13719">
        <w:t>H</w:t>
      </w:r>
      <w:r w:rsidR="00957D07" w:rsidRPr="00A13719">
        <w:t xml:space="preserve">edge </w:t>
      </w:r>
      <w:r w:rsidR="00D1592D" w:rsidRPr="00A13719">
        <w:t>F</w:t>
      </w:r>
      <w:r w:rsidR="00957D07" w:rsidRPr="00A13719">
        <w:t xml:space="preserve">unds, </w:t>
      </w:r>
      <w:r w:rsidR="00957D07" w:rsidRPr="00A13719">
        <w:rPr>
          <w:i/>
        </w:rPr>
        <w:t>Working Paper</w:t>
      </w:r>
      <w:r w:rsidR="00957D07" w:rsidRPr="00A13719">
        <w:t xml:space="preserve">, </w:t>
      </w:r>
      <w:r w:rsidR="00614430" w:rsidRPr="00A13719">
        <w:t>Centre for Hedge Fund Research, Risk Management Laboratory, Imperial College Business School. [Online]. Available at https://workspace.imperial.ac.uk/business-school/Public/RiskLab/wp</w:t>
      </w:r>
      <w:r w:rsidR="001E09BB" w:rsidRPr="00A13719">
        <w:t>10.pdf [Accessed 01 July 2015].</w:t>
      </w:r>
    </w:p>
    <w:p w:rsidR="00B6265B" w:rsidRPr="00A13719" w:rsidRDefault="00B6265B" w:rsidP="00911951">
      <w:r w:rsidRPr="00A13719">
        <w:rPr>
          <w:rFonts w:eastAsiaTheme="minorEastAsia"/>
          <w:lang w:val="en-US"/>
        </w:rPr>
        <w:t>Meligkotsidou, L.</w:t>
      </w:r>
      <w:r w:rsidR="00D81854" w:rsidRPr="00A13719">
        <w:rPr>
          <w:rFonts w:eastAsiaTheme="minorEastAsia"/>
          <w:lang w:val="en-US"/>
        </w:rPr>
        <w:t xml:space="preserve"> and</w:t>
      </w:r>
      <w:r w:rsidRPr="00A13719">
        <w:rPr>
          <w:rFonts w:eastAsiaTheme="minorEastAsia"/>
          <w:lang w:val="en-US"/>
        </w:rPr>
        <w:t xml:space="preserve"> Vrontos, I. (2014). Detecting </w:t>
      </w:r>
      <w:r w:rsidR="00D1592D" w:rsidRPr="00A13719">
        <w:rPr>
          <w:rFonts w:eastAsiaTheme="minorEastAsia"/>
          <w:lang w:val="en-US"/>
        </w:rPr>
        <w:t>S</w:t>
      </w:r>
      <w:r w:rsidRPr="00A13719">
        <w:rPr>
          <w:rFonts w:eastAsiaTheme="minorEastAsia"/>
          <w:lang w:val="en-US"/>
        </w:rPr>
        <w:t xml:space="preserve">tructural </w:t>
      </w:r>
      <w:r w:rsidR="00D1592D" w:rsidRPr="00A13719">
        <w:rPr>
          <w:rFonts w:eastAsiaTheme="minorEastAsia"/>
          <w:lang w:val="en-US"/>
        </w:rPr>
        <w:t>B</w:t>
      </w:r>
      <w:r w:rsidRPr="00A13719">
        <w:rPr>
          <w:rFonts w:eastAsiaTheme="minorEastAsia"/>
          <w:lang w:val="en-US"/>
        </w:rPr>
        <w:t xml:space="preserve">reaks in </w:t>
      </w:r>
      <w:r w:rsidR="00D1592D" w:rsidRPr="00A13719">
        <w:rPr>
          <w:rFonts w:eastAsiaTheme="minorEastAsia"/>
          <w:lang w:val="en-US"/>
        </w:rPr>
        <w:t>M</w:t>
      </w:r>
      <w:r w:rsidRPr="00A13719">
        <w:rPr>
          <w:rFonts w:eastAsiaTheme="minorEastAsia"/>
          <w:lang w:val="en-US"/>
        </w:rPr>
        <w:t xml:space="preserve">ultivariate </w:t>
      </w:r>
      <w:r w:rsidR="00D1592D" w:rsidRPr="00A13719">
        <w:rPr>
          <w:rFonts w:eastAsiaTheme="minorEastAsia"/>
          <w:lang w:val="en-US"/>
        </w:rPr>
        <w:t>F</w:t>
      </w:r>
      <w:r w:rsidRPr="00A13719">
        <w:rPr>
          <w:rFonts w:eastAsiaTheme="minorEastAsia"/>
          <w:lang w:val="en-US"/>
        </w:rPr>
        <w:t xml:space="preserve">inancial </w:t>
      </w:r>
      <w:r w:rsidR="00D1592D" w:rsidRPr="00A13719">
        <w:rPr>
          <w:rFonts w:eastAsiaTheme="minorEastAsia"/>
          <w:lang w:val="en-US"/>
        </w:rPr>
        <w:t>T</w:t>
      </w:r>
      <w:r w:rsidRPr="00A13719">
        <w:rPr>
          <w:rFonts w:eastAsiaTheme="minorEastAsia"/>
          <w:lang w:val="en-US"/>
        </w:rPr>
        <w:t xml:space="preserve">ime </w:t>
      </w:r>
      <w:r w:rsidR="00D1592D" w:rsidRPr="00A13719">
        <w:rPr>
          <w:rFonts w:eastAsiaTheme="minorEastAsia"/>
          <w:lang w:val="en-US"/>
        </w:rPr>
        <w:t>S</w:t>
      </w:r>
      <w:r w:rsidRPr="00A13719">
        <w:rPr>
          <w:rFonts w:eastAsiaTheme="minorEastAsia"/>
          <w:lang w:val="en-US"/>
        </w:rPr>
        <w:t xml:space="preserve">eries: </w:t>
      </w:r>
      <w:r w:rsidR="00D1592D" w:rsidRPr="00A13719">
        <w:rPr>
          <w:rFonts w:eastAsiaTheme="minorEastAsia"/>
          <w:lang w:val="en-US"/>
        </w:rPr>
        <w:t>E</w:t>
      </w:r>
      <w:r w:rsidRPr="00A13719">
        <w:rPr>
          <w:rFonts w:eastAsiaTheme="minorEastAsia"/>
          <w:lang w:val="en-US"/>
        </w:rPr>
        <w:t xml:space="preserve">vidence from </w:t>
      </w:r>
      <w:r w:rsidR="00D1592D" w:rsidRPr="00A13719">
        <w:rPr>
          <w:rFonts w:eastAsiaTheme="minorEastAsia"/>
          <w:lang w:val="en-US"/>
        </w:rPr>
        <w:t>H</w:t>
      </w:r>
      <w:r w:rsidRPr="00A13719">
        <w:rPr>
          <w:rFonts w:eastAsiaTheme="minorEastAsia"/>
          <w:lang w:val="en-US"/>
        </w:rPr>
        <w:t xml:space="preserve">edge </w:t>
      </w:r>
      <w:r w:rsidR="00D1592D" w:rsidRPr="00A13719">
        <w:rPr>
          <w:rFonts w:eastAsiaTheme="minorEastAsia"/>
          <w:lang w:val="en-US"/>
        </w:rPr>
        <w:t>F</w:t>
      </w:r>
      <w:r w:rsidRPr="00A13719">
        <w:rPr>
          <w:rFonts w:eastAsiaTheme="minorEastAsia"/>
          <w:lang w:val="en-US"/>
        </w:rPr>
        <w:t xml:space="preserve">und </w:t>
      </w:r>
      <w:r w:rsidR="00D1592D" w:rsidRPr="00A13719">
        <w:rPr>
          <w:rFonts w:eastAsiaTheme="minorEastAsia"/>
          <w:lang w:val="en-US"/>
        </w:rPr>
        <w:t>I</w:t>
      </w:r>
      <w:r w:rsidRPr="00A13719">
        <w:rPr>
          <w:rFonts w:eastAsiaTheme="minorEastAsia"/>
          <w:lang w:val="en-US"/>
        </w:rPr>
        <w:t xml:space="preserve">nvestment </w:t>
      </w:r>
      <w:r w:rsidR="00D1592D" w:rsidRPr="00A13719">
        <w:rPr>
          <w:rFonts w:eastAsiaTheme="minorEastAsia"/>
          <w:lang w:val="en-US"/>
        </w:rPr>
        <w:t>S</w:t>
      </w:r>
      <w:r w:rsidRPr="00A13719">
        <w:rPr>
          <w:rFonts w:eastAsiaTheme="minorEastAsia"/>
          <w:lang w:val="en-US"/>
        </w:rPr>
        <w:t xml:space="preserve">trategies, </w:t>
      </w:r>
      <w:r w:rsidRPr="00A13719">
        <w:rPr>
          <w:rFonts w:eastAsiaTheme="minorEastAsia"/>
          <w:i/>
          <w:lang w:val="en-US"/>
        </w:rPr>
        <w:t>Journal of Statistical Computation and Simulation</w:t>
      </w:r>
      <w:r w:rsidRPr="00A13719">
        <w:rPr>
          <w:rFonts w:eastAsiaTheme="minorEastAsia"/>
          <w:lang w:val="en-US"/>
        </w:rPr>
        <w:t xml:space="preserve">, 84(5), </w:t>
      </w:r>
      <w:r w:rsidR="00221517" w:rsidRPr="00A13719">
        <w:rPr>
          <w:rFonts w:eastAsiaTheme="minorEastAsia"/>
          <w:lang w:val="en-US"/>
        </w:rPr>
        <w:t>pp.</w:t>
      </w:r>
      <w:r w:rsidRPr="00A13719">
        <w:rPr>
          <w:rFonts w:eastAsiaTheme="minorEastAsia"/>
          <w:lang w:val="en-US"/>
        </w:rPr>
        <w:t>1115-1135.</w:t>
      </w:r>
    </w:p>
    <w:p w:rsidR="002F605C" w:rsidRPr="00A13719" w:rsidRDefault="002F605C" w:rsidP="00911951">
      <w:pPr>
        <w:rPr>
          <w:rFonts w:eastAsiaTheme="minorEastAsia"/>
        </w:rPr>
      </w:pPr>
      <w:r w:rsidRPr="00A13719">
        <w:t xml:space="preserve">O’Doherty, M., Savin, N.E., and Tiwari, A. (2015). Evaluating hedge funds with pooled benchmarks, </w:t>
      </w:r>
      <w:r w:rsidRPr="00A13719">
        <w:rPr>
          <w:i/>
        </w:rPr>
        <w:t>Management Science</w:t>
      </w:r>
      <w:r w:rsidRPr="00A13719">
        <w:t>, (Articles in Advance), pp.1-21.</w:t>
      </w:r>
    </w:p>
    <w:p w:rsidR="004E62E8" w:rsidRPr="00A13719" w:rsidRDefault="004E62E8" w:rsidP="00911951">
      <w:r w:rsidRPr="00A13719">
        <w:t>Patton, A.</w:t>
      </w:r>
      <w:r w:rsidR="00D81854" w:rsidRPr="00A13719">
        <w:t xml:space="preserve"> and</w:t>
      </w:r>
      <w:r w:rsidRPr="00A13719">
        <w:t xml:space="preserve"> Ramadorai, T. (2013). On the High-Frequency Dynamics of </w:t>
      </w:r>
      <w:r w:rsidR="0055704E" w:rsidRPr="00A13719">
        <w:t>H</w:t>
      </w:r>
      <w:r w:rsidRPr="00A13719">
        <w:t xml:space="preserve">edge Fund Risk Exposures, </w:t>
      </w:r>
      <w:r w:rsidRPr="00A13719">
        <w:rPr>
          <w:i/>
        </w:rPr>
        <w:t>The Journal of Finance</w:t>
      </w:r>
      <w:r w:rsidRPr="00A13719">
        <w:t>, (</w:t>
      </w:r>
      <w:r w:rsidR="001A1BDF" w:rsidRPr="00A13719">
        <w:t>68</w:t>
      </w:r>
      <w:r w:rsidRPr="00A13719">
        <w:t xml:space="preserve">)2, </w:t>
      </w:r>
      <w:r w:rsidR="000F7D86" w:rsidRPr="00A13719">
        <w:t>pp.</w:t>
      </w:r>
      <w:r w:rsidRPr="00A13719">
        <w:t>597-635.</w:t>
      </w:r>
    </w:p>
    <w:p w:rsidR="002400B0" w:rsidRPr="00A13719" w:rsidRDefault="007C09E6" w:rsidP="002400B0">
      <w:r w:rsidRPr="00A13719">
        <w:t>Preqin</w:t>
      </w:r>
      <w:r w:rsidR="002400B0" w:rsidRPr="00A13719">
        <w:t xml:space="preserve"> Corporation</w:t>
      </w:r>
      <w:r w:rsidRPr="00A13719">
        <w:t xml:space="preserve"> (201</w:t>
      </w:r>
      <w:r w:rsidR="00751718" w:rsidRPr="00A13719">
        <w:t>6</w:t>
      </w:r>
      <w:r w:rsidRPr="00A13719">
        <w:t xml:space="preserve">). </w:t>
      </w:r>
      <w:r w:rsidR="002400B0" w:rsidRPr="00A13719">
        <w:t xml:space="preserve">Global Hedge Fund Report. [Online]. Available at </w:t>
      </w:r>
      <w:r w:rsidR="00751718" w:rsidRPr="00A13719">
        <w:t>https://www.preqin.com/docs/samples/2016-Preqin-Global-Hedge-Fund-Report-Sample-Pages.pdf</w:t>
      </w:r>
      <w:r w:rsidR="002400B0" w:rsidRPr="00A13719">
        <w:t xml:space="preserve"> [Accessed </w:t>
      </w:r>
      <w:r w:rsidR="007109A6" w:rsidRPr="00A13719">
        <w:t>24</w:t>
      </w:r>
      <w:r w:rsidR="002400B0" w:rsidRPr="00A13719">
        <w:t>/</w:t>
      </w:r>
      <w:r w:rsidR="00C30828" w:rsidRPr="00A13719">
        <w:t>01</w:t>
      </w:r>
      <w:r w:rsidR="002400B0" w:rsidRPr="00A13719">
        <w:t>/201</w:t>
      </w:r>
      <w:r w:rsidR="00C30828" w:rsidRPr="00A13719">
        <w:t>7</w:t>
      </w:r>
      <w:r w:rsidR="002400B0" w:rsidRPr="00A13719">
        <w:t>].</w:t>
      </w:r>
    </w:p>
    <w:p w:rsidR="00D87BCE" w:rsidRPr="00A13719" w:rsidRDefault="00D87BCE" w:rsidP="00911951">
      <w:pPr>
        <w:rPr>
          <w:rFonts w:eastAsiaTheme="minorEastAsia"/>
          <w:lang w:val="en-US"/>
        </w:rPr>
      </w:pPr>
      <w:r w:rsidRPr="00A13719">
        <w:rPr>
          <w:rFonts w:eastAsiaTheme="minorEastAsia"/>
          <w:lang w:val="en-US"/>
        </w:rPr>
        <w:t xml:space="preserve">Racicot, F.E. and Theoret, R. (2016). Macroeconomic shocks, forward-looking dynamics, and the behaviour of hedge funds, </w:t>
      </w:r>
      <w:r w:rsidRPr="00A13719">
        <w:rPr>
          <w:rFonts w:eastAsiaTheme="minorEastAsia"/>
          <w:i/>
          <w:lang w:val="en-US"/>
        </w:rPr>
        <w:t>Journal of Banking and Finance</w:t>
      </w:r>
      <w:r w:rsidRPr="00A13719">
        <w:rPr>
          <w:rFonts w:eastAsiaTheme="minorEastAsia"/>
          <w:lang w:val="en-US"/>
        </w:rPr>
        <w:t>, 62(1), pp.41-61.</w:t>
      </w:r>
    </w:p>
    <w:p w:rsidR="00A41D39" w:rsidRPr="00A13719" w:rsidRDefault="00D94863" w:rsidP="00911951">
      <w:r w:rsidRPr="00A13719">
        <w:t xml:space="preserve">Ramadorai, T. (2012). The Secondary Market for Hedge Funds and the Closed Hedge Fund Premium, </w:t>
      </w:r>
      <w:r w:rsidRPr="00A13719">
        <w:rPr>
          <w:i/>
        </w:rPr>
        <w:t>The Journal of Finance</w:t>
      </w:r>
      <w:r w:rsidRPr="00A13719">
        <w:t xml:space="preserve">, </w:t>
      </w:r>
      <w:r w:rsidR="00B719A6" w:rsidRPr="00A13719">
        <w:t>67</w:t>
      </w:r>
      <w:r w:rsidRPr="00A13719">
        <w:t xml:space="preserve">(2), </w:t>
      </w:r>
      <w:r w:rsidR="002D4C37" w:rsidRPr="00A13719">
        <w:t>pp.</w:t>
      </w:r>
      <w:r w:rsidRPr="00A13719">
        <w:t>479-512.</w:t>
      </w:r>
    </w:p>
    <w:p w:rsidR="00F850A2" w:rsidRPr="00A13719" w:rsidRDefault="00F850A2" w:rsidP="00911951">
      <w:pPr>
        <w:rPr>
          <w:lang w:val="en-US"/>
        </w:rPr>
      </w:pPr>
      <w:r w:rsidRPr="00A13719">
        <w:rPr>
          <w:lang w:val="en-US"/>
        </w:rPr>
        <w:t xml:space="preserve">Ross, S. (1976). The Arbitrage Theory of Capital </w:t>
      </w:r>
      <w:r w:rsidR="00D1592D" w:rsidRPr="00A13719">
        <w:rPr>
          <w:lang w:val="en-US"/>
        </w:rPr>
        <w:t>A</w:t>
      </w:r>
      <w:r w:rsidRPr="00A13719">
        <w:rPr>
          <w:lang w:val="en-US"/>
        </w:rPr>
        <w:t xml:space="preserve">sset Pricing, </w:t>
      </w:r>
      <w:r w:rsidRPr="00A13719">
        <w:rPr>
          <w:i/>
          <w:lang w:val="en-US"/>
        </w:rPr>
        <w:t>Journal of Economic Perspective</w:t>
      </w:r>
      <w:r w:rsidR="00D1592D" w:rsidRPr="00A13719">
        <w:rPr>
          <w:i/>
          <w:lang w:val="en-US"/>
        </w:rPr>
        <w:t>s</w:t>
      </w:r>
      <w:r w:rsidRPr="00A13719">
        <w:rPr>
          <w:lang w:val="en-US"/>
        </w:rPr>
        <w:t>, 13</w:t>
      </w:r>
      <w:r w:rsidR="000F0C43" w:rsidRPr="00A13719">
        <w:rPr>
          <w:lang w:val="en-US"/>
        </w:rPr>
        <w:t>(3)</w:t>
      </w:r>
      <w:r w:rsidRPr="00A13719">
        <w:rPr>
          <w:lang w:val="en-US"/>
        </w:rPr>
        <w:t xml:space="preserve">, </w:t>
      </w:r>
      <w:r w:rsidR="002D4C37" w:rsidRPr="00A13719">
        <w:rPr>
          <w:lang w:val="en-US"/>
        </w:rPr>
        <w:t>pp.</w:t>
      </w:r>
      <w:r w:rsidRPr="00A13719">
        <w:rPr>
          <w:lang w:val="en-US"/>
        </w:rPr>
        <w:t>341-360.</w:t>
      </w:r>
    </w:p>
    <w:p w:rsidR="00EC4504" w:rsidRPr="00A13719" w:rsidRDefault="00EC4504" w:rsidP="00911951">
      <w:pPr>
        <w:rPr>
          <w:lang w:val="en-US"/>
        </w:rPr>
      </w:pPr>
      <w:r w:rsidRPr="00A13719">
        <w:rPr>
          <w:lang w:val="en-US"/>
        </w:rPr>
        <w:lastRenderedPageBreak/>
        <w:t>Sharpe, W</w:t>
      </w:r>
      <w:r w:rsidR="003415F0" w:rsidRPr="00A13719">
        <w:rPr>
          <w:lang w:val="en-US"/>
        </w:rPr>
        <w:t>.</w:t>
      </w:r>
      <w:r w:rsidRPr="00A13719">
        <w:rPr>
          <w:lang w:val="en-US"/>
        </w:rPr>
        <w:t xml:space="preserve"> (1964). Capital Asset Prices: A Theory of Market Equilibrium </w:t>
      </w:r>
      <w:r w:rsidR="0055704E" w:rsidRPr="00A13719">
        <w:rPr>
          <w:lang w:val="en-US"/>
        </w:rPr>
        <w:t>U</w:t>
      </w:r>
      <w:r w:rsidRPr="00A13719">
        <w:rPr>
          <w:lang w:val="en-US"/>
        </w:rPr>
        <w:t xml:space="preserve">nder </w:t>
      </w:r>
      <w:r w:rsidR="0055704E" w:rsidRPr="00A13719">
        <w:rPr>
          <w:lang w:val="en-US"/>
        </w:rPr>
        <w:t>C</w:t>
      </w:r>
      <w:r w:rsidRPr="00A13719">
        <w:rPr>
          <w:lang w:val="en-US"/>
        </w:rPr>
        <w:t xml:space="preserve">onditions of </w:t>
      </w:r>
      <w:r w:rsidR="0055704E" w:rsidRPr="00A13719">
        <w:rPr>
          <w:lang w:val="en-US"/>
        </w:rPr>
        <w:t>R</w:t>
      </w:r>
      <w:r w:rsidRPr="00A13719">
        <w:rPr>
          <w:lang w:val="en-US"/>
        </w:rPr>
        <w:t xml:space="preserve">isk, </w:t>
      </w:r>
      <w:r w:rsidRPr="00A13719">
        <w:rPr>
          <w:i/>
          <w:lang w:val="en-US"/>
        </w:rPr>
        <w:t xml:space="preserve">Journal of Finance, </w:t>
      </w:r>
      <w:r w:rsidR="001E4914" w:rsidRPr="00A13719">
        <w:rPr>
          <w:lang w:val="en-US"/>
        </w:rPr>
        <w:t>19</w:t>
      </w:r>
      <w:r w:rsidRPr="00A13719">
        <w:rPr>
          <w:lang w:val="en-US"/>
        </w:rPr>
        <w:t xml:space="preserve">(3), </w:t>
      </w:r>
      <w:r w:rsidR="001919FA" w:rsidRPr="00A13719">
        <w:rPr>
          <w:lang w:val="en-US"/>
        </w:rPr>
        <w:t>pp.</w:t>
      </w:r>
      <w:r w:rsidRPr="00A13719">
        <w:rPr>
          <w:lang w:val="en-US"/>
        </w:rPr>
        <w:t>425-442.</w:t>
      </w:r>
    </w:p>
    <w:p w:rsidR="00B040B4" w:rsidRPr="00A13719" w:rsidRDefault="000C17B4" w:rsidP="00911951">
      <w:r w:rsidRPr="00A13719">
        <w:t xml:space="preserve">Sharpe, W. (1992). Asset Allocation: Management Style and Performance Measurement, </w:t>
      </w:r>
      <w:r w:rsidRPr="00A13719">
        <w:rPr>
          <w:i/>
        </w:rPr>
        <w:t>The Journal of Portfolio Management</w:t>
      </w:r>
      <w:r w:rsidR="003415F0" w:rsidRPr="00A13719">
        <w:t xml:space="preserve">, </w:t>
      </w:r>
      <w:r w:rsidR="001309D9" w:rsidRPr="00A13719">
        <w:t>18(2), pp.</w:t>
      </w:r>
      <w:r w:rsidRPr="00A13719">
        <w:t>7-19.</w:t>
      </w:r>
    </w:p>
    <w:sectPr w:rsidR="00B040B4" w:rsidRPr="00A13719" w:rsidSect="003135B3">
      <w:pgSz w:w="11906" w:h="16838"/>
      <w:pgMar w:top="1440" w:right="1304" w:bottom="1440" w:left="130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351" w:rsidRDefault="003C6351" w:rsidP="00B0003D">
      <w:pPr>
        <w:spacing w:after="0" w:line="240" w:lineRule="auto"/>
      </w:pPr>
      <w:r>
        <w:separator/>
      </w:r>
    </w:p>
  </w:endnote>
  <w:endnote w:type="continuationSeparator" w:id="0">
    <w:p w:rsidR="003C6351" w:rsidRDefault="003C6351" w:rsidP="00B0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747019"/>
      <w:docPartObj>
        <w:docPartGallery w:val="Page Numbers (Bottom of Page)"/>
        <w:docPartUnique/>
      </w:docPartObj>
    </w:sdtPr>
    <w:sdtEndPr>
      <w:rPr>
        <w:noProof/>
      </w:rPr>
    </w:sdtEndPr>
    <w:sdtContent>
      <w:p w:rsidR="000C6D4F" w:rsidRDefault="000C6D4F">
        <w:pPr>
          <w:pStyle w:val="Footer"/>
          <w:jc w:val="right"/>
        </w:pPr>
        <w:r>
          <w:fldChar w:fldCharType="begin"/>
        </w:r>
        <w:r>
          <w:instrText xml:space="preserve"> PAGE   \* MERGEFORMAT </w:instrText>
        </w:r>
        <w:r>
          <w:fldChar w:fldCharType="separate"/>
        </w:r>
        <w:r w:rsidR="00C419BD">
          <w:rPr>
            <w:noProof/>
          </w:rPr>
          <w:t>43</w:t>
        </w:r>
        <w:r>
          <w:rPr>
            <w:noProof/>
          </w:rPr>
          <w:fldChar w:fldCharType="end"/>
        </w:r>
      </w:p>
    </w:sdtContent>
  </w:sdt>
  <w:p w:rsidR="000C6D4F" w:rsidRDefault="000C6D4F" w:rsidP="00B0003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038887"/>
      <w:docPartObj>
        <w:docPartGallery w:val="Page Numbers (Bottom of Page)"/>
        <w:docPartUnique/>
      </w:docPartObj>
    </w:sdtPr>
    <w:sdtEndPr>
      <w:rPr>
        <w:noProof/>
      </w:rPr>
    </w:sdtEndPr>
    <w:sdtContent>
      <w:p w:rsidR="000C6D4F" w:rsidRDefault="000C6D4F">
        <w:pPr>
          <w:pStyle w:val="Footer"/>
          <w:jc w:val="right"/>
        </w:pPr>
        <w:r>
          <w:fldChar w:fldCharType="begin"/>
        </w:r>
        <w:r>
          <w:instrText xml:space="preserve"> PAGE   \* MERGEFORMAT </w:instrText>
        </w:r>
        <w:r>
          <w:fldChar w:fldCharType="separate"/>
        </w:r>
        <w:r w:rsidR="00C419BD">
          <w:rPr>
            <w:noProof/>
          </w:rPr>
          <w:t>29</w:t>
        </w:r>
        <w:r>
          <w:rPr>
            <w:noProof/>
          </w:rPr>
          <w:fldChar w:fldCharType="end"/>
        </w:r>
      </w:p>
    </w:sdtContent>
  </w:sdt>
  <w:p w:rsidR="000C6D4F" w:rsidRDefault="000C6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351" w:rsidRDefault="003C6351" w:rsidP="00B0003D">
      <w:pPr>
        <w:spacing w:after="0" w:line="240" w:lineRule="auto"/>
      </w:pPr>
      <w:r>
        <w:separator/>
      </w:r>
    </w:p>
  </w:footnote>
  <w:footnote w:type="continuationSeparator" w:id="0">
    <w:p w:rsidR="003C6351" w:rsidRDefault="003C6351" w:rsidP="00B0003D">
      <w:pPr>
        <w:spacing w:after="0" w:line="240" w:lineRule="auto"/>
      </w:pPr>
      <w:r>
        <w:continuationSeparator/>
      </w:r>
    </w:p>
  </w:footnote>
  <w:footnote w:id="1">
    <w:p w:rsidR="000C6D4F" w:rsidRPr="00277416" w:rsidRDefault="000C6D4F">
      <w:pPr>
        <w:pStyle w:val="FootnoteText"/>
        <w:rPr>
          <w:color w:val="0070C0"/>
        </w:rPr>
      </w:pPr>
      <w:r w:rsidRPr="003A05B4">
        <w:rPr>
          <w:rStyle w:val="FootnoteReference"/>
        </w:rPr>
        <w:footnoteRef/>
      </w:r>
      <w:r w:rsidRPr="003A05B4">
        <w:t xml:space="preserve"> Aston Business School, Aston University, Birmingham, B4 7ET, England.</w:t>
      </w:r>
    </w:p>
  </w:footnote>
  <w:footnote w:id="2">
    <w:p w:rsidR="000C6D4F" w:rsidRDefault="000C6D4F" w:rsidP="003D234B">
      <w:pPr>
        <w:pStyle w:val="FootnoteText"/>
      </w:pPr>
      <w:r>
        <w:rPr>
          <w:rStyle w:val="FootnoteReference"/>
        </w:rPr>
        <w:footnoteRef/>
      </w:r>
      <w:r>
        <w:t xml:space="preserve"> The York Management School, University of York, Freboys Lane, Heslington, York YO10 5GD, England. Tel. +44 1904 325001. Email keith.anderson@york.ac.uk</w:t>
      </w:r>
    </w:p>
  </w:footnote>
  <w:footnote w:id="3">
    <w:p w:rsidR="000C6D4F" w:rsidRDefault="000C6D4F" w:rsidP="003D234B">
      <w:pPr>
        <w:pStyle w:val="FootnoteText"/>
      </w:pPr>
      <w:r>
        <w:rPr>
          <w:rStyle w:val="FootnoteReference"/>
        </w:rPr>
        <w:footnoteRef/>
      </w:r>
      <w:r>
        <w:t xml:space="preserve"> Leeds University Business School, Maurice Keyworth Building, University of Leeds, Moorland Road, Leeds LS6 1AN, England.</w:t>
      </w:r>
    </w:p>
  </w:footnote>
  <w:footnote w:id="4">
    <w:p w:rsidR="000C6D4F" w:rsidRPr="00C419BD" w:rsidRDefault="000C6D4F" w:rsidP="00140BB9">
      <w:pPr>
        <w:pStyle w:val="FootnoteText"/>
        <w:jc w:val="both"/>
      </w:pPr>
      <w:bookmarkStart w:id="2" w:name="_GoBack"/>
      <w:r w:rsidRPr="00C419BD">
        <w:rPr>
          <w:rStyle w:val="FootnoteReference"/>
        </w:rPr>
        <w:footnoteRef/>
      </w:r>
      <w:r w:rsidRPr="00C419BD">
        <w:t xml:space="preserve"> In other words, a recession refers to a decline in economic activity and is related mostly to </w:t>
      </w:r>
      <w:r w:rsidRPr="00C419BD">
        <w:rPr>
          <w:i/>
        </w:rPr>
        <w:t>real assets</w:t>
      </w:r>
      <w:r w:rsidRPr="00C419BD">
        <w:t xml:space="preserve">. On the other hand, a down market refers to periods where there is a significant downturn in returns with high market volatility, and is related mostly to </w:t>
      </w:r>
      <w:r w:rsidRPr="00C419BD">
        <w:rPr>
          <w:i/>
        </w:rPr>
        <w:t>financial assets</w:t>
      </w:r>
      <w:r w:rsidRPr="00C419BD">
        <w:t>. We implicitly assume that down regimes which are related mostly to financial assets have a more direct and severe impact on HFs’ performance (in alphas and exposures) than recessions. Our results in section 4.3 confirm this. The binary classification of business cycles or regimes focus on these two most important elements. In this study, we examine the different implications of these two phenomena on HFs’ performance (see also section 4.3). This paper does not study the business cycle itself, n</w:t>
      </w:r>
      <w:r w:rsidR="00A13719" w:rsidRPr="00C419BD">
        <w:t>o</w:t>
      </w:r>
      <w:r w:rsidRPr="00C419BD">
        <w:t xml:space="preserve">r does it examine different states of business cycles as this is beyond its scope. </w:t>
      </w:r>
      <w:r w:rsidR="00A13719" w:rsidRPr="00C419BD">
        <w:t>W</w:t>
      </w:r>
      <w:r w:rsidRPr="00C419BD">
        <w:t xml:space="preserve">e use </w:t>
      </w:r>
      <w:r w:rsidR="00F67F5B" w:rsidRPr="00C419BD">
        <w:t>similar</w:t>
      </w:r>
      <w:r w:rsidRPr="00C419BD">
        <w:t xml:space="preserve"> terminology </w:t>
      </w:r>
      <w:r w:rsidR="00A13719" w:rsidRPr="00C419BD">
        <w:t>as</w:t>
      </w:r>
      <w:r w:rsidRPr="00C419BD">
        <w:t xml:space="preserve"> NBER.</w:t>
      </w:r>
    </w:p>
    <w:bookmarkEnd w:id="2"/>
  </w:footnote>
  <w:footnote w:id="5">
    <w:p w:rsidR="000C6D4F" w:rsidRDefault="000C6D4F" w:rsidP="00542EA5">
      <w:pPr>
        <w:pStyle w:val="FootnoteText"/>
        <w:jc w:val="both"/>
      </w:pPr>
      <w:r>
        <w:rPr>
          <w:rStyle w:val="FootnoteReference"/>
        </w:rPr>
        <w:footnoteRef/>
      </w:r>
      <w:r>
        <w:t xml:space="preserve"> </w:t>
      </w:r>
      <w:r w:rsidRPr="00E6616D">
        <w:t>A lookback straddle is a combination of</w:t>
      </w:r>
      <w:r>
        <w:t xml:space="preserve"> a lookback call plus a lookback put. Both options are traded in Over-The-Counter markets. These respectively grant the holder the right but not the obligation to buy (sell) an asset at the lowest (highest) price identified during the lifetime of the option.</w:t>
      </w:r>
    </w:p>
  </w:footnote>
  <w:footnote w:id="6">
    <w:p w:rsidR="000C6D4F" w:rsidRPr="006607A5" w:rsidRDefault="000C6D4F" w:rsidP="00B2130A">
      <w:pPr>
        <w:pStyle w:val="FootnoteText"/>
        <w:jc w:val="both"/>
      </w:pPr>
      <w:r>
        <w:rPr>
          <w:rStyle w:val="FootnoteReference"/>
        </w:rPr>
        <w:footnoteRef/>
      </w:r>
      <w:r>
        <w:t xml:space="preserve"> </w:t>
      </w:r>
      <w:r w:rsidRPr="006607A5">
        <w:rPr>
          <w:rFonts w:cs="Times New Roman"/>
        </w:rPr>
        <w:t>This custom model is not a typical non-linear model (e.g. non-linear in parameters).</w:t>
      </w:r>
      <w:r w:rsidRPr="006607A5">
        <w:t xml:space="preserve"> It is rather a piecewise model using a stepwise regression, explained later in this section. However the definition of a linear model is not an easy task because the term linear can be interpreted in different ways (e.g. in terms of parameters, independent variables, or structural changes).</w:t>
      </w:r>
    </w:p>
  </w:footnote>
  <w:footnote w:id="7">
    <w:p w:rsidR="000C6D4F" w:rsidRPr="003A05B4" w:rsidRDefault="000C6D4F" w:rsidP="00374881">
      <w:pPr>
        <w:pStyle w:val="FootnoteText"/>
        <w:jc w:val="both"/>
      </w:pPr>
      <w:r>
        <w:rPr>
          <w:rStyle w:val="FootnoteReference"/>
        </w:rPr>
        <w:footnoteRef/>
      </w:r>
      <w:r>
        <w:t xml:space="preserve"> </w:t>
      </w:r>
      <w:r w:rsidRPr="009F2D7F">
        <w:t xml:space="preserve">These business cycles </w:t>
      </w:r>
      <w:r w:rsidRPr="009F2D7F">
        <w:rPr>
          <w:rFonts w:eastAsiaTheme="minorEastAsia"/>
        </w:rPr>
        <w:t>are officially denoted by the National Bureau of Economic Research (NBER) and the Economic Cycle Research Institute (ECRI).</w:t>
      </w:r>
      <w:r>
        <w:rPr>
          <w:rFonts w:eastAsiaTheme="minorEastAsia"/>
        </w:rPr>
        <w:t xml:space="preserve"> The expansion periods are: </w:t>
      </w:r>
      <w:r w:rsidRPr="00E15CD2">
        <w:rPr>
          <w:rFonts w:eastAsiaTheme="minorEastAsia"/>
        </w:rPr>
        <w:t>01/1990-07/1990, 04/1991-03/2001, 12/2001-12/2007 and 07/2009-03/2014</w:t>
      </w:r>
      <w:r>
        <w:rPr>
          <w:rFonts w:eastAsiaTheme="minorEastAsia"/>
        </w:rPr>
        <w:t xml:space="preserve">, and the recession periods are: </w:t>
      </w:r>
      <w:r w:rsidRPr="00E15CD2">
        <w:rPr>
          <w:rFonts w:eastAsiaTheme="minorEastAsia"/>
        </w:rPr>
        <w:t>08/1990-03/1991, 04/</w:t>
      </w:r>
      <w:r>
        <w:rPr>
          <w:rFonts w:eastAsiaTheme="minorEastAsia"/>
        </w:rPr>
        <w:t>2001</w:t>
      </w:r>
      <w:r w:rsidRPr="00E15CD2">
        <w:rPr>
          <w:rFonts w:eastAsiaTheme="minorEastAsia"/>
        </w:rPr>
        <w:t>-</w:t>
      </w:r>
      <w:r>
        <w:rPr>
          <w:rFonts w:eastAsiaTheme="minorEastAsia"/>
        </w:rPr>
        <w:t>11</w:t>
      </w:r>
      <w:r w:rsidRPr="00E15CD2">
        <w:rPr>
          <w:rFonts w:eastAsiaTheme="minorEastAsia"/>
        </w:rPr>
        <w:t xml:space="preserve">/2001, </w:t>
      </w:r>
      <w:r>
        <w:rPr>
          <w:rFonts w:eastAsiaTheme="minorEastAsia"/>
        </w:rPr>
        <w:t xml:space="preserve">and 01/2008-06/2009. </w:t>
      </w:r>
      <w:r w:rsidRPr="003A05B4">
        <w:rPr>
          <w:rFonts w:eastAsiaTheme="minorEastAsia"/>
        </w:rPr>
        <w:t xml:space="preserve">We note that the prediction of </w:t>
      </w:r>
      <w:r w:rsidRPr="00C30828">
        <w:rPr>
          <w:rFonts w:eastAsiaTheme="minorEastAsia"/>
        </w:rPr>
        <w:t xml:space="preserve">business cycles or different market conditions is out of the scope </w:t>
      </w:r>
      <w:r w:rsidRPr="00E879D1">
        <w:rPr>
          <w:rFonts w:eastAsiaTheme="minorEastAsia"/>
        </w:rPr>
        <w:t xml:space="preserve">of this paper. </w:t>
      </w:r>
      <w:r w:rsidRPr="00E879D1">
        <w:t xml:space="preserve">Our HF data are from 01/1990 to 03/2014, without biases (as explained in section 3.2). In our robustness tests at the end of section 4.3, we excluded pre-1994 data for verification purposes. </w:t>
      </w:r>
    </w:p>
  </w:footnote>
  <w:footnote w:id="8">
    <w:p w:rsidR="000C6D4F" w:rsidRDefault="000C6D4F" w:rsidP="00EC4838">
      <w:pPr>
        <w:pStyle w:val="FootnoteText"/>
        <w:jc w:val="both"/>
      </w:pPr>
      <w:r>
        <w:rPr>
          <w:rStyle w:val="FootnoteReference"/>
        </w:rPr>
        <w:footnoteRef/>
      </w:r>
      <w:r>
        <w:t xml:space="preserve"> The time period under examination is divided to up regimes </w:t>
      </w:r>
      <w:r w:rsidRPr="0008074C">
        <w:rPr>
          <w:rFonts w:cs="Times New Roman"/>
        </w:rPr>
        <w:t>(01/1990-06/1990, 11/1990-10/2000, 10/2002-05/2008, 03/2009-03/2014) and down regimes (07/1990-10/1990, 11/2000-09/2002, 06/2008-02/2009)</w:t>
      </w:r>
      <w:r>
        <w:rPr>
          <w:rFonts w:cs="Times New Roman"/>
        </w:rPr>
        <w:t>.</w:t>
      </w:r>
      <w:r>
        <w:t xml:space="preserve"> </w:t>
      </w:r>
    </w:p>
  </w:footnote>
  <w:footnote w:id="9">
    <w:p w:rsidR="000C6D4F" w:rsidRDefault="000C6D4F" w:rsidP="00374881">
      <w:pPr>
        <w:pStyle w:val="FootnoteText"/>
        <w:jc w:val="both"/>
      </w:pPr>
      <w:r>
        <w:rPr>
          <w:rStyle w:val="FootnoteReference"/>
        </w:rPr>
        <w:footnoteRef/>
      </w:r>
      <w:r>
        <w:t xml:space="preserve"> </w:t>
      </w:r>
      <w:r w:rsidRPr="000A6FAA">
        <w:rPr>
          <w:lang w:val="en-US"/>
        </w:rPr>
        <w:t xml:space="preserve">Unfortunately, there is no universal classification scheme </w:t>
      </w:r>
      <w:r>
        <w:rPr>
          <w:lang w:val="en-US"/>
        </w:rPr>
        <w:t>for HF</w:t>
      </w:r>
      <w:r w:rsidRPr="000A6FAA">
        <w:rPr>
          <w:lang w:val="en-US"/>
        </w:rPr>
        <w:t>s</w:t>
      </w:r>
      <w:r>
        <w:rPr>
          <w:lang w:val="en-US"/>
        </w:rPr>
        <w:t>’ strategies</w:t>
      </w:r>
      <w:r w:rsidRPr="000A6FAA">
        <w:rPr>
          <w:lang w:val="en-US"/>
        </w:rPr>
        <w:t xml:space="preserve">. Although fund managers may change their investment style over time, they are legally obliged to proceed according to the </w:t>
      </w:r>
      <w:r w:rsidRPr="000A6FAA">
        <w:rPr>
          <w:i/>
          <w:lang w:val="en-US"/>
        </w:rPr>
        <w:t>offering memorandum</w:t>
      </w:r>
      <w:r w:rsidRPr="000A6FAA">
        <w:rPr>
          <w:lang w:val="en-US"/>
        </w:rPr>
        <w:t xml:space="preserve"> (used for private placements</w:t>
      </w:r>
      <w:r>
        <w:rPr>
          <w:lang w:val="en-US"/>
        </w:rPr>
        <w:t>,</w:t>
      </w:r>
      <w:r w:rsidRPr="000A6FAA">
        <w:rPr>
          <w:lang w:val="en-US"/>
        </w:rPr>
        <w:t xml:space="preserve"> contrary to the </w:t>
      </w:r>
      <w:r w:rsidRPr="000A6FAA">
        <w:rPr>
          <w:i/>
          <w:lang w:val="en-US"/>
        </w:rPr>
        <w:t>prospectus</w:t>
      </w:r>
      <w:r w:rsidRPr="000A6FAA">
        <w:rPr>
          <w:lang w:val="en-US"/>
        </w:rPr>
        <w:t xml:space="preserve"> that is for publicly-traded issues) that describes the fund, its strategy, how it trades and operates, as well as the details of the organization</w:t>
      </w:r>
      <w:r w:rsidRPr="000B73CD">
        <w:rPr>
          <w:color w:val="FF0000"/>
          <w:lang w:val="en-US"/>
        </w:rPr>
        <w:t>.</w:t>
      </w:r>
    </w:p>
  </w:footnote>
  <w:footnote w:id="10">
    <w:p w:rsidR="000C6D4F" w:rsidRDefault="000C6D4F" w:rsidP="00374881">
      <w:pPr>
        <w:pStyle w:val="FootnoteText"/>
        <w:jc w:val="both"/>
      </w:pPr>
      <w:r w:rsidRPr="00E879D1">
        <w:rPr>
          <w:rStyle w:val="FootnoteReference"/>
        </w:rPr>
        <w:footnoteRef/>
      </w:r>
      <w:r w:rsidRPr="00E879D1">
        <w:t xml:space="preserve"> The </w:t>
      </w:r>
      <w:r w:rsidRPr="00E879D1">
        <w:rPr>
          <w:i/>
        </w:rPr>
        <w:t>Others</w:t>
      </w:r>
      <w:r w:rsidRPr="00E879D1">
        <w:t xml:space="preserve"> strategy contains HFs reported as ‘PIPES’ (private investment in public equity), ‘No category’, ‘Closed-End Funds’ or ‘Other’. </w:t>
      </w:r>
      <w:r w:rsidRPr="00E879D1">
        <w:rPr>
          <w:i/>
        </w:rPr>
        <w:t>CTA</w:t>
      </w:r>
      <w:r w:rsidRPr="00E879D1">
        <w:t xml:space="preserve"> means Commodity Trading Advisors funds. This strategy makes extensive use</w:t>
      </w:r>
      <w:r>
        <w:t xml:space="preserve"> of derivatives and commodity trading or uses systematic trading.</w:t>
      </w:r>
    </w:p>
  </w:footnote>
  <w:footnote w:id="11">
    <w:p w:rsidR="000C6D4F" w:rsidRPr="00420191" w:rsidRDefault="000C6D4F" w:rsidP="00E152FC">
      <w:pPr>
        <w:spacing w:line="240" w:lineRule="auto"/>
        <w:jc w:val="both"/>
        <w:rPr>
          <w:lang w:val="en-US"/>
        </w:rPr>
      </w:pPr>
      <w:r>
        <w:rPr>
          <w:rStyle w:val="FootnoteReference"/>
        </w:rPr>
        <w:footnoteRef/>
      </w:r>
      <w:r>
        <w:t xml:space="preserve"> </w:t>
      </w:r>
      <w:r w:rsidRPr="00420191">
        <w:rPr>
          <w:sz w:val="20"/>
          <w:szCs w:val="20"/>
          <w:lang w:val="en-US"/>
        </w:rPr>
        <w:t>A note on the parametric techniques used (e.g. t-values): the HF data are not normal (but stationary as we found no trend in their mean and volatility); this is an issue that is shared by many other authors as well. However the large number of observations do not affect the significance of the tests and the use of the ‘winsorizing’ technique for the extreme outliers mitigates this issue. Serial correlation is also a common problem when dealing with time-series data, hence, with HFs too. The estimation regression</w:t>
      </w:r>
      <w:r w:rsidRPr="00420191">
        <w:rPr>
          <w:lang w:val="en-US"/>
        </w:rPr>
        <w:t xml:space="preserve"> </w:t>
      </w:r>
      <w:r w:rsidRPr="003D07C1">
        <w:rPr>
          <w:sz w:val="20"/>
          <w:szCs w:val="20"/>
          <w:lang w:val="en-US"/>
        </w:rPr>
        <w:t>coefficients (see section</w:t>
      </w:r>
      <w:r w:rsidRPr="003D07C1">
        <w:rPr>
          <w:lang w:val="en-US"/>
        </w:rPr>
        <w:t xml:space="preserve"> </w:t>
      </w:r>
      <w:r w:rsidRPr="003D07C1">
        <w:rPr>
          <w:sz w:val="20"/>
          <w:szCs w:val="20"/>
          <w:lang w:val="en-US"/>
        </w:rPr>
        <w:t>4.3) are still unbiased and consistent but may be inefficient. This means that the standard errors of the estimate of the regression parameters</w:t>
      </w:r>
      <w:r w:rsidRPr="00420191">
        <w:rPr>
          <w:sz w:val="20"/>
          <w:szCs w:val="20"/>
          <w:lang w:val="en-US"/>
        </w:rPr>
        <w:t xml:space="preserve"> may be underestimated</w:t>
      </w:r>
      <w:r w:rsidRPr="003A05B4">
        <w:rPr>
          <w:sz w:val="20"/>
          <w:szCs w:val="20"/>
          <w:lang w:val="en-US"/>
        </w:rPr>
        <w:t xml:space="preserve">. </w:t>
      </w:r>
      <w:r w:rsidRPr="00420191">
        <w:rPr>
          <w:sz w:val="20"/>
          <w:szCs w:val="20"/>
          <w:lang w:val="en-US"/>
        </w:rPr>
        <w:t xml:space="preserve">Taking that into consideration we used several robustness tests including the HAC/Newey-West estimator for verification purposes, and our results were still valid. Lastly, although the set of risk factors that we choose from is relatively large, even within the sub-periods examined we have sufficient degrees of freedom in our model. </w:t>
      </w:r>
    </w:p>
  </w:footnote>
  <w:footnote w:id="12">
    <w:p w:rsidR="000C6D4F" w:rsidRPr="00802156" w:rsidRDefault="000C6D4F" w:rsidP="00756704">
      <w:pPr>
        <w:pStyle w:val="FootnoteText"/>
        <w:jc w:val="both"/>
        <w:rPr>
          <w:lang w:val="en-US"/>
        </w:rPr>
      </w:pPr>
      <w:r>
        <w:rPr>
          <w:rStyle w:val="FootnoteReference"/>
        </w:rPr>
        <w:footnoteRef/>
      </w:r>
      <w:r>
        <w:t xml:space="preserve"> </w:t>
      </w:r>
      <w:r w:rsidRPr="00802156">
        <w:rPr>
          <w:lang w:val="en-US"/>
        </w:rPr>
        <w:t>The alpha is the intercept of the equation. It is also called Jensen’s alpha (1968). Taking the perspective of investors, it is HF investors’ realized return. We denote alpha as the (mean) excess return per month in percentage terms. HF risk-free returns are raw returns minus the risk free return which is the one-month Treasury bill rate from the Fama and French online data library (Ibbotson Associates).</w:t>
      </w:r>
    </w:p>
  </w:footnote>
  <w:footnote w:id="13">
    <w:p w:rsidR="000C6D4F" w:rsidRPr="00183410" w:rsidRDefault="000C6D4F" w:rsidP="00351677">
      <w:pPr>
        <w:pStyle w:val="FootnoteText"/>
        <w:jc w:val="both"/>
        <w:rPr>
          <w:color w:val="0070C0"/>
        </w:rPr>
      </w:pPr>
      <w:r>
        <w:rPr>
          <w:rStyle w:val="FootnoteReference"/>
        </w:rPr>
        <w:footnoteRef/>
      </w:r>
      <w:r>
        <w:t xml:space="preserve"> </w:t>
      </w:r>
      <w:r w:rsidRPr="0009007F">
        <w:t>T</w:t>
      </w:r>
      <w:r w:rsidRPr="0009007F">
        <w:rPr>
          <w:lang w:val="en-US"/>
        </w:rPr>
        <w:t xml:space="preserve">he exposures mentioned in our analysis remain statistically significant under the robustness tests reported at the end of section 4. </w:t>
      </w:r>
      <w:r w:rsidRPr="00183410">
        <w:rPr>
          <w:color w:val="0070C0"/>
          <w:lang w:val="en-US"/>
        </w:rPr>
        <w:t>I</w:t>
      </w:r>
      <w:r>
        <w:rPr>
          <w:color w:val="0070C0"/>
          <w:lang w:val="en-US"/>
        </w:rPr>
        <w:t>n table</w:t>
      </w:r>
      <w:r w:rsidRPr="00183410">
        <w:rPr>
          <w:color w:val="0070C0"/>
          <w:lang w:val="en-US"/>
        </w:rPr>
        <w:t xml:space="preserve"> 4 </w:t>
      </w:r>
      <w:r>
        <w:rPr>
          <w:color w:val="0070C0"/>
          <w:lang w:val="en-US"/>
        </w:rPr>
        <w:t xml:space="preserve">and </w:t>
      </w:r>
      <w:r w:rsidRPr="00183410">
        <w:rPr>
          <w:color w:val="0070C0"/>
          <w:lang w:val="en-US"/>
        </w:rPr>
        <w:t xml:space="preserve">6 we present the z-scores in differences for alphas per strategy for growth vs recession and up vs down regimes. </w:t>
      </w:r>
      <w:r>
        <w:rPr>
          <w:color w:val="0070C0"/>
          <w:lang w:val="en-US"/>
        </w:rPr>
        <w:t xml:space="preserve">For the differences in the </w:t>
      </w:r>
      <w:r w:rsidRPr="00183410">
        <w:rPr>
          <w:color w:val="0070C0"/>
          <w:lang w:val="en-US"/>
        </w:rPr>
        <w:t>market exposures</w:t>
      </w:r>
      <w:r>
        <w:rPr>
          <w:color w:val="0070C0"/>
          <w:lang w:val="en-US"/>
        </w:rPr>
        <w:t xml:space="preserve">, see table 8. </w:t>
      </w:r>
      <w:r w:rsidRPr="00183410">
        <w:rPr>
          <w:color w:val="0070C0"/>
          <w:lang w:val="en-US"/>
        </w:rPr>
        <w:t xml:space="preserve">Market exposure is the most important factor. In addition, HF strategies often have different asset allocations, hence, it is not </w:t>
      </w:r>
      <w:r w:rsidRPr="000A0511">
        <w:rPr>
          <w:color w:val="FF0000"/>
          <w:lang w:val="en-US"/>
        </w:rPr>
        <w:t>valid</w:t>
      </w:r>
      <w:r w:rsidRPr="00183410">
        <w:rPr>
          <w:color w:val="0070C0"/>
          <w:lang w:val="en-US"/>
        </w:rPr>
        <w:t xml:space="preserve"> to compare different </w:t>
      </w:r>
      <w:r>
        <w:rPr>
          <w:color w:val="0070C0"/>
          <w:lang w:val="en-US"/>
        </w:rPr>
        <w:t xml:space="preserve">factor </w:t>
      </w:r>
      <w:r w:rsidRPr="00183410">
        <w:rPr>
          <w:color w:val="0070C0"/>
          <w:lang w:val="en-US"/>
        </w:rPr>
        <w:t xml:space="preserve">exposures.   </w:t>
      </w:r>
    </w:p>
  </w:footnote>
  <w:footnote w:id="14">
    <w:p w:rsidR="000C6D4F" w:rsidRPr="00996223" w:rsidRDefault="000C6D4F" w:rsidP="004E4926">
      <w:pPr>
        <w:pStyle w:val="FootnoteText"/>
        <w:jc w:val="both"/>
      </w:pPr>
      <w:r>
        <w:rPr>
          <w:rStyle w:val="FootnoteReference"/>
        </w:rPr>
        <w:footnoteRef/>
      </w:r>
      <w:r>
        <w:t xml:space="preserve"> We went through the Short Bias time series and found that during the early 1990s the returns were much higher compared to other time periods. During the first nine months of 1990 the average monthly raw return was 5.94% </w:t>
      </w:r>
      <w:r w:rsidRPr="00996223">
        <w:t>(only May’s return was negative). Practitioners made high returns from specific events such as the Russian default in 1998, the technology bubble crash in 2000, the Lehman Brothers bankruptcy in 2008 and the Eurozone debt crisis in 2010.</w:t>
      </w:r>
    </w:p>
  </w:footnote>
  <w:footnote w:id="15">
    <w:p w:rsidR="000C6D4F" w:rsidRPr="00E879D1" w:rsidRDefault="000C6D4F" w:rsidP="00A83CF2">
      <w:pPr>
        <w:spacing w:after="120" w:line="240" w:lineRule="auto"/>
        <w:jc w:val="both"/>
        <w:rPr>
          <w:color w:val="FF0000"/>
          <w:lang w:val="en-US"/>
        </w:rPr>
      </w:pPr>
      <w:r w:rsidRPr="00E879D1">
        <w:rPr>
          <w:rStyle w:val="FootnoteReference"/>
        </w:rPr>
        <w:footnoteRef/>
      </w:r>
      <w:r w:rsidRPr="00E879D1">
        <w:t xml:space="preserve"> </w:t>
      </w:r>
      <w:r w:rsidRPr="00076B6A">
        <w:rPr>
          <w:sz w:val="20"/>
          <w:szCs w:val="20"/>
          <w:lang w:val="en-US"/>
        </w:rPr>
        <w:t xml:space="preserve">We calculated that, on average, </w:t>
      </w:r>
      <w:r w:rsidRPr="00E879D1">
        <w:rPr>
          <w:sz w:val="20"/>
          <w:szCs w:val="20"/>
          <w:lang w:val="en-US"/>
        </w:rPr>
        <w:t xml:space="preserve">during recession and down regimes </w:t>
      </w:r>
      <w:r w:rsidRPr="00076B6A">
        <w:rPr>
          <w:sz w:val="20"/>
          <w:szCs w:val="20"/>
          <w:lang w:val="en-US"/>
        </w:rPr>
        <w:t>HF</w:t>
      </w:r>
      <w:r w:rsidRPr="00E879D1">
        <w:rPr>
          <w:sz w:val="20"/>
          <w:szCs w:val="20"/>
          <w:lang w:val="en-US"/>
        </w:rPr>
        <w:t xml:space="preserve"> managers lower their exposures to the equity class factors by 17% and 22% respectively. For commodities, during recession and down regimes, </w:t>
      </w:r>
      <w:r w:rsidRPr="00076B6A">
        <w:rPr>
          <w:sz w:val="20"/>
          <w:szCs w:val="20"/>
          <w:lang w:val="en-US"/>
        </w:rPr>
        <w:t>HF</w:t>
      </w:r>
      <w:r w:rsidRPr="00E879D1">
        <w:rPr>
          <w:sz w:val="20"/>
          <w:szCs w:val="20"/>
          <w:lang w:val="en-US"/>
        </w:rPr>
        <w:t xml:space="preserve"> managers increase their exposures to the commodity asset classes by 50% and 57% respectively.</w:t>
      </w:r>
      <w:r w:rsidRPr="00E879D1">
        <w:rPr>
          <w:lang w:val="en-US"/>
        </w:rPr>
        <w:t xml:space="preserve">  </w:t>
      </w:r>
    </w:p>
    <w:p w:rsidR="000C6D4F" w:rsidRPr="001A5CFE" w:rsidRDefault="000C6D4F" w:rsidP="00A83CF2">
      <w:pPr>
        <w:pStyle w:val="FootnoteText"/>
        <w:rPr>
          <w:lang w:val="en-US"/>
        </w:rPr>
      </w:pPr>
      <w:r>
        <w:t xml:space="preserve"> </w:t>
      </w:r>
    </w:p>
  </w:footnote>
  <w:footnote w:id="16">
    <w:p w:rsidR="000C6D4F" w:rsidRDefault="000C6D4F" w:rsidP="0032461E">
      <w:pPr>
        <w:pStyle w:val="FootnoteText"/>
        <w:jc w:val="both"/>
      </w:pPr>
      <w:r>
        <w:rPr>
          <w:rStyle w:val="FootnoteReference"/>
        </w:rPr>
        <w:footnoteRef/>
      </w:r>
      <w:r>
        <w:t xml:space="preserve"> Recall that we consider directional strategies to be Short Bias, Long Only, Sector and Long Short, semi-directional strategies to be Event Driven, Multi Strategy, Others and Global Macro and non-directional strategies to be Relative Value, Market Neutral and CTAs. There is a grading from extreme directional strategies such as Short Bias to extreme non-directional strategies such as CTAs. </w:t>
      </w:r>
    </w:p>
  </w:footnote>
  <w:footnote w:id="17">
    <w:p w:rsidR="000C6D4F" w:rsidRPr="005D7CBE" w:rsidRDefault="000C6D4F" w:rsidP="00D13F39">
      <w:pPr>
        <w:pStyle w:val="FootnoteText"/>
        <w:jc w:val="both"/>
      </w:pPr>
      <w:r w:rsidRPr="00B20C0A">
        <w:rPr>
          <w:rStyle w:val="FootnoteReference"/>
        </w:rPr>
        <w:footnoteRef/>
      </w:r>
      <w:r w:rsidRPr="00B20C0A">
        <w:t xml:space="preserve"> </w:t>
      </w:r>
      <w:r w:rsidRPr="00B20C0A">
        <w:rPr>
          <w:lang w:val="en-US"/>
        </w:rPr>
        <w:t xml:space="preserve">The </w:t>
      </w:r>
      <w:r w:rsidRPr="00B54486">
        <w:rPr>
          <w:lang w:val="en-US"/>
        </w:rPr>
        <w:t xml:space="preserve">results in the </w:t>
      </w:r>
      <w:r w:rsidRPr="003D07C1">
        <w:rPr>
          <w:lang w:val="en-US"/>
        </w:rPr>
        <w:t>robustness part of section 4 concerning (1) the one factor model, (2) Carhart’s model, (3) those concerning the pre-1994 period that was omitted, (4) those that include the first four years e.g. 1/1990-12/1993 (we implemented our model for “good” only times as in recessions and down regimes there were only 8 and 4 monthly observations, respectively), (5) those of the CTA strategy concerning the post-1994 period, e.g. 1/1994-3/2014, using lookback straddles (Fung and Hsieh, 2001), (6) the HAC/Newey-West estimator test, and (7) the out-of</w:t>
      </w:r>
      <w:r w:rsidRPr="00B54486">
        <w:rPr>
          <w:lang w:val="en-US"/>
        </w:rPr>
        <w:t>-sample tests are available on request. We do not include them for space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7D1F"/>
    <w:multiLevelType w:val="hybridMultilevel"/>
    <w:tmpl w:val="8EFCE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D1891"/>
    <w:multiLevelType w:val="hybridMultilevel"/>
    <w:tmpl w:val="C50E52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C6A4A"/>
    <w:multiLevelType w:val="hybridMultilevel"/>
    <w:tmpl w:val="CA22082E"/>
    <w:lvl w:ilvl="0" w:tplc="C122C7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9C0D12"/>
    <w:multiLevelType w:val="multilevel"/>
    <w:tmpl w:val="040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132D5"/>
    <w:multiLevelType w:val="multilevel"/>
    <w:tmpl w:val="1A7C7DA0"/>
    <w:styleLink w:val="Dissertationnumbering"/>
    <w:lvl w:ilvl="0">
      <w:start w:val="1"/>
      <w:numFmt w:val="decimal"/>
      <w:lvlText w:val="Chapte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290C7A"/>
    <w:multiLevelType w:val="hybridMultilevel"/>
    <w:tmpl w:val="8DFC9D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510EA"/>
    <w:multiLevelType w:val="hybridMultilevel"/>
    <w:tmpl w:val="F134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A2909"/>
    <w:multiLevelType w:val="hybridMultilevel"/>
    <w:tmpl w:val="D28CEC74"/>
    <w:lvl w:ilvl="0" w:tplc="C86A0AAE">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106F18"/>
    <w:multiLevelType w:val="hybridMultilevel"/>
    <w:tmpl w:val="854AE7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630FF"/>
    <w:multiLevelType w:val="hybridMultilevel"/>
    <w:tmpl w:val="6C7C4E88"/>
    <w:lvl w:ilvl="0" w:tplc="09F438E0">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31FCD"/>
    <w:multiLevelType w:val="hybridMultilevel"/>
    <w:tmpl w:val="0EF40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074819"/>
    <w:multiLevelType w:val="hybridMultilevel"/>
    <w:tmpl w:val="7C320A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5"/>
  </w:num>
  <w:num w:numId="5">
    <w:abstractNumId w:val="1"/>
  </w:num>
  <w:num w:numId="6">
    <w:abstractNumId w:val="10"/>
  </w:num>
  <w:num w:numId="7">
    <w:abstractNumId w:val="0"/>
  </w:num>
  <w:num w:numId="8">
    <w:abstractNumId w:val="3"/>
  </w:num>
  <w:num w:numId="9">
    <w:abstractNumId w:val="8"/>
  </w:num>
  <w:num w:numId="10">
    <w:abstractNumId w:val="3"/>
  </w:num>
  <w:num w:numId="11">
    <w:abstractNumId w:val="3"/>
  </w:num>
  <w:num w:numId="12">
    <w:abstractNumId w:val="3"/>
  </w:num>
  <w:num w:numId="13">
    <w:abstractNumId w:val="3"/>
  </w:num>
  <w:num w:numId="14">
    <w:abstractNumId w:val="6"/>
  </w:num>
  <w:num w:numId="15">
    <w:abstractNumId w:val="7"/>
  </w:num>
  <w:num w:numId="16">
    <w:abstractNumId w:val="2"/>
  </w:num>
  <w:num w:numId="17">
    <w:abstractNumId w:val="9"/>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ssfxxw940s9stetf02pz0rqwd0www5wsszv&quot;&gt;My EndNote Library&lt;record-ids&gt;&lt;item&gt;158&lt;/item&gt;&lt;/record-ids&gt;&lt;/item&gt;&lt;/Libraries&gt;"/>
  </w:docVars>
  <w:rsids>
    <w:rsidRoot w:val="00BE2800"/>
    <w:rsid w:val="000006C6"/>
    <w:rsid w:val="00000FA8"/>
    <w:rsid w:val="00000FC0"/>
    <w:rsid w:val="0000101B"/>
    <w:rsid w:val="0000118E"/>
    <w:rsid w:val="000012D0"/>
    <w:rsid w:val="00001532"/>
    <w:rsid w:val="00001553"/>
    <w:rsid w:val="00001711"/>
    <w:rsid w:val="00001832"/>
    <w:rsid w:val="00001A2C"/>
    <w:rsid w:val="00001AAC"/>
    <w:rsid w:val="00001BD9"/>
    <w:rsid w:val="00001CC3"/>
    <w:rsid w:val="00001E2F"/>
    <w:rsid w:val="00001EEE"/>
    <w:rsid w:val="000021D3"/>
    <w:rsid w:val="000025B0"/>
    <w:rsid w:val="00002720"/>
    <w:rsid w:val="00002AAA"/>
    <w:rsid w:val="00002B71"/>
    <w:rsid w:val="00002BA1"/>
    <w:rsid w:val="00002CC2"/>
    <w:rsid w:val="0000328D"/>
    <w:rsid w:val="000034F0"/>
    <w:rsid w:val="00003D53"/>
    <w:rsid w:val="00003D8C"/>
    <w:rsid w:val="00004142"/>
    <w:rsid w:val="00004633"/>
    <w:rsid w:val="00004A21"/>
    <w:rsid w:val="00004E3D"/>
    <w:rsid w:val="00004F5E"/>
    <w:rsid w:val="00004FFC"/>
    <w:rsid w:val="0000589A"/>
    <w:rsid w:val="00005DBF"/>
    <w:rsid w:val="00005DDE"/>
    <w:rsid w:val="000061EE"/>
    <w:rsid w:val="00006294"/>
    <w:rsid w:val="000065BC"/>
    <w:rsid w:val="000068FF"/>
    <w:rsid w:val="00006C38"/>
    <w:rsid w:val="00006D95"/>
    <w:rsid w:val="00006D98"/>
    <w:rsid w:val="00006F15"/>
    <w:rsid w:val="00006F4E"/>
    <w:rsid w:val="000070CD"/>
    <w:rsid w:val="00007124"/>
    <w:rsid w:val="0000728A"/>
    <w:rsid w:val="00007359"/>
    <w:rsid w:val="0000741B"/>
    <w:rsid w:val="00007437"/>
    <w:rsid w:val="00007A4E"/>
    <w:rsid w:val="00007B53"/>
    <w:rsid w:val="00007B91"/>
    <w:rsid w:val="00007CD9"/>
    <w:rsid w:val="00007F59"/>
    <w:rsid w:val="00010049"/>
    <w:rsid w:val="0001022F"/>
    <w:rsid w:val="00010460"/>
    <w:rsid w:val="0001052A"/>
    <w:rsid w:val="00010807"/>
    <w:rsid w:val="00010863"/>
    <w:rsid w:val="00010D8D"/>
    <w:rsid w:val="000111ED"/>
    <w:rsid w:val="0001145F"/>
    <w:rsid w:val="000114C1"/>
    <w:rsid w:val="000117DD"/>
    <w:rsid w:val="000118C7"/>
    <w:rsid w:val="00011C3E"/>
    <w:rsid w:val="00011E71"/>
    <w:rsid w:val="00011F73"/>
    <w:rsid w:val="00012001"/>
    <w:rsid w:val="000120A5"/>
    <w:rsid w:val="00012638"/>
    <w:rsid w:val="00012AA5"/>
    <w:rsid w:val="00012ADC"/>
    <w:rsid w:val="000130C3"/>
    <w:rsid w:val="00013563"/>
    <w:rsid w:val="0001366F"/>
    <w:rsid w:val="0001370A"/>
    <w:rsid w:val="00013846"/>
    <w:rsid w:val="000138AF"/>
    <w:rsid w:val="00013E91"/>
    <w:rsid w:val="00013F2F"/>
    <w:rsid w:val="00014061"/>
    <w:rsid w:val="000142A1"/>
    <w:rsid w:val="00014947"/>
    <w:rsid w:val="000149CF"/>
    <w:rsid w:val="00014D2B"/>
    <w:rsid w:val="00014D4F"/>
    <w:rsid w:val="00014EC9"/>
    <w:rsid w:val="00014F69"/>
    <w:rsid w:val="00014FB3"/>
    <w:rsid w:val="00015184"/>
    <w:rsid w:val="0001520E"/>
    <w:rsid w:val="0001530E"/>
    <w:rsid w:val="00015379"/>
    <w:rsid w:val="00015618"/>
    <w:rsid w:val="000156CF"/>
    <w:rsid w:val="000157DC"/>
    <w:rsid w:val="0001590B"/>
    <w:rsid w:val="00015C2D"/>
    <w:rsid w:val="00015E94"/>
    <w:rsid w:val="00015F97"/>
    <w:rsid w:val="00016090"/>
    <w:rsid w:val="0001616D"/>
    <w:rsid w:val="00016E4D"/>
    <w:rsid w:val="00017447"/>
    <w:rsid w:val="00017616"/>
    <w:rsid w:val="00017AF9"/>
    <w:rsid w:val="00017C9D"/>
    <w:rsid w:val="00017F0F"/>
    <w:rsid w:val="00020017"/>
    <w:rsid w:val="000200B2"/>
    <w:rsid w:val="000203EC"/>
    <w:rsid w:val="000207A6"/>
    <w:rsid w:val="00020932"/>
    <w:rsid w:val="00020AA3"/>
    <w:rsid w:val="00020E3F"/>
    <w:rsid w:val="00020E9F"/>
    <w:rsid w:val="000211EF"/>
    <w:rsid w:val="00021373"/>
    <w:rsid w:val="0002138B"/>
    <w:rsid w:val="0002138D"/>
    <w:rsid w:val="000216D3"/>
    <w:rsid w:val="00021A06"/>
    <w:rsid w:val="00021AD4"/>
    <w:rsid w:val="00021E9E"/>
    <w:rsid w:val="00021EDE"/>
    <w:rsid w:val="00021F78"/>
    <w:rsid w:val="0002206A"/>
    <w:rsid w:val="000221B8"/>
    <w:rsid w:val="0002243F"/>
    <w:rsid w:val="0002259E"/>
    <w:rsid w:val="00022A42"/>
    <w:rsid w:val="00022B22"/>
    <w:rsid w:val="00022BA4"/>
    <w:rsid w:val="00022BF2"/>
    <w:rsid w:val="00022F9D"/>
    <w:rsid w:val="00022FD9"/>
    <w:rsid w:val="000232B6"/>
    <w:rsid w:val="000232E5"/>
    <w:rsid w:val="00023383"/>
    <w:rsid w:val="000234CA"/>
    <w:rsid w:val="000234DC"/>
    <w:rsid w:val="0002388E"/>
    <w:rsid w:val="000238CA"/>
    <w:rsid w:val="00023B88"/>
    <w:rsid w:val="00023E7B"/>
    <w:rsid w:val="00024317"/>
    <w:rsid w:val="0002477D"/>
    <w:rsid w:val="000249BF"/>
    <w:rsid w:val="00024B70"/>
    <w:rsid w:val="00024BF4"/>
    <w:rsid w:val="00024CC6"/>
    <w:rsid w:val="00025032"/>
    <w:rsid w:val="000254D5"/>
    <w:rsid w:val="00025581"/>
    <w:rsid w:val="000255F7"/>
    <w:rsid w:val="00025BC8"/>
    <w:rsid w:val="000261DB"/>
    <w:rsid w:val="0002654E"/>
    <w:rsid w:val="00026738"/>
    <w:rsid w:val="000269B8"/>
    <w:rsid w:val="000269D6"/>
    <w:rsid w:val="00026B2B"/>
    <w:rsid w:val="00027063"/>
    <w:rsid w:val="00027193"/>
    <w:rsid w:val="000271E6"/>
    <w:rsid w:val="000274A8"/>
    <w:rsid w:val="0002758D"/>
    <w:rsid w:val="00027638"/>
    <w:rsid w:val="00027A75"/>
    <w:rsid w:val="00027AD0"/>
    <w:rsid w:val="00027F98"/>
    <w:rsid w:val="000300C1"/>
    <w:rsid w:val="00030166"/>
    <w:rsid w:val="0003016E"/>
    <w:rsid w:val="00030216"/>
    <w:rsid w:val="0003046F"/>
    <w:rsid w:val="000305A8"/>
    <w:rsid w:val="00030669"/>
    <w:rsid w:val="000307BD"/>
    <w:rsid w:val="00030BC3"/>
    <w:rsid w:val="00030D3A"/>
    <w:rsid w:val="00030E75"/>
    <w:rsid w:val="00030F63"/>
    <w:rsid w:val="00030F93"/>
    <w:rsid w:val="00031323"/>
    <w:rsid w:val="00031353"/>
    <w:rsid w:val="000316E5"/>
    <w:rsid w:val="00031762"/>
    <w:rsid w:val="000318E0"/>
    <w:rsid w:val="000318F7"/>
    <w:rsid w:val="00031B1D"/>
    <w:rsid w:val="00032114"/>
    <w:rsid w:val="000323AD"/>
    <w:rsid w:val="0003249B"/>
    <w:rsid w:val="000327BB"/>
    <w:rsid w:val="0003297B"/>
    <w:rsid w:val="00032D0C"/>
    <w:rsid w:val="00032E0E"/>
    <w:rsid w:val="00032E73"/>
    <w:rsid w:val="0003332D"/>
    <w:rsid w:val="00033413"/>
    <w:rsid w:val="0003349D"/>
    <w:rsid w:val="000334FE"/>
    <w:rsid w:val="00033603"/>
    <w:rsid w:val="000338A1"/>
    <w:rsid w:val="000338F6"/>
    <w:rsid w:val="00034065"/>
    <w:rsid w:val="0003435A"/>
    <w:rsid w:val="0003438B"/>
    <w:rsid w:val="0003450C"/>
    <w:rsid w:val="000345AE"/>
    <w:rsid w:val="000345E1"/>
    <w:rsid w:val="000345FB"/>
    <w:rsid w:val="00034666"/>
    <w:rsid w:val="000346F5"/>
    <w:rsid w:val="00034ADA"/>
    <w:rsid w:val="00034C76"/>
    <w:rsid w:val="00034D22"/>
    <w:rsid w:val="00034D4D"/>
    <w:rsid w:val="00034ED1"/>
    <w:rsid w:val="000351C7"/>
    <w:rsid w:val="0003529A"/>
    <w:rsid w:val="000353B6"/>
    <w:rsid w:val="00035907"/>
    <w:rsid w:val="00035BE9"/>
    <w:rsid w:val="00036262"/>
    <w:rsid w:val="000363B4"/>
    <w:rsid w:val="000368A6"/>
    <w:rsid w:val="00036926"/>
    <w:rsid w:val="00036C40"/>
    <w:rsid w:val="00036DBB"/>
    <w:rsid w:val="00036DD1"/>
    <w:rsid w:val="00036FA9"/>
    <w:rsid w:val="0003708C"/>
    <w:rsid w:val="000373A0"/>
    <w:rsid w:val="00037704"/>
    <w:rsid w:val="00037791"/>
    <w:rsid w:val="00037B81"/>
    <w:rsid w:val="00037CE2"/>
    <w:rsid w:val="00037D2C"/>
    <w:rsid w:val="00037ED8"/>
    <w:rsid w:val="000403A5"/>
    <w:rsid w:val="0004072B"/>
    <w:rsid w:val="00040752"/>
    <w:rsid w:val="0004085C"/>
    <w:rsid w:val="00040D22"/>
    <w:rsid w:val="00040DC7"/>
    <w:rsid w:val="0004104C"/>
    <w:rsid w:val="000410C1"/>
    <w:rsid w:val="000416CC"/>
    <w:rsid w:val="00041D4D"/>
    <w:rsid w:val="00041DA7"/>
    <w:rsid w:val="000420AF"/>
    <w:rsid w:val="000420D5"/>
    <w:rsid w:val="00042193"/>
    <w:rsid w:val="000421C3"/>
    <w:rsid w:val="000423B5"/>
    <w:rsid w:val="000426C1"/>
    <w:rsid w:val="00042848"/>
    <w:rsid w:val="00042A1B"/>
    <w:rsid w:val="00042B48"/>
    <w:rsid w:val="00042BF6"/>
    <w:rsid w:val="00042CA1"/>
    <w:rsid w:val="000430D8"/>
    <w:rsid w:val="000431A9"/>
    <w:rsid w:val="000431F6"/>
    <w:rsid w:val="0004341A"/>
    <w:rsid w:val="000435ED"/>
    <w:rsid w:val="000438C6"/>
    <w:rsid w:val="0004394A"/>
    <w:rsid w:val="00043E16"/>
    <w:rsid w:val="00043E71"/>
    <w:rsid w:val="000440E7"/>
    <w:rsid w:val="000441F2"/>
    <w:rsid w:val="000441F4"/>
    <w:rsid w:val="00044295"/>
    <w:rsid w:val="000442B4"/>
    <w:rsid w:val="00044AF8"/>
    <w:rsid w:val="000453EA"/>
    <w:rsid w:val="000457E7"/>
    <w:rsid w:val="00045823"/>
    <w:rsid w:val="00045EEC"/>
    <w:rsid w:val="000460AF"/>
    <w:rsid w:val="00046142"/>
    <w:rsid w:val="000462D6"/>
    <w:rsid w:val="00046404"/>
    <w:rsid w:val="0004645F"/>
    <w:rsid w:val="00046522"/>
    <w:rsid w:val="0004688B"/>
    <w:rsid w:val="00046C8F"/>
    <w:rsid w:val="00046D6B"/>
    <w:rsid w:val="00046E2A"/>
    <w:rsid w:val="00047207"/>
    <w:rsid w:val="0004746E"/>
    <w:rsid w:val="00047624"/>
    <w:rsid w:val="00047692"/>
    <w:rsid w:val="000476D8"/>
    <w:rsid w:val="000477E6"/>
    <w:rsid w:val="0004785B"/>
    <w:rsid w:val="00050344"/>
    <w:rsid w:val="0005042C"/>
    <w:rsid w:val="00050866"/>
    <w:rsid w:val="000509FD"/>
    <w:rsid w:val="00050A19"/>
    <w:rsid w:val="00050A69"/>
    <w:rsid w:val="00050AEC"/>
    <w:rsid w:val="00050BC7"/>
    <w:rsid w:val="00050BD7"/>
    <w:rsid w:val="00050ED4"/>
    <w:rsid w:val="00050FB5"/>
    <w:rsid w:val="000511C2"/>
    <w:rsid w:val="0005126A"/>
    <w:rsid w:val="0005150A"/>
    <w:rsid w:val="0005183B"/>
    <w:rsid w:val="0005199A"/>
    <w:rsid w:val="00051A13"/>
    <w:rsid w:val="00051C52"/>
    <w:rsid w:val="00051CB9"/>
    <w:rsid w:val="00051D17"/>
    <w:rsid w:val="00051E7E"/>
    <w:rsid w:val="00051EE0"/>
    <w:rsid w:val="0005222E"/>
    <w:rsid w:val="00052426"/>
    <w:rsid w:val="00052627"/>
    <w:rsid w:val="00052831"/>
    <w:rsid w:val="00052ADA"/>
    <w:rsid w:val="00052C6D"/>
    <w:rsid w:val="00052F05"/>
    <w:rsid w:val="00052FEF"/>
    <w:rsid w:val="000532C8"/>
    <w:rsid w:val="0005337F"/>
    <w:rsid w:val="00053A54"/>
    <w:rsid w:val="00053B6A"/>
    <w:rsid w:val="00053B84"/>
    <w:rsid w:val="00053C50"/>
    <w:rsid w:val="00053D9B"/>
    <w:rsid w:val="00054282"/>
    <w:rsid w:val="0005428A"/>
    <w:rsid w:val="00054438"/>
    <w:rsid w:val="00054829"/>
    <w:rsid w:val="00054AA7"/>
    <w:rsid w:val="000554E0"/>
    <w:rsid w:val="000555DC"/>
    <w:rsid w:val="000557D4"/>
    <w:rsid w:val="00055975"/>
    <w:rsid w:val="00055ABE"/>
    <w:rsid w:val="00055DB9"/>
    <w:rsid w:val="00055DBE"/>
    <w:rsid w:val="00055EB6"/>
    <w:rsid w:val="00056167"/>
    <w:rsid w:val="00056242"/>
    <w:rsid w:val="0005625C"/>
    <w:rsid w:val="00056312"/>
    <w:rsid w:val="00056598"/>
    <w:rsid w:val="000566A4"/>
    <w:rsid w:val="0005670F"/>
    <w:rsid w:val="00056AA5"/>
    <w:rsid w:val="00056C2F"/>
    <w:rsid w:val="00057720"/>
    <w:rsid w:val="000577B5"/>
    <w:rsid w:val="00057B0A"/>
    <w:rsid w:val="00057C87"/>
    <w:rsid w:val="00060143"/>
    <w:rsid w:val="00060338"/>
    <w:rsid w:val="000603DC"/>
    <w:rsid w:val="0006086E"/>
    <w:rsid w:val="00060B2F"/>
    <w:rsid w:val="00060CC5"/>
    <w:rsid w:val="00060E31"/>
    <w:rsid w:val="00061178"/>
    <w:rsid w:val="00061261"/>
    <w:rsid w:val="000612D5"/>
    <w:rsid w:val="0006136F"/>
    <w:rsid w:val="00061400"/>
    <w:rsid w:val="000614EA"/>
    <w:rsid w:val="00061834"/>
    <w:rsid w:val="00061AAA"/>
    <w:rsid w:val="00061AC6"/>
    <w:rsid w:val="00061EB4"/>
    <w:rsid w:val="00061F80"/>
    <w:rsid w:val="0006200B"/>
    <w:rsid w:val="00062064"/>
    <w:rsid w:val="000620DE"/>
    <w:rsid w:val="00062103"/>
    <w:rsid w:val="0006211D"/>
    <w:rsid w:val="00062559"/>
    <w:rsid w:val="00062711"/>
    <w:rsid w:val="00062C21"/>
    <w:rsid w:val="00062F04"/>
    <w:rsid w:val="00063905"/>
    <w:rsid w:val="000639C8"/>
    <w:rsid w:val="000639E0"/>
    <w:rsid w:val="00063CE7"/>
    <w:rsid w:val="00063E14"/>
    <w:rsid w:val="00063F66"/>
    <w:rsid w:val="000642D9"/>
    <w:rsid w:val="000644A3"/>
    <w:rsid w:val="00064C18"/>
    <w:rsid w:val="00064E6A"/>
    <w:rsid w:val="00064F37"/>
    <w:rsid w:val="00064FE6"/>
    <w:rsid w:val="00065263"/>
    <w:rsid w:val="000652AF"/>
    <w:rsid w:val="000652EF"/>
    <w:rsid w:val="000652F6"/>
    <w:rsid w:val="0006557E"/>
    <w:rsid w:val="00065719"/>
    <w:rsid w:val="0006587F"/>
    <w:rsid w:val="000658B0"/>
    <w:rsid w:val="00065B0B"/>
    <w:rsid w:val="00065C49"/>
    <w:rsid w:val="00066051"/>
    <w:rsid w:val="000660D6"/>
    <w:rsid w:val="000664D6"/>
    <w:rsid w:val="00066525"/>
    <w:rsid w:val="000665DB"/>
    <w:rsid w:val="00066738"/>
    <w:rsid w:val="000667B3"/>
    <w:rsid w:val="000668E5"/>
    <w:rsid w:val="00066B6D"/>
    <w:rsid w:val="00066B97"/>
    <w:rsid w:val="00066CF0"/>
    <w:rsid w:val="000671FB"/>
    <w:rsid w:val="00067553"/>
    <w:rsid w:val="00067605"/>
    <w:rsid w:val="00067798"/>
    <w:rsid w:val="00067AF9"/>
    <w:rsid w:val="00067D6B"/>
    <w:rsid w:val="00067D7B"/>
    <w:rsid w:val="00067F41"/>
    <w:rsid w:val="00067F8C"/>
    <w:rsid w:val="00067F98"/>
    <w:rsid w:val="0007069A"/>
    <w:rsid w:val="00070858"/>
    <w:rsid w:val="00070917"/>
    <w:rsid w:val="00070C29"/>
    <w:rsid w:val="000711E9"/>
    <w:rsid w:val="000717B4"/>
    <w:rsid w:val="00071DEE"/>
    <w:rsid w:val="00071E1B"/>
    <w:rsid w:val="00071E20"/>
    <w:rsid w:val="00072123"/>
    <w:rsid w:val="00072728"/>
    <w:rsid w:val="00072765"/>
    <w:rsid w:val="00072A16"/>
    <w:rsid w:val="00072A48"/>
    <w:rsid w:val="00072B30"/>
    <w:rsid w:val="00072F3E"/>
    <w:rsid w:val="0007358B"/>
    <w:rsid w:val="00073B4B"/>
    <w:rsid w:val="000742F8"/>
    <w:rsid w:val="000746EF"/>
    <w:rsid w:val="000747D9"/>
    <w:rsid w:val="0007481D"/>
    <w:rsid w:val="00074881"/>
    <w:rsid w:val="00074933"/>
    <w:rsid w:val="00074AAF"/>
    <w:rsid w:val="00074ACB"/>
    <w:rsid w:val="00074D70"/>
    <w:rsid w:val="00074F41"/>
    <w:rsid w:val="00074FC0"/>
    <w:rsid w:val="00075055"/>
    <w:rsid w:val="0007548E"/>
    <w:rsid w:val="00075620"/>
    <w:rsid w:val="00075A7B"/>
    <w:rsid w:val="00075C86"/>
    <w:rsid w:val="00075D26"/>
    <w:rsid w:val="00075D3B"/>
    <w:rsid w:val="00075FFC"/>
    <w:rsid w:val="00076202"/>
    <w:rsid w:val="000768DF"/>
    <w:rsid w:val="00076947"/>
    <w:rsid w:val="00076ADA"/>
    <w:rsid w:val="00076B08"/>
    <w:rsid w:val="00076B6A"/>
    <w:rsid w:val="00076F30"/>
    <w:rsid w:val="00077317"/>
    <w:rsid w:val="0007740E"/>
    <w:rsid w:val="0007740F"/>
    <w:rsid w:val="000774A2"/>
    <w:rsid w:val="000776DA"/>
    <w:rsid w:val="00077718"/>
    <w:rsid w:val="00077867"/>
    <w:rsid w:val="0007792A"/>
    <w:rsid w:val="00077948"/>
    <w:rsid w:val="00077A4A"/>
    <w:rsid w:val="00077A83"/>
    <w:rsid w:val="00077BE9"/>
    <w:rsid w:val="00077E16"/>
    <w:rsid w:val="00077EA5"/>
    <w:rsid w:val="00080069"/>
    <w:rsid w:val="000802D0"/>
    <w:rsid w:val="00080564"/>
    <w:rsid w:val="000806B0"/>
    <w:rsid w:val="00080744"/>
    <w:rsid w:val="00080899"/>
    <w:rsid w:val="000809B7"/>
    <w:rsid w:val="00080B9B"/>
    <w:rsid w:val="00080DAF"/>
    <w:rsid w:val="00080F5D"/>
    <w:rsid w:val="0008139E"/>
    <w:rsid w:val="0008196F"/>
    <w:rsid w:val="000819FF"/>
    <w:rsid w:val="00081A24"/>
    <w:rsid w:val="00081A7D"/>
    <w:rsid w:val="00081E05"/>
    <w:rsid w:val="00081F68"/>
    <w:rsid w:val="00081FA8"/>
    <w:rsid w:val="00081FA9"/>
    <w:rsid w:val="0008204D"/>
    <w:rsid w:val="00082119"/>
    <w:rsid w:val="00082624"/>
    <w:rsid w:val="00082670"/>
    <w:rsid w:val="000827B7"/>
    <w:rsid w:val="00082922"/>
    <w:rsid w:val="00082A33"/>
    <w:rsid w:val="00082F2B"/>
    <w:rsid w:val="00082F83"/>
    <w:rsid w:val="000832BD"/>
    <w:rsid w:val="000833A1"/>
    <w:rsid w:val="0008343B"/>
    <w:rsid w:val="00083818"/>
    <w:rsid w:val="00083899"/>
    <w:rsid w:val="00083BAB"/>
    <w:rsid w:val="00083C26"/>
    <w:rsid w:val="000841A6"/>
    <w:rsid w:val="0008427C"/>
    <w:rsid w:val="00084333"/>
    <w:rsid w:val="00084385"/>
    <w:rsid w:val="000844B5"/>
    <w:rsid w:val="00084544"/>
    <w:rsid w:val="000847CD"/>
    <w:rsid w:val="000848FB"/>
    <w:rsid w:val="00084EAB"/>
    <w:rsid w:val="0008503E"/>
    <w:rsid w:val="00085151"/>
    <w:rsid w:val="0008515F"/>
    <w:rsid w:val="000853D3"/>
    <w:rsid w:val="00085831"/>
    <w:rsid w:val="00085926"/>
    <w:rsid w:val="0008598F"/>
    <w:rsid w:val="00085D39"/>
    <w:rsid w:val="0008612E"/>
    <w:rsid w:val="0008615A"/>
    <w:rsid w:val="00086182"/>
    <w:rsid w:val="00086410"/>
    <w:rsid w:val="00086752"/>
    <w:rsid w:val="00086904"/>
    <w:rsid w:val="000869C4"/>
    <w:rsid w:val="00086CE7"/>
    <w:rsid w:val="000870DD"/>
    <w:rsid w:val="0008727A"/>
    <w:rsid w:val="000872A2"/>
    <w:rsid w:val="0008733F"/>
    <w:rsid w:val="000875AD"/>
    <w:rsid w:val="00087766"/>
    <w:rsid w:val="0009007F"/>
    <w:rsid w:val="000900C9"/>
    <w:rsid w:val="00090157"/>
    <w:rsid w:val="000902AA"/>
    <w:rsid w:val="000903E4"/>
    <w:rsid w:val="0009088A"/>
    <w:rsid w:val="000909C4"/>
    <w:rsid w:val="00090D44"/>
    <w:rsid w:val="00090E02"/>
    <w:rsid w:val="0009111E"/>
    <w:rsid w:val="00091255"/>
    <w:rsid w:val="0009154E"/>
    <w:rsid w:val="000916D5"/>
    <w:rsid w:val="00091DC9"/>
    <w:rsid w:val="000921EB"/>
    <w:rsid w:val="0009231F"/>
    <w:rsid w:val="000923D0"/>
    <w:rsid w:val="0009241E"/>
    <w:rsid w:val="00092C79"/>
    <w:rsid w:val="00092D43"/>
    <w:rsid w:val="00092DC1"/>
    <w:rsid w:val="0009343C"/>
    <w:rsid w:val="0009353F"/>
    <w:rsid w:val="000936C6"/>
    <w:rsid w:val="00093A27"/>
    <w:rsid w:val="00093C29"/>
    <w:rsid w:val="00093CEE"/>
    <w:rsid w:val="00093D6B"/>
    <w:rsid w:val="00093DE6"/>
    <w:rsid w:val="00094374"/>
    <w:rsid w:val="0009445D"/>
    <w:rsid w:val="00094741"/>
    <w:rsid w:val="000947A9"/>
    <w:rsid w:val="0009482F"/>
    <w:rsid w:val="0009488A"/>
    <w:rsid w:val="00094BA4"/>
    <w:rsid w:val="00094C33"/>
    <w:rsid w:val="00094DB4"/>
    <w:rsid w:val="00095066"/>
    <w:rsid w:val="00095081"/>
    <w:rsid w:val="00095417"/>
    <w:rsid w:val="00095528"/>
    <w:rsid w:val="00095540"/>
    <w:rsid w:val="000955AF"/>
    <w:rsid w:val="00095811"/>
    <w:rsid w:val="0009587B"/>
    <w:rsid w:val="00095958"/>
    <w:rsid w:val="000960AB"/>
    <w:rsid w:val="000960CD"/>
    <w:rsid w:val="00096155"/>
    <w:rsid w:val="0009623F"/>
    <w:rsid w:val="00096611"/>
    <w:rsid w:val="000967E0"/>
    <w:rsid w:val="000967F4"/>
    <w:rsid w:val="00096A1C"/>
    <w:rsid w:val="00096BBB"/>
    <w:rsid w:val="00096BEA"/>
    <w:rsid w:val="00096C35"/>
    <w:rsid w:val="00096DB2"/>
    <w:rsid w:val="00096FBF"/>
    <w:rsid w:val="0009714D"/>
    <w:rsid w:val="000973A5"/>
    <w:rsid w:val="00097897"/>
    <w:rsid w:val="00097A37"/>
    <w:rsid w:val="00097AF4"/>
    <w:rsid w:val="000A00D1"/>
    <w:rsid w:val="000A01DA"/>
    <w:rsid w:val="000A04AB"/>
    <w:rsid w:val="000A0511"/>
    <w:rsid w:val="000A0561"/>
    <w:rsid w:val="000A0827"/>
    <w:rsid w:val="000A089D"/>
    <w:rsid w:val="000A0AF0"/>
    <w:rsid w:val="000A0E48"/>
    <w:rsid w:val="000A0F78"/>
    <w:rsid w:val="000A18E2"/>
    <w:rsid w:val="000A1923"/>
    <w:rsid w:val="000A1B45"/>
    <w:rsid w:val="000A1CDF"/>
    <w:rsid w:val="000A1D79"/>
    <w:rsid w:val="000A1E57"/>
    <w:rsid w:val="000A216D"/>
    <w:rsid w:val="000A2276"/>
    <w:rsid w:val="000A2430"/>
    <w:rsid w:val="000A2541"/>
    <w:rsid w:val="000A26FC"/>
    <w:rsid w:val="000A2981"/>
    <w:rsid w:val="000A2B99"/>
    <w:rsid w:val="000A2C15"/>
    <w:rsid w:val="000A2D33"/>
    <w:rsid w:val="000A2D7C"/>
    <w:rsid w:val="000A2E7D"/>
    <w:rsid w:val="000A30AC"/>
    <w:rsid w:val="000A3360"/>
    <w:rsid w:val="000A3520"/>
    <w:rsid w:val="000A35F3"/>
    <w:rsid w:val="000A3A25"/>
    <w:rsid w:val="000A3A75"/>
    <w:rsid w:val="000A3DEE"/>
    <w:rsid w:val="000A3F7F"/>
    <w:rsid w:val="000A40C1"/>
    <w:rsid w:val="000A4116"/>
    <w:rsid w:val="000A4127"/>
    <w:rsid w:val="000A4534"/>
    <w:rsid w:val="000A45E9"/>
    <w:rsid w:val="000A4ED6"/>
    <w:rsid w:val="000A51F3"/>
    <w:rsid w:val="000A5251"/>
    <w:rsid w:val="000A56E8"/>
    <w:rsid w:val="000A5725"/>
    <w:rsid w:val="000A5A81"/>
    <w:rsid w:val="000A5D25"/>
    <w:rsid w:val="000A5F2C"/>
    <w:rsid w:val="000A6461"/>
    <w:rsid w:val="000A68C6"/>
    <w:rsid w:val="000A6924"/>
    <w:rsid w:val="000A6B43"/>
    <w:rsid w:val="000A6CB2"/>
    <w:rsid w:val="000A6CE3"/>
    <w:rsid w:val="000A6FAA"/>
    <w:rsid w:val="000A7097"/>
    <w:rsid w:val="000A70F7"/>
    <w:rsid w:val="000A7215"/>
    <w:rsid w:val="000A722E"/>
    <w:rsid w:val="000A746C"/>
    <w:rsid w:val="000A77B1"/>
    <w:rsid w:val="000A793C"/>
    <w:rsid w:val="000A7D64"/>
    <w:rsid w:val="000A7DFA"/>
    <w:rsid w:val="000B0469"/>
    <w:rsid w:val="000B0961"/>
    <w:rsid w:val="000B0B76"/>
    <w:rsid w:val="000B0F61"/>
    <w:rsid w:val="000B101B"/>
    <w:rsid w:val="000B1091"/>
    <w:rsid w:val="000B118F"/>
    <w:rsid w:val="000B12D8"/>
    <w:rsid w:val="000B13AC"/>
    <w:rsid w:val="000B1408"/>
    <w:rsid w:val="000B1533"/>
    <w:rsid w:val="000B16A5"/>
    <w:rsid w:val="000B1DEB"/>
    <w:rsid w:val="000B1E2E"/>
    <w:rsid w:val="000B2119"/>
    <w:rsid w:val="000B212A"/>
    <w:rsid w:val="000B217D"/>
    <w:rsid w:val="000B2258"/>
    <w:rsid w:val="000B24EB"/>
    <w:rsid w:val="000B2518"/>
    <w:rsid w:val="000B2599"/>
    <w:rsid w:val="000B25F1"/>
    <w:rsid w:val="000B260E"/>
    <w:rsid w:val="000B2826"/>
    <w:rsid w:val="000B2BDC"/>
    <w:rsid w:val="000B2CBF"/>
    <w:rsid w:val="000B2D93"/>
    <w:rsid w:val="000B3024"/>
    <w:rsid w:val="000B313E"/>
    <w:rsid w:val="000B3174"/>
    <w:rsid w:val="000B3313"/>
    <w:rsid w:val="000B3373"/>
    <w:rsid w:val="000B3522"/>
    <w:rsid w:val="000B3729"/>
    <w:rsid w:val="000B3D6B"/>
    <w:rsid w:val="000B3E6D"/>
    <w:rsid w:val="000B4073"/>
    <w:rsid w:val="000B4234"/>
    <w:rsid w:val="000B42F4"/>
    <w:rsid w:val="000B430A"/>
    <w:rsid w:val="000B4498"/>
    <w:rsid w:val="000B4A52"/>
    <w:rsid w:val="000B4B3B"/>
    <w:rsid w:val="000B4B84"/>
    <w:rsid w:val="000B4EFB"/>
    <w:rsid w:val="000B5005"/>
    <w:rsid w:val="000B5430"/>
    <w:rsid w:val="000B561E"/>
    <w:rsid w:val="000B5A17"/>
    <w:rsid w:val="000B5D3A"/>
    <w:rsid w:val="000B5D4F"/>
    <w:rsid w:val="000B5E92"/>
    <w:rsid w:val="000B5F5E"/>
    <w:rsid w:val="000B60C5"/>
    <w:rsid w:val="000B61D4"/>
    <w:rsid w:val="000B634A"/>
    <w:rsid w:val="000B63E1"/>
    <w:rsid w:val="000B6509"/>
    <w:rsid w:val="000B6629"/>
    <w:rsid w:val="000B669C"/>
    <w:rsid w:val="000B66F1"/>
    <w:rsid w:val="000B67E5"/>
    <w:rsid w:val="000B68A2"/>
    <w:rsid w:val="000B6A79"/>
    <w:rsid w:val="000B6BF2"/>
    <w:rsid w:val="000B7122"/>
    <w:rsid w:val="000B7280"/>
    <w:rsid w:val="000B73CD"/>
    <w:rsid w:val="000B73F9"/>
    <w:rsid w:val="000B74F6"/>
    <w:rsid w:val="000B7685"/>
    <w:rsid w:val="000B784A"/>
    <w:rsid w:val="000B7CCC"/>
    <w:rsid w:val="000B7F29"/>
    <w:rsid w:val="000C0597"/>
    <w:rsid w:val="000C068D"/>
    <w:rsid w:val="000C08C0"/>
    <w:rsid w:val="000C08E7"/>
    <w:rsid w:val="000C09EA"/>
    <w:rsid w:val="000C0A57"/>
    <w:rsid w:val="000C0D4D"/>
    <w:rsid w:val="000C1023"/>
    <w:rsid w:val="000C11C3"/>
    <w:rsid w:val="000C1213"/>
    <w:rsid w:val="000C17B4"/>
    <w:rsid w:val="000C1AA9"/>
    <w:rsid w:val="000C1DB4"/>
    <w:rsid w:val="000C1EDF"/>
    <w:rsid w:val="000C1F5D"/>
    <w:rsid w:val="000C20F3"/>
    <w:rsid w:val="000C22C6"/>
    <w:rsid w:val="000C2379"/>
    <w:rsid w:val="000C245A"/>
    <w:rsid w:val="000C245D"/>
    <w:rsid w:val="000C263B"/>
    <w:rsid w:val="000C26BF"/>
    <w:rsid w:val="000C286D"/>
    <w:rsid w:val="000C2B88"/>
    <w:rsid w:val="000C2F3D"/>
    <w:rsid w:val="000C3077"/>
    <w:rsid w:val="000C3614"/>
    <w:rsid w:val="000C38E8"/>
    <w:rsid w:val="000C392A"/>
    <w:rsid w:val="000C3A0A"/>
    <w:rsid w:val="000C3F25"/>
    <w:rsid w:val="000C4338"/>
    <w:rsid w:val="000C45E5"/>
    <w:rsid w:val="000C46A8"/>
    <w:rsid w:val="000C46B0"/>
    <w:rsid w:val="000C499F"/>
    <w:rsid w:val="000C4A55"/>
    <w:rsid w:val="000C4C5C"/>
    <w:rsid w:val="000C4E71"/>
    <w:rsid w:val="000C52A1"/>
    <w:rsid w:val="000C5481"/>
    <w:rsid w:val="000C562D"/>
    <w:rsid w:val="000C572F"/>
    <w:rsid w:val="000C57DA"/>
    <w:rsid w:val="000C59F3"/>
    <w:rsid w:val="000C5B26"/>
    <w:rsid w:val="000C5C75"/>
    <w:rsid w:val="000C6199"/>
    <w:rsid w:val="000C62CE"/>
    <w:rsid w:val="000C6673"/>
    <w:rsid w:val="000C69A4"/>
    <w:rsid w:val="000C69B1"/>
    <w:rsid w:val="000C6BF5"/>
    <w:rsid w:val="000C6D4F"/>
    <w:rsid w:val="000C7B18"/>
    <w:rsid w:val="000C7B81"/>
    <w:rsid w:val="000D00F8"/>
    <w:rsid w:val="000D033A"/>
    <w:rsid w:val="000D04E4"/>
    <w:rsid w:val="000D070D"/>
    <w:rsid w:val="000D0762"/>
    <w:rsid w:val="000D0D8E"/>
    <w:rsid w:val="000D1015"/>
    <w:rsid w:val="000D1062"/>
    <w:rsid w:val="000D107A"/>
    <w:rsid w:val="000D1365"/>
    <w:rsid w:val="000D1437"/>
    <w:rsid w:val="000D15AD"/>
    <w:rsid w:val="000D15BF"/>
    <w:rsid w:val="000D174E"/>
    <w:rsid w:val="000D1CCC"/>
    <w:rsid w:val="000D1DA9"/>
    <w:rsid w:val="000D1EB6"/>
    <w:rsid w:val="000D20B1"/>
    <w:rsid w:val="000D227B"/>
    <w:rsid w:val="000D234D"/>
    <w:rsid w:val="000D255D"/>
    <w:rsid w:val="000D2879"/>
    <w:rsid w:val="000D33B0"/>
    <w:rsid w:val="000D34FD"/>
    <w:rsid w:val="000D3592"/>
    <w:rsid w:val="000D35A1"/>
    <w:rsid w:val="000D3E39"/>
    <w:rsid w:val="000D42F4"/>
    <w:rsid w:val="000D436C"/>
    <w:rsid w:val="000D441B"/>
    <w:rsid w:val="000D4DEC"/>
    <w:rsid w:val="000D4E6C"/>
    <w:rsid w:val="000D50B7"/>
    <w:rsid w:val="000D54E1"/>
    <w:rsid w:val="000D566D"/>
    <w:rsid w:val="000D57CD"/>
    <w:rsid w:val="000D5CE6"/>
    <w:rsid w:val="000D6307"/>
    <w:rsid w:val="000D6539"/>
    <w:rsid w:val="000D6851"/>
    <w:rsid w:val="000D6BFA"/>
    <w:rsid w:val="000D6C3C"/>
    <w:rsid w:val="000D6F60"/>
    <w:rsid w:val="000D73EC"/>
    <w:rsid w:val="000D74F7"/>
    <w:rsid w:val="000D757B"/>
    <w:rsid w:val="000D789C"/>
    <w:rsid w:val="000D78F3"/>
    <w:rsid w:val="000D79EA"/>
    <w:rsid w:val="000D7B44"/>
    <w:rsid w:val="000D7DD3"/>
    <w:rsid w:val="000D7E0D"/>
    <w:rsid w:val="000E00A2"/>
    <w:rsid w:val="000E01BC"/>
    <w:rsid w:val="000E0554"/>
    <w:rsid w:val="000E06C2"/>
    <w:rsid w:val="000E0BF3"/>
    <w:rsid w:val="000E0D06"/>
    <w:rsid w:val="000E0E51"/>
    <w:rsid w:val="000E119D"/>
    <w:rsid w:val="000E1402"/>
    <w:rsid w:val="000E160B"/>
    <w:rsid w:val="000E1611"/>
    <w:rsid w:val="000E164A"/>
    <w:rsid w:val="000E16BC"/>
    <w:rsid w:val="000E1978"/>
    <w:rsid w:val="000E1C0E"/>
    <w:rsid w:val="000E1E5E"/>
    <w:rsid w:val="000E1F2A"/>
    <w:rsid w:val="000E2178"/>
    <w:rsid w:val="000E21B8"/>
    <w:rsid w:val="000E2468"/>
    <w:rsid w:val="000E2936"/>
    <w:rsid w:val="000E2A33"/>
    <w:rsid w:val="000E2B09"/>
    <w:rsid w:val="000E2DF7"/>
    <w:rsid w:val="000E2EC5"/>
    <w:rsid w:val="000E2ED5"/>
    <w:rsid w:val="000E2FE1"/>
    <w:rsid w:val="000E357A"/>
    <w:rsid w:val="000E357D"/>
    <w:rsid w:val="000E35BD"/>
    <w:rsid w:val="000E36A4"/>
    <w:rsid w:val="000E39DC"/>
    <w:rsid w:val="000E3B75"/>
    <w:rsid w:val="000E3E4D"/>
    <w:rsid w:val="000E41D6"/>
    <w:rsid w:val="000E4264"/>
    <w:rsid w:val="000E45C7"/>
    <w:rsid w:val="000E45C9"/>
    <w:rsid w:val="000E4F99"/>
    <w:rsid w:val="000E4FDF"/>
    <w:rsid w:val="000E50B1"/>
    <w:rsid w:val="000E5238"/>
    <w:rsid w:val="000E5250"/>
    <w:rsid w:val="000E55AF"/>
    <w:rsid w:val="000E5793"/>
    <w:rsid w:val="000E58E8"/>
    <w:rsid w:val="000E5976"/>
    <w:rsid w:val="000E5AA5"/>
    <w:rsid w:val="000E5C23"/>
    <w:rsid w:val="000E5CE3"/>
    <w:rsid w:val="000E5D49"/>
    <w:rsid w:val="000E5D92"/>
    <w:rsid w:val="000E6301"/>
    <w:rsid w:val="000E648B"/>
    <w:rsid w:val="000E66A8"/>
    <w:rsid w:val="000E68B7"/>
    <w:rsid w:val="000E6B2B"/>
    <w:rsid w:val="000E700F"/>
    <w:rsid w:val="000E7045"/>
    <w:rsid w:val="000E7362"/>
    <w:rsid w:val="000E772B"/>
    <w:rsid w:val="000F01CC"/>
    <w:rsid w:val="000F0636"/>
    <w:rsid w:val="000F0C43"/>
    <w:rsid w:val="000F0DB8"/>
    <w:rsid w:val="000F103B"/>
    <w:rsid w:val="000F1418"/>
    <w:rsid w:val="000F1560"/>
    <w:rsid w:val="000F15A5"/>
    <w:rsid w:val="000F16AC"/>
    <w:rsid w:val="000F19D0"/>
    <w:rsid w:val="000F1AE8"/>
    <w:rsid w:val="000F21EC"/>
    <w:rsid w:val="000F225C"/>
    <w:rsid w:val="000F236E"/>
    <w:rsid w:val="000F258A"/>
    <w:rsid w:val="000F2654"/>
    <w:rsid w:val="000F2992"/>
    <w:rsid w:val="000F2AE5"/>
    <w:rsid w:val="000F2C30"/>
    <w:rsid w:val="000F3286"/>
    <w:rsid w:val="000F335F"/>
    <w:rsid w:val="000F338F"/>
    <w:rsid w:val="000F372E"/>
    <w:rsid w:val="000F39F1"/>
    <w:rsid w:val="000F3CA0"/>
    <w:rsid w:val="000F3F2F"/>
    <w:rsid w:val="000F3FD0"/>
    <w:rsid w:val="000F4062"/>
    <w:rsid w:val="000F40A4"/>
    <w:rsid w:val="000F4164"/>
    <w:rsid w:val="000F44F3"/>
    <w:rsid w:val="000F4A19"/>
    <w:rsid w:val="000F4AEC"/>
    <w:rsid w:val="000F4D0E"/>
    <w:rsid w:val="000F4E7D"/>
    <w:rsid w:val="000F5044"/>
    <w:rsid w:val="000F509A"/>
    <w:rsid w:val="000F512B"/>
    <w:rsid w:val="000F5567"/>
    <w:rsid w:val="000F565D"/>
    <w:rsid w:val="000F5782"/>
    <w:rsid w:val="000F57F7"/>
    <w:rsid w:val="000F5845"/>
    <w:rsid w:val="000F59AF"/>
    <w:rsid w:val="000F5DA3"/>
    <w:rsid w:val="000F62CE"/>
    <w:rsid w:val="000F6389"/>
    <w:rsid w:val="000F63A5"/>
    <w:rsid w:val="000F68A5"/>
    <w:rsid w:val="000F6999"/>
    <w:rsid w:val="000F6A73"/>
    <w:rsid w:val="000F6C7F"/>
    <w:rsid w:val="000F6FDA"/>
    <w:rsid w:val="000F73CC"/>
    <w:rsid w:val="000F7417"/>
    <w:rsid w:val="000F775C"/>
    <w:rsid w:val="000F7AF0"/>
    <w:rsid w:val="000F7BE0"/>
    <w:rsid w:val="000F7CD5"/>
    <w:rsid w:val="000F7D86"/>
    <w:rsid w:val="000F7F48"/>
    <w:rsid w:val="000F7FCD"/>
    <w:rsid w:val="00100141"/>
    <w:rsid w:val="00100278"/>
    <w:rsid w:val="0010035F"/>
    <w:rsid w:val="001005C0"/>
    <w:rsid w:val="00100694"/>
    <w:rsid w:val="001006E8"/>
    <w:rsid w:val="001008F1"/>
    <w:rsid w:val="00100930"/>
    <w:rsid w:val="00100C39"/>
    <w:rsid w:val="00100D70"/>
    <w:rsid w:val="00101488"/>
    <w:rsid w:val="001014EC"/>
    <w:rsid w:val="0010168C"/>
    <w:rsid w:val="0010181A"/>
    <w:rsid w:val="00101CD5"/>
    <w:rsid w:val="00101E67"/>
    <w:rsid w:val="00102120"/>
    <w:rsid w:val="00102285"/>
    <w:rsid w:val="00102504"/>
    <w:rsid w:val="0010270C"/>
    <w:rsid w:val="00102811"/>
    <w:rsid w:val="0010285E"/>
    <w:rsid w:val="00102BDD"/>
    <w:rsid w:val="00102C3E"/>
    <w:rsid w:val="001030D9"/>
    <w:rsid w:val="001031DE"/>
    <w:rsid w:val="0010334A"/>
    <w:rsid w:val="00103706"/>
    <w:rsid w:val="001037E3"/>
    <w:rsid w:val="00103CA6"/>
    <w:rsid w:val="00103D0D"/>
    <w:rsid w:val="00103DBB"/>
    <w:rsid w:val="001041A9"/>
    <w:rsid w:val="001042A4"/>
    <w:rsid w:val="001042B7"/>
    <w:rsid w:val="001045BC"/>
    <w:rsid w:val="001048A1"/>
    <w:rsid w:val="001049DC"/>
    <w:rsid w:val="0010515C"/>
    <w:rsid w:val="0010527B"/>
    <w:rsid w:val="001052DA"/>
    <w:rsid w:val="00105321"/>
    <w:rsid w:val="0010546F"/>
    <w:rsid w:val="0010548F"/>
    <w:rsid w:val="00105547"/>
    <w:rsid w:val="0010556A"/>
    <w:rsid w:val="0010556C"/>
    <w:rsid w:val="001055DB"/>
    <w:rsid w:val="00105653"/>
    <w:rsid w:val="00105758"/>
    <w:rsid w:val="001057B1"/>
    <w:rsid w:val="0010587E"/>
    <w:rsid w:val="001058BB"/>
    <w:rsid w:val="001058C2"/>
    <w:rsid w:val="00105977"/>
    <w:rsid w:val="00105A83"/>
    <w:rsid w:val="00105B42"/>
    <w:rsid w:val="00105B9E"/>
    <w:rsid w:val="00105FF6"/>
    <w:rsid w:val="00106007"/>
    <w:rsid w:val="00106462"/>
    <w:rsid w:val="0010658E"/>
    <w:rsid w:val="001065EA"/>
    <w:rsid w:val="0010673B"/>
    <w:rsid w:val="00106807"/>
    <w:rsid w:val="00106D4E"/>
    <w:rsid w:val="00106DBF"/>
    <w:rsid w:val="00106FD8"/>
    <w:rsid w:val="00107509"/>
    <w:rsid w:val="00107515"/>
    <w:rsid w:val="001075E6"/>
    <w:rsid w:val="001075ED"/>
    <w:rsid w:val="00107714"/>
    <w:rsid w:val="0010774F"/>
    <w:rsid w:val="00107955"/>
    <w:rsid w:val="00107999"/>
    <w:rsid w:val="00107B3D"/>
    <w:rsid w:val="00107B75"/>
    <w:rsid w:val="00107BAD"/>
    <w:rsid w:val="001100F4"/>
    <w:rsid w:val="00110919"/>
    <w:rsid w:val="00110C4C"/>
    <w:rsid w:val="00110D94"/>
    <w:rsid w:val="00110F3D"/>
    <w:rsid w:val="00110FCD"/>
    <w:rsid w:val="0011114C"/>
    <w:rsid w:val="00111183"/>
    <w:rsid w:val="00111583"/>
    <w:rsid w:val="001116F0"/>
    <w:rsid w:val="00111767"/>
    <w:rsid w:val="00111885"/>
    <w:rsid w:val="00111BDF"/>
    <w:rsid w:val="00111C81"/>
    <w:rsid w:val="00111D9D"/>
    <w:rsid w:val="00111DF2"/>
    <w:rsid w:val="00111E51"/>
    <w:rsid w:val="00111F3B"/>
    <w:rsid w:val="00111F67"/>
    <w:rsid w:val="00111F6F"/>
    <w:rsid w:val="00111FC9"/>
    <w:rsid w:val="001120DD"/>
    <w:rsid w:val="001123B2"/>
    <w:rsid w:val="00112485"/>
    <w:rsid w:val="00112532"/>
    <w:rsid w:val="0011287B"/>
    <w:rsid w:val="00112AC1"/>
    <w:rsid w:val="00112F24"/>
    <w:rsid w:val="00112FFC"/>
    <w:rsid w:val="0011391B"/>
    <w:rsid w:val="001139AC"/>
    <w:rsid w:val="00113E34"/>
    <w:rsid w:val="00114056"/>
    <w:rsid w:val="001141DF"/>
    <w:rsid w:val="001145F7"/>
    <w:rsid w:val="00114821"/>
    <w:rsid w:val="00114827"/>
    <w:rsid w:val="00114AEF"/>
    <w:rsid w:val="00114B3B"/>
    <w:rsid w:val="00114B95"/>
    <w:rsid w:val="00114D18"/>
    <w:rsid w:val="001151AA"/>
    <w:rsid w:val="001155CB"/>
    <w:rsid w:val="00115BF9"/>
    <w:rsid w:val="001164D9"/>
    <w:rsid w:val="001165D5"/>
    <w:rsid w:val="00116796"/>
    <w:rsid w:val="00117178"/>
    <w:rsid w:val="00117271"/>
    <w:rsid w:val="0011772D"/>
    <w:rsid w:val="001177C4"/>
    <w:rsid w:val="001177CE"/>
    <w:rsid w:val="00117ABA"/>
    <w:rsid w:val="00117CE0"/>
    <w:rsid w:val="00117FC2"/>
    <w:rsid w:val="0012001D"/>
    <w:rsid w:val="001201D3"/>
    <w:rsid w:val="00120319"/>
    <w:rsid w:val="001203CA"/>
    <w:rsid w:val="001204EA"/>
    <w:rsid w:val="0012087E"/>
    <w:rsid w:val="00120926"/>
    <w:rsid w:val="00120FEA"/>
    <w:rsid w:val="001212D4"/>
    <w:rsid w:val="00121394"/>
    <w:rsid w:val="0012160F"/>
    <w:rsid w:val="00121BF6"/>
    <w:rsid w:val="00121C29"/>
    <w:rsid w:val="00121EF7"/>
    <w:rsid w:val="0012204C"/>
    <w:rsid w:val="00122154"/>
    <w:rsid w:val="001221DD"/>
    <w:rsid w:val="0012224A"/>
    <w:rsid w:val="00122363"/>
    <w:rsid w:val="00122463"/>
    <w:rsid w:val="001224CC"/>
    <w:rsid w:val="0012256E"/>
    <w:rsid w:val="001226D5"/>
    <w:rsid w:val="00122A17"/>
    <w:rsid w:val="00122CB5"/>
    <w:rsid w:val="001230CB"/>
    <w:rsid w:val="00123135"/>
    <w:rsid w:val="0012316C"/>
    <w:rsid w:val="0012328C"/>
    <w:rsid w:val="0012356B"/>
    <w:rsid w:val="00123A5F"/>
    <w:rsid w:val="00123D3A"/>
    <w:rsid w:val="00123FF9"/>
    <w:rsid w:val="001241FB"/>
    <w:rsid w:val="001246F0"/>
    <w:rsid w:val="0012473B"/>
    <w:rsid w:val="001249FD"/>
    <w:rsid w:val="00124A87"/>
    <w:rsid w:val="00124B2F"/>
    <w:rsid w:val="00124BAE"/>
    <w:rsid w:val="00124D6B"/>
    <w:rsid w:val="00124DC6"/>
    <w:rsid w:val="00124ED0"/>
    <w:rsid w:val="0012523C"/>
    <w:rsid w:val="00125253"/>
    <w:rsid w:val="001253F0"/>
    <w:rsid w:val="00125645"/>
    <w:rsid w:val="00125B37"/>
    <w:rsid w:val="00125B40"/>
    <w:rsid w:val="00125CD0"/>
    <w:rsid w:val="00126292"/>
    <w:rsid w:val="001262A1"/>
    <w:rsid w:val="00126402"/>
    <w:rsid w:val="001264D6"/>
    <w:rsid w:val="001265A6"/>
    <w:rsid w:val="00126D9D"/>
    <w:rsid w:val="00126E4B"/>
    <w:rsid w:val="0012714C"/>
    <w:rsid w:val="001271CE"/>
    <w:rsid w:val="0012721C"/>
    <w:rsid w:val="001272EB"/>
    <w:rsid w:val="00127B30"/>
    <w:rsid w:val="0013018F"/>
    <w:rsid w:val="001301C6"/>
    <w:rsid w:val="001304BF"/>
    <w:rsid w:val="0013061A"/>
    <w:rsid w:val="0013074C"/>
    <w:rsid w:val="00130809"/>
    <w:rsid w:val="001309D9"/>
    <w:rsid w:val="00130A87"/>
    <w:rsid w:val="00130ABA"/>
    <w:rsid w:val="00130AE2"/>
    <w:rsid w:val="00130B8D"/>
    <w:rsid w:val="00130E4A"/>
    <w:rsid w:val="0013105C"/>
    <w:rsid w:val="00131099"/>
    <w:rsid w:val="00131183"/>
    <w:rsid w:val="001312DF"/>
    <w:rsid w:val="0013151B"/>
    <w:rsid w:val="00131697"/>
    <w:rsid w:val="00131A2B"/>
    <w:rsid w:val="00131A7C"/>
    <w:rsid w:val="00131DAC"/>
    <w:rsid w:val="001320B9"/>
    <w:rsid w:val="001321A2"/>
    <w:rsid w:val="00132449"/>
    <w:rsid w:val="0013253C"/>
    <w:rsid w:val="0013254C"/>
    <w:rsid w:val="001325B3"/>
    <w:rsid w:val="001325FD"/>
    <w:rsid w:val="001326E5"/>
    <w:rsid w:val="00132817"/>
    <w:rsid w:val="00132D5D"/>
    <w:rsid w:val="00132D6F"/>
    <w:rsid w:val="001333BD"/>
    <w:rsid w:val="001333F3"/>
    <w:rsid w:val="0013344F"/>
    <w:rsid w:val="0013387C"/>
    <w:rsid w:val="001338EC"/>
    <w:rsid w:val="00133AA0"/>
    <w:rsid w:val="00133C8B"/>
    <w:rsid w:val="00133CC3"/>
    <w:rsid w:val="00134006"/>
    <w:rsid w:val="0013413A"/>
    <w:rsid w:val="001341D6"/>
    <w:rsid w:val="001345E2"/>
    <w:rsid w:val="0013461F"/>
    <w:rsid w:val="00134760"/>
    <w:rsid w:val="00134783"/>
    <w:rsid w:val="00134806"/>
    <w:rsid w:val="00134C2E"/>
    <w:rsid w:val="00134F38"/>
    <w:rsid w:val="0013500C"/>
    <w:rsid w:val="0013521E"/>
    <w:rsid w:val="00135354"/>
    <w:rsid w:val="00135770"/>
    <w:rsid w:val="00135796"/>
    <w:rsid w:val="0013595B"/>
    <w:rsid w:val="00135A60"/>
    <w:rsid w:val="00135EF8"/>
    <w:rsid w:val="001360EA"/>
    <w:rsid w:val="00136158"/>
    <w:rsid w:val="001365EA"/>
    <w:rsid w:val="001367D2"/>
    <w:rsid w:val="00136933"/>
    <w:rsid w:val="00136ABC"/>
    <w:rsid w:val="00137045"/>
    <w:rsid w:val="001370FD"/>
    <w:rsid w:val="001372E8"/>
    <w:rsid w:val="0013776B"/>
    <w:rsid w:val="00137D8E"/>
    <w:rsid w:val="00137EEF"/>
    <w:rsid w:val="001401BB"/>
    <w:rsid w:val="0014027D"/>
    <w:rsid w:val="001402BF"/>
    <w:rsid w:val="0014051B"/>
    <w:rsid w:val="00140AF1"/>
    <w:rsid w:val="00140BB9"/>
    <w:rsid w:val="00140EA3"/>
    <w:rsid w:val="00140F3F"/>
    <w:rsid w:val="001415C1"/>
    <w:rsid w:val="0014161A"/>
    <w:rsid w:val="001416AA"/>
    <w:rsid w:val="00141AE0"/>
    <w:rsid w:val="00141C26"/>
    <w:rsid w:val="00141CCE"/>
    <w:rsid w:val="001422F8"/>
    <w:rsid w:val="001424E2"/>
    <w:rsid w:val="001426DB"/>
    <w:rsid w:val="0014284D"/>
    <w:rsid w:val="00142A49"/>
    <w:rsid w:val="00143052"/>
    <w:rsid w:val="001430DF"/>
    <w:rsid w:val="0014336A"/>
    <w:rsid w:val="001433DA"/>
    <w:rsid w:val="00143401"/>
    <w:rsid w:val="001434BD"/>
    <w:rsid w:val="001437C1"/>
    <w:rsid w:val="001441B9"/>
    <w:rsid w:val="00144275"/>
    <w:rsid w:val="00144287"/>
    <w:rsid w:val="00144346"/>
    <w:rsid w:val="00144393"/>
    <w:rsid w:val="00144685"/>
    <w:rsid w:val="001447F5"/>
    <w:rsid w:val="0014482E"/>
    <w:rsid w:val="00144873"/>
    <w:rsid w:val="00144988"/>
    <w:rsid w:val="00144A53"/>
    <w:rsid w:val="00144C2E"/>
    <w:rsid w:val="00144DDC"/>
    <w:rsid w:val="00145115"/>
    <w:rsid w:val="00145809"/>
    <w:rsid w:val="00145927"/>
    <w:rsid w:val="001459AF"/>
    <w:rsid w:val="00145A11"/>
    <w:rsid w:val="00145AFE"/>
    <w:rsid w:val="00145B94"/>
    <w:rsid w:val="001461A4"/>
    <w:rsid w:val="001463A0"/>
    <w:rsid w:val="00146455"/>
    <w:rsid w:val="00146660"/>
    <w:rsid w:val="001466F7"/>
    <w:rsid w:val="0014687D"/>
    <w:rsid w:val="00146928"/>
    <w:rsid w:val="00146930"/>
    <w:rsid w:val="00146A18"/>
    <w:rsid w:val="00146AA2"/>
    <w:rsid w:val="00146AF2"/>
    <w:rsid w:val="00146B43"/>
    <w:rsid w:val="00146CB3"/>
    <w:rsid w:val="00147008"/>
    <w:rsid w:val="0014702D"/>
    <w:rsid w:val="001471BD"/>
    <w:rsid w:val="00147355"/>
    <w:rsid w:val="0014793E"/>
    <w:rsid w:val="001479E5"/>
    <w:rsid w:val="00147AA9"/>
    <w:rsid w:val="00150133"/>
    <w:rsid w:val="001501D3"/>
    <w:rsid w:val="00150973"/>
    <w:rsid w:val="00150E86"/>
    <w:rsid w:val="00151062"/>
    <w:rsid w:val="00151526"/>
    <w:rsid w:val="00151624"/>
    <w:rsid w:val="001516C4"/>
    <w:rsid w:val="001516D9"/>
    <w:rsid w:val="00151968"/>
    <w:rsid w:val="00151ADA"/>
    <w:rsid w:val="00151B36"/>
    <w:rsid w:val="00151B59"/>
    <w:rsid w:val="00151E9E"/>
    <w:rsid w:val="00151F4D"/>
    <w:rsid w:val="00151FFD"/>
    <w:rsid w:val="00152047"/>
    <w:rsid w:val="00152393"/>
    <w:rsid w:val="001525D9"/>
    <w:rsid w:val="0015275D"/>
    <w:rsid w:val="0015279F"/>
    <w:rsid w:val="00152885"/>
    <w:rsid w:val="001528AC"/>
    <w:rsid w:val="0015295F"/>
    <w:rsid w:val="00152B7A"/>
    <w:rsid w:val="0015319B"/>
    <w:rsid w:val="001531B8"/>
    <w:rsid w:val="0015342B"/>
    <w:rsid w:val="00153647"/>
    <w:rsid w:val="00153B0E"/>
    <w:rsid w:val="00153BAE"/>
    <w:rsid w:val="00153D28"/>
    <w:rsid w:val="00153D97"/>
    <w:rsid w:val="001540EE"/>
    <w:rsid w:val="001541F4"/>
    <w:rsid w:val="0015457B"/>
    <w:rsid w:val="001545DB"/>
    <w:rsid w:val="00154A37"/>
    <w:rsid w:val="00154AA7"/>
    <w:rsid w:val="00154D20"/>
    <w:rsid w:val="00154ED5"/>
    <w:rsid w:val="0015561C"/>
    <w:rsid w:val="00155772"/>
    <w:rsid w:val="00155D26"/>
    <w:rsid w:val="00155E09"/>
    <w:rsid w:val="00155EAD"/>
    <w:rsid w:val="00156097"/>
    <w:rsid w:val="001564E8"/>
    <w:rsid w:val="00156573"/>
    <w:rsid w:val="001567E2"/>
    <w:rsid w:val="00156892"/>
    <w:rsid w:val="00156A2E"/>
    <w:rsid w:val="00156D68"/>
    <w:rsid w:val="00156EEE"/>
    <w:rsid w:val="00156F76"/>
    <w:rsid w:val="00156FB0"/>
    <w:rsid w:val="00157384"/>
    <w:rsid w:val="001577A6"/>
    <w:rsid w:val="00157842"/>
    <w:rsid w:val="0015784F"/>
    <w:rsid w:val="00157A97"/>
    <w:rsid w:val="00160141"/>
    <w:rsid w:val="00160292"/>
    <w:rsid w:val="0016037F"/>
    <w:rsid w:val="0016046A"/>
    <w:rsid w:val="001604F8"/>
    <w:rsid w:val="00160527"/>
    <w:rsid w:val="0016078B"/>
    <w:rsid w:val="00160B34"/>
    <w:rsid w:val="00160E60"/>
    <w:rsid w:val="00160E67"/>
    <w:rsid w:val="00161181"/>
    <w:rsid w:val="0016133C"/>
    <w:rsid w:val="0016146A"/>
    <w:rsid w:val="00161949"/>
    <w:rsid w:val="001622E0"/>
    <w:rsid w:val="001626BC"/>
    <w:rsid w:val="00162744"/>
    <w:rsid w:val="00162BC3"/>
    <w:rsid w:val="00162C8E"/>
    <w:rsid w:val="00162EC1"/>
    <w:rsid w:val="00162EDC"/>
    <w:rsid w:val="00162F07"/>
    <w:rsid w:val="00163166"/>
    <w:rsid w:val="00163223"/>
    <w:rsid w:val="0016341D"/>
    <w:rsid w:val="0016346B"/>
    <w:rsid w:val="00163C6A"/>
    <w:rsid w:val="00163CFE"/>
    <w:rsid w:val="00163E1E"/>
    <w:rsid w:val="00164054"/>
    <w:rsid w:val="001640E8"/>
    <w:rsid w:val="001640EB"/>
    <w:rsid w:val="001641E9"/>
    <w:rsid w:val="0016424B"/>
    <w:rsid w:val="00164363"/>
    <w:rsid w:val="00164703"/>
    <w:rsid w:val="00164990"/>
    <w:rsid w:val="00164BF7"/>
    <w:rsid w:val="00164C81"/>
    <w:rsid w:val="00164CB2"/>
    <w:rsid w:val="00164DFE"/>
    <w:rsid w:val="001653C2"/>
    <w:rsid w:val="0016548D"/>
    <w:rsid w:val="0016569A"/>
    <w:rsid w:val="00165AB9"/>
    <w:rsid w:val="00165D5A"/>
    <w:rsid w:val="00165E84"/>
    <w:rsid w:val="00166004"/>
    <w:rsid w:val="001660CF"/>
    <w:rsid w:val="001661DA"/>
    <w:rsid w:val="001662D4"/>
    <w:rsid w:val="00166515"/>
    <w:rsid w:val="00166A65"/>
    <w:rsid w:val="00166ACA"/>
    <w:rsid w:val="00166DCA"/>
    <w:rsid w:val="00166E03"/>
    <w:rsid w:val="00166E58"/>
    <w:rsid w:val="00166EEC"/>
    <w:rsid w:val="00167061"/>
    <w:rsid w:val="001674D3"/>
    <w:rsid w:val="0016759B"/>
    <w:rsid w:val="001677E8"/>
    <w:rsid w:val="001678BA"/>
    <w:rsid w:val="00167964"/>
    <w:rsid w:val="0016799E"/>
    <w:rsid w:val="00167A7D"/>
    <w:rsid w:val="00167E57"/>
    <w:rsid w:val="0017037B"/>
    <w:rsid w:val="001703A1"/>
    <w:rsid w:val="00170570"/>
    <w:rsid w:val="0017079C"/>
    <w:rsid w:val="001707B0"/>
    <w:rsid w:val="00170C6B"/>
    <w:rsid w:val="00170D44"/>
    <w:rsid w:val="0017122C"/>
    <w:rsid w:val="0017137D"/>
    <w:rsid w:val="001713C6"/>
    <w:rsid w:val="001714F2"/>
    <w:rsid w:val="0017153F"/>
    <w:rsid w:val="00171758"/>
    <w:rsid w:val="001718E6"/>
    <w:rsid w:val="00171A38"/>
    <w:rsid w:val="00171C09"/>
    <w:rsid w:val="00171E50"/>
    <w:rsid w:val="00172006"/>
    <w:rsid w:val="00172293"/>
    <w:rsid w:val="0017242D"/>
    <w:rsid w:val="0017258C"/>
    <w:rsid w:val="0017262B"/>
    <w:rsid w:val="001726B0"/>
    <w:rsid w:val="00172A00"/>
    <w:rsid w:val="00172A87"/>
    <w:rsid w:val="00172C5C"/>
    <w:rsid w:val="00173780"/>
    <w:rsid w:val="00173912"/>
    <w:rsid w:val="00173A28"/>
    <w:rsid w:val="00173A8A"/>
    <w:rsid w:val="00173C2E"/>
    <w:rsid w:val="001740B7"/>
    <w:rsid w:val="00174365"/>
    <w:rsid w:val="001744D0"/>
    <w:rsid w:val="001745EC"/>
    <w:rsid w:val="00174743"/>
    <w:rsid w:val="001748DA"/>
    <w:rsid w:val="001749FF"/>
    <w:rsid w:val="00175078"/>
    <w:rsid w:val="001752EC"/>
    <w:rsid w:val="001753AB"/>
    <w:rsid w:val="00175480"/>
    <w:rsid w:val="00175715"/>
    <w:rsid w:val="00175963"/>
    <w:rsid w:val="001759C6"/>
    <w:rsid w:val="00175B1C"/>
    <w:rsid w:val="00175D48"/>
    <w:rsid w:val="00175D91"/>
    <w:rsid w:val="00175E6E"/>
    <w:rsid w:val="001762C3"/>
    <w:rsid w:val="0017639F"/>
    <w:rsid w:val="0017651F"/>
    <w:rsid w:val="001769CD"/>
    <w:rsid w:val="00176F55"/>
    <w:rsid w:val="001772F1"/>
    <w:rsid w:val="00177334"/>
    <w:rsid w:val="00177486"/>
    <w:rsid w:val="00177487"/>
    <w:rsid w:val="00177735"/>
    <w:rsid w:val="00177C77"/>
    <w:rsid w:val="00177E71"/>
    <w:rsid w:val="001803FB"/>
    <w:rsid w:val="00180600"/>
    <w:rsid w:val="00180690"/>
    <w:rsid w:val="00180736"/>
    <w:rsid w:val="00180748"/>
    <w:rsid w:val="0018081E"/>
    <w:rsid w:val="00180ABE"/>
    <w:rsid w:val="00180CC1"/>
    <w:rsid w:val="0018134E"/>
    <w:rsid w:val="00181776"/>
    <w:rsid w:val="00181E38"/>
    <w:rsid w:val="001820E5"/>
    <w:rsid w:val="001825A3"/>
    <w:rsid w:val="001825B6"/>
    <w:rsid w:val="001826DE"/>
    <w:rsid w:val="0018297F"/>
    <w:rsid w:val="00182A9E"/>
    <w:rsid w:val="00182B70"/>
    <w:rsid w:val="00182BDD"/>
    <w:rsid w:val="00182C7E"/>
    <w:rsid w:val="00182CC7"/>
    <w:rsid w:val="00182DF0"/>
    <w:rsid w:val="00182E2B"/>
    <w:rsid w:val="00182FA3"/>
    <w:rsid w:val="00183007"/>
    <w:rsid w:val="00183040"/>
    <w:rsid w:val="001830A4"/>
    <w:rsid w:val="00183410"/>
    <w:rsid w:val="001835CE"/>
    <w:rsid w:val="0018379F"/>
    <w:rsid w:val="001837C1"/>
    <w:rsid w:val="00183A7A"/>
    <w:rsid w:val="00183A9E"/>
    <w:rsid w:val="00183BBF"/>
    <w:rsid w:val="00183FBD"/>
    <w:rsid w:val="00184231"/>
    <w:rsid w:val="0018424D"/>
    <w:rsid w:val="00184349"/>
    <w:rsid w:val="001843E0"/>
    <w:rsid w:val="001845FD"/>
    <w:rsid w:val="00184867"/>
    <w:rsid w:val="00184BC0"/>
    <w:rsid w:val="00185060"/>
    <w:rsid w:val="001855F0"/>
    <w:rsid w:val="00185756"/>
    <w:rsid w:val="00185846"/>
    <w:rsid w:val="00185E83"/>
    <w:rsid w:val="0018617B"/>
    <w:rsid w:val="0018639B"/>
    <w:rsid w:val="0018643F"/>
    <w:rsid w:val="001864E6"/>
    <w:rsid w:val="001865DA"/>
    <w:rsid w:val="00186761"/>
    <w:rsid w:val="00186976"/>
    <w:rsid w:val="00186C83"/>
    <w:rsid w:val="00186E3F"/>
    <w:rsid w:val="00186F21"/>
    <w:rsid w:val="0018712E"/>
    <w:rsid w:val="00187446"/>
    <w:rsid w:val="00187740"/>
    <w:rsid w:val="00187A7B"/>
    <w:rsid w:val="00187D2F"/>
    <w:rsid w:val="00187FA0"/>
    <w:rsid w:val="00190143"/>
    <w:rsid w:val="001902D0"/>
    <w:rsid w:val="00190408"/>
    <w:rsid w:val="0019075C"/>
    <w:rsid w:val="001909F0"/>
    <w:rsid w:val="00190C11"/>
    <w:rsid w:val="001910CB"/>
    <w:rsid w:val="001912B4"/>
    <w:rsid w:val="00191407"/>
    <w:rsid w:val="001914A6"/>
    <w:rsid w:val="001914D0"/>
    <w:rsid w:val="00191651"/>
    <w:rsid w:val="001916B0"/>
    <w:rsid w:val="001916D0"/>
    <w:rsid w:val="001919FA"/>
    <w:rsid w:val="00191E26"/>
    <w:rsid w:val="00192267"/>
    <w:rsid w:val="00192278"/>
    <w:rsid w:val="0019235A"/>
    <w:rsid w:val="001923D7"/>
    <w:rsid w:val="00192473"/>
    <w:rsid w:val="00192869"/>
    <w:rsid w:val="00192A45"/>
    <w:rsid w:val="00192B40"/>
    <w:rsid w:val="00192D03"/>
    <w:rsid w:val="00193624"/>
    <w:rsid w:val="001938A8"/>
    <w:rsid w:val="00193982"/>
    <w:rsid w:val="00194175"/>
    <w:rsid w:val="001944F3"/>
    <w:rsid w:val="00194764"/>
    <w:rsid w:val="001947DA"/>
    <w:rsid w:val="00194858"/>
    <w:rsid w:val="00194A32"/>
    <w:rsid w:val="00194C47"/>
    <w:rsid w:val="00194EBA"/>
    <w:rsid w:val="00195157"/>
    <w:rsid w:val="0019555E"/>
    <w:rsid w:val="00195618"/>
    <w:rsid w:val="001957BC"/>
    <w:rsid w:val="00195A41"/>
    <w:rsid w:val="00195DF1"/>
    <w:rsid w:val="00195FB9"/>
    <w:rsid w:val="0019633F"/>
    <w:rsid w:val="00196793"/>
    <w:rsid w:val="00196950"/>
    <w:rsid w:val="00196B6D"/>
    <w:rsid w:val="00196CE7"/>
    <w:rsid w:val="00196DFD"/>
    <w:rsid w:val="00197087"/>
    <w:rsid w:val="0019713E"/>
    <w:rsid w:val="0019736B"/>
    <w:rsid w:val="0019751D"/>
    <w:rsid w:val="001975B4"/>
    <w:rsid w:val="00197A64"/>
    <w:rsid w:val="00197FA2"/>
    <w:rsid w:val="00197FBA"/>
    <w:rsid w:val="001A04A9"/>
    <w:rsid w:val="001A073F"/>
    <w:rsid w:val="001A0880"/>
    <w:rsid w:val="001A097F"/>
    <w:rsid w:val="001A0AA4"/>
    <w:rsid w:val="001A0C19"/>
    <w:rsid w:val="001A0E9F"/>
    <w:rsid w:val="001A1014"/>
    <w:rsid w:val="001A1161"/>
    <w:rsid w:val="001A144C"/>
    <w:rsid w:val="001A17A0"/>
    <w:rsid w:val="001A1862"/>
    <w:rsid w:val="001A1BDF"/>
    <w:rsid w:val="001A1CA8"/>
    <w:rsid w:val="001A1CBB"/>
    <w:rsid w:val="001A1D23"/>
    <w:rsid w:val="001A2086"/>
    <w:rsid w:val="001A2347"/>
    <w:rsid w:val="001A2377"/>
    <w:rsid w:val="001A28EF"/>
    <w:rsid w:val="001A29CE"/>
    <w:rsid w:val="001A2B92"/>
    <w:rsid w:val="001A2C87"/>
    <w:rsid w:val="001A2EDD"/>
    <w:rsid w:val="001A2F3A"/>
    <w:rsid w:val="001A3565"/>
    <w:rsid w:val="001A384E"/>
    <w:rsid w:val="001A3A64"/>
    <w:rsid w:val="001A3B73"/>
    <w:rsid w:val="001A3CE6"/>
    <w:rsid w:val="001A4233"/>
    <w:rsid w:val="001A4431"/>
    <w:rsid w:val="001A454B"/>
    <w:rsid w:val="001A45D3"/>
    <w:rsid w:val="001A46CD"/>
    <w:rsid w:val="001A48D5"/>
    <w:rsid w:val="001A4C48"/>
    <w:rsid w:val="001A4EB6"/>
    <w:rsid w:val="001A5294"/>
    <w:rsid w:val="001A55C1"/>
    <w:rsid w:val="001A5771"/>
    <w:rsid w:val="001A589D"/>
    <w:rsid w:val="001A594A"/>
    <w:rsid w:val="001A5A69"/>
    <w:rsid w:val="001A5B7A"/>
    <w:rsid w:val="001A5CFE"/>
    <w:rsid w:val="001A5E50"/>
    <w:rsid w:val="001A60E0"/>
    <w:rsid w:val="001A60E5"/>
    <w:rsid w:val="001A62D3"/>
    <w:rsid w:val="001A6623"/>
    <w:rsid w:val="001A6675"/>
    <w:rsid w:val="001A75A3"/>
    <w:rsid w:val="001A75C8"/>
    <w:rsid w:val="001A7CF8"/>
    <w:rsid w:val="001A7E96"/>
    <w:rsid w:val="001A7EAB"/>
    <w:rsid w:val="001B00DC"/>
    <w:rsid w:val="001B0103"/>
    <w:rsid w:val="001B01FC"/>
    <w:rsid w:val="001B02CB"/>
    <w:rsid w:val="001B03DE"/>
    <w:rsid w:val="001B06AA"/>
    <w:rsid w:val="001B0785"/>
    <w:rsid w:val="001B0A05"/>
    <w:rsid w:val="001B0BE1"/>
    <w:rsid w:val="001B0C50"/>
    <w:rsid w:val="001B0CFE"/>
    <w:rsid w:val="001B0D64"/>
    <w:rsid w:val="001B0F6B"/>
    <w:rsid w:val="001B12EC"/>
    <w:rsid w:val="001B1610"/>
    <w:rsid w:val="001B1947"/>
    <w:rsid w:val="001B1A3F"/>
    <w:rsid w:val="001B1E1C"/>
    <w:rsid w:val="001B2132"/>
    <w:rsid w:val="001B2519"/>
    <w:rsid w:val="001B26C0"/>
    <w:rsid w:val="001B2AC1"/>
    <w:rsid w:val="001B2C54"/>
    <w:rsid w:val="001B2CEA"/>
    <w:rsid w:val="001B2EF9"/>
    <w:rsid w:val="001B3162"/>
    <w:rsid w:val="001B3190"/>
    <w:rsid w:val="001B31A9"/>
    <w:rsid w:val="001B3433"/>
    <w:rsid w:val="001B34B3"/>
    <w:rsid w:val="001B3838"/>
    <w:rsid w:val="001B38C9"/>
    <w:rsid w:val="001B3956"/>
    <w:rsid w:val="001B3C12"/>
    <w:rsid w:val="001B3D51"/>
    <w:rsid w:val="001B3E33"/>
    <w:rsid w:val="001B4231"/>
    <w:rsid w:val="001B4407"/>
    <w:rsid w:val="001B44B4"/>
    <w:rsid w:val="001B455D"/>
    <w:rsid w:val="001B481E"/>
    <w:rsid w:val="001B4D7B"/>
    <w:rsid w:val="001B4E3E"/>
    <w:rsid w:val="001B510D"/>
    <w:rsid w:val="001B517F"/>
    <w:rsid w:val="001B522C"/>
    <w:rsid w:val="001B5252"/>
    <w:rsid w:val="001B545B"/>
    <w:rsid w:val="001B59BE"/>
    <w:rsid w:val="001B5BCA"/>
    <w:rsid w:val="001B5E44"/>
    <w:rsid w:val="001B5F81"/>
    <w:rsid w:val="001B5FC7"/>
    <w:rsid w:val="001B60A3"/>
    <w:rsid w:val="001B6268"/>
    <w:rsid w:val="001B6308"/>
    <w:rsid w:val="001B6453"/>
    <w:rsid w:val="001B6609"/>
    <w:rsid w:val="001B6959"/>
    <w:rsid w:val="001B69DB"/>
    <w:rsid w:val="001B6DD4"/>
    <w:rsid w:val="001B7137"/>
    <w:rsid w:val="001B79CC"/>
    <w:rsid w:val="001B7BCA"/>
    <w:rsid w:val="001B7CEC"/>
    <w:rsid w:val="001B7E13"/>
    <w:rsid w:val="001B7E8A"/>
    <w:rsid w:val="001B7F0D"/>
    <w:rsid w:val="001B7FAC"/>
    <w:rsid w:val="001C0070"/>
    <w:rsid w:val="001C0120"/>
    <w:rsid w:val="001C01E4"/>
    <w:rsid w:val="001C02B9"/>
    <w:rsid w:val="001C0516"/>
    <w:rsid w:val="001C087F"/>
    <w:rsid w:val="001C09A2"/>
    <w:rsid w:val="001C0A6D"/>
    <w:rsid w:val="001C0A79"/>
    <w:rsid w:val="001C0B0A"/>
    <w:rsid w:val="001C0CF8"/>
    <w:rsid w:val="001C0DA0"/>
    <w:rsid w:val="001C1218"/>
    <w:rsid w:val="001C132C"/>
    <w:rsid w:val="001C15CE"/>
    <w:rsid w:val="001C1762"/>
    <w:rsid w:val="001C179A"/>
    <w:rsid w:val="001C1AC3"/>
    <w:rsid w:val="001C1D75"/>
    <w:rsid w:val="001C1F37"/>
    <w:rsid w:val="001C214E"/>
    <w:rsid w:val="001C2233"/>
    <w:rsid w:val="001C22E2"/>
    <w:rsid w:val="001C231E"/>
    <w:rsid w:val="001C23D9"/>
    <w:rsid w:val="001C2980"/>
    <w:rsid w:val="001C2E8A"/>
    <w:rsid w:val="001C2FB9"/>
    <w:rsid w:val="001C2FF0"/>
    <w:rsid w:val="001C30EF"/>
    <w:rsid w:val="001C3314"/>
    <w:rsid w:val="001C349E"/>
    <w:rsid w:val="001C3785"/>
    <w:rsid w:val="001C3843"/>
    <w:rsid w:val="001C3B77"/>
    <w:rsid w:val="001C3F0D"/>
    <w:rsid w:val="001C3F92"/>
    <w:rsid w:val="001C3F9F"/>
    <w:rsid w:val="001C3FA6"/>
    <w:rsid w:val="001C406B"/>
    <w:rsid w:val="001C40F4"/>
    <w:rsid w:val="001C4183"/>
    <w:rsid w:val="001C41B9"/>
    <w:rsid w:val="001C41CD"/>
    <w:rsid w:val="001C4256"/>
    <w:rsid w:val="001C4417"/>
    <w:rsid w:val="001C457C"/>
    <w:rsid w:val="001C473F"/>
    <w:rsid w:val="001C4880"/>
    <w:rsid w:val="001C4993"/>
    <w:rsid w:val="001C4A0E"/>
    <w:rsid w:val="001C4B0D"/>
    <w:rsid w:val="001C4C9E"/>
    <w:rsid w:val="001C4DE6"/>
    <w:rsid w:val="001C4F2F"/>
    <w:rsid w:val="001C4F71"/>
    <w:rsid w:val="001C540A"/>
    <w:rsid w:val="001C541F"/>
    <w:rsid w:val="001C57E5"/>
    <w:rsid w:val="001C59F0"/>
    <w:rsid w:val="001C5C1A"/>
    <w:rsid w:val="001C5E32"/>
    <w:rsid w:val="001C5E95"/>
    <w:rsid w:val="001C5EEA"/>
    <w:rsid w:val="001C6020"/>
    <w:rsid w:val="001C6154"/>
    <w:rsid w:val="001C624C"/>
    <w:rsid w:val="001C6355"/>
    <w:rsid w:val="001C663B"/>
    <w:rsid w:val="001C6697"/>
    <w:rsid w:val="001C6958"/>
    <w:rsid w:val="001C6C3F"/>
    <w:rsid w:val="001C6E9D"/>
    <w:rsid w:val="001C70BE"/>
    <w:rsid w:val="001C7820"/>
    <w:rsid w:val="001C7D7D"/>
    <w:rsid w:val="001C7D9F"/>
    <w:rsid w:val="001D02FD"/>
    <w:rsid w:val="001D07A6"/>
    <w:rsid w:val="001D08B9"/>
    <w:rsid w:val="001D0A4C"/>
    <w:rsid w:val="001D0D05"/>
    <w:rsid w:val="001D0DA5"/>
    <w:rsid w:val="001D113B"/>
    <w:rsid w:val="001D1163"/>
    <w:rsid w:val="001D137D"/>
    <w:rsid w:val="001D17BF"/>
    <w:rsid w:val="001D1E80"/>
    <w:rsid w:val="001D2175"/>
    <w:rsid w:val="001D22FE"/>
    <w:rsid w:val="001D2845"/>
    <w:rsid w:val="001D2894"/>
    <w:rsid w:val="001D28AD"/>
    <w:rsid w:val="001D2D4D"/>
    <w:rsid w:val="001D30D5"/>
    <w:rsid w:val="001D3203"/>
    <w:rsid w:val="001D3278"/>
    <w:rsid w:val="001D3381"/>
    <w:rsid w:val="001D35E9"/>
    <w:rsid w:val="001D37A4"/>
    <w:rsid w:val="001D3BE5"/>
    <w:rsid w:val="001D3D88"/>
    <w:rsid w:val="001D3FDD"/>
    <w:rsid w:val="001D43AC"/>
    <w:rsid w:val="001D442D"/>
    <w:rsid w:val="001D4681"/>
    <w:rsid w:val="001D46B4"/>
    <w:rsid w:val="001D49F5"/>
    <w:rsid w:val="001D4C42"/>
    <w:rsid w:val="001D4E92"/>
    <w:rsid w:val="001D5082"/>
    <w:rsid w:val="001D5295"/>
    <w:rsid w:val="001D592C"/>
    <w:rsid w:val="001D5963"/>
    <w:rsid w:val="001D5B61"/>
    <w:rsid w:val="001D5CCC"/>
    <w:rsid w:val="001D5EB9"/>
    <w:rsid w:val="001D5F4D"/>
    <w:rsid w:val="001D6413"/>
    <w:rsid w:val="001D65BF"/>
    <w:rsid w:val="001D65CA"/>
    <w:rsid w:val="001D66A0"/>
    <w:rsid w:val="001D670D"/>
    <w:rsid w:val="001D6728"/>
    <w:rsid w:val="001D6899"/>
    <w:rsid w:val="001D6912"/>
    <w:rsid w:val="001D6A58"/>
    <w:rsid w:val="001D6A77"/>
    <w:rsid w:val="001D6E54"/>
    <w:rsid w:val="001D6E91"/>
    <w:rsid w:val="001D6EB2"/>
    <w:rsid w:val="001D6FFC"/>
    <w:rsid w:val="001D707C"/>
    <w:rsid w:val="001D77AA"/>
    <w:rsid w:val="001D789F"/>
    <w:rsid w:val="001D79DC"/>
    <w:rsid w:val="001D7A38"/>
    <w:rsid w:val="001D7B81"/>
    <w:rsid w:val="001D7DB7"/>
    <w:rsid w:val="001D7E2C"/>
    <w:rsid w:val="001E0030"/>
    <w:rsid w:val="001E0190"/>
    <w:rsid w:val="001E01F3"/>
    <w:rsid w:val="001E0292"/>
    <w:rsid w:val="001E04FE"/>
    <w:rsid w:val="001E059D"/>
    <w:rsid w:val="001E0762"/>
    <w:rsid w:val="001E0794"/>
    <w:rsid w:val="001E07A0"/>
    <w:rsid w:val="001E07B3"/>
    <w:rsid w:val="001E0957"/>
    <w:rsid w:val="001E09BB"/>
    <w:rsid w:val="001E0C3C"/>
    <w:rsid w:val="001E0C99"/>
    <w:rsid w:val="001E0D12"/>
    <w:rsid w:val="001E0E8D"/>
    <w:rsid w:val="001E0F84"/>
    <w:rsid w:val="001E0FA6"/>
    <w:rsid w:val="001E121B"/>
    <w:rsid w:val="001E17B8"/>
    <w:rsid w:val="001E184F"/>
    <w:rsid w:val="001E1926"/>
    <w:rsid w:val="001E1B13"/>
    <w:rsid w:val="001E1F91"/>
    <w:rsid w:val="001E2346"/>
    <w:rsid w:val="001E2883"/>
    <w:rsid w:val="001E2899"/>
    <w:rsid w:val="001E32FA"/>
    <w:rsid w:val="001E33FD"/>
    <w:rsid w:val="001E36DF"/>
    <w:rsid w:val="001E38BF"/>
    <w:rsid w:val="001E39B2"/>
    <w:rsid w:val="001E3A1E"/>
    <w:rsid w:val="001E3A3D"/>
    <w:rsid w:val="001E3A63"/>
    <w:rsid w:val="001E3D26"/>
    <w:rsid w:val="001E40F3"/>
    <w:rsid w:val="001E41FB"/>
    <w:rsid w:val="001E42F7"/>
    <w:rsid w:val="001E4676"/>
    <w:rsid w:val="001E4914"/>
    <w:rsid w:val="001E4AB8"/>
    <w:rsid w:val="001E4B79"/>
    <w:rsid w:val="001E4F18"/>
    <w:rsid w:val="001E5333"/>
    <w:rsid w:val="001E5353"/>
    <w:rsid w:val="001E5644"/>
    <w:rsid w:val="001E5C49"/>
    <w:rsid w:val="001E60C0"/>
    <w:rsid w:val="001E621F"/>
    <w:rsid w:val="001E63DF"/>
    <w:rsid w:val="001E64D6"/>
    <w:rsid w:val="001E68B9"/>
    <w:rsid w:val="001E6C29"/>
    <w:rsid w:val="001E6E05"/>
    <w:rsid w:val="001E705F"/>
    <w:rsid w:val="001E7694"/>
    <w:rsid w:val="001E7696"/>
    <w:rsid w:val="001E77E7"/>
    <w:rsid w:val="001E7912"/>
    <w:rsid w:val="001E7A02"/>
    <w:rsid w:val="001E7C38"/>
    <w:rsid w:val="001E7DB2"/>
    <w:rsid w:val="001F072D"/>
    <w:rsid w:val="001F0742"/>
    <w:rsid w:val="001F0936"/>
    <w:rsid w:val="001F0A50"/>
    <w:rsid w:val="001F122B"/>
    <w:rsid w:val="001F1487"/>
    <w:rsid w:val="001F1494"/>
    <w:rsid w:val="001F14BD"/>
    <w:rsid w:val="001F1677"/>
    <w:rsid w:val="001F17C3"/>
    <w:rsid w:val="001F187F"/>
    <w:rsid w:val="001F195C"/>
    <w:rsid w:val="001F1E08"/>
    <w:rsid w:val="001F1EDB"/>
    <w:rsid w:val="001F20EF"/>
    <w:rsid w:val="001F2112"/>
    <w:rsid w:val="001F2294"/>
    <w:rsid w:val="001F2365"/>
    <w:rsid w:val="001F252F"/>
    <w:rsid w:val="001F2657"/>
    <w:rsid w:val="001F2BC9"/>
    <w:rsid w:val="001F2DA2"/>
    <w:rsid w:val="001F2ECE"/>
    <w:rsid w:val="001F30B4"/>
    <w:rsid w:val="001F3104"/>
    <w:rsid w:val="001F313F"/>
    <w:rsid w:val="001F31B3"/>
    <w:rsid w:val="001F327F"/>
    <w:rsid w:val="001F35A3"/>
    <w:rsid w:val="001F378A"/>
    <w:rsid w:val="001F37D7"/>
    <w:rsid w:val="001F388D"/>
    <w:rsid w:val="001F421A"/>
    <w:rsid w:val="001F446B"/>
    <w:rsid w:val="001F4554"/>
    <w:rsid w:val="001F473E"/>
    <w:rsid w:val="001F491B"/>
    <w:rsid w:val="001F4958"/>
    <w:rsid w:val="001F4A08"/>
    <w:rsid w:val="001F4E3A"/>
    <w:rsid w:val="001F4F04"/>
    <w:rsid w:val="001F5029"/>
    <w:rsid w:val="001F5352"/>
    <w:rsid w:val="001F53FE"/>
    <w:rsid w:val="001F572B"/>
    <w:rsid w:val="001F5A44"/>
    <w:rsid w:val="001F5A4C"/>
    <w:rsid w:val="001F5A6F"/>
    <w:rsid w:val="001F5DB1"/>
    <w:rsid w:val="001F5E1C"/>
    <w:rsid w:val="001F6385"/>
    <w:rsid w:val="001F656D"/>
    <w:rsid w:val="001F6638"/>
    <w:rsid w:val="001F664F"/>
    <w:rsid w:val="001F67CF"/>
    <w:rsid w:val="001F6BA0"/>
    <w:rsid w:val="001F7305"/>
    <w:rsid w:val="001F75C8"/>
    <w:rsid w:val="001F7784"/>
    <w:rsid w:val="001F781E"/>
    <w:rsid w:val="001F7CC2"/>
    <w:rsid w:val="001F7E98"/>
    <w:rsid w:val="001F7F81"/>
    <w:rsid w:val="00200145"/>
    <w:rsid w:val="002002FD"/>
    <w:rsid w:val="0020038A"/>
    <w:rsid w:val="0020051D"/>
    <w:rsid w:val="0020052D"/>
    <w:rsid w:val="002006E6"/>
    <w:rsid w:val="00200923"/>
    <w:rsid w:val="00200A3B"/>
    <w:rsid w:val="00200CB1"/>
    <w:rsid w:val="00200E7F"/>
    <w:rsid w:val="00200EE2"/>
    <w:rsid w:val="0020112E"/>
    <w:rsid w:val="002011CE"/>
    <w:rsid w:val="002013B3"/>
    <w:rsid w:val="002013D3"/>
    <w:rsid w:val="00201718"/>
    <w:rsid w:val="00201791"/>
    <w:rsid w:val="0020192C"/>
    <w:rsid w:val="00201935"/>
    <w:rsid w:val="00201966"/>
    <w:rsid w:val="00201C95"/>
    <w:rsid w:val="00201CCF"/>
    <w:rsid w:val="00201CDA"/>
    <w:rsid w:val="00201D37"/>
    <w:rsid w:val="00201DD4"/>
    <w:rsid w:val="00201E45"/>
    <w:rsid w:val="00201F9C"/>
    <w:rsid w:val="002020A4"/>
    <w:rsid w:val="00202169"/>
    <w:rsid w:val="002021A7"/>
    <w:rsid w:val="002023C5"/>
    <w:rsid w:val="00202BB1"/>
    <w:rsid w:val="00202D24"/>
    <w:rsid w:val="00203484"/>
    <w:rsid w:val="00203515"/>
    <w:rsid w:val="002035AB"/>
    <w:rsid w:val="00203749"/>
    <w:rsid w:val="00203A29"/>
    <w:rsid w:val="00203B7E"/>
    <w:rsid w:val="00203C41"/>
    <w:rsid w:val="00203D7B"/>
    <w:rsid w:val="002041A3"/>
    <w:rsid w:val="002043CA"/>
    <w:rsid w:val="002044A5"/>
    <w:rsid w:val="002046C9"/>
    <w:rsid w:val="00204BF7"/>
    <w:rsid w:val="00204C92"/>
    <w:rsid w:val="00204CE3"/>
    <w:rsid w:val="00204E11"/>
    <w:rsid w:val="00205033"/>
    <w:rsid w:val="002050BB"/>
    <w:rsid w:val="002050FF"/>
    <w:rsid w:val="00205571"/>
    <w:rsid w:val="00205711"/>
    <w:rsid w:val="002058EE"/>
    <w:rsid w:val="00205B40"/>
    <w:rsid w:val="00205C2C"/>
    <w:rsid w:val="00205C8B"/>
    <w:rsid w:val="00205FCA"/>
    <w:rsid w:val="00206303"/>
    <w:rsid w:val="0020672E"/>
    <w:rsid w:val="002067E5"/>
    <w:rsid w:val="0020682C"/>
    <w:rsid w:val="00206871"/>
    <w:rsid w:val="0020690B"/>
    <w:rsid w:val="00206A78"/>
    <w:rsid w:val="00206B0E"/>
    <w:rsid w:val="00206CAC"/>
    <w:rsid w:val="00206CB5"/>
    <w:rsid w:val="00206D7B"/>
    <w:rsid w:val="00206FA9"/>
    <w:rsid w:val="00207535"/>
    <w:rsid w:val="00207805"/>
    <w:rsid w:val="00207A00"/>
    <w:rsid w:val="00207AFE"/>
    <w:rsid w:val="00207B05"/>
    <w:rsid w:val="00207B77"/>
    <w:rsid w:val="00207BC0"/>
    <w:rsid w:val="00207E87"/>
    <w:rsid w:val="0021009F"/>
    <w:rsid w:val="002105D9"/>
    <w:rsid w:val="002108DB"/>
    <w:rsid w:val="00210B58"/>
    <w:rsid w:val="00210D7C"/>
    <w:rsid w:val="00210E39"/>
    <w:rsid w:val="00211181"/>
    <w:rsid w:val="002119F1"/>
    <w:rsid w:val="00211D5E"/>
    <w:rsid w:val="00211E77"/>
    <w:rsid w:val="00211E84"/>
    <w:rsid w:val="00211F7E"/>
    <w:rsid w:val="00212194"/>
    <w:rsid w:val="002123B3"/>
    <w:rsid w:val="002123C7"/>
    <w:rsid w:val="002123E5"/>
    <w:rsid w:val="0021266B"/>
    <w:rsid w:val="002129A6"/>
    <w:rsid w:val="002129C3"/>
    <w:rsid w:val="00212A52"/>
    <w:rsid w:val="00212E96"/>
    <w:rsid w:val="0021302D"/>
    <w:rsid w:val="002135C6"/>
    <w:rsid w:val="00213952"/>
    <w:rsid w:val="00213959"/>
    <w:rsid w:val="00213B97"/>
    <w:rsid w:val="00213BD4"/>
    <w:rsid w:val="00213DA2"/>
    <w:rsid w:val="00213F2D"/>
    <w:rsid w:val="002141A0"/>
    <w:rsid w:val="002141EA"/>
    <w:rsid w:val="00214252"/>
    <w:rsid w:val="002143BB"/>
    <w:rsid w:val="002143E9"/>
    <w:rsid w:val="00214709"/>
    <w:rsid w:val="00214AE4"/>
    <w:rsid w:val="00214D72"/>
    <w:rsid w:val="00214E96"/>
    <w:rsid w:val="0021519F"/>
    <w:rsid w:val="002156A9"/>
    <w:rsid w:val="002156FA"/>
    <w:rsid w:val="00215909"/>
    <w:rsid w:val="0021593C"/>
    <w:rsid w:val="00215BF1"/>
    <w:rsid w:val="00215C25"/>
    <w:rsid w:val="00215CFE"/>
    <w:rsid w:val="00215E76"/>
    <w:rsid w:val="00215FB4"/>
    <w:rsid w:val="002160F7"/>
    <w:rsid w:val="00216136"/>
    <w:rsid w:val="00216177"/>
    <w:rsid w:val="00216325"/>
    <w:rsid w:val="002163A4"/>
    <w:rsid w:val="0021647C"/>
    <w:rsid w:val="0021662C"/>
    <w:rsid w:val="00216680"/>
    <w:rsid w:val="0021690D"/>
    <w:rsid w:val="00216A88"/>
    <w:rsid w:val="00216D4B"/>
    <w:rsid w:val="00216E00"/>
    <w:rsid w:val="00216FEB"/>
    <w:rsid w:val="002172E6"/>
    <w:rsid w:val="002173AB"/>
    <w:rsid w:val="00217686"/>
    <w:rsid w:val="00217725"/>
    <w:rsid w:val="0021783B"/>
    <w:rsid w:val="00217994"/>
    <w:rsid w:val="00217CD1"/>
    <w:rsid w:val="00217D04"/>
    <w:rsid w:val="002200C6"/>
    <w:rsid w:val="00220304"/>
    <w:rsid w:val="0022048C"/>
    <w:rsid w:val="00220880"/>
    <w:rsid w:val="002209EE"/>
    <w:rsid w:val="00220D77"/>
    <w:rsid w:val="00220E28"/>
    <w:rsid w:val="002212A5"/>
    <w:rsid w:val="002212F0"/>
    <w:rsid w:val="002213BC"/>
    <w:rsid w:val="00221517"/>
    <w:rsid w:val="0022162B"/>
    <w:rsid w:val="0022168A"/>
    <w:rsid w:val="00221AA3"/>
    <w:rsid w:val="00221F39"/>
    <w:rsid w:val="00222140"/>
    <w:rsid w:val="002221FA"/>
    <w:rsid w:val="00222376"/>
    <w:rsid w:val="002225AC"/>
    <w:rsid w:val="002225E2"/>
    <w:rsid w:val="00222870"/>
    <w:rsid w:val="00222AF1"/>
    <w:rsid w:val="00222E70"/>
    <w:rsid w:val="00222F83"/>
    <w:rsid w:val="002233D5"/>
    <w:rsid w:val="002234B9"/>
    <w:rsid w:val="0022350C"/>
    <w:rsid w:val="002236A2"/>
    <w:rsid w:val="0022389E"/>
    <w:rsid w:val="002238B4"/>
    <w:rsid w:val="00223C11"/>
    <w:rsid w:val="00223EFC"/>
    <w:rsid w:val="002240B3"/>
    <w:rsid w:val="002240EE"/>
    <w:rsid w:val="00224622"/>
    <w:rsid w:val="002248E8"/>
    <w:rsid w:val="00224A4A"/>
    <w:rsid w:val="00224EC4"/>
    <w:rsid w:val="00224EFC"/>
    <w:rsid w:val="00225456"/>
    <w:rsid w:val="002254A1"/>
    <w:rsid w:val="00225761"/>
    <w:rsid w:val="002257CE"/>
    <w:rsid w:val="00225898"/>
    <w:rsid w:val="00225A3D"/>
    <w:rsid w:val="00225E89"/>
    <w:rsid w:val="00225F47"/>
    <w:rsid w:val="00226225"/>
    <w:rsid w:val="00226228"/>
    <w:rsid w:val="00226464"/>
    <w:rsid w:val="002264BE"/>
    <w:rsid w:val="002265D8"/>
    <w:rsid w:val="0022661D"/>
    <w:rsid w:val="002268B2"/>
    <w:rsid w:val="00226D1D"/>
    <w:rsid w:val="00226F95"/>
    <w:rsid w:val="0022715D"/>
    <w:rsid w:val="0022721E"/>
    <w:rsid w:val="002274B9"/>
    <w:rsid w:val="00227592"/>
    <w:rsid w:val="00227652"/>
    <w:rsid w:val="00227785"/>
    <w:rsid w:val="00227843"/>
    <w:rsid w:val="002279A6"/>
    <w:rsid w:val="00227C01"/>
    <w:rsid w:val="00227DDC"/>
    <w:rsid w:val="00227E15"/>
    <w:rsid w:val="002300E8"/>
    <w:rsid w:val="002301A3"/>
    <w:rsid w:val="002301F6"/>
    <w:rsid w:val="00230B1F"/>
    <w:rsid w:val="00230DA6"/>
    <w:rsid w:val="00230E02"/>
    <w:rsid w:val="00230E84"/>
    <w:rsid w:val="0023122F"/>
    <w:rsid w:val="0023149E"/>
    <w:rsid w:val="00231801"/>
    <w:rsid w:val="00232968"/>
    <w:rsid w:val="00232B0A"/>
    <w:rsid w:val="00232B51"/>
    <w:rsid w:val="00232BA8"/>
    <w:rsid w:val="00232C61"/>
    <w:rsid w:val="00232C6C"/>
    <w:rsid w:val="00232C95"/>
    <w:rsid w:val="00232DE4"/>
    <w:rsid w:val="00232E1B"/>
    <w:rsid w:val="00233090"/>
    <w:rsid w:val="00233258"/>
    <w:rsid w:val="002333CF"/>
    <w:rsid w:val="00233448"/>
    <w:rsid w:val="0023347F"/>
    <w:rsid w:val="00233790"/>
    <w:rsid w:val="0023389E"/>
    <w:rsid w:val="002339A2"/>
    <w:rsid w:val="00233B43"/>
    <w:rsid w:val="00233C86"/>
    <w:rsid w:val="00233DD1"/>
    <w:rsid w:val="00233FA6"/>
    <w:rsid w:val="00234307"/>
    <w:rsid w:val="002343DB"/>
    <w:rsid w:val="00234403"/>
    <w:rsid w:val="002345EE"/>
    <w:rsid w:val="00234871"/>
    <w:rsid w:val="00234C63"/>
    <w:rsid w:val="00234E81"/>
    <w:rsid w:val="002351D3"/>
    <w:rsid w:val="00235224"/>
    <w:rsid w:val="00235320"/>
    <w:rsid w:val="0023535E"/>
    <w:rsid w:val="002353C1"/>
    <w:rsid w:val="002353C4"/>
    <w:rsid w:val="0023556C"/>
    <w:rsid w:val="00235A03"/>
    <w:rsid w:val="00235CEF"/>
    <w:rsid w:val="00235D1F"/>
    <w:rsid w:val="002363BB"/>
    <w:rsid w:val="00236470"/>
    <w:rsid w:val="00236655"/>
    <w:rsid w:val="00236682"/>
    <w:rsid w:val="002366CB"/>
    <w:rsid w:val="002366EA"/>
    <w:rsid w:val="0023690E"/>
    <w:rsid w:val="0023691C"/>
    <w:rsid w:val="00236BE8"/>
    <w:rsid w:val="00236D48"/>
    <w:rsid w:val="00236E94"/>
    <w:rsid w:val="00237200"/>
    <w:rsid w:val="00237210"/>
    <w:rsid w:val="002373AB"/>
    <w:rsid w:val="00237443"/>
    <w:rsid w:val="00237521"/>
    <w:rsid w:val="0023772A"/>
    <w:rsid w:val="00237A27"/>
    <w:rsid w:val="00237A52"/>
    <w:rsid w:val="00237B3A"/>
    <w:rsid w:val="00237E27"/>
    <w:rsid w:val="00240006"/>
    <w:rsid w:val="002400B0"/>
    <w:rsid w:val="002401DB"/>
    <w:rsid w:val="00240369"/>
    <w:rsid w:val="00240550"/>
    <w:rsid w:val="002406D5"/>
    <w:rsid w:val="0024086E"/>
    <w:rsid w:val="002408B8"/>
    <w:rsid w:val="002408C3"/>
    <w:rsid w:val="00240AB2"/>
    <w:rsid w:val="00240ABA"/>
    <w:rsid w:val="00240FFF"/>
    <w:rsid w:val="002411FB"/>
    <w:rsid w:val="002415C3"/>
    <w:rsid w:val="002415D4"/>
    <w:rsid w:val="002416AF"/>
    <w:rsid w:val="00241780"/>
    <w:rsid w:val="00241A0A"/>
    <w:rsid w:val="00241B8B"/>
    <w:rsid w:val="00241D02"/>
    <w:rsid w:val="00241EBF"/>
    <w:rsid w:val="002420E0"/>
    <w:rsid w:val="0024229D"/>
    <w:rsid w:val="0024256C"/>
    <w:rsid w:val="0024257D"/>
    <w:rsid w:val="002429AD"/>
    <w:rsid w:val="00242A14"/>
    <w:rsid w:val="00242D29"/>
    <w:rsid w:val="002430BE"/>
    <w:rsid w:val="00243188"/>
    <w:rsid w:val="002433E6"/>
    <w:rsid w:val="0024381E"/>
    <w:rsid w:val="00243A1E"/>
    <w:rsid w:val="00243DCF"/>
    <w:rsid w:val="00243EDF"/>
    <w:rsid w:val="00243F68"/>
    <w:rsid w:val="00244100"/>
    <w:rsid w:val="0024414D"/>
    <w:rsid w:val="00244240"/>
    <w:rsid w:val="0024428B"/>
    <w:rsid w:val="00244358"/>
    <w:rsid w:val="002446AE"/>
    <w:rsid w:val="002448A4"/>
    <w:rsid w:val="002449A8"/>
    <w:rsid w:val="002449AE"/>
    <w:rsid w:val="00244A5A"/>
    <w:rsid w:val="00244A60"/>
    <w:rsid w:val="00244C8D"/>
    <w:rsid w:val="00244F21"/>
    <w:rsid w:val="00244F9D"/>
    <w:rsid w:val="00245406"/>
    <w:rsid w:val="002459BB"/>
    <w:rsid w:val="00245C64"/>
    <w:rsid w:val="00245E44"/>
    <w:rsid w:val="00245F97"/>
    <w:rsid w:val="0024602F"/>
    <w:rsid w:val="00246052"/>
    <w:rsid w:val="00246561"/>
    <w:rsid w:val="0024675E"/>
    <w:rsid w:val="00247122"/>
    <w:rsid w:val="0024727D"/>
    <w:rsid w:val="00247477"/>
    <w:rsid w:val="0024757A"/>
    <w:rsid w:val="00250185"/>
    <w:rsid w:val="002504A3"/>
    <w:rsid w:val="002504EA"/>
    <w:rsid w:val="00250792"/>
    <w:rsid w:val="00250A7D"/>
    <w:rsid w:val="00250BD3"/>
    <w:rsid w:val="00250D75"/>
    <w:rsid w:val="00250D98"/>
    <w:rsid w:val="00250E79"/>
    <w:rsid w:val="00250ECA"/>
    <w:rsid w:val="00251015"/>
    <w:rsid w:val="002515F0"/>
    <w:rsid w:val="002518DC"/>
    <w:rsid w:val="00251965"/>
    <w:rsid w:val="00251BA4"/>
    <w:rsid w:val="00252117"/>
    <w:rsid w:val="0025219E"/>
    <w:rsid w:val="002521B7"/>
    <w:rsid w:val="0025236E"/>
    <w:rsid w:val="002523B5"/>
    <w:rsid w:val="00252AF8"/>
    <w:rsid w:val="00252F9F"/>
    <w:rsid w:val="00253112"/>
    <w:rsid w:val="002532F3"/>
    <w:rsid w:val="002535A4"/>
    <w:rsid w:val="00253712"/>
    <w:rsid w:val="0025375F"/>
    <w:rsid w:val="00253977"/>
    <w:rsid w:val="00253A73"/>
    <w:rsid w:val="00253ADA"/>
    <w:rsid w:val="00253D88"/>
    <w:rsid w:val="002542A1"/>
    <w:rsid w:val="002542F6"/>
    <w:rsid w:val="002546C0"/>
    <w:rsid w:val="00254B86"/>
    <w:rsid w:val="00254C88"/>
    <w:rsid w:val="00254E39"/>
    <w:rsid w:val="00254E7C"/>
    <w:rsid w:val="00254F39"/>
    <w:rsid w:val="00254FC4"/>
    <w:rsid w:val="002551E9"/>
    <w:rsid w:val="00255656"/>
    <w:rsid w:val="002557FC"/>
    <w:rsid w:val="00255808"/>
    <w:rsid w:val="00255984"/>
    <w:rsid w:val="00255A83"/>
    <w:rsid w:val="00255CEC"/>
    <w:rsid w:val="0025612E"/>
    <w:rsid w:val="00256270"/>
    <w:rsid w:val="0025638B"/>
    <w:rsid w:val="0025646B"/>
    <w:rsid w:val="0025648E"/>
    <w:rsid w:val="00256D6A"/>
    <w:rsid w:val="00256DA5"/>
    <w:rsid w:val="00256F98"/>
    <w:rsid w:val="002576A8"/>
    <w:rsid w:val="00257837"/>
    <w:rsid w:val="00257A58"/>
    <w:rsid w:val="00257EC2"/>
    <w:rsid w:val="00257F05"/>
    <w:rsid w:val="00260045"/>
    <w:rsid w:val="00260176"/>
    <w:rsid w:val="002602C2"/>
    <w:rsid w:val="00260708"/>
    <w:rsid w:val="00260881"/>
    <w:rsid w:val="002608FF"/>
    <w:rsid w:val="00260C84"/>
    <w:rsid w:val="0026128B"/>
    <w:rsid w:val="00261BC3"/>
    <w:rsid w:val="00261F04"/>
    <w:rsid w:val="00262081"/>
    <w:rsid w:val="0026247D"/>
    <w:rsid w:val="0026265D"/>
    <w:rsid w:val="002628CB"/>
    <w:rsid w:val="0026293A"/>
    <w:rsid w:val="00262ABD"/>
    <w:rsid w:val="00263037"/>
    <w:rsid w:val="00263160"/>
    <w:rsid w:val="002631F1"/>
    <w:rsid w:val="002632BF"/>
    <w:rsid w:val="002632F5"/>
    <w:rsid w:val="0026331E"/>
    <w:rsid w:val="0026337A"/>
    <w:rsid w:val="002633EE"/>
    <w:rsid w:val="00263A2F"/>
    <w:rsid w:val="00263A5A"/>
    <w:rsid w:val="00263A5C"/>
    <w:rsid w:val="00263B14"/>
    <w:rsid w:val="00263BE7"/>
    <w:rsid w:val="00263C76"/>
    <w:rsid w:val="00263F90"/>
    <w:rsid w:val="002640B6"/>
    <w:rsid w:val="00264436"/>
    <w:rsid w:val="0026484C"/>
    <w:rsid w:val="0026493F"/>
    <w:rsid w:val="00264B17"/>
    <w:rsid w:val="00265065"/>
    <w:rsid w:val="00265134"/>
    <w:rsid w:val="00265473"/>
    <w:rsid w:val="00265B75"/>
    <w:rsid w:val="00265D06"/>
    <w:rsid w:val="00265DE4"/>
    <w:rsid w:val="00265E11"/>
    <w:rsid w:val="00266161"/>
    <w:rsid w:val="0026661D"/>
    <w:rsid w:val="002668E8"/>
    <w:rsid w:val="002669D9"/>
    <w:rsid w:val="00266A38"/>
    <w:rsid w:val="00266CC0"/>
    <w:rsid w:val="00266CD4"/>
    <w:rsid w:val="00267052"/>
    <w:rsid w:val="0026768C"/>
    <w:rsid w:val="002676A8"/>
    <w:rsid w:val="00267727"/>
    <w:rsid w:val="00267A5F"/>
    <w:rsid w:val="00267A98"/>
    <w:rsid w:val="00267BFA"/>
    <w:rsid w:val="00267CDF"/>
    <w:rsid w:val="00267EA2"/>
    <w:rsid w:val="0027024E"/>
    <w:rsid w:val="002703F5"/>
    <w:rsid w:val="00270522"/>
    <w:rsid w:val="002705F0"/>
    <w:rsid w:val="002708C9"/>
    <w:rsid w:val="00270A35"/>
    <w:rsid w:val="00270B8F"/>
    <w:rsid w:val="00270BF3"/>
    <w:rsid w:val="00270E35"/>
    <w:rsid w:val="0027101E"/>
    <w:rsid w:val="002710A7"/>
    <w:rsid w:val="00271105"/>
    <w:rsid w:val="002713C9"/>
    <w:rsid w:val="0027154F"/>
    <w:rsid w:val="0027177B"/>
    <w:rsid w:val="0027180B"/>
    <w:rsid w:val="0027219E"/>
    <w:rsid w:val="00272387"/>
    <w:rsid w:val="00272519"/>
    <w:rsid w:val="00272574"/>
    <w:rsid w:val="00272C5F"/>
    <w:rsid w:val="00272D27"/>
    <w:rsid w:val="00272DCC"/>
    <w:rsid w:val="00272EA7"/>
    <w:rsid w:val="00273004"/>
    <w:rsid w:val="002732A4"/>
    <w:rsid w:val="002732F9"/>
    <w:rsid w:val="00273884"/>
    <w:rsid w:val="00273BDB"/>
    <w:rsid w:val="00273CBF"/>
    <w:rsid w:val="00273E13"/>
    <w:rsid w:val="00274278"/>
    <w:rsid w:val="00274418"/>
    <w:rsid w:val="002744AB"/>
    <w:rsid w:val="002746FF"/>
    <w:rsid w:val="00274A99"/>
    <w:rsid w:val="00274DE4"/>
    <w:rsid w:val="00274F00"/>
    <w:rsid w:val="00274F8D"/>
    <w:rsid w:val="0027549A"/>
    <w:rsid w:val="002754E6"/>
    <w:rsid w:val="0027581F"/>
    <w:rsid w:val="00275A70"/>
    <w:rsid w:val="00275D70"/>
    <w:rsid w:val="00275F9C"/>
    <w:rsid w:val="0027612E"/>
    <w:rsid w:val="0027614B"/>
    <w:rsid w:val="00276244"/>
    <w:rsid w:val="0027624B"/>
    <w:rsid w:val="0027639B"/>
    <w:rsid w:val="002763CF"/>
    <w:rsid w:val="00276939"/>
    <w:rsid w:val="00276AC6"/>
    <w:rsid w:val="00276F47"/>
    <w:rsid w:val="00277416"/>
    <w:rsid w:val="002777FC"/>
    <w:rsid w:val="00277874"/>
    <w:rsid w:val="00277879"/>
    <w:rsid w:val="0027798E"/>
    <w:rsid w:val="00277DF4"/>
    <w:rsid w:val="00280389"/>
    <w:rsid w:val="00280416"/>
    <w:rsid w:val="0028059C"/>
    <w:rsid w:val="00280908"/>
    <w:rsid w:val="002810B5"/>
    <w:rsid w:val="00281238"/>
    <w:rsid w:val="0028141D"/>
    <w:rsid w:val="002816C3"/>
    <w:rsid w:val="002817D8"/>
    <w:rsid w:val="00281A4E"/>
    <w:rsid w:val="00281B0F"/>
    <w:rsid w:val="00281DD9"/>
    <w:rsid w:val="00281F2A"/>
    <w:rsid w:val="002822D0"/>
    <w:rsid w:val="0028324D"/>
    <w:rsid w:val="00283592"/>
    <w:rsid w:val="002835F0"/>
    <w:rsid w:val="002836A0"/>
    <w:rsid w:val="00283ACF"/>
    <w:rsid w:val="00283BB2"/>
    <w:rsid w:val="0028407A"/>
    <w:rsid w:val="0028422E"/>
    <w:rsid w:val="002845DA"/>
    <w:rsid w:val="002846BD"/>
    <w:rsid w:val="0028479B"/>
    <w:rsid w:val="0028481A"/>
    <w:rsid w:val="00284857"/>
    <w:rsid w:val="002848B4"/>
    <w:rsid w:val="00284F0C"/>
    <w:rsid w:val="002850AD"/>
    <w:rsid w:val="00285118"/>
    <w:rsid w:val="00285356"/>
    <w:rsid w:val="0028579D"/>
    <w:rsid w:val="00285943"/>
    <w:rsid w:val="00285C3D"/>
    <w:rsid w:val="00285D9C"/>
    <w:rsid w:val="00285E38"/>
    <w:rsid w:val="002860D7"/>
    <w:rsid w:val="0028610C"/>
    <w:rsid w:val="0028614D"/>
    <w:rsid w:val="0028615E"/>
    <w:rsid w:val="002863A0"/>
    <w:rsid w:val="002867F7"/>
    <w:rsid w:val="00286802"/>
    <w:rsid w:val="002869D1"/>
    <w:rsid w:val="002869EC"/>
    <w:rsid w:val="00286E3B"/>
    <w:rsid w:val="00287083"/>
    <w:rsid w:val="002871B5"/>
    <w:rsid w:val="0028722E"/>
    <w:rsid w:val="00287409"/>
    <w:rsid w:val="00287C9F"/>
    <w:rsid w:val="00287F7C"/>
    <w:rsid w:val="00287FAE"/>
    <w:rsid w:val="00290017"/>
    <w:rsid w:val="002903AD"/>
    <w:rsid w:val="00290450"/>
    <w:rsid w:val="0029059D"/>
    <w:rsid w:val="00290681"/>
    <w:rsid w:val="002906F1"/>
    <w:rsid w:val="00290B1D"/>
    <w:rsid w:val="00290B2C"/>
    <w:rsid w:val="00290BC5"/>
    <w:rsid w:val="00290DC7"/>
    <w:rsid w:val="00290F15"/>
    <w:rsid w:val="00290F89"/>
    <w:rsid w:val="00291074"/>
    <w:rsid w:val="002912B0"/>
    <w:rsid w:val="002912D3"/>
    <w:rsid w:val="00291343"/>
    <w:rsid w:val="0029178E"/>
    <w:rsid w:val="00291959"/>
    <w:rsid w:val="002919DE"/>
    <w:rsid w:val="00291B3B"/>
    <w:rsid w:val="00291E39"/>
    <w:rsid w:val="0029221A"/>
    <w:rsid w:val="002924F7"/>
    <w:rsid w:val="00292575"/>
    <w:rsid w:val="00292D66"/>
    <w:rsid w:val="00292D6A"/>
    <w:rsid w:val="002930EA"/>
    <w:rsid w:val="0029314D"/>
    <w:rsid w:val="002934DD"/>
    <w:rsid w:val="0029373B"/>
    <w:rsid w:val="00293E4A"/>
    <w:rsid w:val="00293F68"/>
    <w:rsid w:val="002942B9"/>
    <w:rsid w:val="002943D9"/>
    <w:rsid w:val="002944D6"/>
    <w:rsid w:val="00294752"/>
    <w:rsid w:val="00294D01"/>
    <w:rsid w:val="00294E02"/>
    <w:rsid w:val="00294E7C"/>
    <w:rsid w:val="00294F71"/>
    <w:rsid w:val="002952E2"/>
    <w:rsid w:val="00295462"/>
    <w:rsid w:val="00295484"/>
    <w:rsid w:val="002955BD"/>
    <w:rsid w:val="0029574E"/>
    <w:rsid w:val="00295AC1"/>
    <w:rsid w:val="00295F76"/>
    <w:rsid w:val="00296754"/>
    <w:rsid w:val="00296870"/>
    <w:rsid w:val="002969BB"/>
    <w:rsid w:val="00296B46"/>
    <w:rsid w:val="00296C71"/>
    <w:rsid w:val="00296D3B"/>
    <w:rsid w:val="00296F5C"/>
    <w:rsid w:val="002970DC"/>
    <w:rsid w:val="0029735C"/>
    <w:rsid w:val="00297724"/>
    <w:rsid w:val="002977D9"/>
    <w:rsid w:val="00297A95"/>
    <w:rsid w:val="002A016F"/>
    <w:rsid w:val="002A0243"/>
    <w:rsid w:val="002A02E8"/>
    <w:rsid w:val="002A0641"/>
    <w:rsid w:val="002A09B0"/>
    <w:rsid w:val="002A0BBE"/>
    <w:rsid w:val="002A0E41"/>
    <w:rsid w:val="002A0E88"/>
    <w:rsid w:val="002A12E1"/>
    <w:rsid w:val="002A12E8"/>
    <w:rsid w:val="002A152C"/>
    <w:rsid w:val="002A170C"/>
    <w:rsid w:val="002A186F"/>
    <w:rsid w:val="002A1969"/>
    <w:rsid w:val="002A1A91"/>
    <w:rsid w:val="002A1AC9"/>
    <w:rsid w:val="002A1F9A"/>
    <w:rsid w:val="002A20B3"/>
    <w:rsid w:val="002A220E"/>
    <w:rsid w:val="002A24B1"/>
    <w:rsid w:val="002A2792"/>
    <w:rsid w:val="002A2977"/>
    <w:rsid w:val="002A29B0"/>
    <w:rsid w:val="002A2C1C"/>
    <w:rsid w:val="002A2F52"/>
    <w:rsid w:val="002A30E6"/>
    <w:rsid w:val="002A3148"/>
    <w:rsid w:val="002A3459"/>
    <w:rsid w:val="002A3971"/>
    <w:rsid w:val="002A3F9A"/>
    <w:rsid w:val="002A46AE"/>
    <w:rsid w:val="002A48E1"/>
    <w:rsid w:val="002A4B86"/>
    <w:rsid w:val="002A4CE5"/>
    <w:rsid w:val="002A4D81"/>
    <w:rsid w:val="002A4EF6"/>
    <w:rsid w:val="002A4F42"/>
    <w:rsid w:val="002A54BB"/>
    <w:rsid w:val="002A55B6"/>
    <w:rsid w:val="002A562F"/>
    <w:rsid w:val="002A598A"/>
    <w:rsid w:val="002A5A09"/>
    <w:rsid w:val="002A5B8F"/>
    <w:rsid w:val="002A5CC2"/>
    <w:rsid w:val="002A5FEC"/>
    <w:rsid w:val="002A63D5"/>
    <w:rsid w:val="002A66A2"/>
    <w:rsid w:val="002A670D"/>
    <w:rsid w:val="002A6777"/>
    <w:rsid w:val="002A70E5"/>
    <w:rsid w:val="002A72BC"/>
    <w:rsid w:val="002A7333"/>
    <w:rsid w:val="002A7335"/>
    <w:rsid w:val="002A75DC"/>
    <w:rsid w:val="002A778C"/>
    <w:rsid w:val="002A7984"/>
    <w:rsid w:val="002A7C09"/>
    <w:rsid w:val="002B0549"/>
    <w:rsid w:val="002B1250"/>
    <w:rsid w:val="002B1265"/>
    <w:rsid w:val="002B1328"/>
    <w:rsid w:val="002B1D85"/>
    <w:rsid w:val="002B1F38"/>
    <w:rsid w:val="002B211C"/>
    <w:rsid w:val="002B2229"/>
    <w:rsid w:val="002B2378"/>
    <w:rsid w:val="002B23A2"/>
    <w:rsid w:val="002B2498"/>
    <w:rsid w:val="002B24BF"/>
    <w:rsid w:val="002B2900"/>
    <w:rsid w:val="002B2BB9"/>
    <w:rsid w:val="002B2C5C"/>
    <w:rsid w:val="002B2D17"/>
    <w:rsid w:val="002B3013"/>
    <w:rsid w:val="002B33B6"/>
    <w:rsid w:val="002B3400"/>
    <w:rsid w:val="002B349D"/>
    <w:rsid w:val="002B352A"/>
    <w:rsid w:val="002B354F"/>
    <w:rsid w:val="002B36AD"/>
    <w:rsid w:val="002B3B16"/>
    <w:rsid w:val="002B3B86"/>
    <w:rsid w:val="002B3D56"/>
    <w:rsid w:val="002B3E8A"/>
    <w:rsid w:val="002B3FB0"/>
    <w:rsid w:val="002B42BA"/>
    <w:rsid w:val="002B4318"/>
    <w:rsid w:val="002B4666"/>
    <w:rsid w:val="002B46A4"/>
    <w:rsid w:val="002B4704"/>
    <w:rsid w:val="002B4C70"/>
    <w:rsid w:val="002B4E5F"/>
    <w:rsid w:val="002B4E94"/>
    <w:rsid w:val="002B5725"/>
    <w:rsid w:val="002B584D"/>
    <w:rsid w:val="002B5902"/>
    <w:rsid w:val="002B5A0D"/>
    <w:rsid w:val="002B5AED"/>
    <w:rsid w:val="002B5B1A"/>
    <w:rsid w:val="002B5B35"/>
    <w:rsid w:val="002B5E48"/>
    <w:rsid w:val="002B5F62"/>
    <w:rsid w:val="002B6171"/>
    <w:rsid w:val="002B6542"/>
    <w:rsid w:val="002B6590"/>
    <w:rsid w:val="002B6595"/>
    <w:rsid w:val="002B65F5"/>
    <w:rsid w:val="002B69B5"/>
    <w:rsid w:val="002B6B45"/>
    <w:rsid w:val="002B6EAE"/>
    <w:rsid w:val="002B7083"/>
    <w:rsid w:val="002B7553"/>
    <w:rsid w:val="002B7612"/>
    <w:rsid w:val="002B76BD"/>
    <w:rsid w:val="002B7827"/>
    <w:rsid w:val="002B789A"/>
    <w:rsid w:val="002B7906"/>
    <w:rsid w:val="002B7E95"/>
    <w:rsid w:val="002B7FBD"/>
    <w:rsid w:val="002C02C2"/>
    <w:rsid w:val="002C05CD"/>
    <w:rsid w:val="002C0AC5"/>
    <w:rsid w:val="002C0CB7"/>
    <w:rsid w:val="002C1144"/>
    <w:rsid w:val="002C18C6"/>
    <w:rsid w:val="002C18CD"/>
    <w:rsid w:val="002C1A28"/>
    <w:rsid w:val="002C1C44"/>
    <w:rsid w:val="002C1EA2"/>
    <w:rsid w:val="002C20E1"/>
    <w:rsid w:val="002C2169"/>
    <w:rsid w:val="002C237A"/>
    <w:rsid w:val="002C242A"/>
    <w:rsid w:val="002C2520"/>
    <w:rsid w:val="002C259E"/>
    <w:rsid w:val="002C2834"/>
    <w:rsid w:val="002C28F5"/>
    <w:rsid w:val="002C2A45"/>
    <w:rsid w:val="002C2BEF"/>
    <w:rsid w:val="002C2DAA"/>
    <w:rsid w:val="002C2E45"/>
    <w:rsid w:val="002C2E4F"/>
    <w:rsid w:val="002C3465"/>
    <w:rsid w:val="002C3683"/>
    <w:rsid w:val="002C36C2"/>
    <w:rsid w:val="002C39C0"/>
    <w:rsid w:val="002C3C57"/>
    <w:rsid w:val="002C3D7B"/>
    <w:rsid w:val="002C4080"/>
    <w:rsid w:val="002C409D"/>
    <w:rsid w:val="002C4259"/>
    <w:rsid w:val="002C495B"/>
    <w:rsid w:val="002C4986"/>
    <w:rsid w:val="002C4C28"/>
    <w:rsid w:val="002C4E07"/>
    <w:rsid w:val="002C4F04"/>
    <w:rsid w:val="002C5190"/>
    <w:rsid w:val="002C520B"/>
    <w:rsid w:val="002C5335"/>
    <w:rsid w:val="002C5544"/>
    <w:rsid w:val="002C5666"/>
    <w:rsid w:val="002C57B0"/>
    <w:rsid w:val="002C57CF"/>
    <w:rsid w:val="002C592C"/>
    <w:rsid w:val="002C5C21"/>
    <w:rsid w:val="002C5CBF"/>
    <w:rsid w:val="002C60D6"/>
    <w:rsid w:val="002C6591"/>
    <w:rsid w:val="002C67D5"/>
    <w:rsid w:val="002C6CF5"/>
    <w:rsid w:val="002C6E18"/>
    <w:rsid w:val="002C6F08"/>
    <w:rsid w:val="002C714E"/>
    <w:rsid w:val="002C74EF"/>
    <w:rsid w:val="002C7529"/>
    <w:rsid w:val="002C75F2"/>
    <w:rsid w:val="002C78F9"/>
    <w:rsid w:val="002C79B8"/>
    <w:rsid w:val="002D0260"/>
    <w:rsid w:val="002D03F8"/>
    <w:rsid w:val="002D044F"/>
    <w:rsid w:val="002D0590"/>
    <w:rsid w:val="002D05F2"/>
    <w:rsid w:val="002D0A8F"/>
    <w:rsid w:val="002D0B0A"/>
    <w:rsid w:val="002D0FBF"/>
    <w:rsid w:val="002D10B1"/>
    <w:rsid w:val="002D121A"/>
    <w:rsid w:val="002D1228"/>
    <w:rsid w:val="002D15CC"/>
    <w:rsid w:val="002D1604"/>
    <w:rsid w:val="002D1652"/>
    <w:rsid w:val="002D19CF"/>
    <w:rsid w:val="002D1A7B"/>
    <w:rsid w:val="002D1BC0"/>
    <w:rsid w:val="002D1E23"/>
    <w:rsid w:val="002D209D"/>
    <w:rsid w:val="002D2161"/>
    <w:rsid w:val="002D2211"/>
    <w:rsid w:val="002D2446"/>
    <w:rsid w:val="002D29D4"/>
    <w:rsid w:val="002D2E34"/>
    <w:rsid w:val="002D2F2E"/>
    <w:rsid w:val="002D2FC1"/>
    <w:rsid w:val="002D3857"/>
    <w:rsid w:val="002D38B6"/>
    <w:rsid w:val="002D3A01"/>
    <w:rsid w:val="002D3A1E"/>
    <w:rsid w:val="002D3A4C"/>
    <w:rsid w:val="002D3A6A"/>
    <w:rsid w:val="002D3D66"/>
    <w:rsid w:val="002D3D9A"/>
    <w:rsid w:val="002D3E9A"/>
    <w:rsid w:val="002D426E"/>
    <w:rsid w:val="002D4286"/>
    <w:rsid w:val="002D42A4"/>
    <w:rsid w:val="002D4318"/>
    <w:rsid w:val="002D43D7"/>
    <w:rsid w:val="002D4413"/>
    <w:rsid w:val="002D4688"/>
    <w:rsid w:val="002D4712"/>
    <w:rsid w:val="002D4B8F"/>
    <w:rsid w:val="002D4C37"/>
    <w:rsid w:val="002D509C"/>
    <w:rsid w:val="002D50D2"/>
    <w:rsid w:val="002D50EA"/>
    <w:rsid w:val="002D55DA"/>
    <w:rsid w:val="002D574C"/>
    <w:rsid w:val="002D5AD6"/>
    <w:rsid w:val="002D5C21"/>
    <w:rsid w:val="002D5D50"/>
    <w:rsid w:val="002D63D5"/>
    <w:rsid w:val="002D63E3"/>
    <w:rsid w:val="002D6439"/>
    <w:rsid w:val="002D65CD"/>
    <w:rsid w:val="002D6641"/>
    <w:rsid w:val="002D6838"/>
    <w:rsid w:val="002D689E"/>
    <w:rsid w:val="002D68A9"/>
    <w:rsid w:val="002D6B34"/>
    <w:rsid w:val="002D6C50"/>
    <w:rsid w:val="002D6CBB"/>
    <w:rsid w:val="002D70F7"/>
    <w:rsid w:val="002D72B0"/>
    <w:rsid w:val="002D770F"/>
    <w:rsid w:val="002D7F90"/>
    <w:rsid w:val="002E00DC"/>
    <w:rsid w:val="002E01CD"/>
    <w:rsid w:val="002E0273"/>
    <w:rsid w:val="002E0531"/>
    <w:rsid w:val="002E0744"/>
    <w:rsid w:val="002E0746"/>
    <w:rsid w:val="002E0AE4"/>
    <w:rsid w:val="002E0C8F"/>
    <w:rsid w:val="002E0CA2"/>
    <w:rsid w:val="002E15A8"/>
    <w:rsid w:val="002E16B6"/>
    <w:rsid w:val="002E16C3"/>
    <w:rsid w:val="002E17FC"/>
    <w:rsid w:val="002E180E"/>
    <w:rsid w:val="002E189E"/>
    <w:rsid w:val="002E1D0A"/>
    <w:rsid w:val="002E1D7D"/>
    <w:rsid w:val="002E1DA5"/>
    <w:rsid w:val="002E1E31"/>
    <w:rsid w:val="002E1E6E"/>
    <w:rsid w:val="002E207D"/>
    <w:rsid w:val="002E22C4"/>
    <w:rsid w:val="002E22F5"/>
    <w:rsid w:val="002E2317"/>
    <w:rsid w:val="002E2405"/>
    <w:rsid w:val="002E2425"/>
    <w:rsid w:val="002E25C4"/>
    <w:rsid w:val="002E276D"/>
    <w:rsid w:val="002E298B"/>
    <w:rsid w:val="002E2AD1"/>
    <w:rsid w:val="002E2C2C"/>
    <w:rsid w:val="002E2D9D"/>
    <w:rsid w:val="002E2ED6"/>
    <w:rsid w:val="002E2F36"/>
    <w:rsid w:val="002E2FDC"/>
    <w:rsid w:val="002E3448"/>
    <w:rsid w:val="002E35C1"/>
    <w:rsid w:val="002E384A"/>
    <w:rsid w:val="002E3B1B"/>
    <w:rsid w:val="002E3B5A"/>
    <w:rsid w:val="002E3B75"/>
    <w:rsid w:val="002E402F"/>
    <w:rsid w:val="002E4281"/>
    <w:rsid w:val="002E47FF"/>
    <w:rsid w:val="002E4853"/>
    <w:rsid w:val="002E4938"/>
    <w:rsid w:val="002E4952"/>
    <w:rsid w:val="002E4999"/>
    <w:rsid w:val="002E4C67"/>
    <w:rsid w:val="002E4D95"/>
    <w:rsid w:val="002E4EC8"/>
    <w:rsid w:val="002E4EE3"/>
    <w:rsid w:val="002E520E"/>
    <w:rsid w:val="002E53EE"/>
    <w:rsid w:val="002E565E"/>
    <w:rsid w:val="002E56C6"/>
    <w:rsid w:val="002E5800"/>
    <w:rsid w:val="002E580A"/>
    <w:rsid w:val="002E5A40"/>
    <w:rsid w:val="002E5C4A"/>
    <w:rsid w:val="002E61B4"/>
    <w:rsid w:val="002E6486"/>
    <w:rsid w:val="002E6561"/>
    <w:rsid w:val="002E6817"/>
    <w:rsid w:val="002E6E9D"/>
    <w:rsid w:val="002E6F0F"/>
    <w:rsid w:val="002E7085"/>
    <w:rsid w:val="002E708E"/>
    <w:rsid w:val="002E7256"/>
    <w:rsid w:val="002E72F5"/>
    <w:rsid w:val="002E7306"/>
    <w:rsid w:val="002E7476"/>
    <w:rsid w:val="002E76C5"/>
    <w:rsid w:val="002E77AB"/>
    <w:rsid w:val="002E7AF0"/>
    <w:rsid w:val="002E7B87"/>
    <w:rsid w:val="002E7BF5"/>
    <w:rsid w:val="002E7F9F"/>
    <w:rsid w:val="002F0060"/>
    <w:rsid w:val="002F00D0"/>
    <w:rsid w:val="002F011D"/>
    <w:rsid w:val="002F0139"/>
    <w:rsid w:val="002F06F2"/>
    <w:rsid w:val="002F0745"/>
    <w:rsid w:val="002F09DE"/>
    <w:rsid w:val="002F0CF2"/>
    <w:rsid w:val="002F0DD7"/>
    <w:rsid w:val="002F1135"/>
    <w:rsid w:val="002F1374"/>
    <w:rsid w:val="002F15DB"/>
    <w:rsid w:val="002F1D48"/>
    <w:rsid w:val="002F1F0E"/>
    <w:rsid w:val="002F1F87"/>
    <w:rsid w:val="002F224E"/>
    <w:rsid w:val="002F2308"/>
    <w:rsid w:val="002F2520"/>
    <w:rsid w:val="002F2799"/>
    <w:rsid w:val="002F27AC"/>
    <w:rsid w:val="002F27CC"/>
    <w:rsid w:val="002F2ADD"/>
    <w:rsid w:val="002F2D24"/>
    <w:rsid w:val="002F2E28"/>
    <w:rsid w:val="002F2F87"/>
    <w:rsid w:val="002F2FB3"/>
    <w:rsid w:val="002F3205"/>
    <w:rsid w:val="002F336B"/>
    <w:rsid w:val="002F337F"/>
    <w:rsid w:val="002F33DA"/>
    <w:rsid w:val="002F3ACE"/>
    <w:rsid w:val="002F3C24"/>
    <w:rsid w:val="002F3F0C"/>
    <w:rsid w:val="002F405A"/>
    <w:rsid w:val="002F41F5"/>
    <w:rsid w:val="002F4311"/>
    <w:rsid w:val="002F43CD"/>
    <w:rsid w:val="002F46AE"/>
    <w:rsid w:val="002F48C4"/>
    <w:rsid w:val="002F4A45"/>
    <w:rsid w:val="002F4D08"/>
    <w:rsid w:val="002F4F03"/>
    <w:rsid w:val="002F508C"/>
    <w:rsid w:val="002F50BE"/>
    <w:rsid w:val="002F53AD"/>
    <w:rsid w:val="002F5436"/>
    <w:rsid w:val="002F5444"/>
    <w:rsid w:val="002F5637"/>
    <w:rsid w:val="002F5641"/>
    <w:rsid w:val="002F57DA"/>
    <w:rsid w:val="002F5923"/>
    <w:rsid w:val="002F59A4"/>
    <w:rsid w:val="002F5C7B"/>
    <w:rsid w:val="002F605C"/>
    <w:rsid w:val="002F62FC"/>
    <w:rsid w:val="002F64FC"/>
    <w:rsid w:val="002F6605"/>
    <w:rsid w:val="002F6947"/>
    <w:rsid w:val="002F6B57"/>
    <w:rsid w:val="002F6C0A"/>
    <w:rsid w:val="002F6CBB"/>
    <w:rsid w:val="002F709E"/>
    <w:rsid w:val="002F76CF"/>
    <w:rsid w:val="002F78E1"/>
    <w:rsid w:val="002F79D8"/>
    <w:rsid w:val="002F7A2C"/>
    <w:rsid w:val="002F7AA8"/>
    <w:rsid w:val="002F7DF9"/>
    <w:rsid w:val="0030004F"/>
    <w:rsid w:val="00300186"/>
    <w:rsid w:val="0030023A"/>
    <w:rsid w:val="00300298"/>
    <w:rsid w:val="00300739"/>
    <w:rsid w:val="00300A45"/>
    <w:rsid w:val="00300AD2"/>
    <w:rsid w:val="00300C1C"/>
    <w:rsid w:val="00300CA3"/>
    <w:rsid w:val="00300D83"/>
    <w:rsid w:val="00301011"/>
    <w:rsid w:val="00301359"/>
    <w:rsid w:val="00301544"/>
    <w:rsid w:val="00301A60"/>
    <w:rsid w:val="00301C4D"/>
    <w:rsid w:val="00301C77"/>
    <w:rsid w:val="003021DE"/>
    <w:rsid w:val="003022DD"/>
    <w:rsid w:val="003023C4"/>
    <w:rsid w:val="00302BC3"/>
    <w:rsid w:val="00302C27"/>
    <w:rsid w:val="00303177"/>
    <w:rsid w:val="003033D5"/>
    <w:rsid w:val="0030373B"/>
    <w:rsid w:val="003038F1"/>
    <w:rsid w:val="00303CA5"/>
    <w:rsid w:val="00303CF3"/>
    <w:rsid w:val="00303E10"/>
    <w:rsid w:val="0030408B"/>
    <w:rsid w:val="00304111"/>
    <w:rsid w:val="00304737"/>
    <w:rsid w:val="0030476F"/>
    <w:rsid w:val="00304EE9"/>
    <w:rsid w:val="00304FC0"/>
    <w:rsid w:val="00305261"/>
    <w:rsid w:val="00305396"/>
    <w:rsid w:val="00305A37"/>
    <w:rsid w:val="00305A69"/>
    <w:rsid w:val="00305C94"/>
    <w:rsid w:val="00305C9A"/>
    <w:rsid w:val="00305CAB"/>
    <w:rsid w:val="00305E37"/>
    <w:rsid w:val="00305EB4"/>
    <w:rsid w:val="00305F09"/>
    <w:rsid w:val="00305F1F"/>
    <w:rsid w:val="00305FDD"/>
    <w:rsid w:val="003062D2"/>
    <w:rsid w:val="003062D3"/>
    <w:rsid w:val="003064F9"/>
    <w:rsid w:val="0030661F"/>
    <w:rsid w:val="00306B07"/>
    <w:rsid w:val="00306B87"/>
    <w:rsid w:val="003070EA"/>
    <w:rsid w:val="0030784B"/>
    <w:rsid w:val="00307926"/>
    <w:rsid w:val="00307987"/>
    <w:rsid w:val="00307A14"/>
    <w:rsid w:val="00307ACA"/>
    <w:rsid w:val="00307D7B"/>
    <w:rsid w:val="00307E38"/>
    <w:rsid w:val="00307E56"/>
    <w:rsid w:val="0031002D"/>
    <w:rsid w:val="003102C4"/>
    <w:rsid w:val="00310340"/>
    <w:rsid w:val="003103FA"/>
    <w:rsid w:val="0031043B"/>
    <w:rsid w:val="00310486"/>
    <w:rsid w:val="00310548"/>
    <w:rsid w:val="00310978"/>
    <w:rsid w:val="00310B15"/>
    <w:rsid w:val="00310C3D"/>
    <w:rsid w:val="00310D26"/>
    <w:rsid w:val="003111AB"/>
    <w:rsid w:val="00311217"/>
    <w:rsid w:val="0031144E"/>
    <w:rsid w:val="003114D1"/>
    <w:rsid w:val="00311636"/>
    <w:rsid w:val="00311726"/>
    <w:rsid w:val="00311B7A"/>
    <w:rsid w:val="00311B9E"/>
    <w:rsid w:val="00311C2B"/>
    <w:rsid w:val="00311E0E"/>
    <w:rsid w:val="003121CA"/>
    <w:rsid w:val="00312621"/>
    <w:rsid w:val="00312712"/>
    <w:rsid w:val="00312718"/>
    <w:rsid w:val="003127DB"/>
    <w:rsid w:val="0031280B"/>
    <w:rsid w:val="00312821"/>
    <w:rsid w:val="00312A1F"/>
    <w:rsid w:val="00312B2A"/>
    <w:rsid w:val="00312E7E"/>
    <w:rsid w:val="00313297"/>
    <w:rsid w:val="003132BC"/>
    <w:rsid w:val="003135B3"/>
    <w:rsid w:val="00313F18"/>
    <w:rsid w:val="0031420B"/>
    <w:rsid w:val="00314469"/>
    <w:rsid w:val="0031480B"/>
    <w:rsid w:val="00314D93"/>
    <w:rsid w:val="00314DEC"/>
    <w:rsid w:val="003155C7"/>
    <w:rsid w:val="003157DC"/>
    <w:rsid w:val="00315824"/>
    <w:rsid w:val="00315A18"/>
    <w:rsid w:val="003162FF"/>
    <w:rsid w:val="00316889"/>
    <w:rsid w:val="00316DB6"/>
    <w:rsid w:val="00316F15"/>
    <w:rsid w:val="00316F4C"/>
    <w:rsid w:val="003170CD"/>
    <w:rsid w:val="00317145"/>
    <w:rsid w:val="00317344"/>
    <w:rsid w:val="003173E4"/>
    <w:rsid w:val="0031740D"/>
    <w:rsid w:val="00317C0E"/>
    <w:rsid w:val="00317E9B"/>
    <w:rsid w:val="003202EB"/>
    <w:rsid w:val="003202FB"/>
    <w:rsid w:val="003206E0"/>
    <w:rsid w:val="00320981"/>
    <w:rsid w:val="00320D27"/>
    <w:rsid w:val="00321303"/>
    <w:rsid w:val="0032134C"/>
    <w:rsid w:val="003214BE"/>
    <w:rsid w:val="003218CE"/>
    <w:rsid w:val="00321F63"/>
    <w:rsid w:val="003220BF"/>
    <w:rsid w:val="00322452"/>
    <w:rsid w:val="0032260B"/>
    <w:rsid w:val="00322635"/>
    <w:rsid w:val="003227A7"/>
    <w:rsid w:val="00322B1F"/>
    <w:rsid w:val="00322C82"/>
    <w:rsid w:val="00322CC0"/>
    <w:rsid w:val="00322D64"/>
    <w:rsid w:val="00322EAF"/>
    <w:rsid w:val="00323792"/>
    <w:rsid w:val="003238A8"/>
    <w:rsid w:val="00323A69"/>
    <w:rsid w:val="00323C9E"/>
    <w:rsid w:val="00323CE7"/>
    <w:rsid w:val="0032402F"/>
    <w:rsid w:val="0032417C"/>
    <w:rsid w:val="003244DF"/>
    <w:rsid w:val="00324500"/>
    <w:rsid w:val="00324563"/>
    <w:rsid w:val="0032461E"/>
    <w:rsid w:val="0032465E"/>
    <w:rsid w:val="003247A5"/>
    <w:rsid w:val="003247B7"/>
    <w:rsid w:val="003247EC"/>
    <w:rsid w:val="003249EF"/>
    <w:rsid w:val="00324ACD"/>
    <w:rsid w:val="00324E75"/>
    <w:rsid w:val="00324F3D"/>
    <w:rsid w:val="00324F88"/>
    <w:rsid w:val="00325010"/>
    <w:rsid w:val="00325045"/>
    <w:rsid w:val="00325060"/>
    <w:rsid w:val="00325391"/>
    <w:rsid w:val="00325400"/>
    <w:rsid w:val="00325467"/>
    <w:rsid w:val="00325684"/>
    <w:rsid w:val="00325BF6"/>
    <w:rsid w:val="00325EA3"/>
    <w:rsid w:val="003263AF"/>
    <w:rsid w:val="0032654A"/>
    <w:rsid w:val="0032661F"/>
    <w:rsid w:val="003268C4"/>
    <w:rsid w:val="00326A20"/>
    <w:rsid w:val="00326C72"/>
    <w:rsid w:val="00326DD5"/>
    <w:rsid w:val="00326EEF"/>
    <w:rsid w:val="0032707F"/>
    <w:rsid w:val="00327237"/>
    <w:rsid w:val="00327258"/>
    <w:rsid w:val="00327338"/>
    <w:rsid w:val="003276D7"/>
    <w:rsid w:val="0032775C"/>
    <w:rsid w:val="00327947"/>
    <w:rsid w:val="00327AD6"/>
    <w:rsid w:val="00327B0A"/>
    <w:rsid w:val="00327B84"/>
    <w:rsid w:val="00327C10"/>
    <w:rsid w:val="00327C41"/>
    <w:rsid w:val="00327E3F"/>
    <w:rsid w:val="00330180"/>
    <w:rsid w:val="003301D1"/>
    <w:rsid w:val="003307A3"/>
    <w:rsid w:val="00330A92"/>
    <w:rsid w:val="00331013"/>
    <w:rsid w:val="00331043"/>
    <w:rsid w:val="003310D4"/>
    <w:rsid w:val="003312B4"/>
    <w:rsid w:val="00331608"/>
    <w:rsid w:val="00331659"/>
    <w:rsid w:val="0033172A"/>
    <w:rsid w:val="00331CD6"/>
    <w:rsid w:val="00331FE3"/>
    <w:rsid w:val="00331FFC"/>
    <w:rsid w:val="003320C7"/>
    <w:rsid w:val="00332173"/>
    <w:rsid w:val="003322E3"/>
    <w:rsid w:val="003322FA"/>
    <w:rsid w:val="003325E7"/>
    <w:rsid w:val="00332699"/>
    <w:rsid w:val="003326B3"/>
    <w:rsid w:val="003326F6"/>
    <w:rsid w:val="00333078"/>
    <w:rsid w:val="0033332B"/>
    <w:rsid w:val="0033343B"/>
    <w:rsid w:val="003335D2"/>
    <w:rsid w:val="00333779"/>
    <w:rsid w:val="003339DB"/>
    <w:rsid w:val="00333B16"/>
    <w:rsid w:val="00333B51"/>
    <w:rsid w:val="00333CBE"/>
    <w:rsid w:val="00333CF5"/>
    <w:rsid w:val="00333DBE"/>
    <w:rsid w:val="00334439"/>
    <w:rsid w:val="0033454B"/>
    <w:rsid w:val="00334645"/>
    <w:rsid w:val="00334690"/>
    <w:rsid w:val="00334746"/>
    <w:rsid w:val="00334918"/>
    <w:rsid w:val="00334B4B"/>
    <w:rsid w:val="003350EB"/>
    <w:rsid w:val="00336202"/>
    <w:rsid w:val="0033626B"/>
    <w:rsid w:val="00336378"/>
    <w:rsid w:val="003364B8"/>
    <w:rsid w:val="003364FE"/>
    <w:rsid w:val="00336589"/>
    <w:rsid w:val="003365B2"/>
    <w:rsid w:val="0033683F"/>
    <w:rsid w:val="00336AC5"/>
    <w:rsid w:val="00336B51"/>
    <w:rsid w:val="00336C3F"/>
    <w:rsid w:val="00336E12"/>
    <w:rsid w:val="00336E92"/>
    <w:rsid w:val="003372D1"/>
    <w:rsid w:val="003372D2"/>
    <w:rsid w:val="0033740E"/>
    <w:rsid w:val="0033755D"/>
    <w:rsid w:val="003377F5"/>
    <w:rsid w:val="00337801"/>
    <w:rsid w:val="00337853"/>
    <w:rsid w:val="00337910"/>
    <w:rsid w:val="00337E78"/>
    <w:rsid w:val="00337FA1"/>
    <w:rsid w:val="00340079"/>
    <w:rsid w:val="003406B0"/>
    <w:rsid w:val="00340E82"/>
    <w:rsid w:val="00340F42"/>
    <w:rsid w:val="00341029"/>
    <w:rsid w:val="003410D1"/>
    <w:rsid w:val="0034156E"/>
    <w:rsid w:val="003415F0"/>
    <w:rsid w:val="0034163E"/>
    <w:rsid w:val="0034175C"/>
    <w:rsid w:val="00341AAB"/>
    <w:rsid w:val="00341DAA"/>
    <w:rsid w:val="00341FA1"/>
    <w:rsid w:val="00342057"/>
    <w:rsid w:val="003421F3"/>
    <w:rsid w:val="003423DF"/>
    <w:rsid w:val="00342530"/>
    <w:rsid w:val="003428B1"/>
    <w:rsid w:val="00342C79"/>
    <w:rsid w:val="00342C7A"/>
    <w:rsid w:val="00342E63"/>
    <w:rsid w:val="003431EF"/>
    <w:rsid w:val="0034325F"/>
    <w:rsid w:val="00343313"/>
    <w:rsid w:val="00343644"/>
    <w:rsid w:val="0034391C"/>
    <w:rsid w:val="00343EF7"/>
    <w:rsid w:val="00343F18"/>
    <w:rsid w:val="0034416F"/>
    <w:rsid w:val="00344A98"/>
    <w:rsid w:val="00344AA0"/>
    <w:rsid w:val="00344AF7"/>
    <w:rsid w:val="00345138"/>
    <w:rsid w:val="003452AB"/>
    <w:rsid w:val="003455F7"/>
    <w:rsid w:val="00345C49"/>
    <w:rsid w:val="00345D36"/>
    <w:rsid w:val="00345ED2"/>
    <w:rsid w:val="00345F3D"/>
    <w:rsid w:val="003461C9"/>
    <w:rsid w:val="00346219"/>
    <w:rsid w:val="00346651"/>
    <w:rsid w:val="0034671F"/>
    <w:rsid w:val="003467E6"/>
    <w:rsid w:val="00346E63"/>
    <w:rsid w:val="00346E73"/>
    <w:rsid w:val="00346F14"/>
    <w:rsid w:val="0034746A"/>
    <w:rsid w:val="003475C8"/>
    <w:rsid w:val="00347BD7"/>
    <w:rsid w:val="00347BE7"/>
    <w:rsid w:val="00347E1F"/>
    <w:rsid w:val="00347F1C"/>
    <w:rsid w:val="00347F22"/>
    <w:rsid w:val="00347F8C"/>
    <w:rsid w:val="00350040"/>
    <w:rsid w:val="003500AE"/>
    <w:rsid w:val="00350312"/>
    <w:rsid w:val="00350647"/>
    <w:rsid w:val="00350736"/>
    <w:rsid w:val="00350797"/>
    <w:rsid w:val="0035082B"/>
    <w:rsid w:val="00350A13"/>
    <w:rsid w:val="00350C64"/>
    <w:rsid w:val="0035109A"/>
    <w:rsid w:val="003510E5"/>
    <w:rsid w:val="0035132F"/>
    <w:rsid w:val="0035133E"/>
    <w:rsid w:val="00351677"/>
    <w:rsid w:val="003516EB"/>
    <w:rsid w:val="003518B7"/>
    <w:rsid w:val="003518CA"/>
    <w:rsid w:val="003519FE"/>
    <w:rsid w:val="00351BBF"/>
    <w:rsid w:val="00351C81"/>
    <w:rsid w:val="00351CD5"/>
    <w:rsid w:val="00351EE5"/>
    <w:rsid w:val="0035249C"/>
    <w:rsid w:val="00352714"/>
    <w:rsid w:val="00352E0D"/>
    <w:rsid w:val="00352E9B"/>
    <w:rsid w:val="00353272"/>
    <w:rsid w:val="003536D4"/>
    <w:rsid w:val="0035398F"/>
    <w:rsid w:val="00353A9F"/>
    <w:rsid w:val="00353B95"/>
    <w:rsid w:val="00353D2F"/>
    <w:rsid w:val="00354049"/>
    <w:rsid w:val="00354797"/>
    <w:rsid w:val="0035479A"/>
    <w:rsid w:val="00354804"/>
    <w:rsid w:val="003549C5"/>
    <w:rsid w:val="00354CB0"/>
    <w:rsid w:val="00354F22"/>
    <w:rsid w:val="00354F3D"/>
    <w:rsid w:val="003551A4"/>
    <w:rsid w:val="00355348"/>
    <w:rsid w:val="003554A0"/>
    <w:rsid w:val="003554FA"/>
    <w:rsid w:val="00355526"/>
    <w:rsid w:val="00355811"/>
    <w:rsid w:val="003558EF"/>
    <w:rsid w:val="00355EC2"/>
    <w:rsid w:val="00355F7C"/>
    <w:rsid w:val="00355FB3"/>
    <w:rsid w:val="00356140"/>
    <w:rsid w:val="0035615A"/>
    <w:rsid w:val="0035615C"/>
    <w:rsid w:val="00356440"/>
    <w:rsid w:val="00356657"/>
    <w:rsid w:val="003567B3"/>
    <w:rsid w:val="00356AF8"/>
    <w:rsid w:val="00356B11"/>
    <w:rsid w:val="00356B5C"/>
    <w:rsid w:val="00356E68"/>
    <w:rsid w:val="0035748D"/>
    <w:rsid w:val="0035748F"/>
    <w:rsid w:val="003574E7"/>
    <w:rsid w:val="00357585"/>
    <w:rsid w:val="0035776A"/>
    <w:rsid w:val="00357788"/>
    <w:rsid w:val="003577C4"/>
    <w:rsid w:val="00357B0F"/>
    <w:rsid w:val="00357B38"/>
    <w:rsid w:val="00357FB2"/>
    <w:rsid w:val="003600E7"/>
    <w:rsid w:val="0036021A"/>
    <w:rsid w:val="0036068A"/>
    <w:rsid w:val="003607B9"/>
    <w:rsid w:val="003607C4"/>
    <w:rsid w:val="00360AD5"/>
    <w:rsid w:val="00361014"/>
    <w:rsid w:val="0036103E"/>
    <w:rsid w:val="0036109E"/>
    <w:rsid w:val="00361206"/>
    <w:rsid w:val="00361302"/>
    <w:rsid w:val="0036149C"/>
    <w:rsid w:val="00361502"/>
    <w:rsid w:val="00361854"/>
    <w:rsid w:val="003619C3"/>
    <w:rsid w:val="003619CE"/>
    <w:rsid w:val="00361ADD"/>
    <w:rsid w:val="00361B18"/>
    <w:rsid w:val="00361B70"/>
    <w:rsid w:val="003621B9"/>
    <w:rsid w:val="00362340"/>
    <w:rsid w:val="00362B7F"/>
    <w:rsid w:val="00362BA5"/>
    <w:rsid w:val="00362E1D"/>
    <w:rsid w:val="00362F52"/>
    <w:rsid w:val="00363014"/>
    <w:rsid w:val="0036309D"/>
    <w:rsid w:val="003630FB"/>
    <w:rsid w:val="00363211"/>
    <w:rsid w:val="003632ED"/>
    <w:rsid w:val="00363459"/>
    <w:rsid w:val="003634CD"/>
    <w:rsid w:val="003637E4"/>
    <w:rsid w:val="00363829"/>
    <w:rsid w:val="00363A48"/>
    <w:rsid w:val="003640BC"/>
    <w:rsid w:val="0036431A"/>
    <w:rsid w:val="003645E2"/>
    <w:rsid w:val="00364683"/>
    <w:rsid w:val="0036470E"/>
    <w:rsid w:val="00364F8A"/>
    <w:rsid w:val="00365035"/>
    <w:rsid w:val="00365376"/>
    <w:rsid w:val="0036540F"/>
    <w:rsid w:val="00365676"/>
    <w:rsid w:val="003656FF"/>
    <w:rsid w:val="00365C87"/>
    <w:rsid w:val="00365D8C"/>
    <w:rsid w:val="003662D5"/>
    <w:rsid w:val="00366330"/>
    <w:rsid w:val="003664BF"/>
    <w:rsid w:val="003665AB"/>
    <w:rsid w:val="00366633"/>
    <w:rsid w:val="003666F1"/>
    <w:rsid w:val="003667F1"/>
    <w:rsid w:val="00366927"/>
    <w:rsid w:val="00366A45"/>
    <w:rsid w:val="00366A8B"/>
    <w:rsid w:val="00366B10"/>
    <w:rsid w:val="00366B4C"/>
    <w:rsid w:val="00366BD6"/>
    <w:rsid w:val="00366C59"/>
    <w:rsid w:val="003672D3"/>
    <w:rsid w:val="003674FF"/>
    <w:rsid w:val="0036763C"/>
    <w:rsid w:val="00367B98"/>
    <w:rsid w:val="00367D3C"/>
    <w:rsid w:val="00367D9B"/>
    <w:rsid w:val="0037017E"/>
    <w:rsid w:val="0037035F"/>
    <w:rsid w:val="003704B9"/>
    <w:rsid w:val="00370564"/>
    <w:rsid w:val="00370577"/>
    <w:rsid w:val="0037072F"/>
    <w:rsid w:val="003708CB"/>
    <w:rsid w:val="00370F9B"/>
    <w:rsid w:val="00370FDA"/>
    <w:rsid w:val="0037119C"/>
    <w:rsid w:val="0037138E"/>
    <w:rsid w:val="00371589"/>
    <w:rsid w:val="0037160C"/>
    <w:rsid w:val="00371740"/>
    <w:rsid w:val="00371A3F"/>
    <w:rsid w:val="00371EBC"/>
    <w:rsid w:val="00371F54"/>
    <w:rsid w:val="003720C9"/>
    <w:rsid w:val="00372328"/>
    <w:rsid w:val="00372503"/>
    <w:rsid w:val="00372748"/>
    <w:rsid w:val="00372784"/>
    <w:rsid w:val="00372959"/>
    <w:rsid w:val="00372C30"/>
    <w:rsid w:val="00373145"/>
    <w:rsid w:val="00373276"/>
    <w:rsid w:val="0037331D"/>
    <w:rsid w:val="0037342A"/>
    <w:rsid w:val="00373586"/>
    <w:rsid w:val="003735EF"/>
    <w:rsid w:val="00373A16"/>
    <w:rsid w:val="00373AEC"/>
    <w:rsid w:val="00373B48"/>
    <w:rsid w:val="00373B88"/>
    <w:rsid w:val="00373CDD"/>
    <w:rsid w:val="00373F99"/>
    <w:rsid w:val="0037428D"/>
    <w:rsid w:val="00374581"/>
    <w:rsid w:val="00374786"/>
    <w:rsid w:val="00374881"/>
    <w:rsid w:val="003749A6"/>
    <w:rsid w:val="00374A23"/>
    <w:rsid w:val="00374C61"/>
    <w:rsid w:val="00374DCB"/>
    <w:rsid w:val="00374E00"/>
    <w:rsid w:val="00374E3F"/>
    <w:rsid w:val="003753E0"/>
    <w:rsid w:val="00375803"/>
    <w:rsid w:val="00375AB0"/>
    <w:rsid w:val="00375B40"/>
    <w:rsid w:val="00375BF1"/>
    <w:rsid w:val="00375D72"/>
    <w:rsid w:val="00375FB9"/>
    <w:rsid w:val="003760BF"/>
    <w:rsid w:val="0037659F"/>
    <w:rsid w:val="003765E9"/>
    <w:rsid w:val="00376707"/>
    <w:rsid w:val="0037675A"/>
    <w:rsid w:val="00376812"/>
    <w:rsid w:val="00376B63"/>
    <w:rsid w:val="00376C92"/>
    <w:rsid w:val="00376CF4"/>
    <w:rsid w:val="00376EE5"/>
    <w:rsid w:val="0037705C"/>
    <w:rsid w:val="00377357"/>
    <w:rsid w:val="0037742F"/>
    <w:rsid w:val="00377451"/>
    <w:rsid w:val="00377F5E"/>
    <w:rsid w:val="00380004"/>
    <w:rsid w:val="0038006B"/>
    <w:rsid w:val="003800F5"/>
    <w:rsid w:val="00380151"/>
    <w:rsid w:val="00380A0A"/>
    <w:rsid w:val="00380C03"/>
    <w:rsid w:val="00380D59"/>
    <w:rsid w:val="00381293"/>
    <w:rsid w:val="003812EF"/>
    <w:rsid w:val="00381630"/>
    <w:rsid w:val="00381B87"/>
    <w:rsid w:val="00381D1D"/>
    <w:rsid w:val="003823DF"/>
    <w:rsid w:val="0038285F"/>
    <w:rsid w:val="00382919"/>
    <w:rsid w:val="0038296B"/>
    <w:rsid w:val="00382A0E"/>
    <w:rsid w:val="00382FC0"/>
    <w:rsid w:val="0038304F"/>
    <w:rsid w:val="00383199"/>
    <w:rsid w:val="003833E7"/>
    <w:rsid w:val="00383811"/>
    <w:rsid w:val="00383824"/>
    <w:rsid w:val="00383838"/>
    <w:rsid w:val="00383888"/>
    <w:rsid w:val="00383BC1"/>
    <w:rsid w:val="00384075"/>
    <w:rsid w:val="00384182"/>
    <w:rsid w:val="003842B7"/>
    <w:rsid w:val="0038465A"/>
    <w:rsid w:val="00384AAF"/>
    <w:rsid w:val="00384D57"/>
    <w:rsid w:val="0038528F"/>
    <w:rsid w:val="00385510"/>
    <w:rsid w:val="003855A9"/>
    <w:rsid w:val="00385822"/>
    <w:rsid w:val="00385CE6"/>
    <w:rsid w:val="00385DBF"/>
    <w:rsid w:val="00385E2D"/>
    <w:rsid w:val="003862B0"/>
    <w:rsid w:val="0038640F"/>
    <w:rsid w:val="00386490"/>
    <w:rsid w:val="003864D8"/>
    <w:rsid w:val="003865C9"/>
    <w:rsid w:val="00387081"/>
    <w:rsid w:val="00387468"/>
    <w:rsid w:val="003876CC"/>
    <w:rsid w:val="00387D33"/>
    <w:rsid w:val="00387D81"/>
    <w:rsid w:val="00387D9E"/>
    <w:rsid w:val="00390494"/>
    <w:rsid w:val="00390597"/>
    <w:rsid w:val="0039096C"/>
    <w:rsid w:val="0039097F"/>
    <w:rsid w:val="00390E40"/>
    <w:rsid w:val="0039101A"/>
    <w:rsid w:val="00391088"/>
    <w:rsid w:val="003911A6"/>
    <w:rsid w:val="00391253"/>
    <w:rsid w:val="00391273"/>
    <w:rsid w:val="00391337"/>
    <w:rsid w:val="00391463"/>
    <w:rsid w:val="00391B2D"/>
    <w:rsid w:val="00391C26"/>
    <w:rsid w:val="00391DED"/>
    <w:rsid w:val="00391E26"/>
    <w:rsid w:val="00391F90"/>
    <w:rsid w:val="00392568"/>
    <w:rsid w:val="003925BF"/>
    <w:rsid w:val="003929C3"/>
    <w:rsid w:val="00392A3F"/>
    <w:rsid w:val="00392CDE"/>
    <w:rsid w:val="00392DAB"/>
    <w:rsid w:val="00392F80"/>
    <w:rsid w:val="0039307C"/>
    <w:rsid w:val="003930BF"/>
    <w:rsid w:val="003932DC"/>
    <w:rsid w:val="003939CF"/>
    <w:rsid w:val="00393EF8"/>
    <w:rsid w:val="00393F5B"/>
    <w:rsid w:val="0039417E"/>
    <w:rsid w:val="003943D4"/>
    <w:rsid w:val="0039442F"/>
    <w:rsid w:val="003946AE"/>
    <w:rsid w:val="0039473C"/>
    <w:rsid w:val="0039492A"/>
    <w:rsid w:val="003949F6"/>
    <w:rsid w:val="00394B5A"/>
    <w:rsid w:val="00394C29"/>
    <w:rsid w:val="00394CBD"/>
    <w:rsid w:val="00395436"/>
    <w:rsid w:val="00395564"/>
    <w:rsid w:val="003955D5"/>
    <w:rsid w:val="003956BF"/>
    <w:rsid w:val="00395905"/>
    <w:rsid w:val="00395CD8"/>
    <w:rsid w:val="00395DE7"/>
    <w:rsid w:val="00395E43"/>
    <w:rsid w:val="00395FA7"/>
    <w:rsid w:val="00396329"/>
    <w:rsid w:val="0039633A"/>
    <w:rsid w:val="003963D2"/>
    <w:rsid w:val="00396793"/>
    <w:rsid w:val="0039686B"/>
    <w:rsid w:val="00396B2C"/>
    <w:rsid w:val="00396D2B"/>
    <w:rsid w:val="003970EA"/>
    <w:rsid w:val="003970EF"/>
    <w:rsid w:val="0039713A"/>
    <w:rsid w:val="0039739E"/>
    <w:rsid w:val="003978FB"/>
    <w:rsid w:val="00397996"/>
    <w:rsid w:val="00397AA1"/>
    <w:rsid w:val="00397FB2"/>
    <w:rsid w:val="00397FCB"/>
    <w:rsid w:val="00397FEC"/>
    <w:rsid w:val="003A0347"/>
    <w:rsid w:val="003A04A4"/>
    <w:rsid w:val="003A04D8"/>
    <w:rsid w:val="003A0531"/>
    <w:rsid w:val="003A0585"/>
    <w:rsid w:val="003A05B4"/>
    <w:rsid w:val="003A05F6"/>
    <w:rsid w:val="003A073B"/>
    <w:rsid w:val="003A09EC"/>
    <w:rsid w:val="003A0B01"/>
    <w:rsid w:val="003A0B05"/>
    <w:rsid w:val="003A0C1A"/>
    <w:rsid w:val="003A0CD4"/>
    <w:rsid w:val="003A0D1A"/>
    <w:rsid w:val="003A0F16"/>
    <w:rsid w:val="003A0FF4"/>
    <w:rsid w:val="003A1180"/>
    <w:rsid w:val="003A1348"/>
    <w:rsid w:val="003A14C1"/>
    <w:rsid w:val="003A16DC"/>
    <w:rsid w:val="003A19A5"/>
    <w:rsid w:val="003A1E6D"/>
    <w:rsid w:val="003A1F61"/>
    <w:rsid w:val="003A2138"/>
    <w:rsid w:val="003A2175"/>
    <w:rsid w:val="003A263F"/>
    <w:rsid w:val="003A2D95"/>
    <w:rsid w:val="003A2EFF"/>
    <w:rsid w:val="003A319D"/>
    <w:rsid w:val="003A31CD"/>
    <w:rsid w:val="003A32D6"/>
    <w:rsid w:val="003A32D9"/>
    <w:rsid w:val="003A36BD"/>
    <w:rsid w:val="003A3A33"/>
    <w:rsid w:val="003A3AAF"/>
    <w:rsid w:val="003A3B5E"/>
    <w:rsid w:val="003A3B6A"/>
    <w:rsid w:val="003A3BF7"/>
    <w:rsid w:val="003A3C8C"/>
    <w:rsid w:val="003A3D0F"/>
    <w:rsid w:val="003A3D12"/>
    <w:rsid w:val="003A400F"/>
    <w:rsid w:val="003A41A6"/>
    <w:rsid w:val="003A435A"/>
    <w:rsid w:val="003A45DC"/>
    <w:rsid w:val="003A4CF8"/>
    <w:rsid w:val="003A4E3B"/>
    <w:rsid w:val="003A4F8C"/>
    <w:rsid w:val="003A4FBC"/>
    <w:rsid w:val="003A4FCF"/>
    <w:rsid w:val="003A5186"/>
    <w:rsid w:val="003A52A6"/>
    <w:rsid w:val="003A5516"/>
    <w:rsid w:val="003A5560"/>
    <w:rsid w:val="003A5788"/>
    <w:rsid w:val="003A60FC"/>
    <w:rsid w:val="003A6219"/>
    <w:rsid w:val="003A6428"/>
    <w:rsid w:val="003A6541"/>
    <w:rsid w:val="003A65AE"/>
    <w:rsid w:val="003A6625"/>
    <w:rsid w:val="003A673A"/>
    <w:rsid w:val="003A6746"/>
    <w:rsid w:val="003A68E9"/>
    <w:rsid w:val="003A6C1F"/>
    <w:rsid w:val="003A744F"/>
    <w:rsid w:val="003A769B"/>
    <w:rsid w:val="003A7C37"/>
    <w:rsid w:val="003A7CEC"/>
    <w:rsid w:val="003A7D88"/>
    <w:rsid w:val="003A7F9F"/>
    <w:rsid w:val="003B01A5"/>
    <w:rsid w:val="003B02A6"/>
    <w:rsid w:val="003B03DA"/>
    <w:rsid w:val="003B070D"/>
    <w:rsid w:val="003B0997"/>
    <w:rsid w:val="003B0B4C"/>
    <w:rsid w:val="003B0D27"/>
    <w:rsid w:val="003B0D2F"/>
    <w:rsid w:val="003B0EC4"/>
    <w:rsid w:val="003B1240"/>
    <w:rsid w:val="003B1730"/>
    <w:rsid w:val="003B1D18"/>
    <w:rsid w:val="003B2194"/>
    <w:rsid w:val="003B2ACF"/>
    <w:rsid w:val="003B3059"/>
    <w:rsid w:val="003B3244"/>
    <w:rsid w:val="003B39E6"/>
    <w:rsid w:val="003B3B2A"/>
    <w:rsid w:val="003B3EB5"/>
    <w:rsid w:val="003B4015"/>
    <w:rsid w:val="003B408A"/>
    <w:rsid w:val="003B4599"/>
    <w:rsid w:val="003B4BD3"/>
    <w:rsid w:val="003B4CA0"/>
    <w:rsid w:val="003B5278"/>
    <w:rsid w:val="003B5909"/>
    <w:rsid w:val="003B592A"/>
    <w:rsid w:val="003B5A9A"/>
    <w:rsid w:val="003B5B46"/>
    <w:rsid w:val="003B5B88"/>
    <w:rsid w:val="003B5D2F"/>
    <w:rsid w:val="003B5E29"/>
    <w:rsid w:val="003B5E59"/>
    <w:rsid w:val="003B6113"/>
    <w:rsid w:val="003B66FB"/>
    <w:rsid w:val="003B6B10"/>
    <w:rsid w:val="003B6D5C"/>
    <w:rsid w:val="003B6E88"/>
    <w:rsid w:val="003B6F44"/>
    <w:rsid w:val="003B6F5A"/>
    <w:rsid w:val="003B72B1"/>
    <w:rsid w:val="003B738D"/>
    <w:rsid w:val="003B7A57"/>
    <w:rsid w:val="003B7D4A"/>
    <w:rsid w:val="003B7E0B"/>
    <w:rsid w:val="003B7F23"/>
    <w:rsid w:val="003B7FBF"/>
    <w:rsid w:val="003C0063"/>
    <w:rsid w:val="003C02AA"/>
    <w:rsid w:val="003C0424"/>
    <w:rsid w:val="003C0465"/>
    <w:rsid w:val="003C04B8"/>
    <w:rsid w:val="003C051F"/>
    <w:rsid w:val="003C0A66"/>
    <w:rsid w:val="003C0A9E"/>
    <w:rsid w:val="003C14B4"/>
    <w:rsid w:val="003C1516"/>
    <w:rsid w:val="003C17E0"/>
    <w:rsid w:val="003C1BDB"/>
    <w:rsid w:val="003C1D0C"/>
    <w:rsid w:val="003C2010"/>
    <w:rsid w:val="003C2128"/>
    <w:rsid w:val="003C2230"/>
    <w:rsid w:val="003C229A"/>
    <w:rsid w:val="003C22AD"/>
    <w:rsid w:val="003C2685"/>
    <w:rsid w:val="003C2869"/>
    <w:rsid w:val="003C2ECD"/>
    <w:rsid w:val="003C36E2"/>
    <w:rsid w:val="003C3C58"/>
    <w:rsid w:val="003C3C76"/>
    <w:rsid w:val="003C41F1"/>
    <w:rsid w:val="003C43E5"/>
    <w:rsid w:val="003C44E8"/>
    <w:rsid w:val="003C4528"/>
    <w:rsid w:val="003C4777"/>
    <w:rsid w:val="003C498E"/>
    <w:rsid w:val="003C5542"/>
    <w:rsid w:val="003C5AA6"/>
    <w:rsid w:val="003C5C49"/>
    <w:rsid w:val="003C5C74"/>
    <w:rsid w:val="003C5CBE"/>
    <w:rsid w:val="003C5D33"/>
    <w:rsid w:val="003C5EB6"/>
    <w:rsid w:val="003C611E"/>
    <w:rsid w:val="003C6351"/>
    <w:rsid w:val="003C6853"/>
    <w:rsid w:val="003C68AF"/>
    <w:rsid w:val="003C68D6"/>
    <w:rsid w:val="003C69EB"/>
    <w:rsid w:val="003C6B6A"/>
    <w:rsid w:val="003C6C60"/>
    <w:rsid w:val="003C6F8F"/>
    <w:rsid w:val="003C7006"/>
    <w:rsid w:val="003C70A3"/>
    <w:rsid w:val="003C7621"/>
    <w:rsid w:val="003C78D3"/>
    <w:rsid w:val="003C7A40"/>
    <w:rsid w:val="003C7D7D"/>
    <w:rsid w:val="003C7F18"/>
    <w:rsid w:val="003D0256"/>
    <w:rsid w:val="003D0274"/>
    <w:rsid w:val="003D032F"/>
    <w:rsid w:val="003D07C1"/>
    <w:rsid w:val="003D0862"/>
    <w:rsid w:val="003D09E6"/>
    <w:rsid w:val="003D1991"/>
    <w:rsid w:val="003D1A21"/>
    <w:rsid w:val="003D1AAF"/>
    <w:rsid w:val="003D1BBF"/>
    <w:rsid w:val="003D1BD1"/>
    <w:rsid w:val="003D1D8C"/>
    <w:rsid w:val="003D234B"/>
    <w:rsid w:val="003D2953"/>
    <w:rsid w:val="003D2DC8"/>
    <w:rsid w:val="003D30F6"/>
    <w:rsid w:val="003D3168"/>
    <w:rsid w:val="003D3352"/>
    <w:rsid w:val="003D3B49"/>
    <w:rsid w:val="003D3F25"/>
    <w:rsid w:val="003D3FBB"/>
    <w:rsid w:val="003D40CA"/>
    <w:rsid w:val="003D41E7"/>
    <w:rsid w:val="003D4411"/>
    <w:rsid w:val="003D459A"/>
    <w:rsid w:val="003D47D3"/>
    <w:rsid w:val="003D49AA"/>
    <w:rsid w:val="003D4A01"/>
    <w:rsid w:val="003D4D00"/>
    <w:rsid w:val="003D4E38"/>
    <w:rsid w:val="003D4F19"/>
    <w:rsid w:val="003D51DC"/>
    <w:rsid w:val="003D56F2"/>
    <w:rsid w:val="003D5920"/>
    <w:rsid w:val="003D5D25"/>
    <w:rsid w:val="003D6198"/>
    <w:rsid w:val="003D62D9"/>
    <w:rsid w:val="003D6920"/>
    <w:rsid w:val="003D6A54"/>
    <w:rsid w:val="003D6D53"/>
    <w:rsid w:val="003D6E96"/>
    <w:rsid w:val="003D6FB5"/>
    <w:rsid w:val="003D7057"/>
    <w:rsid w:val="003D7147"/>
    <w:rsid w:val="003D749D"/>
    <w:rsid w:val="003D7574"/>
    <w:rsid w:val="003D7782"/>
    <w:rsid w:val="003D7A4B"/>
    <w:rsid w:val="003D7D18"/>
    <w:rsid w:val="003D7DC9"/>
    <w:rsid w:val="003D7FF7"/>
    <w:rsid w:val="003E0252"/>
    <w:rsid w:val="003E02BA"/>
    <w:rsid w:val="003E0731"/>
    <w:rsid w:val="003E0763"/>
    <w:rsid w:val="003E0964"/>
    <w:rsid w:val="003E0A06"/>
    <w:rsid w:val="003E0BEC"/>
    <w:rsid w:val="003E0E10"/>
    <w:rsid w:val="003E0F6D"/>
    <w:rsid w:val="003E101B"/>
    <w:rsid w:val="003E1058"/>
    <w:rsid w:val="003E144A"/>
    <w:rsid w:val="003E153B"/>
    <w:rsid w:val="003E160C"/>
    <w:rsid w:val="003E17C5"/>
    <w:rsid w:val="003E17E3"/>
    <w:rsid w:val="003E1815"/>
    <w:rsid w:val="003E1A12"/>
    <w:rsid w:val="003E1B0D"/>
    <w:rsid w:val="003E1CEF"/>
    <w:rsid w:val="003E1D2F"/>
    <w:rsid w:val="003E1ED9"/>
    <w:rsid w:val="003E2681"/>
    <w:rsid w:val="003E26E7"/>
    <w:rsid w:val="003E2BFF"/>
    <w:rsid w:val="003E3242"/>
    <w:rsid w:val="003E33E7"/>
    <w:rsid w:val="003E34E9"/>
    <w:rsid w:val="003E35C8"/>
    <w:rsid w:val="003E35CB"/>
    <w:rsid w:val="003E3655"/>
    <w:rsid w:val="003E3A0B"/>
    <w:rsid w:val="003E3B14"/>
    <w:rsid w:val="003E4044"/>
    <w:rsid w:val="003E4344"/>
    <w:rsid w:val="003E5096"/>
    <w:rsid w:val="003E5258"/>
    <w:rsid w:val="003E554B"/>
    <w:rsid w:val="003E556B"/>
    <w:rsid w:val="003E568B"/>
    <w:rsid w:val="003E56F7"/>
    <w:rsid w:val="003E5806"/>
    <w:rsid w:val="003E5A46"/>
    <w:rsid w:val="003E5E92"/>
    <w:rsid w:val="003E5F6C"/>
    <w:rsid w:val="003E6030"/>
    <w:rsid w:val="003E60D4"/>
    <w:rsid w:val="003E62E0"/>
    <w:rsid w:val="003E66C6"/>
    <w:rsid w:val="003E66E2"/>
    <w:rsid w:val="003E6761"/>
    <w:rsid w:val="003E680A"/>
    <w:rsid w:val="003E6910"/>
    <w:rsid w:val="003E6A06"/>
    <w:rsid w:val="003E6B96"/>
    <w:rsid w:val="003E6DDD"/>
    <w:rsid w:val="003E6F11"/>
    <w:rsid w:val="003E6FD7"/>
    <w:rsid w:val="003E71D6"/>
    <w:rsid w:val="003E7448"/>
    <w:rsid w:val="003E754C"/>
    <w:rsid w:val="003E7692"/>
    <w:rsid w:val="003E78DA"/>
    <w:rsid w:val="003E78F2"/>
    <w:rsid w:val="003E79E7"/>
    <w:rsid w:val="003E7A82"/>
    <w:rsid w:val="003E7D99"/>
    <w:rsid w:val="003F00BC"/>
    <w:rsid w:val="003F02D9"/>
    <w:rsid w:val="003F089A"/>
    <w:rsid w:val="003F0EF7"/>
    <w:rsid w:val="003F10B2"/>
    <w:rsid w:val="003F14B5"/>
    <w:rsid w:val="003F153F"/>
    <w:rsid w:val="003F1626"/>
    <w:rsid w:val="003F18C8"/>
    <w:rsid w:val="003F1905"/>
    <w:rsid w:val="003F19A2"/>
    <w:rsid w:val="003F1BB9"/>
    <w:rsid w:val="003F1F87"/>
    <w:rsid w:val="003F2158"/>
    <w:rsid w:val="003F2303"/>
    <w:rsid w:val="003F28E8"/>
    <w:rsid w:val="003F2908"/>
    <w:rsid w:val="003F2ABD"/>
    <w:rsid w:val="003F2B10"/>
    <w:rsid w:val="003F2CD2"/>
    <w:rsid w:val="003F2E49"/>
    <w:rsid w:val="003F2E5F"/>
    <w:rsid w:val="003F3217"/>
    <w:rsid w:val="003F3494"/>
    <w:rsid w:val="003F4348"/>
    <w:rsid w:val="003F443F"/>
    <w:rsid w:val="003F4887"/>
    <w:rsid w:val="003F4C6E"/>
    <w:rsid w:val="003F4D6C"/>
    <w:rsid w:val="003F4E3F"/>
    <w:rsid w:val="003F4F33"/>
    <w:rsid w:val="003F4F71"/>
    <w:rsid w:val="003F5032"/>
    <w:rsid w:val="003F54DD"/>
    <w:rsid w:val="003F5A2F"/>
    <w:rsid w:val="003F5B63"/>
    <w:rsid w:val="003F5DF4"/>
    <w:rsid w:val="003F6080"/>
    <w:rsid w:val="003F60CE"/>
    <w:rsid w:val="003F610E"/>
    <w:rsid w:val="003F625A"/>
    <w:rsid w:val="003F62A7"/>
    <w:rsid w:val="003F65AA"/>
    <w:rsid w:val="003F66F8"/>
    <w:rsid w:val="003F6813"/>
    <w:rsid w:val="003F6D94"/>
    <w:rsid w:val="003F7574"/>
    <w:rsid w:val="003F7686"/>
    <w:rsid w:val="00400214"/>
    <w:rsid w:val="00400388"/>
    <w:rsid w:val="004003B9"/>
    <w:rsid w:val="00400827"/>
    <w:rsid w:val="004009E2"/>
    <w:rsid w:val="00401178"/>
    <w:rsid w:val="00401397"/>
    <w:rsid w:val="0040176F"/>
    <w:rsid w:val="00401B43"/>
    <w:rsid w:val="00401F3B"/>
    <w:rsid w:val="0040249C"/>
    <w:rsid w:val="004029A5"/>
    <w:rsid w:val="00402B97"/>
    <w:rsid w:val="00402BBA"/>
    <w:rsid w:val="004030C7"/>
    <w:rsid w:val="004030DC"/>
    <w:rsid w:val="00403173"/>
    <w:rsid w:val="00403228"/>
    <w:rsid w:val="0040329D"/>
    <w:rsid w:val="004032F0"/>
    <w:rsid w:val="0040331A"/>
    <w:rsid w:val="004033AE"/>
    <w:rsid w:val="004035C9"/>
    <w:rsid w:val="004036BA"/>
    <w:rsid w:val="004036D0"/>
    <w:rsid w:val="004037D4"/>
    <w:rsid w:val="004039E1"/>
    <w:rsid w:val="004039FA"/>
    <w:rsid w:val="00403CD0"/>
    <w:rsid w:val="00403E1E"/>
    <w:rsid w:val="00403E31"/>
    <w:rsid w:val="00403EB9"/>
    <w:rsid w:val="00403F1D"/>
    <w:rsid w:val="00404078"/>
    <w:rsid w:val="00404447"/>
    <w:rsid w:val="0040457E"/>
    <w:rsid w:val="00404636"/>
    <w:rsid w:val="00404663"/>
    <w:rsid w:val="0040485F"/>
    <w:rsid w:val="00404B83"/>
    <w:rsid w:val="00404FA5"/>
    <w:rsid w:val="004050B3"/>
    <w:rsid w:val="004050D9"/>
    <w:rsid w:val="0040533D"/>
    <w:rsid w:val="004053EA"/>
    <w:rsid w:val="004055F8"/>
    <w:rsid w:val="0040560A"/>
    <w:rsid w:val="00405799"/>
    <w:rsid w:val="00405980"/>
    <w:rsid w:val="00405C9E"/>
    <w:rsid w:val="00405F89"/>
    <w:rsid w:val="00405F8E"/>
    <w:rsid w:val="00406320"/>
    <w:rsid w:val="00406534"/>
    <w:rsid w:val="00406725"/>
    <w:rsid w:val="00406726"/>
    <w:rsid w:val="004069E2"/>
    <w:rsid w:val="00406B3D"/>
    <w:rsid w:val="00406EC3"/>
    <w:rsid w:val="004071B0"/>
    <w:rsid w:val="00407543"/>
    <w:rsid w:val="00407610"/>
    <w:rsid w:val="00410284"/>
    <w:rsid w:val="004102CC"/>
    <w:rsid w:val="00410565"/>
    <w:rsid w:val="004105C0"/>
    <w:rsid w:val="00410624"/>
    <w:rsid w:val="00410697"/>
    <w:rsid w:val="00410788"/>
    <w:rsid w:val="00410837"/>
    <w:rsid w:val="00410899"/>
    <w:rsid w:val="00410B04"/>
    <w:rsid w:val="00410BEE"/>
    <w:rsid w:val="00410C97"/>
    <w:rsid w:val="0041140B"/>
    <w:rsid w:val="004115DC"/>
    <w:rsid w:val="004116D7"/>
    <w:rsid w:val="00411780"/>
    <w:rsid w:val="00411785"/>
    <w:rsid w:val="004117FC"/>
    <w:rsid w:val="00411BED"/>
    <w:rsid w:val="00411C55"/>
    <w:rsid w:val="00411F07"/>
    <w:rsid w:val="00412099"/>
    <w:rsid w:val="004121A0"/>
    <w:rsid w:val="004121D3"/>
    <w:rsid w:val="00412297"/>
    <w:rsid w:val="004128FF"/>
    <w:rsid w:val="00412A75"/>
    <w:rsid w:val="00412B2E"/>
    <w:rsid w:val="00412EF6"/>
    <w:rsid w:val="00413223"/>
    <w:rsid w:val="00413833"/>
    <w:rsid w:val="0041385C"/>
    <w:rsid w:val="004138F0"/>
    <w:rsid w:val="00413A0B"/>
    <w:rsid w:val="00413AF2"/>
    <w:rsid w:val="00413D05"/>
    <w:rsid w:val="00413D7D"/>
    <w:rsid w:val="00413F41"/>
    <w:rsid w:val="00414505"/>
    <w:rsid w:val="004147A3"/>
    <w:rsid w:val="004147AB"/>
    <w:rsid w:val="004147E5"/>
    <w:rsid w:val="00414CFE"/>
    <w:rsid w:val="00414D0D"/>
    <w:rsid w:val="00414D51"/>
    <w:rsid w:val="00414E14"/>
    <w:rsid w:val="00414FFA"/>
    <w:rsid w:val="00415229"/>
    <w:rsid w:val="00415293"/>
    <w:rsid w:val="00415494"/>
    <w:rsid w:val="004155EC"/>
    <w:rsid w:val="00415792"/>
    <w:rsid w:val="00415EED"/>
    <w:rsid w:val="00416074"/>
    <w:rsid w:val="00416B34"/>
    <w:rsid w:val="00416BB0"/>
    <w:rsid w:val="00416F1E"/>
    <w:rsid w:val="00416FCF"/>
    <w:rsid w:val="004171C6"/>
    <w:rsid w:val="00417241"/>
    <w:rsid w:val="00417273"/>
    <w:rsid w:val="00417458"/>
    <w:rsid w:val="00417551"/>
    <w:rsid w:val="004179D6"/>
    <w:rsid w:val="0042002A"/>
    <w:rsid w:val="00420100"/>
    <w:rsid w:val="00420191"/>
    <w:rsid w:val="004201E3"/>
    <w:rsid w:val="0042044C"/>
    <w:rsid w:val="0042045B"/>
    <w:rsid w:val="0042069B"/>
    <w:rsid w:val="004207C1"/>
    <w:rsid w:val="004209CE"/>
    <w:rsid w:val="00420B8E"/>
    <w:rsid w:val="00420D9F"/>
    <w:rsid w:val="00420F7D"/>
    <w:rsid w:val="0042107E"/>
    <w:rsid w:val="0042124D"/>
    <w:rsid w:val="00421300"/>
    <w:rsid w:val="0042132D"/>
    <w:rsid w:val="00421383"/>
    <w:rsid w:val="004213C8"/>
    <w:rsid w:val="00421739"/>
    <w:rsid w:val="0042196F"/>
    <w:rsid w:val="00421C88"/>
    <w:rsid w:val="00421CEF"/>
    <w:rsid w:val="00421E53"/>
    <w:rsid w:val="0042203F"/>
    <w:rsid w:val="0042206D"/>
    <w:rsid w:val="004221EF"/>
    <w:rsid w:val="004224C7"/>
    <w:rsid w:val="0042287D"/>
    <w:rsid w:val="0042298D"/>
    <w:rsid w:val="00422A9A"/>
    <w:rsid w:val="00422C21"/>
    <w:rsid w:val="00422C53"/>
    <w:rsid w:val="00422E66"/>
    <w:rsid w:val="0042312C"/>
    <w:rsid w:val="004232AC"/>
    <w:rsid w:val="00423477"/>
    <w:rsid w:val="00423721"/>
    <w:rsid w:val="00423750"/>
    <w:rsid w:val="00423948"/>
    <w:rsid w:val="00423D3A"/>
    <w:rsid w:val="00423EEB"/>
    <w:rsid w:val="00423EF9"/>
    <w:rsid w:val="00423F98"/>
    <w:rsid w:val="004240AA"/>
    <w:rsid w:val="00424611"/>
    <w:rsid w:val="00424981"/>
    <w:rsid w:val="00424B88"/>
    <w:rsid w:val="00424F03"/>
    <w:rsid w:val="004250F0"/>
    <w:rsid w:val="004253D5"/>
    <w:rsid w:val="004254FC"/>
    <w:rsid w:val="0042569C"/>
    <w:rsid w:val="0042583C"/>
    <w:rsid w:val="004259C1"/>
    <w:rsid w:val="00425C83"/>
    <w:rsid w:val="00425CAD"/>
    <w:rsid w:val="00425DCA"/>
    <w:rsid w:val="00425E66"/>
    <w:rsid w:val="004261F6"/>
    <w:rsid w:val="00426342"/>
    <w:rsid w:val="0042650B"/>
    <w:rsid w:val="00426534"/>
    <w:rsid w:val="004265DA"/>
    <w:rsid w:val="004265F9"/>
    <w:rsid w:val="00426627"/>
    <w:rsid w:val="00426709"/>
    <w:rsid w:val="00426741"/>
    <w:rsid w:val="00426B82"/>
    <w:rsid w:val="00426D60"/>
    <w:rsid w:val="00427111"/>
    <w:rsid w:val="0042752B"/>
    <w:rsid w:val="00427585"/>
    <w:rsid w:val="00427E35"/>
    <w:rsid w:val="00427FB1"/>
    <w:rsid w:val="0043005F"/>
    <w:rsid w:val="00430A79"/>
    <w:rsid w:val="00430AD6"/>
    <w:rsid w:val="00430D65"/>
    <w:rsid w:val="00430E2D"/>
    <w:rsid w:val="00430E9F"/>
    <w:rsid w:val="00430F94"/>
    <w:rsid w:val="00430F95"/>
    <w:rsid w:val="0043142B"/>
    <w:rsid w:val="00431436"/>
    <w:rsid w:val="00431498"/>
    <w:rsid w:val="00431545"/>
    <w:rsid w:val="0043165A"/>
    <w:rsid w:val="00431870"/>
    <w:rsid w:val="00431AB6"/>
    <w:rsid w:val="00431C99"/>
    <w:rsid w:val="00431E0F"/>
    <w:rsid w:val="004324FB"/>
    <w:rsid w:val="00432715"/>
    <w:rsid w:val="00432D43"/>
    <w:rsid w:val="00432F07"/>
    <w:rsid w:val="00432F25"/>
    <w:rsid w:val="00433038"/>
    <w:rsid w:val="004339F0"/>
    <w:rsid w:val="00433A52"/>
    <w:rsid w:val="00433B30"/>
    <w:rsid w:val="00433C6E"/>
    <w:rsid w:val="00433C92"/>
    <w:rsid w:val="00433EB3"/>
    <w:rsid w:val="00433FAE"/>
    <w:rsid w:val="004343E6"/>
    <w:rsid w:val="00434868"/>
    <w:rsid w:val="00434A48"/>
    <w:rsid w:val="00434DAD"/>
    <w:rsid w:val="00434FA0"/>
    <w:rsid w:val="00434FB2"/>
    <w:rsid w:val="00435218"/>
    <w:rsid w:val="004355B4"/>
    <w:rsid w:val="00435744"/>
    <w:rsid w:val="00435C64"/>
    <w:rsid w:val="0043625C"/>
    <w:rsid w:val="00436263"/>
    <w:rsid w:val="0043644B"/>
    <w:rsid w:val="00436463"/>
    <w:rsid w:val="0043669A"/>
    <w:rsid w:val="004368A2"/>
    <w:rsid w:val="00436A0D"/>
    <w:rsid w:val="00436AFE"/>
    <w:rsid w:val="00436F6D"/>
    <w:rsid w:val="00437137"/>
    <w:rsid w:val="00437763"/>
    <w:rsid w:val="004403C7"/>
    <w:rsid w:val="0044041F"/>
    <w:rsid w:val="00440604"/>
    <w:rsid w:val="00440C7F"/>
    <w:rsid w:val="004412D6"/>
    <w:rsid w:val="004415A1"/>
    <w:rsid w:val="004416C0"/>
    <w:rsid w:val="00441E48"/>
    <w:rsid w:val="00441EBD"/>
    <w:rsid w:val="004421AE"/>
    <w:rsid w:val="0044222D"/>
    <w:rsid w:val="004426EE"/>
    <w:rsid w:val="00442E9C"/>
    <w:rsid w:val="004431D1"/>
    <w:rsid w:val="004434D8"/>
    <w:rsid w:val="00443744"/>
    <w:rsid w:val="00443940"/>
    <w:rsid w:val="00443B68"/>
    <w:rsid w:val="00444173"/>
    <w:rsid w:val="004444DC"/>
    <w:rsid w:val="00444507"/>
    <w:rsid w:val="00444731"/>
    <w:rsid w:val="00444949"/>
    <w:rsid w:val="00444A79"/>
    <w:rsid w:val="00444A82"/>
    <w:rsid w:val="00444B69"/>
    <w:rsid w:val="00444E90"/>
    <w:rsid w:val="00445078"/>
    <w:rsid w:val="0044525F"/>
    <w:rsid w:val="0044563C"/>
    <w:rsid w:val="0044575C"/>
    <w:rsid w:val="0044576B"/>
    <w:rsid w:val="00445B99"/>
    <w:rsid w:val="00445CBB"/>
    <w:rsid w:val="00445D49"/>
    <w:rsid w:val="00445F00"/>
    <w:rsid w:val="00446351"/>
    <w:rsid w:val="0044636B"/>
    <w:rsid w:val="004463F1"/>
    <w:rsid w:val="00446485"/>
    <w:rsid w:val="0044656A"/>
    <w:rsid w:val="004466E4"/>
    <w:rsid w:val="00446A2E"/>
    <w:rsid w:val="00446DC0"/>
    <w:rsid w:val="00446F1C"/>
    <w:rsid w:val="004473E5"/>
    <w:rsid w:val="004474F1"/>
    <w:rsid w:val="004479E8"/>
    <w:rsid w:val="00447B1F"/>
    <w:rsid w:val="00447D97"/>
    <w:rsid w:val="00450052"/>
    <w:rsid w:val="0045010A"/>
    <w:rsid w:val="004501AB"/>
    <w:rsid w:val="0045022D"/>
    <w:rsid w:val="00450606"/>
    <w:rsid w:val="00450886"/>
    <w:rsid w:val="00450B11"/>
    <w:rsid w:val="00450B17"/>
    <w:rsid w:val="00450B61"/>
    <w:rsid w:val="00451152"/>
    <w:rsid w:val="00451329"/>
    <w:rsid w:val="00451448"/>
    <w:rsid w:val="0045149E"/>
    <w:rsid w:val="0045163B"/>
    <w:rsid w:val="00451714"/>
    <w:rsid w:val="00451CCC"/>
    <w:rsid w:val="00451D2B"/>
    <w:rsid w:val="00452386"/>
    <w:rsid w:val="0045292D"/>
    <w:rsid w:val="004529F0"/>
    <w:rsid w:val="00452A3C"/>
    <w:rsid w:val="00452C68"/>
    <w:rsid w:val="0045307A"/>
    <w:rsid w:val="0045335A"/>
    <w:rsid w:val="004534B6"/>
    <w:rsid w:val="00453556"/>
    <w:rsid w:val="00453760"/>
    <w:rsid w:val="00453949"/>
    <w:rsid w:val="00453A97"/>
    <w:rsid w:val="00453E4C"/>
    <w:rsid w:val="004540DB"/>
    <w:rsid w:val="0045438C"/>
    <w:rsid w:val="00454532"/>
    <w:rsid w:val="00454B40"/>
    <w:rsid w:val="00455123"/>
    <w:rsid w:val="00455200"/>
    <w:rsid w:val="004553D6"/>
    <w:rsid w:val="00455B15"/>
    <w:rsid w:val="00455B5D"/>
    <w:rsid w:val="00455C83"/>
    <w:rsid w:val="00455E7F"/>
    <w:rsid w:val="00455FE3"/>
    <w:rsid w:val="004560E4"/>
    <w:rsid w:val="0045618D"/>
    <w:rsid w:val="004569DA"/>
    <w:rsid w:val="00456B90"/>
    <w:rsid w:val="00456D82"/>
    <w:rsid w:val="00456E52"/>
    <w:rsid w:val="00456F04"/>
    <w:rsid w:val="00456F37"/>
    <w:rsid w:val="0045704E"/>
    <w:rsid w:val="00457166"/>
    <w:rsid w:val="004571A8"/>
    <w:rsid w:val="00457249"/>
    <w:rsid w:val="00457261"/>
    <w:rsid w:val="004573EC"/>
    <w:rsid w:val="00457811"/>
    <w:rsid w:val="00457817"/>
    <w:rsid w:val="0045793F"/>
    <w:rsid w:val="00457955"/>
    <w:rsid w:val="00460108"/>
    <w:rsid w:val="00460621"/>
    <w:rsid w:val="00460771"/>
    <w:rsid w:val="00460D87"/>
    <w:rsid w:val="00460E42"/>
    <w:rsid w:val="00460E9B"/>
    <w:rsid w:val="00461109"/>
    <w:rsid w:val="004611AD"/>
    <w:rsid w:val="0046124D"/>
    <w:rsid w:val="00461425"/>
    <w:rsid w:val="0046188D"/>
    <w:rsid w:val="00461B59"/>
    <w:rsid w:val="00461D5E"/>
    <w:rsid w:val="00461E54"/>
    <w:rsid w:val="00462117"/>
    <w:rsid w:val="00462279"/>
    <w:rsid w:val="004622D8"/>
    <w:rsid w:val="00462669"/>
    <w:rsid w:val="004629C2"/>
    <w:rsid w:val="00462D14"/>
    <w:rsid w:val="00462E95"/>
    <w:rsid w:val="00462F9A"/>
    <w:rsid w:val="004631E8"/>
    <w:rsid w:val="00463489"/>
    <w:rsid w:val="0046383A"/>
    <w:rsid w:val="00463A84"/>
    <w:rsid w:val="00463BB4"/>
    <w:rsid w:val="004641A7"/>
    <w:rsid w:val="00464302"/>
    <w:rsid w:val="00464493"/>
    <w:rsid w:val="0046458E"/>
    <w:rsid w:val="0046478D"/>
    <w:rsid w:val="00464950"/>
    <w:rsid w:val="00464A0E"/>
    <w:rsid w:val="00464AEF"/>
    <w:rsid w:val="00464ECF"/>
    <w:rsid w:val="00465262"/>
    <w:rsid w:val="0046535B"/>
    <w:rsid w:val="0046539A"/>
    <w:rsid w:val="004655A2"/>
    <w:rsid w:val="0046561F"/>
    <w:rsid w:val="004658CD"/>
    <w:rsid w:val="00465A0F"/>
    <w:rsid w:val="00465FBB"/>
    <w:rsid w:val="0046630E"/>
    <w:rsid w:val="004664C3"/>
    <w:rsid w:val="004666F3"/>
    <w:rsid w:val="004669D6"/>
    <w:rsid w:val="00466A54"/>
    <w:rsid w:val="00466A8D"/>
    <w:rsid w:val="00466B1B"/>
    <w:rsid w:val="00466B6C"/>
    <w:rsid w:val="00466BDC"/>
    <w:rsid w:val="0046720E"/>
    <w:rsid w:val="00467528"/>
    <w:rsid w:val="00467555"/>
    <w:rsid w:val="004675E5"/>
    <w:rsid w:val="004678CD"/>
    <w:rsid w:val="00467A19"/>
    <w:rsid w:val="00467AA4"/>
    <w:rsid w:val="00467B9C"/>
    <w:rsid w:val="00467FD1"/>
    <w:rsid w:val="00470174"/>
    <w:rsid w:val="0047018E"/>
    <w:rsid w:val="004702A6"/>
    <w:rsid w:val="004703BC"/>
    <w:rsid w:val="0047052D"/>
    <w:rsid w:val="004707BF"/>
    <w:rsid w:val="0047082A"/>
    <w:rsid w:val="00470BD2"/>
    <w:rsid w:val="00470F2E"/>
    <w:rsid w:val="00471200"/>
    <w:rsid w:val="0047127C"/>
    <w:rsid w:val="00471320"/>
    <w:rsid w:val="0047138A"/>
    <w:rsid w:val="004713DE"/>
    <w:rsid w:val="004715EA"/>
    <w:rsid w:val="00471BB5"/>
    <w:rsid w:val="00471D78"/>
    <w:rsid w:val="00471F5C"/>
    <w:rsid w:val="00472268"/>
    <w:rsid w:val="00472335"/>
    <w:rsid w:val="004724B1"/>
    <w:rsid w:val="0047278F"/>
    <w:rsid w:val="00472EB9"/>
    <w:rsid w:val="00473090"/>
    <w:rsid w:val="00473218"/>
    <w:rsid w:val="004735D9"/>
    <w:rsid w:val="00473671"/>
    <w:rsid w:val="00473705"/>
    <w:rsid w:val="0047371B"/>
    <w:rsid w:val="00473804"/>
    <w:rsid w:val="00473876"/>
    <w:rsid w:val="0047387D"/>
    <w:rsid w:val="004739F6"/>
    <w:rsid w:val="00473B0B"/>
    <w:rsid w:val="00473C75"/>
    <w:rsid w:val="00473E25"/>
    <w:rsid w:val="00473E6D"/>
    <w:rsid w:val="00473EC3"/>
    <w:rsid w:val="004740CD"/>
    <w:rsid w:val="004741F7"/>
    <w:rsid w:val="00474573"/>
    <w:rsid w:val="0047464E"/>
    <w:rsid w:val="0047476B"/>
    <w:rsid w:val="00475075"/>
    <w:rsid w:val="0047521D"/>
    <w:rsid w:val="004755D9"/>
    <w:rsid w:val="0047576E"/>
    <w:rsid w:val="00475C8C"/>
    <w:rsid w:val="00475D17"/>
    <w:rsid w:val="00475DD6"/>
    <w:rsid w:val="00475E7E"/>
    <w:rsid w:val="00475EDF"/>
    <w:rsid w:val="00475F4E"/>
    <w:rsid w:val="004761F6"/>
    <w:rsid w:val="00476886"/>
    <w:rsid w:val="00476AB6"/>
    <w:rsid w:val="00476B88"/>
    <w:rsid w:val="00476C62"/>
    <w:rsid w:val="00477002"/>
    <w:rsid w:val="00477167"/>
    <w:rsid w:val="004771A6"/>
    <w:rsid w:val="004772DD"/>
    <w:rsid w:val="00477374"/>
    <w:rsid w:val="00477B33"/>
    <w:rsid w:val="00477B38"/>
    <w:rsid w:val="00477B84"/>
    <w:rsid w:val="00480335"/>
    <w:rsid w:val="00480487"/>
    <w:rsid w:val="004804DE"/>
    <w:rsid w:val="0048058C"/>
    <w:rsid w:val="004805D2"/>
    <w:rsid w:val="004806F2"/>
    <w:rsid w:val="00480A91"/>
    <w:rsid w:val="00480C7F"/>
    <w:rsid w:val="00480DCE"/>
    <w:rsid w:val="00480DDE"/>
    <w:rsid w:val="0048116A"/>
    <w:rsid w:val="004811B1"/>
    <w:rsid w:val="0048155D"/>
    <w:rsid w:val="00481741"/>
    <w:rsid w:val="004819A1"/>
    <w:rsid w:val="004822D2"/>
    <w:rsid w:val="004823C5"/>
    <w:rsid w:val="00482585"/>
    <w:rsid w:val="004826DB"/>
    <w:rsid w:val="004826DD"/>
    <w:rsid w:val="004826E7"/>
    <w:rsid w:val="00482AB1"/>
    <w:rsid w:val="00482E0B"/>
    <w:rsid w:val="00482FCF"/>
    <w:rsid w:val="004832F8"/>
    <w:rsid w:val="004833E3"/>
    <w:rsid w:val="0048357F"/>
    <w:rsid w:val="0048385E"/>
    <w:rsid w:val="00483A45"/>
    <w:rsid w:val="00483BCE"/>
    <w:rsid w:val="00483C8D"/>
    <w:rsid w:val="00483E8E"/>
    <w:rsid w:val="0048437E"/>
    <w:rsid w:val="0048469A"/>
    <w:rsid w:val="004846FE"/>
    <w:rsid w:val="004848E5"/>
    <w:rsid w:val="00484934"/>
    <w:rsid w:val="00484C5A"/>
    <w:rsid w:val="00484F4C"/>
    <w:rsid w:val="0048500E"/>
    <w:rsid w:val="00485204"/>
    <w:rsid w:val="004852DD"/>
    <w:rsid w:val="004854D3"/>
    <w:rsid w:val="004857BD"/>
    <w:rsid w:val="00485DC4"/>
    <w:rsid w:val="00485E9D"/>
    <w:rsid w:val="0048607C"/>
    <w:rsid w:val="00486097"/>
    <w:rsid w:val="00486205"/>
    <w:rsid w:val="0048656F"/>
    <w:rsid w:val="0048682E"/>
    <w:rsid w:val="004868F3"/>
    <w:rsid w:val="00486FEE"/>
    <w:rsid w:val="004870F5"/>
    <w:rsid w:val="00487164"/>
    <w:rsid w:val="004872CD"/>
    <w:rsid w:val="0048768C"/>
    <w:rsid w:val="004877BC"/>
    <w:rsid w:val="004877E9"/>
    <w:rsid w:val="00487DB2"/>
    <w:rsid w:val="00487E99"/>
    <w:rsid w:val="00487F55"/>
    <w:rsid w:val="00490309"/>
    <w:rsid w:val="00490504"/>
    <w:rsid w:val="00490B8C"/>
    <w:rsid w:val="00490FEC"/>
    <w:rsid w:val="00491019"/>
    <w:rsid w:val="0049109F"/>
    <w:rsid w:val="00491192"/>
    <w:rsid w:val="004913C2"/>
    <w:rsid w:val="00491A5E"/>
    <w:rsid w:val="00491A63"/>
    <w:rsid w:val="00491BE0"/>
    <w:rsid w:val="00491D50"/>
    <w:rsid w:val="00492159"/>
    <w:rsid w:val="004927AC"/>
    <w:rsid w:val="00492904"/>
    <w:rsid w:val="00492938"/>
    <w:rsid w:val="00492A3A"/>
    <w:rsid w:val="00492E83"/>
    <w:rsid w:val="00492F5C"/>
    <w:rsid w:val="004930BF"/>
    <w:rsid w:val="00493104"/>
    <w:rsid w:val="004935F4"/>
    <w:rsid w:val="004936ED"/>
    <w:rsid w:val="004937BB"/>
    <w:rsid w:val="00493A4E"/>
    <w:rsid w:val="00493AC5"/>
    <w:rsid w:val="00493CC6"/>
    <w:rsid w:val="0049494C"/>
    <w:rsid w:val="00494B1E"/>
    <w:rsid w:val="00494F03"/>
    <w:rsid w:val="004952E9"/>
    <w:rsid w:val="004957C6"/>
    <w:rsid w:val="004958BF"/>
    <w:rsid w:val="00495A96"/>
    <w:rsid w:val="00495BC6"/>
    <w:rsid w:val="00496036"/>
    <w:rsid w:val="00496051"/>
    <w:rsid w:val="004965E5"/>
    <w:rsid w:val="004966E8"/>
    <w:rsid w:val="00496742"/>
    <w:rsid w:val="0049687B"/>
    <w:rsid w:val="004969E8"/>
    <w:rsid w:val="00496A10"/>
    <w:rsid w:val="00496A93"/>
    <w:rsid w:val="00496DC6"/>
    <w:rsid w:val="004971B3"/>
    <w:rsid w:val="004974BA"/>
    <w:rsid w:val="004975E6"/>
    <w:rsid w:val="00497A49"/>
    <w:rsid w:val="00497B69"/>
    <w:rsid w:val="00497BAE"/>
    <w:rsid w:val="00497C7C"/>
    <w:rsid w:val="00497D8C"/>
    <w:rsid w:val="004A0037"/>
    <w:rsid w:val="004A0430"/>
    <w:rsid w:val="004A0500"/>
    <w:rsid w:val="004A0707"/>
    <w:rsid w:val="004A07C0"/>
    <w:rsid w:val="004A0855"/>
    <w:rsid w:val="004A089B"/>
    <w:rsid w:val="004A09EE"/>
    <w:rsid w:val="004A0BA4"/>
    <w:rsid w:val="004A120E"/>
    <w:rsid w:val="004A12ED"/>
    <w:rsid w:val="004A13AC"/>
    <w:rsid w:val="004A1A42"/>
    <w:rsid w:val="004A1DE8"/>
    <w:rsid w:val="004A1E92"/>
    <w:rsid w:val="004A1EC0"/>
    <w:rsid w:val="004A1FC1"/>
    <w:rsid w:val="004A2270"/>
    <w:rsid w:val="004A232C"/>
    <w:rsid w:val="004A237E"/>
    <w:rsid w:val="004A2590"/>
    <w:rsid w:val="004A2B27"/>
    <w:rsid w:val="004A2C65"/>
    <w:rsid w:val="004A30D5"/>
    <w:rsid w:val="004A33D9"/>
    <w:rsid w:val="004A3586"/>
    <w:rsid w:val="004A39D7"/>
    <w:rsid w:val="004A3B25"/>
    <w:rsid w:val="004A3BAB"/>
    <w:rsid w:val="004A44CC"/>
    <w:rsid w:val="004A4772"/>
    <w:rsid w:val="004A47E0"/>
    <w:rsid w:val="004A4923"/>
    <w:rsid w:val="004A4A41"/>
    <w:rsid w:val="004A4B0B"/>
    <w:rsid w:val="004A4C1C"/>
    <w:rsid w:val="004A53D7"/>
    <w:rsid w:val="004A546E"/>
    <w:rsid w:val="004A5569"/>
    <w:rsid w:val="004A5820"/>
    <w:rsid w:val="004A5856"/>
    <w:rsid w:val="004A58EE"/>
    <w:rsid w:val="004A5901"/>
    <w:rsid w:val="004A5AF0"/>
    <w:rsid w:val="004A5CAC"/>
    <w:rsid w:val="004A637C"/>
    <w:rsid w:val="004A63BE"/>
    <w:rsid w:val="004A64DA"/>
    <w:rsid w:val="004A656E"/>
    <w:rsid w:val="004A65B4"/>
    <w:rsid w:val="004A6B60"/>
    <w:rsid w:val="004A6C81"/>
    <w:rsid w:val="004A6F40"/>
    <w:rsid w:val="004A712F"/>
    <w:rsid w:val="004A72D0"/>
    <w:rsid w:val="004A7418"/>
    <w:rsid w:val="004A747C"/>
    <w:rsid w:val="004A7814"/>
    <w:rsid w:val="004A784B"/>
    <w:rsid w:val="004A7884"/>
    <w:rsid w:val="004A7E66"/>
    <w:rsid w:val="004A7E6C"/>
    <w:rsid w:val="004A7ECF"/>
    <w:rsid w:val="004B050F"/>
    <w:rsid w:val="004B0B48"/>
    <w:rsid w:val="004B0C89"/>
    <w:rsid w:val="004B0E0C"/>
    <w:rsid w:val="004B127F"/>
    <w:rsid w:val="004B12D6"/>
    <w:rsid w:val="004B130D"/>
    <w:rsid w:val="004B17DA"/>
    <w:rsid w:val="004B1C52"/>
    <w:rsid w:val="004B1DBB"/>
    <w:rsid w:val="004B1DC9"/>
    <w:rsid w:val="004B22D5"/>
    <w:rsid w:val="004B22FF"/>
    <w:rsid w:val="004B24A3"/>
    <w:rsid w:val="004B2783"/>
    <w:rsid w:val="004B27C2"/>
    <w:rsid w:val="004B28CE"/>
    <w:rsid w:val="004B2B67"/>
    <w:rsid w:val="004B2D15"/>
    <w:rsid w:val="004B3077"/>
    <w:rsid w:val="004B39CB"/>
    <w:rsid w:val="004B3DB8"/>
    <w:rsid w:val="004B3E24"/>
    <w:rsid w:val="004B400C"/>
    <w:rsid w:val="004B404A"/>
    <w:rsid w:val="004B40A2"/>
    <w:rsid w:val="004B46B6"/>
    <w:rsid w:val="004B47F6"/>
    <w:rsid w:val="004B48F9"/>
    <w:rsid w:val="004B4923"/>
    <w:rsid w:val="004B4A06"/>
    <w:rsid w:val="004B50D1"/>
    <w:rsid w:val="004B570C"/>
    <w:rsid w:val="004B574D"/>
    <w:rsid w:val="004B5A87"/>
    <w:rsid w:val="004B5CB1"/>
    <w:rsid w:val="004B5F1D"/>
    <w:rsid w:val="004B5F5D"/>
    <w:rsid w:val="004B5FEA"/>
    <w:rsid w:val="004B61B3"/>
    <w:rsid w:val="004B638A"/>
    <w:rsid w:val="004B639F"/>
    <w:rsid w:val="004B643E"/>
    <w:rsid w:val="004B6CAA"/>
    <w:rsid w:val="004B6D14"/>
    <w:rsid w:val="004B7295"/>
    <w:rsid w:val="004B74D3"/>
    <w:rsid w:val="004B770C"/>
    <w:rsid w:val="004B7939"/>
    <w:rsid w:val="004B7C72"/>
    <w:rsid w:val="004B7D2D"/>
    <w:rsid w:val="004B7E4D"/>
    <w:rsid w:val="004C0176"/>
    <w:rsid w:val="004C0180"/>
    <w:rsid w:val="004C042C"/>
    <w:rsid w:val="004C057A"/>
    <w:rsid w:val="004C063F"/>
    <w:rsid w:val="004C0E59"/>
    <w:rsid w:val="004C0EA7"/>
    <w:rsid w:val="004C0F03"/>
    <w:rsid w:val="004C126C"/>
    <w:rsid w:val="004C16A4"/>
    <w:rsid w:val="004C176C"/>
    <w:rsid w:val="004C193E"/>
    <w:rsid w:val="004C19C7"/>
    <w:rsid w:val="004C1BDE"/>
    <w:rsid w:val="004C1CB1"/>
    <w:rsid w:val="004C1F4D"/>
    <w:rsid w:val="004C2382"/>
    <w:rsid w:val="004C2476"/>
    <w:rsid w:val="004C26EF"/>
    <w:rsid w:val="004C2759"/>
    <w:rsid w:val="004C2824"/>
    <w:rsid w:val="004C28A4"/>
    <w:rsid w:val="004C2C85"/>
    <w:rsid w:val="004C2CC2"/>
    <w:rsid w:val="004C2F66"/>
    <w:rsid w:val="004C3323"/>
    <w:rsid w:val="004C337B"/>
    <w:rsid w:val="004C3412"/>
    <w:rsid w:val="004C3507"/>
    <w:rsid w:val="004C3561"/>
    <w:rsid w:val="004C35B5"/>
    <w:rsid w:val="004C3ABA"/>
    <w:rsid w:val="004C4178"/>
    <w:rsid w:val="004C41B2"/>
    <w:rsid w:val="004C436C"/>
    <w:rsid w:val="004C4476"/>
    <w:rsid w:val="004C44D1"/>
    <w:rsid w:val="004C44D2"/>
    <w:rsid w:val="004C4552"/>
    <w:rsid w:val="004C46B9"/>
    <w:rsid w:val="004C47A9"/>
    <w:rsid w:val="004C48B1"/>
    <w:rsid w:val="004C4D92"/>
    <w:rsid w:val="004C5102"/>
    <w:rsid w:val="004C524F"/>
    <w:rsid w:val="004C5746"/>
    <w:rsid w:val="004C5D83"/>
    <w:rsid w:val="004C5E20"/>
    <w:rsid w:val="004C606C"/>
    <w:rsid w:val="004C61FE"/>
    <w:rsid w:val="004C6398"/>
    <w:rsid w:val="004C658A"/>
    <w:rsid w:val="004C6845"/>
    <w:rsid w:val="004C6B01"/>
    <w:rsid w:val="004C6B83"/>
    <w:rsid w:val="004C6DED"/>
    <w:rsid w:val="004C7022"/>
    <w:rsid w:val="004C7171"/>
    <w:rsid w:val="004C7310"/>
    <w:rsid w:val="004C7494"/>
    <w:rsid w:val="004C7568"/>
    <w:rsid w:val="004C7643"/>
    <w:rsid w:val="004C7D58"/>
    <w:rsid w:val="004C7DE9"/>
    <w:rsid w:val="004C7FE1"/>
    <w:rsid w:val="004D0667"/>
    <w:rsid w:val="004D06BC"/>
    <w:rsid w:val="004D0892"/>
    <w:rsid w:val="004D08BC"/>
    <w:rsid w:val="004D0906"/>
    <w:rsid w:val="004D0987"/>
    <w:rsid w:val="004D0AEB"/>
    <w:rsid w:val="004D0D7F"/>
    <w:rsid w:val="004D0DFA"/>
    <w:rsid w:val="004D11F5"/>
    <w:rsid w:val="004D190C"/>
    <w:rsid w:val="004D1960"/>
    <w:rsid w:val="004D1A8E"/>
    <w:rsid w:val="004D1DF4"/>
    <w:rsid w:val="004D2037"/>
    <w:rsid w:val="004D2061"/>
    <w:rsid w:val="004D2219"/>
    <w:rsid w:val="004D2345"/>
    <w:rsid w:val="004D249E"/>
    <w:rsid w:val="004D24DA"/>
    <w:rsid w:val="004D2C43"/>
    <w:rsid w:val="004D2D13"/>
    <w:rsid w:val="004D306D"/>
    <w:rsid w:val="004D3122"/>
    <w:rsid w:val="004D313C"/>
    <w:rsid w:val="004D33DB"/>
    <w:rsid w:val="004D3418"/>
    <w:rsid w:val="004D37A2"/>
    <w:rsid w:val="004D3AFA"/>
    <w:rsid w:val="004D3BA2"/>
    <w:rsid w:val="004D4154"/>
    <w:rsid w:val="004D4195"/>
    <w:rsid w:val="004D43C7"/>
    <w:rsid w:val="004D476F"/>
    <w:rsid w:val="004D48AD"/>
    <w:rsid w:val="004D4D68"/>
    <w:rsid w:val="004D4F39"/>
    <w:rsid w:val="004D546C"/>
    <w:rsid w:val="004D5823"/>
    <w:rsid w:val="004D5ECF"/>
    <w:rsid w:val="004D6003"/>
    <w:rsid w:val="004D6039"/>
    <w:rsid w:val="004D613A"/>
    <w:rsid w:val="004D6151"/>
    <w:rsid w:val="004D6383"/>
    <w:rsid w:val="004D63DB"/>
    <w:rsid w:val="004D677C"/>
    <w:rsid w:val="004D689A"/>
    <w:rsid w:val="004D68F0"/>
    <w:rsid w:val="004D6920"/>
    <w:rsid w:val="004D6DC8"/>
    <w:rsid w:val="004D71BE"/>
    <w:rsid w:val="004D7505"/>
    <w:rsid w:val="004D7636"/>
    <w:rsid w:val="004D7684"/>
    <w:rsid w:val="004D7839"/>
    <w:rsid w:val="004D7C38"/>
    <w:rsid w:val="004D7DCB"/>
    <w:rsid w:val="004D7EBB"/>
    <w:rsid w:val="004D7F58"/>
    <w:rsid w:val="004E0073"/>
    <w:rsid w:val="004E00C1"/>
    <w:rsid w:val="004E048A"/>
    <w:rsid w:val="004E0EF9"/>
    <w:rsid w:val="004E1751"/>
    <w:rsid w:val="004E181C"/>
    <w:rsid w:val="004E1933"/>
    <w:rsid w:val="004E19B8"/>
    <w:rsid w:val="004E1A01"/>
    <w:rsid w:val="004E1A72"/>
    <w:rsid w:val="004E1E4B"/>
    <w:rsid w:val="004E212F"/>
    <w:rsid w:val="004E2180"/>
    <w:rsid w:val="004E2184"/>
    <w:rsid w:val="004E25B9"/>
    <w:rsid w:val="004E2C29"/>
    <w:rsid w:val="004E2C6E"/>
    <w:rsid w:val="004E2E63"/>
    <w:rsid w:val="004E3396"/>
    <w:rsid w:val="004E33C2"/>
    <w:rsid w:val="004E341E"/>
    <w:rsid w:val="004E3586"/>
    <w:rsid w:val="004E3592"/>
    <w:rsid w:val="004E36CD"/>
    <w:rsid w:val="004E3809"/>
    <w:rsid w:val="004E3B7B"/>
    <w:rsid w:val="004E3EFD"/>
    <w:rsid w:val="004E440C"/>
    <w:rsid w:val="004E469B"/>
    <w:rsid w:val="004E46B7"/>
    <w:rsid w:val="004E47C6"/>
    <w:rsid w:val="004E480E"/>
    <w:rsid w:val="004E4926"/>
    <w:rsid w:val="004E4C73"/>
    <w:rsid w:val="004E4CD6"/>
    <w:rsid w:val="004E4D00"/>
    <w:rsid w:val="004E4E65"/>
    <w:rsid w:val="004E52C0"/>
    <w:rsid w:val="004E53AC"/>
    <w:rsid w:val="004E5503"/>
    <w:rsid w:val="004E5858"/>
    <w:rsid w:val="004E59CB"/>
    <w:rsid w:val="004E5A39"/>
    <w:rsid w:val="004E5A91"/>
    <w:rsid w:val="004E5ACA"/>
    <w:rsid w:val="004E5CBF"/>
    <w:rsid w:val="004E5D10"/>
    <w:rsid w:val="004E60C1"/>
    <w:rsid w:val="004E61FD"/>
    <w:rsid w:val="004E6292"/>
    <w:rsid w:val="004E62E8"/>
    <w:rsid w:val="004E634D"/>
    <w:rsid w:val="004E638A"/>
    <w:rsid w:val="004E6493"/>
    <w:rsid w:val="004E6784"/>
    <w:rsid w:val="004E6B32"/>
    <w:rsid w:val="004E6BF6"/>
    <w:rsid w:val="004E6D78"/>
    <w:rsid w:val="004E7101"/>
    <w:rsid w:val="004E710F"/>
    <w:rsid w:val="004E75AF"/>
    <w:rsid w:val="004E7B1A"/>
    <w:rsid w:val="004E7C66"/>
    <w:rsid w:val="004F024F"/>
    <w:rsid w:val="004F0686"/>
    <w:rsid w:val="004F0A28"/>
    <w:rsid w:val="004F0D4A"/>
    <w:rsid w:val="004F10B6"/>
    <w:rsid w:val="004F1322"/>
    <w:rsid w:val="004F1406"/>
    <w:rsid w:val="004F14E5"/>
    <w:rsid w:val="004F1B49"/>
    <w:rsid w:val="004F1D46"/>
    <w:rsid w:val="004F1D4B"/>
    <w:rsid w:val="004F1F3E"/>
    <w:rsid w:val="004F20C3"/>
    <w:rsid w:val="004F217F"/>
    <w:rsid w:val="004F21E7"/>
    <w:rsid w:val="004F22F4"/>
    <w:rsid w:val="004F26EB"/>
    <w:rsid w:val="004F2883"/>
    <w:rsid w:val="004F291E"/>
    <w:rsid w:val="004F2A0D"/>
    <w:rsid w:val="004F2BA3"/>
    <w:rsid w:val="004F2C36"/>
    <w:rsid w:val="004F2C5C"/>
    <w:rsid w:val="004F31C5"/>
    <w:rsid w:val="004F3221"/>
    <w:rsid w:val="004F3650"/>
    <w:rsid w:val="004F3701"/>
    <w:rsid w:val="004F3750"/>
    <w:rsid w:val="004F39E2"/>
    <w:rsid w:val="004F3ABD"/>
    <w:rsid w:val="004F3ABE"/>
    <w:rsid w:val="004F3AC8"/>
    <w:rsid w:val="004F45E5"/>
    <w:rsid w:val="004F49EE"/>
    <w:rsid w:val="004F4CE4"/>
    <w:rsid w:val="004F4DB3"/>
    <w:rsid w:val="004F4F86"/>
    <w:rsid w:val="004F50B5"/>
    <w:rsid w:val="004F516A"/>
    <w:rsid w:val="004F524F"/>
    <w:rsid w:val="004F5353"/>
    <w:rsid w:val="004F5646"/>
    <w:rsid w:val="004F59AE"/>
    <w:rsid w:val="004F5A33"/>
    <w:rsid w:val="004F5E9D"/>
    <w:rsid w:val="004F5F76"/>
    <w:rsid w:val="004F601E"/>
    <w:rsid w:val="004F6146"/>
    <w:rsid w:val="004F642B"/>
    <w:rsid w:val="004F64D6"/>
    <w:rsid w:val="004F6581"/>
    <w:rsid w:val="004F6733"/>
    <w:rsid w:val="004F68BC"/>
    <w:rsid w:val="004F68E1"/>
    <w:rsid w:val="004F6972"/>
    <w:rsid w:val="004F6D4E"/>
    <w:rsid w:val="004F704C"/>
    <w:rsid w:val="004F7386"/>
    <w:rsid w:val="004F7463"/>
    <w:rsid w:val="004F74C6"/>
    <w:rsid w:val="004F7623"/>
    <w:rsid w:val="004F7962"/>
    <w:rsid w:val="004F7A40"/>
    <w:rsid w:val="004F7B29"/>
    <w:rsid w:val="004F7BC9"/>
    <w:rsid w:val="004F7DA7"/>
    <w:rsid w:val="004F7E10"/>
    <w:rsid w:val="005000E3"/>
    <w:rsid w:val="0050016A"/>
    <w:rsid w:val="005007B6"/>
    <w:rsid w:val="00500AB4"/>
    <w:rsid w:val="00500CD4"/>
    <w:rsid w:val="00500E50"/>
    <w:rsid w:val="00500FBB"/>
    <w:rsid w:val="00501078"/>
    <w:rsid w:val="00501241"/>
    <w:rsid w:val="0050126E"/>
    <w:rsid w:val="00501330"/>
    <w:rsid w:val="00501860"/>
    <w:rsid w:val="00501E17"/>
    <w:rsid w:val="0050207E"/>
    <w:rsid w:val="0050223D"/>
    <w:rsid w:val="00502473"/>
    <w:rsid w:val="0050251C"/>
    <w:rsid w:val="00502827"/>
    <w:rsid w:val="00502993"/>
    <w:rsid w:val="00502B2C"/>
    <w:rsid w:val="00502D1E"/>
    <w:rsid w:val="00502EE9"/>
    <w:rsid w:val="00502F30"/>
    <w:rsid w:val="005030BF"/>
    <w:rsid w:val="005031F0"/>
    <w:rsid w:val="0050322C"/>
    <w:rsid w:val="00503234"/>
    <w:rsid w:val="00503396"/>
    <w:rsid w:val="005033BC"/>
    <w:rsid w:val="0050344C"/>
    <w:rsid w:val="005034B9"/>
    <w:rsid w:val="005036AF"/>
    <w:rsid w:val="00503B20"/>
    <w:rsid w:val="00503CCF"/>
    <w:rsid w:val="00503D07"/>
    <w:rsid w:val="0050406B"/>
    <w:rsid w:val="00504207"/>
    <w:rsid w:val="005045C5"/>
    <w:rsid w:val="005046A8"/>
    <w:rsid w:val="005049D7"/>
    <w:rsid w:val="00504B6E"/>
    <w:rsid w:val="00504C55"/>
    <w:rsid w:val="00504C6D"/>
    <w:rsid w:val="00504CB0"/>
    <w:rsid w:val="00504DE6"/>
    <w:rsid w:val="00504F45"/>
    <w:rsid w:val="00504F86"/>
    <w:rsid w:val="005053BA"/>
    <w:rsid w:val="005054EC"/>
    <w:rsid w:val="00505645"/>
    <w:rsid w:val="00505855"/>
    <w:rsid w:val="0050607E"/>
    <w:rsid w:val="005061CE"/>
    <w:rsid w:val="00506319"/>
    <w:rsid w:val="00506709"/>
    <w:rsid w:val="0050676A"/>
    <w:rsid w:val="0050676C"/>
    <w:rsid w:val="005069F0"/>
    <w:rsid w:val="00506ACD"/>
    <w:rsid w:val="00506DDF"/>
    <w:rsid w:val="00507158"/>
    <w:rsid w:val="005072EC"/>
    <w:rsid w:val="00507A7C"/>
    <w:rsid w:val="00507E1F"/>
    <w:rsid w:val="00507F7D"/>
    <w:rsid w:val="00510034"/>
    <w:rsid w:val="005102CA"/>
    <w:rsid w:val="00510862"/>
    <w:rsid w:val="00510B0F"/>
    <w:rsid w:val="00510C7C"/>
    <w:rsid w:val="00510F9A"/>
    <w:rsid w:val="00510FB6"/>
    <w:rsid w:val="00510FF4"/>
    <w:rsid w:val="0051163C"/>
    <w:rsid w:val="00511B8C"/>
    <w:rsid w:val="00511D6F"/>
    <w:rsid w:val="00512041"/>
    <w:rsid w:val="005121FE"/>
    <w:rsid w:val="00512290"/>
    <w:rsid w:val="00512302"/>
    <w:rsid w:val="0051248B"/>
    <w:rsid w:val="00512565"/>
    <w:rsid w:val="005127E3"/>
    <w:rsid w:val="0051283E"/>
    <w:rsid w:val="00512B65"/>
    <w:rsid w:val="00512B9B"/>
    <w:rsid w:val="00512CC0"/>
    <w:rsid w:val="00512F98"/>
    <w:rsid w:val="00513208"/>
    <w:rsid w:val="005132CD"/>
    <w:rsid w:val="00513470"/>
    <w:rsid w:val="0051366A"/>
    <w:rsid w:val="005136DD"/>
    <w:rsid w:val="00513752"/>
    <w:rsid w:val="005138CC"/>
    <w:rsid w:val="005138FC"/>
    <w:rsid w:val="00513D31"/>
    <w:rsid w:val="00513F42"/>
    <w:rsid w:val="00513F67"/>
    <w:rsid w:val="005141EB"/>
    <w:rsid w:val="005145BE"/>
    <w:rsid w:val="0051461B"/>
    <w:rsid w:val="00514964"/>
    <w:rsid w:val="00514C43"/>
    <w:rsid w:val="00514CC1"/>
    <w:rsid w:val="00515425"/>
    <w:rsid w:val="00515639"/>
    <w:rsid w:val="0051563E"/>
    <w:rsid w:val="00515665"/>
    <w:rsid w:val="00515AAB"/>
    <w:rsid w:val="00515ACF"/>
    <w:rsid w:val="00515F7F"/>
    <w:rsid w:val="005161F0"/>
    <w:rsid w:val="00516330"/>
    <w:rsid w:val="0051639F"/>
    <w:rsid w:val="0051664D"/>
    <w:rsid w:val="00516974"/>
    <w:rsid w:val="00516B89"/>
    <w:rsid w:val="00516C15"/>
    <w:rsid w:val="00516EC4"/>
    <w:rsid w:val="005170A9"/>
    <w:rsid w:val="0051755A"/>
    <w:rsid w:val="00517F15"/>
    <w:rsid w:val="00517F5B"/>
    <w:rsid w:val="0052006F"/>
    <w:rsid w:val="00520300"/>
    <w:rsid w:val="00520503"/>
    <w:rsid w:val="00520690"/>
    <w:rsid w:val="0052094E"/>
    <w:rsid w:val="005209BF"/>
    <w:rsid w:val="00520B10"/>
    <w:rsid w:val="00520B8E"/>
    <w:rsid w:val="00521047"/>
    <w:rsid w:val="00521446"/>
    <w:rsid w:val="00521872"/>
    <w:rsid w:val="00521A4C"/>
    <w:rsid w:val="00521BB6"/>
    <w:rsid w:val="00521C50"/>
    <w:rsid w:val="00521CE6"/>
    <w:rsid w:val="00521D3B"/>
    <w:rsid w:val="00522122"/>
    <w:rsid w:val="00522822"/>
    <w:rsid w:val="00522C9E"/>
    <w:rsid w:val="00522E64"/>
    <w:rsid w:val="00522EBB"/>
    <w:rsid w:val="00522F8F"/>
    <w:rsid w:val="005231FA"/>
    <w:rsid w:val="00523227"/>
    <w:rsid w:val="005233EF"/>
    <w:rsid w:val="005234A5"/>
    <w:rsid w:val="0052381F"/>
    <w:rsid w:val="005238DC"/>
    <w:rsid w:val="005239B6"/>
    <w:rsid w:val="00523A06"/>
    <w:rsid w:val="00523E1E"/>
    <w:rsid w:val="00523EDD"/>
    <w:rsid w:val="00523F24"/>
    <w:rsid w:val="00523FF0"/>
    <w:rsid w:val="00524037"/>
    <w:rsid w:val="00524140"/>
    <w:rsid w:val="0052423F"/>
    <w:rsid w:val="005242A9"/>
    <w:rsid w:val="0052433E"/>
    <w:rsid w:val="005247E2"/>
    <w:rsid w:val="00524A96"/>
    <w:rsid w:val="00524AF2"/>
    <w:rsid w:val="00524D07"/>
    <w:rsid w:val="00524F42"/>
    <w:rsid w:val="00524F5E"/>
    <w:rsid w:val="00525343"/>
    <w:rsid w:val="005256D3"/>
    <w:rsid w:val="00525BF3"/>
    <w:rsid w:val="00525D2A"/>
    <w:rsid w:val="00526076"/>
    <w:rsid w:val="00526174"/>
    <w:rsid w:val="005262AD"/>
    <w:rsid w:val="00526499"/>
    <w:rsid w:val="0052655C"/>
    <w:rsid w:val="00526888"/>
    <w:rsid w:val="0052689A"/>
    <w:rsid w:val="005269DD"/>
    <w:rsid w:val="00526A33"/>
    <w:rsid w:val="005273AF"/>
    <w:rsid w:val="005274EB"/>
    <w:rsid w:val="00527541"/>
    <w:rsid w:val="00527845"/>
    <w:rsid w:val="00530036"/>
    <w:rsid w:val="0053024C"/>
    <w:rsid w:val="00530911"/>
    <w:rsid w:val="00530926"/>
    <w:rsid w:val="00530CD9"/>
    <w:rsid w:val="00530D55"/>
    <w:rsid w:val="00530F15"/>
    <w:rsid w:val="005311D5"/>
    <w:rsid w:val="0053121F"/>
    <w:rsid w:val="00531351"/>
    <w:rsid w:val="0053174D"/>
    <w:rsid w:val="005318D2"/>
    <w:rsid w:val="005318EC"/>
    <w:rsid w:val="005321B4"/>
    <w:rsid w:val="0053224A"/>
    <w:rsid w:val="005327D2"/>
    <w:rsid w:val="00532A39"/>
    <w:rsid w:val="00532ADC"/>
    <w:rsid w:val="00532B25"/>
    <w:rsid w:val="00532CE2"/>
    <w:rsid w:val="00532F6C"/>
    <w:rsid w:val="00532F6E"/>
    <w:rsid w:val="005333C1"/>
    <w:rsid w:val="005334D0"/>
    <w:rsid w:val="00533753"/>
    <w:rsid w:val="005338A3"/>
    <w:rsid w:val="005338FB"/>
    <w:rsid w:val="00533C73"/>
    <w:rsid w:val="00533D2A"/>
    <w:rsid w:val="00533DB9"/>
    <w:rsid w:val="00533FE8"/>
    <w:rsid w:val="00534006"/>
    <w:rsid w:val="00534572"/>
    <w:rsid w:val="00534819"/>
    <w:rsid w:val="00534A65"/>
    <w:rsid w:val="00534B5A"/>
    <w:rsid w:val="00534C19"/>
    <w:rsid w:val="00534C1D"/>
    <w:rsid w:val="00534CA8"/>
    <w:rsid w:val="00534D85"/>
    <w:rsid w:val="00534D9B"/>
    <w:rsid w:val="00534FD5"/>
    <w:rsid w:val="0053517C"/>
    <w:rsid w:val="00535652"/>
    <w:rsid w:val="00535833"/>
    <w:rsid w:val="0053587F"/>
    <w:rsid w:val="00535BEA"/>
    <w:rsid w:val="00535C2A"/>
    <w:rsid w:val="00535F0B"/>
    <w:rsid w:val="00536061"/>
    <w:rsid w:val="00536072"/>
    <w:rsid w:val="005361C2"/>
    <w:rsid w:val="0053639F"/>
    <w:rsid w:val="005364B2"/>
    <w:rsid w:val="005364ED"/>
    <w:rsid w:val="0053656B"/>
    <w:rsid w:val="005365BC"/>
    <w:rsid w:val="00536720"/>
    <w:rsid w:val="0053691E"/>
    <w:rsid w:val="00536927"/>
    <w:rsid w:val="00536E06"/>
    <w:rsid w:val="00536EC1"/>
    <w:rsid w:val="0053715B"/>
    <w:rsid w:val="005371F5"/>
    <w:rsid w:val="005373B8"/>
    <w:rsid w:val="00537862"/>
    <w:rsid w:val="005378D2"/>
    <w:rsid w:val="00537A76"/>
    <w:rsid w:val="00537CC7"/>
    <w:rsid w:val="00540645"/>
    <w:rsid w:val="005408B8"/>
    <w:rsid w:val="00540B1F"/>
    <w:rsid w:val="00540CBC"/>
    <w:rsid w:val="00541363"/>
    <w:rsid w:val="00541627"/>
    <w:rsid w:val="0054172C"/>
    <w:rsid w:val="0054184F"/>
    <w:rsid w:val="00541929"/>
    <w:rsid w:val="00541B89"/>
    <w:rsid w:val="00541F0A"/>
    <w:rsid w:val="00542030"/>
    <w:rsid w:val="005420AF"/>
    <w:rsid w:val="005421E8"/>
    <w:rsid w:val="00542949"/>
    <w:rsid w:val="00542AF1"/>
    <w:rsid w:val="00542AF8"/>
    <w:rsid w:val="00542C89"/>
    <w:rsid w:val="00542EA5"/>
    <w:rsid w:val="0054308A"/>
    <w:rsid w:val="005430CA"/>
    <w:rsid w:val="005433FE"/>
    <w:rsid w:val="005434FF"/>
    <w:rsid w:val="00543844"/>
    <w:rsid w:val="00543A24"/>
    <w:rsid w:val="00543B79"/>
    <w:rsid w:val="00543E4D"/>
    <w:rsid w:val="00543F14"/>
    <w:rsid w:val="00543F3A"/>
    <w:rsid w:val="005440B5"/>
    <w:rsid w:val="0054420D"/>
    <w:rsid w:val="00544285"/>
    <w:rsid w:val="00544462"/>
    <w:rsid w:val="005448D1"/>
    <w:rsid w:val="005448EC"/>
    <w:rsid w:val="00544983"/>
    <w:rsid w:val="00544989"/>
    <w:rsid w:val="00544A2B"/>
    <w:rsid w:val="00544B10"/>
    <w:rsid w:val="00544B52"/>
    <w:rsid w:val="00545098"/>
    <w:rsid w:val="00545430"/>
    <w:rsid w:val="005455A5"/>
    <w:rsid w:val="00545BE6"/>
    <w:rsid w:val="00545D7C"/>
    <w:rsid w:val="00545E38"/>
    <w:rsid w:val="00545EF0"/>
    <w:rsid w:val="00546600"/>
    <w:rsid w:val="005467E4"/>
    <w:rsid w:val="005469CF"/>
    <w:rsid w:val="00546C15"/>
    <w:rsid w:val="00546F04"/>
    <w:rsid w:val="0054749A"/>
    <w:rsid w:val="00547543"/>
    <w:rsid w:val="0054771B"/>
    <w:rsid w:val="0054794D"/>
    <w:rsid w:val="00547B1B"/>
    <w:rsid w:val="00547F48"/>
    <w:rsid w:val="0055022C"/>
    <w:rsid w:val="005503A1"/>
    <w:rsid w:val="005506A2"/>
    <w:rsid w:val="0055071F"/>
    <w:rsid w:val="00550730"/>
    <w:rsid w:val="005507C5"/>
    <w:rsid w:val="00550E05"/>
    <w:rsid w:val="00551239"/>
    <w:rsid w:val="005512BF"/>
    <w:rsid w:val="00551418"/>
    <w:rsid w:val="0055168B"/>
    <w:rsid w:val="005516A9"/>
    <w:rsid w:val="005516C3"/>
    <w:rsid w:val="0055191F"/>
    <w:rsid w:val="00551C5F"/>
    <w:rsid w:val="005520E9"/>
    <w:rsid w:val="00552473"/>
    <w:rsid w:val="00552496"/>
    <w:rsid w:val="005525EB"/>
    <w:rsid w:val="00552937"/>
    <w:rsid w:val="00552D13"/>
    <w:rsid w:val="00552D4C"/>
    <w:rsid w:val="00552D94"/>
    <w:rsid w:val="00553350"/>
    <w:rsid w:val="005539CE"/>
    <w:rsid w:val="00553C43"/>
    <w:rsid w:val="00553D61"/>
    <w:rsid w:val="0055433B"/>
    <w:rsid w:val="005544AE"/>
    <w:rsid w:val="005545E2"/>
    <w:rsid w:val="00554773"/>
    <w:rsid w:val="00554A4E"/>
    <w:rsid w:val="00554C2B"/>
    <w:rsid w:val="00554CE1"/>
    <w:rsid w:val="00554EF2"/>
    <w:rsid w:val="00554FB1"/>
    <w:rsid w:val="00555024"/>
    <w:rsid w:val="00555738"/>
    <w:rsid w:val="00555742"/>
    <w:rsid w:val="005558EE"/>
    <w:rsid w:val="00555AA0"/>
    <w:rsid w:val="00555C1E"/>
    <w:rsid w:val="00555D85"/>
    <w:rsid w:val="00555DA6"/>
    <w:rsid w:val="0055620E"/>
    <w:rsid w:val="005566B9"/>
    <w:rsid w:val="0055676A"/>
    <w:rsid w:val="00556841"/>
    <w:rsid w:val="005569F6"/>
    <w:rsid w:val="00556A82"/>
    <w:rsid w:val="00556BBF"/>
    <w:rsid w:val="0055704E"/>
    <w:rsid w:val="0055705F"/>
    <w:rsid w:val="005570C4"/>
    <w:rsid w:val="00557203"/>
    <w:rsid w:val="0055724A"/>
    <w:rsid w:val="005572EB"/>
    <w:rsid w:val="00557492"/>
    <w:rsid w:val="00557622"/>
    <w:rsid w:val="00557891"/>
    <w:rsid w:val="00557BE1"/>
    <w:rsid w:val="00557C6E"/>
    <w:rsid w:val="00557C75"/>
    <w:rsid w:val="00557CC4"/>
    <w:rsid w:val="00557D60"/>
    <w:rsid w:val="00557D87"/>
    <w:rsid w:val="00557DD6"/>
    <w:rsid w:val="00557F25"/>
    <w:rsid w:val="005602D5"/>
    <w:rsid w:val="00560300"/>
    <w:rsid w:val="005603FE"/>
    <w:rsid w:val="00560B07"/>
    <w:rsid w:val="00560FA6"/>
    <w:rsid w:val="0056132A"/>
    <w:rsid w:val="00561728"/>
    <w:rsid w:val="005617F7"/>
    <w:rsid w:val="00561818"/>
    <w:rsid w:val="005618A8"/>
    <w:rsid w:val="00561932"/>
    <w:rsid w:val="005619BB"/>
    <w:rsid w:val="00561A46"/>
    <w:rsid w:val="00561B3D"/>
    <w:rsid w:val="00561BF5"/>
    <w:rsid w:val="00561C64"/>
    <w:rsid w:val="0056208D"/>
    <w:rsid w:val="005620F1"/>
    <w:rsid w:val="00562109"/>
    <w:rsid w:val="00562353"/>
    <w:rsid w:val="00562658"/>
    <w:rsid w:val="00562867"/>
    <w:rsid w:val="00562AE4"/>
    <w:rsid w:val="00562CB9"/>
    <w:rsid w:val="00562CFE"/>
    <w:rsid w:val="0056312B"/>
    <w:rsid w:val="005631BA"/>
    <w:rsid w:val="00563265"/>
    <w:rsid w:val="0056341F"/>
    <w:rsid w:val="005634E7"/>
    <w:rsid w:val="00563616"/>
    <w:rsid w:val="00563809"/>
    <w:rsid w:val="005639DA"/>
    <w:rsid w:val="00563C0A"/>
    <w:rsid w:val="00563C99"/>
    <w:rsid w:val="00563E05"/>
    <w:rsid w:val="00563FC2"/>
    <w:rsid w:val="00564076"/>
    <w:rsid w:val="005644B7"/>
    <w:rsid w:val="005648F3"/>
    <w:rsid w:val="00564D61"/>
    <w:rsid w:val="00565314"/>
    <w:rsid w:val="00565634"/>
    <w:rsid w:val="0056576A"/>
    <w:rsid w:val="00565874"/>
    <w:rsid w:val="00565D87"/>
    <w:rsid w:val="00565EC9"/>
    <w:rsid w:val="005661AD"/>
    <w:rsid w:val="00566592"/>
    <w:rsid w:val="00566841"/>
    <w:rsid w:val="00566948"/>
    <w:rsid w:val="005669DA"/>
    <w:rsid w:val="00566C50"/>
    <w:rsid w:val="00566FD2"/>
    <w:rsid w:val="00567246"/>
    <w:rsid w:val="005672CB"/>
    <w:rsid w:val="0056736D"/>
    <w:rsid w:val="005677EB"/>
    <w:rsid w:val="00567818"/>
    <w:rsid w:val="00567853"/>
    <w:rsid w:val="00567AD4"/>
    <w:rsid w:val="00567AD6"/>
    <w:rsid w:val="005704E6"/>
    <w:rsid w:val="0057059F"/>
    <w:rsid w:val="005706D0"/>
    <w:rsid w:val="0057077C"/>
    <w:rsid w:val="00570C94"/>
    <w:rsid w:val="00570CD0"/>
    <w:rsid w:val="00570FB4"/>
    <w:rsid w:val="00570FC1"/>
    <w:rsid w:val="00571201"/>
    <w:rsid w:val="0057135E"/>
    <w:rsid w:val="005715EF"/>
    <w:rsid w:val="00571690"/>
    <w:rsid w:val="005716A1"/>
    <w:rsid w:val="005716E0"/>
    <w:rsid w:val="00571B59"/>
    <w:rsid w:val="00571BCC"/>
    <w:rsid w:val="00571BED"/>
    <w:rsid w:val="00571D6C"/>
    <w:rsid w:val="00571F74"/>
    <w:rsid w:val="00571FB2"/>
    <w:rsid w:val="005720F4"/>
    <w:rsid w:val="005721D9"/>
    <w:rsid w:val="00572545"/>
    <w:rsid w:val="005725EF"/>
    <w:rsid w:val="005727A4"/>
    <w:rsid w:val="00572C54"/>
    <w:rsid w:val="00572C74"/>
    <w:rsid w:val="00572CBE"/>
    <w:rsid w:val="00572E7A"/>
    <w:rsid w:val="00572E7F"/>
    <w:rsid w:val="00572EFE"/>
    <w:rsid w:val="00573148"/>
    <w:rsid w:val="0057340E"/>
    <w:rsid w:val="00573471"/>
    <w:rsid w:val="00573662"/>
    <w:rsid w:val="0057398E"/>
    <w:rsid w:val="00573A96"/>
    <w:rsid w:val="00573ADE"/>
    <w:rsid w:val="0057405B"/>
    <w:rsid w:val="005740F5"/>
    <w:rsid w:val="00574895"/>
    <w:rsid w:val="00574B3B"/>
    <w:rsid w:val="00574C4A"/>
    <w:rsid w:val="00574C6F"/>
    <w:rsid w:val="00574EA6"/>
    <w:rsid w:val="00575193"/>
    <w:rsid w:val="0057538D"/>
    <w:rsid w:val="00575727"/>
    <w:rsid w:val="00575D7F"/>
    <w:rsid w:val="00575DC1"/>
    <w:rsid w:val="00575F31"/>
    <w:rsid w:val="00575F8F"/>
    <w:rsid w:val="0057605B"/>
    <w:rsid w:val="005760F9"/>
    <w:rsid w:val="005761E6"/>
    <w:rsid w:val="00576210"/>
    <w:rsid w:val="005762E1"/>
    <w:rsid w:val="0057647E"/>
    <w:rsid w:val="00576508"/>
    <w:rsid w:val="00576564"/>
    <w:rsid w:val="00576690"/>
    <w:rsid w:val="005766CF"/>
    <w:rsid w:val="0057679A"/>
    <w:rsid w:val="00576D50"/>
    <w:rsid w:val="00576EDA"/>
    <w:rsid w:val="005771C9"/>
    <w:rsid w:val="0057738C"/>
    <w:rsid w:val="00577395"/>
    <w:rsid w:val="00577995"/>
    <w:rsid w:val="00577A87"/>
    <w:rsid w:val="00577C80"/>
    <w:rsid w:val="00577E64"/>
    <w:rsid w:val="00577F2D"/>
    <w:rsid w:val="0058005E"/>
    <w:rsid w:val="005807DA"/>
    <w:rsid w:val="005807DD"/>
    <w:rsid w:val="00580840"/>
    <w:rsid w:val="00580842"/>
    <w:rsid w:val="00580932"/>
    <w:rsid w:val="00580B12"/>
    <w:rsid w:val="00580D00"/>
    <w:rsid w:val="0058106B"/>
    <w:rsid w:val="00581719"/>
    <w:rsid w:val="005819E0"/>
    <w:rsid w:val="00581EAB"/>
    <w:rsid w:val="00582228"/>
    <w:rsid w:val="005823E5"/>
    <w:rsid w:val="0058248D"/>
    <w:rsid w:val="00582497"/>
    <w:rsid w:val="005825CF"/>
    <w:rsid w:val="00582A48"/>
    <w:rsid w:val="00582B09"/>
    <w:rsid w:val="00582C67"/>
    <w:rsid w:val="0058312F"/>
    <w:rsid w:val="00583166"/>
    <w:rsid w:val="0058326F"/>
    <w:rsid w:val="0058331D"/>
    <w:rsid w:val="00583353"/>
    <w:rsid w:val="00583477"/>
    <w:rsid w:val="0058357B"/>
    <w:rsid w:val="005836BD"/>
    <w:rsid w:val="005837C0"/>
    <w:rsid w:val="00583878"/>
    <w:rsid w:val="00583939"/>
    <w:rsid w:val="00583CB6"/>
    <w:rsid w:val="00583D32"/>
    <w:rsid w:val="0058405B"/>
    <w:rsid w:val="0058417B"/>
    <w:rsid w:val="0058422A"/>
    <w:rsid w:val="0058429A"/>
    <w:rsid w:val="00584335"/>
    <w:rsid w:val="005845A6"/>
    <w:rsid w:val="00584704"/>
    <w:rsid w:val="00584916"/>
    <w:rsid w:val="00584B90"/>
    <w:rsid w:val="005851D8"/>
    <w:rsid w:val="005852FB"/>
    <w:rsid w:val="0058557A"/>
    <w:rsid w:val="005859DD"/>
    <w:rsid w:val="00585AA9"/>
    <w:rsid w:val="00585AAE"/>
    <w:rsid w:val="00585E48"/>
    <w:rsid w:val="00586065"/>
    <w:rsid w:val="005863B6"/>
    <w:rsid w:val="00586464"/>
    <w:rsid w:val="00586766"/>
    <w:rsid w:val="005869CE"/>
    <w:rsid w:val="00586BB9"/>
    <w:rsid w:val="00586BE9"/>
    <w:rsid w:val="00587170"/>
    <w:rsid w:val="0058731B"/>
    <w:rsid w:val="005874BB"/>
    <w:rsid w:val="00587547"/>
    <w:rsid w:val="00587687"/>
    <w:rsid w:val="005876E8"/>
    <w:rsid w:val="00587819"/>
    <w:rsid w:val="00587A3A"/>
    <w:rsid w:val="00587A4A"/>
    <w:rsid w:val="005900F6"/>
    <w:rsid w:val="00590124"/>
    <w:rsid w:val="00590301"/>
    <w:rsid w:val="00590497"/>
    <w:rsid w:val="00590B84"/>
    <w:rsid w:val="00590C34"/>
    <w:rsid w:val="00590CEF"/>
    <w:rsid w:val="00590F03"/>
    <w:rsid w:val="005910F3"/>
    <w:rsid w:val="00591106"/>
    <w:rsid w:val="00591374"/>
    <w:rsid w:val="0059157C"/>
    <w:rsid w:val="005915F8"/>
    <w:rsid w:val="005915FD"/>
    <w:rsid w:val="00591848"/>
    <w:rsid w:val="00591ABB"/>
    <w:rsid w:val="00591BBE"/>
    <w:rsid w:val="00591C59"/>
    <w:rsid w:val="005921F3"/>
    <w:rsid w:val="0059222B"/>
    <w:rsid w:val="005922D0"/>
    <w:rsid w:val="00592304"/>
    <w:rsid w:val="00592A3E"/>
    <w:rsid w:val="00592B52"/>
    <w:rsid w:val="00592C97"/>
    <w:rsid w:val="00592EAC"/>
    <w:rsid w:val="00592F1D"/>
    <w:rsid w:val="0059335F"/>
    <w:rsid w:val="005935BE"/>
    <w:rsid w:val="0059364F"/>
    <w:rsid w:val="00593679"/>
    <w:rsid w:val="00593793"/>
    <w:rsid w:val="00593863"/>
    <w:rsid w:val="005938B0"/>
    <w:rsid w:val="005938DE"/>
    <w:rsid w:val="005941D4"/>
    <w:rsid w:val="00594234"/>
    <w:rsid w:val="005944A5"/>
    <w:rsid w:val="005945A5"/>
    <w:rsid w:val="00594613"/>
    <w:rsid w:val="00594AEB"/>
    <w:rsid w:val="00594D7A"/>
    <w:rsid w:val="00594FC2"/>
    <w:rsid w:val="00595595"/>
    <w:rsid w:val="0059565C"/>
    <w:rsid w:val="00595726"/>
    <w:rsid w:val="005958B1"/>
    <w:rsid w:val="0059609D"/>
    <w:rsid w:val="005960B0"/>
    <w:rsid w:val="00596250"/>
    <w:rsid w:val="00596289"/>
    <w:rsid w:val="0059640A"/>
    <w:rsid w:val="0059661D"/>
    <w:rsid w:val="0059674D"/>
    <w:rsid w:val="00596A04"/>
    <w:rsid w:val="00596AB8"/>
    <w:rsid w:val="00596B74"/>
    <w:rsid w:val="00596B93"/>
    <w:rsid w:val="00596B9B"/>
    <w:rsid w:val="00596CA6"/>
    <w:rsid w:val="00596E81"/>
    <w:rsid w:val="00596F24"/>
    <w:rsid w:val="00596FD4"/>
    <w:rsid w:val="00596FF4"/>
    <w:rsid w:val="00597231"/>
    <w:rsid w:val="005973BD"/>
    <w:rsid w:val="00597438"/>
    <w:rsid w:val="0059765C"/>
    <w:rsid w:val="00597E25"/>
    <w:rsid w:val="00597F1B"/>
    <w:rsid w:val="00597F1E"/>
    <w:rsid w:val="00597F73"/>
    <w:rsid w:val="005A03A5"/>
    <w:rsid w:val="005A0528"/>
    <w:rsid w:val="005A0A73"/>
    <w:rsid w:val="005A0CC6"/>
    <w:rsid w:val="005A106C"/>
    <w:rsid w:val="005A1079"/>
    <w:rsid w:val="005A1098"/>
    <w:rsid w:val="005A10DC"/>
    <w:rsid w:val="005A110E"/>
    <w:rsid w:val="005A183D"/>
    <w:rsid w:val="005A18A9"/>
    <w:rsid w:val="005A199F"/>
    <w:rsid w:val="005A1BC0"/>
    <w:rsid w:val="005A1CF1"/>
    <w:rsid w:val="005A1E44"/>
    <w:rsid w:val="005A1E83"/>
    <w:rsid w:val="005A1E9A"/>
    <w:rsid w:val="005A212E"/>
    <w:rsid w:val="005A2350"/>
    <w:rsid w:val="005A29E8"/>
    <w:rsid w:val="005A2CF6"/>
    <w:rsid w:val="005A2DA7"/>
    <w:rsid w:val="005A3631"/>
    <w:rsid w:val="005A364F"/>
    <w:rsid w:val="005A3660"/>
    <w:rsid w:val="005A395C"/>
    <w:rsid w:val="005A39FB"/>
    <w:rsid w:val="005A3B6F"/>
    <w:rsid w:val="005A3D1E"/>
    <w:rsid w:val="005A3FBA"/>
    <w:rsid w:val="005A42C4"/>
    <w:rsid w:val="005A480F"/>
    <w:rsid w:val="005A489F"/>
    <w:rsid w:val="005A4902"/>
    <w:rsid w:val="005A4907"/>
    <w:rsid w:val="005A4942"/>
    <w:rsid w:val="005A4AC9"/>
    <w:rsid w:val="005A4ACB"/>
    <w:rsid w:val="005A4D44"/>
    <w:rsid w:val="005A511E"/>
    <w:rsid w:val="005A5304"/>
    <w:rsid w:val="005A5412"/>
    <w:rsid w:val="005A553C"/>
    <w:rsid w:val="005A5564"/>
    <w:rsid w:val="005A5585"/>
    <w:rsid w:val="005A576B"/>
    <w:rsid w:val="005A5780"/>
    <w:rsid w:val="005A5A3F"/>
    <w:rsid w:val="005A5E78"/>
    <w:rsid w:val="005A5EA8"/>
    <w:rsid w:val="005A5EC2"/>
    <w:rsid w:val="005A6141"/>
    <w:rsid w:val="005A6181"/>
    <w:rsid w:val="005A620E"/>
    <w:rsid w:val="005A64DE"/>
    <w:rsid w:val="005A65A6"/>
    <w:rsid w:val="005A6755"/>
    <w:rsid w:val="005A6846"/>
    <w:rsid w:val="005A69ED"/>
    <w:rsid w:val="005A6B8A"/>
    <w:rsid w:val="005A6BA2"/>
    <w:rsid w:val="005A6D9E"/>
    <w:rsid w:val="005A70A2"/>
    <w:rsid w:val="005A71E8"/>
    <w:rsid w:val="005A72F5"/>
    <w:rsid w:val="005A737D"/>
    <w:rsid w:val="005A7380"/>
    <w:rsid w:val="005A7BA7"/>
    <w:rsid w:val="005A7D9C"/>
    <w:rsid w:val="005B0310"/>
    <w:rsid w:val="005B0544"/>
    <w:rsid w:val="005B07CD"/>
    <w:rsid w:val="005B09EF"/>
    <w:rsid w:val="005B0F90"/>
    <w:rsid w:val="005B10FE"/>
    <w:rsid w:val="005B12BB"/>
    <w:rsid w:val="005B141D"/>
    <w:rsid w:val="005B1469"/>
    <w:rsid w:val="005B150C"/>
    <w:rsid w:val="005B17FC"/>
    <w:rsid w:val="005B181B"/>
    <w:rsid w:val="005B199D"/>
    <w:rsid w:val="005B1D6D"/>
    <w:rsid w:val="005B1E51"/>
    <w:rsid w:val="005B1FCC"/>
    <w:rsid w:val="005B20BC"/>
    <w:rsid w:val="005B220F"/>
    <w:rsid w:val="005B2337"/>
    <w:rsid w:val="005B234E"/>
    <w:rsid w:val="005B25E0"/>
    <w:rsid w:val="005B2712"/>
    <w:rsid w:val="005B2A3C"/>
    <w:rsid w:val="005B2BC5"/>
    <w:rsid w:val="005B2CDB"/>
    <w:rsid w:val="005B2EB9"/>
    <w:rsid w:val="005B32EE"/>
    <w:rsid w:val="005B3C37"/>
    <w:rsid w:val="005B3FAD"/>
    <w:rsid w:val="005B3FBF"/>
    <w:rsid w:val="005B3FD4"/>
    <w:rsid w:val="005B4107"/>
    <w:rsid w:val="005B4139"/>
    <w:rsid w:val="005B41D9"/>
    <w:rsid w:val="005B45FA"/>
    <w:rsid w:val="005B46AF"/>
    <w:rsid w:val="005B4725"/>
    <w:rsid w:val="005B49B6"/>
    <w:rsid w:val="005B4B1E"/>
    <w:rsid w:val="005B4D7C"/>
    <w:rsid w:val="005B4E08"/>
    <w:rsid w:val="005B4F7E"/>
    <w:rsid w:val="005B5002"/>
    <w:rsid w:val="005B50D6"/>
    <w:rsid w:val="005B5472"/>
    <w:rsid w:val="005B5B53"/>
    <w:rsid w:val="005B5E04"/>
    <w:rsid w:val="005B6104"/>
    <w:rsid w:val="005B618E"/>
    <w:rsid w:val="005B624B"/>
    <w:rsid w:val="005B660F"/>
    <w:rsid w:val="005B664B"/>
    <w:rsid w:val="005B681A"/>
    <w:rsid w:val="005B683F"/>
    <w:rsid w:val="005B6BF3"/>
    <w:rsid w:val="005B6D84"/>
    <w:rsid w:val="005B6F70"/>
    <w:rsid w:val="005B71AA"/>
    <w:rsid w:val="005B7271"/>
    <w:rsid w:val="005B7756"/>
    <w:rsid w:val="005B7956"/>
    <w:rsid w:val="005B7D8D"/>
    <w:rsid w:val="005B7F16"/>
    <w:rsid w:val="005C00A9"/>
    <w:rsid w:val="005C0279"/>
    <w:rsid w:val="005C02C3"/>
    <w:rsid w:val="005C0508"/>
    <w:rsid w:val="005C0831"/>
    <w:rsid w:val="005C08AF"/>
    <w:rsid w:val="005C08FA"/>
    <w:rsid w:val="005C09CB"/>
    <w:rsid w:val="005C0A88"/>
    <w:rsid w:val="005C0BFB"/>
    <w:rsid w:val="005C0F7D"/>
    <w:rsid w:val="005C1144"/>
    <w:rsid w:val="005C1A22"/>
    <w:rsid w:val="005C1AA2"/>
    <w:rsid w:val="005C1B5E"/>
    <w:rsid w:val="005C1FF2"/>
    <w:rsid w:val="005C21C2"/>
    <w:rsid w:val="005C272F"/>
    <w:rsid w:val="005C274F"/>
    <w:rsid w:val="005C2921"/>
    <w:rsid w:val="005C29AA"/>
    <w:rsid w:val="005C2DF2"/>
    <w:rsid w:val="005C2E93"/>
    <w:rsid w:val="005C315A"/>
    <w:rsid w:val="005C3175"/>
    <w:rsid w:val="005C3255"/>
    <w:rsid w:val="005C3307"/>
    <w:rsid w:val="005C359B"/>
    <w:rsid w:val="005C3882"/>
    <w:rsid w:val="005C3B31"/>
    <w:rsid w:val="005C3C1A"/>
    <w:rsid w:val="005C3E1E"/>
    <w:rsid w:val="005C3E95"/>
    <w:rsid w:val="005C3F47"/>
    <w:rsid w:val="005C4416"/>
    <w:rsid w:val="005C4889"/>
    <w:rsid w:val="005C4B01"/>
    <w:rsid w:val="005C4ECE"/>
    <w:rsid w:val="005C4F37"/>
    <w:rsid w:val="005C5352"/>
    <w:rsid w:val="005C54FE"/>
    <w:rsid w:val="005C580B"/>
    <w:rsid w:val="005C58AC"/>
    <w:rsid w:val="005C5A63"/>
    <w:rsid w:val="005C61CA"/>
    <w:rsid w:val="005C63A9"/>
    <w:rsid w:val="005C691D"/>
    <w:rsid w:val="005C6D30"/>
    <w:rsid w:val="005C7071"/>
    <w:rsid w:val="005C794C"/>
    <w:rsid w:val="005C79DA"/>
    <w:rsid w:val="005C7A53"/>
    <w:rsid w:val="005C7CFF"/>
    <w:rsid w:val="005C7D06"/>
    <w:rsid w:val="005C7D6C"/>
    <w:rsid w:val="005D0022"/>
    <w:rsid w:val="005D00CC"/>
    <w:rsid w:val="005D013D"/>
    <w:rsid w:val="005D0430"/>
    <w:rsid w:val="005D0442"/>
    <w:rsid w:val="005D0576"/>
    <w:rsid w:val="005D0599"/>
    <w:rsid w:val="005D0645"/>
    <w:rsid w:val="005D075F"/>
    <w:rsid w:val="005D0765"/>
    <w:rsid w:val="005D08AE"/>
    <w:rsid w:val="005D09EE"/>
    <w:rsid w:val="005D0A64"/>
    <w:rsid w:val="005D0BF1"/>
    <w:rsid w:val="005D0D00"/>
    <w:rsid w:val="005D0D09"/>
    <w:rsid w:val="005D1006"/>
    <w:rsid w:val="005D103B"/>
    <w:rsid w:val="005D139C"/>
    <w:rsid w:val="005D13FF"/>
    <w:rsid w:val="005D173D"/>
    <w:rsid w:val="005D1A67"/>
    <w:rsid w:val="005D1CD8"/>
    <w:rsid w:val="005D1E1D"/>
    <w:rsid w:val="005D2044"/>
    <w:rsid w:val="005D207E"/>
    <w:rsid w:val="005D20E9"/>
    <w:rsid w:val="005D2370"/>
    <w:rsid w:val="005D2461"/>
    <w:rsid w:val="005D290F"/>
    <w:rsid w:val="005D2DF2"/>
    <w:rsid w:val="005D3186"/>
    <w:rsid w:val="005D3826"/>
    <w:rsid w:val="005D386D"/>
    <w:rsid w:val="005D3D8E"/>
    <w:rsid w:val="005D41AA"/>
    <w:rsid w:val="005D43A4"/>
    <w:rsid w:val="005D448D"/>
    <w:rsid w:val="005D44C4"/>
    <w:rsid w:val="005D4761"/>
    <w:rsid w:val="005D48CE"/>
    <w:rsid w:val="005D4AA1"/>
    <w:rsid w:val="005D4B1C"/>
    <w:rsid w:val="005D4BA9"/>
    <w:rsid w:val="005D4D29"/>
    <w:rsid w:val="005D542F"/>
    <w:rsid w:val="005D55B8"/>
    <w:rsid w:val="005D58F4"/>
    <w:rsid w:val="005D5A26"/>
    <w:rsid w:val="005D5E65"/>
    <w:rsid w:val="005D5E90"/>
    <w:rsid w:val="005D61BB"/>
    <w:rsid w:val="005D68DF"/>
    <w:rsid w:val="005D68EB"/>
    <w:rsid w:val="005D692D"/>
    <w:rsid w:val="005D6A4A"/>
    <w:rsid w:val="005D6A53"/>
    <w:rsid w:val="005D6E14"/>
    <w:rsid w:val="005D6E59"/>
    <w:rsid w:val="005D6FED"/>
    <w:rsid w:val="005D7595"/>
    <w:rsid w:val="005D7C23"/>
    <w:rsid w:val="005D7CBE"/>
    <w:rsid w:val="005E0241"/>
    <w:rsid w:val="005E02EA"/>
    <w:rsid w:val="005E050C"/>
    <w:rsid w:val="005E0998"/>
    <w:rsid w:val="005E0D1B"/>
    <w:rsid w:val="005E1388"/>
    <w:rsid w:val="005E13FB"/>
    <w:rsid w:val="005E15BF"/>
    <w:rsid w:val="005E17BA"/>
    <w:rsid w:val="005E19B5"/>
    <w:rsid w:val="005E1A66"/>
    <w:rsid w:val="005E2313"/>
    <w:rsid w:val="005E2487"/>
    <w:rsid w:val="005E296F"/>
    <w:rsid w:val="005E2A4A"/>
    <w:rsid w:val="005E3253"/>
    <w:rsid w:val="005E3826"/>
    <w:rsid w:val="005E3A7F"/>
    <w:rsid w:val="005E3BDA"/>
    <w:rsid w:val="005E3F96"/>
    <w:rsid w:val="005E3FAF"/>
    <w:rsid w:val="005E4107"/>
    <w:rsid w:val="005E460D"/>
    <w:rsid w:val="005E493E"/>
    <w:rsid w:val="005E4A03"/>
    <w:rsid w:val="005E4A20"/>
    <w:rsid w:val="005E4CEA"/>
    <w:rsid w:val="005E4DAD"/>
    <w:rsid w:val="005E4E62"/>
    <w:rsid w:val="005E5017"/>
    <w:rsid w:val="005E518B"/>
    <w:rsid w:val="005E5438"/>
    <w:rsid w:val="005E55CD"/>
    <w:rsid w:val="005E55E1"/>
    <w:rsid w:val="005E5660"/>
    <w:rsid w:val="005E570C"/>
    <w:rsid w:val="005E59E2"/>
    <w:rsid w:val="005E5F0B"/>
    <w:rsid w:val="005E5F7C"/>
    <w:rsid w:val="005E60F5"/>
    <w:rsid w:val="005E6601"/>
    <w:rsid w:val="005E67CA"/>
    <w:rsid w:val="005E68E0"/>
    <w:rsid w:val="005E69FB"/>
    <w:rsid w:val="005E6B52"/>
    <w:rsid w:val="005E6B62"/>
    <w:rsid w:val="005E6C50"/>
    <w:rsid w:val="005E6D45"/>
    <w:rsid w:val="005E6DD4"/>
    <w:rsid w:val="005E6F62"/>
    <w:rsid w:val="005E7051"/>
    <w:rsid w:val="005E743D"/>
    <w:rsid w:val="005E748C"/>
    <w:rsid w:val="005E74D0"/>
    <w:rsid w:val="005E7778"/>
    <w:rsid w:val="005E7793"/>
    <w:rsid w:val="005E7893"/>
    <w:rsid w:val="005E7B4C"/>
    <w:rsid w:val="005E7D26"/>
    <w:rsid w:val="005E7DD5"/>
    <w:rsid w:val="005E7E18"/>
    <w:rsid w:val="005E7F41"/>
    <w:rsid w:val="005E7FD4"/>
    <w:rsid w:val="005F0043"/>
    <w:rsid w:val="005F0576"/>
    <w:rsid w:val="005F0677"/>
    <w:rsid w:val="005F0682"/>
    <w:rsid w:val="005F083E"/>
    <w:rsid w:val="005F0A01"/>
    <w:rsid w:val="005F0AB1"/>
    <w:rsid w:val="005F0D08"/>
    <w:rsid w:val="005F0EEF"/>
    <w:rsid w:val="005F11FA"/>
    <w:rsid w:val="005F1315"/>
    <w:rsid w:val="005F1340"/>
    <w:rsid w:val="005F13DD"/>
    <w:rsid w:val="005F1639"/>
    <w:rsid w:val="005F1FCD"/>
    <w:rsid w:val="005F2218"/>
    <w:rsid w:val="005F223A"/>
    <w:rsid w:val="005F22DC"/>
    <w:rsid w:val="005F244A"/>
    <w:rsid w:val="005F2456"/>
    <w:rsid w:val="005F25CE"/>
    <w:rsid w:val="005F2B12"/>
    <w:rsid w:val="005F2B97"/>
    <w:rsid w:val="005F2E09"/>
    <w:rsid w:val="005F2E2D"/>
    <w:rsid w:val="005F2E3D"/>
    <w:rsid w:val="005F2F19"/>
    <w:rsid w:val="005F3007"/>
    <w:rsid w:val="005F3544"/>
    <w:rsid w:val="005F3783"/>
    <w:rsid w:val="005F39D6"/>
    <w:rsid w:val="005F3AD7"/>
    <w:rsid w:val="005F3C7E"/>
    <w:rsid w:val="005F3CD4"/>
    <w:rsid w:val="005F41AD"/>
    <w:rsid w:val="005F466A"/>
    <w:rsid w:val="005F49CA"/>
    <w:rsid w:val="005F4AAD"/>
    <w:rsid w:val="005F4B5F"/>
    <w:rsid w:val="005F4D75"/>
    <w:rsid w:val="005F4DC8"/>
    <w:rsid w:val="005F4EFD"/>
    <w:rsid w:val="005F4F49"/>
    <w:rsid w:val="005F55AA"/>
    <w:rsid w:val="005F5653"/>
    <w:rsid w:val="005F5B49"/>
    <w:rsid w:val="005F5E13"/>
    <w:rsid w:val="005F60F5"/>
    <w:rsid w:val="005F61DB"/>
    <w:rsid w:val="005F61F0"/>
    <w:rsid w:val="005F6290"/>
    <w:rsid w:val="005F6315"/>
    <w:rsid w:val="005F63CC"/>
    <w:rsid w:val="005F64BD"/>
    <w:rsid w:val="005F6630"/>
    <w:rsid w:val="005F67A6"/>
    <w:rsid w:val="005F67BD"/>
    <w:rsid w:val="005F67FC"/>
    <w:rsid w:val="005F6876"/>
    <w:rsid w:val="005F68D4"/>
    <w:rsid w:val="005F69FA"/>
    <w:rsid w:val="005F6B3D"/>
    <w:rsid w:val="005F6C67"/>
    <w:rsid w:val="005F70F6"/>
    <w:rsid w:val="005F7496"/>
    <w:rsid w:val="005F75D1"/>
    <w:rsid w:val="005F76A6"/>
    <w:rsid w:val="005F77B8"/>
    <w:rsid w:val="005F78D8"/>
    <w:rsid w:val="005F79FA"/>
    <w:rsid w:val="005F7B4F"/>
    <w:rsid w:val="00600043"/>
    <w:rsid w:val="006000D0"/>
    <w:rsid w:val="00600311"/>
    <w:rsid w:val="006004A7"/>
    <w:rsid w:val="0060065E"/>
    <w:rsid w:val="00600A5F"/>
    <w:rsid w:val="00600E68"/>
    <w:rsid w:val="00601306"/>
    <w:rsid w:val="006013AA"/>
    <w:rsid w:val="00601973"/>
    <w:rsid w:val="00601A0C"/>
    <w:rsid w:val="00601CAE"/>
    <w:rsid w:val="00601F8C"/>
    <w:rsid w:val="00602040"/>
    <w:rsid w:val="00602AE0"/>
    <w:rsid w:val="00602C48"/>
    <w:rsid w:val="00602C66"/>
    <w:rsid w:val="0060312F"/>
    <w:rsid w:val="006032DD"/>
    <w:rsid w:val="0060339E"/>
    <w:rsid w:val="0060373D"/>
    <w:rsid w:val="006037EF"/>
    <w:rsid w:val="00603848"/>
    <w:rsid w:val="00603B16"/>
    <w:rsid w:val="00603C27"/>
    <w:rsid w:val="00603ECC"/>
    <w:rsid w:val="006041E2"/>
    <w:rsid w:val="006044E8"/>
    <w:rsid w:val="0060454E"/>
    <w:rsid w:val="006045C1"/>
    <w:rsid w:val="00604643"/>
    <w:rsid w:val="00604737"/>
    <w:rsid w:val="00604797"/>
    <w:rsid w:val="006047EC"/>
    <w:rsid w:val="006047EF"/>
    <w:rsid w:val="00604A17"/>
    <w:rsid w:val="00604AEF"/>
    <w:rsid w:val="00604CB0"/>
    <w:rsid w:val="00604D02"/>
    <w:rsid w:val="00604F2D"/>
    <w:rsid w:val="00605341"/>
    <w:rsid w:val="006053A8"/>
    <w:rsid w:val="0060545A"/>
    <w:rsid w:val="00605763"/>
    <w:rsid w:val="0060596D"/>
    <w:rsid w:val="00605AE3"/>
    <w:rsid w:val="00605F67"/>
    <w:rsid w:val="00606033"/>
    <w:rsid w:val="006069D1"/>
    <w:rsid w:val="00606B81"/>
    <w:rsid w:val="00606EAB"/>
    <w:rsid w:val="00606F5B"/>
    <w:rsid w:val="006070C9"/>
    <w:rsid w:val="00607164"/>
    <w:rsid w:val="0060730E"/>
    <w:rsid w:val="0060754D"/>
    <w:rsid w:val="0060795F"/>
    <w:rsid w:val="00607BB5"/>
    <w:rsid w:val="00607BEA"/>
    <w:rsid w:val="00610261"/>
    <w:rsid w:val="006105C8"/>
    <w:rsid w:val="006106CF"/>
    <w:rsid w:val="00610A2D"/>
    <w:rsid w:val="00610F5B"/>
    <w:rsid w:val="0061103D"/>
    <w:rsid w:val="006113AA"/>
    <w:rsid w:val="006115BE"/>
    <w:rsid w:val="00611AD9"/>
    <w:rsid w:val="00611CC0"/>
    <w:rsid w:val="00611E37"/>
    <w:rsid w:val="006121F1"/>
    <w:rsid w:val="00612232"/>
    <w:rsid w:val="0061259A"/>
    <w:rsid w:val="0061279D"/>
    <w:rsid w:val="00613130"/>
    <w:rsid w:val="0061321F"/>
    <w:rsid w:val="0061346B"/>
    <w:rsid w:val="006135D3"/>
    <w:rsid w:val="006136BC"/>
    <w:rsid w:val="00613996"/>
    <w:rsid w:val="00613B3B"/>
    <w:rsid w:val="006141CB"/>
    <w:rsid w:val="006141FA"/>
    <w:rsid w:val="0061424A"/>
    <w:rsid w:val="006142F2"/>
    <w:rsid w:val="00614430"/>
    <w:rsid w:val="00614844"/>
    <w:rsid w:val="00614B31"/>
    <w:rsid w:val="00614C84"/>
    <w:rsid w:val="0061511E"/>
    <w:rsid w:val="00615153"/>
    <w:rsid w:val="00615197"/>
    <w:rsid w:val="0061560E"/>
    <w:rsid w:val="006156E4"/>
    <w:rsid w:val="0061574B"/>
    <w:rsid w:val="00615784"/>
    <w:rsid w:val="00615B81"/>
    <w:rsid w:val="00615BAC"/>
    <w:rsid w:val="00615CE9"/>
    <w:rsid w:val="00615DB3"/>
    <w:rsid w:val="00615F08"/>
    <w:rsid w:val="00616056"/>
    <w:rsid w:val="0061619F"/>
    <w:rsid w:val="00616279"/>
    <w:rsid w:val="0061706C"/>
    <w:rsid w:val="006171BC"/>
    <w:rsid w:val="006172E1"/>
    <w:rsid w:val="006172EB"/>
    <w:rsid w:val="006174E0"/>
    <w:rsid w:val="0061751E"/>
    <w:rsid w:val="00617865"/>
    <w:rsid w:val="00617B16"/>
    <w:rsid w:val="00617BAF"/>
    <w:rsid w:val="00617E7C"/>
    <w:rsid w:val="0062016A"/>
    <w:rsid w:val="006203D1"/>
    <w:rsid w:val="006203F8"/>
    <w:rsid w:val="00620528"/>
    <w:rsid w:val="006206A0"/>
    <w:rsid w:val="006208E0"/>
    <w:rsid w:val="00620E1A"/>
    <w:rsid w:val="00620F6A"/>
    <w:rsid w:val="006210EB"/>
    <w:rsid w:val="00621633"/>
    <w:rsid w:val="00621730"/>
    <w:rsid w:val="00621824"/>
    <w:rsid w:val="00621B5B"/>
    <w:rsid w:val="0062201F"/>
    <w:rsid w:val="0062215A"/>
    <w:rsid w:val="006228B5"/>
    <w:rsid w:val="006228CF"/>
    <w:rsid w:val="006228ED"/>
    <w:rsid w:val="00622B57"/>
    <w:rsid w:val="00622BEB"/>
    <w:rsid w:val="00622D0B"/>
    <w:rsid w:val="00622E19"/>
    <w:rsid w:val="00623000"/>
    <w:rsid w:val="006231CF"/>
    <w:rsid w:val="00623236"/>
    <w:rsid w:val="006232C4"/>
    <w:rsid w:val="0062337D"/>
    <w:rsid w:val="00623455"/>
    <w:rsid w:val="006236C2"/>
    <w:rsid w:val="00623B9B"/>
    <w:rsid w:val="00623FCF"/>
    <w:rsid w:val="00624104"/>
    <w:rsid w:val="00624354"/>
    <w:rsid w:val="0062474C"/>
    <w:rsid w:val="00624944"/>
    <w:rsid w:val="00624BF1"/>
    <w:rsid w:val="00624C63"/>
    <w:rsid w:val="00624F54"/>
    <w:rsid w:val="00624FB3"/>
    <w:rsid w:val="006250F8"/>
    <w:rsid w:val="0062514C"/>
    <w:rsid w:val="00625211"/>
    <w:rsid w:val="00625600"/>
    <w:rsid w:val="00625CDB"/>
    <w:rsid w:val="00625DB1"/>
    <w:rsid w:val="00625DBE"/>
    <w:rsid w:val="00626449"/>
    <w:rsid w:val="00626476"/>
    <w:rsid w:val="00626487"/>
    <w:rsid w:val="00626C1C"/>
    <w:rsid w:val="00626D12"/>
    <w:rsid w:val="00626E98"/>
    <w:rsid w:val="0062706E"/>
    <w:rsid w:val="0062745B"/>
    <w:rsid w:val="00627732"/>
    <w:rsid w:val="006277E9"/>
    <w:rsid w:val="006277F9"/>
    <w:rsid w:val="00627B32"/>
    <w:rsid w:val="00627FCE"/>
    <w:rsid w:val="006300A3"/>
    <w:rsid w:val="006300C4"/>
    <w:rsid w:val="0063012F"/>
    <w:rsid w:val="0063026D"/>
    <w:rsid w:val="006305F8"/>
    <w:rsid w:val="0063082A"/>
    <w:rsid w:val="0063089E"/>
    <w:rsid w:val="006309B8"/>
    <w:rsid w:val="00630AE2"/>
    <w:rsid w:val="00631109"/>
    <w:rsid w:val="00631183"/>
    <w:rsid w:val="006316B8"/>
    <w:rsid w:val="006317B8"/>
    <w:rsid w:val="0063180A"/>
    <w:rsid w:val="006319F2"/>
    <w:rsid w:val="00631D4A"/>
    <w:rsid w:val="00632026"/>
    <w:rsid w:val="00632041"/>
    <w:rsid w:val="006320E3"/>
    <w:rsid w:val="00632127"/>
    <w:rsid w:val="00632418"/>
    <w:rsid w:val="00632641"/>
    <w:rsid w:val="00632766"/>
    <w:rsid w:val="0063276E"/>
    <w:rsid w:val="006327DD"/>
    <w:rsid w:val="0063281E"/>
    <w:rsid w:val="00632A82"/>
    <w:rsid w:val="00632BA0"/>
    <w:rsid w:val="00632D14"/>
    <w:rsid w:val="00632EC1"/>
    <w:rsid w:val="00633249"/>
    <w:rsid w:val="00633511"/>
    <w:rsid w:val="006336E5"/>
    <w:rsid w:val="00633888"/>
    <w:rsid w:val="00633B02"/>
    <w:rsid w:val="00633C9D"/>
    <w:rsid w:val="00633E57"/>
    <w:rsid w:val="00633F4A"/>
    <w:rsid w:val="006340A1"/>
    <w:rsid w:val="00634270"/>
    <w:rsid w:val="00634324"/>
    <w:rsid w:val="00634575"/>
    <w:rsid w:val="00634576"/>
    <w:rsid w:val="00634A87"/>
    <w:rsid w:val="00634E7A"/>
    <w:rsid w:val="00634E8E"/>
    <w:rsid w:val="00634EBF"/>
    <w:rsid w:val="00635148"/>
    <w:rsid w:val="006351F5"/>
    <w:rsid w:val="006355DB"/>
    <w:rsid w:val="006358AB"/>
    <w:rsid w:val="006358B7"/>
    <w:rsid w:val="00635B93"/>
    <w:rsid w:val="00635C06"/>
    <w:rsid w:val="0063601F"/>
    <w:rsid w:val="006360E8"/>
    <w:rsid w:val="0063611E"/>
    <w:rsid w:val="00636369"/>
    <w:rsid w:val="0063643B"/>
    <w:rsid w:val="006368EF"/>
    <w:rsid w:val="00636A71"/>
    <w:rsid w:val="00636FBB"/>
    <w:rsid w:val="0063702E"/>
    <w:rsid w:val="006371EB"/>
    <w:rsid w:val="00637310"/>
    <w:rsid w:val="0063760F"/>
    <w:rsid w:val="006376B5"/>
    <w:rsid w:val="00637910"/>
    <w:rsid w:val="00637A09"/>
    <w:rsid w:val="00637B0D"/>
    <w:rsid w:val="00637D9E"/>
    <w:rsid w:val="00637F0B"/>
    <w:rsid w:val="00640015"/>
    <w:rsid w:val="006402DC"/>
    <w:rsid w:val="0064063B"/>
    <w:rsid w:val="00640A04"/>
    <w:rsid w:val="00640AB2"/>
    <w:rsid w:val="00640E65"/>
    <w:rsid w:val="00640F8C"/>
    <w:rsid w:val="00641690"/>
    <w:rsid w:val="00641975"/>
    <w:rsid w:val="00641A55"/>
    <w:rsid w:val="00641B2C"/>
    <w:rsid w:val="00641BD5"/>
    <w:rsid w:val="00641C58"/>
    <w:rsid w:val="00641E34"/>
    <w:rsid w:val="00641E8A"/>
    <w:rsid w:val="006420ED"/>
    <w:rsid w:val="006422DC"/>
    <w:rsid w:val="006423B6"/>
    <w:rsid w:val="006424E5"/>
    <w:rsid w:val="00642D10"/>
    <w:rsid w:val="00642E12"/>
    <w:rsid w:val="00643947"/>
    <w:rsid w:val="006439B2"/>
    <w:rsid w:val="00643A53"/>
    <w:rsid w:val="00643AE6"/>
    <w:rsid w:val="00643C29"/>
    <w:rsid w:val="00643D1A"/>
    <w:rsid w:val="00644662"/>
    <w:rsid w:val="00644DFD"/>
    <w:rsid w:val="00644E22"/>
    <w:rsid w:val="00645199"/>
    <w:rsid w:val="00645362"/>
    <w:rsid w:val="0064539A"/>
    <w:rsid w:val="00645774"/>
    <w:rsid w:val="0064588F"/>
    <w:rsid w:val="00645D08"/>
    <w:rsid w:val="00645E22"/>
    <w:rsid w:val="006460E0"/>
    <w:rsid w:val="00646195"/>
    <w:rsid w:val="00646504"/>
    <w:rsid w:val="006466EF"/>
    <w:rsid w:val="00646814"/>
    <w:rsid w:val="00646A3B"/>
    <w:rsid w:val="00646AFB"/>
    <w:rsid w:val="00646F19"/>
    <w:rsid w:val="006472F3"/>
    <w:rsid w:val="006474A0"/>
    <w:rsid w:val="006474F7"/>
    <w:rsid w:val="0064798B"/>
    <w:rsid w:val="00647E6D"/>
    <w:rsid w:val="00647EAD"/>
    <w:rsid w:val="00647F2E"/>
    <w:rsid w:val="00647F33"/>
    <w:rsid w:val="006508EB"/>
    <w:rsid w:val="0065097B"/>
    <w:rsid w:val="006509FA"/>
    <w:rsid w:val="00650BE8"/>
    <w:rsid w:val="0065124A"/>
    <w:rsid w:val="0065128F"/>
    <w:rsid w:val="00651817"/>
    <w:rsid w:val="006518F2"/>
    <w:rsid w:val="006519EB"/>
    <w:rsid w:val="00651A28"/>
    <w:rsid w:val="00651BD0"/>
    <w:rsid w:val="00651D75"/>
    <w:rsid w:val="00651F19"/>
    <w:rsid w:val="00652837"/>
    <w:rsid w:val="00652968"/>
    <w:rsid w:val="006529F1"/>
    <w:rsid w:val="00652A74"/>
    <w:rsid w:val="00652A7A"/>
    <w:rsid w:val="00652BF1"/>
    <w:rsid w:val="00652C14"/>
    <w:rsid w:val="00652D52"/>
    <w:rsid w:val="0065300B"/>
    <w:rsid w:val="00653042"/>
    <w:rsid w:val="00653106"/>
    <w:rsid w:val="00653232"/>
    <w:rsid w:val="0065323A"/>
    <w:rsid w:val="0065324F"/>
    <w:rsid w:val="006535D4"/>
    <w:rsid w:val="00653674"/>
    <w:rsid w:val="006536A9"/>
    <w:rsid w:val="00653C88"/>
    <w:rsid w:val="00653D25"/>
    <w:rsid w:val="00653E34"/>
    <w:rsid w:val="00653EEC"/>
    <w:rsid w:val="00653F00"/>
    <w:rsid w:val="006540EC"/>
    <w:rsid w:val="00654586"/>
    <w:rsid w:val="00654971"/>
    <w:rsid w:val="00654C44"/>
    <w:rsid w:val="00654C6B"/>
    <w:rsid w:val="00654DD2"/>
    <w:rsid w:val="00654F21"/>
    <w:rsid w:val="00654F47"/>
    <w:rsid w:val="00654FA1"/>
    <w:rsid w:val="006550A1"/>
    <w:rsid w:val="006552FC"/>
    <w:rsid w:val="00655822"/>
    <w:rsid w:val="00655CF6"/>
    <w:rsid w:val="00656029"/>
    <w:rsid w:val="00656032"/>
    <w:rsid w:val="0065647A"/>
    <w:rsid w:val="0065654E"/>
    <w:rsid w:val="0065671C"/>
    <w:rsid w:val="006569D1"/>
    <w:rsid w:val="00656A3B"/>
    <w:rsid w:val="00656C8E"/>
    <w:rsid w:val="00656FEF"/>
    <w:rsid w:val="00657338"/>
    <w:rsid w:val="00657400"/>
    <w:rsid w:val="00657718"/>
    <w:rsid w:val="00657927"/>
    <w:rsid w:val="0065799A"/>
    <w:rsid w:val="00657A23"/>
    <w:rsid w:val="00657B75"/>
    <w:rsid w:val="00657DFE"/>
    <w:rsid w:val="00657E92"/>
    <w:rsid w:val="00660001"/>
    <w:rsid w:val="006601DC"/>
    <w:rsid w:val="00660231"/>
    <w:rsid w:val="00660657"/>
    <w:rsid w:val="006607A5"/>
    <w:rsid w:val="00660B2A"/>
    <w:rsid w:val="00661028"/>
    <w:rsid w:val="006610F2"/>
    <w:rsid w:val="006611F2"/>
    <w:rsid w:val="00661229"/>
    <w:rsid w:val="00661447"/>
    <w:rsid w:val="006619A5"/>
    <w:rsid w:val="00661A6F"/>
    <w:rsid w:val="00661CF7"/>
    <w:rsid w:val="00661F00"/>
    <w:rsid w:val="0066217C"/>
    <w:rsid w:val="00662359"/>
    <w:rsid w:val="0066236F"/>
    <w:rsid w:val="006623C1"/>
    <w:rsid w:val="00662528"/>
    <w:rsid w:val="00662750"/>
    <w:rsid w:val="006629C8"/>
    <w:rsid w:val="00662A3F"/>
    <w:rsid w:val="00662AE6"/>
    <w:rsid w:val="00662AF2"/>
    <w:rsid w:val="006630FE"/>
    <w:rsid w:val="00663339"/>
    <w:rsid w:val="0066336D"/>
    <w:rsid w:val="0066357D"/>
    <w:rsid w:val="006639BF"/>
    <w:rsid w:val="00663C1A"/>
    <w:rsid w:val="00663D01"/>
    <w:rsid w:val="0066434A"/>
    <w:rsid w:val="006643B1"/>
    <w:rsid w:val="0066443D"/>
    <w:rsid w:val="00664467"/>
    <w:rsid w:val="0066446F"/>
    <w:rsid w:val="00664768"/>
    <w:rsid w:val="006648EA"/>
    <w:rsid w:val="00664A46"/>
    <w:rsid w:val="00664AF4"/>
    <w:rsid w:val="00664BB2"/>
    <w:rsid w:val="00664BF8"/>
    <w:rsid w:val="00664EA0"/>
    <w:rsid w:val="00664F26"/>
    <w:rsid w:val="006650E7"/>
    <w:rsid w:val="006652E2"/>
    <w:rsid w:val="00665343"/>
    <w:rsid w:val="006654B8"/>
    <w:rsid w:val="0066554A"/>
    <w:rsid w:val="0066563C"/>
    <w:rsid w:val="006656DE"/>
    <w:rsid w:val="00665738"/>
    <w:rsid w:val="00665ABF"/>
    <w:rsid w:val="00666286"/>
    <w:rsid w:val="006665BA"/>
    <w:rsid w:val="00666656"/>
    <w:rsid w:val="006666F6"/>
    <w:rsid w:val="006669B9"/>
    <w:rsid w:val="00666ADD"/>
    <w:rsid w:val="00666DA3"/>
    <w:rsid w:val="00667776"/>
    <w:rsid w:val="006678B9"/>
    <w:rsid w:val="00667AA2"/>
    <w:rsid w:val="00667C30"/>
    <w:rsid w:val="00667D2B"/>
    <w:rsid w:val="00667D69"/>
    <w:rsid w:val="00667DED"/>
    <w:rsid w:val="00667E50"/>
    <w:rsid w:val="00667ED0"/>
    <w:rsid w:val="00667F3B"/>
    <w:rsid w:val="00667FE8"/>
    <w:rsid w:val="00670066"/>
    <w:rsid w:val="00670C0A"/>
    <w:rsid w:val="00670D36"/>
    <w:rsid w:val="00670E3C"/>
    <w:rsid w:val="00671074"/>
    <w:rsid w:val="00671095"/>
    <w:rsid w:val="0067138E"/>
    <w:rsid w:val="006714EB"/>
    <w:rsid w:val="006715CD"/>
    <w:rsid w:val="0067171A"/>
    <w:rsid w:val="00671895"/>
    <w:rsid w:val="006718D6"/>
    <w:rsid w:val="00671C20"/>
    <w:rsid w:val="00671CD1"/>
    <w:rsid w:val="00671D94"/>
    <w:rsid w:val="00671E30"/>
    <w:rsid w:val="0067208C"/>
    <w:rsid w:val="00672278"/>
    <w:rsid w:val="00672442"/>
    <w:rsid w:val="00672A4E"/>
    <w:rsid w:val="00672AD1"/>
    <w:rsid w:val="00672CB5"/>
    <w:rsid w:val="0067308C"/>
    <w:rsid w:val="00673172"/>
    <w:rsid w:val="0067320B"/>
    <w:rsid w:val="00673263"/>
    <w:rsid w:val="00673428"/>
    <w:rsid w:val="00673664"/>
    <w:rsid w:val="00673D49"/>
    <w:rsid w:val="00674093"/>
    <w:rsid w:val="00674198"/>
    <w:rsid w:val="00674329"/>
    <w:rsid w:val="00674470"/>
    <w:rsid w:val="00674532"/>
    <w:rsid w:val="006745AD"/>
    <w:rsid w:val="006746D3"/>
    <w:rsid w:val="00674AFD"/>
    <w:rsid w:val="00674C55"/>
    <w:rsid w:val="00674D15"/>
    <w:rsid w:val="00674D61"/>
    <w:rsid w:val="006752E6"/>
    <w:rsid w:val="0067559F"/>
    <w:rsid w:val="0067575E"/>
    <w:rsid w:val="006759F3"/>
    <w:rsid w:val="00675A5C"/>
    <w:rsid w:val="00675E59"/>
    <w:rsid w:val="00675E61"/>
    <w:rsid w:val="00676139"/>
    <w:rsid w:val="006761B8"/>
    <w:rsid w:val="00676284"/>
    <w:rsid w:val="00676672"/>
    <w:rsid w:val="00676895"/>
    <w:rsid w:val="00676DA8"/>
    <w:rsid w:val="00676FB8"/>
    <w:rsid w:val="0067751E"/>
    <w:rsid w:val="006776BC"/>
    <w:rsid w:val="006778AE"/>
    <w:rsid w:val="00677A6F"/>
    <w:rsid w:val="00677A8C"/>
    <w:rsid w:val="00677ABD"/>
    <w:rsid w:val="00677CA8"/>
    <w:rsid w:val="00680059"/>
    <w:rsid w:val="00680371"/>
    <w:rsid w:val="00680491"/>
    <w:rsid w:val="006804DB"/>
    <w:rsid w:val="00680C88"/>
    <w:rsid w:val="00680EC0"/>
    <w:rsid w:val="00681039"/>
    <w:rsid w:val="006813BA"/>
    <w:rsid w:val="00682253"/>
    <w:rsid w:val="00682294"/>
    <w:rsid w:val="00682714"/>
    <w:rsid w:val="00682AEA"/>
    <w:rsid w:val="00682C74"/>
    <w:rsid w:val="00682CCA"/>
    <w:rsid w:val="00682E0F"/>
    <w:rsid w:val="00682E45"/>
    <w:rsid w:val="0068310D"/>
    <w:rsid w:val="0068364A"/>
    <w:rsid w:val="0068374D"/>
    <w:rsid w:val="006837FF"/>
    <w:rsid w:val="0068384F"/>
    <w:rsid w:val="0068395D"/>
    <w:rsid w:val="00683ABA"/>
    <w:rsid w:val="00683B86"/>
    <w:rsid w:val="00683BCE"/>
    <w:rsid w:val="00683C21"/>
    <w:rsid w:val="00683D54"/>
    <w:rsid w:val="00684203"/>
    <w:rsid w:val="006846C4"/>
    <w:rsid w:val="00684823"/>
    <w:rsid w:val="006848E8"/>
    <w:rsid w:val="00684C83"/>
    <w:rsid w:val="00684CB6"/>
    <w:rsid w:val="00684E1A"/>
    <w:rsid w:val="00684E91"/>
    <w:rsid w:val="00684F15"/>
    <w:rsid w:val="0068507E"/>
    <w:rsid w:val="006850C9"/>
    <w:rsid w:val="006850CE"/>
    <w:rsid w:val="006850D5"/>
    <w:rsid w:val="0068530E"/>
    <w:rsid w:val="00685316"/>
    <w:rsid w:val="006856DF"/>
    <w:rsid w:val="00685744"/>
    <w:rsid w:val="00685B6E"/>
    <w:rsid w:val="00685CDE"/>
    <w:rsid w:val="00686013"/>
    <w:rsid w:val="006861AD"/>
    <w:rsid w:val="00686621"/>
    <w:rsid w:val="0068671A"/>
    <w:rsid w:val="006867D4"/>
    <w:rsid w:val="00686AF7"/>
    <w:rsid w:val="00686D8A"/>
    <w:rsid w:val="00687225"/>
    <w:rsid w:val="00687413"/>
    <w:rsid w:val="00687445"/>
    <w:rsid w:val="006875D1"/>
    <w:rsid w:val="0068772E"/>
    <w:rsid w:val="00687FFA"/>
    <w:rsid w:val="00690093"/>
    <w:rsid w:val="00690132"/>
    <w:rsid w:val="00690715"/>
    <w:rsid w:val="006907E4"/>
    <w:rsid w:val="00690836"/>
    <w:rsid w:val="00690B66"/>
    <w:rsid w:val="00690DA1"/>
    <w:rsid w:val="00690DA9"/>
    <w:rsid w:val="00690EC6"/>
    <w:rsid w:val="00690F8C"/>
    <w:rsid w:val="00691068"/>
    <w:rsid w:val="00691160"/>
    <w:rsid w:val="0069116B"/>
    <w:rsid w:val="006911B3"/>
    <w:rsid w:val="006913C0"/>
    <w:rsid w:val="0069143C"/>
    <w:rsid w:val="00691727"/>
    <w:rsid w:val="00691779"/>
    <w:rsid w:val="00691B9F"/>
    <w:rsid w:val="00691D83"/>
    <w:rsid w:val="00692052"/>
    <w:rsid w:val="00692362"/>
    <w:rsid w:val="0069289A"/>
    <w:rsid w:val="00692B3A"/>
    <w:rsid w:val="00692B7C"/>
    <w:rsid w:val="00692C22"/>
    <w:rsid w:val="006931D5"/>
    <w:rsid w:val="006931EE"/>
    <w:rsid w:val="006933D8"/>
    <w:rsid w:val="00693640"/>
    <w:rsid w:val="00693B2D"/>
    <w:rsid w:val="00694141"/>
    <w:rsid w:val="006941D0"/>
    <w:rsid w:val="006942F0"/>
    <w:rsid w:val="0069431C"/>
    <w:rsid w:val="00694868"/>
    <w:rsid w:val="00694891"/>
    <w:rsid w:val="006948FE"/>
    <w:rsid w:val="006949D4"/>
    <w:rsid w:val="00694B54"/>
    <w:rsid w:val="00695051"/>
    <w:rsid w:val="00695641"/>
    <w:rsid w:val="0069564A"/>
    <w:rsid w:val="0069567A"/>
    <w:rsid w:val="006957C9"/>
    <w:rsid w:val="006957D1"/>
    <w:rsid w:val="006959D5"/>
    <w:rsid w:val="00695AFB"/>
    <w:rsid w:val="00696959"/>
    <w:rsid w:val="00696C8A"/>
    <w:rsid w:val="00696CCE"/>
    <w:rsid w:val="00696DC7"/>
    <w:rsid w:val="00697377"/>
    <w:rsid w:val="006977A7"/>
    <w:rsid w:val="006977AF"/>
    <w:rsid w:val="006978FB"/>
    <w:rsid w:val="00697C1B"/>
    <w:rsid w:val="00697D19"/>
    <w:rsid w:val="006A0235"/>
    <w:rsid w:val="006A05AE"/>
    <w:rsid w:val="006A063F"/>
    <w:rsid w:val="006A07B2"/>
    <w:rsid w:val="006A093B"/>
    <w:rsid w:val="006A0A21"/>
    <w:rsid w:val="006A0A7D"/>
    <w:rsid w:val="006A0D16"/>
    <w:rsid w:val="006A1009"/>
    <w:rsid w:val="006A137A"/>
    <w:rsid w:val="006A1A1E"/>
    <w:rsid w:val="006A1B30"/>
    <w:rsid w:val="006A1B8A"/>
    <w:rsid w:val="006A1DA9"/>
    <w:rsid w:val="006A1DB5"/>
    <w:rsid w:val="006A1DEC"/>
    <w:rsid w:val="006A1ED2"/>
    <w:rsid w:val="006A1F8E"/>
    <w:rsid w:val="006A1FB4"/>
    <w:rsid w:val="006A1FDC"/>
    <w:rsid w:val="006A2205"/>
    <w:rsid w:val="006A281D"/>
    <w:rsid w:val="006A287F"/>
    <w:rsid w:val="006A2891"/>
    <w:rsid w:val="006A2B6E"/>
    <w:rsid w:val="006A2C3A"/>
    <w:rsid w:val="006A2DBE"/>
    <w:rsid w:val="006A2DEC"/>
    <w:rsid w:val="006A324D"/>
    <w:rsid w:val="006A3269"/>
    <w:rsid w:val="006A35E6"/>
    <w:rsid w:val="006A3638"/>
    <w:rsid w:val="006A3B3D"/>
    <w:rsid w:val="006A3BBD"/>
    <w:rsid w:val="006A3BC4"/>
    <w:rsid w:val="006A3D1F"/>
    <w:rsid w:val="006A3DEA"/>
    <w:rsid w:val="006A4154"/>
    <w:rsid w:val="006A43F5"/>
    <w:rsid w:val="006A4518"/>
    <w:rsid w:val="006A4845"/>
    <w:rsid w:val="006A48A9"/>
    <w:rsid w:val="006A4A16"/>
    <w:rsid w:val="006A4D44"/>
    <w:rsid w:val="006A4D48"/>
    <w:rsid w:val="006A4DE2"/>
    <w:rsid w:val="006A4E34"/>
    <w:rsid w:val="006A4EF8"/>
    <w:rsid w:val="006A5055"/>
    <w:rsid w:val="006A5656"/>
    <w:rsid w:val="006A5894"/>
    <w:rsid w:val="006A58B8"/>
    <w:rsid w:val="006A5957"/>
    <w:rsid w:val="006A596F"/>
    <w:rsid w:val="006A5B6D"/>
    <w:rsid w:val="006A5BCC"/>
    <w:rsid w:val="006A5CD7"/>
    <w:rsid w:val="006A6025"/>
    <w:rsid w:val="006A6697"/>
    <w:rsid w:val="006A6813"/>
    <w:rsid w:val="006A6971"/>
    <w:rsid w:val="006A6C33"/>
    <w:rsid w:val="006A6C3B"/>
    <w:rsid w:val="006A6EE0"/>
    <w:rsid w:val="006A72E3"/>
    <w:rsid w:val="006A757E"/>
    <w:rsid w:val="006A7639"/>
    <w:rsid w:val="006A775F"/>
    <w:rsid w:val="006A7935"/>
    <w:rsid w:val="006A7CAE"/>
    <w:rsid w:val="006A7D1B"/>
    <w:rsid w:val="006A7D2A"/>
    <w:rsid w:val="006A7D94"/>
    <w:rsid w:val="006A7DCC"/>
    <w:rsid w:val="006B0023"/>
    <w:rsid w:val="006B00AF"/>
    <w:rsid w:val="006B07CB"/>
    <w:rsid w:val="006B08B5"/>
    <w:rsid w:val="006B0957"/>
    <w:rsid w:val="006B09D0"/>
    <w:rsid w:val="006B0BD6"/>
    <w:rsid w:val="006B0D05"/>
    <w:rsid w:val="006B0DD4"/>
    <w:rsid w:val="006B11CC"/>
    <w:rsid w:val="006B13DC"/>
    <w:rsid w:val="006B14ED"/>
    <w:rsid w:val="006B17FC"/>
    <w:rsid w:val="006B192A"/>
    <w:rsid w:val="006B1C1B"/>
    <w:rsid w:val="006B1C3D"/>
    <w:rsid w:val="006B1CA3"/>
    <w:rsid w:val="006B1CDD"/>
    <w:rsid w:val="006B1E04"/>
    <w:rsid w:val="006B1F65"/>
    <w:rsid w:val="006B2518"/>
    <w:rsid w:val="006B2728"/>
    <w:rsid w:val="006B29BB"/>
    <w:rsid w:val="006B2ECC"/>
    <w:rsid w:val="006B3117"/>
    <w:rsid w:val="006B358F"/>
    <w:rsid w:val="006B35E7"/>
    <w:rsid w:val="006B390C"/>
    <w:rsid w:val="006B3914"/>
    <w:rsid w:val="006B3983"/>
    <w:rsid w:val="006B3A80"/>
    <w:rsid w:val="006B44F8"/>
    <w:rsid w:val="006B45D1"/>
    <w:rsid w:val="006B4656"/>
    <w:rsid w:val="006B476E"/>
    <w:rsid w:val="006B4BF1"/>
    <w:rsid w:val="006B4C65"/>
    <w:rsid w:val="006B4DD7"/>
    <w:rsid w:val="006B5942"/>
    <w:rsid w:val="006B5E58"/>
    <w:rsid w:val="006B5FA2"/>
    <w:rsid w:val="006B6050"/>
    <w:rsid w:val="006B6234"/>
    <w:rsid w:val="006B6522"/>
    <w:rsid w:val="006B6535"/>
    <w:rsid w:val="006B6552"/>
    <w:rsid w:val="006B676A"/>
    <w:rsid w:val="006B6891"/>
    <w:rsid w:val="006B6C2A"/>
    <w:rsid w:val="006B70B5"/>
    <w:rsid w:val="006B744A"/>
    <w:rsid w:val="006B79DF"/>
    <w:rsid w:val="006B79EB"/>
    <w:rsid w:val="006B7A52"/>
    <w:rsid w:val="006B7B4E"/>
    <w:rsid w:val="006B7B9E"/>
    <w:rsid w:val="006B7E7A"/>
    <w:rsid w:val="006B7F63"/>
    <w:rsid w:val="006B7F9A"/>
    <w:rsid w:val="006B7FFA"/>
    <w:rsid w:val="006C012C"/>
    <w:rsid w:val="006C0262"/>
    <w:rsid w:val="006C02EB"/>
    <w:rsid w:val="006C053D"/>
    <w:rsid w:val="006C06A5"/>
    <w:rsid w:val="006C071B"/>
    <w:rsid w:val="006C0885"/>
    <w:rsid w:val="006C0AD1"/>
    <w:rsid w:val="006C0B4F"/>
    <w:rsid w:val="006C0D15"/>
    <w:rsid w:val="006C0EDC"/>
    <w:rsid w:val="006C0FE9"/>
    <w:rsid w:val="006C105C"/>
    <w:rsid w:val="006C1617"/>
    <w:rsid w:val="006C1678"/>
    <w:rsid w:val="006C1836"/>
    <w:rsid w:val="006C1960"/>
    <w:rsid w:val="006C1C21"/>
    <w:rsid w:val="006C1E12"/>
    <w:rsid w:val="006C1FA1"/>
    <w:rsid w:val="006C1FDE"/>
    <w:rsid w:val="006C2007"/>
    <w:rsid w:val="006C21FA"/>
    <w:rsid w:val="006C2AE4"/>
    <w:rsid w:val="006C2BC5"/>
    <w:rsid w:val="006C3104"/>
    <w:rsid w:val="006C31E4"/>
    <w:rsid w:val="006C3216"/>
    <w:rsid w:val="006C3256"/>
    <w:rsid w:val="006C343B"/>
    <w:rsid w:val="006C35D7"/>
    <w:rsid w:val="006C367E"/>
    <w:rsid w:val="006C3D87"/>
    <w:rsid w:val="006C403A"/>
    <w:rsid w:val="006C41AF"/>
    <w:rsid w:val="006C445E"/>
    <w:rsid w:val="006C4464"/>
    <w:rsid w:val="006C4553"/>
    <w:rsid w:val="006C45AD"/>
    <w:rsid w:val="006C48B8"/>
    <w:rsid w:val="006C4B5C"/>
    <w:rsid w:val="006C570D"/>
    <w:rsid w:val="006C58EE"/>
    <w:rsid w:val="006C59E3"/>
    <w:rsid w:val="006C5B6C"/>
    <w:rsid w:val="006C5BC7"/>
    <w:rsid w:val="006C5DD4"/>
    <w:rsid w:val="006C6099"/>
    <w:rsid w:val="006C60C1"/>
    <w:rsid w:val="006C6139"/>
    <w:rsid w:val="006C61A8"/>
    <w:rsid w:val="006C62FC"/>
    <w:rsid w:val="006C67EF"/>
    <w:rsid w:val="006C6807"/>
    <w:rsid w:val="006C6851"/>
    <w:rsid w:val="006C68E9"/>
    <w:rsid w:val="006C6CDD"/>
    <w:rsid w:val="006C6CEC"/>
    <w:rsid w:val="006C6ED4"/>
    <w:rsid w:val="006C6FFF"/>
    <w:rsid w:val="006C70A7"/>
    <w:rsid w:val="006C70F8"/>
    <w:rsid w:val="006C7433"/>
    <w:rsid w:val="006C75D6"/>
    <w:rsid w:val="006C7A3B"/>
    <w:rsid w:val="006C7D2A"/>
    <w:rsid w:val="006D042A"/>
    <w:rsid w:val="006D0436"/>
    <w:rsid w:val="006D0454"/>
    <w:rsid w:val="006D05F7"/>
    <w:rsid w:val="006D0A1D"/>
    <w:rsid w:val="006D0B49"/>
    <w:rsid w:val="006D1084"/>
    <w:rsid w:val="006D14FF"/>
    <w:rsid w:val="006D1687"/>
    <w:rsid w:val="006D19E3"/>
    <w:rsid w:val="006D1CDF"/>
    <w:rsid w:val="006D2175"/>
    <w:rsid w:val="006D21A9"/>
    <w:rsid w:val="006D246E"/>
    <w:rsid w:val="006D2537"/>
    <w:rsid w:val="006D26F8"/>
    <w:rsid w:val="006D2865"/>
    <w:rsid w:val="006D2C92"/>
    <w:rsid w:val="006D31DC"/>
    <w:rsid w:val="006D3A80"/>
    <w:rsid w:val="006D3AFB"/>
    <w:rsid w:val="006D3B2C"/>
    <w:rsid w:val="006D3B5C"/>
    <w:rsid w:val="006D3DD9"/>
    <w:rsid w:val="006D3FDD"/>
    <w:rsid w:val="006D3FF6"/>
    <w:rsid w:val="006D416B"/>
    <w:rsid w:val="006D4329"/>
    <w:rsid w:val="006D4479"/>
    <w:rsid w:val="006D47CE"/>
    <w:rsid w:val="006D4C90"/>
    <w:rsid w:val="006D4D7F"/>
    <w:rsid w:val="006D4E6F"/>
    <w:rsid w:val="006D4FA1"/>
    <w:rsid w:val="006D5217"/>
    <w:rsid w:val="006D5233"/>
    <w:rsid w:val="006D5742"/>
    <w:rsid w:val="006D5764"/>
    <w:rsid w:val="006D5BB8"/>
    <w:rsid w:val="006D5DC6"/>
    <w:rsid w:val="006D6158"/>
    <w:rsid w:val="006D622D"/>
    <w:rsid w:val="006D6451"/>
    <w:rsid w:val="006D64CB"/>
    <w:rsid w:val="006D64EB"/>
    <w:rsid w:val="006D6719"/>
    <w:rsid w:val="006D682D"/>
    <w:rsid w:val="006D685A"/>
    <w:rsid w:val="006D694A"/>
    <w:rsid w:val="006D6A57"/>
    <w:rsid w:val="006D6D0A"/>
    <w:rsid w:val="006D6D40"/>
    <w:rsid w:val="006D6E7B"/>
    <w:rsid w:val="006D6EC5"/>
    <w:rsid w:val="006D73C7"/>
    <w:rsid w:val="006D77FD"/>
    <w:rsid w:val="006D7BA7"/>
    <w:rsid w:val="006D7D2B"/>
    <w:rsid w:val="006D7D68"/>
    <w:rsid w:val="006E00A9"/>
    <w:rsid w:val="006E0AAB"/>
    <w:rsid w:val="006E0FB2"/>
    <w:rsid w:val="006E13E9"/>
    <w:rsid w:val="006E173B"/>
    <w:rsid w:val="006E1ED6"/>
    <w:rsid w:val="006E1F13"/>
    <w:rsid w:val="006E1F94"/>
    <w:rsid w:val="006E202A"/>
    <w:rsid w:val="006E20DF"/>
    <w:rsid w:val="006E2301"/>
    <w:rsid w:val="006E231B"/>
    <w:rsid w:val="006E2430"/>
    <w:rsid w:val="006E2511"/>
    <w:rsid w:val="006E2742"/>
    <w:rsid w:val="006E28CC"/>
    <w:rsid w:val="006E30E7"/>
    <w:rsid w:val="006E310B"/>
    <w:rsid w:val="006E31D9"/>
    <w:rsid w:val="006E31F5"/>
    <w:rsid w:val="006E320B"/>
    <w:rsid w:val="006E32CF"/>
    <w:rsid w:val="006E3304"/>
    <w:rsid w:val="006E35DF"/>
    <w:rsid w:val="006E363F"/>
    <w:rsid w:val="006E3641"/>
    <w:rsid w:val="006E378B"/>
    <w:rsid w:val="006E37DF"/>
    <w:rsid w:val="006E401D"/>
    <w:rsid w:val="006E4083"/>
    <w:rsid w:val="006E4270"/>
    <w:rsid w:val="006E4325"/>
    <w:rsid w:val="006E43A1"/>
    <w:rsid w:val="006E4424"/>
    <w:rsid w:val="006E471E"/>
    <w:rsid w:val="006E4893"/>
    <w:rsid w:val="006E4DAD"/>
    <w:rsid w:val="006E527E"/>
    <w:rsid w:val="006E5596"/>
    <w:rsid w:val="006E5774"/>
    <w:rsid w:val="006E58D0"/>
    <w:rsid w:val="006E5B25"/>
    <w:rsid w:val="006E5D31"/>
    <w:rsid w:val="006E5D79"/>
    <w:rsid w:val="006E5DC5"/>
    <w:rsid w:val="006E60A8"/>
    <w:rsid w:val="006E6204"/>
    <w:rsid w:val="006E6222"/>
    <w:rsid w:val="006E6567"/>
    <w:rsid w:val="006E65E7"/>
    <w:rsid w:val="006E6A83"/>
    <w:rsid w:val="006E6C73"/>
    <w:rsid w:val="006E6D66"/>
    <w:rsid w:val="006E6DE0"/>
    <w:rsid w:val="006E6F37"/>
    <w:rsid w:val="006E725C"/>
    <w:rsid w:val="006E746F"/>
    <w:rsid w:val="006E761C"/>
    <w:rsid w:val="006E79C1"/>
    <w:rsid w:val="006E7BF2"/>
    <w:rsid w:val="006E7E10"/>
    <w:rsid w:val="006F0002"/>
    <w:rsid w:val="006F0052"/>
    <w:rsid w:val="006F008A"/>
    <w:rsid w:val="006F00F2"/>
    <w:rsid w:val="006F018B"/>
    <w:rsid w:val="006F028F"/>
    <w:rsid w:val="006F0358"/>
    <w:rsid w:val="006F047F"/>
    <w:rsid w:val="006F071D"/>
    <w:rsid w:val="006F07D5"/>
    <w:rsid w:val="006F0EFC"/>
    <w:rsid w:val="006F10C0"/>
    <w:rsid w:val="006F1257"/>
    <w:rsid w:val="006F154B"/>
    <w:rsid w:val="006F1984"/>
    <w:rsid w:val="006F1B0F"/>
    <w:rsid w:val="006F1B45"/>
    <w:rsid w:val="006F1BCD"/>
    <w:rsid w:val="006F1EF8"/>
    <w:rsid w:val="006F1FEC"/>
    <w:rsid w:val="006F218D"/>
    <w:rsid w:val="006F27AD"/>
    <w:rsid w:val="006F296E"/>
    <w:rsid w:val="006F2D2E"/>
    <w:rsid w:val="006F2DF2"/>
    <w:rsid w:val="006F2E5E"/>
    <w:rsid w:val="006F2FD1"/>
    <w:rsid w:val="006F2FFA"/>
    <w:rsid w:val="006F314D"/>
    <w:rsid w:val="006F319B"/>
    <w:rsid w:val="006F32CB"/>
    <w:rsid w:val="006F3587"/>
    <w:rsid w:val="006F36E6"/>
    <w:rsid w:val="006F37A7"/>
    <w:rsid w:val="006F385C"/>
    <w:rsid w:val="006F3862"/>
    <w:rsid w:val="006F3996"/>
    <w:rsid w:val="006F3B46"/>
    <w:rsid w:val="006F3B7C"/>
    <w:rsid w:val="006F3D53"/>
    <w:rsid w:val="006F3F57"/>
    <w:rsid w:val="006F40FA"/>
    <w:rsid w:val="006F4270"/>
    <w:rsid w:val="006F4589"/>
    <w:rsid w:val="006F4591"/>
    <w:rsid w:val="006F4794"/>
    <w:rsid w:val="006F479B"/>
    <w:rsid w:val="006F48C5"/>
    <w:rsid w:val="006F4AF2"/>
    <w:rsid w:val="006F4C76"/>
    <w:rsid w:val="006F4E89"/>
    <w:rsid w:val="006F4EB3"/>
    <w:rsid w:val="006F512F"/>
    <w:rsid w:val="006F5921"/>
    <w:rsid w:val="006F59C7"/>
    <w:rsid w:val="006F5AFE"/>
    <w:rsid w:val="006F62DC"/>
    <w:rsid w:val="006F66ED"/>
    <w:rsid w:val="006F6816"/>
    <w:rsid w:val="006F68C7"/>
    <w:rsid w:val="006F6B54"/>
    <w:rsid w:val="006F6B87"/>
    <w:rsid w:val="006F6DA3"/>
    <w:rsid w:val="006F6FFD"/>
    <w:rsid w:val="006F712A"/>
    <w:rsid w:val="006F729E"/>
    <w:rsid w:val="006F72A7"/>
    <w:rsid w:val="006F73D7"/>
    <w:rsid w:val="006F790F"/>
    <w:rsid w:val="006F7BA5"/>
    <w:rsid w:val="00700084"/>
    <w:rsid w:val="0070014E"/>
    <w:rsid w:val="00700310"/>
    <w:rsid w:val="007006BA"/>
    <w:rsid w:val="0070079C"/>
    <w:rsid w:val="007007D1"/>
    <w:rsid w:val="0070080F"/>
    <w:rsid w:val="00700E58"/>
    <w:rsid w:val="00700E9C"/>
    <w:rsid w:val="00701041"/>
    <w:rsid w:val="00701092"/>
    <w:rsid w:val="007010E0"/>
    <w:rsid w:val="00701803"/>
    <w:rsid w:val="0070189A"/>
    <w:rsid w:val="00701CBD"/>
    <w:rsid w:val="00701D22"/>
    <w:rsid w:val="00701DA0"/>
    <w:rsid w:val="007020DB"/>
    <w:rsid w:val="0070212A"/>
    <w:rsid w:val="007021F3"/>
    <w:rsid w:val="0070227F"/>
    <w:rsid w:val="0070267D"/>
    <w:rsid w:val="00702B3A"/>
    <w:rsid w:val="00702DD1"/>
    <w:rsid w:val="0070331A"/>
    <w:rsid w:val="0070336D"/>
    <w:rsid w:val="00703549"/>
    <w:rsid w:val="00703A3B"/>
    <w:rsid w:val="00704076"/>
    <w:rsid w:val="0070431D"/>
    <w:rsid w:val="007043E2"/>
    <w:rsid w:val="00704B4C"/>
    <w:rsid w:val="00704BC0"/>
    <w:rsid w:val="00704C46"/>
    <w:rsid w:val="007051A9"/>
    <w:rsid w:val="007057C4"/>
    <w:rsid w:val="007059D0"/>
    <w:rsid w:val="00705A70"/>
    <w:rsid w:val="00705AB6"/>
    <w:rsid w:val="00705D77"/>
    <w:rsid w:val="00705F72"/>
    <w:rsid w:val="0070610C"/>
    <w:rsid w:val="0070613A"/>
    <w:rsid w:val="00706273"/>
    <w:rsid w:val="00706C5B"/>
    <w:rsid w:val="007072FB"/>
    <w:rsid w:val="007074F9"/>
    <w:rsid w:val="00707670"/>
    <w:rsid w:val="007078E3"/>
    <w:rsid w:val="00707A4C"/>
    <w:rsid w:val="00707B89"/>
    <w:rsid w:val="00707FDC"/>
    <w:rsid w:val="00710004"/>
    <w:rsid w:val="00710060"/>
    <w:rsid w:val="007101EA"/>
    <w:rsid w:val="007102DD"/>
    <w:rsid w:val="00710736"/>
    <w:rsid w:val="00710895"/>
    <w:rsid w:val="007109A6"/>
    <w:rsid w:val="00710AF0"/>
    <w:rsid w:val="00710C44"/>
    <w:rsid w:val="00710C72"/>
    <w:rsid w:val="00710D07"/>
    <w:rsid w:val="00710D19"/>
    <w:rsid w:val="007110ED"/>
    <w:rsid w:val="00711164"/>
    <w:rsid w:val="0071167D"/>
    <w:rsid w:val="007119C8"/>
    <w:rsid w:val="00711AA2"/>
    <w:rsid w:val="00711B94"/>
    <w:rsid w:val="00711D11"/>
    <w:rsid w:val="00711E14"/>
    <w:rsid w:val="0071200F"/>
    <w:rsid w:val="0071219C"/>
    <w:rsid w:val="007122A7"/>
    <w:rsid w:val="007124EB"/>
    <w:rsid w:val="007127F2"/>
    <w:rsid w:val="007128A9"/>
    <w:rsid w:val="007129DF"/>
    <w:rsid w:val="00712AE7"/>
    <w:rsid w:val="00712AF1"/>
    <w:rsid w:val="0071302C"/>
    <w:rsid w:val="007134E1"/>
    <w:rsid w:val="00713898"/>
    <w:rsid w:val="007138E2"/>
    <w:rsid w:val="007138EC"/>
    <w:rsid w:val="00713E7D"/>
    <w:rsid w:val="00714440"/>
    <w:rsid w:val="007144C6"/>
    <w:rsid w:val="007144D9"/>
    <w:rsid w:val="00714688"/>
    <w:rsid w:val="00714747"/>
    <w:rsid w:val="00715454"/>
    <w:rsid w:val="007157DF"/>
    <w:rsid w:val="007158F5"/>
    <w:rsid w:val="007159D2"/>
    <w:rsid w:val="00715F0E"/>
    <w:rsid w:val="00716018"/>
    <w:rsid w:val="00716086"/>
    <w:rsid w:val="0071627B"/>
    <w:rsid w:val="0071642C"/>
    <w:rsid w:val="007166DE"/>
    <w:rsid w:val="0071673F"/>
    <w:rsid w:val="0071686B"/>
    <w:rsid w:val="00716ACE"/>
    <w:rsid w:val="007177DE"/>
    <w:rsid w:val="007178B5"/>
    <w:rsid w:val="00717CA3"/>
    <w:rsid w:val="00717D10"/>
    <w:rsid w:val="00717D6B"/>
    <w:rsid w:val="0072007B"/>
    <w:rsid w:val="0072090B"/>
    <w:rsid w:val="0072093C"/>
    <w:rsid w:val="00720A4B"/>
    <w:rsid w:val="00720B5E"/>
    <w:rsid w:val="00720C05"/>
    <w:rsid w:val="00720E5D"/>
    <w:rsid w:val="0072109E"/>
    <w:rsid w:val="007211A7"/>
    <w:rsid w:val="007213A1"/>
    <w:rsid w:val="007213D8"/>
    <w:rsid w:val="00721586"/>
    <w:rsid w:val="00721726"/>
    <w:rsid w:val="00721AEC"/>
    <w:rsid w:val="00721B42"/>
    <w:rsid w:val="00721CF7"/>
    <w:rsid w:val="0072229B"/>
    <w:rsid w:val="007222A6"/>
    <w:rsid w:val="007223DC"/>
    <w:rsid w:val="0072277F"/>
    <w:rsid w:val="00722C9C"/>
    <w:rsid w:val="00722F1F"/>
    <w:rsid w:val="00722F9F"/>
    <w:rsid w:val="007230EE"/>
    <w:rsid w:val="007236CA"/>
    <w:rsid w:val="00723905"/>
    <w:rsid w:val="00723B0A"/>
    <w:rsid w:val="00723DD6"/>
    <w:rsid w:val="00724277"/>
    <w:rsid w:val="007244C1"/>
    <w:rsid w:val="00724601"/>
    <w:rsid w:val="0072470A"/>
    <w:rsid w:val="00724A37"/>
    <w:rsid w:val="00724C4D"/>
    <w:rsid w:val="00724D82"/>
    <w:rsid w:val="00724E28"/>
    <w:rsid w:val="00724EF2"/>
    <w:rsid w:val="007252C2"/>
    <w:rsid w:val="007252FA"/>
    <w:rsid w:val="0072535F"/>
    <w:rsid w:val="00725569"/>
    <w:rsid w:val="007258CE"/>
    <w:rsid w:val="00725B75"/>
    <w:rsid w:val="00725D16"/>
    <w:rsid w:val="00725EE0"/>
    <w:rsid w:val="007260AD"/>
    <w:rsid w:val="007260E1"/>
    <w:rsid w:val="007262C6"/>
    <w:rsid w:val="007263D5"/>
    <w:rsid w:val="00726474"/>
    <w:rsid w:val="00726491"/>
    <w:rsid w:val="00726550"/>
    <w:rsid w:val="00726598"/>
    <w:rsid w:val="007266CB"/>
    <w:rsid w:val="00726CD1"/>
    <w:rsid w:val="00726ECD"/>
    <w:rsid w:val="00726FEB"/>
    <w:rsid w:val="00726FEC"/>
    <w:rsid w:val="007270B8"/>
    <w:rsid w:val="007279C7"/>
    <w:rsid w:val="00727A2E"/>
    <w:rsid w:val="00727F8A"/>
    <w:rsid w:val="00727FE4"/>
    <w:rsid w:val="007300B3"/>
    <w:rsid w:val="00730587"/>
    <w:rsid w:val="00730AE6"/>
    <w:rsid w:val="00730B29"/>
    <w:rsid w:val="00730F8D"/>
    <w:rsid w:val="007317AC"/>
    <w:rsid w:val="00731A4D"/>
    <w:rsid w:val="00731A69"/>
    <w:rsid w:val="00731BAA"/>
    <w:rsid w:val="00731BDE"/>
    <w:rsid w:val="00731DB7"/>
    <w:rsid w:val="00731DBE"/>
    <w:rsid w:val="00731E1D"/>
    <w:rsid w:val="00731FD6"/>
    <w:rsid w:val="0073238E"/>
    <w:rsid w:val="00732540"/>
    <w:rsid w:val="00732698"/>
    <w:rsid w:val="00732A8E"/>
    <w:rsid w:val="00732A90"/>
    <w:rsid w:val="007330F4"/>
    <w:rsid w:val="00733407"/>
    <w:rsid w:val="00733534"/>
    <w:rsid w:val="00733664"/>
    <w:rsid w:val="00733B5C"/>
    <w:rsid w:val="00733BAA"/>
    <w:rsid w:val="00733DA6"/>
    <w:rsid w:val="00733F09"/>
    <w:rsid w:val="00733F89"/>
    <w:rsid w:val="007340C9"/>
    <w:rsid w:val="007340CF"/>
    <w:rsid w:val="007340D7"/>
    <w:rsid w:val="00734199"/>
    <w:rsid w:val="00734249"/>
    <w:rsid w:val="00734384"/>
    <w:rsid w:val="00734582"/>
    <w:rsid w:val="00734857"/>
    <w:rsid w:val="00734F1E"/>
    <w:rsid w:val="007350C4"/>
    <w:rsid w:val="007350D5"/>
    <w:rsid w:val="00735139"/>
    <w:rsid w:val="00735246"/>
    <w:rsid w:val="007352DB"/>
    <w:rsid w:val="007354E0"/>
    <w:rsid w:val="0073550D"/>
    <w:rsid w:val="00735C0D"/>
    <w:rsid w:val="00735D6D"/>
    <w:rsid w:val="00735F98"/>
    <w:rsid w:val="00736404"/>
    <w:rsid w:val="0073643C"/>
    <w:rsid w:val="007364F5"/>
    <w:rsid w:val="007365A5"/>
    <w:rsid w:val="007365B5"/>
    <w:rsid w:val="00736695"/>
    <w:rsid w:val="0073692C"/>
    <w:rsid w:val="0073697A"/>
    <w:rsid w:val="007369D5"/>
    <w:rsid w:val="00736AA2"/>
    <w:rsid w:val="00736C4D"/>
    <w:rsid w:val="00736DA1"/>
    <w:rsid w:val="00736DB4"/>
    <w:rsid w:val="00736E3F"/>
    <w:rsid w:val="00736F34"/>
    <w:rsid w:val="00737475"/>
    <w:rsid w:val="00737478"/>
    <w:rsid w:val="00737654"/>
    <w:rsid w:val="00737693"/>
    <w:rsid w:val="007376A2"/>
    <w:rsid w:val="00737D2F"/>
    <w:rsid w:val="00737D74"/>
    <w:rsid w:val="00737D9D"/>
    <w:rsid w:val="00740071"/>
    <w:rsid w:val="0074011E"/>
    <w:rsid w:val="0074021B"/>
    <w:rsid w:val="0074029D"/>
    <w:rsid w:val="007403E2"/>
    <w:rsid w:val="00740582"/>
    <w:rsid w:val="00740913"/>
    <w:rsid w:val="00740EEC"/>
    <w:rsid w:val="00741383"/>
    <w:rsid w:val="00741426"/>
    <w:rsid w:val="00741438"/>
    <w:rsid w:val="007416B7"/>
    <w:rsid w:val="00741721"/>
    <w:rsid w:val="00741AF4"/>
    <w:rsid w:val="00741C06"/>
    <w:rsid w:val="00742601"/>
    <w:rsid w:val="00742888"/>
    <w:rsid w:val="00742976"/>
    <w:rsid w:val="00742C60"/>
    <w:rsid w:val="00742E88"/>
    <w:rsid w:val="00743030"/>
    <w:rsid w:val="0074364D"/>
    <w:rsid w:val="007437FA"/>
    <w:rsid w:val="0074384B"/>
    <w:rsid w:val="00743A16"/>
    <w:rsid w:val="00743BB3"/>
    <w:rsid w:val="00743FAC"/>
    <w:rsid w:val="00744134"/>
    <w:rsid w:val="0074416F"/>
    <w:rsid w:val="0074424E"/>
    <w:rsid w:val="00744369"/>
    <w:rsid w:val="007446D7"/>
    <w:rsid w:val="007448C5"/>
    <w:rsid w:val="00744981"/>
    <w:rsid w:val="00744ACE"/>
    <w:rsid w:val="00744B10"/>
    <w:rsid w:val="00744B8E"/>
    <w:rsid w:val="00745377"/>
    <w:rsid w:val="007454A1"/>
    <w:rsid w:val="0074550D"/>
    <w:rsid w:val="00745B8B"/>
    <w:rsid w:val="007460BB"/>
    <w:rsid w:val="007461F5"/>
    <w:rsid w:val="007464A5"/>
    <w:rsid w:val="007467A1"/>
    <w:rsid w:val="007467A8"/>
    <w:rsid w:val="007468F6"/>
    <w:rsid w:val="00746A4B"/>
    <w:rsid w:val="00746C18"/>
    <w:rsid w:val="00746C6C"/>
    <w:rsid w:val="00746DBC"/>
    <w:rsid w:val="00746E43"/>
    <w:rsid w:val="00747148"/>
    <w:rsid w:val="007478AC"/>
    <w:rsid w:val="00747DE4"/>
    <w:rsid w:val="00747E28"/>
    <w:rsid w:val="00747F9B"/>
    <w:rsid w:val="00750023"/>
    <w:rsid w:val="0075028E"/>
    <w:rsid w:val="00750A9F"/>
    <w:rsid w:val="00750B06"/>
    <w:rsid w:val="00750BBE"/>
    <w:rsid w:val="007512B0"/>
    <w:rsid w:val="00751688"/>
    <w:rsid w:val="0075169B"/>
    <w:rsid w:val="00751718"/>
    <w:rsid w:val="0075194F"/>
    <w:rsid w:val="00751AEE"/>
    <w:rsid w:val="00752023"/>
    <w:rsid w:val="0075205B"/>
    <w:rsid w:val="007522EB"/>
    <w:rsid w:val="00752BBF"/>
    <w:rsid w:val="00752D45"/>
    <w:rsid w:val="0075319C"/>
    <w:rsid w:val="00753501"/>
    <w:rsid w:val="007535BB"/>
    <w:rsid w:val="00753958"/>
    <w:rsid w:val="00753B91"/>
    <w:rsid w:val="00753D77"/>
    <w:rsid w:val="00754407"/>
    <w:rsid w:val="0075442E"/>
    <w:rsid w:val="007545ED"/>
    <w:rsid w:val="00754A32"/>
    <w:rsid w:val="00754A9E"/>
    <w:rsid w:val="00754D6C"/>
    <w:rsid w:val="00754FA2"/>
    <w:rsid w:val="007551B4"/>
    <w:rsid w:val="00755232"/>
    <w:rsid w:val="007553AE"/>
    <w:rsid w:val="007555E4"/>
    <w:rsid w:val="007555F5"/>
    <w:rsid w:val="007559CB"/>
    <w:rsid w:val="007559DF"/>
    <w:rsid w:val="00755C78"/>
    <w:rsid w:val="00755CB5"/>
    <w:rsid w:val="00755CFC"/>
    <w:rsid w:val="00755EEC"/>
    <w:rsid w:val="00756124"/>
    <w:rsid w:val="00756277"/>
    <w:rsid w:val="007564CB"/>
    <w:rsid w:val="00756704"/>
    <w:rsid w:val="00756940"/>
    <w:rsid w:val="00756946"/>
    <w:rsid w:val="00756971"/>
    <w:rsid w:val="007569CA"/>
    <w:rsid w:val="00756A24"/>
    <w:rsid w:val="00756BE4"/>
    <w:rsid w:val="00756C31"/>
    <w:rsid w:val="007570B7"/>
    <w:rsid w:val="0075737B"/>
    <w:rsid w:val="0075779C"/>
    <w:rsid w:val="00757956"/>
    <w:rsid w:val="007579BC"/>
    <w:rsid w:val="00757CD8"/>
    <w:rsid w:val="00757CE6"/>
    <w:rsid w:val="00757D49"/>
    <w:rsid w:val="007600F5"/>
    <w:rsid w:val="00760973"/>
    <w:rsid w:val="00760D10"/>
    <w:rsid w:val="00760E6E"/>
    <w:rsid w:val="00760F36"/>
    <w:rsid w:val="00760FF8"/>
    <w:rsid w:val="0076123F"/>
    <w:rsid w:val="00761495"/>
    <w:rsid w:val="00761588"/>
    <w:rsid w:val="00761FC7"/>
    <w:rsid w:val="007622D3"/>
    <w:rsid w:val="007624C2"/>
    <w:rsid w:val="0076252F"/>
    <w:rsid w:val="00762673"/>
    <w:rsid w:val="0076288D"/>
    <w:rsid w:val="007629BA"/>
    <w:rsid w:val="00762C44"/>
    <w:rsid w:val="00762D9A"/>
    <w:rsid w:val="00762EE7"/>
    <w:rsid w:val="007631E1"/>
    <w:rsid w:val="007632B2"/>
    <w:rsid w:val="00763424"/>
    <w:rsid w:val="00763538"/>
    <w:rsid w:val="007637B7"/>
    <w:rsid w:val="00763848"/>
    <w:rsid w:val="00763B87"/>
    <w:rsid w:val="00763BF0"/>
    <w:rsid w:val="00763C0D"/>
    <w:rsid w:val="00763E66"/>
    <w:rsid w:val="00764181"/>
    <w:rsid w:val="0076436F"/>
    <w:rsid w:val="007643C7"/>
    <w:rsid w:val="007645BC"/>
    <w:rsid w:val="007646EF"/>
    <w:rsid w:val="007649B6"/>
    <w:rsid w:val="00764A77"/>
    <w:rsid w:val="00764AA7"/>
    <w:rsid w:val="00764B54"/>
    <w:rsid w:val="00764E8E"/>
    <w:rsid w:val="00765170"/>
    <w:rsid w:val="00765534"/>
    <w:rsid w:val="0076556B"/>
    <w:rsid w:val="007659DC"/>
    <w:rsid w:val="00765EEF"/>
    <w:rsid w:val="00765F5D"/>
    <w:rsid w:val="00766227"/>
    <w:rsid w:val="00766328"/>
    <w:rsid w:val="007663DD"/>
    <w:rsid w:val="007665B4"/>
    <w:rsid w:val="0076661C"/>
    <w:rsid w:val="00766665"/>
    <w:rsid w:val="00766702"/>
    <w:rsid w:val="00766BE0"/>
    <w:rsid w:val="00766D9D"/>
    <w:rsid w:val="00766F40"/>
    <w:rsid w:val="007671A8"/>
    <w:rsid w:val="007674D2"/>
    <w:rsid w:val="0076778F"/>
    <w:rsid w:val="00767945"/>
    <w:rsid w:val="00770163"/>
    <w:rsid w:val="00770318"/>
    <w:rsid w:val="00770534"/>
    <w:rsid w:val="0077073D"/>
    <w:rsid w:val="00770A61"/>
    <w:rsid w:val="00770B0F"/>
    <w:rsid w:val="007714D9"/>
    <w:rsid w:val="00771745"/>
    <w:rsid w:val="00771951"/>
    <w:rsid w:val="00771AAD"/>
    <w:rsid w:val="00771B3E"/>
    <w:rsid w:val="00771CD4"/>
    <w:rsid w:val="00771FA2"/>
    <w:rsid w:val="007720FB"/>
    <w:rsid w:val="00772289"/>
    <w:rsid w:val="007724C6"/>
    <w:rsid w:val="00772597"/>
    <w:rsid w:val="00772D63"/>
    <w:rsid w:val="00772EB6"/>
    <w:rsid w:val="00773642"/>
    <w:rsid w:val="00773770"/>
    <w:rsid w:val="00773803"/>
    <w:rsid w:val="007738C2"/>
    <w:rsid w:val="00773A18"/>
    <w:rsid w:val="00773F6B"/>
    <w:rsid w:val="00773F6E"/>
    <w:rsid w:val="007743C2"/>
    <w:rsid w:val="0077445B"/>
    <w:rsid w:val="007744A1"/>
    <w:rsid w:val="0077498A"/>
    <w:rsid w:val="00774D44"/>
    <w:rsid w:val="00774DC2"/>
    <w:rsid w:val="00774ECB"/>
    <w:rsid w:val="00775065"/>
    <w:rsid w:val="007751C4"/>
    <w:rsid w:val="0077556C"/>
    <w:rsid w:val="007757EF"/>
    <w:rsid w:val="007757F5"/>
    <w:rsid w:val="00775D7A"/>
    <w:rsid w:val="00775DA5"/>
    <w:rsid w:val="00775DB1"/>
    <w:rsid w:val="00775EBB"/>
    <w:rsid w:val="0077619E"/>
    <w:rsid w:val="00776272"/>
    <w:rsid w:val="0077647B"/>
    <w:rsid w:val="007764FD"/>
    <w:rsid w:val="007765B9"/>
    <w:rsid w:val="0077665F"/>
    <w:rsid w:val="00776744"/>
    <w:rsid w:val="00776EC8"/>
    <w:rsid w:val="00776F9C"/>
    <w:rsid w:val="007770DF"/>
    <w:rsid w:val="007772A8"/>
    <w:rsid w:val="0077740F"/>
    <w:rsid w:val="0077748F"/>
    <w:rsid w:val="0077751D"/>
    <w:rsid w:val="00777601"/>
    <w:rsid w:val="00777A80"/>
    <w:rsid w:val="00777E89"/>
    <w:rsid w:val="00777F5C"/>
    <w:rsid w:val="0078017A"/>
    <w:rsid w:val="00780AFC"/>
    <w:rsid w:val="00780C5E"/>
    <w:rsid w:val="00780D24"/>
    <w:rsid w:val="0078105B"/>
    <w:rsid w:val="00781085"/>
    <w:rsid w:val="007810BD"/>
    <w:rsid w:val="00781151"/>
    <w:rsid w:val="0078130C"/>
    <w:rsid w:val="007813E4"/>
    <w:rsid w:val="007813F3"/>
    <w:rsid w:val="0078153F"/>
    <w:rsid w:val="00781AFB"/>
    <w:rsid w:val="00781BB3"/>
    <w:rsid w:val="0078213D"/>
    <w:rsid w:val="00782153"/>
    <w:rsid w:val="007821E0"/>
    <w:rsid w:val="0078252F"/>
    <w:rsid w:val="0078287E"/>
    <w:rsid w:val="00782904"/>
    <w:rsid w:val="00782906"/>
    <w:rsid w:val="00782B3C"/>
    <w:rsid w:val="00782D87"/>
    <w:rsid w:val="00782EE9"/>
    <w:rsid w:val="00782F91"/>
    <w:rsid w:val="007831A4"/>
    <w:rsid w:val="00783493"/>
    <w:rsid w:val="0078358E"/>
    <w:rsid w:val="00783B1B"/>
    <w:rsid w:val="00783E70"/>
    <w:rsid w:val="007840FE"/>
    <w:rsid w:val="00784130"/>
    <w:rsid w:val="00784371"/>
    <w:rsid w:val="007843BE"/>
    <w:rsid w:val="00784483"/>
    <w:rsid w:val="00784541"/>
    <w:rsid w:val="007845B8"/>
    <w:rsid w:val="00784678"/>
    <w:rsid w:val="00784BB4"/>
    <w:rsid w:val="00784C3D"/>
    <w:rsid w:val="00784E46"/>
    <w:rsid w:val="00785163"/>
    <w:rsid w:val="007852D4"/>
    <w:rsid w:val="007856E7"/>
    <w:rsid w:val="00785F61"/>
    <w:rsid w:val="00785FBE"/>
    <w:rsid w:val="007863AB"/>
    <w:rsid w:val="00786629"/>
    <w:rsid w:val="007868C0"/>
    <w:rsid w:val="00786FBE"/>
    <w:rsid w:val="0078713A"/>
    <w:rsid w:val="00787576"/>
    <w:rsid w:val="007875C6"/>
    <w:rsid w:val="0078768A"/>
    <w:rsid w:val="007876F9"/>
    <w:rsid w:val="00787734"/>
    <w:rsid w:val="00787780"/>
    <w:rsid w:val="00787938"/>
    <w:rsid w:val="0079000B"/>
    <w:rsid w:val="007900CC"/>
    <w:rsid w:val="00790151"/>
    <w:rsid w:val="007901D5"/>
    <w:rsid w:val="00790354"/>
    <w:rsid w:val="0079052E"/>
    <w:rsid w:val="0079078E"/>
    <w:rsid w:val="00790922"/>
    <w:rsid w:val="007909AE"/>
    <w:rsid w:val="00790CB0"/>
    <w:rsid w:val="00790D61"/>
    <w:rsid w:val="00790D96"/>
    <w:rsid w:val="00790F91"/>
    <w:rsid w:val="0079115B"/>
    <w:rsid w:val="0079160D"/>
    <w:rsid w:val="0079160E"/>
    <w:rsid w:val="0079184B"/>
    <w:rsid w:val="0079195A"/>
    <w:rsid w:val="00791B53"/>
    <w:rsid w:val="00791E6D"/>
    <w:rsid w:val="00791F59"/>
    <w:rsid w:val="00791F98"/>
    <w:rsid w:val="007921FC"/>
    <w:rsid w:val="0079249D"/>
    <w:rsid w:val="007927B4"/>
    <w:rsid w:val="00792800"/>
    <w:rsid w:val="00792A44"/>
    <w:rsid w:val="00792D68"/>
    <w:rsid w:val="00793334"/>
    <w:rsid w:val="007935C9"/>
    <w:rsid w:val="00793641"/>
    <w:rsid w:val="007936AE"/>
    <w:rsid w:val="007938F7"/>
    <w:rsid w:val="00793A30"/>
    <w:rsid w:val="00793A7F"/>
    <w:rsid w:val="00793ED4"/>
    <w:rsid w:val="0079420D"/>
    <w:rsid w:val="0079450C"/>
    <w:rsid w:val="007946C9"/>
    <w:rsid w:val="0079478D"/>
    <w:rsid w:val="007948EA"/>
    <w:rsid w:val="007948F1"/>
    <w:rsid w:val="00794E60"/>
    <w:rsid w:val="00794F07"/>
    <w:rsid w:val="00794F0B"/>
    <w:rsid w:val="0079510D"/>
    <w:rsid w:val="0079518E"/>
    <w:rsid w:val="00795255"/>
    <w:rsid w:val="007952BF"/>
    <w:rsid w:val="0079534F"/>
    <w:rsid w:val="00795366"/>
    <w:rsid w:val="00795392"/>
    <w:rsid w:val="00795534"/>
    <w:rsid w:val="0079589B"/>
    <w:rsid w:val="00795942"/>
    <w:rsid w:val="00795E61"/>
    <w:rsid w:val="00795ED5"/>
    <w:rsid w:val="007960B4"/>
    <w:rsid w:val="00796400"/>
    <w:rsid w:val="0079642A"/>
    <w:rsid w:val="00796832"/>
    <w:rsid w:val="007968CB"/>
    <w:rsid w:val="00796B7C"/>
    <w:rsid w:val="00796D43"/>
    <w:rsid w:val="00796DC3"/>
    <w:rsid w:val="00796E87"/>
    <w:rsid w:val="00796FD4"/>
    <w:rsid w:val="0079716E"/>
    <w:rsid w:val="007976FF"/>
    <w:rsid w:val="007978F4"/>
    <w:rsid w:val="00797ACC"/>
    <w:rsid w:val="00797BFE"/>
    <w:rsid w:val="007A0453"/>
    <w:rsid w:val="007A04F2"/>
    <w:rsid w:val="007A0697"/>
    <w:rsid w:val="007A095E"/>
    <w:rsid w:val="007A0F44"/>
    <w:rsid w:val="007A15BA"/>
    <w:rsid w:val="007A15E9"/>
    <w:rsid w:val="007A17BD"/>
    <w:rsid w:val="007A17FE"/>
    <w:rsid w:val="007A1A31"/>
    <w:rsid w:val="007A1B79"/>
    <w:rsid w:val="007A1BCD"/>
    <w:rsid w:val="007A1D0A"/>
    <w:rsid w:val="007A1D6E"/>
    <w:rsid w:val="007A2189"/>
    <w:rsid w:val="007A228E"/>
    <w:rsid w:val="007A2391"/>
    <w:rsid w:val="007A23C7"/>
    <w:rsid w:val="007A23E3"/>
    <w:rsid w:val="007A24F7"/>
    <w:rsid w:val="007A2516"/>
    <w:rsid w:val="007A2814"/>
    <w:rsid w:val="007A2DCE"/>
    <w:rsid w:val="007A2F5F"/>
    <w:rsid w:val="007A2FD9"/>
    <w:rsid w:val="007A311C"/>
    <w:rsid w:val="007A32DF"/>
    <w:rsid w:val="007A3311"/>
    <w:rsid w:val="007A3534"/>
    <w:rsid w:val="007A362C"/>
    <w:rsid w:val="007A3913"/>
    <w:rsid w:val="007A3AD5"/>
    <w:rsid w:val="007A3E86"/>
    <w:rsid w:val="007A41D9"/>
    <w:rsid w:val="007A42D3"/>
    <w:rsid w:val="007A44A9"/>
    <w:rsid w:val="007A4959"/>
    <w:rsid w:val="007A4CC2"/>
    <w:rsid w:val="007A4D12"/>
    <w:rsid w:val="007A5153"/>
    <w:rsid w:val="007A5319"/>
    <w:rsid w:val="007A531C"/>
    <w:rsid w:val="007A5613"/>
    <w:rsid w:val="007A5A17"/>
    <w:rsid w:val="007A5BD5"/>
    <w:rsid w:val="007A5D27"/>
    <w:rsid w:val="007A6091"/>
    <w:rsid w:val="007A612F"/>
    <w:rsid w:val="007A66E3"/>
    <w:rsid w:val="007A678C"/>
    <w:rsid w:val="007A6876"/>
    <w:rsid w:val="007A68F0"/>
    <w:rsid w:val="007A6B9E"/>
    <w:rsid w:val="007A6BF5"/>
    <w:rsid w:val="007A6F1B"/>
    <w:rsid w:val="007A7865"/>
    <w:rsid w:val="007A7876"/>
    <w:rsid w:val="007A78BD"/>
    <w:rsid w:val="007A7A10"/>
    <w:rsid w:val="007A7A39"/>
    <w:rsid w:val="007A7B25"/>
    <w:rsid w:val="007A7DBB"/>
    <w:rsid w:val="007A7E05"/>
    <w:rsid w:val="007B002F"/>
    <w:rsid w:val="007B00C7"/>
    <w:rsid w:val="007B025A"/>
    <w:rsid w:val="007B029A"/>
    <w:rsid w:val="007B05B5"/>
    <w:rsid w:val="007B05E9"/>
    <w:rsid w:val="007B0C3E"/>
    <w:rsid w:val="007B0DE4"/>
    <w:rsid w:val="007B0EAA"/>
    <w:rsid w:val="007B0EC6"/>
    <w:rsid w:val="007B1068"/>
    <w:rsid w:val="007B106C"/>
    <w:rsid w:val="007B14B3"/>
    <w:rsid w:val="007B1B10"/>
    <w:rsid w:val="007B1BBF"/>
    <w:rsid w:val="007B21B9"/>
    <w:rsid w:val="007B22E5"/>
    <w:rsid w:val="007B29CE"/>
    <w:rsid w:val="007B2A38"/>
    <w:rsid w:val="007B2B29"/>
    <w:rsid w:val="007B2C19"/>
    <w:rsid w:val="007B2C63"/>
    <w:rsid w:val="007B2E2B"/>
    <w:rsid w:val="007B3022"/>
    <w:rsid w:val="007B3165"/>
    <w:rsid w:val="007B34F3"/>
    <w:rsid w:val="007B35C0"/>
    <w:rsid w:val="007B3732"/>
    <w:rsid w:val="007B389A"/>
    <w:rsid w:val="007B3F89"/>
    <w:rsid w:val="007B418B"/>
    <w:rsid w:val="007B4321"/>
    <w:rsid w:val="007B43BC"/>
    <w:rsid w:val="007B490A"/>
    <w:rsid w:val="007B4A09"/>
    <w:rsid w:val="007B4A39"/>
    <w:rsid w:val="007B4C21"/>
    <w:rsid w:val="007B4C5C"/>
    <w:rsid w:val="007B4DEB"/>
    <w:rsid w:val="007B4E2F"/>
    <w:rsid w:val="007B5051"/>
    <w:rsid w:val="007B5378"/>
    <w:rsid w:val="007B549E"/>
    <w:rsid w:val="007B586D"/>
    <w:rsid w:val="007B5A9B"/>
    <w:rsid w:val="007B5D48"/>
    <w:rsid w:val="007B5E72"/>
    <w:rsid w:val="007B5F3E"/>
    <w:rsid w:val="007B623A"/>
    <w:rsid w:val="007B6604"/>
    <w:rsid w:val="007B6790"/>
    <w:rsid w:val="007B6A30"/>
    <w:rsid w:val="007B6A82"/>
    <w:rsid w:val="007B6BE6"/>
    <w:rsid w:val="007B6EE9"/>
    <w:rsid w:val="007B6F5E"/>
    <w:rsid w:val="007B7013"/>
    <w:rsid w:val="007B721D"/>
    <w:rsid w:val="007B733E"/>
    <w:rsid w:val="007B77AF"/>
    <w:rsid w:val="007B7884"/>
    <w:rsid w:val="007B7D5B"/>
    <w:rsid w:val="007B7D70"/>
    <w:rsid w:val="007B7DA1"/>
    <w:rsid w:val="007B7DC0"/>
    <w:rsid w:val="007B7DE9"/>
    <w:rsid w:val="007C020F"/>
    <w:rsid w:val="007C0591"/>
    <w:rsid w:val="007C07AF"/>
    <w:rsid w:val="007C09D7"/>
    <w:rsid w:val="007C09E6"/>
    <w:rsid w:val="007C0A39"/>
    <w:rsid w:val="007C0A83"/>
    <w:rsid w:val="007C0E24"/>
    <w:rsid w:val="007C0F36"/>
    <w:rsid w:val="007C118A"/>
    <w:rsid w:val="007C14C5"/>
    <w:rsid w:val="007C165C"/>
    <w:rsid w:val="007C1B6F"/>
    <w:rsid w:val="007C21DD"/>
    <w:rsid w:val="007C28D4"/>
    <w:rsid w:val="007C2CD9"/>
    <w:rsid w:val="007C300D"/>
    <w:rsid w:val="007C32EC"/>
    <w:rsid w:val="007C333D"/>
    <w:rsid w:val="007C3444"/>
    <w:rsid w:val="007C4111"/>
    <w:rsid w:val="007C42B8"/>
    <w:rsid w:val="007C43B8"/>
    <w:rsid w:val="007C45E5"/>
    <w:rsid w:val="007C4618"/>
    <w:rsid w:val="007C4707"/>
    <w:rsid w:val="007C4F60"/>
    <w:rsid w:val="007C5091"/>
    <w:rsid w:val="007C52DC"/>
    <w:rsid w:val="007C535B"/>
    <w:rsid w:val="007C5462"/>
    <w:rsid w:val="007C56B7"/>
    <w:rsid w:val="007C5AAB"/>
    <w:rsid w:val="007C5EBF"/>
    <w:rsid w:val="007C61B7"/>
    <w:rsid w:val="007C63A9"/>
    <w:rsid w:val="007C6C29"/>
    <w:rsid w:val="007C6E4B"/>
    <w:rsid w:val="007C6FAC"/>
    <w:rsid w:val="007C6FD0"/>
    <w:rsid w:val="007C706A"/>
    <w:rsid w:val="007C71DF"/>
    <w:rsid w:val="007C7300"/>
    <w:rsid w:val="007C744A"/>
    <w:rsid w:val="007C7832"/>
    <w:rsid w:val="007C7C38"/>
    <w:rsid w:val="007C7CE1"/>
    <w:rsid w:val="007C7F61"/>
    <w:rsid w:val="007D0040"/>
    <w:rsid w:val="007D0057"/>
    <w:rsid w:val="007D00D2"/>
    <w:rsid w:val="007D02CF"/>
    <w:rsid w:val="007D057E"/>
    <w:rsid w:val="007D07D6"/>
    <w:rsid w:val="007D0974"/>
    <w:rsid w:val="007D09EB"/>
    <w:rsid w:val="007D0C5C"/>
    <w:rsid w:val="007D0CC6"/>
    <w:rsid w:val="007D0D01"/>
    <w:rsid w:val="007D1B30"/>
    <w:rsid w:val="007D1BBE"/>
    <w:rsid w:val="007D1DBC"/>
    <w:rsid w:val="007D1E42"/>
    <w:rsid w:val="007D20BC"/>
    <w:rsid w:val="007D21CC"/>
    <w:rsid w:val="007D245D"/>
    <w:rsid w:val="007D2614"/>
    <w:rsid w:val="007D2816"/>
    <w:rsid w:val="007D2988"/>
    <w:rsid w:val="007D2CBB"/>
    <w:rsid w:val="007D319C"/>
    <w:rsid w:val="007D324F"/>
    <w:rsid w:val="007D33BC"/>
    <w:rsid w:val="007D344A"/>
    <w:rsid w:val="007D34E9"/>
    <w:rsid w:val="007D3573"/>
    <w:rsid w:val="007D3816"/>
    <w:rsid w:val="007D3D33"/>
    <w:rsid w:val="007D3DE4"/>
    <w:rsid w:val="007D3DEF"/>
    <w:rsid w:val="007D45DA"/>
    <w:rsid w:val="007D472C"/>
    <w:rsid w:val="007D47AC"/>
    <w:rsid w:val="007D497A"/>
    <w:rsid w:val="007D4A6F"/>
    <w:rsid w:val="007D4C4E"/>
    <w:rsid w:val="007D4DA1"/>
    <w:rsid w:val="007D4DAB"/>
    <w:rsid w:val="007D4EAC"/>
    <w:rsid w:val="007D4EB5"/>
    <w:rsid w:val="007D51EC"/>
    <w:rsid w:val="007D52B6"/>
    <w:rsid w:val="007D53DA"/>
    <w:rsid w:val="007D541F"/>
    <w:rsid w:val="007D5425"/>
    <w:rsid w:val="007D547F"/>
    <w:rsid w:val="007D57F1"/>
    <w:rsid w:val="007D5818"/>
    <w:rsid w:val="007D5834"/>
    <w:rsid w:val="007D5AE0"/>
    <w:rsid w:val="007D5C41"/>
    <w:rsid w:val="007D5E59"/>
    <w:rsid w:val="007D61E4"/>
    <w:rsid w:val="007D62FD"/>
    <w:rsid w:val="007D6371"/>
    <w:rsid w:val="007D63B9"/>
    <w:rsid w:val="007D64CB"/>
    <w:rsid w:val="007D64DE"/>
    <w:rsid w:val="007D6586"/>
    <w:rsid w:val="007D66CB"/>
    <w:rsid w:val="007D6B87"/>
    <w:rsid w:val="007D6BFC"/>
    <w:rsid w:val="007D6D7C"/>
    <w:rsid w:val="007D6F21"/>
    <w:rsid w:val="007D6F44"/>
    <w:rsid w:val="007D7199"/>
    <w:rsid w:val="007D72F6"/>
    <w:rsid w:val="007D745E"/>
    <w:rsid w:val="007D7491"/>
    <w:rsid w:val="007D7EA4"/>
    <w:rsid w:val="007E0077"/>
    <w:rsid w:val="007E026F"/>
    <w:rsid w:val="007E02A6"/>
    <w:rsid w:val="007E03DD"/>
    <w:rsid w:val="007E0582"/>
    <w:rsid w:val="007E0585"/>
    <w:rsid w:val="007E08B8"/>
    <w:rsid w:val="007E093A"/>
    <w:rsid w:val="007E0C9D"/>
    <w:rsid w:val="007E0CA7"/>
    <w:rsid w:val="007E132D"/>
    <w:rsid w:val="007E1421"/>
    <w:rsid w:val="007E1620"/>
    <w:rsid w:val="007E1624"/>
    <w:rsid w:val="007E1699"/>
    <w:rsid w:val="007E1705"/>
    <w:rsid w:val="007E171C"/>
    <w:rsid w:val="007E1A78"/>
    <w:rsid w:val="007E1C41"/>
    <w:rsid w:val="007E1CB0"/>
    <w:rsid w:val="007E1F89"/>
    <w:rsid w:val="007E207F"/>
    <w:rsid w:val="007E2116"/>
    <w:rsid w:val="007E214E"/>
    <w:rsid w:val="007E2794"/>
    <w:rsid w:val="007E2917"/>
    <w:rsid w:val="007E2A57"/>
    <w:rsid w:val="007E2C47"/>
    <w:rsid w:val="007E3257"/>
    <w:rsid w:val="007E33AB"/>
    <w:rsid w:val="007E35C0"/>
    <w:rsid w:val="007E39EE"/>
    <w:rsid w:val="007E3A5B"/>
    <w:rsid w:val="007E3A6E"/>
    <w:rsid w:val="007E3E72"/>
    <w:rsid w:val="007E3EC3"/>
    <w:rsid w:val="007E3FB9"/>
    <w:rsid w:val="007E40BA"/>
    <w:rsid w:val="007E421F"/>
    <w:rsid w:val="007E43A7"/>
    <w:rsid w:val="007E4516"/>
    <w:rsid w:val="007E45D8"/>
    <w:rsid w:val="007E473D"/>
    <w:rsid w:val="007E4EDF"/>
    <w:rsid w:val="007E5169"/>
    <w:rsid w:val="007E54E6"/>
    <w:rsid w:val="007E57A2"/>
    <w:rsid w:val="007E58B0"/>
    <w:rsid w:val="007E5A55"/>
    <w:rsid w:val="007E5B1D"/>
    <w:rsid w:val="007E5C35"/>
    <w:rsid w:val="007E5C8D"/>
    <w:rsid w:val="007E5E18"/>
    <w:rsid w:val="007E64D8"/>
    <w:rsid w:val="007E6725"/>
    <w:rsid w:val="007E692F"/>
    <w:rsid w:val="007E6A85"/>
    <w:rsid w:val="007E6B51"/>
    <w:rsid w:val="007E6BF6"/>
    <w:rsid w:val="007E6C76"/>
    <w:rsid w:val="007E6E58"/>
    <w:rsid w:val="007E7026"/>
    <w:rsid w:val="007E72B4"/>
    <w:rsid w:val="007E7529"/>
    <w:rsid w:val="007E765B"/>
    <w:rsid w:val="007E7B00"/>
    <w:rsid w:val="007E7B78"/>
    <w:rsid w:val="007E7BA6"/>
    <w:rsid w:val="007E7C1C"/>
    <w:rsid w:val="007E7D6D"/>
    <w:rsid w:val="007F0107"/>
    <w:rsid w:val="007F0309"/>
    <w:rsid w:val="007F033C"/>
    <w:rsid w:val="007F0640"/>
    <w:rsid w:val="007F064D"/>
    <w:rsid w:val="007F0BFC"/>
    <w:rsid w:val="007F0ED2"/>
    <w:rsid w:val="007F0EEE"/>
    <w:rsid w:val="007F0F6A"/>
    <w:rsid w:val="007F162D"/>
    <w:rsid w:val="007F1635"/>
    <w:rsid w:val="007F1C02"/>
    <w:rsid w:val="007F1CFE"/>
    <w:rsid w:val="007F1DBE"/>
    <w:rsid w:val="007F216E"/>
    <w:rsid w:val="007F22AF"/>
    <w:rsid w:val="007F2A7C"/>
    <w:rsid w:val="007F2BAE"/>
    <w:rsid w:val="007F2F5C"/>
    <w:rsid w:val="007F2FB4"/>
    <w:rsid w:val="007F2FE8"/>
    <w:rsid w:val="007F30F3"/>
    <w:rsid w:val="007F314D"/>
    <w:rsid w:val="007F34DD"/>
    <w:rsid w:val="007F365A"/>
    <w:rsid w:val="007F380B"/>
    <w:rsid w:val="007F39AB"/>
    <w:rsid w:val="007F3A43"/>
    <w:rsid w:val="007F3B96"/>
    <w:rsid w:val="007F3DD5"/>
    <w:rsid w:val="007F4369"/>
    <w:rsid w:val="007F4526"/>
    <w:rsid w:val="007F452E"/>
    <w:rsid w:val="007F46C5"/>
    <w:rsid w:val="007F46D9"/>
    <w:rsid w:val="007F49C6"/>
    <w:rsid w:val="007F4B61"/>
    <w:rsid w:val="007F4B85"/>
    <w:rsid w:val="007F4BA5"/>
    <w:rsid w:val="007F4BE3"/>
    <w:rsid w:val="007F4CB8"/>
    <w:rsid w:val="007F5457"/>
    <w:rsid w:val="007F55D7"/>
    <w:rsid w:val="007F5767"/>
    <w:rsid w:val="007F59A4"/>
    <w:rsid w:val="007F5ACD"/>
    <w:rsid w:val="007F5BB5"/>
    <w:rsid w:val="007F5C65"/>
    <w:rsid w:val="007F5D62"/>
    <w:rsid w:val="007F6116"/>
    <w:rsid w:val="007F6136"/>
    <w:rsid w:val="007F61A7"/>
    <w:rsid w:val="007F6288"/>
    <w:rsid w:val="007F64F1"/>
    <w:rsid w:val="007F6947"/>
    <w:rsid w:val="007F6D4F"/>
    <w:rsid w:val="007F6D85"/>
    <w:rsid w:val="007F6F5E"/>
    <w:rsid w:val="007F7228"/>
    <w:rsid w:val="007F7598"/>
    <w:rsid w:val="008003B5"/>
    <w:rsid w:val="0080050E"/>
    <w:rsid w:val="0080067E"/>
    <w:rsid w:val="00800874"/>
    <w:rsid w:val="00800CDE"/>
    <w:rsid w:val="00801017"/>
    <w:rsid w:val="00801165"/>
    <w:rsid w:val="008012CF"/>
    <w:rsid w:val="0080145D"/>
    <w:rsid w:val="008016B7"/>
    <w:rsid w:val="008018AD"/>
    <w:rsid w:val="008020F4"/>
    <w:rsid w:val="008020FD"/>
    <w:rsid w:val="00802156"/>
    <w:rsid w:val="00802532"/>
    <w:rsid w:val="00802886"/>
    <w:rsid w:val="008028F7"/>
    <w:rsid w:val="0080293B"/>
    <w:rsid w:val="00802D75"/>
    <w:rsid w:val="00802EF6"/>
    <w:rsid w:val="0080305A"/>
    <w:rsid w:val="008030FC"/>
    <w:rsid w:val="008033BB"/>
    <w:rsid w:val="00803485"/>
    <w:rsid w:val="00803768"/>
    <w:rsid w:val="00803A5A"/>
    <w:rsid w:val="00803A82"/>
    <w:rsid w:val="0080456D"/>
    <w:rsid w:val="00804757"/>
    <w:rsid w:val="008048D5"/>
    <w:rsid w:val="008049DA"/>
    <w:rsid w:val="00804AE1"/>
    <w:rsid w:val="00804E17"/>
    <w:rsid w:val="00804F60"/>
    <w:rsid w:val="00804FD0"/>
    <w:rsid w:val="00805318"/>
    <w:rsid w:val="0080538E"/>
    <w:rsid w:val="00805C55"/>
    <w:rsid w:val="00805EB9"/>
    <w:rsid w:val="00805F9B"/>
    <w:rsid w:val="0080615E"/>
    <w:rsid w:val="00806756"/>
    <w:rsid w:val="00806965"/>
    <w:rsid w:val="0080697E"/>
    <w:rsid w:val="00806E5E"/>
    <w:rsid w:val="008070EB"/>
    <w:rsid w:val="00807127"/>
    <w:rsid w:val="00807227"/>
    <w:rsid w:val="00807380"/>
    <w:rsid w:val="0080739D"/>
    <w:rsid w:val="00807458"/>
    <w:rsid w:val="0080752E"/>
    <w:rsid w:val="00807A50"/>
    <w:rsid w:val="0081006C"/>
    <w:rsid w:val="00810516"/>
    <w:rsid w:val="00810952"/>
    <w:rsid w:val="00810A7F"/>
    <w:rsid w:val="00810AA7"/>
    <w:rsid w:val="00810AA9"/>
    <w:rsid w:val="0081107A"/>
    <w:rsid w:val="00811292"/>
    <w:rsid w:val="00811960"/>
    <w:rsid w:val="00811A12"/>
    <w:rsid w:val="008120B7"/>
    <w:rsid w:val="00812309"/>
    <w:rsid w:val="00812475"/>
    <w:rsid w:val="0081247A"/>
    <w:rsid w:val="008126A4"/>
    <w:rsid w:val="00812742"/>
    <w:rsid w:val="00812C2B"/>
    <w:rsid w:val="00812F8E"/>
    <w:rsid w:val="00813090"/>
    <w:rsid w:val="00813170"/>
    <w:rsid w:val="008132A7"/>
    <w:rsid w:val="008132ED"/>
    <w:rsid w:val="008133BB"/>
    <w:rsid w:val="008133D4"/>
    <w:rsid w:val="00813878"/>
    <w:rsid w:val="008138CE"/>
    <w:rsid w:val="008138EB"/>
    <w:rsid w:val="00813A2E"/>
    <w:rsid w:val="0081452D"/>
    <w:rsid w:val="00814B8E"/>
    <w:rsid w:val="00814CD5"/>
    <w:rsid w:val="00814E2D"/>
    <w:rsid w:val="00814F12"/>
    <w:rsid w:val="00814F6D"/>
    <w:rsid w:val="00815127"/>
    <w:rsid w:val="00815438"/>
    <w:rsid w:val="00815859"/>
    <w:rsid w:val="00815AB1"/>
    <w:rsid w:val="00815D8D"/>
    <w:rsid w:val="00816087"/>
    <w:rsid w:val="008162F5"/>
    <w:rsid w:val="00816D37"/>
    <w:rsid w:val="00816DD1"/>
    <w:rsid w:val="00817446"/>
    <w:rsid w:val="00817737"/>
    <w:rsid w:val="00817C1C"/>
    <w:rsid w:val="00817CF6"/>
    <w:rsid w:val="00817E78"/>
    <w:rsid w:val="00817F34"/>
    <w:rsid w:val="008202B3"/>
    <w:rsid w:val="008202D5"/>
    <w:rsid w:val="00820535"/>
    <w:rsid w:val="00820588"/>
    <w:rsid w:val="0082068E"/>
    <w:rsid w:val="00820A4C"/>
    <w:rsid w:val="00820B1C"/>
    <w:rsid w:val="00820CBD"/>
    <w:rsid w:val="00820E74"/>
    <w:rsid w:val="0082101B"/>
    <w:rsid w:val="00821234"/>
    <w:rsid w:val="0082141B"/>
    <w:rsid w:val="00821502"/>
    <w:rsid w:val="0082163F"/>
    <w:rsid w:val="00821A83"/>
    <w:rsid w:val="00821DB6"/>
    <w:rsid w:val="00821F33"/>
    <w:rsid w:val="00821FF0"/>
    <w:rsid w:val="0082209D"/>
    <w:rsid w:val="008224A4"/>
    <w:rsid w:val="0082263C"/>
    <w:rsid w:val="00822745"/>
    <w:rsid w:val="008227C9"/>
    <w:rsid w:val="00823233"/>
    <w:rsid w:val="00823448"/>
    <w:rsid w:val="00823450"/>
    <w:rsid w:val="00823532"/>
    <w:rsid w:val="008236EA"/>
    <w:rsid w:val="00823760"/>
    <w:rsid w:val="00823844"/>
    <w:rsid w:val="00823871"/>
    <w:rsid w:val="0082394F"/>
    <w:rsid w:val="00823A87"/>
    <w:rsid w:val="00823B04"/>
    <w:rsid w:val="00823B82"/>
    <w:rsid w:val="00823C09"/>
    <w:rsid w:val="00823C25"/>
    <w:rsid w:val="00823CA4"/>
    <w:rsid w:val="00823CF7"/>
    <w:rsid w:val="00824031"/>
    <w:rsid w:val="00824155"/>
    <w:rsid w:val="0082426D"/>
    <w:rsid w:val="008243BA"/>
    <w:rsid w:val="008244A7"/>
    <w:rsid w:val="008245AE"/>
    <w:rsid w:val="0082483A"/>
    <w:rsid w:val="00824DE3"/>
    <w:rsid w:val="00824E66"/>
    <w:rsid w:val="008250EA"/>
    <w:rsid w:val="00825280"/>
    <w:rsid w:val="00825310"/>
    <w:rsid w:val="00825730"/>
    <w:rsid w:val="008259F9"/>
    <w:rsid w:val="00825A7A"/>
    <w:rsid w:val="0082600D"/>
    <w:rsid w:val="00826294"/>
    <w:rsid w:val="00826305"/>
    <w:rsid w:val="0082645C"/>
    <w:rsid w:val="008264A1"/>
    <w:rsid w:val="008264F2"/>
    <w:rsid w:val="008265AE"/>
    <w:rsid w:val="008266C0"/>
    <w:rsid w:val="00826770"/>
    <w:rsid w:val="00826BF3"/>
    <w:rsid w:val="00826E7E"/>
    <w:rsid w:val="00826F18"/>
    <w:rsid w:val="008271C3"/>
    <w:rsid w:val="008271C9"/>
    <w:rsid w:val="008273E3"/>
    <w:rsid w:val="00827416"/>
    <w:rsid w:val="008276DE"/>
    <w:rsid w:val="00827737"/>
    <w:rsid w:val="00827E93"/>
    <w:rsid w:val="008302E8"/>
    <w:rsid w:val="00830527"/>
    <w:rsid w:val="00830654"/>
    <w:rsid w:val="00830659"/>
    <w:rsid w:val="0083065A"/>
    <w:rsid w:val="008307DC"/>
    <w:rsid w:val="00830D4F"/>
    <w:rsid w:val="00830DB1"/>
    <w:rsid w:val="00830EA3"/>
    <w:rsid w:val="00830EB6"/>
    <w:rsid w:val="008310DB"/>
    <w:rsid w:val="008311B8"/>
    <w:rsid w:val="0083160E"/>
    <w:rsid w:val="00831863"/>
    <w:rsid w:val="00831CCF"/>
    <w:rsid w:val="00831D75"/>
    <w:rsid w:val="00831DCE"/>
    <w:rsid w:val="008326C5"/>
    <w:rsid w:val="00832959"/>
    <w:rsid w:val="00832D63"/>
    <w:rsid w:val="0083320F"/>
    <w:rsid w:val="00833225"/>
    <w:rsid w:val="008332B4"/>
    <w:rsid w:val="0083344B"/>
    <w:rsid w:val="008335D4"/>
    <w:rsid w:val="00833679"/>
    <w:rsid w:val="00833CC9"/>
    <w:rsid w:val="00833E2E"/>
    <w:rsid w:val="00834586"/>
    <w:rsid w:val="0083485E"/>
    <w:rsid w:val="008349B4"/>
    <w:rsid w:val="00834A59"/>
    <w:rsid w:val="00834A84"/>
    <w:rsid w:val="00834D0E"/>
    <w:rsid w:val="00834E50"/>
    <w:rsid w:val="0083502A"/>
    <w:rsid w:val="008351DB"/>
    <w:rsid w:val="00835226"/>
    <w:rsid w:val="0083525A"/>
    <w:rsid w:val="008352A8"/>
    <w:rsid w:val="008353F1"/>
    <w:rsid w:val="0083553F"/>
    <w:rsid w:val="0083560D"/>
    <w:rsid w:val="008356B6"/>
    <w:rsid w:val="008359AB"/>
    <w:rsid w:val="00835A5B"/>
    <w:rsid w:val="00835DCC"/>
    <w:rsid w:val="00835E02"/>
    <w:rsid w:val="0083621D"/>
    <w:rsid w:val="00836463"/>
    <w:rsid w:val="0083653A"/>
    <w:rsid w:val="00836697"/>
    <w:rsid w:val="00836704"/>
    <w:rsid w:val="00836766"/>
    <w:rsid w:val="008369C5"/>
    <w:rsid w:val="00836E31"/>
    <w:rsid w:val="00836F2F"/>
    <w:rsid w:val="00837116"/>
    <w:rsid w:val="008371DF"/>
    <w:rsid w:val="00837560"/>
    <w:rsid w:val="0083766D"/>
    <w:rsid w:val="0083774A"/>
    <w:rsid w:val="00837A3A"/>
    <w:rsid w:val="00840088"/>
    <w:rsid w:val="008400A3"/>
    <w:rsid w:val="00840189"/>
    <w:rsid w:val="00840337"/>
    <w:rsid w:val="008403C8"/>
    <w:rsid w:val="0084089B"/>
    <w:rsid w:val="008408CC"/>
    <w:rsid w:val="008408E9"/>
    <w:rsid w:val="00840956"/>
    <w:rsid w:val="008409BD"/>
    <w:rsid w:val="00840AFD"/>
    <w:rsid w:val="00840B41"/>
    <w:rsid w:val="00840C56"/>
    <w:rsid w:val="00840F94"/>
    <w:rsid w:val="00841127"/>
    <w:rsid w:val="008413B1"/>
    <w:rsid w:val="0084150E"/>
    <w:rsid w:val="00841786"/>
    <w:rsid w:val="0084179C"/>
    <w:rsid w:val="008418EA"/>
    <w:rsid w:val="00841A73"/>
    <w:rsid w:val="00841D0C"/>
    <w:rsid w:val="00841EC1"/>
    <w:rsid w:val="00841F97"/>
    <w:rsid w:val="00841F9A"/>
    <w:rsid w:val="00842060"/>
    <w:rsid w:val="008424D5"/>
    <w:rsid w:val="00842971"/>
    <w:rsid w:val="00842FF4"/>
    <w:rsid w:val="00843442"/>
    <w:rsid w:val="008434C6"/>
    <w:rsid w:val="0084363A"/>
    <w:rsid w:val="00843868"/>
    <w:rsid w:val="00843929"/>
    <w:rsid w:val="0084393A"/>
    <w:rsid w:val="00844330"/>
    <w:rsid w:val="008443DE"/>
    <w:rsid w:val="00844C96"/>
    <w:rsid w:val="00844FB6"/>
    <w:rsid w:val="00845103"/>
    <w:rsid w:val="00845216"/>
    <w:rsid w:val="008453FD"/>
    <w:rsid w:val="00845509"/>
    <w:rsid w:val="008455D9"/>
    <w:rsid w:val="0084571E"/>
    <w:rsid w:val="008457A5"/>
    <w:rsid w:val="008457E1"/>
    <w:rsid w:val="0084581C"/>
    <w:rsid w:val="00845944"/>
    <w:rsid w:val="00845BAF"/>
    <w:rsid w:val="00845FF6"/>
    <w:rsid w:val="0084616E"/>
    <w:rsid w:val="0084623B"/>
    <w:rsid w:val="0084643F"/>
    <w:rsid w:val="00846570"/>
    <w:rsid w:val="00846658"/>
    <w:rsid w:val="00846CF8"/>
    <w:rsid w:val="00846E08"/>
    <w:rsid w:val="00846FCE"/>
    <w:rsid w:val="0084749C"/>
    <w:rsid w:val="00847691"/>
    <w:rsid w:val="00847799"/>
    <w:rsid w:val="008478EE"/>
    <w:rsid w:val="00847A60"/>
    <w:rsid w:val="00847AC1"/>
    <w:rsid w:val="00847B90"/>
    <w:rsid w:val="00847DB0"/>
    <w:rsid w:val="00850223"/>
    <w:rsid w:val="0085023E"/>
    <w:rsid w:val="00850914"/>
    <w:rsid w:val="00850E31"/>
    <w:rsid w:val="00850ECD"/>
    <w:rsid w:val="008514E6"/>
    <w:rsid w:val="008516EF"/>
    <w:rsid w:val="008518DC"/>
    <w:rsid w:val="0085196F"/>
    <w:rsid w:val="00851DB0"/>
    <w:rsid w:val="00851F4E"/>
    <w:rsid w:val="00852107"/>
    <w:rsid w:val="00852161"/>
    <w:rsid w:val="008522E6"/>
    <w:rsid w:val="0085257D"/>
    <w:rsid w:val="008526BC"/>
    <w:rsid w:val="008528E8"/>
    <w:rsid w:val="00852912"/>
    <w:rsid w:val="00852B0D"/>
    <w:rsid w:val="00852BE0"/>
    <w:rsid w:val="0085344F"/>
    <w:rsid w:val="008537AD"/>
    <w:rsid w:val="008537D7"/>
    <w:rsid w:val="008538BF"/>
    <w:rsid w:val="00853B65"/>
    <w:rsid w:val="00853B6F"/>
    <w:rsid w:val="00853B84"/>
    <w:rsid w:val="00853DCF"/>
    <w:rsid w:val="008542E9"/>
    <w:rsid w:val="008542F0"/>
    <w:rsid w:val="00854318"/>
    <w:rsid w:val="00854351"/>
    <w:rsid w:val="0085439D"/>
    <w:rsid w:val="008544DD"/>
    <w:rsid w:val="008545E1"/>
    <w:rsid w:val="00854CBB"/>
    <w:rsid w:val="00854EEC"/>
    <w:rsid w:val="00855A95"/>
    <w:rsid w:val="00855D38"/>
    <w:rsid w:val="00855DC7"/>
    <w:rsid w:val="00855FC7"/>
    <w:rsid w:val="008560EA"/>
    <w:rsid w:val="00856132"/>
    <w:rsid w:val="0085616F"/>
    <w:rsid w:val="008562AF"/>
    <w:rsid w:val="008562F7"/>
    <w:rsid w:val="0085649C"/>
    <w:rsid w:val="008568ED"/>
    <w:rsid w:val="00856ACF"/>
    <w:rsid w:val="00856E19"/>
    <w:rsid w:val="00856F36"/>
    <w:rsid w:val="008571A2"/>
    <w:rsid w:val="00857330"/>
    <w:rsid w:val="0085742C"/>
    <w:rsid w:val="00857713"/>
    <w:rsid w:val="008577C0"/>
    <w:rsid w:val="00857BA5"/>
    <w:rsid w:val="00860676"/>
    <w:rsid w:val="008606BD"/>
    <w:rsid w:val="008607E2"/>
    <w:rsid w:val="00860C78"/>
    <w:rsid w:val="0086105E"/>
    <w:rsid w:val="0086110A"/>
    <w:rsid w:val="0086110B"/>
    <w:rsid w:val="00861349"/>
    <w:rsid w:val="0086139D"/>
    <w:rsid w:val="008617EA"/>
    <w:rsid w:val="00861887"/>
    <w:rsid w:val="008619A3"/>
    <w:rsid w:val="00861D89"/>
    <w:rsid w:val="008620DF"/>
    <w:rsid w:val="00862211"/>
    <w:rsid w:val="00862517"/>
    <w:rsid w:val="00863183"/>
    <w:rsid w:val="008632AB"/>
    <w:rsid w:val="008635FD"/>
    <w:rsid w:val="00863AEA"/>
    <w:rsid w:val="00863C62"/>
    <w:rsid w:val="00863E51"/>
    <w:rsid w:val="00864035"/>
    <w:rsid w:val="0086412E"/>
    <w:rsid w:val="008641C1"/>
    <w:rsid w:val="0086451F"/>
    <w:rsid w:val="00864651"/>
    <w:rsid w:val="0086466C"/>
    <w:rsid w:val="00864912"/>
    <w:rsid w:val="008649F7"/>
    <w:rsid w:val="00864B7F"/>
    <w:rsid w:val="00864F48"/>
    <w:rsid w:val="0086502F"/>
    <w:rsid w:val="00865226"/>
    <w:rsid w:val="0086530D"/>
    <w:rsid w:val="008656CC"/>
    <w:rsid w:val="00865865"/>
    <w:rsid w:val="00865C83"/>
    <w:rsid w:val="00865F2B"/>
    <w:rsid w:val="00865F50"/>
    <w:rsid w:val="00866112"/>
    <w:rsid w:val="0086658B"/>
    <w:rsid w:val="008665A7"/>
    <w:rsid w:val="008665AE"/>
    <w:rsid w:val="00866649"/>
    <w:rsid w:val="008666DE"/>
    <w:rsid w:val="008667A8"/>
    <w:rsid w:val="00866978"/>
    <w:rsid w:val="008669EC"/>
    <w:rsid w:val="00866BD0"/>
    <w:rsid w:val="00866E4A"/>
    <w:rsid w:val="00866E63"/>
    <w:rsid w:val="00867022"/>
    <w:rsid w:val="00867161"/>
    <w:rsid w:val="008671EB"/>
    <w:rsid w:val="0086727C"/>
    <w:rsid w:val="00867438"/>
    <w:rsid w:val="0086751B"/>
    <w:rsid w:val="008677FE"/>
    <w:rsid w:val="00867B9C"/>
    <w:rsid w:val="00867CF2"/>
    <w:rsid w:val="00867E4D"/>
    <w:rsid w:val="00870680"/>
    <w:rsid w:val="00870BB4"/>
    <w:rsid w:val="00870BE9"/>
    <w:rsid w:val="00870CF1"/>
    <w:rsid w:val="00870D1C"/>
    <w:rsid w:val="0087104C"/>
    <w:rsid w:val="008711CA"/>
    <w:rsid w:val="008713AC"/>
    <w:rsid w:val="008715DD"/>
    <w:rsid w:val="00871AF4"/>
    <w:rsid w:val="00871B89"/>
    <w:rsid w:val="00871C8D"/>
    <w:rsid w:val="00872049"/>
    <w:rsid w:val="0087243F"/>
    <w:rsid w:val="008724E4"/>
    <w:rsid w:val="008726D4"/>
    <w:rsid w:val="008728F6"/>
    <w:rsid w:val="00872D82"/>
    <w:rsid w:val="00872DAC"/>
    <w:rsid w:val="00872F45"/>
    <w:rsid w:val="0087305D"/>
    <w:rsid w:val="008730E9"/>
    <w:rsid w:val="008735C9"/>
    <w:rsid w:val="008736B6"/>
    <w:rsid w:val="008739C3"/>
    <w:rsid w:val="00873CAF"/>
    <w:rsid w:val="00873ECB"/>
    <w:rsid w:val="00874074"/>
    <w:rsid w:val="008742F1"/>
    <w:rsid w:val="00874362"/>
    <w:rsid w:val="00874473"/>
    <w:rsid w:val="008748BE"/>
    <w:rsid w:val="00874BE2"/>
    <w:rsid w:val="00874C86"/>
    <w:rsid w:val="00874D9E"/>
    <w:rsid w:val="00874E9A"/>
    <w:rsid w:val="00875053"/>
    <w:rsid w:val="00875788"/>
    <w:rsid w:val="00875E06"/>
    <w:rsid w:val="00876023"/>
    <w:rsid w:val="00876305"/>
    <w:rsid w:val="0087676D"/>
    <w:rsid w:val="00876A57"/>
    <w:rsid w:val="00876FCA"/>
    <w:rsid w:val="00876FE8"/>
    <w:rsid w:val="008773A5"/>
    <w:rsid w:val="008773C9"/>
    <w:rsid w:val="0087751C"/>
    <w:rsid w:val="0087755E"/>
    <w:rsid w:val="008777F2"/>
    <w:rsid w:val="00877948"/>
    <w:rsid w:val="008779B4"/>
    <w:rsid w:val="00877A85"/>
    <w:rsid w:val="00877D87"/>
    <w:rsid w:val="00877DC5"/>
    <w:rsid w:val="00877F24"/>
    <w:rsid w:val="008803DE"/>
    <w:rsid w:val="008804F9"/>
    <w:rsid w:val="00880520"/>
    <w:rsid w:val="0088057A"/>
    <w:rsid w:val="00880783"/>
    <w:rsid w:val="00880A76"/>
    <w:rsid w:val="00880AAE"/>
    <w:rsid w:val="00880BAE"/>
    <w:rsid w:val="00880D01"/>
    <w:rsid w:val="00880DD3"/>
    <w:rsid w:val="00880DE7"/>
    <w:rsid w:val="00880F4B"/>
    <w:rsid w:val="0088102C"/>
    <w:rsid w:val="008815A3"/>
    <w:rsid w:val="008816D3"/>
    <w:rsid w:val="0088173A"/>
    <w:rsid w:val="008817FF"/>
    <w:rsid w:val="00881829"/>
    <w:rsid w:val="00881BDB"/>
    <w:rsid w:val="0088242F"/>
    <w:rsid w:val="008829BC"/>
    <w:rsid w:val="00882D74"/>
    <w:rsid w:val="00882D97"/>
    <w:rsid w:val="00882D9E"/>
    <w:rsid w:val="00882E41"/>
    <w:rsid w:val="00882FAD"/>
    <w:rsid w:val="00882FD9"/>
    <w:rsid w:val="0088305A"/>
    <w:rsid w:val="00883077"/>
    <w:rsid w:val="00883121"/>
    <w:rsid w:val="00883215"/>
    <w:rsid w:val="008832FA"/>
    <w:rsid w:val="0088344D"/>
    <w:rsid w:val="00883564"/>
    <w:rsid w:val="0088393F"/>
    <w:rsid w:val="00883AC3"/>
    <w:rsid w:val="00883B8F"/>
    <w:rsid w:val="00883C07"/>
    <w:rsid w:val="00883D9A"/>
    <w:rsid w:val="0088421D"/>
    <w:rsid w:val="00884243"/>
    <w:rsid w:val="0088429A"/>
    <w:rsid w:val="0088439C"/>
    <w:rsid w:val="0088487E"/>
    <w:rsid w:val="00884A08"/>
    <w:rsid w:val="00885250"/>
    <w:rsid w:val="00885AC9"/>
    <w:rsid w:val="00885C6D"/>
    <w:rsid w:val="008867F8"/>
    <w:rsid w:val="008869C8"/>
    <w:rsid w:val="00886EA6"/>
    <w:rsid w:val="00887224"/>
    <w:rsid w:val="008872CD"/>
    <w:rsid w:val="00887781"/>
    <w:rsid w:val="00887D26"/>
    <w:rsid w:val="00887E96"/>
    <w:rsid w:val="00890180"/>
    <w:rsid w:val="008902AB"/>
    <w:rsid w:val="00890345"/>
    <w:rsid w:val="00890627"/>
    <w:rsid w:val="00890B61"/>
    <w:rsid w:val="00890C6E"/>
    <w:rsid w:val="00890EF6"/>
    <w:rsid w:val="008912E7"/>
    <w:rsid w:val="008913B8"/>
    <w:rsid w:val="008914FB"/>
    <w:rsid w:val="0089154A"/>
    <w:rsid w:val="008917E4"/>
    <w:rsid w:val="008917E9"/>
    <w:rsid w:val="00891860"/>
    <w:rsid w:val="0089193A"/>
    <w:rsid w:val="00891BA2"/>
    <w:rsid w:val="00891BCD"/>
    <w:rsid w:val="00891F11"/>
    <w:rsid w:val="0089200F"/>
    <w:rsid w:val="008923CC"/>
    <w:rsid w:val="0089245B"/>
    <w:rsid w:val="0089247F"/>
    <w:rsid w:val="00892520"/>
    <w:rsid w:val="00892664"/>
    <w:rsid w:val="00892733"/>
    <w:rsid w:val="00892AF8"/>
    <w:rsid w:val="00892C8B"/>
    <w:rsid w:val="00892E33"/>
    <w:rsid w:val="00892EE6"/>
    <w:rsid w:val="00892F12"/>
    <w:rsid w:val="00892FA6"/>
    <w:rsid w:val="00893248"/>
    <w:rsid w:val="008933F7"/>
    <w:rsid w:val="00893B22"/>
    <w:rsid w:val="00893F99"/>
    <w:rsid w:val="00894082"/>
    <w:rsid w:val="0089502D"/>
    <w:rsid w:val="0089510B"/>
    <w:rsid w:val="00895154"/>
    <w:rsid w:val="008952A6"/>
    <w:rsid w:val="008953E2"/>
    <w:rsid w:val="008954FE"/>
    <w:rsid w:val="00895774"/>
    <w:rsid w:val="008958BB"/>
    <w:rsid w:val="00895B9D"/>
    <w:rsid w:val="00895CA7"/>
    <w:rsid w:val="00895FA9"/>
    <w:rsid w:val="00895FC9"/>
    <w:rsid w:val="008962A7"/>
    <w:rsid w:val="00896D42"/>
    <w:rsid w:val="00896FD1"/>
    <w:rsid w:val="0089717B"/>
    <w:rsid w:val="008971E9"/>
    <w:rsid w:val="0089744B"/>
    <w:rsid w:val="008975B1"/>
    <w:rsid w:val="008978EC"/>
    <w:rsid w:val="00897DF3"/>
    <w:rsid w:val="00897E0B"/>
    <w:rsid w:val="008A01F1"/>
    <w:rsid w:val="008A024C"/>
    <w:rsid w:val="008A04A4"/>
    <w:rsid w:val="008A04F8"/>
    <w:rsid w:val="008A0552"/>
    <w:rsid w:val="008A05BA"/>
    <w:rsid w:val="008A0769"/>
    <w:rsid w:val="008A0929"/>
    <w:rsid w:val="008A0A37"/>
    <w:rsid w:val="008A0CD9"/>
    <w:rsid w:val="008A0E47"/>
    <w:rsid w:val="008A10D1"/>
    <w:rsid w:val="008A1234"/>
    <w:rsid w:val="008A13B2"/>
    <w:rsid w:val="008A142D"/>
    <w:rsid w:val="008A1496"/>
    <w:rsid w:val="008A14C1"/>
    <w:rsid w:val="008A15D3"/>
    <w:rsid w:val="008A1626"/>
    <w:rsid w:val="008A179F"/>
    <w:rsid w:val="008A1937"/>
    <w:rsid w:val="008A1BDA"/>
    <w:rsid w:val="008A20A3"/>
    <w:rsid w:val="008A2253"/>
    <w:rsid w:val="008A23D2"/>
    <w:rsid w:val="008A2494"/>
    <w:rsid w:val="008A24AB"/>
    <w:rsid w:val="008A252C"/>
    <w:rsid w:val="008A2973"/>
    <w:rsid w:val="008A29DB"/>
    <w:rsid w:val="008A2B11"/>
    <w:rsid w:val="008A2CD1"/>
    <w:rsid w:val="008A2D53"/>
    <w:rsid w:val="008A3139"/>
    <w:rsid w:val="008A323F"/>
    <w:rsid w:val="008A338B"/>
    <w:rsid w:val="008A3945"/>
    <w:rsid w:val="008A3C68"/>
    <w:rsid w:val="008A3DF6"/>
    <w:rsid w:val="008A3E34"/>
    <w:rsid w:val="008A4109"/>
    <w:rsid w:val="008A42FB"/>
    <w:rsid w:val="008A479D"/>
    <w:rsid w:val="008A47BD"/>
    <w:rsid w:val="008A4A28"/>
    <w:rsid w:val="008A4C9F"/>
    <w:rsid w:val="008A4EBD"/>
    <w:rsid w:val="008A5086"/>
    <w:rsid w:val="008A50E5"/>
    <w:rsid w:val="008A5661"/>
    <w:rsid w:val="008A57A8"/>
    <w:rsid w:val="008A5810"/>
    <w:rsid w:val="008A582F"/>
    <w:rsid w:val="008A58B5"/>
    <w:rsid w:val="008A5955"/>
    <w:rsid w:val="008A5A1D"/>
    <w:rsid w:val="008A5ACA"/>
    <w:rsid w:val="008A5FA5"/>
    <w:rsid w:val="008A60F7"/>
    <w:rsid w:val="008A614A"/>
    <w:rsid w:val="008A61A7"/>
    <w:rsid w:val="008A62E7"/>
    <w:rsid w:val="008A65A8"/>
    <w:rsid w:val="008A66DA"/>
    <w:rsid w:val="008A671F"/>
    <w:rsid w:val="008A68C5"/>
    <w:rsid w:val="008A6A9B"/>
    <w:rsid w:val="008A6CDE"/>
    <w:rsid w:val="008A6D1B"/>
    <w:rsid w:val="008A6D3A"/>
    <w:rsid w:val="008A6EBC"/>
    <w:rsid w:val="008A746F"/>
    <w:rsid w:val="008A7479"/>
    <w:rsid w:val="008A7701"/>
    <w:rsid w:val="008A7974"/>
    <w:rsid w:val="008A7BF2"/>
    <w:rsid w:val="008A7D12"/>
    <w:rsid w:val="008A7EC9"/>
    <w:rsid w:val="008B01B2"/>
    <w:rsid w:val="008B02BB"/>
    <w:rsid w:val="008B09C2"/>
    <w:rsid w:val="008B0C1C"/>
    <w:rsid w:val="008B0C1E"/>
    <w:rsid w:val="008B0CE1"/>
    <w:rsid w:val="008B0ED4"/>
    <w:rsid w:val="008B0F0A"/>
    <w:rsid w:val="008B11A0"/>
    <w:rsid w:val="008B130A"/>
    <w:rsid w:val="008B14BF"/>
    <w:rsid w:val="008B14E3"/>
    <w:rsid w:val="008B1537"/>
    <w:rsid w:val="008B1596"/>
    <w:rsid w:val="008B1729"/>
    <w:rsid w:val="008B1786"/>
    <w:rsid w:val="008B181E"/>
    <w:rsid w:val="008B18F9"/>
    <w:rsid w:val="008B190A"/>
    <w:rsid w:val="008B226D"/>
    <w:rsid w:val="008B2305"/>
    <w:rsid w:val="008B23BC"/>
    <w:rsid w:val="008B25FA"/>
    <w:rsid w:val="008B28C4"/>
    <w:rsid w:val="008B2911"/>
    <w:rsid w:val="008B2943"/>
    <w:rsid w:val="008B2A89"/>
    <w:rsid w:val="008B2B98"/>
    <w:rsid w:val="008B2D1E"/>
    <w:rsid w:val="008B3081"/>
    <w:rsid w:val="008B3268"/>
    <w:rsid w:val="008B32C1"/>
    <w:rsid w:val="008B35CF"/>
    <w:rsid w:val="008B369F"/>
    <w:rsid w:val="008B380B"/>
    <w:rsid w:val="008B3B80"/>
    <w:rsid w:val="008B3D42"/>
    <w:rsid w:val="008B3D9F"/>
    <w:rsid w:val="008B41ED"/>
    <w:rsid w:val="008B43E2"/>
    <w:rsid w:val="008B4465"/>
    <w:rsid w:val="008B46E1"/>
    <w:rsid w:val="008B48D1"/>
    <w:rsid w:val="008B49AC"/>
    <w:rsid w:val="008B4C59"/>
    <w:rsid w:val="008B4CA5"/>
    <w:rsid w:val="008B4FEB"/>
    <w:rsid w:val="008B5035"/>
    <w:rsid w:val="008B55C0"/>
    <w:rsid w:val="008B56ED"/>
    <w:rsid w:val="008B5727"/>
    <w:rsid w:val="008B596C"/>
    <w:rsid w:val="008B5C14"/>
    <w:rsid w:val="008B623B"/>
    <w:rsid w:val="008B6418"/>
    <w:rsid w:val="008B659B"/>
    <w:rsid w:val="008B68FC"/>
    <w:rsid w:val="008B6B4F"/>
    <w:rsid w:val="008B6EBE"/>
    <w:rsid w:val="008B6ECA"/>
    <w:rsid w:val="008B70BC"/>
    <w:rsid w:val="008B7159"/>
    <w:rsid w:val="008B719A"/>
    <w:rsid w:val="008B71CF"/>
    <w:rsid w:val="008B7607"/>
    <w:rsid w:val="008B79F3"/>
    <w:rsid w:val="008B7B5A"/>
    <w:rsid w:val="008C023D"/>
    <w:rsid w:val="008C0545"/>
    <w:rsid w:val="008C0862"/>
    <w:rsid w:val="008C08F4"/>
    <w:rsid w:val="008C0968"/>
    <w:rsid w:val="008C0AFB"/>
    <w:rsid w:val="008C0B63"/>
    <w:rsid w:val="008C0D38"/>
    <w:rsid w:val="008C0D57"/>
    <w:rsid w:val="008C0FDC"/>
    <w:rsid w:val="008C11DE"/>
    <w:rsid w:val="008C12C6"/>
    <w:rsid w:val="008C1421"/>
    <w:rsid w:val="008C1882"/>
    <w:rsid w:val="008C1999"/>
    <w:rsid w:val="008C1CDE"/>
    <w:rsid w:val="008C1EA0"/>
    <w:rsid w:val="008C1FCE"/>
    <w:rsid w:val="008C2557"/>
    <w:rsid w:val="008C2892"/>
    <w:rsid w:val="008C2CB6"/>
    <w:rsid w:val="008C2D50"/>
    <w:rsid w:val="008C3222"/>
    <w:rsid w:val="008C36E8"/>
    <w:rsid w:val="008C3792"/>
    <w:rsid w:val="008C3942"/>
    <w:rsid w:val="008C3A79"/>
    <w:rsid w:val="008C3E56"/>
    <w:rsid w:val="008C3E60"/>
    <w:rsid w:val="008C4085"/>
    <w:rsid w:val="008C433B"/>
    <w:rsid w:val="008C4363"/>
    <w:rsid w:val="008C44A0"/>
    <w:rsid w:val="008C44EE"/>
    <w:rsid w:val="008C47BB"/>
    <w:rsid w:val="008C4DEB"/>
    <w:rsid w:val="008C5118"/>
    <w:rsid w:val="008C5192"/>
    <w:rsid w:val="008C5278"/>
    <w:rsid w:val="008C55AA"/>
    <w:rsid w:val="008C5729"/>
    <w:rsid w:val="008C5852"/>
    <w:rsid w:val="008C5A45"/>
    <w:rsid w:val="008C5B80"/>
    <w:rsid w:val="008C5CDE"/>
    <w:rsid w:val="008C5E71"/>
    <w:rsid w:val="008C5FAE"/>
    <w:rsid w:val="008C6464"/>
    <w:rsid w:val="008C6471"/>
    <w:rsid w:val="008C69AF"/>
    <w:rsid w:val="008C6E47"/>
    <w:rsid w:val="008C6E70"/>
    <w:rsid w:val="008C6E8E"/>
    <w:rsid w:val="008C6ED7"/>
    <w:rsid w:val="008C6FB6"/>
    <w:rsid w:val="008C703F"/>
    <w:rsid w:val="008C724C"/>
    <w:rsid w:val="008C731E"/>
    <w:rsid w:val="008C759B"/>
    <w:rsid w:val="008C75B0"/>
    <w:rsid w:val="008C7669"/>
    <w:rsid w:val="008C77A4"/>
    <w:rsid w:val="008C7B73"/>
    <w:rsid w:val="008C7E63"/>
    <w:rsid w:val="008D00BC"/>
    <w:rsid w:val="008D0276"/>
    <w:rsid w:val="008D02F8"/>
    <w:rsid w:val="008D051B"/>
    <w:rsid w:val="008D088A"/>
    <w:rsid w:val="008D09FA"/>
    <w:rsid w:val="008D0AC6"/>
    <w:rsid w:val="008D1062"/>
    <w:rsid w:val="008D1447"/>
    <w:rsid w:val="008D1532"/>
    <w:rsid w:val="008D1539"/>
    <w:rsid w:val="008D1618"/>
    <w:rsid w:val="008D190C"/>
    <w:rsid w:val="008D1A46"/>
    <w:rsid w:val="008D1C16"/>
    <w:rsid w:val="008D1CAB"/>
    <w:rsid w:val="008D1FB7"/>
    <w:rsid w:val="008D1FBF"/>
    <w:rsid w:val="008D216B"/>
    <w:rsid w:val="008D2211"/>
    <w:rsid w:val="008D26B9"/>
    <w:rsid w:val="008D271E"/>
    <w:rsid w:val="008D289F"/>
    <w:rsid w:val="008D2AEB"/>
    <w:rsid w:val="008D2B2C"/>
    <w:rsid w:val="008D2BFC"/>
    <w:rsid w:val="008D2CBB"/>
    <w:rsid w:val="008D2D29"/>
    <w:rsid w:val="008D33B2"/>
    <w:rsid w:val="008D363C"/>
    <w:rsid w:val="008D379C"/>
    <w:rsid w:val="008D39BF"/>
    <w:rsid w:val="008D3B6F"/>
    <w:rsid w:val="008D3C61"/>
    <w:rsid w:val="008D3C88"/>
    <w:rsid w:val="008D3D2F"/>
    <w:rsid w:val="008D4234"/>
    <w:rsid w:val="008D424B"/>
    <w:rsid w:val="008D4299"/>
    <w:rsid w:val="008D42A3"/>
    <w:rsid w:val="008D4545"/>
    <w:rsid w:val="008D4724"/>
    <w:rsid w:val="008D493F"/>
    <w:rsid w:val="008D4C5A"/>
    <w:rsid w:val="008D4CC8"/>
    <w:rsid w:val="008D4D64"/>
    <w:rsid w:val="008D4DA4"/>
    <w:rsid w:val="008D545C"/>
    <w:rsid w:val="008D5DAC"/>
    <w:rsid w:val="008D5DFD"/>
    <w:rsid w:val="008D5E0A"/>
    <w:rsid w:val="008D61E6"/>
    <w:rsid w:val="008D624C"/>
    <w:rsid w:val="008D643C"/>
    <w:rsid w:val="008D6460"/>
    <w:rsid w:val="008D6567"/>
    <w:rsid w:val="008D6845"/>
    <w:rsid w:val="008D68A1"/>
    <w:rsid w:val="008D68AA"/>
    <w:rsid w:val="008D6BA5"/>
    <w:rsid w:val="008D7192"/>
    <w:rsid w:val="008D726D"/>
    <w:rsid w:val="008D7A08"/>
    <w:rsid w:val="008D7A2D"/>
    <w:rsid w:val="008D7BF3"/>
    <w:rsid w:val="008D7CBB"/>
    <w:rsid w:val="008D7D41"/>
    <w:rsid w:val="008E000D"/>
    <w:rsid w:val="008E00B7"/>
    <w:rsid w:val="008E0131"/>
    <w:rsid w:val="008E035D"/>
    <w:rsid w:val="008E0367"/>
    <w:rsid w:val="008E03A9"/>
    <w:rsid w:val="008E0613"/>
    <w:rsid w:val="008E06FE"/>
    <w:rsid w:val="008E08BD"/>
    <w:rsid w:val="008E0A04"/>
    <w:rsid w:val="008E0A81"/>
    <w:rsid w:val="008E0C49"/>
    <w:rsid w:val="008E0D4F"/>
    <w:rsid w:val="008E0ECA"/>
    <w:rsid w:val="008E0F1F"/>
    <w:rsid w:val="008E12EA"/>
    <w:rsid w:val="008E12F6"/>
    <w:rsid w:val="008E135D"/>
    <w:rsid w:val="008E1754"/>
    <w:rsid w:val="008E191C"/>
    <w:rsid w:val="008E196E"/>
    <w:rsid w:val="008E1994"/>
    <w:rsid w:val="008E19C6"/>
    <w:rsid w:val="008E1A15"/>
    <w:rsid w:val="008E1AD5"/>
    <w:rsid w:val="008E1BD3"/>
    <w:rsid w:val="008E1D1B"/>
    <w:rsid w:val="008E2EB5"/>
    <w:rsid w:val="008E2EFA"/>
    <w:rsid w:val="008E30F3"/>
    <w:rsid w:val="008E36D8"/>
    <w:rsid w:val="008E36E4"/>
    <w:rsid w:val="008E38CC"/>
    <w:rsid w:val="008E3A97"/>
    <w:rsid w:val="008E41C6"/>
    <w:rsid w:val="008E4304"/>
    <w:rsid w:val="008E4329"/>
    <w:rsid w:val="008E44C7"/>
    <w:rsid w:val="008E46C7"/>
    <w:rsid w:val="008E492F"/>
    <w:rsid w:val="008E51E2"/>
    <w:rsid w:val="008E5260"/>
    <w:rsid w:val="008E5263"/>
    <w:rsid w:val="008E5674"/>
    <w:rsid w:val="008E570E"/>
    <w:rsid w:val="008E5A33"/>
    <w:rsid w:val="008E5CEE"/>
    <w:rsid w:val="008E643F"/>
    <w:rsid w:val="008E654B"/>
    <w:rsid w:val="008E662E"/>
    <w:rsid w:val="008E6C49"/>
    <w:rsid w:val="008E6CEE"/>
    <w:rsid w:val="008E6D33"/>
    <w:rsid w:val="008E6DB1"/>
    <w:rsid w:val="008E722A"/>
    <w:rsid w:val="008E7281"/>
    <w:rsid w:val="008E72B2"/>
    <w:rsid w:val="008E757F"/>
    <w:rsid w:val="008E7694"/>
    <w:rsid w:val="008E7715"/>
    <w:rsid w:val="008E784F"/>
    <w:rsid w:val="008E79E2"/>
    <w:rsid w:val="008F001D"/>
    <w:rsid w:val="008F00BC"/>
    <w:rsid w:val="008F0184"/>
    <w:rsid w:val="008F04E8"/>
    <w:rsid w:val="008F09F9"/>
    <w:rsid w:val="008F0B0C"/>
    <w:rsid w:val="008F0CA1"/>
    <w:rsid w:val="008F0EC4"/>
    <w:rsid w:val="008F1474"/>
    <w:rsid w:val="008F14A4"/>
    <w:rsid w:val="008F1782"/>
    <w:rsid w:val="008F1A12"/>
    <w:rsid w:val="008F1A91"/>
    <w:rsid w:val="008F1CF8"/>
    <w:rsid w:val="008F1D3C"/>
    <w:rsid w:val="008F1E12"/>
    <w:rsid w:val="008F2067"/>
    <w:rsid w:val="008F23E4"/>
    <w:rsid w:val="008F26EE"/>
    <w:rsid w:val="008F287E"/>
    <w:rsid w:val="008F2DA8"/>
    <w:rsid w:val="008F2DAA"/>
    <w:rsid w:val="008F2E1A"/>
    <w:rsid w:val="008F3073"/>
    <w:rsid w:val="008F3128"/>
    <w:rsid w:val="008F31D6"/>
    <w:rsid w:val="008F340E"/>
    <w:rsid w:val="008F36C4"/>
    <w:rsid w:val="008F36D6"/>
    <w:rsid w:val="008F3BA8"/>
    <w:rsid w:val="008F4382"/>
    <w:rsid w:val="008F44E4"/>
    <w:rsid w:val="008F458B"/>
    <w:rsid w:val="008F476D"/>
    <w:rsid w:val="008F4890"/>
    <w:rsid w:val="008F4B82"/>
    <w:rsid w:val="008F4E16"/>
    <w:rsid w:val="008F4F52"/>
    <w:rsid w:val="008F5A61"/>
    <w:rsid w:val="008F5FEB"/>
    <w:rsid w:val="008F606D"/>
    <w:rsid w:val="008F60E3"/>
    <w:rsid w:val="008F618F"/>
    <w:rsid w:val="008F61CE"/>
    <w:rsid w:val="008F6568"/>
    <w:rsid w:val="008F6585"/>
    <w:rsid w:val="008F66BC"/>
    <w:rsid w:val="008F6D1F"/>
    <w:rsid w:val="008F6D78"/>
    <w:rsid w:val="008F7008"/>
    <w:rsid w:val="008F7605"/>
    <w:rsid w:val="008F761D"/>
    <w:rsid w:val="008F7705"/>
    <w:rsid w:val="008F773A"/>
    <w:rsid w:val="008F7880"/>
    <w:rsid w:val="008F78CA"/>
    <w:rsid w:val="008F78FA"/>
    <w:rsid w:val="008F7A4E"/>
    <w:rsid w:val="00900142"/>
    <w:rsid w:val="009002AB"/>
    <w:rsid w:val="0090030F"/>
    <w:rsid w:val="00900349"/>
    <w:rsid w:val="009003CB"/>
    <w:rsid w:val="00900424"/>
    <w:rsid w:val="00900634"/>
    <w:rsid w:val="00900646"/>
    <w:rsid w:val="00900DA1"/>
    <w:rsid w:val="00900F81"/>
    <w:rsid w:val="00901445"/>
    <w:rsid w:val="009017AB"/>
    <w:rsid w:val="00901D27"/>
    <w:rsid w:val="00901E0D"/>
    <w:rsid w:val="00901EB9"/>
    <w:rsid w:val="0090203A"/>
    <w:rsid w:val="0090273D"/>
    <w:rsid w:val="00902776"/>
    <w:rsid w:val="0090277A"/>
    <w:rsid w:val="009027E7"/>
    <w:rsid w:val="009027FA"/>
    <w:rsid w:val="0090295A"/>
    <w:rsid w:val="00902BD5"/>
    <w:rsid w:val="00902C4B"/>
    <w:rsid w:val="00902C67"/>
    <w:rsid w:val="00902D8C"/>
    <w:rsid w:val="00902DCB"/>
    <w:rsid w:val="00902DD1"/>
    <w:rsid w:val="00902F9A"/>
    <w:rsid w:val="00903165"/>
    <w:rsid w:val="009032F9"/>
    <w:rsid w:val="009034DE"/>
    <w:rsid w:val="009035A2"/>
    <w:rsid w:val="009038C3"/>
    <w:rsid w:val="00903914"/>
    <w:rsid w:val="00903AB3"/>
    <w:rsid w:val="00903AFB"/>
    <w:rsid w:val="00903B3C"/>
    <w:rsid w:val="00903E2B"/>
    <w:rsid w:val="00903EB0"/>
    <w:rsid w:val="00903F6A"/>
    <w:rsid w:val="009040A1"/>
    <w:rsid w:val="0090416A"/>
    <w:rsid w:val="0090442F"/>
    <w:rsid w:val="009044B5"/>
    <w:rsid w:val="00904968"/>
    <w:rsid w:val="00904A09"/>
    <w:rsid w:val="00904B34"/>
    <w:rsid w:val="00904C09"/>
    <w:rsid w:val="00904CD9"/>
    <w:rsid w:val="00904D31"/>
    <w:rsid w:val="00904D45"/>
    <w:rsid w:val="00904DF1"/>
    <w:rsid w:val="00904F2D"/>
    <w:rsid w:val="009056AE"/>
    <w:rsid w:val="00905877"/>
    <w:rsid w:val="009058B4"/>
    <w:rsid w:val="009059A0"/>
    <w:rsid w:val="009059B6"/>
    <w:rsid w:val="00905CA5"/>
    <w:rsid w:val="00905E34"/>
    <w:rsid w:val="00905E9A"/>
    <w:rsid w:val="00905F7A"/>
    <w:rsid w:val="00906055"/>
    <w:rsid w:val="009063E6"/>
    <w:rsid w:val="009065F3"/>
    <w:rsid w:val="0090660E"/>
    <w:rsid w:val="009066B4"/>
    <w:rsid w:val="00906722"/>
    <w:rsid w:val="009069FB"/>
    <w:rsid w:val="00906F4B"/>
    <w:rsid w:val="00907064"/>
    <w:rsid w:val="009070E9"/>
    <w:rsid w:val="009075F4"/>
    <w:rsid w:val="00907867"/>
    <w:rsid w:val="00907869"/>
    <w:rsid w:val="00907AE6"/>
    <w:rsid w:val="00907C10"/>
    <w:rsid w:val="00907C75"/>
    <w:rsid w:val="00907DED"/>
    <w:rsid w:val="0091009B"/>
    <w:rsid w:val="009102E7"/>
    <w:rsid w:val="00910335"/>
    <w:rsid w:val="009103D4"/>
    <w:rsid w:val="00910555"/>
    <w:rsid w:val="009107A4"/>
    <w:rsid w:val="0091094C"/>
    <w:rsid w:val="00910A56"/>
    <w:rsid w:val="00910A6B"/>
    <w:rsid w:val="00910B0C"/>
    <w:rsid w:val="00911025"/>
    <w:rsid w:val="0091112A"/>
    <w:rsid w:val="00911356"/>
    <w:rsid w:val="00911421"/>
    <w:rsid w:val="00911437"/>
    <w:rsid w:val="009114CA"/>
    <w:rsid w:val="009116F7"/>
    <w:rsid w:val="0091181D"/>
    <w:rsid w:val="00911951"/>
    <w:rsid w:val="00911AFB"/>
    <w:rsid w:val="00911E94"/>
    <w:rsid w:val="00912280"/>
    <w:rsid w:val="00912335"/>
    <w:rsid w:val="009123F7"/>
    <w:rsid w:val="00912801"/>
    <w:rsid w:val="0091294A"/>
    <w:rsid w:val="0091294B"/>
    <w:rsid w:val="00912B48"/>
    <w:rsid w:val="009134C9"/>
    <w:rsid w:val="0091350D"/>
    <w:rsid w:val="00913699"/>
    <w:rsid w:val="009137DD"/>
    <w:rsid w:val="00913C8F"/>
    <w:rsid w:val="00913D1E"/>
    <w:rsid w:val="009140BD"/>
    <w:rsid w:val="009149FA"/>
    <w:rsid w:val="00914AED"/>
    <w:rsid w:val="00914E36"/>
    <w:rsid w:val="009152B9"/>
    <w:rsid w:val="00915405"/>
    <w:rsid w:val="00915762"/>
    <w:rsid w:val="0091591D"/>
    <w:rsid w:val="00915A36"/>
    <w:rsid w:val="00915D48"/>
    <w:rsid w:val="00915FB5"/>
    <w:rsid w:val="0091618E"/>
    <w:rsid w:val="00916192"/>
    <w:rsid w:val="00916831"/>
    <w:rsid w:val="0091687A"/>
    <w:rsid w:val="009168F8"/>
    <w:rsid w:val="00916A2E"/>
    <w:rsid w:val="00916AE3"/>
    <w:rsid w:val="00916BBC"/>
    <w:rsid w:val="00916C21"/>
    <w:rsid w:val="00916C92"/>
    <w:rsid w:val="0091718E"/>
    <w:rsid w:val="009172EC"/>
    <w:rsid w:val="0091763A"/>
    <w:rsid w:val="0091765F"/>
    <w:rsid w:val="009176A2"/>
    <w:rsid w:val="00917815"/>
    <w:rsid w:val="0092013F"/>
    <w:rsid w:val="00920189"/>
    <w:rsid w:val="009201D2"/>
    <w:rsid w:val="00920519"/>
    <w:rsid w:val="00920820"/>
    <w:rsid w:val="00920938"/>
    <w:rsid w:val="00920979"/>
    <w:rsid w:val="00920A0C"/>
    <w:rsid w:val="00920A24"/>
    <w:rsid w:val="00920C27"/>
    <w:rsid w:val="00920C8E"/>
    <w:rsid w:val="0092143C"/>
    <w:rsid w:val="00921A75"/>
    <w:rsid w:val="00921D32"/>
    <w:rsid w:val="00921FAF"/>
    <w:rsid w:val="00921FD7"/>
    <w:rsid w:val="0092216D"/>
    <w:rsid w:val="009229B5"/>
    <w:rsid w:val="00922EE5"/>
    <w:rsid w:val="009230D1"/>
    <w:rsid w:val="009231F3"/>
    <w:rsid w:val="00923257"/>
    <w:rsid w:val="0092326A"/>
    <w:rsid w:val="009232FE"/>
    <w:rsid w:val="00923393"/>
    <w:rsid w:val="009237A1"/>
    <w:rsid w:val="0092380D"/>
    <w:rsid w:val="00923958"/>
    <w:rsid w:val="00923A67"/>
    <w:rsid w:val="00923BA3"/>
    <w:rsid w:val="00923BAB"/>
    <w:rsid w:val="00923EA6"/>
    <w:rsid w:val="0092436F"/>
    <w:rsid w:val="009244FD"/>
    <w:rsid w:val="0092472B"/>
    <w:rsid w:val="00924962"/>
    <w:rsid w:val="00924A2A"/>
    <w:rsid w:val="00924AFC"/>
    <w:rsid w:val="00924D4C"/>
    <w:rsid w:val="00924E96"/>
    <w:rsid w:val="0092550F"/>
    <w:rsid w:val="00925662"/>
    <w:rsid w:val="0092573A"/>
    <w:rsid w:val="00925A2F"/>
    <w:rsid w:val="009260DA"/>
    <w:rsid w:val="00926522"/>
    <w:rsid w:val="009265B7"/>
    <w:rsid w:val="00926745"/>
    <w:rsid w:val="00926912"/>
    <w:rsid w:val="00926C1F"/>
    <w:rsid w:val="00927135"/>
    <w:rsid w:val="00927901"/>
    <w:rsid w:val="00927A7F"/>
    <w:rsid w:val="00927B2C"/>
    <w:rsid w:val="00927C34"/>
    <w:rsid w:val="00930143"/>
    <w:rsid w:val="009301C7"/>
    <w:rsid w:val="00930330"/>
    <w:rsid w:val="009305EC"/>
    <w:rsid w:val="00930798"/>
    <w:rsid w:val="0093097F"/>
    <w:rsid w:val="00930C8F"/>
    <w:rsid w:val="00930CE1"/>
    <w:rsid w:val="00930E8E"/>
    <w:rsid w:val="00931045"/>
    <w:rsid w:val="00931349"/>
    <w:rsid w:val="0093134A"/>
    <w:rsid w:val="0093143A"/>
    <w:rsid w:val="0093198B"/>
    <w:rsid w:val="009319ED"/>
    <w:rsid w:val="00931ADC"/>
    <w:rsid w:val="00931B8F"/>
    <w:rsid w:val="00931F35"/>
    <w:rsid w:val="0093228B"/>
    <w:rsid w:val="00932580"/>
    <w:rsid w:val="0093267E"/>
    <w:rsid w:val="0093277A"/>
    <w:rsid w:val="009329E2"/>
    <w:rsid w:val="00932C26"/>
    <w:rsid w:val="00932C51"/>
    <w:rsid w:val="00932CC5"/>
    <w:rsid w:val="00932E8F"/>
    <w:rsid w:val="0093319A"/>
    <w:rsid w:val="0093327C"/>
    <w:rsid w:val="00933400"/>
    <w:rsid w:val="00933429"/>
    <w:rsid w:val="00933704"/>
    <w:rsid w:val="00933767"/>
    <w:rsid w:val="009338D6"/>
    <w:rsid w:val="0093391A"/>
    <w:rsid w:val="00933F6D"/>
    <w:rsid w:val="00933F85"/>
    <w:rsid w:val="00934041"/>
    <w:rsid w:val="00934210"/>
    <w:rsid w:val="0093421B"/>
    <w:rsid w:val="009344EC"/>
    <w:rsid w:val="0093455B"/>
    <w:rsid w:val="00934690"/>
    <w:rsid w:val="00934C0B"/>
    <w:rsid w:val="00934DF8"/>
    <w:rsid w:val="00934FC3"/>
    <w:rsid w:val="009350C4"/>
    <w:rsid w:val="0093551B"/>
    <w:rsid w:val="00935A28"/>
    <w:rsid w:val="00935A35"/>
    <w:rsid w:val="00935A9E"/>
    <w:rsid w:val="00935E96"/>
    <w:rsid w:val="00935ECE"/>
    <w:rsid w:val="009360AB"/>
    <w:rsid w:val="0093610E"/>
    <w:rsid w:val="00936211"/>
    <w:rsid w:val="0093622E"/>
    <w:rsid w:val="00936294"/>
    <w:rsid w:val="009366AA"/>
    <w:rsid w:val="009366DA"/>
    <w:rsid w:val="0093685A"/>
    <w:rsid w:val="00936C8A"/>
    <w:rsid w:val="00936D64"/>
    <w:rsid w:val="00936FA1"/>
    <w:rsid w:val="0093705C"/>
    <w:rsid w:val="00937369"/>
    <w:rsid w:val="0093763A"/>
    <w:rsid w:val="009376D2"/>
    <w:rsid w:val="009377A9"/>
    <w:rsid w:val="00937A2B"/>
    <w:rsid w:val="00937B7A"/>
    <w:rsid w:val="009402B2"/>
    <w:rsid w:val="00940594"/>
    <w:rsid w:val="0094065F"/>
    <w:rsid w:val="0094079A"/>
    <w:rsid w:val="00940899"/>
    <w:rsid w:val="00940AA1"/>
    <w:rsid w:val="00940AA3"/>
    <w:rsid w:val="00940CD7"/>
    <w:rsid w:val="0094142F"/>
    <w:rsid w:val="0094151B"/>
    <w:rsid w:val="009416A3"/>
    <w:rsid w:val="009416C3"/>
    <w:rsid w:val="00941924"/>
    <w:rsid w:val="00941B64"/>
    <w:rsid w:val="00941BB3"/>
    <w:rsid w:val="00941C5B"/>
    <w:rsid w:val="00941D0A"/>
    <w:rsid w:val="00942217"/>
    <w:rsid w:val="009422CD"/>
    <w:rsid w:val="00942452"/>
    <w:rsid w:val="009427C6"/>
    <w:rsid w:val="00942D32"/>
    <w:rsid w:val="00942D4F"/>
    <w:rsid w:val="00942DD8"/>
    <w:rsid w:val="00942F08"/>
    <w:rsid w:val="00943331"/>
    <w:rsid w:val="0094353F"/>
    <w:rsid w:val="009436E6"/>
    <w:rsid w:val="00943838"/>
    <w:rsid w:val="00943DD5"/>
    <w:rsid w:val="00944119"/>
    <w:rsid w:val="00944139"/>
    <w:rsid w:val="00944662"/>
    <w:rsid w:val="00944720"/>
    <w:rsid w:val="00944928"/>
    <w:rsid w:val="009449D4"/>
    <w:rsid w:val="009451ED"/>
    <w:rsid w:val="009453E9"/>
    <w:rsid w:val="009458C2"/>
    <w:rsid w:val="00945D62"/>
    <w:rsid w:val="00946117"/>
    <w:rsid w:val="0094613C"/>
    <w:rsid w:val="00946140"/>
    <w:rsid w:val="00946453"/>
    <w:rsid w:val="00946676"/>
    <w:rsid w:val="0094671E"/>
    <w:rsid w:val="009467DF"/>
    <w:rsid w:val="00946A79"/>
    <w:rsid w:val="00946E14"/>
    <w:rsid w:val="00946FA9"/>
    <w:rsid w:val="009470B3"/>
    <w:rsid w:val="009473C3"/>
    <w:rsid w:val="00947458"/>
    <w:rsid w:val="0094753E"/>
    <w:rsid w:val="00947624"/>
    <w:rsid w:val="00947822"/>
    <w:rsid w:val="00947925"/>
    <w:rsid w:val="00947BFF"/>
    <w:rsid w:val="00947D3C"/>
    <w:rsid w:val="00947FCD"/>
    <w:rsid w:val="00950135"/>
    <w:rsid w:val="009501FB"/>
    <w:rsid w:val="009502BB"/>
    <w:rsid w:val="00950994"/>
    <w:rsid w:val="009509B4"/>
    <w:rsid w:val="00950A06"/>
    <w:rsid w:val="00950F8C"/>
    <w:rsid w:val="00951591"/>
    <w:rsid w:val="00951700"/>
    <w:rsid w:val="0095170C"/>
    <w:rsid w:val="00951753"/>
    <w:rsid w:val="00951863"/>
    <w:rsid w:val="00951D97"/>
    <w:rsid w:val="009521E9"/>
    <w:rsid w:val="0095220A"/>
    <w:rsid w:val="0095230B"/>
    <w:rsid w:val="00952433"/>
    <w:rsid w:val="0095255A"/>
    <w:rsid w:val="00952575"/>
    <w:rsid w:val="00952C05"/>
    <w:rsid w:val="00952C14"/>
    <w:rsid w:val="00952E0F"/>
    <w:rsid w:val="0095310C"/>
    <w:rsid w:val="0095331D"/>
    <w:rsid w:val="00953424"/>
    <w:rsid w:val="009537E6"/>
    <w:rsid w:val="00953C25"/>
    <w:rsid w:val="00953E41"/>
    <w:rsid w:val="00953F49"/>
    <w:rsid w:val="00954200"/>
    <w:rsid w:val="0095426A"/>
    <w:rsid w:val="009549B7"/>
    <w:rsid w:val="00954DCE"/>
    <w:rsid w:val="00954F55"/>
    <w:rsid w:val="009550B1"/>
    <w:rsid w:val="00955280"/>
    <w:rsid w:val="00955637"/>
    <w:rsid w:val="0095563E"/>
    <w:rsid w:val="0095580D"/>
    <w:rsid w:val="00955BDF"/>
    <w:rsid w:val="00955BFF"/>
    <w:rsid w:val="00955C02"/>
    <w:rsid w:val="00955CED"/>
    <w:rsid w:val="00955D10"/>
    <w:rsid w:val="00956012"/>
    <w:rsid w:val="0095648C"/>
    <w:rsid w:val="009564C2"/>
    <w:rsid w:val="00956550"/>
    <w:rsid w:val="00956575"/>
    <w:rsid w:val="009565A8"/>
    <w:rsid w:val="009565BB"/>
    <w:rsid w:val="00956943"/>
    <w:rsid w:val="009569BF"/>
    <w:rsid w:val="00956A83"/>
    <w:rsid w:val="00956B66"/>
    <w:rsid w:val="00957325"/>
    <w:rsid w:val="0095735E"/>
    <w:rsid w:val="00957566"/>
    <w:rsid w:val="009576DF"/>
    <w:rsid w:val="009576EE"/>
    <w:rsid w:val="00957734"/>
    <w:rsid w:val="00957739"/>
    <w:rsid w:val="00957927"/>
    <w:rsid w:val="0095799A"/>
    <w:rsid w:val="00957B16"/>
    <w:rsid w:val="00957C12"/>
    <w:rsid w:val="00957CAB"/>
    <w:rsid w:val="00957D07"/>
    <w:rsid w:val="00957DE7"/>
    <w:rsid w:val="00957E5E"/>
    <w:rsid w:val="00957FF7"/>
    <w:rsid w:val="00960084"/>
    <w:rsid w:val="009601A9"/>
    <w:rsid w:val="0096031C"/>
    <w:rsid w:val="00960484"/>
    <w:rsid w:val="00960D6E"/>
    <w:rsid w:val="00960DD8"/>
    <w:rsid w:val="00960E71"/>
    <w:rsid w:val="00960ED2"/>
    <w:rsid w:val="00961179"/>
    <w:rsid w:val="00961454"/>
    <w:rsid w:val="0096146D"/>
    <w:rsid w:val="00961801"/>
    <w:rsid w:val="009619B1"/>
    <w:rsid w:val="00961A66"/>
    <w:rsid w:val="00961BA4"/>
    <w:rsid w:val="00961CBE"/>
    <w:rsid w:val="009620E9"/>
    <w:rsid w:val="0096224C"/>
    <w:rsid w:val="00962352"/>
    <w:rsid w:val="00962494"/>
    <w:rsid w:val="009624BD"/>
    <w:rsid w:val="0096258B"/>
    <w:rsid w:val="009626B7"/>
    <w:rsid w:val="009629BB"/>
    <w:rsid w:val="00962C8E"/>
    <w:rsid w:val="00962E37"/>
    <w:rsid w:val="00963019"/>
    <w:rsid w:val="00963088"/>
    <w:rsid w:val="009635C9"/>
    <w:rsid w:val="00963782"/>
    <w:rsid w:val="00963887"/>
    <w:rsid w:val="00963CB5"/>
    <w:rsid w:val="00963D2C"/>
    <w:rsid w:val="00963D36"/>
    <w:rsid w:val="00963D45"/>
    <w:rsid w:val="00963F45"/>
    <w:rsid w:val="00964025"/>
    <w:rsid w:val="0096411F"/>
    <w:rsid w:val="0096437D"/>
    <w:rsid w:val="00964F47"/>
    <w:rsid w:val="00964FB6"/>
    <w:rsid w:val="00965062"/>
    <w:rsid w:val="00965471"/>
    <w:rsid w:val="0096556F"/>
    <w:rsid w:val="009660DA"/>
    <w:rsid w:val="00966681"/>
    <w:rsid w:val="00966C77"/>
    <w:rsid w:val="00966CFB"/>
    <w:rsid w:val="00966D8D"/>
    <w:rsid w:val="00966E69"/>
    <w:rsid w:val="00967267"/>
    <w:rsid w:val="0096731A"/>
    <w:rsid w:val="00967581"/>
    <w:rsid w:val="00967A46"/>
    <w:rsid w:val="00967B54"/>
    <w:rsid w:val="00967C24"/>
    <w:rsid w:val="00967C5E"/>
    <w:rsid w:val="00967E5E"/>
    <w:rsid w:val="00967F13"/>
    <w:rsid w:val="00970035"/>
    <w:rsid w:val="009702F4"/>
    <w:rsid w:val="00970590"/>
    <w:rsid w:val="0097080D"/>
    <w:rsid w:val="00970D51"/>
    <w:rsid w:val="0097175F"/>
    <w:rsid w:val="0097198A"/>
    <w:rsid w:val="00971E48"/>
    <w:rsid w:val="00972173"/>
    <w:rsid w:val="009721CC"/>
    <w:rsid w:val="00972227"/>
    <w:rsid w:val="00972229"/>
    <w:rsid w:val="0097243F"/>
    <w:rsid w:val="0097286F"/>
    <w:rsid w:val="00972C2A"/>
    <w:rsid w:val="00972DF4"/>
    <w:rsid w:val="00972E5A"/>
    <w:rsid w:val="009730A2"/>
    <w:rsid w:val="009730B6"/>
    <w:rsid w:val="009730DD"/>
    <w:rsid w:val="0097328A"/>
    <w:rsid w:val="00973304"/>
    <w:rsid w:val="00973781"/>
    <w:rsid w:val="0097391E"/>
    <w:rsid w:val="0097392B"/>
    <w:rsid w:val="00973E76"/>
    <w:rsid w:val="00973EDA"/>
    <w:rsid w:val="00973FE0"/>
    <w:rsid w:val="00974388"/>
    <w:rsid w:val="00974441"/>
    <w:rsid w:val="00974B37"/>
    <w:rsid w:val="00974DBC"/>
    <w:rsid w:val="00975023"/>
    <w:rsid w:val="009750BF"/>
    <w:rsid w:val="0097517E"/>
    <w:rsid w:val="0097555E"/>
    <w:rsid w:val="00975A0B"/>
    <w:rsid w:val="00975EEF"/>
    <w:rsid w:val="0097600E"/>
    <w:rsid w:val="0097626A"/>
    <w:rsid w:val="009764D9"/>
    <w:rsid w:val="009767E0"/>
    <w:rsid w:val="00976B41"/>
    <w:rsid w:val="00976E56"/>
    <w:rsid w:val="00976F2A"/>
    <w:rsid w:val="00977472"/>
    <w:rsid w:val="0097751F"/>
    <w:rsid w:val="00977965"/>
    <w:rsid w:val="0097796E"/>
    <w:rsid w:val="00977B04"/>
    <w:rsid w:val="00977B96"/>
    <w:rsid w:val="00977E26"/>
    <w:rsid w:val="0098026C"/>
    <w:rsid w:val="00980C12"/>
    <w:rsid w:val="00980C7D"/>
    <w:rsid w:val="00980F79"/>
    <w:rsid w:val="00981150"/>
    <w:rsid w:val="00981181"/>
    <w:rsid w:val="0098118D"/>
    <w:rsid w:val="00981194"/>
    <w:rsid w:val="009814D4"/>
    <w:rsid w:val="00981501"/>
    <w:rsid w:val="00981514"/>
    <w:rsid w:val="0098163A"/>
    <w:rsid w:val="00981675"/>
    <w:rsid w:val="009818DE"/>
    <w:rsid w:val="00981BAD"/>
    <w:rsid w:val="00981BB3"/>
    <w:rsid w:val="00981D38"/>
    <w:rsid w:val="00982076"/>
    <w:rsid w:val="009821CF"/>
    <w:rsid w:val="0098230E"/>
    <w:rsid w:val="00982378"/>
    <w:rsid w:val="009824EE"/>
    <w:rsid w:val="0098280C"/>
    <w:rsid w:val="00982955"/>
    <w:rsid w:val="00982C9B"/>
    <w:rsid w:val="00982D29"/>
    <w:rsid w:val="0098323E"/>
    <w:rsid w:val="00983809"/>
    <w:rsid w:val="009838CC"/>
    <w:rsid w:val="00983D6C"/>
    <w:rsid w:val="0098404F"/>
    <w:rsid w:val="009841AD"/>
    <w:rsid w:val="0098424C"/>
    <w:rsid w:val="00984276"/>
    <w:rsid w:val="0098440F"/>
    <w:rsid w:val="00984540"/>
    <w:rsid w:val="009848A2"/>
    <w:rsid w:val="00984C01"/>
    <w:rsid w:val="00984F13"/>
    <w:rsid w:val="0098523A"/>
    <w:rsid w:val="0098541D"/>
    <w:rsid w:val="00985856"/>
    <w:rsid w:val="00985BA8"/>
    <w:rsid w:val="00985CA6"/>
    <w:rsid w:val="00985D10"/>
    <w:rsid w:val="00986273"/>
    <w:rsid w:val="00986620"/>
    <w:rsid w:val="00986681"/>
    <w:rsid w:val="009869AF"/>
    <w:rsid w:val="009869B3"/>
    <w:rsid w:val="00986AFE"/>
    <w:rsid w:val="00986B03"/>
    <w:rsid w:val="00986D6E"/>
    <w:rsid w:val="0098710E"/>
    <w:rsid w:val="009871DD"/>
    <w:rsid w:val="009872B7"/>
    <w:rsid w:val="00987313"/>
    <w:rsid w:val="009876A2"/>
    <w:rsid w:val="009879AB"/>
    <w:rsid w:val="00987B4D"/>
    <w:rsid w:val="00987E30"/>
    <w:rsid w:val="0099000C"/>
    <w:rsid w:val="0099010F"/>
    <w:rsid w:val="00990258"/>
    <w:rsid w:val="00990375"/>
    <w:rsid w:val="00990582"/>
    <w:rsid w:val="00990621"/>
    <w:rsid w:val="00990A3A"/>
    <w:rsid w:val="00990DC3"/>
    <w:rsid w:val="00991051"/>
    <w:rsid w:val="00991131"/>
    <w:rsid w:val="009911A7"/>
    <w:rsid w:val="00991302"/>
    <w:rsid w:val="0099183A"/>
    <w:rsid w:val="00991AB1"/>
    <w:rsid w:val="00991B32"/>
    <w:rsid w:val="00991D41"/>
    <w:rsid w:val="00991F29"/>
    <w:rsid w:val="00992007"/>
    <w:rsid w:val="00992338"/>
    <w:rsid w:val="009924A5"/>
    <w:rsid w:val="0099254C"/>
    <w:rsid w:val="00992743"/>
    <w:rsid w:val="00992B61"/>
    <w:rsid w:val="00992C8B"/>
    <w:rsid w:val="00992D7D"/>
    <w:rsid w:val="00992D93"/>
    <w:rsid w:val="0099319B"/>
    <w:rsid w:val="00993379"/>
    <w:rsid w:val="0099341A"/>
    <w:rsid w:val="00993491"/>
    <w:rsid w:val="00993678"/>
    <w:rsid w:val="00993725"/>
    <w:rsid w:val="00993914"/>
    <w:rsid w:val="0099397D"/>
    <w:rsid w:val="00993BCA"/>
    <w:rsid w:val="00993F22"/>
    <w:rsid w:val="00993F2F"/>
    <w:rsid w:val="009941D2"/>
    <w:rsid w:val="009943A8"/>
    <w:rsid w:val="009943F2"/>
    <w:rsid w:val="009944DC"/>
    <w:rsid w:val="00994503"/>
    <w:rsid w:val="00994732"/>
    <w:rsid w:val="0099487B"/>
    <w:rsid w:val="00994AE5"/>
    <w:rsid w:val="00994F19"/>
    <w:rsid w:val="00994F42"/>
    <w:rsid w:val="00995103"/>
    <w:rsid w:val="00995119"/>
    <w:rsid w:val="00995293"/>
    <w:rsid w:val="00995329"/>
    <w:rsid w:val="009956EE"/>
    <w:rsid w:val="00995A72"/>
    <w:rsid w:val="00995C79"/>
    <w:rsid w:val="00995FB6"/>
    <w:rsid w:val="00996223"/>
    <w:rsid w:val="00996313"/>
    <w:rsid w:val="009966E3"/>
    <w:rsid w:val="00996755"/>
    <w:rsid w:val="009969AC"/>
    <w:rsid w:val="00996B1D"/>
    <w:rsid w:val="0099715B"/>
    <w:rsid w:val="00997168"/>
    <w:rsid w:val="0099729A"/>
    <w:rsid w:val="009975DE"/>
    <w:rsid w:val="0099788D"/>
    <w:rsid w:val="009978FC"/>
    <w:rsid w:val="00997E1A"/>
    <w:rsid w:val="009A0016"/>
    <w:rsid w:val="009A0113"/>
    <w:rsid w:val="009A0530"/>
    <w:rsid w:val="009A054A"/>
    <w:rsid w:val="009A05E3"/>
    <w:rsid w:val="009A0639"/>
    <w:rsid w:val="009A0795"/>
    <w:rsid w:val="009A09CC"/>
    <w:rsid w:val="009A09E3"/>
    <w:rsid w:val="009A0B48"/>
    <w:rsid w:val="009A0DED"/>
    <w:rsid w:val="009A0E61"/>
    <w:rsid w:val="009A0EB3"/>
    <w:rsid w:val="009A0ED6"/>
    <w:rsid w:val="009A0F1B"/>
    <w:rsid w:val="009A10D9"/>
    <w:rsid w:val="009A1481"/>
    <w:rsid w:val="009A1782"/>
    <w:rsid w:val="009A1899"/>
    <w:rsid w:val="009A1906"/>
    <w:rsid w:val="009A1968"/>
    <w:rsid w:val="009A197B"/>
    <w:rsid w:val="009A1BEA"/>
    <w:rsid w:val="009A1DF6"/>
    <w:rsid w:val="009A1E9E"/>
    <w:rsid w:val="009A234D"/>
    <w:rsid w:val="009A272B"/>
    <w:rsid w:val="009A286B"/>
    <w:rsid w:val="009A29B7"/>
    <w:rsid w:val="009A29E1"/>
    <w:rsid w:val="009A2AE8"/>
    <w:rsid w:val="009A2FC3"/>
    <w:rsid w:val="009A3054"/>
    <w:rsid w:val="009A32CD"/>
    <w:rsid w:val="009A33F5"/>
    <w:rsid w:val="009A3461"/>
    <w:rsid w:val="009A3500"/>
    <w:rsid w:val="009A398B"/>
    <w:rsid w:val="009A3C68"/>
    <w:rsid w:val="009A424E"/>
    <w:rsid w:val="009A42E2"/>
    <w:rsid w:val="009A44BE"/>
    <w:rsid w:val="009A4653"/>
    <w:rsid w:val="009A4764"/>
    <w:rsid w:val="009A49E1"/>
    <w:rsid w:val="009A4ACB"/>
    <w:rsid w:val="009A4BE8"/>
    <w:rsid w:val="009A4EEA"/>
    <w:rsid w:val="009A5229"/>
    <w:rsid w:val="009A5259"/>
    <w:rsid w:val="009A530C"/>
    <w:rsid w:val="009A53BD"/>
    <w:rsid w:val="009A5419"/>
    <w:rsid w:val="009A5851"/>
    <w:rsid w:val="009A59EC"/>
    <w:rsid w:val="009A5A56"/>
    <w:rsid w:val="009A5DB1"/>
    <w:rsid w:val="009A5E24"/>
    <w:rsid w:val="009A616D"/>
    <w:rsid w:val="009A6266"/>
    <w:rsid w:val="009A651B"/>
    <w:rsid w:val="009A67CF"/>
    <w:rsid w:val="009A6840"/>
    <w:rsid w:val="009A6A3C"/>
    <w:rsid w:val="009A6D01"/>
    <w:rsid w:val="009A71C5"/>
    <w:rsid w:val="009A7266"/>
    <w:rsid w:val="009A73A0"/>
    <w:rsid w:val="009A757F"/>
    <w:rsid w:val="009A7758"/>
    <w:rsid w:val="009A78AA"/>
    <w:rsid w:val="009A7961"/>
    <w:rsid w:val="009A79F2"/>
    <w:rsid w:val="009A7EC2"/>
    <w:rsid w:val="009A7ECE"/>
    <w:rsid w:val="009A7F72"/>
    <w:rsid w:val="009B0136"/>
    <w:rsid w:val="009B0173"/>
    <w:rsid w:val="009B0315"/>
    <w:rsid w:val="009B0564"/>
    <w:rsid w:val="009B0649"/>
    <w:rsid w:val="009B0998"/>
    <w:rsid w:val="009B0BAA"/>
    <w:rsid w:val="009B0E1C"/>
    <w:rsid w:val="009B0F06"/>
    <w:rsid w:val="009B101F"/>
    <w:rsid w:val="009B1085"/>
    <w:rsid w:val="009B115B"/>
    <w:rsid w:val="009B11B2"/>
    <w:rsid w:val="009B1311"/>
    <w:rsid w:val="009B1317"/>
    <w:rsid w:val="009B176D"/>
    <w:rsid w:val="009B21BA"/>
    <w:rsid w:val="009B2789"/>
    <w:rsid w:val="009B27C4"/>
    <w:rsid w:val="009B2C7F"/>
    <w:rsid w:val="009B2E19"/>
    <w:rsid w:val="009B2EB3"/>
    <w:rsid w:val="009B2ECB"/>
    <w:rsid w:val="009B3096"/>
    <w:rsid w:val="009B326D"/>
    <w:rsid w:val="009B3403"/>
    <w:rsid w:val="009B3408"/>
    <w:rsid w:val="009B34FE"/>
    <w:rsid w:val="009B35A9"/>
    <w:rsid w:val="009B3652"/>
    <w:rsid w:val="009B3861"/>
    <w:rsid w:val="009B40DE"/>
    <w:rsid w:val="009B40F7"/>
    <w:rsid w:val="009B4148"/>
    <w:rsid w:val="009B4157"/>
    <w:rsid w:val="009B4A00"/>
    <w:rsid w:val="009B4A8C"/>
    <w:rsid w:val="009B504E"/>
    <w:rsid w:val="009B549B"/>
    <w:rsid w:val="009B58A1"/>
    <w:rsid w:val="009B5940"/>
    <w:rsid w:val="009B5B44"/>
    <w:rsid w:val="009B5C7E"/>
    <w:rsid w:val="009B5FD3"/>
    <w:rsid w:val="009B6066"/>
    <w:rsid w:val="009B6104"/>
    <w:rsid w:val="009B612B"/>
    <w:rsid w:val="009B6227"/>
    <w:rsid w:val="009B6294"/>
    <w:rsid w:val="009B62F9"/>
    <w:rsid w:val="009B6381"/>
    <w:rsid w:val="009B63BE"/>
    <w:rsid w:val="009B65F0"/>
    <w:rsid w:val="009B680A"/>
    <w:rsid w:val="009B68DE"/>
    <w:rsid w:val="009B6AD1"/>
    <w:rsid w:val="009B6D01"/>
    <w:rsid w:val="009B6D35"/>
    <w:rsid w:val="009B6E69"/>
    <w:rsid w:val="009B6FF1"/>
    <w:rsid w:val="009B7326"/>
    <w:rsid w:val="009B76A4"/>
    <w:rsid w:val="009B7899"/>
    <w:rsid w:val="009B7CFF"/>
    <w:rsid w:val="009B7F8A"/>
    <w:rsid w:val="009C00B1"/>
    <w:rsid w:val="009C01D0"/>
    <w:rsid w:val="009C07AA"/>
    <w:rsid w:val="009C0807"/>
    <w:rsid w:val="009C0815"/>
    <w:rsid w:val="009C09CC"/>
    <w:rsid w:val="009C0AB7"/>
    <w:rsid w:val="009C0EBB"/>
    <w:rsid w:val="009C101C"/>
    <w:rsid w:val="009C1064"/>
    <w:rsid w:val="009C12AC"/>
    <w:rsid w:val="009C12D1"/>
    <w:rsid w:val="009C16CA"/>
    <w:rsid w:val="009C18F2"/>
    <w:rsid w:val="009C1977"/>
    <w:rsid w:val="009C1A3C"/>
    <w:rsid w:val="009C1FCF"/>
    <w:rsid w:val="009C2234"/>
    <w:rsid w:val="009C2344"/>
    <w:rsid w:val="009C29F2"/>
    <w:rsid w:val="009C3268"/>
    <w:rsid w:val="009C32AB"/>
    <w:rsid w:val="009C338B"/>
    <w:rsid w:val="009C35FE"/>
    <w:rsid w:val="009C379B"/>
    <w:rsid w:val="009C38B2"/>
    <w:rsid w:val="009C4019"/>
    <w:rsid w:val="009C41AE"/>
    <w:rsid w:val="009C43B7"/>
    <w:rsid w:val="009C4644"/>
    <w:rsid w:val="009C47DF"/>
    <w:rsid w:val="009C4B40"/>
    <w:rsid w:val="009C4EE3"/>
    <w:rsid w:val="009C51F9"/>
    <w:rsid w:val="009C5230"/>
    <w:rsid w:val="009C524B"/>
    <w:rsid w:val="009C5B3C"/>
    <w:rsid w:val="009C5B82"/>
    <w:rsid w:val="009C5C91"/>
    <w:rsid w:val="009C5CD9"/>
    <w:rsid w:val="009C5ED9"/>
    <w:rsid w:val="009C6020"/>
    <w:rsid w:val="009C6127"/>
    <w:rsid w:val="009C6188"/>
    <w:rsid w:val="009C6218"/>
    <w:rsid w:val="009C6338"/>
    <w:rsid w:val="009C659F"/>
    <w:rsid w:val="009C6C39"/>
    <w:rsid w:val="009C70CF"/>
    <w:rsid w:val="009C7222"/>
    <w:rsid w:val="009C7261"/>
    <w:rsid w:val="009C75C9"/>
    <w:rsid w:val="009C7723"/>
    <w:rsid w:val="009C7732"/>
    <w:rsid w:val="009C7892"/>
    <w:rsid w:val="009C7A05"/>
    <w:rsid w:val="009C7AA8"/>
    <w:rsid w:val="009C7B8A"/>
    <w:rsid w:val="009C7CA6"/>
    <w:rsid w:val="009D01F6"/>
    <w:rsid w:val="009D0472"/>
    <w:rsid w:val="009D0560"/>
    <w:rsid w:val="009D05DF"/>
    <w:rsid w:val="009D0900"/>
    <w:rsid w:val="009D0A2C"/>
    <w:rsid w:val="009D0AD0"/>
    <w:rsid w:val="009D0D73"/>
    <w:rsid w:val="009D11E3"/>
    <w:rsid w:val="009D1246"/>
    <w:rsid w:val="009D150E"/>
    <w:rsid w:val="009D177B"/>
    <w:rsid w:val="009D1947"/>
    <w:rsid w:val="009D1AF8"/>
    <w:rsid w:val="009D1B52"/>
    <w:rsid w:val="009D1C5E"/>
    <w:rsid w:val="009D1D14"/>
    <w:rsid w:val="009D1FB5"/>
    <w:rsid w:val="009D2777"/>
    <w:rsid w:val="009D28B1"/>
    <w:rsid w:val="009D296F"/>
    <w:rsid w:val="009D3220"/>
    <w:rsid w:val="009D353A"/>
    <w:rsid w:val="009D37AE"/>
    <w:rsid w:val="009D3983"/>
    <w:rsid w:val="009D409C"/>
    <w:rsid w:val="009D4366"/>
    <w:rsid w:val="009D4724"/>
    <w:rsid w:val="009D476D"/>
    <w:rsid w:val="009D48F7"/>
    <w:rsid w:val="009D4910"/>
    <w:rsid w:val="009D4B92"/>
    <w:rsid w:val="009D4BAF"/>
    <w:rsid w:val="009D50B0"/>
    <w:rsid w:val="009D54F9"/>
    <w:rsid w:val="009D55C5"/>
    <w:rsid w:val="009D5689"/>
    <w:rsid w:val="009D5883"/>
    <w:rsid w:val="009D58DE"/>
    <w:rsid w:val="009D5A7C"/>
    <w:rsid w:val="009D5C67"/>
    <w:rsid w:val="009D5F3B"/>
    <w:rsid w:val="009D6009"/>
    <w:rsid w:val="009D6333"/>
    <w:rsid w:val="009D6605"/>
    <w:rsid w:val="009D679E"/>
    <w:rsid w:val="009D6AF2"/>
    <w:rsid w:val="009D6BFC"/>
    <w:rsid w:val="009D6ECF"/>
    <w:rsid w:val="009D705B"/>
    <w:rsid w:val="009D70BB"/>
    <w:rsid w:val="009D79A1"/>
    <w:rsid w:val="009D7A16"/>
    <w:rsid w:val="009D7A7A"/>
    <w:rsid w:val="009D7A97"/>
    <w:rsid w:val="009D7B25"/>
    <w:rsid w:val="009D7F11"/>
    <w:rsid w:val="009D7FB3"/>
    <w:rsid w:val="009D7FF6"/>
    <w:rsid w:val="009D7FFA"/>
    <w:rsid w:val="009E00F4"/>
    <w:rsid w:val="009E0889"/>
    <w:rsid w:val="009E0897"/>
    <w:rsid w:val="009E09F4"/>
    <w:rsid w:val="009E0B8C"/>
    <w:rsid w:val="009E0C26"/>
    <w:rsid w:val="009E0C90"/>
    <w:rsid w:val="009E0EC1"/>
    <w:rsid w:val="009E0F10"/>
    <w:rsid w:val="009E16FF"/>
    <w:rsid w:val="009E198F"/>
    <w:rsid w:val="009E1B53"/>
    <w:rsid w:val="009E1E2B"/>
    <w:rsid w:val="009E1EDC"/>
    <w:rsid w:val="009E20E8"/>
    <w:rsid w:val="009E2567"/>
    <w:rsid w:val="009E2742"/>
    <w:rsid w:val="009E2A89"/>
    <w:rsid w:val="009E2E57"/>
    <w:rsid w:val="009E33D8"/>
    <w:rsid w:val="009E3422"/>
    <w:rsid w:val="009E3444"/>
    <w:rsid w:val="009E3703"/>
    <w:rsid w:val="009E386D"/>
    <w:rsid w:val="009E3BAF"/>
    <w:rsid w:val="009E3C7E"/>
    <w:rsid w:val="009E3C7F"/>
    <w:rsid w:val="009E4267"/>
    <w:rsid w:val="009E4636"/>
    <w:rsid w:val="009E46D9"/>
    <w:rsid w:val="009E4F5E"/>
    <w:rsid w:val="009E5128"/>
    <w:rsid w:val="009E52C1"/>
    <w:rsid w:val="009E5388"/>
    <w:rsid w:val="009E53E1"/>
    <w:rsid w:val="009E5451"/>
    <w:rsid w:val="009E54E4"/>
    <w:rsid w:val="009E55BD"/>
    <w:rsid w:val="009E593A"/>
    <w:rsid w:val="009E5C3A"/>
    <w:rsid w:val="009E5D27"/>
    <w:rsid w:val="009E5EB9"/>
    <w:rsid w:val="009E6205"/>
    <w:rsid w:val="009E63BC"/>
    <w:rsid w:val="009E6456"/>
    <w:rsid w:val="009E648C"/>
    <w:rsid w:val="009E6589"/>
    <w:rsid w:val="009E65A9"/>
    <w:rsid w:val="009E6868"/>
    <w:rsid w:val="009E6881"/>
    <w:rsid w:val="009E6D1F"/>
    <w:rsid w:val="009E6DD5"/>
    <w:rsid w:val="009E75B3"/>
    <w:rsid w:val="009E7987"/>
    <w:rsid w:val="009E7E40"/>
    <w:rsid w:val="009F09F4"/>
    <w:rsid w:val="009F0A1A"/>
    <w:rsid w:val="009F0E08"/>
    <w:rsid w:val="009F0E5E"/>
    <w:rsid w:val="009F1013"/>
    <w:rsid w:val="009F119D"/>
    <w:rsid w:val="009F136A"/>
    <w:rsid w:val="009F14BA"/>
    <w:rsid w:val="009F1516"/>
    <w:rsid w:val="009F191E"/>
    <w:rsid w:val="009F1B7D"/>
    <w:rsid w:val="009F1E19"/>
    <w:rsid w:val="009F203C"/>
    <w:rsid w:val="009F210B"/>
    <w:rsid w:val="009F2212"/>
    <w:rsid w:val="009F23DA"/>
    <w:rsid w:val="009F246E"/>
    <w:rsid w:val="009F2670"/>
    <w:rsid w:val="009F2A45"/>
    <w:rsid w:val="009F2D7F"/>
    <w:rsid w:val="009F30B2"/>
    <w:rsid w:val="009F30DF"/>
    <w:rsid w:val="009F3A07"/>
    <w:rsid w:val="009F3A42"/>
    <w:rsid w:val="009F4075"/>
    <w:rsid w:val="009F4363"/>
    <w:rsid w:val="009F4549"/>
    <w:rsid w:val="009F45AE"/>
    <w:rsid w:val="009F469E"/>
    <w:rsid w:val="009F4BA6"/>
    <w:rsid w:val="009F4BD5"/>
    <w:rsid w:val="009F4D41"/>
    <w:rsid w:val="009F4DEC"/>
    <w:rsid w:val="009F5048"/>
    <w:rsid w:val="009F55BF"/>
    <w:rsid w:val="009F5C90"/>
    <w:rsid w:val="009F5E9D"/>
    <w:rsid w:val="009F5FFF"/>
    <w:rsid w:val="009F6359"/>
    <w:rsid w:val="009F63F7"/>
    <w:rsid w:val="009F64B3"/>
    <w:rsid w:val="009F6675"/>
    <w:rsid w:val="009F6759"/>
    <w:rsid w:val="009F6F9F"/>
    <w:rsid w:val="009F7217"/>
    <w:rsid w:val="009F7371"/>
    <w:rsid w:val="009F7504"/>
    <w:rsid w:val="009F7C32"/>
    <w:rsid w:val="009F7F04"/>
    <w:rsid w:val="00A00172"/>
    <w:rsid w:val="00A001E1"/>
    <w:rsid w:val="00A0043C"/>
    <w:rsid w:val="00A005F1"/>
    <w:rsid w:val="00A006EF"/>
    <w:rsid w:val="00A00EF2"/>
    <w:rsid w:val="00A00F4C"/>
    <w:rsid w:val="00A00F5A"/>
    <w:rsid w:val="00A010C3"/>
    <w:rsid w:val="00A0124B"/>
    <w:rsid w:val="00A01619"/>
    <w:rsid w:val="00A01665"/>
    <w:rsid w:val="00A01D6F"/>
    <w:rsid w:val="00A02211"/>
    <w:rsid w:val="00A02430"/>
    <w:rsid w:val="00A026DD"/>
    <w:rsid w:val="00A02FCA"/>
    <w:rsid w:val="00A032C5"/>
    <w:rsid w:val="00A035EC"/>
    <w:rsid w:val="00A035F8"/>
    <w:rsid w:val="00A03A4F"/>
    <w:rsid w:val="00A03CD7"/>
    <w:rsid w:val="00A03CE5"/>
    <w:rsid w:val="00A04275"/>
    <w:rsid w:val="00A04471"/>
    <w:rsid w:val="00A04B45"/>
    <w:rsid w:val="00A04F32"/>
    <w:rsid w:val="00A05161"/>
    <w:rsid w:val="00A051A5"/>
    <w:rsid w:val="00A0527E"/>
    <w:rsid w:val="00A05528"/>
    <w:rsid w:val="00A0571D"/>
    <w:rsid w:val="00A05A22"/>
    <w:rsid w:val="00A05E10"/>
    <w:rsid w:val="00A05E5F"/>
    <w:rsid w:val="00A06296"/>
    <w:rsid w:val="00A06708"/>
    <w:rsid w:val="00A0673E"/>
    <w:rsid w:val="00A067A4"/>
    <w:rsid w:val="00A06B31"/>
    <w:rsid w:val="00A06EAB"/>
    <w:rsid w:val="00A0720F"/>
    <w:rsid w:val="00A07423"/>
    <w:rsid w:val="00A0761A"/>
    <w:rsid w:val="00A07756"/>
    <w:rsid w:val="00A078FB"/>
    <w:rsid w:val="00A07A7F"/>
    <w:rsid w:val="00A07A9A"/>
    <w:rsid w:val="00A07C3C"/>
    <w:rsid w:val="00A07FD9"/>
    <w:rsid w:val="00A10084"/>
    <w:rsid w:val="00A100D8"/>
    <w:rsid w:val="00A10327"/>
    <w:rsid w:val="00A105AD"/>
    <w:rsid w:val="00A10891"/>
    <w:rsid w:val="00A10BB3"/>
    <w:rsid w:val="00A10E6C"/>
    <w:rsid w:val="00A10F60"/>
    <w:rsid w:val="00A111B1"/>
    <w:rsid w:val="00A11282"/>
    <w:rsid w:val="00A11300"/>
    <w:rsid w:val="00A1132E"/>
    <w:rsid w:val="00A1158A"/>
    <w:rsid w:val="00A115FA"/>
    <w:rsid w:val="00A11649"/>
    <w:rsid w:val="00A11659"/>
    <w:rsid w:val="00A1171A"/>
    <w:rsid w:val="00A11725"/>
    <w:rsid w:val="00A1193D"/>
    <w:rsid w:val="00A119E8"/>
    <w:rsid w:val="00A11C39"/>
    <w:rsid w:val="00A11F12"/>
    <w:rsid w:val="00A12227"/>
    <w:rsid w:val="00A1268B"/>
    <w:rsid w:val="00A1269D"/>
    <w:rsid w:val="00A1275E"/>
    <w:rsid w:val="00A12800"/>
    <w:rsid w:val="00A12A2D"/>
    <w:rsid w:val="00A12A5B"/>
    <w:rsid w:val="00A12D31"/>
    <w:rsid w:val="00A13215"/>
    <w:rsid w:val="00A134C9"/>
    <w:rsid w:val="00A13719"/>
    <w:rsid w:val="00A13E9E"/>
    <w:rsid w:val="00A13F79"/>
    <w:rsid w:val="00A14274"/>
    <w:rsid w:val="00A144CE"/>
    <w:rsid w:val="00A1471C"/>
    <w:rsid w:val="00A14815"/>
    <w:rsid w:val="00A14A02"/>
    <w:rsid w:val="00A14B5F"/>
    <w:rsid w:val="00A14C4F"/>
    <w:rsid w:val="00A14D2D"/>
    <w:rsid w:val="00A14D46"/>
    <w:rsid w:val="00A14D93"/>
    <w:rsid w:val="00A14FED"/>
    <w:rsid w:val="00A15151"/>
    <w:rsid w:val="00A15278"/>
    <w:rsid w:val="00A15B9E"/>
    <w:rsid w:val="00A15EE6"/>
    <w:rsid w:val="00A165CE"/>
    <w:rsid w:val="00A165EB"/>
    <w:rsid w:val="00A16676"/>
    <w:rsid w:val="00A166F2"/>
    <w:rsid w:val="00A16942"/>
    <w:rsid w:val="00A170FA"/>
    <w:rsid w:val="00A171F3"/>
    <w:rsid w:val="00A1759F"/>
    <w:rsid w:val="00A17A4D"/>
    <w:rsid w:val="00A17DF6"/>
    <w:rsid w:val="00A17E08"/>
    <w:rsid w:val="00A17EF5"/>
    <w:rsid w:val="00A17F94"/>
    <w:rsid w:val="00A20052"/>
    <w:rsid w:val="00A2005C"/>
    <w:rsid w:val="00A20421"/>
    <w:rsid w:val="00A204FC"/>
    <w:rsid w:val="00A205AC"/>
    <w:rsid w:val="00A20750"/>
    <w:rsid w:val="00A2084F"/>
    <w:rsid w:val="00A20D23"/>
    <w:rsid w:val="00A21163"/>
    <w:rsid w:val="00A21228"/>
    <w:rsid w:val="00A212CE"/>
    <w:rsid w:val="00A212EA"/>
    <w:rsid w:val="00A212F4"/>
    <w:rsid w:val="00A2136F"/>
    <w:rsid w:val="00A214A2"/>
    <w:rsid w:val="00A21918"/>
    <w:rsid w:val="00A2197B"/>
    <w:rsid w:val="00A222BB"/>
    <w:rsid w:val="00A2260D"/>
    <w:rsid w:val="00A226D6"/>
    <w:rsid w:val="00A228C3"/>
    <w:rsid w:val="00A228E8"/>
    <w:rsid w:val="00A22B2A"/>
    <w:rsid w:val="00A22B98"/>
    <w:rsid w:val="00A23157"/>
    <w:rsid w:val="00A231A7"/>
    <w:rsid w:val="00A2325B"/>
    <w:rsid w:val="00A23448"/>
    <w:rsid w:val="00A23B73"/>
    <w:rsid w:val="00A23FA9"/>
    <w:rsid w:val="00A2400D"/>
    <w:rsid w:val="00A24055"/>
    <w:rsid w:val="00A241BF"/>
    <w:rsid w:val="00A24319"/>
    <w:rsid w:val="00A245E1"/>
    <w:rsid w:val="00A245EE"/>
    <w:rsid w:val="00A24871"/>
    <w:rsid w:val="00A25445"/>
    <w:rsid w:val="00A25563"/>
    <w:rsid w:val="00A257B1"/>
    <w:rsid w:val="00A25873"/>
    <w:rsid w:val="00A25F8C"/>
    <w:rsid w:val="00A25FD7"/>
    <w:rsid w:val="00A2615C"/>
    <w:rsid w:val="00A262E9"/>
    <w:rsid w:val="00A2643B"/>
    <w:rsid w:val="00A2648B"/>
    <w:rsid w:val="00A26DC0"/>
    <w:rsid w:val="00A26E9D"/>
    <w:rsid w:val="00A26F76"/>
    <w:rsid w:val="00A26FFF"/>
    <w:rsid w:val="00A271D3"/>
    <w:rsid w:val="00A27265"/>
    <w:rsid w:val="00A272FC"/>
    <w:rsid w:val="00A27757"/>
    <w:rsid w:val="00A2784D"/>
    <w:rsid w:val="00A278CE"/>
    <w:rsid w:val="00A27D0D"/>
    <w:rsid w:val="00A27E11"/>
    <w:rsid w:val="00A27F9B"/>
    <w:rsid w:val="00A309B7"/>
    <w:rsid w:val="00A30D58"/>
    <w:rsid w:val="00A30E80"/>
    <w:rsid w:val="00A312A1"/>
    <w:rsid w:val="00A312EB"/>
    <w:rsid w:val="00A317C4"/>
    <w:rsid w:val="00A31932"/>
    <w:rsid w:val="00A319A2"/>
    <w:rsid w:val="00A319BA"/>
    <w:rsid w:val="00A319BE"/>
    <w:rsid w:val="00A31F3F"/>
    <w:rsid w:val="00A31FAD"/>
    <w:rsid w:val="00A32376"/>
    <w:rsid w:val="00A325EF"/>
    <w:rsid w:val="00A32878"/>
    <w:rsid w:val="00A3299D"/>
    <w:rsid w:val="00A32AC9"/>
    <w:rsid w:val="00A32F31"/>
    <w:rsid w:val="00A32FE8"/>
    <w:rsid w:val="00A32FF8"/>
    <w:rsid w:val="00A3305F"/>
    <w:rsid w:val="00A33483"/>
    <w:rsid w:val="00A33660"/>
    <w:rsid w:val="00A33907"/>
    <w:rsid w:val="00A33961"/>
    <w:rsid w:val="00A33AAC"/>
    <w:rsid w:val="00A33F54"/>
    <w:rsid w:val="00A33FA7"/>
    <w:rsid w:val="00A34047"/>
    <w:rsid w:val="00A340D0"/>
    <w:rsid w:val="00A341EF"/>
    <w:rsid w:val="00A34268"/>
    <w:rsid w:val="00A3441B"/>
    <w:rsid w:val="00A3485C"/>
    <w:rsid w:val="00A34997"/>
    <w:rsid w:val="00A349ED"/>
    <w:rsid w:val="00A34C68"/>
    <w:rsid w:val="00A352FD"/>
    <w:rsid w:val="00A353AD"/>
    <w:rsid w:val="00A35454"/>
    <w:rsid w:val="00A357AB"/>
    <w:rsid w:val="00A35997"/>
    <w:rsid w:val="00A35B49"/>
    <w:rsid w:val="00A35F45"/>
    <w:rsid w:val="00A3625E"/>
    <w:rsid w:val="00A3629A"/>
    <w:rsid w:val="00A3638A"/>
    <w:rsid w:val="00A364D7"/>
    <w:rsid w:val="00A36E57"/>
    <w:rsid w:val="00A3763E"/>
    <w:rsid w:val="00A37790"/>
    <w:rsid w:val="00A3788A"/>
    <w:rsid w:val="00A378A0"/>
    <w:rsid w:val="00A37BEB"/>
    <w:rsid w:val="00A37EAD"/>
    <w:rsid w:val="00A37F75"/>
    <w:rsid w:val="00A37FAA"/>
    <w:rsid w:val="00A40896"/>
    <w:rsid w:val="00A4094C"/>
    <w:rsid w:val="00A40CFA"/>
    <w:rsid w:val="00A4101F"/>
    <w:rsid w:val="00A411E3"/>
    <w:rsid w:val="00A413EF"/>
    <w:rsid w:val="00A4140C"/>
    <w:rsid w:val="00A4151D"/>
    <w:rsid w:val="00A415BF"/>
    <w:rsid w:val="00A418D0"/>
    <w:rsid w:val="00A4192E"/>
    <w:rsid w:val="00A41A72"/>
    <w:rsid w:val="00A41BCE"/>
    <w:rsid w:val="00A41C57"/>
    <w:rsid w:val="00A41D39"/>
    <w:rsid w:val="00A41D95"/>
    <w:rsid w:val="00A41E7D"/>
    <w:rsid w:val="00A424E0"/>
    <w:rsid w:val="00A425B7"/>
    <w:rsid w:val="00A42698"/>
    <w:rsid w:val="00A426DE"/>
    <w:rsid w:val="00A4280F"/>
    <w:rsid w:val="00A42A00"/>
    <w:rsid w:val="00A42BD9"/>
    <w:rsid w:val="00A42DEC"/>
    <w:rsid w:val="00A4302C"/>
    <w:rsid w:val="00A43525"/>
    <w:rsid w:val="00A435C5"/>
    <w:rsid w:val="00A437B6"/>
    <w:rsid w:val="00A4391F"/>
    <w:rsid w:val="00A43AD4"/>
    <w:rsid w:val="00A43D2D"/>
    <w:rsid w:val="00A43F8E"/>
    <w:rsid w:val="00A43FA7"/>
    <w:rsid w:val="00A4404C"/>
    <w:rsid w:val="00A44174"/>
    <w:rsid w:val="00A4438A"/>
    <w:rsid w:val="00A4445F"/>
    <w:rsid w:val="00A4447F"/>
    <w:rsid w:val="00A446DC"/>
    <w:rsid w:val="00A44821"/>
    <w:rsid w:val="00A4489D"/>
    <w:rsid w:val="00A44C9A"/>
    <w:rsid w:val="00A45024"/>
    <w:rsid w:val="00A452B6"/>
    <w:rsid w:val="00A459B4"/>
    <w:rsid w:val="00A45A92"/>
    <w:rsid w:val="00A45EF4"/>
    <w:rsid w:val="00A45F00"/>
    <w:rsid w:val="00A46022"/>
    <w:rsid w:val="00A464B6"/>
    <w:rsid w:val="00A46A48"/>
    <w:rsid w:val="00A46E8E"/>
    <w:rsid w:val="00A46F62"/>
    <w:rsid w:val="00A47171"/>
    <w:rsid w:val="00A47558"/>
    <w:rsid w:val="00A47699"/>
    <w:rsid w:val="00A477ED"/>
    <w:rsid w:val="00A47842"/>
    <w:rsid w:val="00A47853"/>
    <w:rsid w:val="00A47892"/>
    <w:rsid w:val="00A47DB9"/>
    <w:rsid w:val="00A47E10"/>
    <w:rsid w:val="00A50251"/>
    <w:rsid w:val="00A50685"/>
    <w:rsid w:val="00A509FC"/>
    <w:rsid w:val="00A50BF2"/>
    <w:rsid w:val="00A50CDD"/>
    <w:rsid w:val="00A50D66"/>
    <w:rsid w:val="00A50D76"/>
    <w:rsid w:val="00A50E9E"/>
    <w:rsid w:val="00A511F9"/>
    <w:rsid w:val="00A51275"/>
    <w:rsid w:val="00A51326"/>
    <w:rsid w:val="00A51A70"/>
    <w:rsid w:val="00A51FDD"/>
    <w:rsid w:val="00A5201C"/>
    <w:rsid w:val="00A52108"/>
    <w:rsid w:val="00A52BDE"/>
    <w:rsid w:val="00A52CF2"/>
    <w:rsid w:val="00A531ED"/>
    <w:rsid w:val="00A53A2D"/>
    <w:rsid w:val="00A53C65"/>
    <w:rsid w:val="00A53E2D"/>
    <w:rsid w:val="00A53FE7"/>
    <w:rsid w:val="00A53FF5"/>
    <w:rsid w:val="00A54052"/>
    <w:rsid w:val="00A5413B"/>
    <w:rsid w:val="00A54349"/>
    <w:rsid w:val="00A5435B"/>
    <w:rsid w:val="00A54720"/>
    <w:rsid w:val="00A54BCA"/>
    <w:rsid w:val="00A54CC5"/>
    <w:rsid w:val="00A54E83"/>
    <w:rsid w:val="00A54EBC"/>
    <w:rsid w:val="00A5521E"/>
    <w:rsid w:val="00A5541B"/>
    <w:rsid w:val="00A555F2"/>
    <w:rsid w:val="00A5565B"/>
    <w:rsid w:val="00A55B58"/>
    <w:rsid w:val="00A55BA4"/>
    <w:rsid w:val="00A55EB6"/>
    <w:rsid w:val="00A561A3"/>
    <w:rsid w:val="00A56366"/>
    <w:rsid w:val="00A5639A"/>
    <w:rsid w:val="00A564DB"/>
    <w:rsid w:val="00A565EA"/>
    <w:rsid w:val="00A569EA"/>
    <w:rsid w:val="00A56BB8"/>
    <w:rsid w:val="00A56CAD"/>
    <w:rsid w:val="00A56E8D"/>
    <w:rsid w:val="00A572FD"/>
    <w:rsid w:val="00A578E5"/>
    <w:rsid w:val="00A57B3E"/>
    <w:rsid w:val="00A57C65"/>
    <w:rsid w:val="00A57CDF"/>
    <w:rsid w:val="00A57E96"/>
    <w:rsid w:val="00A57F39"/>
    <w:rsid w:val="00A60010"/>
    <w:rsid w:val="00A601E1"/>
    <w:rsid w:val="00A6020E"/>
    <w:rsid w:val="00A6028B"/>
    <w:rsid w:val="00A60568"/>
    <w:rsid w:val="00A607E5"/>
    <w:rsid w:val="00A60C3C"/>
    <w:rsid w:val="00A61333"/>
    <w:rsid w:val="00A61796"/>
    <w:rsid w:val="00A61A3A"/>
    <w:rsid w:val="00A61C2E"/>
    <w:rsid w:val="00A61DE0"/>
    <w:rsid w:val="00A6209A"/>
    <w:rsid w:val="00A62155"/>
    <w:rsid w:val="00A6226B"/>
    <w:rsid w:val="00A62431"/>
    <w:rsid w:val="00A6252A"/>
    <w:rsid w:val="00A6272B"/>
    <w:rsid w:val="00A6290E"/>
    <w:rsid w:val="00A62A59"/>
    <w:rsid w:val="00A62B1F"/>
    <w:rsid w:val="00A62B4E"/>
    <w:rsid w:val="00A62FDA"/>
    <w:rsid w:val="00A63051"/>
    <w:rsid w:val="00A630B8"/>
    <w:rsid w:val="00A630BB"/>
    <w:rsid w:val="00A6316D"/>
    <w:rsid w:val="00A63606"/>
    <w:rsid w:val="00A63797"/>
    <w:rsid w:val="00A63828"/>
    <w:rsid w:val="00A63880"/>
    <w:rsid w:val="00A63A3E"/>
    <w:rsid w:val="00A63C21"/>
    <w:rsid w:val="00A640F2"/>
    <w:rsid w:val="00A64205"/>
    <w:rsid w:val="00A64223"/>
    <w:rsid w:val="00A6476E"/>
    <w:rsid w:val="00A64E26"/>
    <w:rsid w:val="00A6509D"/>
    <w:rsid w:val="00A65102"/>
    <w:rsid w:val="00A651AF"/>
    <w:rsid w:val="00A651C8"/>
    <w:rsid w:val="00A651D4"/>
    <w:rsid w:val="00A653F2"/>
    <w:rsid w:val="00A659C1"/>
    <w:rsid w:val="00A65A1E"/>
    <w:rsid w:val="00A65A82"/>
    <w:rsid w:val="00A65E10"/>
    <w:rsid w:val="00A65E99"/>
    <w:rsid w:val="00A65F14"/>
    <w:rsid w:val="00A66317"/>
    <w:rsid w:val="00A6661F"/>
    <w:rsid w:val="00A66914"/>
    <w:rsid w:val="00A66EA6"/>
    <w:rsid w:val="00A670DC"/>
    <w:rsid w:val="00A67664"/>
    <w:rsid w:val="00A679AB"/>
    <w:rsid w:val="00A7018B"/>
    <w:rsid w:val="00A70438"/>
    <w:rsid w:val="00A70497"/>
    <w:rsid w:val="00A705B2"/>
    <w:rsid w:val="00A70950"/>
    <w:rsid w:val="00A70AD3"/>
    <w:rsid w:val="00A70C84"/>
    <w:rsid w:val="00A70C88"/>
    <w:rsid w:val="00A70CC0"/>
    <w:rsid w:val="00A70DA8"/>
    <w:rsid w:val="00A70DF6"/>
    <w:rsid w:val="00A71114"/>
    <w:rsid w:val="00A711CE"/>
    <w:rsid w:val="00A71337"/>
    <w:rsid w:val="00A714D1"/>
    <w:rsid w:val="00A71616"/>
    <w:rsid w:val="00A717EA"/>
    <w:rsid w:val="00A719AA"/>
    <w:rsid w:val="00A71AE3"/>
    <w:rsid w:val="00A71B50"/>
    <w:rsid w:val="00A71BD2"/>
    <w:rsid w:val="00A71C07"/>
    <w:rsid w:val="00A71C3C"/>
    <w:rsid w:val="00A7205E"/>
    <w:rsid w:val="00A72302"/>
    <w:rsid w:val="00A727BF"/>
    <w:rsid w:val="00A72AFC"/>
    <w:rsid w:val="00A72BAA"/>
    <w:rsid w:val="00A72C23"/>
    <w:rsid w:val="00A72CB7"/>
    <w:rsid w:val="00A72FDD"/>
    <w:rsid w:val="00A73095"/>
    <w:rsid w:val="00A734C1"/>
    <w:rsid w:val="00A73837"/>
    <w:rsid w:val="00A73DC4"/>
    <w:rsid w:val="00A73E75"/>
    <w:rsid w:val="00A7417F"/>
    <w:rsid w:val="00A7418C"/>
    <w:rsid w:val="00A741C7"/>
    <w:rsid w:val="00A7429C"/>
    <w:rsid w:val="00A7438E"/>
    <w:rsid w:val="00A7443C"/>
    <w:rsid w:val="00A74686"/>
    <w:rsid w:val="00A7491A"/>
    <w:rsid w:val="00A74B87"/>
    <w:rsid w:val="00A750B5"/>
    <w:rsid w:val="00A750EB"/>
    <w:rsid w:val="00A7517C"/>
    <w:rsid w:val="00A7531D"/>
    <w:rsid w:val="00A753DC"/>
    <w:rsid w:val="00A7543F"/>
    <w:rsid w:val="00A754A4"/>
    <w:rsid w:val="00A754CB"/>
    <w:rsid w:val="00A754E0"/>
    <w:rsid w:val="00A755DF"/>
    <w:rsid w:val="00A7581D"/>
    <w:rsid w:val="00A75CE4"/>
    <w:rsid w:val="00A75F80"/>
    <w:rsid w:val="00A7677D"/>
    <w:rsid w:val="00A768F5"/>
    <w:rsid w:val="00A76D71"/>
    <w:rsid w:val="00A76F48"/>
    <w:rsid w:val="00A770F5"/>
    <w:rsid w:val="00A7714C"/>
    <w:rsid w:val="00A771D2"/>
    <w:rsid w:val="00A7722E"/>
    <w:rsid w:val="00A772F4"/>
    <w:rsid w:val="00A776CA"/>
    <w:rsid w:val="00A77705"/>
    <w:rsid w:val="00A7784B"/>
    <w:rsid w:val="00A778D2"/>
    <w:rsid w:val="00A779CA"/>
    <w:rsid w:val="00A77D20"/>
    <w:rsid w:val="00A77E17"/>
    <w:rsid w:val="00A77F88"/>
    <w:rsid w:val="00A80384"/>
    <w:rsid w:val="00A803F5"/>
    <w:rsid w:val="00A80401"/>
    <w:rsid w:val="00A805B1"/>
    <w:rsid w:val="00A8078A"/>
    <w:rsid w:val="00A807AF"/>
    <w:rsid w:val="00A80927"/>
    <w:rsid w:val="00A80A9A"/>
    <w:rsid w:val="00A80B26"/>
    <w:rsid w:val="00A80B27"/>
    <w:rsid w:val="00A80BBD"/>
    <w:rsid w:val="00A80C53"/>
    <w:rsid w:val="00A80D11"/>
    <w:rsid w:val="00A80D63"/>
    <w:rsid w:val="00A80E4A"/>
    <w:rsid w:val="00A80FC9"/>
    <w:rsid w:val="00A81278"/>
    <w:rsid w:val="00A8145F"/>
    <w:rsid w:val="00A817DE"/>
    <w:rsid w:val="00A8181E"/>
    <w:rsid w:val="00A8190D"/>
    <w:rsid w:val="00A81BF1"/>
    <w:rsid w:val="00A81DF7"/>
    <w:rsid w:val="00A81FAA"/>
    <w:rsid w:val="00A820DB"/>
    <w:rsid w:val="00A8240C"/>
    <w:rsid w:val="00A82604"/>
    <w:rsid w:val="00A827B7"/>
    <w:rsid w:val="00A82873"/>
    <w:rsid w:val="00A828C1"/>
    <w:rsid w:val="00A829AB"/>
    <w:rsid w:val="00A82A28"/>
    <w:rsid w:val="00A82B62"/>
    <w:rsid w:val="00A82BBA"/>
    <w:rsid w:val="00A82F39"/>
    <w:rsid w:val="00A83233"/>
    <w:rsid w:val="00A8346E"/>
    <w:rsid w:val="00A83809"/>
    <w:rsid w:val="00A83990"/>
    <w:rsid w:val="00A83B3A"/>
    <w:rsid w:val="00A83CF2"/>
    <w:rsid w:val="00A84204"/>
    <w:rsid w:val="00A84354"/>
    <w:rsid w:val="00A84496"/>
    <w:rsid w:val="00A84717"/>
    <w:rsid w:val="00A84A21"/>
    <w:rsid w:val="00A84B99"/>
    <w:rsid w:val="00A84E14"/>
    <w:rsid w:val="00A85352"/>
    <w:rsid w:val="00A8547B"/>
    <w:rsid w:val="00A855EF"/>
    <w:rsid w:val="00A85601"/>
    <w:rsid w:val="00A8563D"/>
    <w:rsid w:val="00A85977"/>
    <w:rsid w:val="00A85B33"/>
    <w:rsid w:val="00A85C88"/>
    <w:rsid w:val="00A86255"/>
    <w:rsid w:val="00A863B3"/>
    <w:rsid w:val="00A86605"/>
    <w:rsid w:val="00A86749"/>
    <w:rsid w:val="00A869CE"/>
    <w:rsid w:val="00A86B36"/>
    <w:rsid w:val="00A86B3B"/>
    <w:rsid w:val="00A86BE3"/>
    <w:rsid w:val="00A86DAD"/>
    <w:rsid w:val="00A86E80"/>
    <w:rsid w:val="00A874D1"/>
    <w:rsid w:val="00A87A56"/>
    <w:rsid w:val="00A87B35"/>
    <w:rsid w:val="00A87B72"/>
    <w:rsid w:val="00A87BAF"/>
    <w:rsid w:val="00A87BEB"/>
    <w:rsid w:val="00A87F0E"/>
    <w:rsid w:val="00A90248"/>
    <w:rsid w:val="00A907F3"/>
    <w:rsid w:val="00A90BEC"/>
    <w:rsid w:val="00A90DDE"/>
    <w:rsid w:val="00A90DE5"/>
    <w:rsid w:val="00A90EFF"/>
    <w:rsid w:val="00A917A8"/>
    <w:rsid w:val="00A91B64"/>
    <w:rsid w:val="00A91D35"/>
    <w:rsid w:val="00A921D5"/>
    <w:rsid w:val="00A92814"/>
    <w:rsid w:val="00A92999"/>
    <w:rsid w:val="00A92B0A"/>
    <w:rsid w:val="00A92E1F"/>
    <w:rsid w:val="00A92EA2"/>
    <w:rsid w:val="00A92F47"/>
    <w:rsid w:val="00A93488"/>
    <w:rsid w:val="00A93539"/>
    <w:rsid w:val="00A936CB"/>
    <w:rsid w:val="00A936F2"/>
    <w:rsid w:val="00A9373D"/>
    <w:rsid w:val="00A93C08"/>
    <w:rsid w:val="00A93C4A"/>
    <w:rsid w:val="00A93C55"/>
    <w:rsid w:val="00A943EC"/>
    <w:rsid w:val="00A944F2"/>
    <w:rsid w:val="00A9481E"/>
    <w:rsid w:val="00A94B65"/>
    <w:rsid w:val="00A94CF1"/>
    <w:rsid w:val="00A94D99"/>
    <w:rsid w:val="00A94FA5"/>
    <w:rsid w:val="00A9500E"/>
    <w:rsid w:val="00A95156"/>
    <w:rsid w:val="00A951D3"/>
    <w:rsid w:val="00A95245"/>
    <w:rsid w:val="00A9524C"/>
    <w:rsid w:val="00A9535E"/>
    <w:rsid w:val="00A953F7"/>
    <w:rsid w:val="00A956BE"/>
    <w:rsid w:val="00A957D6"/>
    <w:rsid w:val="00A958FF"/>
    <w:rsid w:val="00A95A5A"/>
    <w:rsid w:val="00A95BF5"/>
    <w:rsid w:val="00A95C95"/>
    <w:rsid w:val="00A960A8"/>
    <w:rsid w:val="00A960BD"/>
    <w:rsid w:val="00A9626A"/>
    <w:rsid w:val="00A963E7"/>
    <w:rsid w:val="00A964BF"/>
    <w:rsid w:val="00A9691E"/>
    <w:rsid w:val="00A96A23"/>
    <w:rsid w:val="00A96A3D"/>
    <w:rsid w:val="00A96C72"/>
    <w:rsid w:val="00A96CF7"/>
    <w:rsid w:val="00A96F6B"/>
    <w:rsid w:val="00A970EE"/>
    <w:rsid w:val="00A971B1"/>
    <w:rsid w:val="00A97AFA"/>
    <w:rsid w:val="00A97ECF"/>
    <w:rsid w:val="00AA018D"/>
    <w:rsid w:val="00AA04F2"/>
    <w:rsid w:val="00AA066A"/>
    <w:rsid w:val="00AA06C4"/>
    <w:rsid w:val="00AA0733"/>
    <w:rsid w:val="00AA07D9"/>
    <w:rsid w:val="00AA088D"/>
    <w:rsid w:val="00AA0BDD"/>
    <w:rsid w:val="00AA0C24"/>
    <w:rsid w:val="00AA0EC3"/>
    <w:rsid w:val="00AA1033"/>
    <w:rsid w:val="00AA12FB"/>
    <w:rsid w:val="00AA1367"/>
    <w:rsid w:val="00AA1555"/>
    <w:rsid w:val="00AA173C"/>
    <w:rsid w:val="00AA1978"/>
    <w:rsid w:val="00AA1C50"/>
    <w:rsid w:val="00AA1C87"/>
    <w:rsid w:val="00AA1CB3"/>
    <w:rsid w:val="00AA1FB6"/>
    <w:rsid w:val="00AA2054"/>
    <w:rsid w:val="00AA2080"/>
    <w:rsid w:val="00AA227D"/>
    <w:rsid w:val="00AA22C4"/>
    <w:rsid w:val="00AA254B"/>
    <w:rsid w:val="00AA25A8"/>
    <w:rsid w:val="00AA27A1"/>
    <w:rsid w:val="00AA2906"/>
    <w:rsid w:val="00AA2A22"/>
    <w:rsid w:val="00AA2B83"/>
    <w:rsid w:val="00AA2E0E"/>
    <w:rsid w:val="00AA2E8D"/>
    <w:rsid w:val="00AA3132"/>
    <w:rsid w:val="00AA32F9"/>
    <w:rsid w:val="00AA3430"/>
    <w:rsid w:val="00AA34A3"/>
    <w:rsid w:val="00AA371E"/>
    <w:rsid w:val="00AA3793"/>
    <w:rsid w:val="00AA37E7"/>
    <w:rsid w:val="00AA3F3D"/>
    <w:rsid w:val="00AA42B2"/>
    <w:rsid w:val="00AA4405"/>
    <w:rsid w:val="00AA4545"/>
    <w:rsid w:val="00AA4630"/>
    <w:rsid w:val="00AA479B"/>
    <w:rsid w:val="00AA4B54"/>
    <w:rsid w:val="00AA4C90"/>
    <w:rsid w:val="00AA4F6F"/>
    <w:rsid w:val="00AA5065"/>
    <w:rsid w:val="00AA5137"/>
    <w:rsid w:val="00AA51E7"/>
    <w:rsid w:val="00AA522F"/>
    <w:rsid w:val="00AA52F0"/>
    <w:rsid w:val="00AA55AD"/>
    <w:rsid w:val="00AA5664"/>
    <w:rsid w:val="00AA5BF1"/>
    <w:rsid w:val="00AA5C36"/>
    <w:rsid w:val="00AA6209"/>
    <w:rsid w:val="00AA6444"/>
    <w:rsid w:val="00AA6957"/>
    <w:rsid w:val="00AA6A62"/>
    <w:rsid w:val="00AA6C3E"/>
    <w:rsid w:val="00AA6D9B"/>
    <w:rsid w:val="00AA6FF9"/>
    <w:rsid w:val="00AA712D"/>
    <w:rsid w:val="00AA717D"/>
    <w:rsid w:val="00AA78AC"/>
    <w:rsid w:val="00AA78B6"/>
    <w:rsid w:val="00AA7DC9"/>
    <w:rsid w:val="00AA7E51"/>
    <w:rsid w:val="00AA7F28"/>
    <w:rsid w:val="00AB0379"/>
    <w:rsid w:val="00AB063F"/>
    <w:rsid w:val="00AB0763"/>
    <w:rsid w:val="00AB0CB1"/>
    <w:rsid w:val="00AB0DB2"/>
    <w:rsid w:val="00AB0E6C"/>
    <w:rsid w:val="00AB107A"/>
    <w:rsid w:val="00AB1172"/>
    <w:rsid w:val="00AB11FF"/>
    <w:rsid w:val="00AB1267"/>
    <w:rsid w:val="00AB12D7"/>
    <w:rsid w:val="00AB13D3"/>
    <w:rsid w:val="00AB1427"/>
    <w:rsid w:val="00AB1E52"/>
    <w:rsid w:val="00AB2381"/>
    <w:rsid w:val="00AB2422"/>
    <w:rsid w:val="00AB24D5"/>
    <w:rsid w:val="00AB2564"/>
    <w:rsid w:val="00AB2656"/>
    <w:rsid w:val="00AB277C"/>
    <w:rsid w:val="00AB297F"/>
    <w:rsid w:val="00AB2A2C"/>
    <w:rsid w:val="00AB2B82"/>
    <w:rsid w:val="00AB2E05"/>
    <w:rsid w:val="00AB2E23"/>
    <w:rsid w:val="00AB2E30"/>
    <w:rsid w:val="00AB306D"/>
    <w:rsid w:val="00AB347B"/>
    <w:rsid w:val="00AB3845"/>
    <w:rsid w:val="00AB3C25"/>
    <w:rsid w:val="00AB3C65"/>
    <w:rsid w:val="00AB3D3F"/>
    <w:rsid w:val="00AB3E44"/>
    <w:rsid w:val="00AB3F85"/>
    <w:rsid w:val="00AB40B0"/>
    <w:rsid w:val="00AB45E6"/>
    <w:rsid w:val="00AB48FF"/>
    <w:rsid w:val="00AB49C7"/>
    <w:rsid w:val="00AB4FB1"/>
    <w:rsid w:val="00AB5170"/>
    <w:rsid w:val="00AB5232"/>
    <w:rsid w:val="00AB53D1"/>
    <w:rsid w:val="00AB54D3"/>
    <w:rsid w:val="00AB564E"/>
    <w:rsid w:val="00AB568F"/>
    <w:rsid w:val="00AB5A6D"/>
    <w:rsid w:val="00AB5F76"/>
    <w:rsid w:val="00AB6042"/>
    <w:rsid w:val="00AB60D5"/>
    <w:rsid w:val="00AB625B"/>
    <w:rsid w:val="00AB62AB"/>
    <w:rsid w:val="00AB681E"/>
    <w:rsid w:val="00AB6A00"/>
    <w:rsid w:val="00AB6B66"/>
    <w:rsid w:val="00AB6B95"/>
    <w:rsid w:val="00AB6D0A"/>
    <w:rsid w:val="00AB6E4A"/>
    <w:rsid w:val="00AB6EA9"/>
    <w:rsid w:val="00AB7315"/>
    <w:rsid w:val="00AB7356"/>
    <w:rsid w:val="00AB736C"/>
    <w:rsid w:val="00AB783C"/>
    <w:rsid w:val="00AB7E70"/>
    <w:rsid w:val="00AB7F14"/>
    <w:rsid w:val="00AB7F1F"/>
    <w:rsid w:val="00AC01FF"/>
    <w:rsid w:val="00AC0393"/>
    <w:rsid w:val="00AC0718"/>
    <w:rsid w:val="00AC0800"/>
    <w:rsid w:val="00AC0882"/>
    <w:rsid w:val="00AC08F6"/>
    <w:rsid w:val="00AC0929"/>
    <w:rsid w:val="00AC09B2"/>
    <w:rsid w:val="00AC0AD1"/>
    <w:rsid w:val="00AC0CAA"/>
    <w:rsid w:val="00AC0DBB"/>
    <w:rsid w:val="00AC1031"/>
    <w:rsid w:val="00AC1037"/>
    <w:rsid w:val="00AC112E"/>
    <w:rsid w:val="00AC1204"/>
    <w:rsid w:val="00AC1260"/>
    <w:rsid w:val="00AC1404"/>
    <w:rsid w:val="00AC15BF"/>
    <w:rsid w:val="00AC1A3F"/>
    <w:rsid w:val="00AC1C5D"/>
    <w:rsid w:val="00AC1C5F"/>
    <w:rsid w:val="00AC1E81"/>
    <w:rsid w:val="00AC1EBB"/>
    <w:rsid w:val="00AC1EDA"/>
    <w:rsid w:val="00AC1F52"/>
    <w:rsid w:val="00AC2046"/>
    <w:rsid w:val="00AC23CB"/>
    <w:rsid w:val="00AC2645"/>
    <w:rsid w:val="00AC274C"/>
    <w:rsid w:val="00AC280A"/>
    <w:rsid w:val="00AC2997"/>
    <w:rsid w:val="00AC29B1"/>
    <w:rsid w:val="00AC2D02"/>
    <w:rsid w:val="00AC2E52"/>
    <w:rsid w:val="00AC2F76"/>
    <w:rsid w:val="00AC2F86"/>
    <w:rsid w:val="00AC303F"/>
    <w:rsid w:val="00AC30EE"/>
    <w:rsid w:val="00AC350E"/>
    <w:rsid w:val="00AC3729"/>
    <w:rsid w:val="00AC3A77"/>
    <w:rsid w:val="00AC3B24"/>
    <w:rsid w:val="00AC403A"/>
    <w:rsid w:val="00AC4605"/>
    <w:rsid w:val="00AC463D"/>
    <w:rsid w:val="00AC46C9"/>
    <w:rsid w:val="00AC499C"/>
    <w:rsid w:val="00AC4A8B"/>
    <w:rsid w:val="00AC529D"/>
    <w:rsid w:val="00AC535B"/>
    <w:rsid w:val="00AC5AF0"/>
    <w:rsid w:val="00AC5CD9"/>
    <w:rsid w:val="00AC5DB1"/>
    <w:rsid w:val="00AC5DF2"/>
    <w:rsid w:val="00AC6052"/>
    <w:rsid w:val="00AC6683"/>
    <w:rsid w:val="00AC68E4"/>
    <w:rsid w:val="00AC6972"/>
    <w:rsid w:val="00AC697B"/>
    <w:rsid w:val="00AC6BE1"/>
    <w:rsid w:val="00AC6DF8"/>
    <w:rsid w:val="00AC6FF5"/>
    <w:rsid w:val="00AC71D6"/>
    <w:rsid w:val="00AC72FF"/>
    <w:rsid w:val="00AC730A"/>
    <w:rsid w:val="00AC74C7"/>
    <w:rsid w:val="00AC7720"/>
    <w:rsid w:val="00AC795F"/>
    <w:rsid w:val="00AC7CE8"/>
    <w:rsid w:val="00AC7D35"/>
    <w:rsid w:val="00AD0037"/>
    <w:rsid w:val="00AD007E"/>
    <w:rsid w:val="00AD05C1"/>
    <w:rsid w:val="00AD0905"/>
    <w:rsid w:val="00AD0A73"/>
    <w:rsid w:val="00AD0BEA"/>
    <w:rsid w:val="00AD0EED"/>
    <w:rsid w:val="00AD12F9"/>
    <w:rsid w:val="00AD1531"/>
    <w:rsid w:val="00AD15C7"/>
    <w:rsid w:val="00AD1632"/>
    <w:rsid w:val="00AD1637"/>
    <w:rsid w:val="00AD165C"/>
    <w:rsid w:val="00AD1781"/>
    <w:rsid w:val="00AD19E9"/>
    <w:rsid w:val="00AD1B92"/>
    <w:rsid w:val="00AD1C29"/>
    <w:rsid w:val="00AD1C37"/>
    <w:rsid w:val="00AD1E40"/>
    <w:rsid w:val="00AD1FF1"/>
    <w:rsid w:val="00AD203F"/>
    <w:rsid w:val="00AD21BF"/>
    <w:rsid w:val="00AD2380"/>
    <w:rsid w:val="00AD2460"/>
    <w:rsid w:val="00AD2597"/>
    <w:rsid w:val="00AD25BF"/>
    <w:rsid w:val="00AD2602"/>
    <w:rsid w:val="00AD28CC"/>
    <w:rsid w:val="00AD2A01"/>
    <w:rsid w:val="00AD2ADD"/>
    <w:rsid w:val="00AD2D4B"/>
    <w:rsid w:val="00AD2EF7"/>
    <w:rsid w:val="00AD317B"/>
    <w:rsid w:val="00AD32C2"/>
    <w:rsid w:val="00AD3373"/>
    <w:rsid w:val="00AD33CF"/>
    <w:rsid w:val="00AD340C"/>
    <w:rsid w:val="00AD3536"/>
    <w:rsid w:val="00AD35A3"/>
    <w:rsid w:val="00AD3914"/>
    <w:rsid w:val="00AD3A51"/>
    <w:rsid w:val="00AD3A61"/>
    <w:rsid w:val="00AD3BB1"/>
    <w:rsid w:val="00AD3D53"/>
    <w:rsid w:val="00AD40C5"/>
    <w:rsid w:val="00AD4757"/>
    <w:rsid w:val="00AD4790"/>
    <w:rsid w:val="00AD4875"/>
    <w:rsid w:val="00AD4A70"/>
    <w:rsid w:val="00AD4ED4"/>
    <w:rsid w:val="00AD548D"/>
    <w:rsid w:val="00AD56DC"/>
    <w:rsid w:val="00AD56EC"/>
    <w:rsid w:val="00AD5AD1"/>
    <w:rsid w:val="00AD5FA3"/>
    <w:rsid w:val="00AD61BF"/>
    <w:rsid w:val="00AD66D2"/>
    <w:rsid w:val="00AD6712"/>
    <w:rsid w:val="00AD680E"/>
    <w:rsid w:val="00AD6947"/>
    <w:rsid w:val="00AD69D0"/>
    <w:rsid w:val="00AD6BE5"/>
    <w:rsid w:val="00AD6F6A"/>
    <w:rsid w:val="00AD70EA"/>
    <w:rsid w:val="00AD7196"/>
    <w:rsid w:val="00AD7AE5"/>
    <w:rsid w:val="00AE00C0"/>
    <w:rsid w:val="00AE0277"/>
    <w:rsid w:val="00AE095E"/>
    <w:rsid w:val="00AE09C4"/>
    <w:rsid w:val="00AE0AE6"/>
    <w:rsid w:val="00AE0B6D"/>
    <w:rsid w:val="00AE0B94"/>
    <w:rsid w:val="00AE0BB9"/>
    <w:rsid w:val="00AE0C85"/>
    <w:rsid w:val="00AE0E63"/>
    <w:rsid w:val="00AE1138"/>
    <w:rsid w:val="00AE1428"/>
    <w:rsid w:val="00AE1457"/>
    <w:rsid w:val="00AE1565"/>
    <w:rsid w:val="00AE15E7"/>
    <w:rsid w:val="00AE176F"/>
    <w:rsid w:val="00AE1E43"/>
    <w:rsid w:val="00AE2067"/>
    <w:rsid w:val="00AE2177"/>
    <w:rsid w:val="00AE22EE"/>
    <w:rsid w:val="00AE2301"/>
    <w:rsid w:val="00AE232F"/>
    <w:rsid w:val="00AE244E"/>
    <w:rsid w:val="00AE27C1"/>
    <w:rsid w:val="00AE2B08"/>
    <w:rsid w:val="00AE2B8A"/>
    <w:rsid w:val="00AE2BC7"/>
    <w:rsid w:val="00AE2C85"/>
    <w:rsid w:val="00AE2D23"/>
    <w:rsid w:val="00AE331A"/>
    <w:rsid w:val="00AE3346"/>
    <w:rsid w:val="00AE35ED"/>
    <w:rsid w:val="00AE3CA6"/>
    <w:rsid w:val="00AE3CB7"/>
    <w:rsid w:val="00AE3D74"/>
    <w:rsid w:val="00AE3D97"/>
    <w:rsid w:val="00AE434B"/>
    <w:rsid w:val="00AE4E87"/>
    <w:rsid w:val="00AE5011"/>
    <w:rsid w:val="00AE5482"/>
    <w:rsid w:val="00AE58A7"/>
    <w:rsid w:val="00AE598E"/>
    <w:rsid w:val="00AE5DA4"/>
    <w:rsid w:val="00AE5DE7"/>
    <w:rsid w:val="00AE6097"/>
    <w:rsid w:val="00AE60A9"/>
    <w:rsid w:val="00AE63C4"/>
    <w:rsid w:val="00AE66CB"/>
    <w:rsid w:val="00AE68E6"/>
    <w:rsid w:val="00AE6C36"/>
    <w:rsid w:val="00AE6F67"/>
    <w:rsid w:val="00AE73BF"/>
    <w:rsid w:val="00AE781C"/>
    <w:rsid w:val="00AE79FF"/>
    <w:rsid w:val="00AE7B8C"/>
    <w:rsid w:val="00AE7C47"/>
    <w:rsid w:val="00AE7D94"/>
    <w:rsid w:val="00AE7DA4"/>
    <w:rsid w:val="00AF03B5"/>
    <w:rsid w:val="00AF0716"/>
    <w:rsid w:val="00AF076A"/>
    <w:rsid w:val="00AF077E"/>
    <w:rsid w:val="00AF0BFC"/>
    <w:rsid w:val="00AF0CB7"/>
    <w:rsid w:val="00AF0E49"/>
    <w:rsid w:val="00AF0F2D"/>
    <w:rsid w:val="00AF187B"/>
    <w:rsid w:val="00AF1A54"/>
    <w:rsid w:val="00AF1EE0"/>
    <w:rsid w:val="00AF1FA1"/>
    <w:rsid w:val="00AF236F"/>
    <w:rsid w:val="00AF2611"/>
    <w:rsid w:val="00AF288B"/>
    <w:rsid w:val="00AF2AD3"/>
    <w:rsid w:val="00AF2BE4"/>
    <w:rsid w:val="00AF3277"/>
    <w:rsid w:val="00AF3668"/>
    <w:rsid w:val="00AF38B6"/>
    <w:rsid w:val="00AF3E4A"/>
    <w:rsid w:val="00AF3F03"/>
    <w:rsid w:val="00AF402E"/>
    <w:rsid w:val="00AF4279"/>
    <w:rsid w:val="00AF42A0"/>
    <w:rsid w:val="00AF43CC"/>
    <w:rsid w:val="00AF4419"/>
    <w:rsid w:val="00AF4557"/>
    <w:rsid w:val="00AF4695"/>
    <w:rsid w:val="00AF475F"/>
    <w:rsid w:val="00AF47EF"/>
    <w:rsid w:val="00AF482C"/>
    <w:rsid w:val="00AF489A"/>
    <w:rsid w:val="00AF494E"/>
    <w:rsid w:val="00AF4C73"/>
    <w:rsid w:val="00AF4F1B"/>
    <w:rsid w:val="00AF53F8"/>
    <w:rsid w:val="00AF565B"/>
    <w:rsid w:val="00AF58BD"/>
    <w:rsid w:val="00AF58CB"/>
    <w:rsid w:val="00AF5A63"/>
    <w:rsid w:val="00AF5BCD"/>
    <w:rsid w:val="00AF5DA4"/>
    <w:rsid w:val="00AF5E91"/>
    <w:rsid w:val="00AF62B7"/>
    <w:rsid w:val="00AF6563"/>
    <w:rsid w:val="00AF667F"/>
    <w:rsid w:val="00AF66AF"/>
    <w:rsid w:val="00AF6785"/>
    <w:rsid w:val="00AF67BC"/>
    <w:rsid w:val="00AF6DD0"/>
    <w:rsid w:val="00AF6EEE"/>
    <w:rsid w:val="00AF6F66"/>
    <w:rsid w:val="00AF7051"/>
    <w:rsid w:val="00AF7458"/>
    <w:rsid w:val="00AF7A2D"/>
    <w:rsid w:val="00AF7A53"/>
    <w:rsid w:val="00AF7A5B"/>
    <w:rsid w:val="00AF7ACE"/>
    <w:rsid w:val="00AF7B80"/>
    <w:rsid w:val="00AF7DDC"/>
    <w:rsid w:val="00B0003D"/>
    <w:rsid w:val="00B00330"/>
    <w:rsid w:val="00B0041C"/>
    <w:rsid w:val="00B00925"/>
    <w:rsid w:val="00B00B12"/>
    <w:rsid w:val="00B00FAE"/>
    <w:rsid w:val="00B01067"/>
    <w:rsid w:val="00B0131D"/>
    <w:rsid w:val="00B013E8"/>
    <w:rsid w:val="00B0144E"/>
    <w:rsid w:val="00B014BE"/>
    <w:rsid w:val="00B0165B"/>
    <w:rsid w:val="00B018C7"/>
    <w:rsid w:val="00B01FF4"/>
    <w:rsid w:val="00B020F3"/>
    <w:rsid w:val="00B021C3"/>
    <w:rsid w:val="00B02556"/>
    <w:rsid w:val="00B027BE"/>
    <w:rsid w:val="00B02CAC"/>
    <w:rsid w:val="00B0302B"/>
    <w:rsid w:val="00B03262"/>
    <w:rsid w:val="00B03999"/>
    <w:rsid w:val="00B03C6C"/>
    <w:rsid w:val="00B03D80"/>
    <w:rsid w:val="00B03F86"/>
    <w:rsid w:val="00B03FED"/>
    <w:rsid w:val="00B04018"/>
    <w:rsid w:val="00B040B4"/>
    <w:rsid w:val="00B04117"/>
    <w:rsid w:val="00B04122"/>
    <w:rsid w:val="00B043B6"/>
    <w:rsid w:val="00B04611"/>
    <w:rsid w:val="00B047D4"/>
    <w:rsid w:val="00B048FE"/>
    <w:rsid w:val="00B04AC8"/>
    <w:rsid w:val="00B053CC"/>
    <w:rsid w:val="00B054AF"/>
    <w:rsid w:val="00B05C80"/>
    <w:rsid w:val="00B05D5F"/>
    <w:rsid w:val="00B05E75"/>
    <w:rsid w:val="00B05EA6"/>
    <w:rsid w:val="00B060CB"/>
    <w:rsid w:val="00B06425"/>
    <w:rsid w:val="00B0646F"/>
    <w:rsid w:val="00B0653B"/>
    <w:rsid w:val="00B065F9"/>
    <w:rsid w:val="00B06F6C"/>
    <w:rsid w:val="00B070C2"/>
    <w:rsid w:val="00B071A7"/>
    <w:rsid w:val="00B071FE"/>
    <w:rsid w:val="00B07321"/>
    <w:rsid w:val="00B0742C"/>
    <w:rsid w:val="00B0747A"/>
    <w:rsid w:val="00B074E2"/>
    <w:rsid w:val="00B078D6"/>
    <w:rsid w:val="00B07B18"/>
    <w:rsid w:val="00B07CD1"/>
    <w:rsid w:val="00B07D57"/>
    <w:rsid w:val="00B07EC7"/>
    <w:rsid w:val="00B07F1C"/>
    <w:rsid w:val="00B10492"/>
    <w:rsid w:val="00B10839"/>
    <w:rsid w:val="00B10ACF"/>
    <w:rsid w:val="00B10FC0"/>
    <w:rsid w:val="00B113CF"/>
    <w:rsid w:val="00B11781"/>
    <w:rsid w:val="00B11957"/>
    <w:rsid w:val="00B11A3D"/>
    <w:rsid w:val="00B12250"/>
    <w:rsid w:val="00B12286"/>
    <w:rsid w:val="00B122BB"/>
    <w:rsid w:val="00B127B5"/>
    <w:rsid w:val="00B128BE"/>
    <w:rsid w:val="00B12959"/>
    <w:rsid w:val="00B12B4A"/>
    <w:rsid w:val="00B12C6D"/>
    <w:rsid w:val="00B12CD3"/>
    <w:rsid w:val="00B12D09"/>
    <w:rsid w:val="00B13549"/>
    <w:rsid w:val="00B139E9"/>
    <w:rsid w:val="00B13B99"/>
    <w:rsid w:val="00B13D10"/>
    <w:rsid w:val="00B13DFC"/>
    <w:rsid w:val="00B13EEF"/>
    <w:rsid w:val="00B14031"/>
    <w:rsid w:val="00B1403E"/>
    <w:rsid w:val="00B14207"/>
    <w:rsid w:val="00B1439A"/>
    <w:rsid w:val="00B1444F"/>
    <w:rsid w:val="00B1454C"/>
    <w:rsid w:val="00B14734"/>
    <w:rsid w:val="00B147E3"/>
    <w:rsid w:val="00B14834"/>
    <w:rsid w:val="00B14B17"/>
    <w:rsid w:val="00B14B2C"/>
    <w:rsid w:val="00B14B5B"/>
    <w:rsid w:val="00B14BF9"/>
    <w:rsid w:val="00B14CB2"/>
    <w:rsid w:val="00B14CEA"/>
    <w:rsid w:val="00B14DFE"/>
    <w:rsid w:val="00B15018"/>
    <w:rsid w:val="00B150E6"/>
    <w:rsid w:val="00B152B5"/>
    <w:rsid w:val="00B15414"/>
    <w:rsid w:val="00B15929"/>
    <w:rsid w:val="00B15EAB"/>
    <w:rsid w:val="00B161C1"/>
    <w:rsid w:val="00B161CC"/>
    <w:rsid w:val="00B16540"/>
    <w:rsid w:val="00B16884"/>
    <w:rsid w:val="00B16BF9"/>
    <w:rsid w:val="00B16D3E"/>
    <w:rsid w:val="00B16D85"/>
    <w:rsid w:val="00B16E02"/>
    <w:rsid w:val="00B16E43"/>
    <w:rsid w:val="00B16FAC"/>
    <w:rsid w:val="00B16FD8"/>
    <w:rsid w:val="00B172BD"/>
    <w:rsid w:val="00B173D6"/>
    <w:rsid w:val="00B1746C"/>
    <w:rsid w:val="00B1767E"/>
    <w:rsid w:val="00B17729"/>
    <w:rsid w:val="00B17837"/>
    <w:rsid w:val="00B17AA5"/>
    <w:rsid w:val="00B17B5B"/>
    <w:rsid w:val="00B17CBC"/>
    <w:rsid w:val="00B17DA0"/>
    <w:rsid w:val="00B17DB1"/>
    <w:rsid w:val="00B17EE3"/>
    <w:rsid w:val="00B17F41"/>
    <w:rsid w:val="00B20163"/>
    <w:rsid w:val="00B202A2"/>
    <w:rsid w:val="00B202AE"/>
    <w:rsid w:val="00B203F0"/>
    <w:rsid w:val="00B204F2"/>
    <w:rsid w:val="00B20560"/>
    <w:rsid w:val="00B2056F"/>
    <w:rsid w:val="00B20583"/>
    <w:rsid w:val="00B20952"/>
    <w:rsid w:val="00B20BD2"/>
    <w:rsid w:val="00B20C0A"/>
    <w:rsid w:val="00B20C9C"/>
    <w:rsid w:val="00B20E24"/>
    <w:rsid w:val="00B2110E"/>
    <w:rsid w:val="00B21125"/>
    <w:rsid w:val="00B211A9"/>
    <w:rsid w:val="00B2130A"/>
    <w:rsid w:val="00B218DA"/>
    <w:rsid w:val="00B21AF6"/>
    <w:rsid w:val="00B21ED4"/>
    <w:rsid w:val="00B21F6B"/>
    <w:rsid w:val="00B22288"/>
    <w:rsid w:val="00B2277C"/>
    <w:rsid w:val="00B22792"/>
    <w:rsid w:val="00B229D1"/>
    <w:rsid w:val="00B22AA8"/>
    <w:rsid w:val="00B2319B"/>
    <w:rsid w:val="00B231D8"/>
    <w:rsid w:val="00B2330B"/>
    <w:rsid w:val="00B2346B"/>
    <w:rsid w:val="00B23478"/>
    <w:rsid w:val="00B234C5"/>
    <w:rsid w:val="00B23B61"/>
    <w:rsid w:val="00B23BFE"/>
    <w:rsid w:val="00B23D30"/>
    <w:rsid w:val="00B23F19"/>
    <w:rsid w:val="00B24108"/>
    <w:rsid w:val="00B242E6"/>
    <w:rsid w:val="00B24462"/>
    <w:rsid w:val="00B248A2"/>
    <w:rsid w:val="00B24A44"/>
    <w:rsid w:val="00B24CCB"/>
    <w:rsid w:val="00B24E69"/>
    <w:rsid w:val="00B24EB1"/>
    <w:rsid w:val="00B24EFB"/>
    <w:rsid w:val="00B250B3"/>
    <w:rsid w:val="00B25267"/>
    <w:rsid w:val="00B25280"/>
    <w:rsid w:val="00B2574C"/>
    <w:rsid w:val="00B2579E"/>
    <w:rsid w:val="00B2584C"/>
    <w:rsid w:val="00B25867"/>
    <w:rsid w:val="00B25877"/>
    <w:rsid w:val="00B25940"/>
    <w:rsid w:val="00B259F9"/>
    <w:rsid w:val="00B25A6D"/>
    <w:rsid w:val="00B2664A"/>
    <w:rsid w:val="00B2672C"/>
    <w:rsid w:val="00B26746"/>
    <w:rsid w:val="00B268ED"/>
    <w:rsid w:val="00B2699F"/>
    <w:rsid w:val="00B26C1A"/>
    <w:rsid w:val="00B26C26"/>
    <w:rsid w:val="00B273E3"/>
    <w:rsid w:val="00B27585"/>
    <w:rsid w:val="00B27845"/>
    <w:rsid w:val="00B2796C"/>
    <w:rsid w:val="00B279ED"/>
    <w:rsid w:val="00B27A7C"/>
    <w:rsid w:val="00B27C42"/>
    <w:rsid w:val="00B30014"/>
    <w:rsid w:val="00B30153"/>
    <w:rsid w:val="00B301A4"/>
    <w:rsid w:val="00B30467"/>
    <w:rsid w:val="00B304DF"/>
    <w:rsid w:val="00B307A7"/>
    <w:rsid w:val="00B309B3"/>
    <w:rsid w:val="00B30D48"/>
    <w:rsid w:val="00B310BE"/>
    <w:rsid w:val="00B3117A"/>
    <w:rsid w:val="00B3135B"/>
    <w:rsid w:val="00B313B9"/>
    <w:rsid w:val="00B3140A"/>
    <w:rsid w:val="00B314B8"/>
    <w:rsid w:val="00B31B9D"/>
    <w:rsid w:val="00B31EEB"/>
    <w:rsid w:val="00B3215D"/>
    <w:rsid w:val="00B323C4"/>
    <w:rsid w:val="00B32579"/>
    <w:rsid w:val="00B325AA"/>
    <w:rsid w:val="00B32637"/>
    <w:rsid w:val="00B328B3"/>
    <w:rsid w:val="00B32A64"/>
    <w:rsid w:val="00B33085"/>
    <w:rsid w:val="00B3316F"/>
    <w:rsid w:val="00B33789"/>
    <w:rsid w:val="00B3396F"/>
    <w:rsid w:val="00B33C44"/>
    <w:rsid w:val="00B33E60"/>
    <w:rsid w:val="00B34681"/>
    <w:rsid w:val="00B346B2"/>
    <w:rsid w:val="00B3478C"/>
    <w:rsid w:val="00B34A27"/>
    <w:rsid w:val="00B34A46"/>
    <w:rsid w:val="00B34FD3"/>
    <w:rsid w:val="00B3502F"/>
    <w:rsid w:val="00B35179"/>
    <w:rsid w:val="00B351BC"/>
    <w:rsid w:val="00B351E0"/>
    <w:rsid w:val="00B35392"/>
    <w:rsid w:val="00B354EA"/>
    <w:rsid w:val="00B35584"/>
    <w:rsid w:val="00B35948"/>
    <w:rsid w:val="00B35B8B"/>
    <w:rsid w:val="00B35BF2"/>
    <w:rsid w:val="00B35CDE"/>
    <w:rsid w:val="00B35DB2"/>
    <w:rsid w:val="00B35DBB"/>
    <w:rsid w:val="00B35F8F"/>
    <w:rsid w:val="00B36039"/>
    <w:rsid w:val="00B361D2"/>
    <w:rsid w:val="00B3632C"/>
    <w:rsid w:val="00B363FE"/>
    <w:rsid w:val="00B3669A"/>
    <w:rsid w:val="00B36755"/>
    <w:rsid w:val="00B36C2F"/>
    <w:rsid w:val="00B37281"/>
    <w:rsid w:val="00B375D1"/>
    <w:rsid w:val="00B37AE3"/>
    <w:rsid w:val="00B37DEB"/>
    <w:rsid w:val="00B40005"/>
    <w:rsid w:val="00B40012"/>
    <w:rsid w:val="00B4005D"/>
    <w:rsid w:val="00B4008F"/>
    <w:rsid w:val="00B40143"/>
    <w:rsid w:val="00B402DD"/>
    <w:rsid w:val="00B403A7"/>
    <w:rsid w:val="00B40655"/>
    <w:rsid w:val="00B406BF"/>
    <w:rsid w:val="00B40865"/>
    <w:rsid w:val="00B41049"/>
    <w:rsid w:val="00B41087"/>
    <w:rsid w:val="00B41349"/>
    <w:rsid w:val="00B4141D"/>
    <w:rsid w:val="00B42237"/>
    <w:rsid w:val="00B422AA"/>
    <w:rsid w:val="00B42D1C"/>
    <w:rsid w:val="00B431F5"/>
    <w:rsid w:val="00B4325E"/>
    <w:rsid w:val="00B4336F"/>
    <w:rsid w:val="00B43709"/>
    <w:rsid w:val="00B43774"/>
    <w:rsid w:val="00B43838"/>
    <w:rsid w:val="00B43D92"/>
    <w:rsid w:val="00B43DDE"/>
    <w:rsid w:val="00B43E52"/>
    <w:rsid w:val="00B44048"/>
    <w:rsid w:val="00B444F1"/>
    <w:rsid w:val="00B44B1A"/>
    <w:rsid w:val="00B44F33"/>
    <w:rsid w:val="00B44F97"/>
    <w:rsid w:val="00B4501B"/>
    <w:rsid w:val="00B4519B"/>
    <w:rsid w:val="00B4593A"/>
    <w:rsid w:val="00B45D77"/>
    <w:rsid w:val="00B45F28"/>
    <w:rsid w:val="00B46002"/>
    <w:rsid w:val="00B4604F"/>
    <w:rsid w:val="00B4606F"/>
    <w:rsid w:val="00B46126"/>
    <w:rsid w:val="00B4642A"/>
    <w:rsid w:val="00B46491"/>
    <w:rsid w:val="00B464ED"/>
    <w:rsid w:val="00B46607"/>
    <w:rsid w:val="00B46A98"/>
    <w:rsid w:val="00B4711C"/>
    <w:rsid w:val="00B47482"/>
    <w:rsid w:val="00B4759D"/>
    <w:rsid w:val="00B47836"/>
    <w:rsid w:val="00B47967"/>
    <w:rsid w:val="00B47A90"/>
    <w:rsid w:val="00B47C7B"/>
    <w:rsid w:val="00B47D6B"/>
    <w:rsid w:val="00B47F3D"/>
    <w:rsid w:val="00B50001"/>
    <w:rsid w:val="00B50065"/>
    <w:rsid w:val="00B503AC"/>
    <w:rsid w:val="00B504CF"/>
    <w:rsid w:val="00B506D0"/>
    <w:rsid w:val="00B509B8"/>
    <w:rsid w:val="00B509C0"/>
    <w:rsid w:val="00B50AA6"/>
    <w:rsid w:val="00B50B67"/>
    <w:rsid w:val="00B50F27"/>
    <w:rsid w:val="00B5154E"/>
    <w:rsid w:val="00B51769"/>
    <w:rsid w:val="00B517F4"/>
    <w:rsid w:val="00B51C5B"/>
    <w:rsid w:val="00B51D58"/>
    <w:rsid w:val="00B52357"/>
    <w:rsid w:val="00B523F6"/>
    <w:rsid w:val="00B525F5"/>
    <w:rsid w:val="00B528C3"/>
    <w:rsid w:val="00B528FF"/>
    <w:rsid w:val="00B52BDC"/>
    <w:rsid w:val="00B52E7B"/>
    <w:rsid w:val="00B52FFF"/>
    <w:rsid w:val="00B531A3"/>
    <w:rsid w:val="00B53212"/>
    <w:rsid w:val="00B53265"/>
    <w:rsid w:val="00B537E0"/>
    <w:rsid w:val="00B53805"/>
    <w:rsid w:val="00B53E22"/>
    <w:rsid w:val="00B53E2A"/>
    <w:rsid w:val="00B540BC"/>
    <w:rsid w:val="00B54415"/>
    <w:rsid w:val="00B54486"/>
    <w:rsid w:val="00B5483E"/>
    <w:rsid w:val="00B54923"/>
    <w:rsid w:val="00B5495D"/>
    <w:rsid w:val="00B54970"/>
    <w:rsid w:val="00B54D21"/>
    <w:rsid w:val="00B54E8D"/>
    <w:rsid w:val="00B551A7"/>
    <w:rsid w:val="00B5544C"/>
    <w:rsid w:val="00B55559"/>
    <w:rsid w:val="00B555DD"/>
    <w:rsid w:val="00B5576A"/>
    <w:rsid w:val="00B55A18"/>
    <w:rsid w:val="00B56004"/>
    <w:rsid w:val="00B56568"/>
    <w:rsid w:val="00B5687D"/>
    <w:rsid w:val="00B56CE9"/>
    <w:rsid w:val="00B56D07"/>
    <w:rsid w:val="00B56E62"/>
    <w:rsid w:val="00B56EC3"/>
    <w:rsid w:val="00B56FEF"/>
    <w:rsid w:val="00B57104"/>
    <w:rsid w:val="00B5720A"/>
    <w:rsid w:val="00B57279"/>
    <w:rsid w:val="00B57426"/>
    <w:rsid w:val="00B5750D"/>
    <w:rsid w:val="00B57627"/>
    <w:rsid w:val="00B577E3"/>
    <w:rsid w:val="00B57867"/>
    <w:rsid w:val="00B5796A"/>
    <w:rsid w:val="00B6008A"/>
    <w:rsid w:val="00B60631"/>
    <w:rsid w:val="00B607AB"/>
    <w:rsid w:val="00B6089F"/>
    <w:rsid w:val="00B60909"/>
    <w:rsid w:val="00B6092B"/>
    <w:rsid w:val="00B60AD9"/>
    <w:rsid w:val="00B60BCC"/>
    <w:rsid w:val="00B60CE0"/>
    <w:rsid w:val="00B60F28"/>
    <w:rsid w:val="00B6100D"/>
    <w:rsid w:val="00B6115F"/>
    <w:rsid w:val="00B612D5"/>
    <w:rsid w:val="00B61416"/>
    <w:rsid w:val="00B61651"/>
    <w:rsid w:val="00B61851"/>
    <w:rsid w:val="00B61ADE"/>
    <w:rsid w:val="00B61FBD"/>
    <w:rsid w:val="00B61FC8"/>
    <w:rsid w:val="00B62411"/>
    <w:rsid w:val="00B6265B"/>
    <w:rsid w:val="00B626EA"/>
    <w:rsid w:val="00B6284B"/>
    <w:rsid w:val="00B628CA"/>
    <w:rsid w:val="00B629DF"/>
    <w:rsid w:val="00B62AB6"/>
    <w:rsid w:val="00B62D5B"/>
    <w:rsid w:val="00B62EFC"/>
    <w:rsid w:val="00B6312A"/>
    <w:rsid w:val="00B6350F"/>
    <w:rsid w:val="00B64082"/>
    <w:rsid w:val="00B64156"/>
    <w:rsid w:val="00B6420F"/>
    <w:rsid w:val="00B642A8"/>
    <w:rsid w:val="00B645DD"/>
    <w:rsid w:val="00B64601"/>
    <w:rsid w:val="00B648A3"/>
    <w:rsid w:val="00B64AC6"/>
    <w:rsid w:val="00B64B0A"/>
    <w:rsid w:val="00B64D08"/>
    <w:rsid w:val="00B64E09"/>
    <w:rsid w:val="00B64E20"/>
    <w:rsid w:val="00B64E3D"/>
    <w:rsid w:val="00B6504E"/>
    <w:rsid w:val="00B65195"/>
    <w:rsid w:val="00B65547"/>
    <w:rsid w:val="00B658E1"/>
    <w:rsid w:val="00B65B3E"/>
    <w:rsid w:val="00B65EEE"/>
    <w:rsid w:val="00B6647C"/>
    <w:rsid w:val="00B66520"/>
    <w:rsid w:val="00B6654A"/>
    <w:rsid w:val="00B6667C"/>
    <w:rsid w:val="00B6669F"/>
    <w:rsid w:val="00B66B78"/>
    <w:rsid w:val="00B66B79"/>
    <w:rsid w:val="00B66B9F"/>
    <w:rsid w:val="00B67085"/>
    <w:rsid w:val="00B670B0"/>
    <w:rsid w:val="00B6754A"/>
    <w:rsid w:val="00B67801"/>
    <w:rsid w:val="00B678A8"/>
    <w:rsid w:val="00B67A57"/>
    <w:rsid w:val="00B67ABA"/>
    <w:rsid w:val="00B67D90"/>
    <w:rsid w:val="00B67DBA"/>
    <w:rsid w:val="00B67F32"/>
    <w:rsid w:val="00B67F62"/>
    <w:rsid w:val="00B7009F"/>
    <w:rsid w:val="00B70178"/>
    <w:rsid w:val="00B704E0"/>
    <w:rsid w:val="00B7051C"/>
    <w:rsid w:val="00B70592"/>
    <w:rsid w:val="00B70727"/>
    <w:rsid w:val="00B709A5"/>
    <w:rsid w:val="00B70A27"/>
    <w:rsid w:val="00B70A3E"/>
    <w:rsid w:val="00B70FB5"/>
    <w:rsid w:val="00B711C7"/>
    <w:rsid w:val="00B711F1"/>
    <w:rsid w:val="00B712B5"/>
    <w:rsid w:val="00B71422"/>
    <w:rsid w:val="00B71545"/>
    <w:rsid w:val="00B715BC"/>
    <w:rsid w:val="00B719A6"/>
    <w:rsid w:val="00B71A4B"/>
    <w:rsid w:val="00B71B7F"/>
    <w:rsid w:val="00B71B98"/>
    <w:rsid w:val="00B71DDC"/>
    <w:rsid w:val="00B720F7"/>
    <w:rsid w:val="00B7214D"/>
    <w:rsid w:val="00B721E6"/>
    <w:rsid w:val="00B72280"/>
    <w:rsid w:val="00B7249D"/>
    <w:rsid w:val="00B72756"/>
    <w:rsid w:val="00B728DC"/>
    <w:rsid w:val="00B729D1"/>
    <w:rsid w:val="00B72AB5"/>
    <w:rsid w:val="00B72B81"/>
    <w:rsid w:val="00B72E9E"/>
    <w:rsid w:val="00B73051"/>
    <w:rsid w:val="00B73143"/>
    <w:rsid w:val="00B7317A"/>
    <w:rsid w:val="00B73218"/>
    <w:rsid w:val="00B73562"/>
    <w:rsid w:val="00B73585"/>
    <w:rsid w:val="00B73598"/>
    <w:rsid w:val="00B735B0"/>
    <w:rsid w:val="00B735E2"/>
    <w:rsid w:val="00B736E0"/>
    <w:rsid w:val="00B73ABF"/>
    <w:rsid w:val="00B73CEB"/>
    <w:rsid w:val="00B7421F"/>
    <w:rsid w:val="00B74484"/>
    <w:rsid w:val="00B746C5"/>
    <w:rsid w:val="00B746E2"/>
    <w:rsid w:val="00B74982"/>
    <w:rsid w:val="00B749BC"/>
    <w:rsid w:val="00B74EDB"/>
    <w:rsid w:val="00B754BC"/>
    <w:rsid w:val="00B7553C"/>
    <w:rsid w:val="00B75669"/>
    <w:rsid w:val="00B757E1"/>
    <w:rsid w:val="00B759DB"/>
    <w:rsid w:val="00B75A4C"/>
    <w:rsid w:val="00B761AA"/>
    <w:rsid w:val="00B763A6"/>
    <w:rsid w:val="00B767C0"/>
    <w:rsid w:val="00B76A82"/>
    <w:rsid w:val="00B77269"/>
    <w:rsid w:val="00B7737E"/>
    <w:rsid w:val="00B775DD"/>
    <w:rsid w:val="00B7768A"/>
    <w:rsid w:val="00B77743"/>
    <w:rsid w:val="00B77A86"/>
    <w:rsid w:val="00B77D8F"/>
    <w:rsid w:val="00B77F1E"/>
    <w:rsid w:val="00B8026C"/>
    <w:rsid w:val="00B80351"/>
    <w:rsid w:val="00B805ED"/>
    <w:rsid w:val="00B80632"/>
    <w:rsid w:val="00B8073A"/>
    <w:rsid w:val="00B80860"/>
    <w:rsid w:val="00B808A3"/>
    <w:rsid w:val="00B80C02"/>
    <w:rsid w:val="00B80D81"/>
    <w:rsid w:val="00B80E4C"/>
    <w:rsid w:val="00B81201"/>
    <w:rsid w:val="00B81548"/>
    <w:rsid w:val="00B81818"/>
    <w:rsid w:val="00B81ACC"/>
    <w:rsid w:val="00B81AEF"/>
    <w:rsid w:val="00B81B8F"/>
    <w:rsid w:val="00B81C6B"/>
    <w:rsid w:val="00B81C8D"/>
    <w:rsid w:val="00B81F2A"/>
    <w:rsid w:val="00B825FF"/>
    <w:rsid w:val="00B8271E"/>
    <w:rsid w:val="00B8276A"/>
    <w:rsid w:val="00B82A80"/>
    <w:rsid w:val="00B82B2D"/>
    <w:rsid w:val="00B82BAF"/>
    <w:rsid w:val="00B82C5D"/>
    <w:rsid w:val="00B8306C"/>
    <w:rsid w:val="00B8325A"/>
    <w:rsid w:val="00B832FD"/>
    <w:rsid w:val="00B8361C"/>
    <w:rsid w:val="00B837C7"/>
    <w:rsid w:val="00B83802"/>
    <w:rsid w:val="00B8383F"/>
    <w:rsid w:val="00B83C56"/>
    <w:rsid w:val="00B83C6E"/>
    <w:rsid w:val="00B8437E"/>
    <w:rsid w:val="00B84473"/>
    <w:rsid w:val="00B845B8"/>
    <w:rsid w:val="00B84702"/>
    <w:rsid w:val="00B84B64"/>
    <w:rsid w:val="00B84BD4"/>
    <w:rsid w:val="00B84F60"/>
    <w:rsid w:val="00B85037"/>
    <w:rsid w:val="00B8542F"/>
    <w:rsid w:val="00B8545E"/>
    <w:rsid w:val="00B85A0A"/>
    <w:rsid w:val="00B85CD3"/>
    <w:rsid w:val="00B85FA5"/>
    <w:rsid w:val="00B86252"/>
    <w:rsid w:val="00B8643C"/>
    <w:rsid w:val="00B8676F"/>
    <w:rsid w:val="00B86782"/>
    <w:rsid w:val="00B8684F"/>
    <w:rsid w:val="00B86AEA"/>
    <w:rsid w:val="00B86C5E"/>
    <w:rsid w:val="00B86F3D"/>
    <w:rsid w:val="00B86FFA"/>
    <w:rsid w:val="00B8702C"/>
    <w:rsid w:val="00B87225"/>
    <w:rsid w:val="00B874E5"/>
    <w:rsid w:val="00B874E8"/>
    <w:rsid w:val="00B875D4"/>
    <w:rsid w:val="00B878EC"/>
    <w:rsid w:val="00B87D78"/>
    <w:rsid w:val="00B90186"/>
    <w:rsid w:val="00B90397"/>
    <w:rsid w:val="00B90973"/>
    <w:rsid w:val="00B90AB0"/>
    <w:rsid w:val="00B90AE5"/>
    <w:rsid w:val="00B90C4C"/>
    <w:rsid w:val="00B915EA"/>
    <w:rsid w:val="00B9163C"/>
    <w:rsid w:val="00B91881"/>
    <w:rsid w:val="00B91CAB"/>
    <w:rsid w:val="00B91D4C"/>
    <w:rsid w:val="00B91D8D"/>
    <w:rsid w:val="00B91EEC"/>
    <w:rsid w:val="00B920D4"/>
    <w:rsid w:val="00B921A6"/>
    <w:rsid w:val="00B92238"/>
    <w:rsid w:val="00B923FB"/>
    <w:rsid w:val="00B92961"/>
    <w:rsid w:val="00B92C41"/>
    <w:rsid w:val="00B93137"/>
    <w:rsid w:val="00B931DD"/>
    <w:rsid w:val="00B93302"/>
    <w:rsid w:val="00B9368C"/>
    <w:rsid w:val="00B936B5"/>
    <w:rsid w:val="00B9399B"/>
    <w:rsid w:val="00B93EA3"/>
    <w:rsid w:val="00B93FB6"/>
    <w:rsid w:val="00B94447"/>
    <w:rsid w:val="00B94534"/>
    <w:rsid w:val="00B945E0"/>
    <w:rsid w:val="00B949FE"/>
    <w:rsid w:val="00B94C73"/>
    <w:rsid w:val="00B94C86"/>
    <w:rsid w:val="00B94E06"/>
    <w:rsid w:val="00B952B6"/>
    <w:rsid w:val="00B95426"/>
    <w:rsid w:val="00B95636"/>
    <w:rsid w:val="00B95720"/>
    <w:rsid w:val="00B95A7E"/>
    <w:rsid w:val="00B95BD8"/>
    <w:rsid w:val="00B96018"/>
    <w:rsid w:val="00B9606B"/>
    <w:rsid w:val="00B96301"/>
    <w:rsid w:val="00B96346"/>
    <w:rsid w:val="00B964C9"/>
    <w:rsid w:val="00B96544"/>
    <w:rsid w:val="00B96568"/>
    <w:rsid w:val="00B965BA"/>
    <w:rsid w:val="00B966D4"/>
    <w:rsid w:val="00B96870"/>
    <w:rsid w:val="00B96895"/>
    <w:rsid w:val="00B96A2A"/>
    <w:rsid w:val="00B96BF3"/>
    <w:rsid w:val="00B96C35"/>
    <w:rsid w:val="00B9766E"/>
    <w:rsid w:val="00B977B2"/>
    <w:rsid w:val="00B97943"/>
    <w:rsid w:val="00B97B06"/>
    <w:rsid w:val="00BA0622"/>
    <w:rsid w:val="00BA07B8"/>
    <w:rsid w:val="00BA0833"/>
    <w:rsid w:val="00BA084F"/>
    <w:rsid w:val="00BA0995"/>
    <w:rsid w:val="00BA0D5D"/>
    <w:rsid w:val="00BA0E7F"/>
    <w:rsid w:val="00BA0E98"/>
    <w:rsid w:val="00BA0F5E"/>
    <w:rsid w:val="00BA10C1"/>
    <w:rsid w:val="00BA113B"/>
    <w:rsid w:val="00BA14C8"/>
    <w:rsid w:val="00BA1682"/>
    <w:rsid w:val="00BA17AC"/>
    <w:rsid w:val="00BA19EB"/>
    <w:rsid w:val="00BA1FD4"/>
    <w:rsid w:val="00BA2495"/>
    <w:rsid w:val="00BA258D"/>
    <w:rsid w:val="00BA2619"/>
    <w:rsid w:val="00BA2AF1"/>
    <w:rsid w:val="00BA2CBC"/>
    <w:rsid w:val="00BA2D5E"/>
    <w:rsid w:val="00BA3292"/>
    <w:rsid w:val="00BA3390"/>
    <w:rsid w:val="00BA34B6"/>
    <w:rsid w:val="00BA34FA"/>
    <w:rsid w:val="00BA3B1A"/>
    <w:rsid w:val="00BA3B93"/>
    <w:rsid w:val="00BA3E29"/>
    <w:rsid w:val="00BA4061"/>
    <w:rsid w:val="00BA4182"/>
    <w:rsid w:val="00BA44AA"/>
    <w:rsid w:val="00BA44D6"/>
    <w:rsid w:val="00BA4510"/>
    <w:rsid w:val="00BA451D"/>
    <w:rsid w:val="00BA4643"/>
    <w:rsid w:val="00BA4668"/>
    <w:rsid w:val="00BA47F2"/>
    <w:rsid w:val="00BA4C91"/>
    <w:rsid w:val="00BA4CDF"/>
    <w:rsid w:val="00BA4D79"/>
    <w:rsid w:val="00BA53BC"/>
    <w:rsid w:val="00BA5496"/>
    <w:rsid w:val="00BA55C9"/>
    <w:rsid w:val="00BA5602"/>
    <w:rsid w:val="00BA574C"/>
    <w:rsid w:val="00BA5B80"/>
    <w:rsid w:val="00BA5C10"/>
    <w:rsid w:val="00BA5EBC"/>
    <w:rsid w:val="00BA6225"/>
    <w:rsid w:val="00BA6517"/>
    <w:rsid w:val="00BA658F"/>
    <w:rsid w:val="00BA66DF"/>
    <w:rsid w:val="00BA677B"/>
    <w:rsid w:val="00BA6931"/>
    <w:rsid w:val="00BA69AC"/>
    <w:rsid w:val="00BA6E29"/>
    <w:rsid w:val="00BA6E45"/>
    <w:rsid w:val="00BA6FDC"/>
    <w:rsid w:val="00BA7249"/>
    <w:rsid w:val="00BA73CB"/>
    <w:rsid w:val="00BA7419"/>
    <w:rsid w:val="00BA74A5"/>
    <w:rsid w:val="00BA7A19"/>
    <w:rsid w:val="00BA7E17"/>
    <w:rsid w:val="00BA7F51"/>
    <w:rsid w:val="00BB0004"/>
    <w:rsid w:val="00BB0136"/>
    <w:rsid w:val="00BB01D8"/>
    <w:rsid w:val="00BB049E"/>
    <w:rsid w:val="00BB0690"/>
    <w:rsid w:val="00BB070D"/>
    <w:rsid w:val="00BB0785"/>
    <w:rsid w:val="00BB0E12"/>
    <w:rsid w:val="00BB0E1E"/>
    <w:rsid w:val="00BB0FFA"/>
    <w:rsid w:val="00BB10FA"/>
    <w:rsid w:val="00BB10FD"/>
    <w:rsid w:val="00BB12CC"/>
    <w:rsid w:val="00BB15CA"/>
    <w:rsid w:val="00BB1A73"/>
    <w:rsid w:val="00BB1B05"/>
    <w:rsid w:val="00BB1D3F"/>
    <w:rsid w:val="00BB20B6"/>
    <w:rsid w:val="00BB20BC"/>
    <w:rsid w:val="00BB263A"/>
    <w:rsid w:val="00BB29D3"/>
    <w:rsid w:val="00BB2A0C"/>
    <w:rsid w:val="00BB2A13"/>
    <w:rsid w:val="00BB2E0C"/>
    <w:rsid w:val="00BB2E38"/>
    <w:rsid w:val="00BB2F00"/>
    <w:rsid w:val="00BB30A1"/>
    <w:rsid w:val="00BB3128"/>
    <w:rsid w:val="00BB31B3"/>
    <w:rsid w:val="00BB3325"/>
    <w:rsid w:val="00BB35BB"/>
    <w:rsid w:val="00BB3955"/>
    <w:rsid w:val="00BB3988"/>
    <w:rsid w:val="00BB3C8C"/>
    <w:rsid w:val="00BB3CA7"/>
    <w:rsid w:val="00BB3D97"/>
    <w:rsid w:val="00BB3E1D"/>
    <w:rsid w:val="00BB405B"/>
    <w:rsid w:val="00BB4088"/>
    <w:rsid w:val="00BB41A8"/>
    <w:rsid w:val="00BB41D0"/>
    <w:rsid w:val="00BB44DE"/>
    <w:rsid w:val="00BB4823"/>
    <w:rsid w:val="00BB4D1A"/>
    <w:rsid w:val="00BB4DAD"/>
    <w:rsid w:val="00BB4E34"/>
    <w:rsid w:val="00BB5026"/>
    <w:rsid w:val="00BB5170"/>
    <w:rsid w:val="00BB5390"/>
    <w:rsid w:val="00BB53B3"/>
    <w:rsid w:val="00BB55F6"/>
    <w:rsid w:val="00BB5661"/>
    <w:rsid w:val="00BB5AD2"/>
    <w:rsid w:val="00BB5C1E"/>
    <w:rsid w:val="00BB5FCE"/>
    <w:rsid w:val="00BB603C"/>
    <w:rsid w:val="00BB6126"/>
    <w:rsid w:val="00BB65E6"/>
    <w:rsid w:val="00BB6619"/>
    <w:rsid w:val="00BB6BC5"/>
    <w:rsid w:val="00BB6E77"/>
    <w:rsid w:val="00BB6EDB"/>
    <w:rsid w:val="00BB7202"/>
    <w:rsid w:val="00BB733A"/>
    <w:rsid w:val="00BB73B2"/>
    <w:rsid w:val="00BB7601"/>
    <w:rsid w:val="00BB77DA"/>
    <w:rsid w:val="00BB79D8"/>
    <w:rsid w:val="00BB7B7D"/>
    <w:rsid w:val="00BB7BFE"/>
    <w:rsid w:val="00BB7CF1"/>
    <w:rsid w:val="00BB7E4A"/>
    <w:rsid w:val="00BC034E"/>
    <w:rsid w:val="00BC0410"/>
    <w:rsid w:val="00BC07AA"/>
    <w:rsid w:val="00BC07E8"/>
    <w:rsid w:val="00BC0BF8"/>
    <w:rsid w:val="00BC12FE"/>
    <w:rsid w:val="00BC143B"/>
    <w:rsid w:val="00BC14A4"/>
    <w:rsid w:val="00BC19A7"/>
    <w:rsid w:val="00BC1A55"/>
    <w:rsid w:val="00BC21CF"/>
    <w:rsid w:val="00BC221E"/>
    <w:rsid w:val="00BC2651"/>
    <w:rsid w:val="00BC2709"/>
    <w:rsid w:val="00BC2842"/>
    <w:rsid w:val="00BC2959"/>
    <w:rsid w:val="00BC2A9F"/>
    <w:rsid w:val="00BC2EE6"/>
    <w:rsid w:val="00BC3485"/>
    <w:rsid w:val="00BC349A"/>
    <w:rsid w:val="00BC35C9"/>
    <w:rsid w:val="00BC3622"/>
    <w:rsid w:val="00BC3896"/>
    <w:rsid w:val="00BC3DFD"/>
    <w:rsid w:val="00BC46BC"/>
    <w:rsid w:val="00BC46EE"/>
    <w:rsid w:val="00BC4BB5"/>
    <w:rsid w:val="00BC4CFC"/>
    <w:rsid w:val="00BC4E63"/>
    <w:rsid w:val="00BC5154"/>
    <w:rsid w:val="00BC5345"/>
    <w:rsid w:val="00BC58DF"/>
    <w:rsid w:val="00BC59BE"/>
    <w:rsid w:val="00BC59E5"/>
    <w:rsid w:val="00BC5B2B"/>
    <w:rsid w:val="00BC5BB3"/>
    <w:rsid w:val="00BC6378"/>
    <w:rsid w:val="00BC6AD3"/>
    <w:rsid w:val="00BC6BA7"/>
    <w:rsid w:val="00BC6BF0"/>
    <w:rsid w:val="00BC6F00"/>
    <w:rsid w:val="00BC6FBE"/>
    <w:rsid w:val="00BC6FEA"/>
    <w:rsid w:val="00BC704A"/>
    <w:rsid w:val="00BC70D7"/>
    <w:rsid w:val="00BC71B5"/>
    <w:rsid w:val="00BC7218"/>
    <w:rsid w:val="00BC734F"/>
    <w:rsid w:val="00BC7809"/>
    <w:rsid w:val="00BC78A0"/>
    <w:rsid w:val="00BC78CD"/>
    <w:rsid w:val="00BC7A22"/>
    <w:rsid w:val="00BC7C92"/>
    <w:rsid w:val="00BD0469"/>
    <w:rsid w:val="00BD0521"/>
    <w:rsid w:val="00BD05C7"/>
    <w:rsid w:val="00BD085F"/>
    <w:rsid w:val="00BD0C70"/>
    <w:rsid w:val="00BD1077"/>
    <w:rsid w:val="00BD14A0"/>
    <w:rsid w:val="00BD1673"/>
    <w:rsid w:val="00BD17BE"/>
    <w:rsid w:val="00BD18EA"/>
    <w:rsid w:val="00BD1CC4"/>
    <w:rsid w:val="00BD1DF0"/>
    <w:rsid w:val="00BD20CA"/>
    <w:rsid w:val="00BD2635"/>
    <w:rsid w:val="00BD26F3"/>
    <w:rsid w:val="00BD26F4"/>
    <w:rsid w:val="00BD2859"/>
    <w:rsid w:val="00BD2941"/>
    <w:rsid w:val="00BD2A13"/>
    <w:rsid w:val="00BD2CDA"/>
    <w:rsid w:val="00BD2EDB"/>
    <w:rsid w:val="00BD31BA"/>
    <w:rsid w:val="00BD31E4"/>
    <w:rsid w:val="00BD35C1"/>
    <w:rsid w:val="00BD360B"/>
    <w:rsid w:val="00BD3763"/>
    <w:rsid w:val="00BD3805"/>
    <w:rsid w:val="00BD38BA"/>
    <w:rsid w:val="00BD3A3D"/>
    <w:rsid w:val="00BD3BE3"/>
    <w:rsid w:val="00BD3E3A"/>
    <w:rsid w:val="00BD3EB1"/>
    <w:rsid w:val="00BD3ED1"/>
    <w:rsid w:val="00BD3F5E"/>
    <w:rsid w:val="00BD4149"/>
    <w:rsid w:val="00BD44F6"/>
    <w:rsid w:val="00BD4E68"/>
    <w:rsid w:val="00BD53D0"/>
    <w:rsid w:val="00BD5538"/>
    <w:rsid w:val="00BD55C6"/>
    <w:rsid w:val="00BD55D3"/>
    <w:rsid w:val="00BD5B39"/>
    <w:rsid w:val="00BD5E86"/>
    <w:rsid w:val="00BD5E92"/>
    <w:rsid w:val="00BD6093"/>
    <w:rsid w:val="00BD60EE"/>
    <w:rsid w:val="00BD6372"/>
    <w:rsid w:val="00BD6570"/>
    <w:rsid w:val="00BD65B4"/>
    <w:rsid w:val="00BD68BC"/>
    <w:rsid w:val="00BD6911"/>
    <w:rsid w:val="00BD693F"/>
    <w:rsid w:val="00BD6C42"/>
    <w:rsid w:val="00BD7129"/>
    <w:rsid w:val="00BD791A"/>
    <w:rsid w:val="00BD79F3"/>
    <w:rsid w:val="00BD7A13"/>
    <w:rsid w:val="00BD7B10"/>
    <w:rsid w:val="00BD7C3F"/>
    <w:rsid w:val="00BE00C5"/>
    <w:rsid w:val="00BE0335"/>
    <w:rsid w:val="00BE0633"/>
    <w:rsid w:val="00BE06AC"/>
    <w:rsid w:val="00BE075F"/>
    <w:rsid w:val="00BE0C17"/>
    <w:rsid w:val="00BE0EBD"/>
    <w:rsid w:val="00BE1275"/>
    <w:rsid w:val="00BE15CC"/>
    <w:rsid w:val="00BE15FE"/>
    <w:rsid w:val="00BE166D"/>
    <w:rsid w:val="00BE1723"/>
    <w:rsid w:val="00BE1752"/>
    <w:rsid w:val="00BE176E"/>
    <w:rsid w:val="00BE183F"/>
    <w:rsid w:val="00BE18C4"/>
    <w:rsid w:val="00BE19E5"/>
    <w:rsid w:val="00BE1A5E"/>
    <w:rsid w:val="00BE1B40"/>
    <w:rsid w:val="00BE1CA4"/>
    <w:rsid w:val="00BE1D3A"/>
    <w:rsid w:val="00BE1EAA"/>
    <w:rsid w:val="00BE201D"/>
    <w:rsid w:val="00BE2314"/>
    <w:rsid w:val="00BE2583"/>
    <w:rsid w:val="00BE25FE"/>
    <w:rsid w:val="00BE27FB"/>
    <w:rsid w:val="00BE2800"/>
    <w:rsid w:val="00BE2B02"/>
    <w:rsid w:val="00BE2C2A"/>
    <w:rsid w:val="00BE2C46"/>
    <w:rsid w:val="00BE2E77"/>
    <w:rsid w:val="00BE2EDF"/>
    <w:rsid w:val="00BE2EFC"/>
    <w:rsid w:val="00BE2F8A"/>
    <w:rsid w:val="00BE31AD"/>
    <w:rsid w:val="00BE332C"/>
    <w:rsid w:val="00BE34C6"/>
    <w:rsid w:val="00BE3562"/>
    <w:rsid w:val="00BE3597"/>
    <w:rsid w:val="00BE35BC"/>
    <w:rsid w:val="00BE376F"/>
    <w:rsid w:val="00BE37DC"/>
    <w:rsid w:val="00BE3878"/>
    <w:rsid w:val="00BE39AB"/>
    <w:rsid w:val="00BE3C38"/>
    <w:rsid w:val="00BE3D90"/>
    <w:rsid w:val="00BE42C3"/>
    <w:rsid w:val="00BE47FF"/>
    <w:rsid w:val="00BE487B"/>
    <w:rsid w:val="00BE4A23"/>
    <w:rsid w:val="00BE4C71"/>
    <w:rsid w:val="00BE4E28"/>
    <w:rsid w:val="00BE4FEC"/>
    <w:rsid w:val="00BE51E9"/>
    <w:rsid w:val="00BE531A"/>
    <w:rsid w:val="00BE537C"/>
    <w:rsid w:val="00BE545A"/>
    <w:rsid w:val="00BE54E7"/>
    <w:rsid w:val="00BE5846"/>
    <w:rsid w:val="00BE58E6"/>
    <w:rsid w:val="00BE58F1"/>
    <w:rsid w:val="00BE5AE5"/>
    <w:rsid w:val="00BE5CF8"/>
    <w:rsid w:val="00BE5D21"/>
    <w:rsid w:val="00BE5D38"/>
    <w:rsid w:val="00BE5FFF"/>
    <w:rsid w:val="00BE604B"/>
    <w:rsid w:val="00BE6111"/>
    <w:rsid w:val="00BE61B5"/>
    <w:rsid w:val="00BE6202"/>
    <w:rsid w:val="00BE635F"/>
    <w:rsid w:val="00BE639E"/>
    <w:rsid w:val="00BE66BE"/>
    <w:rsid w:val="00BE69F5"/>
    <w:rsid w:val="00BE7145"/>
    <w:rsid w:val="00BE72B2"/>
    <w:rsid w:val="00BE72BA"/>
    <w:rsid w:val="00BE7615"/>
    <w:rsid w:val="00BE7729"/>
    <w:rsid w:val="00BE7A1B"/>
    <w:rsid w:val="00BE7A51"/>
    <w:rsid w:val="00BE7DE4"/>
    <w:rsid w:val="00BF01C1"/>
    <w:rsid w:val="00BF01CC"/>
    <w:rsid w:val="00BF0439"/>
    <w:rsid w:val="00BF0C6B"/>
    <w:rsid w:val="00BF0FFB"/>
    <w:rsid w:val="00BF125D"/>
    <w:rsid w:val="00BF152B"/>
    <w:rsid w:val="00BF1685"/>
    <w:rsid w:val="00BF1975"/>
    <w:rsid w:val="00BF1BC6"/>
    <w:rsid w:val="00BF1C8C"/>
    <w:rsid w:val="00BF1CAE"/>
    <w:rsid w:val="00BF208F"/>
    <w:rsid w:val="00BF20B7"/>
    <w:rsid w:val="00BF268A"/>
    <w:rsid w:val="00BF2823"/>
    <w:rsid w:val="00BF2A5B"/>
    <w:rsid w:val="00BF2C5E"/>
    <w:rsid w:val="00BF2D7A"/>
    <w:rsid w:val="00BF309E"/>
    <w:rsid w:val="00BF30D8"/>
    <w:rsid w:val="00BF310D"/>
    <w:rsid w:val="00BF36CA"/>
    <w:rsid w:val="00BF3C29"/>
    <w:rsid w:val="00BF3F91"/>
    <w:rsid w:val="00BF40D0"/>
    <w:rsid w:val="00BF4155"/>
    <w:rsid w:val="00BF43C8"/>
    <w:rsid w:val="00BF45F2"/>
    <w:rsid w:val="00BF468A"/>
    <w:rsid w:val="00BF4C70"/>
    <w:rsid w:val="00BF4C87"/>
    <w:rsid w:val="00BF4DE5"/>
    <w:rsid w:val="00BF4FC8"/>
    <w:rsid w:val="00BF52E2"/>
    <w:rsid w:val="00BF535C"/>
    <w:rsid w:val="00BF570A"/>
    <w:rsid w:val="00BF5963"/>
    <w:rsid w:val="00BF5B6F"/>
    <w:rsid w:val="00BF5C19"/>
    <w:rsid w:val="00BF5C46"/>
    <w:rsid w:val="00BF6036"/>
    <w:rsid w:val="00BF619B"/>
    <w:rsid w:val="00BF61B0"/>
    <w:rsid w:val="00BF6208"/>
    <w:rsid w:val="00BF623F"/>
    <w:rsid w:val="00BF624C"/>
    <w:rsid w:val="00BF62CB"/>
    <w:rsid w:val="00BF6432"/>
    <w:rsid w:val="00BF656D"/>
    <w:rsid w:val="00BF65A4"/>
    <w:rsid w:val="00BF6863"/>
    <w:rsid w:val="00BF69EE"/>
    <w:rsid w:val="00BF6A8D"/>
    <w:rsid w:val="00BF6BFE"/>
    <w:rsid w:val="00BF7117"/>
    <w:rsid w:val="00BF725C"/>
    <w:rsid w:val="00BF72A3"/>
    <w:rsid w:val="00BF72D6"/>
    <w:rsid w:val="00BF7532"/>
    <w:rsid w:val="00BF75A5"/>
    <w:rsid w:val="00BF7766"/>
    <w:rsid w:val="00BF7CFF"/>
    <w:rsid w:val="00C00027"/>
    <w:rsid w:val="00C00087"/>
    <w:rsid w:val="00C00093"/>
    <w:rsid w:val="00C0016B"/>
    <w:rsid w:val="00C002F5"/>
    <w:rsid w:val="00C004E4"/>
    <w:rsid w:val="00C008B6"/>
    <w:rsid w:val="00C00F0B"/>
    <w:rsid w:val="00C01014"/>
    <w:rsid w:val="00C010BA"/>
    <w:rsid w:val="00C0139D"/>
    <w:rsid w:val="00C014EF"/>
    <w:rsid w:val="00C016BF"/>
    <w:rsid w:val="00C01835"/>
    <w:rsid w:val="00C01D7F"/>
    <w:rsid w:val="00C01E5E"/>
    <w:rsid w:val="00C0203A"/>
    <w:rsid w:val="00C023FE"/>
    <w:rsid w:val="00C02648"/>
    <w:rsid w:val="00C028DE"/>
    <w:rsid w:val="00C02B80"/>
    <w:rsid w:val="00C02E03"/>
    <w:rsid w:val="00C02E62"/>
    <w:rsid w:val="00C032D0"/>
    <w:rsid w:val="00C035A1"/>
    <w:rsid w:val="00C03992"/>
    <w:rsid w:val="00C03BE8"/>
    <w:rsid w:val="00C03F99"/>
    <w:rsid w:val="00C04098"/>
    <w:rsid w:val="00C040F1"/>
    <w:rsid w:val="00C04149"/>
    <w:rsid w:val="00C043D8"/>
    <w:rsid w:val="00C0453B"/>
    <w:rsid w:val="00C045D3"/>
    <w:rsid w:val="00C047C7"/>
    <w:rsid w:val="00C04876"/>
    <w:rsid w:val="00C0489D"/>
    <w:rsid w:val="00C04BDB"/>
    <w:rsid w:val="00C04D0E"/>
    <w:rsid w:val="00C04D1D"/>
    <w:rsid w:val="00C04EA2"/>
    <w:rsid w:val="00C04FA1"/>
    <w:rsid w:val="00C04FD3"/>
    <w:rsid w:val="00C05193"/>
    <w:rsid w:val="00C055E3"/>
    <w:rsid w:val="00C05656"/>
    <w:rsid w:val="00C05820"/>
    <w:rsid w:val="00C05A28"/>
    <w:rsid w:val="00C05A3B"/>
    <w:rsid w:val="00C05ACD"/>
    <w:rsid w:val="00C05CD6"/>
    <w:rsid w:val="00C06030"/>
    <w:rsid w:val="00C06593"/>
    <w:rsid w:val="00C06595"/>
    <w:rsid w:val="00C06603"/>
    <w:rsid w:val="00C06654"/>
    <w:rsid w:val="00C0677C"/>
    <w:rsid w:val="00C0682C"/>
    <w:rsid w:val="00C06D51"/>
    <w:rsid w:val="00C06D79"/>
    <w:rsid w:val="00C071A4"/>
    <w:rsid w:val="00C077CB"/>
    <w:rsid w:val="00C07A06"/>
    <w:rsid w:val="00C07AB7"/>
    <w:rsid w:val="00C07AF0"/>
    <w:rsid w:val="00C07FF9"/>
    <w:rsid w:val="00C102CA"/>
    <w:rsid w:val="00C10575"/>
    <w:rsid w:val="00C106CA"/>
    <w:rsid w:val="00C10960"/>
    <w:rsid w:val="00C10A34"/>
    <w:rsid w:val="00C10B2D"/>
    <w:rsid w:val="00C10E74"/>
    <w:rsid w:val="00C10FF1"/>
    <w:rsid w:val="00C110C2"/>
    <w:rsid w:val="00C1140C"/>
    <w:rsid w:val="00C1157E"/>
    <w:rsid w:val="00C116BF"/>
    <w:rsid w:val="00C116C3"/>
    <w:rsid w:val="00C11773"/>
    <w:rsid w:val="00C11B3C"/>
    <w:rsid w:val="00C11BDE"/>
    <w:rsid w:val="00C11D39"/>
    <w:rsid w:val="00C11DB4"/>
    <w:rsid w:val="00C11E85"/>
    <w:rsid w:val="00C12102"/>
    <w:rsid w:val="00C12235"/>
    <w:rsid w:val="00C12579"/>
    <w:rsid w:val="00C126DB"/>
    <w:rsid w:val="00C128BE"/>
    <w:rsid w:val="00C12A4F"/>
    <w:rsid w:val="00C12CA9"/>
    <w:rsid w:val="00C12CBF"/>
    <w:rsid w:val="00C131D2"/>
    <w:rsid w:val="00C13382"/>
    <w:rsid w:val="00C13452"/>
    <w:rsid w:val="00C13493"/>
    <w:rsid w:val="00C1371B"/>
    <w:rsid w:val="00C13792"/>
    <w:rsid w:val="00C13A30"/>
    <w:rsid w:val="00C13AA5"/>
    <w:rsid w:val="00C13B0A"/>
    <w:rsid w:val="00C14110"/>
    <w:rsid w:val="00C1451B"/>
    <w:rsid w:val="00C14535"/>
    <w:rsid w:val="00C147B9"/>
    <w:rsid w:val="00C14F1E"/>
    <w:rsid w:val="00C153E7"/>
    <w:rsid w:val="00C1570C"/>
    <w:rsid w:val="00C15818"/>
    <w:rsid w:val="00C15D12"/>
    <w:rsid w:val="00C15D43"/>
    <w:rsid w:val="00C15D5B"/>
    <w:rsid w:val="00C15E61"/>
    <w:rsid w:val="00C15F21"/>
    <w:rsid w:val="00C16195"/>
    <w:rsid w:val="00C164DB"/>
    <w:rsid w:val="00C1656C"/>
    <w:rsid w:val="00C166AB"/>
    <w:rsid w:val="00C166CE"/>
    <w:rsid w:val="00C166F7"/>
    <w:rsid w:val="00C1702C"/>
    <w:rsid w:val="00C17170"/>
    <w:rsid w:val="00C172C5"/>
    <w:rsid w:val="00C17475"/>
    <w:rsid w:val="00C174E8"/>
    <w:rsid w:val="00C1758A"/>
    <w:rsid w:val="00C1790F"/>
    <w:rsid w:val="00C17979"/>
    <w:rsid w:val="00C179F1"/>
    <w:rsid w:val="00C201FA"/>
    <w:rsid w:val="00C20236"/>
    <w:rsid w:val="00C20281"/>
    <w:rsid w:val="00C20450"/>
    <w:rsid w:val="00C20ADD"/>
    <w:rsid w:val="00C20D13"/>
    <w:rsid w:val="00C20DE8"/>
    <w:rsid w:val="00C21617"/>
    <w:rsid w:val="00C218EB"/>
    <w:rsid w:val="00C21EA1"/>
    <w:rsid w:val="00C21F41"/>
    <w:rsid w:val="00C22133"/>
    <w:rsid w:val="00C2217D"/>
    <w:rsid w:val="00C2223C"/>
    <w:rsid w:val="00C225F9"/>
    <w:rsid w:val="00C22630"/>
    <w:rsid w:val="00C2284E"/>
    <w:rsid w:val="00C22A8B"/>
    <w:rsid w:val="00C22B6A"/>
    <w:rsid w:val="00C22B95"/>
    <w:rsid w:val="00C22E36"/>
    <w:rsid w:val="00C22ED3"/>
    <w:rsid w:val="00C22FD2"/>
    <w:rsid w:val="00C233ED"/>
    <w:rsid w:val="00C234B4"/>
    <w:rsid w:val="00C234BF"/>
    <w:rsid w:val="00C23996"/>
    <w:rsid w:val="00C23A9B"/>
    <w:rsid w:val="00C23AAA"/>
    <w:rsid w:val="00C23C3F"/>
    <w:rsid w:val="00C23D4C"/>
    <w:rsid w:val="00C23DFA"/>
    <w:rsid w:val="00C240D2"/>
    <w:rsid w:val="00C2410E"/>
    <w:rsid w:val="00C241DA"/>
    <w:rsid w:val="00C24212"/>
    <w:rsid w:val="00C24244"/>
    <w:rsid w:val="00C24299"/>
    <w:rsid w:val="00C244F5"/>
    <w:rsid w:val="00C244FF"/>
    <w:rsid w:val="00C24654"/>
    <w:rsid w:val="00C24732"/>
    <w:rsid w:val="00C24805"/>
    <w:rsid w:val="00C24956"/>
    <w:rsid w:val="00C249E4"/>
    <w:rsid w:val="00C24FC4"/>
    <w:rsid w:val="00C251E5"/>
    <w:rsid w:val="00C25352"/>
    <w:rsid w:val="00C25578"/>
    <w:rsid w:val="00C258C8"/>
    <w:rsid w:val="00C25E56"/>
    <w:rsid w:val="00C261CD"/>
    <w:rsid w:val="00C263E4"/>
    <w:rsid w:val="00C265C5"/>
    <w:rsid w:val="00C267AC"/>
    <w:rsid w:val="00C267BC"/>
    <w:rsid w:val="00C26839"/>
    <w:rsid w:val="00C2750C"/>
    <w:rsid w:val="00C2759F"/>
    <w:rsid w:val="00C2761B"/>
    <w:rsid w:val="00C277C0"/>
    <w:rsid w:val="00C27A75"/>
    <w:rsid w:val="00C27AAF"/>
    <w:rsid w:val="00C27AE5"/>
    <w:rsid w:val="00C27B59"/>
    <w:rsid w:val="00C27BF2"/>
    <w:rsid w:val="00C27F4E"/>
    <w:rsid w:val="00C30142"/>
    <w:rsid w:val="00C30725"/>
    <w:rsid w:val="00C3075E"/>
    <w:rsid w:val="00C30828"/>
    <w:rsid w:val="00C30A78"/>
    <w:rsid w:val="00C30C69"/>
    <w:rsid w:val="00C30F52"/>
    <w:rsid w:val="00C31189"/>
    <w:rsid w:val="00C312E9"/>
    <w:rsid w:val="00C31468"/>
    <w:rsid w:val="00C31566"/>
    <w:rsid w:val="00C31697"/>
    <w:rsid w:val="00C3179C"/>
    <w:rsid w:val="00C31A8E"/>
    <w:rsid w:val="00C31B0F"/>
    <w:rsid w:val="00C31DA8"/>
    <w:rsid w:val="00C31FB1"/>
    <w:rsid w:val="00C3209D"/>
    <w:rsid w:val="00C32116"/>
    <w:rsid w:val="00C327FB"/>
    <w:rsid w:val="00C32886"/>
    <w:rsid w:val="00C32975"/>
    <w:rsid w:val="00C32DD8"/>
    <w:rsid w:val="00C32E54"/>
    <w:rsid w:val="00C32EED"/>
    <w:rsid w:val="00C3309B"/>
    <w:rsid w:val="00C33228"/>
    <w:rsid w:val="00C333A5"/>
    <w:rsid w:val="00C33441"/>
    <w:rsid w:val="00C335F9"/>
    <w:rsid w:val="00C337AB"/>
    <w:rsid w:val="00C33C74"/>
    <w:rsid w:val="00C33D7E"/>
    <w:rsid w:val="00C33E73"/>
    <w:rsid w:val="00C33F50"/>
    <w:rsid w:val="00C34567"/>
    <w:rsid w:val="00C3457D"/>
    <w:rsid w:val="00C3469C"/>
    <w:rsid w:val="00C34F73"/>
    <w:rsid w:val="00C350C8"/>
    <w:rsid w:val="00C35199"/>
    <w:rsid w:val="00C351BC"/>
    <w:rsid w:val="00C35211"/>
    <w:rsid w:val="00C3546A"/>
    <w:rsid w:val="00C3558A"/>
    <w:rsid w:val="00C35694"/>
    <w:rsid w:val="00C35D0B"/>
    <w:rsid w:val="00C35D20"/>
    <w:rsid w:val="00C35D6D"/>
    <w:rsid w:val="00C35E02"/>
    <w:rsid w:val="00C35F9A"/>
    <w:rsid w:val="00C36101"/>
    <w:rsid w:val="00C3644E"/>
    <w:rsid w:val="00C36621"/>
    <w:rsid w:val="00C367B9"/>
    <w:rsid w:val="00C367BE"/>
    <w:rsid w:val="00C36941"/>
    <w:rsid w:val="00C369F7"/>
    <w:rsid w:val="00C36B90"/>
    <w:rsid w:val="00C36BAA"/>
    <w:rsid w:val="00C36CE8"/>
    <w:rsid w:val="00C36E75"/>
    <w:rsid w:val="00C36E91"/>
    <w:rsid w:val="00C3704A"/>
    <w:rsid w:val="00C37115"/>
    <w:rsid w:val="00C37116"/>
    <w:rsid w:val="00C37144"/>
    <w:rsid w:val="00C373BC"/>
    <w:rsid w:val="00C3772D"/>
    <w:rsid w:val="00C37757"/>
    <w:rsid w:val="00C37957"/>
    <w:rsid w:val="00C379E9"/>
    <w:rsid w:val="00C37D9B"/>
    <w:rsid w:val="00C40071"/>
    <w:rsid w:val="00C400D2"/>
    <w:rsid w:val="00C400E1"/>
    <w:rsid w:val="00C401C7"/>
    <w:rsid w:val="00C4088D"/>
    <w:rsid w:val="00C40B12"/>
    <w:rsid w:val="00C40BC5"/>
    <w:rsid w:val="00C40CEC"/>
    <w:rsid w:val="00C40E48"/>
    <w:rsid w:val="00C40E5F"/>
    <w:rsid w:val="00C4103E"/>
    <w:rsid w:val="00C41442"/>
    <w:rsid w:val="00C41486"/>
    <w:rsid w:val="00C41740"/>
    <w:rsid w:val="00C41893"/>
    <w:rsid w:val="00C41925"/>
    <w:rsid w:val="00C419BD"/>
    <w:rsid w:val="00C41A91"/>
    <w:rsid w:val="00C41FC8"/>
    <w:rsid w:val="00C41FD1"/>
    <w:rsid w:val="00C4221A"/>
    <w:rsid w:val="00C42243"/>
    <w:rsid w:val="00C42973"/>
    <w:rsid w:val="00C42BD2"/>
    <w:rsid w:val="00C431A9"/>
    <w:rsid w:val="00C434E2"/>
    <w:rsid w:val="00C435F9"/>
    <w:rsid w:val="00C43768"/>
    <w:rsid w:val="00C44005"/>
    <w:rsid w:val="00C44465"/>
    <w:rsid w:val="00C4453E"/>
    <w:rsid w:val="00C44561"/>
    <w:rsid w:val="00C44688"/>
    <w:rsid w:val="00C44891"/>
    <w:rsid w:val="00C448DA"/>
    <w:rsid w:val="00C44A72"/>
    <w:rsid w:val="00C44E15"/>
    <w:rsid w:val="00C44E47"/>
    <w:rsid w:val="00C44F3C"/>
    <w:rsid w:val="00C4511A"/>
    <w:rsid w:val="00C4525F"/>
    <w:rsid w:val="00C45300"/>
    <w:rsid w:val="00C45530"/>
    <w:rsid w:val="00C4562F"/>
    <w:rsid w:val="00C457BF"/>
    <w:rsid w:val="00C45857"/>
    <w:rsid w:val="00C458F9"/>
    <w:rsid w:val="00C45F7A"/>
    <w:rsid w:val="00C461CD"/>
    <w:rsid w:val="00C46246"/>
    <w:rsid w:val="00C46287"/>
    <w:rsid w:val="00C4648C"/>
    <w:rsid w:val="00C464DB"/>
    <w:rsid w:val="00C465F5"/>
    <w:rsid w:val="00C467E9"/>
    <w:rsid w:val="00C46928"/>
    <w:rsid w:val="00C46A08"/>
    <w:rsid w:val="00C46A89"/>
    <w:rsid w:val="00C46AFC"/>
    <w:rsid w:val="00C46B41"/>
    <w:rsid w:val="00C46F2A"/>
    <w:rsid w:val="00C46F91"/>
    <w:rsid w:val="00C471CC"/>
    <w:rsid w:val="00C4739C"/>
    <w:rsid w:val="00C473F9"/>
    <w:rsid w:val="00C4758A"/>
    <w:rsid w:val="00C476F8"/>
    <w:rsid w:val="00C47787"/>
    <w:rsid w:val="00C47910"/>
    <w:rsid w:val="00C4793D"/>
    <w:rsid w:val="00C47BA5"/>
    <w:rsid w:val="00C47C48"/>
    <w:rsid w:val="00C47D0E"/>
    <w:rsid w:val="00C47F1D"/>
    <w:rsid w:val="00C50149"/>
    <w:rsid w:val="00C50368"/>
    <w:rsid w:val="00C50AE8"/>
    <w:rsid w:val="00C50C4B"/>
    <w:rsid w:val="00C50F3C"/>
    <w:rsid w:val="00C511C9"/>
    <w:rsid w:val="00C512CF"/>
    <w:rsid w:val="00C513C3"/>
    <w:rsid w:val="00C51991"/>
    <w:rsid w:val="00C51DBF"/>
    <w:rsid w:val="00C5201F"/>
    <w:rsid w:val="00C520DA"/>
    <w:rsid w:val="00C5246A"/>
    <w:rsid w:val="00C52652"/>
    <w:rsid w:val="00C52749"/>
    <w:rsid w:val="00C528DD"/>
    <w:rsid w:val="00C52B60"/>
    <w:rsid w:val="00C52CB5"/>
    <w:rsid w:val="00C52D7B"/>
    <w:rsid w:val="00C52E4B"/>
    <w:rsid w:val="00C532D3"/>
    <w:rsid w:val="00C53456"/>
    <w:rsid w:val="00C53502"/>
    <w:rsid w:val="00C5362D"/>
    <w:rsid w:val="00C53946"/>
    <w:rsid w:val="00C53BD5"/>
    <w:rsid w:val="00C53D50"/>
    <w:rsid w:val="00C53DF3"/>
    <w:rsid w:val="00C543FA"/>
    <w:rsid w:val="00C54834"/>
    <w:rsid w:val="00C54A29"/>
    <w:rsid w:val="00C54A3A"/>
    <w:rsid w:val="00C54C9E"/>
    <w:rsid w:val="00C54DC2"/>
    <w:rsid w:val="00C54EDB"/>
    <w:rsid w:val="00C54EF4"/>
    <w:rsid w:val="00C55566"/>
    <w:rsid w:val="00C5556A"/>
    <w:rsid w:val="00C55632"/>
    <w:rsid w:val="00C55875"/>
    <w:rsid w:val="00C55B9F"/>
    <w:rsid w:val="00C55E09"/>
    <w:rsid w:val="00C55E0A"/>
    <w:rsid w:val="00C5603A"/>
    <w:rsid w:val="00C566A0"/>
    <w:rsid w:val="00C566DE"/>
    <w:rsid w:val="00C568DA"/>
    <w:rsid w:val="00C56C05"/>
    <w:rsid w:val="00C56C37"/>
    <w:rsid w:val="00C56C3D"/>
    <w:rsid w:val="00C56D65"/>
    <w:rsid w:val="00C56DB0"/>
    <w:rsid w:val="00C56FE7"/>
    <w:rsid w:val="00C57360"/>
    <w:rsid w:val="00C573C5"/>
    <w:rsid w:val="00C5774F"/>
    <w:rsid w:val="00C577D1"/>
    <w:rsid w:val="00C57820"/>
    <w:rsid w:val="00C578AD"/>
    <w:rsid w:val="00C578F2"/>
    <w:rsid w:val="00C57BBA"/>
    <w:rsid w:val="00C57E3C"/>
    <w:rsid w:val="00C57ED6"/>
    <w:rsid w:val="00C60079"/>
    <w:rsid w:val="00C6023E"/>
    <w:rsid w:val="00C608BC"/>
    <w:rsid w:val="00C60911"/>
    <w:rsid w:val="00C609A0"/>
    <w:rsid w:val="00C60E9A"/>
    <w:rsid w:val="00C61110"/>
    <w:rsid w:val="00C6114B"/>
    <w:rsid w:val="00C6117C"/>
    <w:rsid w:val="00C61198"/>
    <w:rsid w:val="00C612D1"/>
    <w:rsid w:val="00C61449"/>
    <w:rsid w:val="00C6152A"/>
    <w:rsid w:val="00C61832"/>
    <w:rsid w:val="00C618FA"/>
    <w:rsid w:val="00C61A5D"/>
    <w:rsid w:val="00C61A60"/>
    <w:rsid w:val="00C61B71"/>
    <w:rsid w:val="00C61BBD"/>
    <w:rsid w:val="00C61C55"/>
    <w:rsid w:val="00C61EB0"/>
    <w:rsid w:val="00C61FB3"/>
    <w:rsid w:val="00C6220D"/>
    <w:rsid w:val="00C62430"/>
    <w:rsid w:val="00C62527"/>
    <w:rsid w:val="00C62701"/>
    <w:rsid w:val="00C62709"/>
    <w:rsid w:val="00C6270D"/>
    <w:rsid w:val="00C628DE"/>
    <w:rsid w:val="00C62990"/>
    <w:rsid w:val="00C62A21"/>
    <w:rsid w:val="00C62BCF"/>
    <w:rsid w:val="00C62DAE"/>
    <w:rsid w:val="00C62E4F"/>
    <w:rsid w:val="00C62EA1"/>
    <w:rsid w:val="00C62EEE"/>
    <w:rsid w:val="00C63176"/>
    <w:rsid w:val="00C63385"/>
    <w:rsid w:val="00C634AF"/>
    <w:rsid w:val="00C6368D"/>
    <w:rsid w:val="00C63749"/>
    <w:rsid w:val="00C63769"/>
    <w:rsid w:val="00C63B31"/>
    <w:rsid w:val="00C63D6A"/>
    <w:rsid w:val="00C6464C"/>
    <w:rsid w:val="00C6467D"/>
    <w:rsid w:val="00C647D7"/>
    <w:rsid w:val="00C64899"/>
    <w:rsid w:val="00C64CC2"/>
    <w:rsid w:val="00C64E69"/>
    <w:rsid w:val="00C64F41"/>
    <w:rsid w:val="00C65085"/>
    <w:rsid w:val="00C65144"/>
    <w:rsid w:val="00C653D9"/>
    <w:rsid w:val="00C65B64"/>
    <w:rsid w:val="00C65D3D"/>
    <w:rsid w:val="00C6609E"/>
    <w:rsid w:val="00C66437"/>
    <w:rsid w:val="00C66A90"/>
    <w:rsid w:val="00C66BDA"/>
    <w:rsid w:val="00C66D25"/>
    <w:rsid w:val="00C66F61"/>
    <w:rsid w:val="00C67198"/>
    <w:rsid w:val="00C671D3"/>
    <w:rsid w:val="00C67276"/>
    <w:rsid w:val="00C672A7"/>
    <w:rsid w:val="00C675AE"/>
    <w:rsid w:val="00C676C8"/>
    <w:rsid w:val="00C676E1"/>
    <w:rsid w:val="00C67983"/>
    <w:rsid w:val="00C67A80"/>
    <w:rsid w:val="00C67C74"/>
    <w:rsid w:val="00C67CAD"/>
    <w:rsid w:val="00C67EAC"/>
    <w:rsid w:val="00C701C5"/>
    <w:rsid w:val="00C703D9"/>
    <w:rsid w:val="00C7052A"/>
    <w:rsid w:val="00C70866"/>
    <w:rsid w:val="00C709A5"/>
    <w:rsid w:val="00C70B42"/>
    <w:rsid w:val="00C70D7B"/>
    <w:rsid w:val="00C70D7C"/>
    <w:rsid w:val="00C70D92"/>
    <w:rsid w:val="00C70F3E"/>
    <w:rsid w:val="00C7105E"/>
    <w:rsid w:val="00C71134"/>
    <w:rsid w:val="00C71210"/>
    <w:rsid w:val="00C71332"/>
    <w:rsid w:val="00C7137D"/>
    <w:rsid w:val="00C7146A"/>
    <w:rsid w:val="00C71487"/>
    <w:rsid w:val="00C71655"/>
    <w:rsid w:val="00C71662"/>
    <w:rsid w:val="00C718A5"/>
    <w:rsid w:val="00C718C1"/>
    <w:rsid w:val="00C71F94"/>
    <w:rsid w:val="00C728CB"/>
    <w:rsid w:val="00C728F0"/>
    <w:rsid w:val="00C7291A"/>
    <w:rsid w:val="00C72C04"/>
    <w:rsid w:val="00C72E12"/>
    <w:rsid w:val="00C72E84"/>
    <w:rsid w:val="00C73191"/>
    <w:rsid w:val="00C73322"/>
    <w:rsid w:val="00C73394"/>
    <w:rsid w:val="00C73528"/>
    <w:rsid w:val="00C73974"/>
    <w:rsid w:val="00C73ADE"/>
    <w:rsid w:val="00C73B2C"/>
    <w:rsid w:val="00C73C02"/>
    <w:rsid w:val="00C73D61"/>
    <w:rsid w:val="00C73FC5"/>
    <w:rsid w:val="00C746C0"/>
    <w:rsid w:val="00C747F2"/>
    <w:rsid w:val="00C74A57"/>
    <w:rsid w:val="00C75156"/>
    <w:rsid w:val="00C753C0"/>
    <w:rsid w:val="00C753F6"/>
    <w:rsid w:val="00C75500"/>
    <w:rsid w:val="00C755BE"/>
    <w:rsid w:val="00C75731"/>
    <w:rsid w:val="00C75770"/>
    <w:rsid w:val="00C757A2"/>
    <w:rsid w:val="00C757D9"/>
    <w:rsid w:val="00C75AB3"/>
    <w:rsid w:val="00C75AFC"/>
    <w:rsid w:val="00C75BCE"/>
    <w:rsid w:val="00C75FE8"/>
    <w:rsid w:val="00C761F0"/>
    <w:rsid w:val="00C764AD"/>
    <w:rsid w:val="00C765D8"/>
    <w:rsid w:val="00C76676"/>
    <w:rsid w:val="00C7692B"/>
    <w:rsid w:val="00C76E3B"/>
    <w:rsid w:val="00C77083"/>
    <w:rsid w:val="00C7725E"/>
    <w:rsid w:val="00C775A4"/>
    <w:rsid w:val="00C77928"/>
    <w:rsid w:val="00C77B66"/>
    <w:rsid w:val="00C806FF"/>
    <w:rsid w:val="00C80967"/>
    <w:rsid w:val="00C809A7"/>
    <w:rsid w:val="00C81414"/>
    <w:rsid w:val="00C81974"/>
    <w:rsid w:val="00C81DC4"/>
    <w:rsid w:val="00C825FA"/>
    <w:rsid w:val="00C8335B"/>
    <w:rsid w:val="00C8345C"/>
    <w:rsid w:val="00C8366B"/>
    <w:rsid w:val="00C83725"/>
    <w:rsid w:val="00C8387C"/>
    <w:rsid w:val="00C84104"/>
    <w:rsid w:val="00C8416D"/>
    <w:rsid w:val="00C8447E"/>
    <w:rsid w:val="00C8449B"/>
    <w:rsid w:val="00C8450B"/>
    <w:rsid w:val="00C84654"/>
    <w:rsid w:val="00C849DF"/>
    <w:rsid w:val="00C84A84"/>
    <w:rsid w:val="00C84D00"/>
    <w:rsid w:val="00C84D9D"/>
    <w:rsid w:val="00C851B7"/>
    <w:rsid w:val="00C851E1"/>
    <w:rsid w:val="00C8524E"/>
    <w:rsid w:val="00C8571E"/>
    <w:rsid w:val="00C8576B"/>
    <w:rsid w:val="00C857E8"/>
    <w:rsid w:val="00C85938"/>
    <w:rsid w:val="00C85BC3"/>
    <w:rsid w:val="00C85D77"/>
    <w:rsid w:val="00C85F93"/>
    <w:rsid w:val="00C862EA"/>
    <w:rsid w:val="00C864AE"/>
    <w:rsid w:val="00C8650D"/>
    <w:rsid w:val="00C868BE"/>
    <w:rsid w:val="00C8694E"/>
    <w:rsid w:val="00C869E7"/>
    <w:rsid w:val="00C86B96"/>
    <w:rsid w:val="00C86D23"/>
    <w:rsid w:val="00C86DCD"/>
    <w:rsid w:val="00C86E59"/>
    <w:rsid w:val="00C86EC7"/>
    <w:rsid w:val="00C86FF1"/>
    <w:rsid w:val="00C8761F"/>
    <w:rsid w:val="00C877A7"/>
    <w:rsid w:val="00C87A4E"/>
    <w:rsid w:val="00C87B3D"/>
    <w:rsid w:val="00C87C26"/>
    <w:rsid w:val="00C87CB4"/>
    <w:rsid w:val="00C901AF"/>
    <w:rsid w:val="00C902CA"/>
    <w:rsid w:val="00C9048C"/>
    <w:rsid w:val="00C9076B"/>
    <w:rsid w:val="00C90826"/>
    <w:rsid w:val="00C90E68"/>
    <w:rsid w:val="00C90F0D"/>
    <w:rsid w:val="00C91325"/>
    <w:rsid w:val="00C915F9"/>
    <w:rsid w:val="00C91B11"/>
    <w:rsid w:val="00C92147"/>
    <w:rsid w:val="00C922E3"/>
    <w:rsid w:val="00C9233A"/>
    <w:rsid w:val="00C9249E"/>
    <w:rsid w:val="00C925B8"/>
    <w:rsid w:val="00C92B2E"/>
    <w:rsid w:val="00C92D85"/>
    <w:rsid w:val="00C93392"/>
    <w:rsid w:val="00C937D9"/>
    <w:rsid w:val="00C93900"/>
    <w:rsid w:val="00C93A63"/>
    <w:rsid w:val="00C93C94"/>
    <w:rsid w:val="00C93CE3"/>
    <w:rsid w:val="00C94D6B"/>
    <w:rsid w:val="00C95093"/>
    <w:rsid w:val="00C950C6"/>
    <w:rsid w:val="00C95349"/>
    <w:rsid w:val="00C9538C"/>
    <w:rsid w:val="00C95600"/>
    <w:rsid w:val="00C956CF"/>
    <w:rsid w:val="00C956F2"/>
    <w:rsid w:val="00C9580F"/>
    <w:rsid w:val="00C95A78"/>
    <w:rsid w:val="00C95D40"/>
    <w:rsid w:val="00C95D8D"/>
    <w:rsid w:val="00C9670E"/>
    <w:rsid w:val="00C96732"/>
    <w:rsid w:val="00C96833"/>
    <w:rsid w:val="00C9699A"/>
    <w:rsid w:val="00C96EEF"/>
    <w:rsid w:val="00C97212"/>
    <w:rsid w:val="00C97224"/>
    <w:rsid w:val="00C97341"/>
    <w:rsid w:val="00C97411"/>
    <w:rsid w:val="00C97462"/>
    <w:rsid w:val="00C974B8"/>
    <w:rsid w:val="00C97D12"/>
    <w:rsid w:val="00C97E13"/>
    <w:rsid w:val="00C97F79"/>
    <w:rsid w:val="00CA0010"/>
    <w:rsid w:val="00CA0289"/>
    <w:rsid w:val="00CA043F"/>
    <w:rsid w:val="00CA0492"/>
    <w:rsid w:val="00CA0523"/>
    <w:rsid w:val="00CA0628"/>
    <w:rsid w:val="00CA080F"/>
    <w:rsid w:val="00CA0988"/>
    <w:rsid w:val="00CA0A68"/>
    <w:rsid w:val="00CA11A3"/>
    <w:rsid w:val="00CA12EB"/>
    <w:rsid w:val="00CA18F2"/>
    <w:rsid w:val="00CA1998"/>
    <w:rsid w:val="00CA1ABE"/>
    <w:rsid w:val="00CA2009"/>
    <w:rsid w:val="00CA2136"/>
    <w:rsid w:val="00CA24F9"/>
    <w:rsid w:val="00CA2706"/>
    <w:rsid w:val="00CA2C3A"/>
    <w:rsid w:val="00CA2E43"/>
    <w:rsid w:val="00CA3118"/>
    <w:rsid w:val="00CA340C"/>
    <w:rsid w:val="00CA3580"/>
    <w:rsid w:val="00CA36CE"/>
    <w:rsid w:val="00CA3B0A"/>
    <w:rsid w:val="00CA3FF0"/>
    <w:rsid w:val="00CA4015"/>
    <w:rsid w:val="00CA4178"/>
    <w:rsid w:val="00CA4413"/>
    <w:rsid w:val="00CA4570"/>
    <w:rsid w:val="00CA4A27"/>
    <w:rsid w:val="00CA4C88"/>
    <w:rsid w:val="00CA4F92"/>
    <w:rsid w:val="00CA5134"/>
    <w:rsid w:val="00CA52D8"/>
    <w:rsid w:val="00CA555C"/>
    <w:rsid w:val="00CA5751"/>
    <w:rsid w:val="00CA5BD8"/>
    <w:rsid w:val="00CA5D02"/>
    <w:rsid w:val="00CA5DC9"/>
    <w:rsid w:val="00CA5E15"/>
    <w:rsid w:val="00CA605D"/>
    <w:rsid w:val="00CA60B0"/>
    <w:rsid w:val="00CA658C"/>
    <w:rsid w:val="00CA6819"/>
    <w:rsid w:val="00CA6C1B"/>
    <w:rsid w:val="00CA6CB6"/>
    <w:rsid w:val="00CA6DD0"/>
    <w:rsid w:val="00CA6E05"/>
    <w:rsid w:val="00CA71C4"/>
    <w:rsid w:val="00CA74A8"/>
    <w:rsid w:val="00CA798C"/>
    <w:rsid w:val="00CA7B47"/>
    <w:rsid w:val="00CA7BBD"/>
    <w:rsid w:val="00CA7CAE"/>
    <w:rsid w:val="00CA7CE0"/>
    <w:rsid w:val="00CB0057"/>
    <w:rsid w:val="00CB02AD"/>
    <w:rsid w:val="00CB0583"/>
    <w:rsid w:val="00CB05A3"/>
    <w:rsid w:val="00CB0B55"/>
    <w:rsid w:val="00CB0C02"/>
    <w:rsid w:val="00CB0C05"/>
    <w:rsid w:val="00CB0C69"/>
    <w:rsid w:val="00CB0C90"/>
    <w:rsid w:val="00CB0D8E"/>
    <w:rsid w:val="00CB0DBF"/>
    <w:rsid w:val="00CB0E6C"/>
    <w:rsid w:val="00CB1172"/>
    <w:rsid w:val="00CB191E"/>
    <w:rsid w:val="00CB194B"/>
    <w:rsid w:val="00CB1B26"/>
    <w:rsid w:val="00CB1CB0"/>
    <w:rsid w:val="00CB1F3A"/>
    <w:rsid w:val="00CB2632"/>
    <w:rsid w:val="00CB2B66"/>
    <w:rsid w:val="00CB308E"/>
    <w:rsid w:val="00CB310B"/>
    <w:rsid w:val="00CB311D"/>
    <w:rsid w:val="00CB31CB"/>
    <w:rsid w:val="00CB3336"/>
    <w:rsid w:val="00CB3441"/>
    <w:rsid w:val="00CB3611"/>
    <w:rsid w:val="00CB3718"/>
    <w:rsid w:val="00CB3885"/>
    <w:rsid w:val="00CB3CD7"/>
    <w:rsid w:val="00CB41EF"/>
    <w:rsid w:val="00CB422C"/>
    <w:rsid w:val="00CB42AE"/>
    <w:rsid w:val="00CB49B1"/>
    <w:rsid w:val="00CB4B47"/>
    <w:rsid w:val="00CB4BBD"/>
    <w:rsid w:val="00CB4ED8"/>
    <w:rsid w:val="00CB4EF6"/>
    <w:rsid w:val="00CB5145"/>
    <w:rsid w:val="00CB53DA"/>
    <w:rsid w:val="00CB571C"/>
    <w:rsid w:val="00CB6034"/>
    <w:rsid w:val="00CB615D"/>
    <w:rsid w:val="00CB622D"/>
    <w:rsid w:val="00CB6CF8"/>
    <w:rsid w:val="00CB777A"/>
    <w:rsid w:val="00CB7B8B"/>
    <w:rsid w:val="00CB7C45"/>
    <w:rsid w:val="00CB7C71"/>
    <w:rsid w:val="00CC0146"/>
    <w:rsid w:val="00CC050E"/>
    <w:rsid w:val="00CC08BF"/>
    <w:rsid w:val="00CC0B5A"/>
    <w:rsid w:val="00CC0CB8"/>
    <w:rsid w:val="00CC0CCD"/>
    <w:rsid w:val="00CC0DFA"/>
    <w:rsid w:val="00CC1089"/>
    <w:rsid w:val="00CC11B4"/>
    <w:rsid w:val="00CC1261"/>
    <w:rsid w:val="00CC1981"/>
    <w:rsid w:val="00CC1C8A"/>
    <w:rsid w:val="00CC1CFD"/>
    <w:rsid w:val="00CC1D03"/>
    <w:rsid w:val="00CC1E3B"/>
    <w:rsid w:val="00CC2251"/>
    <w:rsid w:val="00CC22EF"/>
    <w:rsid w:val="00CC2869"/>
    <w:rsid w:val="00CC2BAF"/>
    <w:rsid w:val="00CC2D21"/>
    <w:rsid w:val="00CC2D90"/>
    <w:rsid w:val="00CC32D6"/>
    <w:rsid w:val="00CC3363"/>
    <w:rsid w:val="00CC34BC"/>
    <w:rsid w:val="00CC358F"/>
    <w:rsid w:val="00CC371E"/>
    <w:rsid w:val="00CC3BB9"/>
    <w:rsid w:val="00CC3C44"/>
    <w:rsid w:val="00CC3C84"/>
    <w:rsid w:val="00CC3D32"/>
    <w:rsid w:val="00CC45AF"/>
    <w:rsid w:val="00CC45F4"/>
    <w:rsid w:val="00CC4641"/>
    <w:rsid w:val="00CC468C"/>
    <w:rsid w:val="00CC4A8E"/>
    <w:rsid w:val="00CC4CDC"/>
    <w:rsid w:val="00CC4F3F"/>
    <w:rsid w:val="00CC4F6E"/>
    <w:rsid w:val="00CC5074"/>
    <w:rsid w:val="00CC5324"/>
    <w:rsid w:val="00CC5393"/>
    <w:rsid w:val="00CC56B5"/>
    <w:rsid w:val="00CC56CB"/>
    <w:rsid w:val="00CC56EF"/>
    <w:rsid w:val="00CC57D0"/>
    <w:rsid w:val="00CC5A49"/>
    <w:rsid w:val="00CC5A78"/>
    <w:rsid w:val="00CC616E"/>
    <w:rsid w:val="00CC6238"/>
    <w:rsid w:val="00CC650C"/>
    <w:rsid w:val="00CC6559"/>
    <w:rsid w:val="00CC6610"/>
    <w:rsid w:val="00CC66CC"/>
    <w:rsid w:val="00CC66F5"/>
    <w:rsid w:val="00CC677C"/>
    <w:rsid w:val="00CC6CEF"/>
    <w:rsid w:val="00CC6DC7"/>
    <w:rsid w:val="00CC6F15"/>
    <w:rsid w:val="00CC6F75"/>
    <w:rsid w:val="00CC7104"/>
    <w:rsid w:val="00CC710E"/>
    <w:rsid w:val="00CC7375"/>
    <w:rsid w:val="00CC7A17"/>
    <w:rsid w:val="00CC7ABD"/>
    <w:rsid w:val="00CC7B29"/>
    <w:rsid w:val="00CC7B5D"/>
    <w:rsid w:val="00CC7C0D"/>
    <w:rsid w:val="00CC7F60"/>
    <w:rsid w:val="00CD0A25"/>
    <w:rsid w:val="00CD1077"/>
    <w:rsid w:val="00CD1C98"/>
    <w:rsid w:val="00CD1DEA"/>
    <w:rsid w:val="00CD1ED7"/>
    <w:rsid w:val="00CD1F9B"/>
    <w:rsid w:val="00CD23D7"/>
    <w:rsid w:val="00CD2562"/>
    <w:rsid w:val="00CD25A5"/>
    <w:rsid w:val="00CD2681"/>
    <w:rsid w:val="00CD269A"/>
    <w:rsid w:val="00CD2DD7"/>
    <w:rsid w:val="00CD30F5"/>
    <w:rsid w:val="00CD3153"/>
    <w:rsid w:val="00CD3719"/>
    <w:rsid w:val="00CD37D8"/>
    <w:rsid w:val="00CD3A3E"/>
    <w:rsid w:val="00CD3EA8"/>
    <w:rsid w:val="00CD40E9"/>
    <w:rsid w:val="00CD41F3"/>
    <w:rsid w:val="00CD424F"/>
    <w:rsid w:val="00CD4479"/>
    <w:rsid w:val="00CD484C"/>
    <w:rsid w:val="00CD4A9D"/>
    <w:rsid w:val="00CD4ADA"/>
    <w:rsid w:val="00CD4D0A"/>
    <w:rsid w:val="00CD4D44"/>
    <w:rsid w:val="00CD4DD4"/>
    <w:rsid w:val="00CD5289"/>
    <w:rsid w:val="00CD5617"/>
    <w:rsid w:val="00CD5C13"/>
    <w:rsid w:val="00CD5CC6"/>
    <w:rsid w:val="00CD5D89"/>
    <w:rsid w:val="00CD6763"/>
    <w:rsid w:val="00CD6A28"/>
    <w:rsid w:val="00CD6E02"/>
    <w:rsid w:val="00CD6FB9"/>
    <w:rsid w:val="00CD7395"/>
    <w:rsid w:val="00CD7452"/>
    <w:rsid w:val="00CD7507"/>
    <w:rsid w:val="00CD76D2"/>
    <w:rsid w:val="00CD77ED"/>
    <w:rsid w:val="00CD7A3F"/>
    <w:rsid w:val="00CE00C7"/>
    <w:rsid w:val="00CE019E"/>
    <w:rsid w:val="00CE060B"/>
    <w:rsid w:val="00CE0CF9"/>
    <w:rsid w:val="00CE0F4A"/>
    <w:rsid w:val="00CE143F"/>
    <w:rsid w:val="00CE15C1"/>
    <w:rsid w:val="00CE1761"/>
    <w:rsid w:val="00CE1BD1"/>
    <w:rsid w:val="00CE2217"/>
    <w:rsid w:val="00CE28B5"/>
    <w:rsid w:val="00CE28D5"/>
    <w:rsid w:val="00CE2B3E"/>
    <w:rsid w:val="00CE2C6D"/>
    <w:rsid w:val="00CE3085"/>
    <w:rsid w:val="00CE3170"/>
    <w:rsid w:val="00CE32C5"/>
    <w:rsid w:val="00CE3378"/>
    <w:rsid w:val="00CE3556"/>
    <w:rsid w:val="00CE3648"/>
    <w:rsid w:val="00CE3846"/>
    <w:rsid w:val="00CE3975"/>
    <w:rsid w:val="00CE3A05"/>
    <w:rsid w:val="00CE3A18"/>
    <w:rsid w:val="00CE3D25"/>
    <w:rsid w:val="00CE3FFD"/>
    <w:rsid w:val="00CE4151"/>
    <w:rsid w:val="00CE44A8"/>
    <w:rsid w:val="00CE45C4"/>
    <w:rsid w:val="00CE4905"/>
    <w:rsid w:val="00CE4AAC"/>
    <w:rsid w:val="00CE4FD3"/>
    <w:rsid w:val="00CE4FED"/>
    <w:rsid w:val="00CE5089"/>
    <w:rsid w:val="00CE5280"/>
    <w:rsid w:val="00CE54AE"/>
    <w:rsid w:val="00CE596F"/>
    <w:rsid w:val="00CE5A59"/>
    <w:rsid w:val="00CE5A67"/>
    <w:rsid w:val="00CE5AC4"/>
    <w:rsid w:val="00CE5C7E"/>
    <w:rsid w:val="00CE5CCC"/>
    <w:rsid w:val="00CE6176"/>
    <w:rsid w:val="00CE6A82"/>
    <w:rsid w:val="00CE6C78"/>
    <w:rsid w:val="00CE6DCF"/>
    <w:rsid w:val="00CE6E79"/>
    <w:rsid w:val="00CE71ED"/>
    <w:rsid w:val="00CE7684"/>
    <w:rsid w:val="00CE76D7"/>
    <w:rsid w:val="00CE77E1"/>
    <w:rsid w:val="00CE7831"/>
    <w:rsid w:val="00CE789F"/>
    <w:rsid w:val="00CE7C8F"/>
    <w:rsid w:val="00CE7D3D"/>
    <w:rsid w:val="00CE7D7E"/>
    <w:rsid w:val="00CF0063"/>
    <w:rsid w:val="00CF045A"/>
    <w:rsid w:val="00CF080E"/>
    <w:rsid w:val="00CF08D5"/>
    <w:rsid w:val="00CF0B4A"/>
    <w:rsid w:val="00CF0C49"/>
    <w:rsid w:val="00CF0E67"/>
    <w:rsid w:val="00CF0F50"/>
    <w:rsid w:val="00CF0F6E"/>
    <w:rsid w:val="00CF112B"/>
    <w:rsid w:val="00CF1569"/>
    <w:rsid w:val="00CF15A3"/>
    <w:rsid w:val="00CF1650"/>
    <w:rsid w:val="00CF19F0"/>
    <w:rsid w:val="00CF22E4"/>
    <w:rsid w:val="00CF2360"/>
    <w:rsid w:val="00CF24AB"/>
    <w:rsid w:val="00CF281E"/>
    <w:rsid w:val="00CF2B71"/>
    <w:rsid w:val="00CF2CA7"/>
    <w:rsid w:val="00CF30E8"/>
    <w:rsid w:val="00CF319F"/>
    <w:rsid w:val="00CF33B4"/>
    <w:rsid w:val="00CF3827"/>
    <w:rsid w:val="00CF3AD4"/>
    <w:rsid w:val="00CF3B20"/>
    <w:rsid w:val="00CF3CA1"/>
    <w:rsid w:val="00CF3E2D"/>
    <w:rsid w:val="00CF4071"/>
    <w:rsid w:val="00CF41E3"/>
    <w:rsid w:val="00CF42E0"/>
    <w:rsid w:val="00CF4324"/>
    <w:rsid w:val="00CF452F"/>
    <w:rsid w:val="00CF4671"/>
    <w:rsid w:val="00CF47AF"/>
    <w:rsid w:val="00CF4B89"/>
    <w:rsid w:val="00CF4D5B"/>
    <w:rsid w:val="00CF4FF2"/>
    <w:rsid w:val="00CF5032"/>
    <w:rsid w:val="00CF506C"/>
    <w:rsid w:val="00CF52E1"/>
    <w:rsid w:val="00CF53B2"/>
    <w:rsid w:val="00CF53F0"/>
    <w:rsid w:val="00CF5707"/>
    <w:rsid w:val="00CF573A"/>
    <w:rsid w:val="00CF5838"/>
    <w:rsid w:val="00CF5BC8"/>
    <w:rsid w:val="00CF5BDD"/>
    <w:rsid w:val="00CF5CB6"/>
    <w:rsid w:val="00CF5EA8"/>
    <w:rsid w:val="00CF5FEE"/>
    <w:rsid w:val="00CF6271"/>
    <w:rsid w:val="00CF62AE"/>
    <w:rsid w:val="00CF62EC"/>
    <w:rsid w:val="00CF661D"/>
    <w:rsid w:val="00CF6643"/>
    <w:rsid w:val="00CF6C98"/>
    <w:rsid w:val="00CF6EDC"/>
    <w:rsid w:val="00CF70F8"/>
    <w:rsid w:val="00CF71F6"/>
    <w:rsid w:val="00CF7656"/>
    <w:rsid w:val="00CF76AA"/>
    <w:rsid w:val="00CF7754"/>
    <w:rsid w:val="00D000A9"/>
    <w:rsid w:val="00D001FB"/>
    <w:rsid w:val="00D0030C"/>
    <w:rsid w:val="00D00A7E"/>
    <w:rsid w:val="00D00D3E"/>
    <w:rsid w:val="00D00E9B"/>
    <w:rsid w:val="00D00ED2"/>
    <w:rsid w:val="00D00EF5"/>
    <w:rsid w:val="00D00F79"/>
    <w:rsid w:val="00D011C2"/>
    <w:rsid w:val="00D01322"/>
    <w:rsid w:val="00D01403"/>
    <w:rsid w:val="00D01808"/>
    <w:rsid w:val="00D01929"/>
    <w:rsid w:val="00D01B32"/>
    <w:rsid w:val="00D01B5B"/>
    <w:rsid w:val="00D01D71"/>
    <w:rsid w:val="00D02004"/>
    <w:rsid w:val="00D021D4"/>
    <w:rsid w:val="00D023B1"/>
    <w:rsid w:val="00D02429"/>
    <w:rsid w:val="00D0244C"/>
    <w:rsid w:val="00D0290B"/>
    <w:rsid w:val="00D02A30"/>
    <w:rsid w:val="00D02B3D"/>
    <w:rsid w:val="00D02C52"/>
    <w:rsid w:val="00D02E79"/>
    <w:rsid w:val="00D02F67"/>
    <w:rsid w:val="00D03703"/>
    <w:rsid w:val="00D0374A"/>
    <w:rsid w:val="00D0395E"/>
    <w:rsid w:val="00D03A3E"/>
    <w:rsid w:val="00D03E5C"/>
    <w:rsid w:val="00D03F33"/>
    <w:rsid w:val="00D04299"/>
    <w:rsid w:val="00D046B6"/>
    <w:rsid w:val="00D04782"/>
    <w:rsid w:val="00D047EB"/>
    <w:rsid w:val="00D04B48"/>
    <w:rsid w:val="00D04C3D"/>
    <w:rsid w:val="00D04E31"/>
    <w:rsid w:val="00D04F40"/>
    <w:rsid w:val="00D0518C"/>
    <w:rsid w:val="00D05248"/>
    <w:rsid w:val="00D05295"/>
    <w:rsid w:val="00D05403"/>
    <w:rsid w:val="00D056F4"/>
    <w:rsid w:val="00D058FD"/>
    <w:rsid w:val="00D05B25"/>
    <w:rsid w:val="00D05B59"/>
    <w:rsid w:val="00D05DFD"/>
    <w:rsid w:val="00D05F8C"/>
    <w:rsid w:val="00D06077"/>
    <w:rsid w:val="00D06260"/>
    <w:rsid w:val="00D06268"/>
    <w:rsid w:val="00D062BF"/>
    <w:rsid w:val="00D06680"/>
    <w:rsid w:val="00D066BA"/>
    <w:rsid w:val="00D067E4"/>
    <w:rsid w:val="00D0686E"/>
    <w:rsid w:val="00D06C11"/>
    <w:rsid w:val="00D06CE2"/>
    <w:rsid w:val="00D06ED6"/>
    <w:rsid w:val="00D06ED9"/>
    <w:rsid w:val="00D07275"/>
    <w:rsid w:val="00D0734B"/>
    <w:rsid w:val="00D07421"/>
    <w:rsid w:val="00D07776"/>
    <w:rsid w:val="00D077BC"/>
    <w:rsid w:val="00D07847"/>
    <w:rsid w:val="00D07881"/>
    <w:rsid w:val="00D0794A"/>
    <w:rsid w:val="00D07BD9"/>
    <w:rsid w:val="00D07C01"/>
    <w:rsid w:val="00D10414"/>
    <w:rsid w:val="00D10834"/>
    <w:rsid w:val="00D10A13"/>
    <w:rsid w:val="00D10A64"/>
    <w:rsid w:val="00D11158"/>
    <w:rsid w:val="00D11296"/>
    <w:rsid w:val="00D11619"/>
    <w:rsid w:val="00D1188A"/>
    <w:rsid w:val="00D11B9B"/>
    <w:rsid w:val="00D11FA1"/>
    <w:rsid w:val="00D12376"/>
    <w:rsid w:val="00D124A1"/>
    <w:rsid w:val="00D125BC"/>
    <w:rsid w:val="00D126BC"/>
    <w:rsid w:val="00D126F8"/>
    <w:rsid w:val="00D12849"/>
    <w:rsid w:val="00D12B65"/>
    <w:rsid w:val="00D12CA6"/>
    <w:rsid w:val="00D12E98"/>
    <w:rsid w:val="00D12ED7"/>
    <w:rsid w:val="00D12F0F"/>
    <w:rsid w:val="00D12F50"/>
    <w:rsid w:val="00D12FB3"/>
    <w:rsid w:val="00D13016"/>
    <w:rsid w:val="00D13031"/>
    <w:rsid w:val="00D13182"/>
    <w:rsid w:val="00D13212"/>
    <w:rsid w:val="00D13402"/>
    <w:rsid w:val="00D13577"/>
    <w:rsid w:val="00D13692"/>
    <w:rsid w:val="00D13844"/>
    <w:rsid w:val="00D1399D"/>
    <w:rsid w:val="00D13C37"/>
    <w:rsid w:val="00D13F39"/>
    <w:rsid w:val="00D14190"/>
    <w:rsid w:val="00D14280"/>
    <w:rsid w:val="00D143FA"/>
    <w:rsid w:val="00D1462D"/>
    <w:rsid w:val="00D14696"/>
    <w:rsid w:val="00D147EF"/>
    <w:rsid w:val="00D14A2C"/>
    <w:rsid w:val="00D14A3F"/>
    <w:rsid w:val="00D14B50"/>
    <w:rsid w:val="00D14CFD"/>
    <w:rsid w:val="00D14D95"/>
    <w:rsid w:val="00D15226"/>
    <w:rsid w:val="00D15292"/>
    <w:rsid w:val="00D1575F"/>
    <w:rsid w:val="00D1591D"/>
    <w:rsid w:val="00D1592D"/>
    <w:rsid w:val="00D15A0C"/>
    <w:rsid w:val="00D16031"/>
    <w:rsid w:val="00D16046"/>
    <w:rsid w:val="00D16928"/>
    <w:rsid w:val="00D169A4"/>
    <w:rsid w:val="00D16C0E"/>
    <w:rsid w:val="00D16E5D"/>
    <w:rsid w:val="00D16E65"/>
    <w:rsid w:val="00D16F5F"/>
    <w:rsid w:val="00D1711A"/>
    <w:rsid w:val="00D175DF"/>
    <w:rsid w:val="00D1772D"/>
    <w:rsid w:val="00D1787F"/>
    <w:rsid w:val="00D17AFD"/>
    <w:rsid w:val="00D20124"/>
    <w:rsid w:val="00D20191"/>
    <w:rsid w:val="00D201DC"/>
    <w:rsid w:val="00D201E4"/>
    <w:rsid w:val="00D2028B"/>
    <w:rsid w:val="00D20701"/>
    <w:rsid w:val="00D21674"/>
    <w:rsid w:val="00D21748"/>
    <w:rsid w:val="00D21AA5"/>
    <w:rsid w:val="00D222BB"/>
    <w:rsid w:val="00D224F6"/>
    <w:rsid w:val="00D2289D"/>
    <w:rsid w:val="00D228E4"/>
    <w:rsid w:val="00D22DA5"/>
    <w:rsid w:val="00D22DF4"/>
    <w:rsid w:val="00D22E14"/>
    <w:rsid w:val="00D22F45"/>
    <w:rsid w:val="00D2313F"/>
    <w:rsid w:val="00D2336D"/>
    <w:rsid w:val="00D233A8"/>
    <w:rsid w:val="00D237AA"/>
    <w:rsid w:val="00D23808"/>
    <w:rsid w:val="00D23AFE"/>
    <w:rsid w:val="00D23D56"/>
    <w:rsid w:val="00D23E4D"/>
    <w:rsid w:val="00D24081"/>
    <w:rsid w:val="00D242B0"/>
    <w:rsid w:val="00D242F7"/>
    <w:rsid w:val="00D24398"/>
    <w:rsid w:val="00D24A9A"/>
    <w:rsid w:val="00D24F0B"/>
    <w:rsid w:val="00D24FF4"/>
    <w:rsid w:val="00D2520E"/>
    <w:rsid w:val="00D2536D"/>
    <w:rsid w:val="00D2550A"/>
    <w:rsid w:val="00D255AF"/>
    <w:rsid w:val="00D2580A"/>
    <w:rsid w:val="00D2599E"/>
    <w:rsid w:val="00D25B7D"/>
    <w:rsid w:val="00D25E37"/>
    <w:rsid w:val="00D26350"/>
    <w:rsid w:val="00D2637B"/>
    <w:rsid w:val="00D26381"/>
    <w:rsid w:val="00D26423"/>
    <w:rsid w:val="00D26428"/>
    <w:rsid w:val="00D26454"/>
    <w:rsid w:val="00D26509"/>
    <w:rsid w:val="00D26589"/>
    <w:rsid w:val="00D265A7"/>
    <w:rsid w:val="00D26675"/>
    <w:rsid w:val="00D2670D"/>
    <w:rsid w:val="00D26A22"/>
    <w:rsid w:val="00D26AA6"/>
    <w:rsid w:val="00D27003"/>
    <w:rsid w:val="00D270B0"/>
    <w:rsid w:val="00D27291"/>
    <w:rsid w:val="00D2737E"/>
    <w:rsid w:val="00D27518"/>
    <w:rsid w:val="00D275D4"/>
    <w:rsid w:val="00D2784E"/>
    <w:rsid w:val="00D279B2"/>
    <w:rsid w:val="00D27A15"/>
    <w:rsid w:val="00D27C08"/>
    <w:rsid w:val="00D27FC4"/>
    <w:rsid w:val="00D3019F"/>
    <w:rsid w:val="00D30CB1"/>
    <w:rsid w:val="00D30CBA"/>
    <w:rsid w:val="00D30D08"/>
    <w:rsid w:val="00D30D46"/>
    <w:rsid w:val="00D30E58"/>
    <w:rsid w:val="00D30FCF"/>
    <w:rsid w:val="00D31062"/>
    <w:rsid w:val="00D310E6"/>
    <w:rsid w:val="00D31194"/>
    <w:rsid w:val="00D31674"/>
    <w:rsid w:val="00D31679"/>
    <w:rsid w:val="00D31810"/>
    <w:rsid w:val="00D31912"/>
    <w:rsid w:val="00D31956"/>
    <w:rsid w:val="00D319BD"/>
    <w:rsid w:val="00D31BE5"/>
    <w:rsid w:val="00D32470"/>
    <w:rsid w:val="00D325B4"/>
    <w:rsid w:val="00D32B05"/>
    <w:rsid w:val="00D32B16"/>
    <w:rsid w:val="00D32C87"/>
    <w:rsid w:val="00D332EA"/>
    <w:rsid w:val="00D33322"/>
    <w:rsid w:val="00D33487"/>
    <w:rsid w:val="00D335BC"/>
    <w:rsid w:val="00D33670"/>
    <w:rsid w:val="00D337B2"/>
    <w:rsid w:val="00D33C1E"/>
    <w:rsid w:val="00D34021"/>
    <w:rsid w:val="00D3407D"/>
    <w:rsid w:val="00D34081"/>
    <w:rsid w:val="00D340D8"/>
    <w:rsid w:val="00D3446B"/>
    <w:rsid w:val="00D34488"/>
    <w:rsid w:val="00D345F3"/>
    <w:rsid w:val="00D34614"/>
    <w:rsid w:val="00D34644"/>
    <w:rsid w:val="00D3484A"/>
    <w:rsid w:val="00D34A03"/>
    <w:rsid w:val="00D34A2F"/>
    <w:rsid w:val="00D34CAC"/>
    <w:rsid w:val="00D34D3E"/>
    <w:rsid w:val="00D3530D"/>
    <w:rsid w:val="00D35354"/>
    <w:rsid w:val="00D357B0"/>
    <w:rsid w:val="00D359A9"/>
    <w:rsid w:val="00D35CBA"/>
    <w:rsid w:val="00D35D42"/>
    <w:rsid w:val="00D35D63"/>
    <w:rsid w:val="00D35DB7"/>
    <w:rsid w:val="00D35F50"/>
    <w:rsid w:val="00D365B9"/>
    <w:rsid w:val="00D36652"/>
    <w:rsid w:val="00D36697"/>
    <w:rsid w:val="00D36796"/>
    <w:rsid w:val="00D3681F"/>
    <w:rsid w:val="00D36CDF"/>
    <w:rsid w:val="00D36E65"/>
    <w:rsid w:val="00D37492"/>
    <w:rsid w:val="00D377F6"/>
    <w:rsid w:val="00D37836"/>
    <w:rsid w:val="00D3792D"/>
    <w:rsid w:val="00D37F2B"/>
    <w:rsid w:val="00D400E3"/>
    <w:rsid w:val="00D40873"/>
    <w:rsid w:val="00D40985"/>
    <w:rsid w:val="00D40B35"/>
    <w:rsid w:val="00D40E14"/>
    <w:rsid w:val="00D40FD1"/>
    <w:rsid w:val="00D4102C"/>
    <w:rsid w:val="00D41783"/>
    <w:rsid w:val="00D418D7"/>
    <w:rsid w:val="00D41C71"/>
    <w:rsid w:val="00D41D53"/>
    <w:rsid w:val="00D41F41"/>
    <w:rsid w:val="00D427A0"/>
    <w:rsid w:val="00D427ED"/>
    <w:rsid w:val="00D428FF"/>
    <w:rsid w:val="00D42B5F"/>
    <w:rsid w:val="00D42DFC"/>
    <w:rsid w:val="00D42E30"/>
    <w:rsid w:val="00D4302A"/>
    <w:rsid w:val="00D432D7"/>
    <w:rsid w:val="00D432D9"/>
    <w:rsid w:val="00D43A4C"/>
    <w:rsid w:val="00D43AC8"/>
    <w:rsid w:val="00D43D97"/>
    <w:rsid w:val="00D43DE7"/>
    <w:rsid w:val="00D443C1"/>
    <w:rsid w:val="00D444AB"/>
    <w:rsid w:val="00D44589"/>
    <w:rsid w:val="00D44665"/>
    <w:rsid w:val="00D44A0B"/>
    <w:rsid w:val="00D44A3E"/>
    <w:rsid w:val="00D44E05"/>
    <w:rsid w:val="00D451FE"/>
    <w:rsid w:val="00D45326"/>
    <w:rsid w:val="00D45B15"/>
    <w:rsid w:val="00D45B96"/>
    <w:rsid w:val="00D45D97"/>
    <w:rsid w:val="00D45E80"/>
    <w:rsid w:val="00D465C6"/>
    <w:rsid w:val="00D465FA"/>
    <w:rsid w:val="00D46A21"/>
    <w:rsid w:val="00D46A89"/>
    <w:rsid w:val="00D46AAC"/>
    <w:rsid w:val="00D46AF0"/>
    <w:rsid w:val="00D46B23"/>
    <w:rsid w:val="00D4706C"/>
    <w:rsid w:val="00D47EC2"/>
    <w:rsid w:val="00D47FF6"/>
    <w:rsid w:val="00D501E6"/>
    <w:rsid w:val="00D504D8"/>
    <w:rsid w:val="00D5055C"/>
    <w:rsid w:val="00D508B0"/>
    <w:rsid w:val="00D50A09"/>
    <w:rsid w:val="00D50EC3"/>
    <w:rsid w:val="00D50FD7"/>
    <w:rsid w:val="00D50FEB"/>
    <w:rsid w:val="00D5102E"/>
    <w:rsid w:val="00D5124F"/>
    <w:rsid w:val="00D512D4"/>
    <w:rsid w:val="00D51602"/>
    <w:rsid w:val="00D51EFB"/>
    <w:rsid w:val="00D5202D"/>
    <w:rsid w:val="00D522EE"/>
    <w:rsid w:val="00D52398"/>
    <w:rsid w:val="00D523B0"/>
    <w:rsid w:val="00D52521"/>
    <w:rsid w:val="00D52A02"/>
    <w:rsid w:val="00D52BE1"/>
    <w:rsid w:val="00D52C8A"/>
    <w:rsid w:val="00D52F18"/>
    <w:rsid w:val="00D52FB7"/>
    <w:rsid w:val="00D5330D"/>
    <w:rsid w:val="00D53469"/>
    <w:rsid w:val="00D53CBD"/>
    <w:rsid w:val="00D53D1F"/>
    <w:rsid w:val="00D53EF2"/>
    <w:rsid w:val="00D541BD"/>
    <w:rsid w:val="00D541C5"/>
    <w:rsid w:val="00D54242"/>
    <w:rsid w:val="00D543CF"/>
    <w:rsid w:val="00D54447"/>
    <w:rsid w:val="00D5463E"/>
    <w:rsid w:val="00D549DA"/>
    <w:rsid w:val="00D54C59"/>
    <w:rsid w:val="00D550F7"/>
    <w:rsid w:val="00D552A2"/>
    <w:rsid w:val="00D554A8"/>
    <w:rsid w:val="00D555AF"/>
    <w:rsid w:val="00D556A7"/>
    <w:rsid w:val="00D557DD"/>
    <w:rsid w:val="00D5581F"/>
    <w:rsid w:val="00D55A14"/>
    <w:rsid w:val="00D55AA0"/>
    <w:rsid w:val="00D55C5D"/>
    <w:rsid w:val="00D56397"/>
    <w:rsid w:val="00D56450"/>
    <w:rsid w:val="00D5649D"/>
    <w:rsid w:val="00D56550"/>
    <w:rsid w:val="00D56877"/>
    <w:rsid w:val="00D568F5"/>
    <w:rsid w:val="00D569C6"/>
    <w:rsid w:val="00D56DD8"/>
    <w:rsid w:val="00D57091"/>
    <w:rsid w:val="00D57779"/>
    <w:rsid w:val="00D577DD"/>
    <w:rsid w:val="00D5783B"/>
    <w:rsid w:val="00D57953"/>
    <w:rsid w:val="00D60053"/>
    <w:rsid w:val="00D60159"/>
    <w:rsid w:val="00D601AD"/>
    <w:rsid w:val="00D605C3"/>
    <w:rsid w:val="00D6071A"/>
    <w:rsid w:val="00D60A3B"/>
    <w:rsid w:val="00D60A79"/>
    <w:rsid w:val="00D60CFD"/>
    <w:rsid w:val="00D61571"/>
    <w:rsid w:val="00D61853"/>
    <w:rsid w:val="00D61874"/>
    <w:rsid w:val="00D619E6"/>
    <w:rsid w:val="00D61B72"/>
    <w:rsid w:val="00D61D6A"/>
    <w:rsid w:val="00D61EC6"/>
    <w:rsid w:val="00D61EF9"/>
    <w:rsid w:val="00D61F34"/>
    <w:rsid w:val="00D6242A"/>
    <w:rsid w:val="00D627C4"/>
    <w:rsid w:val="00D629FB"/>
    <w:rsid w:val="00D62B83"/>
    <w:rsid w:val="00D62D91"/>
    <w:rsid w:val="00D62E37"/>
    <w:rsid w:val="00D63AF8"/>
    <w:rsid w:val="00D63EF7"/>
    <w:rsid w:val="00D63EFF"/>
    <w:rsid w:val="00D640F3"/>
    <w:rsid w:val="00D644E1"/>
    <w:rsid w:val="00D648D0"/>
    <w:rsid w:val="00D649B5"/>
    <w:rsid w:val="00D64BBC"/>
    <w:rsid w:val="00D64C53"/>
    <w:rsid w:val="00D64FB5"/>
    <w:rsid w:val="00D6513A"/>
    <w:rsid w:val="00D65170"/>
    <w:rsid w:val="00D65358"/>
    <w:rsid w:val="00D65388"/>
    <w:rsid w:val="00D654B4"/>
    <w:rsid w:val="00D654B6"/>
    <w:rsid w:val="00D65543"/>
    <w:rsid w:val="00D657AF"/>
    <w:rsid w:val="00D65AB7"/>
    <w:rsid w:val="00D65C9D"/>
    <w:rsid w:val="00D65F7F"/>
    <w:rsid w:val="00D66160"/>
    <w:rsid w:val="00D66422"/>
    <w:rsid w:val="00D6654D"/>
    <w:rsid w:val="00D6679C"/>
    <w:rsid w:val="00D6701F"/>
    <w:rsid w:val="00D670BE"/>
    <w:rsid w:val="00D670FB"/>
    <w:rsid w:val="00D671B5"/>
    <w:rsid w:val="00D672FC"/>
    <w:rsid w:val="00D6750C"/>
    <w:rsid w:val="00D6759C"/>
    <w:rsid w:val="00D675C6"/>
    <w:rsid w:val="00D6767F"/>
    <w:rsid w:val="00D67723"/>
    <w:rsid w:val="00D6792D"/>
    <w:rsid w:val="00D67B37"/>
    <w:rsid w:val="00D67D9F"/>
    <w:rsid w:val="00D67FDA"/>
    <w:rsid w:val="00D701FB"/>
    <w:rsid w:val="00D703A5"/>
    <w:rsid w:val="00D703BB"/>
    <w:rsid w:val="00D703DF"/>
    <w:rsid w:val="00D7052B"/>
    <w:rsid w:val="00D7088E"/>
    <w:rsid w:val="00D711FF"/>
    <w:rsid w:val="00D71359"/>
    <w:rsid w:val="00D71941"/>
    <w:rsid w:val="00D719D0"/>
    <w:rsid w:val="00D71D50"/>
    <w:rsid w:val="00D71D6B"/>
    <w:rsid w:val="00D71E95"/>
    <w:rsid w:val="00D72218"/>
    <w:rsid w:val="00D72668"/>
    <w:rsid w:val="00D72B96"/>
    <w:rsid w:val="00D73107"/>
    <w:rsid w:val="00D731AA"/>
    <w:rsid w:val="00D736B2"/>
    <w:rsid w:val="00D73A26"/>
    <w:rsid w:val="00D73E65"/>
    <w:rsid w:val="00D73F86"/>
    <w:rsid w:val="00D740B3"/>
    <w:rsid w:val="00D7411E"/>
    <w:rsid w:val="00D7456D"/>
    <w:rsid w:val="00D7490B"/>
    <w:rsid w:val="00D749E9"/>
    <w:rsid w:val="00D749FF"/>
    <w:rsid w:val="00D74A1C"/>
    <w:rsid w:val="00D74B24"/>
    <w:rsid w:val="00D74BFE"/>
    <w:rsid w:val="00D74F1B"/>
    <w:rsid w:val="00D75010"/>
    <w:rsid w:val="00D750BD"/>
    <w:rsid w:val="00D751CC"/>
    <w:rsid w:val="00D75272"/>
    <w:rsid w:val="00D753B2"/>
    <w:rsid w:val="00D753C3"/>
    <w:rsid w:val="00D75C2C"/>
    <w:rsid w:val="00D75EED"/>
    <w:rsid w:val="00D75F47"/>
    <w:rsid w:val="00D75F50"/>
    <w:rsid w:val="00D7656A"/>
    <w:rsid w:val="00D7697F"/>
    <w:rsid w:val="00D76AB6"/>
    <w:rsid w:val="00D76BCD"/>
    <w:rsid w:val="00D76C10"/>
    <w:rsid w:val="00D772DC"/>
    <w:rsid w:val="00D7734C"/>
    <w:rsid w:val="00D7752B"/>
    <w:rsid w:val="00D77629"/>
    <w:rsid w:val="00D77721"/>
    <w:rsid w:val="00D77B64"/>
    <w:rsid w:val="00D77B8B"/>
    <w:rsid w:val="00D77FAD"/>
    <w:rsid w:val="00D805E5"/>
    <w:rsid w:val="00D808DA"/>
    <w:rsid w:val="00D80A33"/>
    <w:rsid w:val="00D80E61"/>
    <w:rsid w:val="00D80EE6"/>
    <w:rsid w:val="00D81204"/>
    <w:rsid w:val="00D815C4"/>
    <w:rsid w:val="00D816B8"/>
    <w:rsid w:val="00D816CF"/>
    <w:rsid w:val="00D81700"/>
    <w:rsid w:val="00D81709"/>
    <w:rsid w:val="00D81854"/>
    <w:rsid w:val="00D8192D"/>
    <w:rsid w:val="00D819EB"/>
    <w:rsid w:val="00D81F6C"/>
    <w:rsid w:val="00D82173"/>
    <w:rsid w:val="00D82181"/>
    <w:rsid w:val="00D82286"/>
    <w:rsid w:val="00D8232D"/>
    <w:rsid w:val="00D82375"/>
    <w:rsid w:val="00D824D6"/>
    <w:rsid w:val="00D826A4"/>
    <w:rsid w:val="00D829D0"/>
    <w:rsid w:val="00D82A49"/>
    <w:rsid w:val="00D82BA2"/>
    <w:rsid w:val="00D82D0B"/>
    <w:rsid w:val="00D83146"/>
    <w:rsid w:val="00D8331B"/>
    <w:rsid w:val="00D835E3"/>
    <w:rsid w:val="00D83731"/>
    <w:rsid w:val="00D83828"/>
    <w:rsid w:val="00D83B28"/>
    <w:rsid w:val="00D84144"/>
    <w:rsid w:val="00D84764"/>
    <w:rsid w:val="00D84983"/>
    <w:rsid w:val="00D84BE6"/>
    <w:rsid w:val="00D84E76"/>
    <w:rsid w:val="00D850FB"/>
    <w:rsid w:val="00D8516E"/>
    <w:rsid w:val="00D85608"/>
    <w:rsid w:val="00D8574E"/>
    <w:rsid w:val="00D857FD"/>
    <w:rsid w:val="00D85880"/>
    <w:rsid w:val="00D85AB7"/>
    <w:rsid w:val="00D85D08"/>
    <w:rsid w:val="00D85F45"/>
    <w:rsid w:val="00D85F58"/>
    <w:rsid w:val="00D8628D"/>
    <w:rsid w:val="00D863C1"/>
    <w:rsid w:val="00D863F3"/>
    <w:rsid w:val="00D8642D"/>
    <w:rsid w:val="00D868F1"/>
    <w:rsid w:val="00D86A73"/>
    <w:rsid w:val="00D86FF0"/>
    <w:rsid w:val="00D871B3"/>
    <w:rsid w:val="00D87359"/>
    <w:rsid w:val="00D87984"/>
    <w:rsid w:val="00D87BCE"/>
    <w:rsid w:val="00D87E9A"/>
    <w:rsid w:val="00D87F6C"/>
    <w:rsid w:val="00D90230"/>
    <w:rsid w:val="00D907B9"/>
    <w:rsid w:val="00D908CA"/>
    <w:rsid w:val="00D910BB"/>
    <w:rsid w:val="00D91165"/>
    <w:rsid w:val="00D91200"/>
    <w:rsid w:val="00D91369"/>
    <w:rsid w:val="00D913DE"/>
    <w:rsid w:val="00D91578"/>
    <w:rsid w:val="00D9159D"/>
    <w:rsid w:val="00D9160D"/>
    <w:rsid w:val="00D91773"/>
    <w:rsid w:val="00D91951"/>
    <w:rsid w:val="00D9198F"/>
    <w:rsid w:val="00D91A55"/>
    <w:rsid w:val="00D91F3D"/>
    <w:rsid w:val="00D920D8"/>
    <w:rsid w:val="00D920F2"/>
    <w:rsid w:val="00D92214"/>
    <w:rsid w:val="00D92382"/>
    <w:rsid w:val="00D923CA"/>
    <w:rsid w:val="00D926E2"/>
    <w:rsid w:val="00D928B3"/>
    <w:rsid w:val="00D92907"/>
    <w:rsid w:val="00D929AA"/>
    <w:rsid w:val="00D92D05"/>
    <w:rsid w:val="00D92D82"/>
    <w:rsid w:val="00D92ECE"/>
    <w:rsid w:val="00D93297"/>
    <w:rsid w:val="00D9337C"/>
    <w:rsid w:val="00D93438"/>
    <w:rsid w:val="00D9370C"/>
    <w:rsid w:val="00D937A3"/>
    <w:rsid w:val="00D938F5"/>
    <w:rsid w:val="00D93B2D"/>
    <w:rsid w:val="00D93BCA"/>
    <w:rsid w:val="00D93DB5"/>
    <w:rsid w:val="00D93E96"/>
    <w:rsid w:val="00D940BE"/>
    <w:rsid w:val="00D94133"/>
    <w:rsid w:val="00D94385"/>
    <w:rsid w:val="00D94450"/>
    <w:rsid w:val="00D94863"/>
    <w:rsid w:val="00D949F0"/>
    <w:rsid w:val="00D94BBD"/>
    <w:rsid w:val="00D9508A"/>
    <w:rsid w:val="00D95496"/>
    <w:rsid w:val="00D9552D"/>
    <w:rsid w:val="00D9558A"/>
    <w:rsid w:val="00D957BC"/>
    <w:rsid w:val="00D95864"/>
    <w:rsid w:val="00D95ADD"/>
    <w:rsid w:val="00D95BED"/>
    <w:rsid w:val="00D95CE5"/>
    <w:rsid w:val="00D95EC5"/>
    <w:rsid w:val="00D95F86"/>
    <w:rsid w:val="00D96053"/>
    <w:rsid w:val="00D96125"/>
    <w:rsid w:val="00D96163"/>
    <w:rsid w:val="00D962FC"/>
    <w:rsid w:val="00D96498"/>
    <w:rsid w:val="00D96685"/>
    <w:rsid w:val="00D96719"/>
    <w:rsid w:val="00D96850"/>
    <w:rsid w:val="00D9695D"/>
    <w:rsid w:val="00D96AC3"/>
    <w:rsid w:val="00D96B67"/>
    <w:rsid w:val="00D96C27"/>
    <w:rsid w:val="00D96C79"/>
    <w:rsid w:val="00D96DEF"/>
    <w:rsid w:val="00D96E11"/>
    <w:rsid w:val="00D97419"/>
    <w:rsid w:val="00D9783E"/>
    <w:rsid w:val="00D978E8"/>
    <w:rsid w:val="00D97903"/>
    <w:rsid w:val="00D97AEB"/>
    <w:rsid w:val="00D97BA8"/>
    <w:rsid w:val="00D97CD2"/>
    <w:rsid w:val="00D97FA9"/>
    <w:rsid w:val="00DA025A"/>
    <w:rsid w:val="00DA02EB"/>
    <w:rsid w:val="00DA0375"/>
    <w:rsid w:val="00DA0477"/>
    <w:rsid w:val="00DA05B7"/>
    <w:rsid w:val="00DA093E"/>
    <w:rsid w:val="00DA0B17"/>
    <w:rsid w:val="00DA0FD8"/>
    <w:rsid w:val="00DA102C"/>
    <w:rsid w:val="00DA10E2"/>
    <w:rsid w:val="00DA121C"/>
    <w:rsid w:val="00DA14F6"/>
    <w:rsid w:val="00DA176E"/>
    <w:rsid w:val="00DA1889"/>
    <w:rsid w:val="00DA188C"/>
    <w:rsid w:val="00DA18E8"/>
    <w:rsid w:val="00DA1A45"/>
    <w:rsid w:val="00DA1A8A"/>
    <w:rsid w:val="00DA1E1B"/>
    <w:rsid w:val="00DA1E55"/>
    <w:rsid w:val="00DA1F3B"/>
    <w:rsid w:val="00DA20AF"/>
    <w:rsid w:val="00DA216C"/>
    <w:rsid w:val="00DA27FB"/>
    <w:rsid w:val="00DA2B79"/>
    <w:rsid w:val="00DA2BFA"/>
    <w:rsid w:val="00DA2CBE"/>
    <w:rsid w:val="00DA2EBD"/>
    <w:rsid w:val="00DA3051"/>
    <w:rsid w:val="00DA30BD"/>
    <w:rsid w:val="00DA34BD"/>
    <w:rsid w:val="00DA3582"/>
    <w:rsid w:val="00DA3E91"/>
    <w:rsid w:val="00DA3E9C"/>
    <w:rsid w:val="00DA3EC4"/>
    <w:rsid w:val="00DA43A2"/>
    <w:rsid w:val="00DA43A6"/>
    <w:rsid w:val="00DA45D6"/>
    <w:rsid w:val="00DA461A"/>
    <w:rsid w:val="00DA4626"/>
    <w:rsid w:val="00DA4689"/>
    <w:rsid w:val="00DA4976"/>
    <w:rsid w:val="00DA4B69"/>
    <w:rsid w:val="00DA4F6C"/>
    <w:rsid w:val="00DA5259"/>
    <w:rsid w:val="00DA5454"/>
    <w:rsid w:val="00DA5616"/>
    <w:rsid w:val="00DA5726"/>
    <w:rsid w:val="00DA588E"/>
    <w:rsid w:val="00DA5988"/>
    <w:rsid w:val="00DA5B65"/>
    <w:rsid w:val="00DA5DB4"/>
    <w:rsid w:val="00DA5E65"/>
    <w:rsid w:val="00DA5EBE"/>
    <w:rsid w:val="00DA5EC4"/>
    <w:rsid w:val="00DA6017"/>
    <w:rsid w:val="00DA60BD"/>
    <w:rsid w:val="00DA63F8"/>
    <w:rsid w:val="00DA6493"/>
    <w:rsid w:val="00DA6BB7"/>
    <w:rsid w:val="00DA713D"/>
    <w:rsid w:val="00DA721B"/>
    <w:rsid w:val="00DA78CA"/>
    <w:rsid w:val="00DA7965"/>
    <w:rsid w:val="00DA7B0A"/>
    <w:rsid w:val="00DA7D17"/>
    <w:rsid w:val="00DB0012"/>
    <w:rsid w:val="00DB00F3"/>
    <w:rsid w:val="00DB0190"/>
    <w:rsid w:val="00DB05CD"/>
    <w:rsid w:val="00DB05FC"/>
    <w:rsid w:val="00DB0679"/>
    <w:rsid w:val="00DB069D"/>
    <w:rsid w:val="00DB09AF"/>
    <w:rsid w:val="00DB0E58"/>
    <w:rsid w:val="00DB1BA6"/>
    <w:rsid w:val="00DB1C0A"/>
    <w:rsid w:val="00DB1D9A"/>
    <w:rsid w:val="00DB1FD5"/>
    <w:rsid w:val="00DB20BE"/>
    <w:rsid w:val="00DB22D5"/>
    <w:rsid w:val="00DB2901"/>
    <w:rsid w:val="00DB29EF"/>
    <w:rsid w:val="00DB2EBC"/>
    <w:rsid w:val="00DB3185"/>
    <w:rsid w:val="00DB3308"/>
    <w:rsid w:val="00DB33D6"/>
    <w:rsid w:val="00DB3404"/>
    <w:rsid w:val="00DB3505"/>
    <w:rsid w:val="00DB38B9"/>
    <w:rsid w:val="00DB38C8"/>
    <w:rsid w:val="00DB3BD4"/>
    <w:rsid w:val="00DB3DB6"/>
    <w:rsid w:val="00DB438F"/>
    <w:rsid w:val="00DB43F9"/>
    <w:rsid w:val="00DB4458"/>
    <w:rsid w:val="00DB48AE"/>
    <w:rsid w:val="00DB491C"/>
    <w:rsid w:val="00DB49D1"/>
    <w:rsid w:val="00DB4E34"/>
    <w:rsid w:val="00DB5008"/>
    <w:rsid w:val="00DB5090"/>
    <w:rsid w:val="00DB5564"/>
    <w:rsid w:val="00DB5695"/>
    <w:rsid w:val="00DB5B67"/>
    <w:rsid w:val="00DB5C0C"/>
    <w:rsid w:val="00DB5F40"/>
    <w:rsid w:val="00DB6002"/>
    <w:rsid w:val="00DB60C5"/>
    <w:rsid w:val="00DB64E1"/>
    <w:rsid w:val="00DB6897"/>
    <w:rsid w:val="00DB6952"/>
    <w:rsid w:val="00DB6992"/>
    <w:rsid w:val="00DB6B5F"/>
    <w:rsid w:val="00DB6C0A"/>
    <w:rsid w:val="00DB6F46"/>
    <w:rsid w:val="00DB6F74"/>
    <w:rsid w:val="00DB6FA5"/>
    <w:rsid w:val="00DB7094"/>
    <w:rsid w:val="00DB71C7"/>
    <w:rsid w:val="00DB77CC"/>
    <w:rsid w:val="00DB7957"/>
    <w:rsid w:val="00DB7965"/>
    <w:rsid w:val="00DB7DF4"/>
    <w:rsid w:val="00DC042D"/>
    <w:rsid w:val="00DC0441"/>
    <w:rsid w:val="00DC04ED"/>
    <w:rsid w:val="00DC0627"/>
    <w:rsid w:val="00DC08B0"/>
    <w:rsid w:val="00DC0AB1"/>
    <w:rsid w:val="00DC0C73"/>
    <w:rsid w:val="00DC0FBB"/>
    <w:rsid w:val="00DC1147"/>
    <w:rsid w:val="00DC1398"/>
    <w:rsid w:val="00DC1857"/>
    <w:rsid w:val="00DC1A78"/>
    <w:rsid w:val="00DC1DC6"/>
    <w:rsid w:val="00DC24BC"/>
    <w:rsid w:val="00DC2511"/>
    <w:rsid w:val="00DC2CDC"/>
    <w:rsid w:val="00DC2DE0"/>
    <w:rsid w:val="00DC309F"/>
    <w:rsid w:val="00DC31E9"/>
    <w:rsid w:val="00DC335C"/>
    <w:rsid w:val="00DC3406"/>
    <w:rsid w:val="00DC389D"/>
    <w:rsid w:val="00DC3D15"/>
    <w:rsid w:val="00DC3D9D"/>
    <w:rsid w:val="00DC3F4E"/>
    <w:rsid w:val="00DC41FD"/>
    <w:rsid w:val="00DC45B3"/>
    <w:rsid w:val="00DC47CE"/>
    <w:rsid w:val="00DC4A21"/>
    <w:rsid w:val="00DC4AE0"/>
    <w:rsid w:val="00DC4D9D"/>
    <w:rsid w:val="00DC5230"/>
    <w:rsid w:val="00DC544A"/>
    <w:rsid w:val="00DC5A3B"/>
    <w:rsid w:val="00DC5D50"/>
    <w:rsid w:val="00DC5EE5"/>
    <w:rsid w:val="00DC629B"/>
    <w:rsid w:val="00DC65F5"/>
    <w:rsid w:val="00DC6872"/>
    <w:rsid w:val="00DC68BD"/>
    <w:rsid w:val="00DC6A0A"/>
    <w:rsid w:val="00DC6ACB"/>
    <w:rsid w:val="00DC6E33"/>
    <w:rsid w:val="00DC6FC9"/>
    <w:rsid w:val="00DC744B"/>
    <w:rsid w:val="00DC74FA"/>
    <w:rsid w:val="00DC75F6"/>
    <w:rsid w:val="00DC76ED"/>
    <w:rsid w:val="00DC783D"/>
    <w:rsid w:val="00DC7AD5"/>
    <w:rsid w:val="00DC7D76"/>
    <w:rsid w:val="00DC7E5A"/>
    <w:rsid w:val="00DC7ED8"/>
    <w:rsid w:val="00DD01BF"/>
    <w:rsid w:val="00DD023B"/>
    <w:rsid w:val="00DD02D9"/>
    <w:rsid w:val="00DD0472"/>
    <w:rsid w:val="00DD064A"/>
    <w:rsid w:val="00DD0744"/>
    <w:rsid w:val="00DD09A2"/>
    <w:rsid w:val="00DD0B5C"/>
    <w:rsid w:val="00DD0DFF"/>
    <w:rsid w:val="00DD1286"/>
    <w:rsid w:val="00DD1387"/>
    <w:rsid w:val="00DD1596"/>
    <w:rsid w:val="00DD164B"/>
    <w:rsid w:val="00DD185C"/>
    <w:rsid w:val="00DD193A"/>
    <w:rsid w:val="00DD1AE2"/>
    <w:rsid w:val="00DD1BD5"/>
    <w:rsid w:val="00DD1F84"/>
    <w:rsid w:val="00DD203B"/>
    <w:rsid w:val="00DD22B2"/>
    <w:rsid w:val="00DD253C"/>
    <w:rsid w:val="00DD2850"/>
    <w:rsid w:val="00DD2961"/>
    <w:rsid w:val="00DD2DA8"/>
    <w:rsid w:val="00DD2F61"/>
    <w:rsid w:val="00DD2F7E"/>
    <w:rsid w:val="00DD301C"/>
    <w:rsid w:val="00DD31BA"/>
    <w:rsid w:val="00DD32B4"/>
    <w:rsid w:val="00DD32CF"/>
    <w:rsid w:val="00DD332D"/>
    <w:rsid w:val="00DD3476"/>
    <w:rsid w:val="00DD3779"/>
    <w:rsid w:val="00DD38F8"/>
    <w:rsid w:val="00DD3D7F"/>
    <w:rsid w:val="00DD4016"/>
    <w:rsid w:val="00DD40E8"/>
    <w:rsid w:val="00DD4544"/>
    <w:rsid w:val="00DD4805"/>
    <w:rsid w:val="00DD4833"/>
    <w:rsid w:val="00DD4DD7"/>
    <w:rsid w:val="00DD4E5A"/>
    <w:rsid w:val="00DD4F88"/>
    <w:rsid w:val="00DD5086"/>
    <w:rsid w:val="00DD5514"/>
    <w:rsid w:val="00DD56E2"/>
    <w:rsid w:val="00DD57A9"/>
    <w:rsid w:val="00DD5826"/>
    <w:rsid w:val="00DD5BFE"/>
    <w:rsid w:val="00DD5E8F"/>
    <w:rsid w:val="00DD5EDB"/>
    <w:rsid w:val="00DD6121"/>
    <w:rsid w:val="00DD6278"/>
    <w:rsid w:val="00DD62E7"/>
    <w:rsid w:val="00DD63C0"/>
    <w:rsid w:val="00DD63C3"/>
    <w:rsid w:val="00DD642E"/>
    <w:rsid w:val="00DD653A"/>
    <w:rsid w:val="00DD65F9"/>
    <w:rsid w:val="00DD6F6D"/>
    <w:rsid w:val="00DD6FB9"/>
    <w:rsid w:val="00DD7188"/>
    <w:rsid w:val="00DD72AB"/>
    <w:rsid w:val="00DD738B"/>
    <w:rsid w:val="00DD73BE"/>
    <w:rsid w:val="00DD752D"/>
    <w:rsid w:val="00DD77AB"/>
    <w:rsid w:val="00DD77D1"/>
    <w:rsid w:val="00DD7D70"/>
    <w:rsid w:val="00DD7E48"/>
    <w:rsid w:val="00DE02DC"/>
    <w:rsid w:val="00DE0653"/>
    <w:rsid w:val="00DE0BA0"/>
    <w:rsid w:val="00DE0C10"/>
    <w:rsid w:val="00DE12A4"/>
    <w:rsid w:val="00DE12D7"/>
    <w:rsid w:val="00DE1328"/>
    <w:rsid w:val="00DE140B"/>
    <w:rsid w:val="00DE1981"/>
    <w:rsid w:val="00DE1C69"/>
    <w:rsid w:val="00DE1D1D"/>
    <w:rsid w:val="00DE1D48"/>
    <w:rsid w:val="00DE2211"/>
    <w:rsid w:val="00DE223C"/>
    <w:rsid w:val="00DE2330"/>
    <w:rsid w:val="00DE270A"/>
    <w:rsid w:val="00DE291C"/>
    <w:rsid w:val="00DE2977"/>
    <w:rsid w:val="00DE2A63"/>
    <w:rsid w:val="00DE2B3C"/>
    <w:rsid w:val="00DE2BA3"/>
    <w:rsid w:val="00DE2D87"/>
    <w:rsid w:val="00DE2EFA"/>
    <w:rsid w:val="00DE3213"/>
    <w:rsid w:val="00DE33F9"/>
    <w:rsid w:val="00DE34B2"/>
    <w:rsid w:val="00DE34BA"/>
    <w:rsid w:val="00DE34EC"/>
    <w:rsid w:val="00DE3567"/>
    <w:rsid w:val="00DE3664"/>
    <w:rsid w:val="00DE36A1"/>
    <w:rsid w:val="00DE3913"/>
    <w:rsid w:val="00DE3947"/>
    <w:rsid w:val="00DE3A86"/>
    <w:rsid w:val="00DE3B2C"/>
    <w:rsid w:val="00DE3D5C"/>
    <w:rsid w:val="00DE3E1D"/>
    <w:rsid w:val="00DE40DE"/>
    <w:rsid w:val="00DE446D"/>
    <w:rsid w:val="00DE4479"/>
    <w:rsid w:val="00DE450B"/>
    <w:rsid w:val="00DE461F"/>
    <w:rsid w:val="00DE47E8"/>
    <w:rsid w:val="00DE4C87"/>
    <w:rsid w:val="00DE50BA"/>
    <w:rsid w:val="00DE5227"/>
    <w:rsid w:val="00DE5270"/>
    <w:rsid w:val="00DE53D7"/>
    <w:rsid w:val="00DE5690"/>
    <w:rsid w:val="00DE57DE"/>
    <w:rsid w:val="00DE5B92"/>
    <w:rsid w:val="00DE5BB6"/>
    <w:rsid w:val="00DE5F68"/>
    <w:rsid w:val="00DE5FE3"/>
    <w:rsid w:val="00DE5FFF"/>
    <w:rsid w:val="00DE62F4"/>
    <w:rsid w:val="00DE6313"/>
    <w:rsid w:val="00DE6331"/>
    <w:rsid w:val="00DE6512"/>
    <w:rsid w:val="00DE65BE"/>
    <w:rsid w:val="00DE6A4D"/>
    <w:rsid w:val="00DE6C83"/>
    <w:rsid w:val="00DE6F56"/>
    <w:rsid w:val="00DE72AC"/>
    <w:rsid w:val="00DE74C1"/>
    <w:rsid w:val="00DE75DF"/>
    <w:rsid w:val="00DE76CA"/>
    <w:rsid w:val="00DE7904"/>
    <w:rsid w:val="00DE7C40"/>
    <w:rsid w:val="00DE7E20"/>
    <w:rsid w:val="00DE7EB2"/>
    <w:rsid w:val="00DE7FC4"/>
    <w:rsid w:val="00DF055F"/>
    <w:rsid w:val="00DF06FA"/>
    <w:rsid w:val="00DF0C7D"/>
    <w:rsid w:val="00DF0F8B"/>
    <w:rsid w:val="00DF10F8"/>
    <w:rsid w:val="00DF116E"/>
    <w:rsid w:val="00DF1211"/>
    <w:rsid w:val="00DF139B"/>
    <w:rsid w:val="00DF15DD"/>
    <w:rsid w:val="00DF1635"/>
    <w:rsid w:val="00DF18A4"/>
    <w:rsid w:val="00DF18A9"/>
    <w:rsid w:val="00DF1A2F"/>
    <w:rsid w:val="00DF1AB8"/>
    <w:rsid w:val="00DF1B1F"/>
    <w:rsid w:val="00DF1DCD"/>
    <w:rsid w:val="00DF1F5E"/>
    <w:rsid w:val="00DF22F1"/>
    <w:rsid w:val="00DF247C"/>
    <w:rsid w:val="00DF2879"/>
    <w:rsid w:val="00DF28B1"/>
    <w:rsid w:val="00DF2A88"/>
    <w:rsid w:val="00DF2B29"/>
    <w:rsid w:val="00DF2B7D"/>
    <w:rsid w:val="00DF2C62"/>
    <w:rsid w:val="00DF2C6A"/>
    <w:rsid w:val="00DF2D5C"/>
    <w:rsid w:val="00DF2F43"/>
    <w:rsid w:val="00DF2F63"/>
    <w:rsid w:val="00DF2FDC"/>
    <w:rsid w:val="00DF30B3"/>
    <w:rsid w:val="00DF3147"/>
    <w:rsid w:val="00DF31CA"/>
    <w:rsid w:val="00DF3465"/>
    <w:rsid w:val="00DF35EC"/>
    <w:rsid w:val="00DF375D"/>
    <w:rsid w:val="00DF3965"/>
    <w:rsid w:val="00DF3B68"/>
    <w:rsid w:val="00DF3C23"/>
    <w:rsid w:val="00DF3D84"/>
    <w:rsid w:val="00DF3E33"/>
    <w:rsid w:val="00DF435E"/>
    <w:rsid w:val="00DF45E5"/>
    <w:rsid w:val="00DF48E4"/>
    <w:rsid w:val="00DF49E7"/>
    <w:rsid w:val="00DF4A13"/>
    <w:rsid w:val="00DF4ADB"/>
    <w:rsid w:val="00DF4BC7"/>
    <w:rsid w:val="00DF4EC3"/>
    <w:rsid w:val="00DF4FD6"/>
    <w:rsid w:val="00DF514D"/>
    <w:rsid w:val="00DF535E"/>
    <w:rsid w:val="00DF54B9"/>
    <w:rsid w:val="00DF57F0"/>
    <w:rsid w:val="00DF5AE4"/>
    <w:rsid w:val="00DF5CB6"/>
    <w:rsid w:val="00DF60C8"/>
    <w:rsid w:val="00DF6161"/>
    <w:rsid w:val="00DF6207"/>
    <w:rsid w:val="00DF6212"/>
    <w:rsid w:val="00DF6382"/>
    <w:rsid w:val="00DF6456"/>
    <w:rsid w:val="00DF66D0"/>
    <w:rsid w:val="00DF6A81"/>
    <w:rsid w:val="00DF6A9D"/>
    <w:rsid w:val="00DF6E40"/>
    <w:rsid w:val="00DF6E67"/>
    <w:rsid w:val="00DF6EA3"/>
    <w:rsid w:val="00DF6FF2"/>
    <w:rsid w:val="00DF715B"/>
    <w:rsid w:val="00DF72D8"/>
    <w:rsid w:val="00DF7378"/>
    <w:rsid w:val="00DF73FC"/>
    <w:rsid w:val="00DF754A"/>
    <w:rsid w:val="00DF7577"/>
    <w:rsid w:val="00DF78C6"/>
    <w:rsid w:val="00DF7BC2"/>
    <w:rsid w:val="00DF7C90"/>
    <w:rsid w:val="00DF7F3D"/>
    <w:rsid w:val="00E00001"/>
    <w:rsid w:val="00E00468"/>
    <w:rsid w:val="00E005B5"/>
    <w:rsid w:val="00E00A8F"/>
    <w:rsid w:val="00E00F66"/>
    <w:rsid w:val="00E0128C"/>
    <w:rsid w:val="00E0129B"/>
    <w:rsid w:val="00E01633"/>
    <w:rsid w:val="00E017A6"/>
    <w:rsid w:val="00E01BB0"/>
    <w:rsid w:val="00E01D4B"/>
    <w:rsid w:val="00E01DF3"/>
    <w:rsid w:val="00E01F51"/>
    <w:rsid w:val="00E02162"/>
    <w:rsid w:val="00E0232B"/>
    <w:rsid w:val="00E0266E"/>
    <w:rsid w:val="00E02703"/>
    <w:rsid w:val="00E02AFF"/>
    <w:rsid w:val="00E02B17"/>
    <w:rsid w:val="00E02D7B"/>
    <w:rsid w:val="00E02DAA"/>
    <w:rsid w:val="00E02DCB"/>
    <w:rsid w:val="00E02F68"/>
    <w:rsid w:val="00E03006"/>
    <w:rsid w:val="00E038BC"/>
    <w:rsid w:val="00E03A57"/>
    <w:rsid w:val="00E03A79"/>
    <w:rsid w:val="00E040B1"/>
    <w:rsid w:val="00E04145"/>
    <w:rsid w:val="00E041C2"/>
    <w:rsid w:val="00E04272"/>
    <w:rsid w:val="00E0431F"/>
    <w:rsid w:val="00E04720"/>
    <w:rsid w:val="00E04896"/>
    <w:rsid w:val="00E048D7"/>
    <w:rsid w:val="00E0494B"/>
    <w:rsid w:val="00E04B34"/>
    <w:rsid w:val="00E04B7B"/>
    <w:rsid w:val="00E04D95"/>
    <w:rsid w:val="00E04E3D"/>
    <w:rsid w:val="00E053B3"/>
    <w:rsid w:val="00E056A1"/>
    <w:rsid w:val="00E05C9D"/>
    <w:rsid w:val="00E05CFB"/>
    <w:rsid w:val="00E05D17"/>
    <w:rsid w:val="00E06577"/>
    <w:rsid w:val="00E067D2"/>
    <w:rsid w:val="00E0688A"/>
    <w:rsid w:val="00E06910"/>
    <w:rsid w:val="00E06D8B"/>
    <w:rsid w:val="00E06FC3"/>
    <w:rsid w:val="00E0733D"/>
    <w:rsid w:val="00E076C1"/>
    <w:rsid w:val="00E07A36"/>
    <w:rsid w:val="00E07A5E"/>
    <w:rsid w:val="00E104F8"/>
    <w:rsid w:val="00E109D0"/>
    <w:rsid w:val="00E10AB0"/>
    <w:rsid w:val="00E111EF"/>
    <w:rsid w:val="00E112B1"/>
    <w:rsid w:val="00E112F0"/>
    <w:rsid w:val="00E11583"/>
    <w:rsid w:val="00E11ADF"/>
    <w:rsid w:val="00E11E67"/>
    <w:rsid w:val="00E11E99"/>
    <w:rsid w:val="00E11ED1"/>
    <w:rsid w:val="00E11EE1"/>
    <w:rsid w:val="00E12413"/>
    <w:rsid w:val="00E129BA"/>
    <w:rsid w:val="00E129E0"/>
    <w:rsid w:val="00E12C1A"/>
    <w:rsid w:val="00E13117"/>
    <w:rsid w:val="00E13476"/>
    <w:rsid w:val="00E136E3"/>
    <w:rsid w:val="00E13741"/>
    <w:rsid w:val="00E13A7B"/>
    <w:rsid w:val="00E14029"/>
    <w:rsid w:val="00E14065"/>
    <w:rsid w:val="00E140DF"/>
    <w:rsid w:val="00E1420C"/>
    <w:rsid w:val="00E1447C"/>
    <w:rsid w:val="00E145EA"/>
    <w:rsid w:val="00E1462F"/>
    <w:rsid w:val="00E147C0"/>
    <w:rsid w:val="00E14857"/>
    <w:rsid w:val="00E14AED"/>
    <w:rsid w:val="00E14D15"/>
    <w:rsid w:val="00E14DB3"/>
    <w:rsid w:val="00E14DE1"/>
    <w:rsid w:val="00E14EAB"/>
    <w:rsid w:val="00E151E4"/>
    <w:rsid w:val="00E152FC"/>
    <w:rsid w:val="00E1532D"/>
    <w:rsid w:val="00E155CE"/>
    <w:rsid w:val="00E15618"/>
    <w:rsid w:val="00E157F1"/>
    <w:rsid w:val="00E1591F"/>
    <w:rsid w:val="00E15CD2"/>
    <w:rsid w:val="00E15E4D"/>
    <w:rsid w:val="00E15F4F"/>
    <w:rsid w:val="00E16204"/>
    <w:rsid w:val="00E16689"/>
    <w:rsid w:val="00E16843"/>
    <w:rsid w:val="00E16856"/>
    <w:rsid w:val="00E168DA"/>
    <w:rsid w:val="00E16CF2"/>
    <w:rsid w:val="00E16D8D"/>
    <w:rsid w:val="00E16E36"/>
    <w:rsid w:val="00E16FB8"/>
    <w:rsid w:val="00E1728F"/>
    <w:rsid w:val="00E177D8"/>
    <w:rsid w:val="00E17996"/>
    <w:rsid w:val="00E179A4"/>
    <w:rsid w:val="00E17B78"/>
    <w:rsid w:val="00E17CA3"/>
    <w:rsid w:val="00E17CCC"/>
    <w:rsid w:val="00E17E19"/>
    <w:rsid w:val="00E17EEF"/>
    <w:rsid w:val="00E201DD"/>
    <w:rsid w:val="00E201FA"/>
    <w:rsid w:val="00E20247"/>
    <w:rsid w:val="00E202D8"/>
    <w:rsid w:val="00E20435"/>
    <w:rsid w:val="00E20DC8"/>
    <w:rsid w:val="00E20ED5"/>
    <w:rsid w:val="00E21452"/>
    <w:rsid w:val="00E21829"/>
    <w:rsid w:val="00E218CC"/>
    <w:rsid w:val="00E21A64"/>
    <w:rsid w:val="00E21B30"/>
    <w:rsid w:val="00E21E97"/>
    <w:rsid w:val="00E21FE0"/>
    <w:rsid w:val="00E22037"/>
    <w:rsid w:val="00E220D2"/>
    <w:rsid w:val="00E2218D"/>
    <w:rsid w:val="00E2225D"/>
    <w:rsid w:val="00E222A9"/>
    <w:rsid w:val="00E22571"/>
    <w:rsid w:val="00E22831"/>
    <w:rsid w:val="00E22892"/>
    <w:rsid w:val="00E228E8"/>
    <w:rsid w:val="00E22BE7"/>
    <w:rsid w:val="00E22C82"/>
    <w:rsid w:val="00E22D6D"/>
    <w:rsid w:val="00E22D91"/>
    <w:rsid w:val="00E22DBD"/>
    <w:rsid w:val="00E22E31"/>
    <w:rsid w:val="00E230A5"/>
    <w:rsid w:val="00E2334E"/>
    <w:rsid w:val="00E23492"/>
    <w:rsid w:val="00E235C1"/>
    <w:rsid w:val="00E23B16"/>
    <w:rsid w:val="00E23F5F"/>
    <w:rsid w:val="00E2406F"/>
    <w:rsid w:val="00E240CF"/>
    <w:rsid w:val="00E242F8"/>
    <w:rsid w:val="00E24318"/>
    <w:rsid w:val="00E2469C"/>
    <w:rsid w:val="00E24A8C"/>
    <w:rsid w:val="00E24BF3"/>
    <w:rsid w:val="00E24D7E"/>
    <w:rsid w:val="00E24DE2"/>
    <w:rsid w:val="00E24E91"/>
    <w:rsid w:val="00E253EF"/>
    <w:rsid w:val="00E25A39"/>
    <w:rsid w:val="00E25EEB"/>
    <w:rsid w:val="00E25FD6"/>
    <w:rsid w:val="00E26117"/>
    <w:rsid w:val="00E262D6"/>
    <w:rsid w:val="00E263C0"/>
    <w:rsid w:val="00E2642B"/>
    <w:rsid w:val="00E265DA"/>
    <w:rsid w:val="00E26713"/>
    <w:rsid w:val="00E26820"/>
    <w:rsid w:val="00E2682F"/>
    <w:rsid w:val="00E268E3"/>
    <w:rsid w:val="00E26930"/>
    <w:rsid w:val="00E26D02"/>
    <w:rsid w:val="00E26E52"/>
    <w:rsid w:val="00E26FDB"/>
    <w:rsid w:val="00E270F6"/>
    <w:rsid w:val="00E271EF"/>
    <w:rsid w:val="00E274D6"/>
    <w:rsid w:val="00E27670"/>
    <w:rsid w:val="00E2771D"/>
    <w:rsid w:val="00E3001B"/>
    <w:rsid w:val="00E30460"/>
    <w:rsid w:val="00E30734"/>
    <w:rsid w:val="00E307E4"/>
    <w:rsid w:val="00E30D44"/>
    <w:rsid w:val="00E30FE0"/>
    <w:rsid w:val="00E311F1"/>
    <w:rsid w:val="00E3188E"/>
    <w:rsid w:val="00E319C7"/>
    <w:rsid w:val="00E31A1C"/>
    <w:rsid w:val="00E31D02"/>
    <w:rsid w:val="00E31D63"/>
    <w:rsid w:val="00E31DBF"/>
    <w:rsid w:val="00E3201C"/>
    <w:rsid w:val="00E321B8"/>
    <w:rsid w:val="00E321F2"/>
    <w:rsid w:val="00E32251"/>
    <w:rsid w:val="00E325A1"/>
    <w:rsid w:val="00E32920"/>
    <w:rsid w:val="00E32970"/>
    <w:rsid w:val="00E329B1"/>
    <w:rsid w:val="00E329C8"/>
    <w:rsid w:val="00E32D8B"/>
    <w:rsid w:val="00E32F0E"/>
    <w:rsid w:val="00E32F29"/>
    <w:rsid w:val="00E32F39"/>
    <w:rsid w:val="00E33378"/>
    <w:rsid w:val="00E334B6"/>
    <w:rsid w:val="00E3382C"/>
    <w:rsid w:val="00E33CEA"/>
    <w:rsid w:val="00E33D37"/>
    <w:rsid w:val="00E33DE8"/>
    <w:rsid w:val="00E34032"/>
    <w:rsid w:val="00E347BB"/>
    <w:rsid w:val="00E348B8"/>
    <w:rsid w:val="00E34D99"/>
    <w:rsid w:val="00E34E17"/>
    <w:rsid w:val="00E34E21"/>
    <w:rsid w:val="00E350AE"/>
    <w:rsid w:val="00E35123"/>
    <w:rsid w:val="00E3512A"/>
    <w:rsid w:val="00E351C9"/>
    <w:rsid w:val="00E352E4"/>
    <w:rsid w:val="00E35300"/>
    <w:rsid w:val="00E355C3"/>
    <w:rsid w:val="00E3568E"/>
    <w:rsid w:val="00E357FC"/>
    <w:rsid w:val="00E35A4C"/>
    <w:rsid w:val="00E35E43"/>
    <w:rsid w:val="00E35ED8"/>
    <w:rsid w:val="00E36075"/>
    <w:rsid w:val="00E360ED"/>
    <w:rsid w:val="00E3670F"/>
    <w:rsid w:val="00E367A0"/>
    <w:rsid w:val="00E37022"/>
    <w:rsid w:val="00E37090"/>
    <w:rsid w:val="00E370AC"/>
    <w:rsid w:val="00E37516"/>
    <w:rsid w:val="00E37797"/>
    <w:rsid w:val="00E378C9"/>
    <w:rsid w:val="00E3790E"/>
    <w:rsid w:val="00E37981"/>
    <w:rsid w:val="00E37996"/>
    <w:rsid w:val="00E37AE5"/>
    <w:rsid w:val="00E37B95"/>
    <w:rsid w:val="00E37EA3"/>
    <w:rsid w:val="00E37F2C"/>
    <w:rsid w:val="00E40030"/>
    <w:rsid w:val="00E4021F"/>
    <w:rsid w:val="00E402F9"/>
    <w:rsid w:val="00E40446"/>
    <w:rsid w:val="00E40574"/>
    <w:rsid w:val="00E4057C"/>
    <w:rsid w:val="00E40674"/>
    <w:rsid w:val="00E40675"/>
    <w:rsid w:val="00E40687"/>
    <w:rsid w:val="00E40A48"/>
    <w:rsid w:val="00E40CF1"/>
    <w:rsid w:val="00E40DAD"/>
    <w:rsid w:val="00E41055"/>
    <w:rsid w:val="00E41BCE"/>
    <w:rsid w:val="00E41BD0"/>
    <w:rsid w:val="00E41CDE"/>
    <w:rsid w:val="00E41D26"/>
    <w:rsid w:val="00E41E01"/>
    <w:rsid w:val="00E42036"/>
    <w:rsid w:val="00E420F2"/>
    <w:rsid w:val="00E421BA"/>
    <w:rsid w:val="00E42234"/>
    <w:rsid w:val="00E4241E"/>
    <w:rsid w:val="00E425BE"/>
    <w:rsid w:val="00E425DA"/>
    <w:rsid w:val="00E425FC"/>
    <w:rsid w:val="00E4275A"/>
    <w:rsid w:val="00E429CA"/>
    <w:rsid w:val="00E42A8E"/>
    <w:rsid w:val="00E42D35"/>
    <w:rsid w:val="00E42DE3"/>
    <w:rsid w:val="00E42E57"/>
    <w:rsid w:val="00E42E9A"/>
    <w:rsid w:val="00E42F26"/>
    <w:rsid w:val="00E432A3"/>
    <w:rsid w:val="00E4387E"/>
    <w:rsid w:val="00E43E65"/>
    <w:rsid w:val="00E43FAA"/>
    <w:rsid w:val="00E43FB8"/>
    <w:rsid w:val="00E4417A"/>
    <w:rsid w:val="00E44475"/>
    <w:rsid w:val="00E44781"/>
    <w:rsid w:val="00E448BB"/>
    <w:rsid w:val="00E449A8"/>
    <w:rsid w:val="00E44A42"/>
    <w:rsid w:val="00E44A71"/>
    <w:rsid w:val="00E44B6F"/>
    <w:rsid w:val="00E44C25"/>
    <w:rsid w:val="00E44C76"/>
    <w:rsid w:val="00E45021"/>
    <w:rsid w:val="00E456DC"/>
    <w:rsid w:val="00E456E9"/>
    <w:rsid w:val="00E45763"/>
    <w:rsid w:val="00E45A19"/>
    <w:rsid w:val="00E45A8E"/>
    <w:rsid w:val="00E45EDB"/>
    <w:rsid w:val="00E46233"/>
    <w:rsid w:val="00E462EA"/>
    <w:rsid w:val="00E466F3"/>
    <w:rsid w:val="00E46782"/>
    <w:rsid w:val="00E46B7A"/>
    <w:rsid w:val="00E474BB"/>
    <w:rsid w:val="00E47741"/>
    <w:rsid w:val="00E47753"/>
    <w:rsid w:val="00E47BD8"/>
    <w:rsid w:val="00E47E1E"/>
    <w:rsid w:val="00E5026F"/>
    <w:rsid w:val="00E502BA"/>
    <w:rsid w:val="00E50364"/>
    <w:rsid w:val="00E505EA"/>
    <w:rsid w:val="00E506C0"/>
    <w:rsid w:val="00E506D5"/>
    <w:rsid w:val="00E5071F"/>
    <w:rsid w:val="00E5078B"/>
    <w:rsid w:val="00E50905"/>
    <w:rsid w:val="00E50980"/>
    <w:rsid w:val="00E50A56"/>
    <w:rsid w:val="00E50E7E"/>
    <w:rsid w:val="00E51361"/>
    <w:rsid w:val="00E51A0F"/>
    <w:rsid w:val="00E51AA7"/>
    <w:rsid w:val="00E51AFB"/>
    <w:rsid w:val="00E51DF2"/>
    <w:rsid w:val="00E51E05"/>
    <w:rsid w:val="00E51FCD"/>
    <w:rsid w:val="00E52015"/>
    <w:rsid w:val="00E52132"/>
    <w:rsid w:val="00E521D7"/>
    <w:rsid w:val="00E5221D"/>
    <w:rsid w:val="00E5247B"/>
    <w:rsid w:val="00E5247F"/>
    <w:rsid w:val="00E525C9"/>
    <w:rsid w:val="00E52A51"/>
    <w:rsid w:val="00E52A53"/>
    <w:rsid w:val="00E52ABE"/>
    <w:rsid w:val="00E52AD6"/>
    <w:rsid w:val="00E52B7A"/>
    <w:rsid w:val="00E52D47"/>
    <w:rsid w:val="00E52FDF"/>
    <w:rsid w:val="00E53275"/>
    <w:rsid w:val="00E53285"/>
    <w:rsid w:val="00E532AE"/>
    <w:rsid w:val="00E53583"/>
    <w:rsid w:val="00E53981"/>
    <w:rsid w:val="00E53BF2"/>
    <w:rsid w:val="00E53C2F"/>
    <w:rsid w:val="00E53C8B"/>
    <w:rsid w:val="00E53CFC"/>
    <w:rsid w:val="00E54262"/>
    <w:rsid w:val="00E544CD"/>
    <w:rsid w:val="00E54907"/>
    <w:rsid w:val="00E5493B"/>
    <w:rsid w:val="00E54A56"/>
    <w:rsid w:val="00E54A5B"/>
    <w:rsid w:val="00E54BB0"/>
    <w:rsid w:val="00E54CB0"/>
    <w:rsid w:val="00E54F84"/>
    <w:rsid w:val="00E552C6"/>
    <w:rsid w:val="00E5542D"/>
    <w:rsid w:val="00E5558E"/>
    <w:rsid w:val="00E556AC"/>
    <w:rsid w:val="00E5574C"/>
    <w:rsid w:val="00E56087"/>
    <w:rsid w:val="00E563FD"/>
    <w:rsid w:val="00E5676F"/>
    <w:rsid w:val="00E5687D"/>
    <w:rsid w:val="00E56AD6"/>
    <w:rsid w:val="00E56CCA"/>
    <w:rsid w:val="00E56E13"/>
    <w:rsid w:val="00E57186"/>
    <w:rsid w:val="00E572BC"/>
    <w:rsid w:val="00E57389"/>
    <w:rsid w:val="00E57417"/>
    <w:rsid w:val="00E5764E"/>
    <w:rsid w:val="00E57914"/>
    <w:rsid w:val="00E57CAA"/>
    <w:rsid w:val="00E57D92"/>
    <w:rsid w:val="00E57EE7"/>
    <w:rsid w:val="00E57F70"/>
    <w:rsid w:val="00E6032C"/>
    <w:rsid w:val="00E60632"/>
    <w:rsid w:val="00E6064A"/>
    <w:rsid w:val="00E6064B"/>
    <w:rsid w:val="00E6079E"/>
    <w:rsid w:val="00E60843"/>
    <w:rsid w:val="00E60877"/>
    <w:rsid w:val="00E60C21"/>
    <w:rsid w:val="00E60CF3"/>
    <w:rsid w:val="00E61033"/>
    <w:rsid w:val="00E61094"/>
    <w:rsid w:val="00E614DA"/>
    <w:rsid w:val="00E61A02"/>
    <w:rsid w:val="00E61A5A"/>
    <w:rsid w:val="00E61D88"/>
    <w:rsid w:val="00E61FB4"/>
    <w:rsid w:val="00E61FDD"/>
    <w:rsid w:val="00E62195"/>
    <w:rsid w:val="00E62250"/>
    <w:rsid w:val="00E6246C"/>
    <w:rsid w:val="00E629D2"/>
    <w:rsid w:val="00E62B0F"/>
    <w:rsid w:val="00E62D20"/>
    <w:rsid w:val="00E62DC4"/>
    <w:rsid w:val="00E62F30"/>
    <w:rsid w:val="00E630C1"/>
    <w:rsid w:val="00E63166"/>
    <w:rsid w:val="00E631EE"/>
    <w:rsid w:val="00E63584"/>
    <w:rsid w:val="00E63738"/>
    <w:rsid w:val="00E6373E"/>
    <w:rsid w:val="00E638AD"/>
    <w:rsid w:val="00E63A80"/>
    <w:rsid w:val="00E640D1"/>
    <w:rsid w:val="00E64105"/>
    <w:rsid w:val="00E6417E"/>
    <w:rsid w:val="00E6438C"/>
    <w:rsid w:val="00E6457B"/>
    <w:rsid w:val="00E648AB"/>
    <w:rsid w:val="00E64919"/>
    <w:rsid w:val="00E64953"/>
    <w:rsid w:val="00E649B0"/>
    <w:rsid w:val="00E64ADE"/>
    <w:rsid w:val="00E64F4C"/>
    <w:rsid w:val="00E65638"/>
    <w:rsid w:val="00E65938"/>
    <w:rsid w:val="00E659C8"/>
    <w:rsid w:val="00E65B8F"/>
    <w:rsid w:val="00E65C3C"/>
    <w:rsid w:val="00E65C59"/>
    <w:rsid w:val="00E65CDA"/>
    <w:rsid w:val="00E65CE4"/>
    <w:rsid w:val="00E66032"/>
    <w:rsid w:val="00E66051"/>
    <w:rsid w:val="00E6605B"/>
    <w:rsid w:val="00E660DF"/>
    <w:rsid w:val="00E66528"/>
    <w:rsid w:val="00E66819"/>
    <w:rsid w:val="00E66DBB"/>
    <w:rsid w:val="00E67376"/>
    <w:rsid w:val="00E673D0"/>
    <w:rsid w:val="00E673FA"/>
    <w:rsid w:val="00E67543"/>
    <w:rsid w:val="00E6765D"/>
    <w:rsid w:val="00E679EB"/>
    <w:rsid w:val="00E67FD8"/>
    <w:rsid w:val="00E701AF"/>
    <w:rsid w:val="00E703A1"/>
    <w:rsid w:val="00E7087C"/>
    <w:rsid w:val="00E708BD"/>
    <w:rsid w:val="00E709BE"/>
    <w:rsid w:val="00E70ACD"/>
    <w:rsid w:val="00E70BBD"/>
    <w:rsid w:val="00E70C10"/>
    <w:rsid w:val="00E70CDA"/>
    <w:rsid w:val="00E70DA7"/>
    <w:rsid w:val="00E70E95"/>
    <w:rsid w:val="00E70F1B"/>
    <w:rsid w:val="00E7143B"/>
    <w:rsid w:val="00E71560"/>
    <w:rsid w:val="00E7168B"/>
    <w:rsid w:val="00E719C2"/>
    <w:rsid w:val="00E71B12"/>
    <w:rsid w:val="00E71B36"/>
    <w:rsid w:val="00E720EF"/>
    <w:rsid w:val="00E7215A"/>
    <w:rsid w:val="00E72172"/>
    <w:rsid w:val="00E72212"/>
    <w:rsid w:val="00E7233E"/>
    <w:rsid w:val="00E72589"/>
    <w:rsid w:val="00E728DA"/>
    <w:rsid w:val="00E73083"/>
    <w:rsid w:val="00E731A9"/>
    <w:rsid w:val="00E73244"/>
    <w:rsid w:val="00E733FA"/>
    <w:rsid w:val="00E73414"/>
    <w:rsid w:val="00E73514"/>
    <w:rsid w:val="00E73527"/>
    <w:rsid w:val="00E735EB"/>
    <w:rsid w:val="00E73784"/>
    <w:rsid w:val="00E7382A"/>
    <w:rsid w:val="00E73C74"/>
    <w:rsid w:val="00E740BD"/>
    <w:rsid w:val="00E74158"/>
    <w:rsid w:val="00E7434A"/>
    <w:rsid w:val="00E7452B"/>
    <w:rsid w:val="00E7474E"/>
    <w:rsid w:val="00E748F9"/>
    <w:rsid w:val="00E74967"/>
    <w:rsid w:val="00E74971"/>
    <w:rsid w:val="00E74CF4"/>
    <w:rsid w:val="00E74D91"/>
    <w:rsid w:val="00E751B4"/>
    <w:rsid w:val="00E751D7"/>
    <w:rsid w:val="00E7535B"/>
    <w:rsid w:val="00E754D0"/>
    <w:rsid w:val="00E75B31"/>
    <w:rsid w:val="00E75DAC"/>
    <w:rsid w:val="00E75F91"/>
    <w:rsid w:val="00E7604D"/>
    <w:rsid w:val="00E76050"/>
    <w:rsid w:val="00E76100"/>
    <w:rsid w:val="00E762C4"/>
    <w:rsid w:val="00E762E4"/>
    <w:rsid w:val="00E763A1"/>
    <w:rsid w:val="00E76401"/>
    <w:rsid w:val="00E767C1"/>
    <w:rsid w:val="00E76855"/>
    <w:rsid w:val="00E76B5B"/>
    <w:rsid w:val="00E76E42"/>
    <w:rsid w:val="00E77713"/>
    <w:rsid w:val="00E77869"/>
    <w:rsid w:val="00E77A64"/>
    <w:rsid w:val="00E77CC5"/>
    <w:rsid w:val="00E804AF"/>
    <w:rsid w:val="00E8096E"/>
    <w:rsid w:val="00E80A49"/>
    <w:rsid w:val="00E80E25"/>
    <w:rsid w:val="00E80FE3"/>
    <w:rsid w:val="00E81016"/>
    <w:rsid w:val="00E8102D"/>
    <w:rsid w:val="00E811E8"/>
    <w:rsid w:val="00E815B6"/>
    <w:rsid w:val="00E8194C"/>
    <w:rsid w:val="00E81E21"/>
    <w:rsid w:val="00E81F95"/>
    <w:rsid w:val="00E821D1"/>
    <w:rsid w:val="00E821D4"/>
    <w:rsid w:val="00E823D1"/>
    <w:rsid w:val="00E82652"/>
    <w:rsid w:val="00E828DB"/>
    <w:rsid w:val="00E82B57"/>
    <w:rsid w:val="00E82C8F"/>
    <w:rsid w:val="00E82D9A"/>
    <w:rsid w:val="00E82DD3"/>
    <w:rsid w:val="00E82F2A"/>
    <w:rsid w:val="00E8307C"/>
    <w:rsid w:val="00E8307F"/>
    <w:rsid w:val="00E830D5"/>
    <w:rsid w:val="00E831D5"/>
    <w:rsid w:val="00E832AD"/>
    <w:rsid w:val="00E83520"/>
    <w:rsid w:val="00E8352E"/>
    <w:rsid w:val="00E837CB"/>
    <w:rsid w:val="00E83906"/>
    <w:rsid w:val="00E83C1E"/>
    <w:rsid w:val="00E84195"/>
    <w:rsid w:val="00E842B3"/>
    <w:rsid w:val="00E84401"/>
    <w:rsid w:val="00E8450F"/>
    <w:rsid w:val="00E847B0"/>
    <w:rsid w:val="00E84A53"/>
    <w:rsid w:val="00E84A60"/>
    <w:rsid w:val="00E84BC6"/>
    <w:rsid w:val="00E84DF5"/>
    <w:rsid w:val="00E84FCA"/>
    <w:rsid w:val="00E853D7"/>
    <w:rsid w:val="00E85452"/>
    <w:rsid w:val="00E854F3"/>
    <w:rsid w:val="00E8557B"/>
    <w:rsid w:val="00E8573F"/>
    <w:rsid w:val="00E85868"/>
    <w:rsid w:val="00E859B7"/>
    <w:rsid w:val="00E85B87"/>
    <w:rsid w:val="00E85D0C"/>
    <w:rsid w:val="00E85E79"/>
    <w:rsid w:val="00E85ED6"/>
    <w:rsid w:val="00E86165"/>
    <w:rsid w:val="00E86295"/>
    <w:rsid w:val="00E8646B"/>
    <w:rsid w:val="00E866D8"/>
    <w:rsid w:val="00E86822"/>
    <w:rsid w:val="00E86CD7"/>
    <w:rsid w:val="00E86D8F"/>
    <w:rsid w:val="00E86F7C"/>
    <w:rsid w:val="00E8706B"/>
    <w:rsid w:val="00E874E4"/>
    <w:rsid w:val="00E879CE"/>
    <w:rsid w:val="00E879D1"/>
    <w:rsid w:val="00E87B03"/>
    <w:rsid w:val="00E87D68"/>
    <w:rsid w:val="00E87F30"/>
    <w:rsid w:val="00E90335"/>
    <w:rsid w:val="00E903CF"/>
    <w:rsid w:val="00E905E4"/>
    <w:rsid w:val="00E90858"/>
    <w:rsid w:val="00E90E3E"/>
    <w:rsid w:val="00E9115B"/>
    <w:rsid w:val="00E91965"/>
    <w:rsid w:val="00E9196E"/>
    <w:rsid w:val="00E91F10"/>
    <w:rsid w:val="00E921E7"/>
    <w:rsid w:val="00E92295"/>
    <w:rsid w:val="00E92517"/>
    <w:rsid w:val="00E92755"/>
    <w:rsid w:val="00E92849"/>
    <w:rsid w:val="00E9292C"/>
    <w:rsid w:val="00E9303A"/>
    <w:rsid w:val="00E930F8"/>
    <w:rsid w:val="00E93291"/>
    <w:rsid w:val="00E93802"/>
    <w:rsid w:val="00E93978"/>
    <w:rsid w:val="00E93B38"/>
    <w:rsid w:val="00E93DA2"/>
    <w:rsid w:val="00E93E80"/>
    <w:rsid w:val="00E942A0"/>
    <w:rsid w:val="00E942DC"/>
    <w:rsid w:val="00E9432B"/>
    <w:rsid w:val="00E94759"/>
    <w:rsid w:val="00E949EF"/>
    <w:rsid w:val="00E9559E"/>
    <w:rsid w:val="00E95859"/>
    <w:rsid w:val="00E9598F"/>
    <w:rsid w:val="00E95B66"/>
    <w:rsid w:val="00E95D2C"/>
    <w:rsid w:val="00E95D33"/>
    <w:rsid w:val="00E95F76"/>
    <w:rsid w:val="00E96100"/>
    <w:rsid w:val="00E96156"/>
    <w:rsid w:val="00E962CE"/>
    <w:rsid w:val="00E9675F"/>
    <w:rsid w:val="00E96C80"/>
    <w:rsid w:val="00E96F78"/>
    <w:rsid w:val="00E9707B"/>
    <w:rsid w:val="00E9719D"/>
    <w:rsid w:val="00E97324"/>
    <w:rsid w:val="00E977EA"/>
    <w:rsid w:val="00E97B4F"/>
    <w:rsid w:val="00E97B82"/>
    <w:rsid w:val="00E97D92"/>
    <w:rsid w:val="00E97E52"/>
    <w:rsid w:val="00E97F17"/>
    <w:rsid w:val="00E97F73"/>
    <w:rsid w:val="00EA026F"/>
    <w:rsid w:val="00EA08A4"/>
    <w:rsid w:val="00EA0D26"/>
    <w:rsid w:val="00EA107B"/>
    <w:rsid w:val="00EA118E"/>
    <w:rsid w:val="00EA134A"/>
    <w:rsid w:val="00EA160A"/>
    <w:rsid w:val="00EA1842"/>
    <w:rsid w:val="00EA184E"/>
    <w:rsid w:val="00EA1B59"/>
    <w:rsid w:val="00EA1F12"/>
    <w:rsid w:val="00EA248C"/>
    <w:rsid w:val="00EA24B1"/>
    <w:rsid w:val="00EA24E4"/>
    <w:rsid w:val="00EA283E"/>
    <w:rsid w:val="00EA3640"/>
    <w:rsid w:val="00EA388B"/>
    <w:rsid w:val="00EA3A31"/>
    <w:rsid w:val="00EA404A"/>
    <w:rsid w:val="00EA430B"/>
    <w:rsid w:val="00EA43A6"/>
    <w:rsid w:val="00EA465B"/>
    <w:rsid w:val="00EA48A0"/>
    <w:rsid w:val="00EA4C76"/>
    <w:rsid w:val="00EA4D4C"/>
    <w:rsid w:val="00EA4DA3"/>
    <w:rsid w:val="00EA514A"/>
    <w:rsid w:val="00EA516C"/>
    <w:rsid w:val="00EA5338"/>
    <w:rsid w:val="00EA5F9D"/>
    <w:rsid w:val="00EA6015"/>
    <w:rsid w:val="00EA6026"/>
    <w:rsid w:val="00EA6073"/>
    <w:rsid w:val="00EA62CD"/>
    <w:rsid w:val="00EA64FD"/>
    <w:rsid w:val="00EA67ED"/>
    <w:rsid w:val="00EA6CAA"/>
    <w:rsid w:val="00EA6F21"/>
    <w:rsid w:val="00EA708B"/>
    <w:rsid w:val="00EA72C8"/>
    <w:rsid w:val="00EA73F2"/>
    <w:rsid w:val="00EA7A23"/>
    <w:rsid w:val="00EA7B5A"/>
    <w:rsid w:val="00EA7CB9"/>
    <w:rsid w:val="00EA7EFD"/>
    <w:rsid w:val="00EB0133"/>
    <w:rsid w:val="00EB0422"/>
    <w:rsid w:val="00EB0B9F"/>
    <w:rsid w:val="00EB0D2E"/>
    <w:rsid w:val="00EB101B"/>
    <w:rsid w:val="00EB112D"/>
    <w:rsid w:val="00EB11C3"/>
    <w:rsid w:val="00EB11E8"/>
    <w:rsid w:val="00EB128F"/>
    <w:rsid w:val="00EB12D5"/>
    <w:rsid w:val="00EB13BC"/>
    <w:rsid w:val="00EB1487"/>
    <w:rsid w:val="00EB1504"/>
    <w:rsid w:val="00EB1931"/>
    <w:rsid w:val="00EB1A62"/>
    <w:rsid w:val="00EB1DE5"/>
    <w:rsid w:val="00EB207E"/>
    <w:rsid w:val="00EB269E"/>
    <w:rsid w:val="00EB2743"/>
    <w:rsid w:val="00EB2B73"/>
    <w:rsid w:val="00EB2C00"/>
    <w:rsid w:val="00EB2C05"/>
    <w:rsid w:val="00EB2C6D"/>
    <w:rsid w:val="00EB2CC2"/>
    <w:rsid w:val="00EB3050"/>
    <w:rsid w:val="00EB33EE"/>
    <w:rsid w:val="00EB371D"/>
    <w:rsid w:val="00EB384B"/>
    <w:rsid w:val="00EB38C6"/>
    <w:rsid w:val="00EB3C5E"/>
    <w:rsid w:val="00EB3D51"/>
    <w:rsid w:val="00EB3ED6"/>
    <w:rsid w:val="00EB459A"/>
    <w:rsid w:val="00EB46E5"/>
    <w:rsid w:val="00EB47FF"/>
    <w:rsid w:val="00EB4BE4"/>
    <w:rsid w:val="00EB4EB9"/>
    <w:rsid w:val="00EB540C"/>
    <w:rsid w:val="00EB58D5"/>
    <w:rsid w:val="00EB5A4D"/>
    <w:rsid w:val="00EB5A70"/>
    <w:rsid w:val="00EB5CB2"/>
    <w:rsid w:val="00EB5F49"/>
    <w:rsid w:val="00EB60E4"/>
    <w:rsid w:val="00EB61E5"/>
    <w:rsid w:val="00EB6409"/>
    <w:rsid w:val="00EB653B"/>
    <w:rsid w:val="00EB6749"/>
    <w:rsid w:val="00EB69EF"/>
    <w:rsid w:val="00EB6AF5"/>
    <w:rsid w:val="00EB6B76"/>
    <w:rsid w:val="00EB6FD3"/>
    <w:rsid w:val="00EB7039"/>
    <w:rsid w:val="00EB70B7"/>
    <w:rsid w:val="00EB72AD"/>
    <w:rsid w:val="00EB73A9"/>
    <w:rsid w:val="00EB77E5"/>
    <w:rsid w:val="00EB7A9D"/>
    <w:rsid w:val="00EB7B31"/>
    <w:rsid w:val="00EB7B9F"/>
    <w:rsid w:val="00EC016E"/>
    <w:rsid w:val="00EC01A9"/>
    <w:rsid w:val="00EC030F"/>
    <w:rsid w:val="00EC050C"/>
    <w:rsid w:val="00EC0A1A"/>
    <w:rsid w:val="00EC0B43"/>
    <w:rsid w:val="00EC0CC5"/>
    <w:rsid w:val="00EC0D9E"/>
    <w:rsid w:val="00EC0E14"/>
    <w:rsid w:val="00EC12F6"/>
    <w:rsid w:val="00EC1A63"/>
    <w:rsid w:val="00EC1B7B"/>
    <w:rsid w:val="00EC1C12"/>
    <w:rsid w:val="00EC1D38"/>
    <w:rsid w:val="00EC1DC8"/>
    <w:rsid w:val="00EC1E3C"/>
    <w:rsid w:val="00EC2137"/>
    <w:rsid w:val="00EC23B8"/>
    <w:rsid w:val="00EC255A"/>
    <w:rsid w:val="00EC26F3"/>
    <w:rsid w:val="00EC2951"/>
    <w:rsid w:val="00EC2964"/>
    <w:rsid w:val="00EC2E0D"/>
    <w:rsid w:val="00EC32E0"/>
    <w:rsid w:val="00EC33FB"/>
    <w:rsid w:val="00EC371C"/>
    <w:rsid w:val="00EC3CE6"/>
    <w:rsid w:val="00EC3D61"/>
    <w:rsid w:val="00EC4150"/>
    <w:rsid w:val="00EC43D1"/>
    <w:rsid w:val="00EC43DB"/>
    <w:rsid w:val="00EC4504"/>
    <w:rsid w:val="00EC46DC"/>
    <w:rsid w:val="00EC4838"/>
    <w:rsid w:val="00EC4C27"/>
    <w:rsid w:val="00EC4C35"/>
    <w:rsid w:val="00EC4FFA"/>
    <w:rsid w:val="00EC509B"/>
    <w:rsid w:val="00EC51ED"/>
    <w:rsid w:val="00EC5468"/>
    <w:rsid w:val="00EC58E1"/>
    <w:rsid w:val="00EC5A31"/>
    <w:rsid w:val="00EC5FD9"/>
    <w:rsid w:val="00EC6334"/>
    <w:rsid w:val="00EC639B"/>
    <w:rsid w:val="00EC645F"/>
    <w:rsid w:val="00EC6545"/>
    <w:rsid w:val="00EC6793"/>
    <w:rsid w:val="00EC68C1"/>
    <w:rsid w:val="00EC69D2"/>
    <w:rsid w:val="00EC69E4"/>
    <w:rsid w:val="00EC70F9"/>
    <w:rsid w:val="00EC7161"/>
    <w:rsid w:val="00EC716E"/>
    <w:rsid w:val="00EC71AE"/>
    <w:rsid w:val="00EC71CC"/>
    <w:rsid w:val="00EC7375"/>
    <w:rsid w:val="00EC763F"/>
    <w:rsid w:val="00EC7645"/>
    <w:rsid w:val="00EC765F"/>
    <w:rsid w:val="00EC78E7"/>
    <w:rsid w:val="00EC7A98"/>
    <w:rsid w:val="00EC7AE9"/>
    <w:rsid w:val="00EC7BED"/>
    <w:rsid w:val="00EC7CCF"/>
    <w:rsid w:val="00EC7F53"/>
    <w:rsid w:val="00ED01FC"/>
    <w:rsid w:val="00ED070D"/>
    <w:rsid w:val="00ED0DCA"/>
    <w:rsid w:val="00ED1091"/>
    <w:rsid w:val="00ED1298"/>
    <w:rsid w:val="00ED14E1"/>
    <w:rsid w:val="00ED198A"/>
    <w:rsid w:val="00ED1D92"/>
    <w:rsid w:val="00ED1FF6"/>
    <w:rsid w:val="00ED20C7"/>
    <w:rsid w:val="00ED2220"/>
    <w:rsid w:val="00ED230C"/>
    <w:rsid w:val="00ED2325"/>
    <w:rsid w:val="00ED237C"/>
    <w:rsid w:val="00ED287C"/>
    <w:rsid w:val="00ED2CBA"/>
    <w:rsid w:val="00ED2D16"/>
    <w:rsid w:val="00ED314C"/>
    <w:rsid w:val="00ED3277"/>
    <w:rsid w:val="00ED3467"/>
    <w:rsid w:val="00ED360C"/>
    <w:rsid w:val="00ED3793"/>
    <w:rsid w:val="00ED37C3"/>
    <w:rsid w:val="00ED385C"/>
    <w:rsid w:val="00ED3ADC"/>
    <w:rsid w:val="00ED3B9D"/>
    <w:rsid w:val="00ED3D72"/>
    <w:rsid w:val="00ED3E65"/>
    <w:rsid w:val="00ED3F00"/>
    <w:rsid w:val="00ED3F59"/>
    <w:rsid w:val="00ED478E"/>
    <w:rsid w:val="00ED4A1C"/>
    <w:rsid w:val="00ED4A58"/>
    <w:rsid w:val="00ED4C5D"/>
    <w:rsid w:val="00ED4D7E"/>
    <w:rsid w:val="00ED4F3C"/>
    <w:rsid w:val="00ED51F0"/>
    <w:rsid w:val="00ED5554"/>
    <w:rsid w:val="00ED59FF"/>
    <w:rsid w:val="00ED5B50"/>
    <w:rsid w:val="00ED5D65"/>
    <w:rsid w:val="00ED5E6A"/>
    <w:rsid w:val="00ED5F33"/>
    <w:rsid w:val="00ED5FDF"/>
    <w:rsid w:val="00ED60E3"/>
    <w:rsid w:val="00ED649E"/>
    <w:rsid w:val="00ED670F"/>
    <w:rsid w:val="00ED6735"/>
    <w:rsid w:val="00ED6A7A"/>
    <w:rsid w:val="00ED6AB4"/>
    <w:rsid w:val="00ED6AE8"/>
    <w:rsid w:val="00ED6B4A"/>
    <w:rsid w:val="00ED6BDB"/>
    <w:rsid w:val="00ED6C2F"/>
    <w:rsid w:val="00ED6CD1"/>
    <w:rsid w:val="00ED6CE4"/>
    <w:rsid w:val="00ED6F32"/>
    <w:rsid w:val="00ED6F95"/>
    <w:rsid w:val="00ED71D0"/>
    <w:rsid w:val="00ED7299"/>
    <w:rsid w:val="00ED7904"/>
    <w:rsid w:val="00ED7A05"/>
    <w:rsid w:val="00ED7A12"/>
    <w:rsid w:val="00ED7D22"/>
    <w:rsid w:val="00EE00A7"/>
    <w:rsid w:val="00EE01A9"/>
    <w:rsid w:val="00EE0336"/>
    <w:rsid w:val="00EE0452"/>
    <w:rsid w:val="00EE0546"/>
    <w:rsid w:val="00EE06E7"/>
    <w:rsid w:val="00EE074C"/>
    <w:rsid w:val="00EE0778"/>
    <w:rsid w:val="00EE0854"/>
    <w:rsid w:val="00EE0946"/>
    <w:rsid w:val="00EE0A49"/>
    <w:rsid w:val="00EE0B61"/>
    <w:rsid w:val="00EE0C25"/>
    <w:rsid w:val="00EE0D08"/>
    <w:rsid w:val="00EE0DB2"/>
    <w:rsid w:val="00EE0DB7"/>
    <w:rsid w:val="00EE1181"/>
    <w:rsid w:val="00EE11C9"/>
    <w:rsid w:val="00EE12AD"/>
    <w:rsid w:val="00EE133B"/>
    <w:rsid w:val="00EE1451"/>
    <w:rsid w:val="00EE1507"/>
    <w:rsid w:val="00EE1784"/>
    <w:rsid w:val="00EE1851"/>
    <w:rsid w:val="00EE18CE"/>
    <w:rsid w:val="00EE1946"/>
    <w:rsid w:val="00EE19F8"/>
    <w:rsid w:val="00EE1B53"/>
    <w:rsid w:val="00EE1E66"/>
    <w:rsid w:val="00EE200C"/>
    <w:rsid w:val="00EE214C"/>
    <w:rsid w:val="00EE2385"/>
    <w:rsid w:val="00EE25CA"/>
    <w:rsid w:val="00EE2A76"/>
    <w:rsid w:val="00EE2B7D"/>
    <w:rsid w:val="00EE2DA9"/>
    <w:rsid w:val="00EE31A1"/>
    <w:rsid w:val="00EE32B3"/>
    <w:rsid w:val="00EE38D3"/>
    <w:rsid w:val="00EE3B31"/>
    <w:rsid w:val="00EE3BD5"/>
    <w:rsid w:val="00EE41D1"/>
    <w:rsid w:val="00EE4274"/>
    <w:rsid w:val="00EE43EF"/>
    <w:rsid w:val="00EE4716"/>
    <w:rsid w:val="00EE48D5"/>
    <w:rsid w:val="00EE4C27"/>
    <w:rsid w:val="00EE4C4E"/>
    <w:rsid w:val="00EE4D0C"/>
    <w:rsid w:val="00EE4EA5"/>
    <w:rsid w:val="00EE4F2B"/>
    <w:rsid w:val="00EE502F"/>
    <w:rsid w:val="00EE5075"/>
    <w:rsid w:val="00EE51CB"/>
    <w:rsid w:val="00EE54E5"/>
    <w:rsid w:val="00EE55A6"/>
    <w:rsid w:val="00EE5624"/>
    <w:rsid w:val="00EE5752"/>
    <w:rsid w:val="00EE5AE8"/>
    <w:rsid w:val="00EE5BB2"/>
    <w:rsid w:val="00EE60D2"/>
    <w:rsid w:val="00EE60F8"/>
    <w:rsid w:val="00EE6340"/>
    <w:rsid w:val="00EE6436"/>
    <w:rsid w:val="00EE6562"/>
    <w:rsid w:val="00EE68D8"/>
    <w:rsid w:val="00EE6E33"/>
    <w:rsid w:val="00EE6F34"/>
    <w:rsid w:val="00EE6F78"/>
    <w:rsid w:val="00EE70CD"/>
    <w:rsid w:val="00EE713B"/>
    <w:rsid w:val="00EE718E"/>
    <w:rsid w:val="00EE71C4"/>
    <w:rsid w:val="00EE73FF"/>
    <w:rsid w:val="00EE7762"/>
    <w:rsid w:val="00EE78F3"/>
    <w:rsid w:val="00EF008A"/>
    <w:rsid w:val="00EF036C"/>
    <w:rsid w:val="00EF0379"/>
    <w:rsid w:val="00EF0468"/>
    <w:rsid w:val="00EF05F4"/>
    <w:rsid w:val="00EF08C3"/>
    <w:rsid w:val="00EF09A3"/>
    <w:rsid w:val="00EF0F1F"/>
    <w:rsid w:val="00EF10EA"/>
    <w:rsid w:val="00EF13D1"/>
    <w:rsid w:val="00EF13DB"/>
    <w:rsid w:val="00EF1452"/>
    <w:rsid w:val="00EF151C"/>
    <w:rsid w:val="00EF1704"/>
    <w:rsid w:val="00EF179B"/>
    <w:rsid w:val="00EF1A42"/>
    <w:rsid w:val="00EF1D2D"/>
    <w:rsid w:val="00EF1F4B"/>
    <w:rsid w:val="00EF220F"/>
    <w:rsid w:val="00EF22DE"/>
    <w:rsid w:val="00EF2361"/>
    <w:rsid w:val="00EF24A0"/>
    <w:rsid w:val="00EF2658"/>
    <w:rsid w:val="00EF291B"/>
    <w:rsid w:val="00EF2A72"/>
    <w:rsid w:val="00EF2B48"/>
    <w:rsid w:val="00EF2BD8"/>
    <w:rsid w:val="00EF2D68"/>
    <w:rsid w:val="00EF2FD7"/>
    <w:rsid w:val="00EF313F"/>
    <w:rsid w:val="00EF319A"/>
    <w:rsid w:val="00EF3878"/>
    <w:rsid w:val="00EF38C7"/>
    <w:rsid w:val="00EF3C59"/>
    <w:rsid w:val="00EF3CCC"/>
    <w:rsid w:val="00EF3EBF"/>
    <w:rsid w:val="00EF426C"/>
    <w:rsid w:val="00EF44D9"/>
    <w:rsid w:val="00EF482F"/>
    <w:rsid w:val="00EF4C71"/>
    <w:rsid w:val="00EF4EB9"/>
    <w:rsid w:val="00EF5712"/>
    <w:rsid w:val="00EF5A57"/>
    <w:rsid w:val="00EF5F01"/>
    <w:rsid w:val="00EF6352"/>
    <w:rsid w:val="00EF6396"/>
    <w:rsid w:val="00EF64F1"/>
    <w:rsid w:val="00EF6564"/>
    <w:rsid w:val="00EF6D74"/>
    <w:rsid w:val="00EF6F17"/>
    <w:rsid w:val="00EF714D"/>
    <w:rsid w:val="00EF720D"/>
    <w:rsid w:val="00EF73C2"/>
    <w:rsid w:val="00EF745D"/>
    <w:rsid w:val="00EF757B"/>
    <w:rsid w:val="00EF77AA"/>
    <w:rsid w:val="00EF7A81"/>
    <w:rsid w:val="00EF7A99"/>
    <w:rsid w:val="00EF7E70"/>
    <w:rsid w:val="00F002CB"/>
    <w:rsid w:val="00F00526"/>
    <w:rsid w:val="00F0057B"/>
    <w:rsid w:val="00F00853"/>
    <w:rsid w:val="00F00868"/>
    <w:rsid w:val="00F00AD0"/>
    <w:rsid w:val="00F00B75"/>
    <w:rsid w:val="00F00C0F"/>
    <w:rsid w:val="00F00C68"/>
    <w:rsid w:val="00F00E03"/>
    <w:rsid w:val="00F00F69"/>
    <w:rsid w:val="00F01045"/>
    <w:rsid w:val="00F0138B"/>
    <w:rsid w:val="00F01495"/>
    <w:rsid w:val="00F014A9"/>
    <w:rsid w:val="00F014FB"/>
    <w:rsid w:val="00F019E9"/>
    <w:rsid w:val="00F01A06"/>
    <w:rsid w:val="00F01CEE"/>
    <w:rsid w:val="00F01D82"/>
    <w:rsid w:val="00F025B8"/>
    <w:rsid w:val="00F02763"/>
    <w:rsid w:val="00F02965"/>
    <w:rsid w:val="00F02BFB"/>
    <w:rsid w:val="00F02CEC"/>
    <w:rsid w:val="00F03175"/>
    <w:rsid w:val="00F0334C"/>
    <w:rsid w:val="00F03453"/>
    <w:rsid w:val="00F03BCF"/>
    <w:rsid w:val="00F03DB9"/>
    <w:rsid w:val="00F0423F"/>
    <w:rsid w:val="00F04617"/>
    <w:rsid w:val="00F04682"/>
    <w:rsid w:val="00F0546F"/>
    <w:rsid w:val="00F05625"/>
    <w:rsid w:val="00F05670"/>
    <w:rsid w:val="00F05795"/>
    <w:rsid w:val="00F0587B"/>
    <w:rsid w:val="00F05A2B"/>
    <w:rsid w:val="00F05D62"/>
    <w:rsid w:val="00F0651E"/>
    <w:rsid w:val="00F065E8"/>
    <w:rsid w:val="00F0663A"/>
    <w:rsid w:val="00F06998"/>
    <w:rsid w:val="00F06ECF"/>
    <w:rsid w:val="00F07B25"/>
    <w:rsid w:val="00F1009F"/>
    <w:rsid w:val="00F10175"/>
    <w:rsid w:val="00F102ED"/>
    <w:rsid w:val="00F10313"/>
    <w:rsid w:val="00F10321"/>
    <w:rsid w:val="00F10430"/>
    <w:rsid w:val="00F1050A"/>
    <w:rsid w:val="00F107A5"/>
    <w:rsid w:val="00F1084F"/>
    <w:rsid w:val="00F109F2"/>
    <w:rsid w:val="00F10A9B"/>
    <w:rsid w:val="00F10BE5"/>
    <w:rsid w:val="00F10D23"/>
    <w:rsid w:val="00F10D91"/>
    <w:rsid w:val="00F11228"/>
    <w:rsid w:val="00F11252"/>
    <w:rsid w:val="00F1135A"/>
    <w:rsid w:val="00F11523"/>
    <w:rsid w:val="00F11542"/>
    <w:rsid w:val="00F11A04"/>
    <w:rsid w:val="00F11B03"/>
    <w:rsid w:val="00F11D35"/>
    <w:rsid w:val="00F11D7F"/>
    <w:rsid w:val="00F120D7"/>
    <w:rsid w:val="00F122F6"/>
    <w:rsid w:val="00F1266F"/>
    <w:rsid w:val="00F12944"/>
    <w:rsid w:val="00F12B76"/>
    <w:rsid w:val="00F12D2C"/>
    <w:rsid w:val="00F12D6D"/>
    <w:rsid w:val="00F12E73"/>
    <w:rsid w:val="00F130E5"/>
    <w:rsid w:val="00F13234"/>
    <w:rsid w:val="00F132F3"/>
    <w:rsid w:val="00F1350E"/>
    <w:rsid w:val="00F135F6"/>
    <w:rsid w:val="00F13ADE"/>
    <w:rsid w:val="00F13C22"/>
    <w:rsid w:val="00F13C3C"/>
    <w:rsid w:val="00F13DB5"/>
    <w:rsid w:val="00F13E72"/>
    <w:rsid w:val="00F13F68"/>
    <w:rsid w:val="00F143A9"/>
    <w:rsid w:val="00F1463B"/>
    <w:rsid w:val="00F1471C"/>
    <w:rsid w:val="00F147F5"/>
    <w:rsid w:val="00F14C1D"/>
    <w:rsid w:val="00F15077"/>
    <w:rsid w:val="00F152A8"/>
    <w:rsid w:val="00F154B8"/>
    <w:rsid w:val="00F15715"/>
    <w:rsid w:val="00F1574A"/>
    <w:rsid w:val="00F157C6"/>
    <w:rsid w:val="00F15894"/>
    <w:rsid w:val="00F15AFD"/>
    <w:rsid w:val="00F15D28"/>
    <w:rsid w:val="00F15F6F"/>
    <w:rsid w:val="00F1611C"/>
    <w:rsid w:val="00F163A9"/>
    <w:rsid w:val="00F1647D"/>
    <w:rsid w:val="00F16553"/>
    <w:rsid w:val="00F16585"/>
    <w:rsid w:val="00F1659A"/>
    <w:rsid w:val="00F169D5"/>
    <w:rsid w:val="00F16C83"/>
    <w:rsid w:val="00F1709F"/>
    <w:rsid w:val="00F17807"/>
    <w:rsid w:val="00F1781A"/>
    <w:rsid w:val="00F179A5"/>
    <w:rsid w:val="00F179FC"/>
    <w:rsid w:val="00F17A89"/>
    <w:rsid w:val="00F17F54"/>
    <w:rsid w:val="00F20169"/>
    <w:rsid w:val="00F2032F"/>
    <w:rsid w:val="00F204A6"/>
    <w:rsid w:val="00F2057B"/>
    <w:rsid w:val="00F207BD"/>
    <w:rsid w:val="00F20A9F"/>
    <w:rsid w:val="00F20B20"/>
    <w:rsid w:val="00F20C9F"/>
    <w:rsid w:val="00F21965"/>
    <w:rsid w:val="00F222FF"/>
    <w:rsid w:val="00F2260F"/>
    <w:rsid w:val="00F22B3A"/>
    <w:rsid w:val="00F22F28"/>
    <w:rsid w:val="00F22F68"/>
    <w:rsid w:val="00F2309B"/>
    <w:rsid w:val="00F237FF"/>
    <w:rsid w:val="00F23A5E"/>
    <w:rsid w:val="00F241C4"/>
    <w:rsid w:val="00F24386"/>
    <w:rsid w:val="00F2445C"/>
    <w:rsid w:val="00F2461A"/>
    <w:rsid w:val="00F24AD5"/>
    <w:rsid w:val="00F24C19"/>
    <w:rsid w:val="00F24E1F"/>
    <w:rsid w:val="00F24FA7"/>
    <w:rsid w:val="00F24FC1"/>
    <w:rsid w:val="00F24FD5"/>
    <w:rsid w:val="00F25247"/>
    <w:rsid w:val="00F25450"/>
    <w:rsid w:val="00F255C7"/>
    <w:rsid w:val="00F2575A"/>
    <w:rsid w:val="00F26134"/>
    <w:rsid w:val="00F26231"/>
    <w:rsid w:val="00F262EE"/>
    <w:rsid w:val="00F26319"/>
    <w:rsid w:val="00F2639C"/>
    <w:rsid w:val="00F26551"/>
    <w:rsid w:val="00F2684D"/>
    <w:rsid w:val="00F26B05"/>
    <w:rsid w:val="00F27111"/>
    <w:rsid w:val="00F271F7"/>
    <w:rsid w:val="00F27470"/>
    <w:rsid w:val="00F27542"/>
    <w:rsid w:val="00F27920"/>
    <w:rsid w:val="00F279D4"/>
    <w:rsid w:val="00F30252"/>
    <w:rsid w:val="00F30A97"/>
    <w:rsid w:val="00F30B0D"/>
    <w:rsid w:val="00F30C96"/>
    <w:rsid w:val="00F30DC8"/>
    <w:rsid w:val="00F31321"/>
    <w:rsid w:val="00F31332"/>
    <w:rsid w:val="00F31484"/>
    <w:rsid w:val="00F31652"/>
    <w:rsid w:val="00F31693"/>
    <w:rsid w:val="00F318E8"/>
    <w:rsid w:val="00F321AF"/>
    <w:rsid w:val="00F325B9"/>
    <w:rsid w:val="00F32600"/>
    <w:rsid w:val="00F32856"/>
    <w:rsid w:val="00F32A18"/>
    <w:rsid w:val="00F32AAF"/>
    <w:rsid w:val="00F32AFE"/>
    <w:rsid w:val="00F32B19"/>
    <w:rsid w:val="00F32B83"/>
    <w:rsid w:val="00F32C17"/>
    <w:rsid w:val="00F33219"/>
    <w:rsid w:val="00F34103"/>
    <w:rsid w:val="00F34404"/>
    <w:rsid w:val="00F348B1"/>
    <w:rsid w:val="00F34A1E"/>
    <w:rsid w:val="00F34A25"/>
    <w:rsid w:val="00F34D20"/>
    <w:rsid w:val="00F34D33"/>
    <w:rsid w:val="00F34D77"/>
    <w:rsid w:val="00F34E81"/>
    <w:rsid w:val="00F34F15"/>
    <w:rsid w:val="00F3523F"/>
    <w:rsid w:val="00F3528C"/>
    <w:rsid w:val="00F3553A"/>
    <w:rsid w:val="00F355A7"/>
    <w:rsid w:val="00F355B5"/>
    <w:rsid w:val="00F35DE4"/>
    <w:rsid w:val="00F35F68"/>
    <w:rsid w:val="00F36236"/>
    <w:rsid w:val="00F36293"/>
    <w:rsid w:val="00F364CF"/>
    <w:rsid w:val="00F36750"/>
    <w:rsid w:val="00F36A28"/>
    <w:rsid w:val="00F36BAF"/>
    <w:rsid w:val="00F36D65"/>
    <w:rsid w:val="00F37068"/>
    <w:rsid w:val="00F37398"/>
    <w:rsid w:val="00F37479"/>
    <w:rsid w:val="00F37A1D"/>
    <w:rsid w:val="00F37CD0"/>
    <w:rsid w:val="00F37F7E"/>
    <w:rsid w:val="00F401A9"/>
    <w:rsid w:val="00F402E9"/>
    <w:rsid w:val="00F40609"/>
    <w:rsid w:val="00F407E2"/>
    <w:rsid w:val="00F407F0"/>
    <w:rsid w:val="00F40B0A"/>
    <w:rsid w:val="00F40E39"/>
    <w:rsid w:val="00F410F3"/>
    <w:rsid w:val="00F41465"/>
    <w:rsid w:val="00F415C1"/>
    <w:rsid w:val="00F42129"/>
    <w:rsid w:val="00F42446"/>
    <w:rsid w:val="00F425D7"/>
    <w:rsid w:val="00F4263E"/>
    <w:rsid w:val="00F4271C"/>
    <w:rsid w:val="00F42986"/>
    <w:rsid w:val="00F42ABC"/>
    <w:rsid w:val="00F42BDF"/>
    <w:rsid w:val="00F42C3B"/>
    <w:rsid w:val="00F436EC"/>
    <w:rsid w:val="00F43A77"/>
    <w:rsid w:val="00F43B1D"/>
    <w:rsid w:val="00F43DFE"/>
    <w:rsid w:val="00F44096"/>
    <w:rsid w:val="00F44144"/>
    <w:rsid w:val="00F44180"/>
    <w:rsid w:val="00F442DB"/>
    <w:rsid w:val="00F44447"/>
    <w:rsid w:val="00F44943"/>
    <w:rsid w:val="00F44F22"/>
    <w:rsid w:val="00F44FC9"/>
    <w:rsid w:val="00F44FE9"/>
    <w:rsid w:val="00F45104"/>
    <w:rsid w:val="00F45147"/>
    <w:rsid w:val="00F452A9"/>
    <w:rsid w:val="00F4534A"/>
    <w:rsid w:val="00F4568B"/>
    <w:rsid w:val="00F4602B"/>
    <w:rsid w:val="00F4658E"/>
    <w:rsid w:val="00F4691B"/>
    <w:rsid w:val="00F46AB4"/>
    <w:rsid w:val="00F46CB0"/>
    <w:rsid w:val="00F46F9A"/>
    <w:rsid w:val="00F471D1"/>
    <w:rsid w:val="00F472BA"/>
    <w:rsid w:val="00F47B3F"/>
    <w:rsid w:val="00F47CCF"/>
    <w:rsid w:val="00F47DD7"/>
    <w:rsid w:val="00F47E35"/>
    <w:rsid w:val="00F47E37"/>
    <w:rsid w:val="00F47E84"/>
    <w:rsid w:val="00F47EB8"/>
    <w:rsid w:val="00F501EC"/>
    <w:rsid w:val="00F5066E"/>
    <w:rsid w:val="00F50924"/>
    <w:rsid w:val="00F50A9E"/>
    <w:rsid w:val="00F50BB1"/>
    <w:rsid w:val="00F5114A"/>
    <w:rsid w:val="00F5123F"/>
    <w:rsid w:val="00F51248"/>
    <w:rsid w:val="00F5138B"/>
    <w:rsid w:val="00F516D8"/>
    <w:rsid w:val="00F516EC"/>
    <w:rsid w:val="00F517C8"/>
    <w:rsid w:val="00F518BA"/>
    <w:rsid w:val="00F519BA"/>
    <w:rsid w:val="00F51A17"/>
    <w:rsid w:val="00F51DC1"/>
    <w:rsid w:val="00F51F58"/>
    <w:rsid w:val="00F52115"/>
    <w:rsid w:val="00F52123"/>
    <w:rsid w:val="00F52354"/>
    <w:rsid w:val="00F524F3"/>
    <w:rsid w:val="00F52543"/>
    <w:rsid w:val="00F52586"/>
    <w:rsid w:val="00F52BE2"/>
    <w:rsid w:val="00F52CD6"/>
    <w:rsid w:val="00F52D15"/>
    <w:rsid w:val="00F52D6E"/>
    <w:rsid w:val="00F52E65"/>
    <w:rsid w:val="00F53026"/>
    <w:rsid w:val="00F532EC"/>
    <w:rsid w:val="00F532FE"/>
    <w:rsid w:val="00F5352A"/>
    <w:rsid w:val="00F53588"/>
    <w:rsid w:val="00F53779"/>
    <w:rsid w:val="00F5386A"/>
    <w:rsid w:val="00F53A29"/>
    <w:rsid w:val="00F53B1B"/>
    <w:rsid w:val="00F54453"/>
    <w:rsid w:val="00F544F1"/>
    <w:rsid w:val="00F5499B"/>
    <w:rsid w:val="00F54AA2"/>
    <w:rsid w:val="00F54C25"/>
    <w:rsid w:val="00F54E03"/>
    <w:rsid w:val="00F5513E"/>
    <w:rsid w:val="00F55430"/>
    <w:rsid w:val="00F554FA"/>
    <w:rsid w:val="00F55E21"/>
    <w:rsid w:val="00F56225"/>
    <w:rsid w:val="00F5670C"/>
    <w:rsid w:val="00F56E4C"/>
    <w:rsid w:val="00F56FEB"/>
    <w:rsid w:val="00F5715E"/>
    <w:rsid w:val="00F57219"/>
    <w:rsid w:val="00F5750A"/>
    <w:rsid w:val="00F57639"/>
    <w:rsid w:val="00F6037F"/>
    <w:rsid w:val="00F60434"/>
    <w:rsid w:val="00F60BEB"/>
    <w:rsid w:val="00F6127C"/>
    <w:rsid w:val="00F615F8"/>
    <w:rsid w:val="00F61635"/>
    <w:rsid w:val="00F61B0C"/>
    <w:rsid w:val="00F61C39"/>
    <w:rsid w:val="00F61E9F"/>
    <w:rsid w:val="00F61F77"/>
    <w:rsid w:val="00F61FC0"/>
    <w:rsid w:val="00F6206B"/>
    <w:rsid w:val="00F620B8"/>
    <w:rsid w:val="00F62262"/>
    <w:rsid w:val="00F6230A"/>
    <w:rsid w:val="00F624B3"/>
    <w:rsid w:val="00F6260E"/>
    <w:rsid w:val="00F62862"/>
    <w:rsid w:val="00F62BD0"/>
    <w:rsid w:val="00F62D11"/>
    <w:rsid w:val="00F63325"/>
    <w:rsid w:val="00F634CC"/>
    <w:rsid w:val="00F63A52"/>
    <w:rsid w:val="00F63C8C"/>
    <w:rsid w:val="00F63F25"/>
    <w:rsid w:val="00F63F3B"/>
    <w:rsid w:val="00F64081"/>
    <w:rsid w:val="00F6425E"/>
    <w:rsid w:val="00F64419"/>
    <w:rsid w:val="00F6499A"/>
    <w:rsid w:val="00F64A0D"/>
    <w:rsid w:val="00F64AD1"/>
    <w:rsid w:val="00F64BA8"/>
    <w:rsid w:val="00F64D4E"/>
    <w:rsid w:val="00F650ED"/>
    <w:rsid w:val="00F65577"/>
    <w:rsid w:val="00F655A8"/>
    <w:rsid w:val="00F6567F"/>
    <w:rsid w:val="00F658C5"/>
    <w:rsid w:val="00F65CF1"/>
    <w:rsid w:val="00F65D37"/>
    <w:rsid w:val="00F65DFF"/>
    <w:rsid w:val="00F65E6A"/>
    <w:rsid w:val="00F6605C"/>
    <w:rsid w:val="00F66092"/>
    <w:rsid w:val="00F66176"/>
    <w:rsid w:val="00F661D3"/>
    <w:rsid w:val="00F661E4"/>
    <w:rsid w:val="00F6622A"/>
    <w:rsid w:val="00F6632B"/>
    <w:rsid w:val="00F66637"/>
    <w:rsid w:val="00F6668E"/>
    <w:rsid w:val="00F6685A"/>
    <w:rsid w:val="00F66E4B"/>
    <w:rsid w:val="00F67124"/>
    <w:rsid w:val="00F67226"/>
    <w:rsid w:val="00F6722E"/>
    <w:rsid w:val="00F67350"/>
    <w:rsid w:val="00F673F9"/>
    <w:rsid w:val="00F67694"/>
    <w:rsid w:val="00F6778A"/>
    <w:rsid w:val="00F67795"/>
    <w:rsid w:val="00F67F5B"/>
    <w:rsid w:val="00F7004E"/>
    <w:rsid w:val="00F7036C"/>
    <w:rsid w:val="00F70720"/>
    <w:rsid w:val="00F7080A"/>
    <w:rsid w:val="00F70895"/>
    <w:rsid w:val="00F70A48"/>
    <w:rsid w:val="00F70CDB"/>
    <w:rsid w:val="00F7117C"/>
    <w:rsid w:val="00F7125A"/>
    <w:rsid w:val="00F7149E"/>
    <w:rsid w:val="00F71730"/>
    <w:rsid w:val="00F71751"/>
    <w:rsid w:val="00F71BE6"/>
    <w:rsid w:val="00F71ED2"/>
    <w:rsid w:val="00F72047"/>
    <w:rsid w:val="00F72175"/>
    <w:rsid w:val="00F72487"/>
    <w:rsid w:val="00F726F2"/>
    <w:rsid w:val="00F7295B"/>
    <w:rsid w:val="00F72A5E"/>
    <w:rsid w:val="00F72F6E"/>
    <w:rsid w:val="00F73457"/>
    <w:rsid w:val="00F73779"/>
    <w:rsid w:val="00F73A33"/>
    <w:rsid w:val="00F73CFA"/>
    <w:rsid w:val="00F7459E"/>
    <w:rsid w:val="00F745D0"/>
    <w:rsid w:val="00F74826"/>
    <w:rsid w:val="00F748C8"/>
    <w:rsid w:val="00F74A4B"/>
    <w:rsid w:val="00F750EF"/>
    <w:rsid w:val="00F75102"/>
    <w:rsid w:val="00F75109"/>
    <w:rsid w:val="00F75116"/>
    <w:rsid w:val="00F75265"/>
    <w:rsid w:val="00F75483"/>
    <w:rsid w:val="00F75A69"/>
    <w:rsid w:val="00F75AB1"/>
    <w:rsid w:val="00F75BC1"/>
    <w:rsid w:val="00F75C8E"/>
    <w:rsid w:val="00F75CA1"/>
    <w:rsid w:val="00F76128"/>
    <w:rsid w:val="00F76247"/>
    <w:rsid w:val="00F765C2"/>
    <w:rsid w:val="00F7664D"/>
    <w:rsid w:val="00F766A2"/>
    <w:rsid w:val="00F76763"/>
    <w:rsid w:val="00F769E3"/>
    <w:rsid w:val="00F76DD5"/>
    <w:rsid w:val="00F76F56"/>
    <w:rsid w:val="00F76F64"/>
    <w:rsid w:val="00F7704D"/>
    <w:rsid w:val="00F7706D"/>
    <w:rsid w:val="00F7755C"/>
    <w:rsid w:val="00F779A3"/>
    <w:rsid w:val="00F77A28"/>
    <w:rsid w:val="00F77CD8"/>
    <w:rsid w:val="00F77EC1"/>
    <w:rsid w:val="00F77F9C"/>
    <w:rsid w:val="00F80149"/>
    <w:rsid w:val="00F80158"/>
    <w:rsid w:val="00F805F1"/>
    <w:rsid w:val="00F80C35"/>
    <w:rsid w:val="00F81022"/>
    <w:rsid w:val="00F81287"/>
    <w:rsid w:val="00F81371"/>
    <w:rsid w:val="00F813BB"/>
    <w:rsid w:val="00F8147A"/>
    <w:rsid w:val="00F816B7"/>
    <w:rsid w:val="00F81A15"/>
    <w:rsid w:val="00F81A9B"/>
    <w:rsid w:val="00F81AA8"/>
    <w:rsid w:val="00F81C74"/>
    <w:rsid w:val="00F81DDB"/>
    <w:rsid w:val="00F81EB8"/>
    <w:rsid w:val="00F8209B"/>
    <w:rsid w:val="00F8216F"/>
    <w:rsid w:val="00F823EB"/>
    <w:rsid w:val="00F827AB"/>
    <w:rsid w:val="00F82A74"/>
    <w:rsid w:val="00F82CBB"/>
    <w:rsid w:val="00F82CFC"/>
    <w:rsid w:val="00F83195"/>
    <w:rsid w:val="00F833FE"/>
    <w:rsid w:val="00F834D6"/>
    <w:rsid w:val="00F83963"/>
    <w:rsid w:val="00F83A40"/>
    <w:rsid w:val="00F83AB9"/>
    <w:rsid w:val="00F83B31"/>
    <w:rsid w:val="00F83FB6"/>
    <w:rsid w:val="00F841D5"/>
    <w:rsid w:val="00F841FB"/>
    <w:rsid w:val="00F84BEB"/>
    <w:rsid w:val="00F84CA1"/>
    <w:rsid w:val="00F850A2"/>
    <w:rsid w:val="00F8517B"/>
    <w:rsid w:val="00F855BE"/>
    <w:rsid w:val="00F8568F"/>
    <w:rsid w:val="00F85ADA"/>
    <w:rsid w:val="00F85AFB"/>
    <w:rsid w:val="00F85C4F"/>
    <w:rsid w:val="00F85F0E"/>
    <w:rsid w:val="00F86099"/>
    <w:rsid w:val="00F8623E"/>
    <w:rsid w:val="00F8696B"/>
    <w:rsid w:val="00F86C4C"/>
    <w:rsid w:val="00F86EB8"/>
    <w:rsid w:val="00F86EDA"/>
    <w:rsid w:val="00F86F2B"/>
    <w:rsid w:val="00F86F4A"/>
    <w:rsid w:val="00F86F61"/>
    <w:rsid w:val="00F8741A"/>
    <w:rsid w:val="00F877CF"/>
    <w:rsid w:val="00F87A5D"/>
    <w:rsid w:val="00F9038C"/>
    <w:rsid w:val="00F90443"/>
    <w:rsid w:val="00F904D2"/>
    <w:rsid w:val="00F905BC"/>
    <w:rsid w:val="00F9078C"/>
    <w:rsid w:val="00F907C2"/>
    <w:rsid w:val="00F9090A"/>
    <w:rsid w:val="00F90C11"/>
    <w:rsid w:val="00F90D02"/>
    <w:rsid w:val="00F90F89"/>
    <w:rsid w:val="00F91034"/>
    <w:rsid w:val="00F9153A"/>
    <w:rsid w:val="00F9172A"/>
    <w:rsid w:val="00F91859"/>
    <w:rsid w:val="00F91928"/>
    <w:rsid w:val="00F9196E"/>
    <w:rsid w:val="00F91A83"/>
    <w:rsid w:val="00F91CF0"/>
    <w:rsid w:val="00F91F81"/>
    <w:rsid w:val="00F92431"/>
    <w:rsid w:val="00F9252C"/>
    <w:rsid w:val="00F92808"/>
    <w:rsid w:val="00F92A14"/>
    <w:rsid w:val="00F92B74"/>
    <w:rsid w:val="00F92D79"/>
    <w:rsid w:val="00F93086"/>
    <w:rsid w:val="00F93324"/>
    <w:rsid w:val="00F93327"/>
    <w:rsid w:val="00F93452"/>
    <w:rsid w:val="00F93585"/>
    <w:rsid w:val="00F937D7"/>
    <w:rsid w:val="00F938AE"/>
    <w:rsid w:val="00F93B56"/>
    <w:rsid w:val="00F93C52"/>
    <w:rsid w:val="00F93DB9"/>
    <w:rsid w:val="00F93EFF"/>
    <w:rsid w:val="00F94163"/>
    <w:rsid w:val="00F943FD"/>
    <w:rsid w:val="00F9445D"/>
    <w:rsid w:val="00F944BC"/>
    <w:rsid w:val="00F944D6"/>
    <w:rsid w:val="00F947CE"/>
    <w:rsid w:val="00F94953"/>
    <w:rsid w:val="00F94973"/>
    <w:rsid w:val="00F95019"/>
    <w:rsid w:val="00F95EC2"/>
    <w:rsid w:val="00F95EED"/>
    <w:rsid w:val="00F96081"/>
    <w:rsid w:val="00F96405"/>
    <w:rsid w:val="00F96486"/>
    <w:rsid w:val="00F96589"/>
    <w:rsid w:val="00F965A5"/>
    <w:rsid w:val="00F9668A"/>
    <w:rsid w:val="00F9670D"/>
    <w:rsid w:val="00F967C1"/>
    <w:rsid w:val="00F969F0"/>
    <w:rsid w:val="00F96AD4"/>
    <w:rsid w:val="00F96D6D"/>
    <w:rsid w:val="00F96E96"/>
    <w:rsid w:val="00F97014"/>
    <w:rsid w:val="00F9707B"/>
    <w:rsid w:val="00F97761"/>
    <w:rsid w:val="00F977C6"/>
    <w:rsid w:val="00F97B24"/>
    <w:rsid w:val="00F97CF9"/>
    <w:rsid w:val="00FA0034"/>
    <w:rsid w:val="00FA03B0"/>
    <w:rsid w:val="00FA045E"/>
    <w:rsid w:val="00FA048C"/>
    <w:rsid w:val="00FA07B3"/>
    <w:rsid w:val="00FA0A43"/>
    <w:rsid w:val="00FA0ADE"/>
    <w:rsid w:val="00FA0B0B"/>
    <w:rsid w:val="00FA0C00"/>
    <w:rsid w:val="00FA0C64"/>
    <w:rsid w:val="00FA0DB1"/>
    <w:rsid w:val="00FA0DB4"/>
    <w:rsid w:val="00FA0DC1"/>
    <w:rsid w:val="00FA10AD"/>
    <w:rsid w:val="00FA1160"/>
    <w:rsid w:val="00FA1434"/>
    <w:rsid w:val="00FA14D3"/>
    <w:rsid w:val="00FA18DC"/>
    <w:rsid w:val="00FA1B42"/>
    <w:rsid w:val="00FA1B55"/>
    <w:rsid w:val="00FA1CAF"/>
    <w:rsid w:val="00FA1EEF"/>
    <w:rsid w:val="00FA21F7"/>
    <w:rsid w:val="00FA253E"/>
    <w:rsid w:val="00FA26F9"/>
    <w:rsid w:val="00FA2FAE"/>
    <w:rsid w:val="00FA30AF"/>
    <w:rsid w:val="00FA3317"/>
    <w:rsid w:val="00FA3331"/>
    <w:rsid w:val="00FA3454"/>
    <w:rsid w:val="00FA3602"/>
    <w:rsid w:val="00FA3AC3"/>
    <w:rsid w:val="00FA3AE8"/>
    <w:rsid w:val="00FA3CA4"/>
    <w:rsid w:val="00FA3EE6"/>
    <w:rsid w:val="00FA4078"/>
    <w:rsid w:val="00FA42D2"/>
    <w:rsid w:val="00FA45D8"/>
    <w:rsid w:val="00FA4930"/>
    <w:rsid w:val="00FA4C3B"/>
    <w:rsid w:val="00FA4D2A"/>
    <w:rsid w:val="00FA4ECF"/>
    <w:rsid w:val="00FA4F62"/>
    <w:rsid w:val="00FA52E7"/>
    <w:rsid w:val="00FA55E8"/>
    <w:rsid w:val="00FA597F"/>
    <w:rsid w:val="00FA599B"/>
    <w:rsid w:val="00FA5A08"/>
    <w:rsid w:val="00FA5AED"/>
    <w:rsid w:val="00FA5C4F"/>
    <w:rsid w:val="00FA62BD"/>
    <w:rsid w:val="00FA6706"/>
    <w:rsid w:val="00FA682D"/>
    <w:rsid w:val="00FA6855"/>
    <w:rsid w:val="00FA6A6F"/>
    <w:rsid w:val="00FA6C1F"/>
    <w:rsid w:val="00FA6C51"/>
    <w:rsid w:val="00FA6D77"/>
    <w:rsid w:val="00FA6FD2"/>
    <w:rsid w:val="00FA7204"/>
    <w:rsid w:val="00FA762C"/>
    <w:rsid w:val="00FA7748"/>
    <w:rsid w:val="00FA7836"/>
    <w:rsid w:val="00FA795D"/>
    <w:rsid w:val="00FA7AFB"/>
    <w:rsid w:val="00FA7EA9"/>
    <w:rsid w:val="00FA7FCD"/>
    <w:rsid w:val="00FB00FE"/>
    <w:rsid w:val="00FB0100"/>
    <w:rsid w:val="00FB06E1"/>
    <w:rsid w:val="00FB081E"/>
    <w:rsid w:val="00FB082B"/>
    <w:rsid w:val="00FB0928"/>
    <w:rsid w:val="00FB0A15"/>
    <w:rsid w:val="00FB0E54"/>
    <w:rsid w:val="00FB1400"/>
    <w:rsid w:val="00FB1653"/>
    <w:rsid w:val="00FB165D"/>
    <w:rsid w:val="00FB1C3C"/>
    <w:rsid w:val="00FB1C47"/>
    <w:rsid w:val="00FB1D82"/>
    <w:rsid w:val="00FB1E14"/>
    <w:rsid w:val="00FB20E9"/>
    <w:rsid w:val="00FB2968"/>
    <w:rsid w:val="00FB2A00"/>
    <w:rsid w:val="00FB2B58"/>
    <w:rsid w:val="00FB2F9E"/>
    <w:rsid w:val="00FB2FA1"/>
    <w:rsid w:val="00FB318E"/>
    <w:rsid w:val="00FB320F"/>
    <w:rsid w:val="00FB38C4"/>
    <w:rsid w:val="00FB38D7"/>
    <w:rsid w:val="00FB39AF"/>
    <w:rsid w:val="00FB3CB1"/>
    <w:rsid w:val="00FB3EC8"/>
    <w:rsid w:val="00FB433E"/>
    <w:rsid w:val="00FB4464"/>
    <w:rsid w:val="00FB4593"/>
    <w:rsid w:val="00FB468B"/>
    <w:rsid w:val="00FB469E"/>
    <w:rsid w:val="00FB47AD"/>
    <w:rsid w:val="00FB4CDE"/>
    <w:rsid w:val="00FB4EDA"/>
    <w:rsid w:val="00FB4FB1"/>
    <w:rsid w:val="00FB50C3"/>
    <w:rsid w:val="00FB51A2"/>
    <w:rsid w:val="00FB52C0"/>
    <w:rsid w:val="00FB58B8"/>
    <w:rsid w:val="00FB59B2"/>
    <w:rsid w:val="00FB5A35"/>
    <w:rsid w:val="00FB5DBE"/>
    <w:rsid w:val="00FB60AF"/>
    <w:rsid w:val="00FB638C"/>
    <w:rsid w:val="00FB6540"/>
    <w:rsid w:val="00FB65B8"/>
    <w:rsid w:val="00FB66B2"/>
    <w:rsid w:val="00FB6CF1"/>
    <w:rsid w:val="00FB7233"/>
    <w:rsid w:val="00FB723B"/>
    <w:rsid w:val="00FB72A4"/>
    <w:rsid w:val="00FB73FB"/>
    <w:rsid w:val="00FB764E"/>
    <w:rsid w:val="00FB7758"/>
    <w:rsid w:val="00FB7A2D"/>
    <w:rsid w:val="00FB7DC5"/>
    <w:rsid w:val="00FB7EAF"/>
    <w:rsid w:val="00FC01BF"/>
    <w:rsid w:val="00FC02F6"/>
    <w:rsid w:val="00FC030A"/>
    <w:rsid w:val="00FC0561"/>
    <w:rsid w:val="00FC0748"/>
    <w:rsid w:val="00FC0B33"/>
    <w:rsid w:val="00FC0B79"/>
    <w:rsid w:val="00FC0CA3"/>
    <w:rsid w:val="00FC0D3A"/>
    <w:rsid w:val="00FC0E07"/>
    <w:rsid w:val="00FC0E1E"/>
    <w:rsid w:val="00FC10B2"/>
    <w:rsid w:val="00FC1212"/>
    <w:rsid w:val="00FC12FD"/>
    <w:rsid w:val="00FC1659"/>
    <w:rsid w:val="00FC18F2"/>
    <w:rsid w:val="00FC1A27"/>
    <w:rsid w:val="00FC1DFA"/>
    <w:rsid w:val="00FC1ED4"/>
    <w:rsid w:val="00FC2080"/>
    <w:rsid w:val="00FC2268"/>
    <w:rsid w:val="00FC23AF"/>
    <w:rsid w:val="00FC241C"/>
    <w:rsid w:val="00FC25D4"/>
    <w:rsid w:val="00FC2695"/>
    <w:rsid w:val="00FC284A"/>
    <w:rsid w:val="00FC2983"/>
    <w:rsid w:val="00FC2BC6"/>
    <w:rsid w:val="00FC2FB8"/>
    <w:rsid w:val="00FC304D"/>
    <w:rsid w:val="00FC3327"/>
    <w:rsid w:val="00FC3398"/>
    <w:rsid w:val="00FC346E"/>
    <w:rsid w:val="00FC3526"/>
    <w:rsid w:val="00FC35D7"/>
    <w:rsid w:val="00FC378A"/>
    <w:rsid w:val="00FC3C63"/>
    <w:rsid w:val="00FC3CB6"/>
    <w:rsid w:val="00FC4038"/>
    <w:rsid w:val="00FC41D5"/>
    <w:rsid w:val="00FC43D9"/>
    <w:rsid w:val="00FC465B"/>
    <w:rsid w:val="00FC470B"/>
    <w:rsid w:val="00FC498C"/>
    <w:rsid w:val="00FC49BE"/>
    <w:rsid w:val="00FC49C0"/>
    <w:rsid w:val="00FC4B72"/>
    <w:rsid w:val="00FC4D06"/>
    <w:rsid w:val="00FC4D5A"/>
    <w:rsid w:val="00FC4DDE"/>
    <w:rsid w:val="00FC50A1"/>
    <w:rsid w:val="00FC50E8"/>
    <w:rsid w:val="00FC5237"/>
    <w:rsid w:val="00FC53C4"/>
    <w:rsid w:val="00FC55B2"/>
    <w:rsid w:val="00FC5927"/>
    <w:rsid w:val="00FC5B11"/>
    <w:rsid w:val="00FC5F54"/>
    <w:rsid w:val="00FC621E"/>
    <w:rsid w:val="00FC647E"/>
    <w:rsid w:val="00FC68E8"/>
    <w:rsid w:val="00FC693D"/>
    <w:rsid w:val="00FC6976"/>
    <w:rsid w:val="00FC6CEF"/>
    <w:rsid w:val="00FC6E58"/>
    <w:rsid w:val="00FC74DA"/>
    <w:rsid w:val="00FC77BA"/>
    <w:rsid w:val="00FC7A0F"/>
    <w:rsid w:val="00FC7E00"/>
    <w:rsid w:val="00FC7E9C"/>
    <w:rsid w:val="00FC7F26"/>
    <w:rsid w:val="00FC7F81"/>
    <w:rsid w:val="00FD0038"/>
    <w:rsid w:val="00FD058C"/>
    <w:rsid w:val="00FD05CB"/>
    <w:rsid w:val="00FD0673"/>
    <w:rsid w:val="00FD0766"/>
    <w:rsid w:val="00FD0A05"/>
    <w:rsid w:val="00FD0CEA"/>
    <w:rsid w:val="00FD0F16"/>
    <w:rsid w:val="00FD0F9C"/>
    <w:rsid w:val="00FD0FF5"/>
    <w:rsid w:val="00FD124A"/>
    <w:rsid w:val="00FD13B7"/>
    <w:rsid w:val="00FD1504"/>
    <w:rsid w:val="00FD1787"/>
    <w:rsid w:val="00FD17DF"/>
    <w:rsid w:val="00FD1B9F"/>
    <w:rsid w:val="00FD1D81"/>
    <w:rsid w:val="00FD1E14"/>
    <w:rsid w:val="00FD20DA"/>
    <w:rsid w:val="00FD2169"/>
    <w:rsid w:val="00FD2BFC"/>
    <w:rsid w:val="00FD36A3"/>
    <w:rsid w:val="00FD3A2B"/>
    <w:rsid w:val="00FD3AC0"/>
    <w:rsid w:val="00FD3FDE"/>
    <w:rsid w:val="00FD3FE7"/>
    <w:rsid w:val="00FD43CF"/>
    <w:rsid w:val="00FD4701"/>
    <w:rsid w:val="00FD497A"/>
    <w:rsid w:val="00FD4A31"/>
    <w:rsid w:val="00FD4A80"/>
    <w:rsid w:val="00FD4C90"/>
    <w:rsid w:val="00FD4D13"/>
    <w:rsid w:val="00FD4E23"/>
    <w:rsid w:val="00FD5003"/>
    <w:rsid w:val="00FD50B3"/>
    <w:rsid w:val="00FD5395"/>
    <w:rsid w:val="00FD57D6"/>
    <w:rsid w:val="00FD58E4"/>
    <w:rsid w:val="00FD5962"/>
    <w:rsid w:val="00FD5C59"/>
    <w:rsid w:val="00FD5EE8"/>
    <w:rsid w:val="00FD5F60"/>
    <w:rsid w:val="00FD641A"/>
    <w:rsid w:val="00FD69CD"/>
    <w:rsid w:val="00FD69F9"/>
    <w:rsid w:val="00FD6A74"/>
    <w:rsid w:val="00FD6AEB"/>
    <w:rsid w:val="00FD6BAE"/>
    <w:rsid w:val="00FD6BBB"/>
    <w:rsid w:val="00FD6EDE"/>
    <w:rsid w:val="00FD70B1"/>
    <w:rsid w:val="00FD7288"/>
    <w:rsid w:val="00FD72E6"/>
    <w:rsid w:val="00FD76C8"/>
    <w:rsid w:val="00FD78A3"/>
    <w:rsid w:val="00FD7A01"/>
    <w:rsid w:val="00FD7B7C"/>
    <w:rsid w:val="00FD7EB8"/>
    <w:rsid w:val="00FE002C"/>
    <w:rsid w:val="00FE01BC"/>
    <w:rsid w:val="00FE0339"/>
    <w:rsid w:val="00FE035D"/>
    <w:rsid w:val="00FE05C9"/>
    <w:rsid w:val="00FE0AD5"/>
    <w:rsid w:val="00FE0BC5"/>
    <w:rsid w:val="00FE0BE3"/>
    <w:rsid w:val="00FE0D42"/>
    <w:rsid w:val="00FE0D7F"/>
    <w:rsid w:val="00FE0DEB"/>
    <w:rsid w:val="00FE0E44"/>
    <w:rsid w:val="00FE0E97"/>
    <w:rsid w:val="00FE1237"/>
    <w:rsid w:val="00FE12A4"/>
    <w:rsid w:val="00FE1A32"/>
    <w:rsid w:val="00FE1AC4"/>
    <w:rsid w:val="00FE1C46"/>
    <w:rsid w:val="00FE1D30"/>
    <w:rsid w:val="00FE243B"/>
    <w:rsid w:val="00FE25BF"/>
    <w:rsid w:val="00FE2929"/>
    <w:rsid w:val="00FE2C79"/>
    <w:rsid w:val="00FE2F0F"/>
    <w:rsid w:val="00FE33B7"/>
    <w:rsid w:val="00FE3470"/>
    <w:rsid w:val="00FE34F7"/>
    <w:rsid w:val="00FE3DCF"/>
    <w:rsid w:val="00FE3F59"/>
    <w:rsid w:val="00FE42B4"/>
    <w:rsid w:val="00FE4516"/>
    <w:rsid w:val="00FE46A4"/>
    <w:rsid w:val="00FE47E9"/>
    <w:rsid w:val="00FE4854"/>
    <w:rsid w:val="00FE4DFA"/>
    <w:rsid w:val="00FE52E6"/>
    <w:rsid w:val="00FE568E"/>
    <w:rsid w:val="00FE586D"/>
    <w:rsid w:val="00FE59C0"/>
    <w:rsid w:val="00FE5BEE"/>
    <w:rsid w:val="00FE5DF0"/>
    <w:rsid w:val="00FE62DE"/>
    <w:rsid w:val="00FE6365"/>
    <w:rsid w:val="00FE64C6"/>
    <w:rsid w:val="00FE7611"/>
    <w:rsid w:val="00FE7774"/>
    <w:rsid w:val="00FE7827"/>
    <w:rsid w:val="00FE7AC3"/>
    <w:rsid w:val="00FE7BEB"/>
    <w:rsid w:val="00FE7D7E"/>
    <w:rsid w:val="00FE7DD5"/>
    <w:rsid w:val="00FE7E45"/>
    <w:rsid w:val="00FE7E5E"/>
    <w:rsid w:val="00FE7F76"/>
    <w:rsid w:val="00FF0023"/>
    <w:rsid w:val="00FF015A"/>
    <w:rsid w:val="00FF0593"/>
    <w:rsid w:val="00FF0AA8"/>
    <w:rsid w:val="00FF0CF0"/>
    <w:rsid w:val="00FF0E3C"/>
    <w:rsid w:val="00FF0EA0"/>
    <w:rsid w:val="00FF0FCC"/>
    <w:rsid w:val="00FF1317"/>
    <w:rsid w:val="00FF1523"/>
    <w:rsid w:val="00FF174E"/>
    <w:rsid w:val="00FF1AE1"/>
    <w:rsid w:val="00FF1D24"/>
    <w:rsid w:val="00FF2634"/>
    <w:rsid w:val="00FF26BA"/>
    <w:rsid w:val="00FF28AF"/>
    <w:rsid w:val="00FF28BE"/>
    <w:rsid w:val="00FF2A5B"/>
    <w:rsid w:val="00FF2E6D"/>
    <w:rsid w:val="00FF328F"/>
    <w:rsid w:val="00FF3346"/>
    <w:rsid w:val="00FF359C"/>
    <w:rsid w:val="00FF3A89"/>
    <w:rsid w:val="00FF3E99"/>
    <w:rsid w:val="00FF3FAE"/>
    <w:rsid w:val="00FF441E"/>
    <w:rsid w:val="00FF4639"/>
    <w:rsid w:val="00FF4679"/>
    <w:rsid w:val="00FF4A7F"/>
    <w:rsid w:val="00FF4C4B"/>
    <w:rsid w:val="00FF4D0B"/>
    <w:rsid w:val="00FF4DD1"/>
    <w:rsid w:val="00FF50A4"/>
    <w:rsid w:val="00FF5270"/>
    <w:rsid w:val="00FF58FA"/>
    <w:rsid w:val="00FF5B90"/>
    <w:rsid w:val="00FF5B9E"/>
    <w:rsid w:val="00FF5DCD"/>
    <w:rsid w:val="00FF5EE9"/>
    <w:rsid w:val="00FF6004"/>
    <w:rsid w:val="00FF603B"/>
    <w:rsid w:val="00FF66A3"/>
    <w:rsid w:val="00FF6AAC"/>
    <w:rsid w:val="00FF6E2F"/>
    <w:rsid w:val="00FF6ECD"/>
    <w:rsid w:val="00FF6EF5"/>
    <w:rsid w:val="00FF6F9B"/>
    <w:rsid w:val="00FF7665"/>
    <w:rsid w:val="00FF76B1"/>
    <w:rsid w:val="00FF7746"/>
    <w:rsid w:val="00FF7A6D"/>
    <w:rsid w:val="00FF7AE5"/>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057B8033-25F5-4CEC-B18E-D14C9A0D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320B"/>
    <w:pPr>
      <w:spacing w:after="360" w:line="360" w:lineRule="auto"/>
    </w:pPr>
    <w:rPr>
      <w:rFonts w:ascii="Times New Roman" w:hAnsi="Times New Roman"/>
      <w:sz w:val="24"/>
    </w:rPr>
  </w:style>
  <w:style w:type="paragraph" w:styleId="Heading1">
    <w:name w:val="heading 1"/>
    <w:basedOn w:val="Normal"/>
    <w:next w:val="Normal"/>
    <w:link w:val="Heading1Char"/>
    <w:uiPriority w:val="9"/>
    <w:qFormat/>
    <w:rsid w:val="001D0DA5"/>
    <w:pPr>
      <w:keepNext/>
      <w:keepLines/>
      <w:numPr>
        <w:numId w:val="2"/>
      </w:numPr>
      <w:spacing w:line="240" w:lineRule="auto"/>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1D0DA5"/>
    <w:pPr>
      <w:keepNext/>
      <w:keepLines/>
      <w:numPr>
        <w:ilvl w:val="1"/>
        <w:numId w:val="2"/>
      </w:numPr>
      <w:spacing w:line="240" w:lineRule="auto"/>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1D0DA5"/>
    <w:pPr>
      <w:keepNext/>
      <w:keepLines/>
      <w:numPr>
        <w:ilvl w:val="2"/>
        <w:numId w:val="2"/>
      </w:numPr>
      <w:spacing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5677EB"/>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403E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45A9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025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25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25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20B"/>
    <w:pPr>
      <w:tabs>
        <w:tab w:val="center" w:pos="4513"/>
        <w:tab w:val="right" w:pos="9026"/>
      </w:tabs>
      <w:spacing w:after="0" w:line="240" w:lineRule="auto"/>
      <w:jc w:val="right"/>
    </w:pPr>
    <w:rPr>
      <w:i/>
      <w:sz w:val="20"/>
    </w:rPr>
  </w:style>
  <w:style w:type="character" w:customStyle="1" w:styleId="HeaderChar">
    <w:name w:val="Header Char"/>
    <w:basedOn w:val="DefaultParagraphFont"/>
    <w:link w:val="Header"/>
    <w:uiPriority w:val="99"/>
    <w:rsid w:val="0067320B"/>
    <w:rPr>
      <w:rFonts w:ascii="Times New Roman" w:hAnsi="Times New Roman"/>
      <w:i/>
      <w:sz w:val="20"/>
    </w:rPr>
  </w:style>
  <w:style w:type="paragraph" w:styleId="Footer">
    <w:name w:val="footer"/>
    <w:basedOn w:val="Normal"/>
    <w:link w:val="FooterChar"/>
    <w:uiPriority w:val="99"/>
    <w:unhideWhenUsed/>
    <w:rsid w:val="00B0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03D"/>
  </w:style>
  <w:style w:type="character" w:customStyle="1" w:styleId="Heading1Char">
    <w:name w:val="Heading 1 Char"/>
    <w:basedOn w:val="DefaultParagraphFont"/>
    <w:link w:val="Heading1"/>
    <w:uiPriority w:val="9"/>
    <w:rsid w:val="001D0DA5"/>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1D0DA5"/>
    <w:rPr>
      <w:rFonts w:ascii="Times New Roman" w:eastAsiaTheme="majorEastAsia" w:hAnsi="Times New Roman" w:cstheme="majorBidi"/>
      <w:b/>
      <w:bCs/>
      <w:i/>
      <w:sz w:val="28"/>
      <w:szCs w:val="26"/>
    </w:rPr>
  </w:style>
  <w:style w:type="character" w:customStyle="1" w:styleId="Heading3Char">
    <w:name w:val="Heading 3 Char"/>
    <w:basedOn w:val="DefaultParagraphFont"/>
    <w:link w:val="Heading3"/>
    <w:uiPriority w:val="9"/>
    <w:rsid w:val="001D0DA5"/>
    <w:rPr>
      <w:rFonts w:ascii="Times New Roman" w:eastAsiaTheme="majorEastAsia" w:hAnsi="Times New Roman" w:cstheme="majorBidi"/>
      <w:b/>
      <w:bCs/>
      <w:sz w:val="24"/>
    </w:rPr>
  </w:style>
  <w:style w:type="paragraph" w:customStyle="1" w:styleId="IndentedQuote">
    <w:name w:val="Indented Quote"/>
    <w:basedOn w:val="Normal"/>
    <w:qFormat/>
    <w:rsid w:val="005371F5"/>
    <w:pPr>
      <w:spacing w:line="240" w:lineRule="auto"/>
      <w:ind w:left="851" w:right="851"/>
    </w:pPr>
    <w:rPr>
      <w:sz w:val="20"/>
    </w:rPr>
  </w:style>
  <w:style w:type="numbering" w:customStyle="1" w:styleId="Dissertationnumbering">
    <w:name w:val="Dissertation numbering"/>
    <w:uiPriority w:val="99"/>
    <w:rsid w:val="004C5102"/>
    <w:pPr>
      <w:numPr>
        <w:numId w:val="1"/>
      </w:numPr>
    </w:pPr>
  </w:style>
  <w:style w:type="paragraph" w:customStyle="1" w:styleId="Labels">
    <w:name w:val="Labels"/>
    <w:basedOn w:val="Normal"/>
    <w:qFormat/>
    <w:rsid w:val="00130ABA"/>
    <w:pPr>
      <w:spacing w:after="0" w:line="240" w:lineRule="auto"/>
    </w:pPr>
    <w:rPr>
      <w:sz w:val="20"/>
    </w:rPr>
  </w:style>
  <w:style w:type="paragraph" w:styleId="ListParagraph">
    <w:name w:val="List Paragraph"/>
    <w:basedOn w:val="Normal"/>
    <w:uiPriority w:val="34"/>
    <w:qFormat/>
    <w:rsid w:val="00796D43"/>
    <w:pPr>
      <w:ind w:left="720"/>
      <w:contextualSpacing/>
    </w:pPr>
  </w:style>
  <w:style w:type="character" w:customStyle="1" w:styleId="citation">
    <w:name w:val="citation"/>
    <w:basedOn w:val="DefaultParagraphFont"/>
    <w:rsid w:val="00CB0C02"/>
  </w:style>
  <w:style w:type="character" w:styleId="Hyperlink">
    <w:name w:val="Hyperlink"/>
    <w:basedOn w:val="DefaultParagraphFont"/>
    <w:uiPriority w:val="99"/>
    <w:unhideWhenUsed/>
    <w:rsid w:val="006105C8"/>
    <w:rPr>
      <w:color w:val="0000FF" w:themeColor="hyperlink"/>
      <w:u w:val="single"/>
    </w:rPr>
  </w:style>
  <w:style w:type="paragraph" w:styleId="BalloonText">
    <w:name w:val="Balloon Text"/>
    <w:basedOn w:val="Normal"/>
    <w:link w:val="BalloonTextChar"/>
    <w:uiPriority w:val="99"/>
    <w:semiHidden/>
    <w:unhideWhenUsed/>
    <w:rsid w:val="0011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9"/>
    <w:rPr>
      <w:rFonts w:ascii="Tahoma" w:hAnsi="Tahoma" w:cs="Tahoma"/>
      <w:sz w:val="16"/>
      <w:szCs w:val="16"/>
    </w:rPr>
  </w:style>
  <w:style w:type="character" w:styleId="PlaceholderText">
    <w:name w:val="Placeholder Text"/>
    <w:basedOn w:val="DefaultParagraphFont"/>
    <w:uiPriority w:val="99"/>
    <w:semiHidden/>
    <w:rsid w:val="001164D9"/>
    <w:rPr>
      <w:color w:val="808080"/>
    </w:rPr>
  </w:style>
  <w:style w:type="paragraph" w:styleId="Caption">
    <w:name w:val="caption"/>
    <w:basedOn w:val="Normal"/>
    <w:next w:val="Normal"/>
    <w:uiPriority w:val="35"/>
    <w:unhideWhenUsed/>
    <w:qFormat/>
    <w:rsid w:val="00323CE7"/>
    <w:pPr>
      <w:spacing w:after="200" w:line="240" w:lineRule="auto"/>
    </w:pPr>
    <w:rPr>
      <w:b/>
      <w:bCs/>
      <w:color w:val="4F81BD" w:themeColor="accent1"/>
      <w:sz w:val="18"/>
      <w:szCs w:val="18"/>
    </w:rPr>
  </w:style>
  <w:style w:type="character" w:customStyle="1" w:styleId="Heading4Char">
    <w:name w:val="Heading 4 Char"/>
    <w:basedOn w:val="DefaultParagraphFont"/>
    <w:link w:val="Heading4"/>
    <w:uiPriority w:val="9"/>
    <w:rsid w:val="005677EB"/>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7403E2"/>
    <w:rPr>
      <w:rFonts w:asciiTheme="majorHAnsi" w:eastAsiaTheme="majorEastAsia" w:hAnsiTheme="majorHAnsi" w:cstheme="majorBidi"/>
      <w:color w:val="243F60" w:themeColor="accent1" w:themeShade="7F"/>
      <w:sz w:val="24"/>
    </w:rPr>
  </w:style>
  <w:style w:type="paragraph" w:styleId="NoSpacing">
    <w:name w:val="No Spacing"/>
    <w:link w:val="NoSpacingChar"/>
    <w:uiPriority w:val="1"/>
    <w:qFormat/>
    <w:rsid w:val="00D3119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31194"/>
    <w:rPr>
      <w:rFonts w:eastAsiaTheme="minorEastAsia"/>
      <w:lang w:val="en-US" w:eastAsia="ja-JP"/>
    </w:rPr>
  </w:style>
  <w:style w:type="paragraph" w:styleId="TOCHeading">
    <w:name w:val="TOC Heading"/>
    <w:basedOn w:val="Heading1"/>
    <w:next w:val="Normal"/>
    <w:uiPriority w:val="39"/>
    <w:semiHidden/>
    <w:unhideWhenUsed/>
    <w:qFormat/>
    <w:rsid w:val="007072FB"/>
    <w:pPr>
      <w:numPr>
        <w:numId w:val="0"/>
      </w:numPr>
      <w:spacing w:before="480" w:after="0" w:line="276" w:lineRule="auto"/>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7072FB"/>
    <w:pPr>
      <w:tabs>
        <w:tab w:val="right" w:leader="dot" w:pos="8188"/>
      </w:tabs>
      <w:spacing w:after="0" w:line="240" w:lineRule="auto"/>
    </w:pPr>
  </w:style>
  <w:style w:type="paragraph" w:styleId="TOC2">
    <w:name w:val="toc 2"/>
    <w:basedOn w:val="Normal"/>
    <w:next w:val="Normal"/>
    <w:autoRedefine/>
    <w:uiPriority w:val="39"/>
    <w:unhideWhenUsed/>
    <w:rsid w:val="007072FB"/>
    <w:pPr>
      <w:spacing w:after="100"/>
      <w:ind w:left="240"/>
    </w:pPr>
  </w:style>
  <w:style w:type="paragraph" w:styleId="TOC3">
    <w:name w:val="toc 3"/>
    <w:basedOn w:val="Normal"/>
    <w:next w:val="Normal"/>
    <w:autoRedefine/>
    <w:uiPriority w:val="39"/>
    <w:unhideWhenUsed/>
    <w:rsid w:val="007072FB"/>
    <w:pPr>
      <w:spacing w:after="100"/>
      <w:ind w:left="480"/>
    </w:pPr>
  </w:style>
  <w:style w:type="paragraph" w:styleId="TOC4">
    <w:name w:val="toc 4"/>
    <w:basedOn w:val="Normal"/>
    <w:next w:val="Normal"/>
    <w:autoRedefine/>
    <w:uiPriority w:val="39"/>
    <w:unhideWhenUsed/>
    <w:rsid w:val="007072FB"/>
    <w:pPr>
      <w:spacing w:after="100"/>
      <w:ind w:left="720"/>
    </w:pPr>
  </w:style>
  <w:style w:type="paragraph" w:styleId="TOC5">
    <w:name w:val="toc 5"/>
    <w:basedOn w:val="Normal"/>
    <w:next w:val="Normal"/>
    <w:autoRedefine/>
    <w:uiPriority w:val="39"/>
    <w:unhideWhenUsed/>
    <w:rsid w:val="007072FB"/>
    <w:pPr>
      <w:spacing w:after="100"/>
      <w:ind w:left="960"/>
    </w:pPr>
  </w:style>
  <w:style w:type="character" w:customStyle="1" w:styleId="Heading6Char">
    <w:name w:val="Heading 6 Char"/>
    <w:basedOn w:val="DefaultParagraphFont"/>
    <w:link w:val="Heading6"/>
    <w:uiPriority w:val="9"/>
    <w:rsid w:val="00A45A92"/>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D0256"/>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25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256"/>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3838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838"/>
    <w:rPr>
      <w:rFonts w:ascii="Times New Roman" w:hAnsi="Times New Roman"/>
      <w:sz w:val="20"/>
      <w:szCs w:val="20"/>
    </w:rPr>
  </w:style>
  <w:style w:type="character" w:styleId="FootnoteReference">
    <w:name w:val="footnote reference"/>
    <w:basedOn w:val="DefaultParagraphFont"/>
    <w:uiPriority w:val="99"/>
    <w:semiHidden/>
    <w:unhideWhenUsed/>
    <w:rsid w:val="00383838"/>
    <w:rPr>
      <w:vertAlign w:val="superscript"/>
    </w:rPr>
  </w:style>
  <w:style w:type="table" w:styleId="LightShading-Accent1">
    <w:name w:val="Light Shading Accent 1"/>
    <w:basedOn w:val="TableNormal"/>
    <w:uiPriority w:val="60"/>
    <w:rsid w:val="0097217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8A6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91F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2-Accent5">
    <w:name w:val="Medium Shading 2 Accent 5"/>
    <w:basedOn w:val="TableNormal"/>
    <w:uiPriority w:val="64"/>
    <w:rsid w:val="002E2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2236A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uiPriority w:val="99"/>
    <w:semiHidden/>
    <w:unhideWhenUsed/>
    <w:rsid w:val="004F3650"/>
    <w:rPr>
      <w:sz w:val="16"/>
      <w:szCs w:val="16"/>
    </w:rPr>
  </w:style>
  <w:style w:type="paragraph" w:styleId="CommentText">
    <w:name w:val="annotation text"/>
    <w:basedOn w:val="Normal"/>
    <w:link w:val="CommentTextChar"/>
    <w:uiPriority w:val="99"/>
    <w:semiHidden/>
    <w:unhideWhenUsed/>
    <w:rsid w:val="004F3650"/>
    <w:pPr>
      <w:spacing w:line="240" w:lineRule="auto"/>
    </w:pPr>
    <w:rPr>
      <w:sz w:val="20"/>
      <w:szCs w:val="20"/>
    </w:rPr>
  </w:style>
  <w:style w:type="character" w:customStyle="1" w:styleId="CommentTextChar">
    <w:name w:val="Comment Text Char"/>
    <w:basedOn w:val="DefaultParagraphFont"/>
    <w:link w:val="CommentText"/>
    <w:uiPriority w:val="99"/>
    <w:semiHidden/>
    <w:rsid w:val="004F36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3650"/>
    <w:rPr>
      <w:b/>
      <w:bCs/>
    </w:rPr>
  </w:style>
  <w:style w:type="character" w:customStyle="1" w:styleId="CommentSubjectChar">
    <w:name w:val="Comment Subject Char"/>
    <w:basedOn w:val="CommentTextChar"/>
    <w:link w:val="CommentSubject"/>
    <w:uiPriority w:val="99"/>
    <w:semiHidden/>
    <w:rsid w:val="004F3650"/>
    <w:rPr>
      <w:rFonts w:ascii="Times New Roman" w:hAnsi="Times New Roman"/>
      <w:b/>
      <w:bCs/>
      <w:sz w:val="20"/>
      <w:szCs w:val="20"/>
    </w:rPr>
  </w:style>
  <w:style w:type="paragraph" w:styleId="EndnoteText">
    <w:name w:val="endnote text"/>
    <w:basedOn w:val="Normal"/>
    <w:link w:val="EndnoteTextChar"/>
    <w:uiPriority w:val="99"/>
    <w:semiHidden/>
    <w:unhideWhenUsed/>
    <w:rsid w:val="000A6F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6FAA"/>
    <w:rPr>
      <w:rFonts w:ascii="Times New Roman" w:hAnsi="Times New Roman"/>
      <w:sz w:val="20"/>
      <w:szCs w:val="20"/>
    </w:rPr>
  </w:style>
  <w:style w:type="character" w:styleId="EndnoteReference">
    <w:name w:val="endnote reference"/>
    <w:basedOn w:val="DefaultParagraphFont"/>
    <w:uiPriority w:val="99"/>
    <w:semiHidden/>
    <w:unhideWhenUsed/>
    <w:rsid w:val="000A6FAA"/>
    <w:rPr>
      <w:vertAlign w:val="superscript"/>
    </w:rPr>
  </w:style>
  <w:style w:type="paragraph" w:styleId="BodyText">
    <w:name w:val="Body Text"/>
    <w:basedOn w:val="Normal"/>
    <w:link w:val="BodyTextChar"/>
    <w:uiPriority w:val="99"/>
    <w:rsid w:val="003D234B"/>
    <w:pPr>
      <w:spacing w:after="120" w:line="276" w:lineRule="auto"/>
    </w:pPr>
    <w:rPr>
      <w:rFonts w:ascii="Calibri" w:eastAsia="Calibri" w:hAnsi="Calibri" w:cs="Times New Roman"/>
      <w:sz w:val="20"/>
      <w:szCs w:val="20"/>
    </w:rPr>
  </w:style>
  <w:style w:type="character" w:customStyle="1" w:styleId="BodyTextChar">
    <w:name w:val="Body Text Char"/>
    <w:basedOn w:val="DefaultParagraphFont"/>
    <w:link w:val="BodyText"/>
    <w:uiPriority w:val="99"/>
    <w:rsid w:val="003D234B"/>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123A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672">
      <w:bodyDiv w:val="1"/>
      <w:marLeft w:val="0"/>
      <w:marRight w:val="0"/>
      <w:marTop w:val="0"/>
      <w:marBottom w:val="0"/>
      <w:divBdr>
        <w:top w:val="none" w:sz="0" w:space="0" w:color="auto"/>
        <w:left w:val="none" w:sz="0" w:space="0" w:color="auto"/>
        <w:bottom w:val="none" w:sz="0" w:space="0" w:color="auto"/>
        <w:right w:val="none" w:sz="0" w:space="0" w:color="auto"/>
      </w:divBdr>
    </w:div>
    <w:div w:id="19556617">
      <w:bodyDiv w:val="1"/>
      <w:marLeft w:val="0"/>
      <w:marRight w:val="0"/>
      <w:marTop w:val="0"/>
      <w:marBottom w:val="0"/>
      <w:divBdr>
        <w:top w:val="none" w:sz="0" w:space="0" w:color="auto"/>
        <w:left w:val="none" w:sz="0" w:space="0" w:color="auto"/>
        <w:bottom w:val="none" w:sz="0" w:space="0" w:color="auto"/>
        <w:right w:val="none" w:sz="0" w:space="0" w:color="auto"/>
      </w:divBdr>
    </w:div>
    <w:div w:id="83035025">
      <w:bodyDiv w:val="1"/>
      <w:marLeft w:val="0"/>
      <w:marRight w:val="0"/>
      <w:marTop w:val="0"/>
      <w:marBottom w:val="0"/>
      <w:divBdr>
        <w:top w:val="none" w:sz="0" w:space="0" w:color="auto"/>
        <w:left w:val="none" w:sz="0" w:space="0" w:color="auto"/>
        <w:bottom w:val="none" w:sz="0" w:space="0" w:color="auto"/>
        <w:right w:val="none" w:sz="0" w:space="0" w:color="auto"/>
      </w:divBdr>
    </w:div>
    <w:div w:id="160119207">
      <w:bodyDiv w:val="1"/>
      <w:marLeft w:val="0"/>
      <w:marRight w:val="0"/>
      <w:marTop w:val="0"/>
      <w:marBottom w:val="0"/>
      <w:divBdr>
        <w:top w:val="none" w:sz="0" w:space="0" w:color="auto"/>
        <w:left w:val="none" w:sz="0" w:space="0" w:color="auto"/>
        <w:bottom w:val="none" w:sz="0" w:space="0" w:color="auto"/>
        <w:right w:val="none" w:sz="0" w:space="0" w:color="auto"/>
      </w:divBdr>
    </w:div>
    <w:div w:id="197740261">
      <w:bodyDiv w:val="1"/>
      <w:marLeft w:val="0"/>
      <w:marRight w:val="0"/>
      <w:marTop w:val="0"/>
      <w:marBottom w:val="0"/>
      <w:divBdr>
        <w:top w:val="none" w:sz="0" w:space="0" w:color="auto"/>
        <w:left w:val="none" w:sz="0" w:space="0" w:color="auto"/>
        <w:bottom w:val="none" w:sz="0" w:space="0" w:color="auto"/>
        <w:right w:val="none" w:sz="0" w:space="0" w:color="auto"/>
      </w:divBdr>
    </w:div>
    <w:div w:id="206722204">
      <w:bodyDiv w:val="1"/>
      <w:marLeft w:val="0"/>
      <w:marRight w:val="0"/>
      <w:marTop w:val="0"/>
      <w:marBottom w:val="0"/>
      <w:divBdr>
        <w:top w:val="none" w:sz="0" w:space="0" w:color="auto"/>
        <w:left w:val="none" w:sz="0" w:space="0" w:color="auto"/>
        <w:bottom w:val="none" w:sz="0" w:space="0" w:color="auto"/>
        <w:right w:val="none" w:sz="0" w:space="0" w:color="auto"/>
      </w:divBdr>
    </w:div>
    <w:div w:id="232005590">
      <w:bodyDiv w:val="1"/>
      <w:marLeft w:val="0"/>
      <w:marRight w:val="0"/>
      <w:marTop w:val="0"/>
      <w:marBottom w:val="0"/>
      <w:divBdr>
        <w:top w:val="none" w:sz="0" w:space="0" w:color="auto"/>
        <w:left w:val="none" w:sz="0" w:space="0" w:color="auto"/>
        <w:bottom w:val="none" w:sz="0" w:space="0" w:color="auto"/>
        <w:right w:val="none" w:sz="0" w:space="0" w:color="auto"/>
      </w:divBdr>
    </w:div>
    <w:div w:id="246771055">
      <w:bodyDiv w:val="1"/>
      <w:marLeft w:val="0"/>
      <w:marRight w:val="0"/>
      <w:marTop w:val="0"/>
      <w:marBottom w:val="0"/>
      <w:divBdr>
        <w:top w:val="none" w:sz="0" w:space="0" w:color="auto"/>
        <w:left w:val="none" w:sz="0" w:space="0" w:color="auto"/>
        <w:bottom w:val="none" w:sz="0" w:space="0" w:color="auto"/>
        <w:right w:val="none" w:sz="0" w:space="0" w:color="auto"/>
      </w:divBdr>
    </w:div>
    <w:div w:id="253250532">
      <w:bodyDiv w:val="1"/>
      <w:marLeft w:val="0"/>
      <w:marRight w:val="0"/>
      <w:marTop w:val="0"/>
      <w:marBottom w:val="0"/>
      <w:divBdr>
        <w:top w:val="none" w:sz="0" w:space="0" w:color="auto"/>
        <w:left w:val="none" w:sz="0" w:space="0" w:color="auto"/>
        <w:bottom w:val="none" w:sz="0" w:space="0" w:color="auto"/>
        <w:right w:val="none" w:sz="0" w:space="0" w:color="auto"/>
      </w:divBdr>
    </w:div>
    <w:div w:id="261883709">
      <w:bodyDiv w:val="1"/>
      <w:marLeft w:val="0"/>
      <w:marRight w:val="0"/>
      <w:marTop w:val="0"/>
      <w:marBottom w:val="0"/>
      <w:divBdr>
        <w:top w:val="none" w:sz="0" w:space="0" w:color="auto"/>
        <w:left w:val="none" w:sz="0" w:space="0" w:color="auto"/>
        <w:bottom w:val="none" w:sz="0" w:space="0" w:color="auto"/>
        <w:right w:val="none" w:sz="0" w:space="0" w:color="auto"/>
      </w:divBdr>
    </w:div>
    <w:div w:id="274287440">
      <w:bodyDiv w:val="1"/>
      <w:marLeft w:val="0"/>
      <w:marRight w:val="0"/>
      <w:marTop w:val="0"/>
      <w:marBottom w:val="0"/>
      <w:divBdr>
        <w:top w:val="none" w:sz="0" w:space="0" w:color="auto"/>
        <w:left w:val="none" w:sz="0" w:space="0" w:color="auto"/>
        <w:bottom w:val="none" w:sz="0" w:space="0" w:color="auto"/>
        <w:right w:val="none" w:sz="0" w:space="0" w:color="auto"/>
      </w:divBdr>
    </w:div>
    <w:div w:id="290865686">
      <w:bodyDiv w:val="1"/>
      <w:marLeft w:val="0"/>
      <w:marRight w:val="0"/>
      <w:marTop w:val="0"/>
      <w:marBottom w:val="0"/>
      <w:divBdr>
        <w:top w:val="none" w:sz="0" w:space="0" w:color="auto"/>
        <w:left w:val="none" w:sz="0" w:space="0" w:color="auto"/>
        <w:bottom w:val="none" w:sz="0" w:space="0" w:color="auto"/>
        <w:right w:val="none" w:sz="0" w:space="0" w:color="auto"/>
      </w:divBdr>
    </w:div>
    <w:div w:id="347023570">
      <w:bodyDiv w:val="1"/>
      <w:marLeft w:val="0"/>
      <w:marRight w:val="0"/>
      <w:marTop w:val="0"/>
      <w:marBottom w:val="0"/>
      <w:divBdr>
        <w:top w:val="none" w:sz="0" w:space="0" w:color="auto"/>
        <w:left w:val="none" w:sz="0" w:space="0" w:color="auto"/>
        <w:bottom w:val="none" w:sz="0" w:space="0" w:color="auto"/>
        <w:right w:val="none" w:sz="0" w:space="0" w:color="auto"/>
      </w:divBdr>
    </w:div>
    <w:div w:id="354158756">
      <w:bodyDiv w:val="1"/>
      <w:marLeft w:val="0"/>
      <w:marRight w:val="0"/>
      <w:marTop w:val="0"/>
      <w:marBottom w:val="0"/>
      <w:divBdr>
        <w:top w:val="none" w:sz="0" w:space="0" w:color="auto"/>
        <w:left w:val="none" w:sz="0" w:space="0" w:color="auto"/>
        <w:bottom w:val="none" w:sz="0" w:space="0" w:color="auto"/>
        <w:right w:val="none" w:sz="0" w:space="0" w:color="auto"/>
      </w:divBdr>
    </w:div>
    <w:div w:id="446194877">
      <w:bodyDiv w:val="1"/>
      <w:marLeft w:val="0"/>
      <w:marRight w:val="0"/>
      <w:marTop w:val="0"/>
      <w:marBottom w:val="0"/>
      <w:divBdr>
        <w:top w:val="none" w:sz="0" w:space="0" w:color="auto"/>
        <w:left w:val="none" w:sz="0" w:space="0" w:color="auto"/>
        <w:bottom w:val="none" w:sz="0" w:space="0" w:color="auto"/>
        <w:right w:val="none" w:sz="0" w:space="0" w:color="auto"/>
      </w:divBdr>
    </w:div>
    <w:div w:id="475146995">
      <w:bodyDiv w:val="1"/>
      <w:marLeft w:val="0"/>
      <w:marRight w:val="0"/>
      <w:marTop w:val="0"/>
      <w:marBottom w:val="0"/>
      <w:divBdr>
        <w:top w:val="none" w:sz="0" w:space="0" w:color="auto"/>
        <w:left w:val="none" w:sz="0" w:space="0" w:color="auto"/>
        <w:bottom w:val="none" w:sz="0" w:space="0" w:color="auto"/>
        <w:right w:val="none" w:sz="0" w:space="0" w:color="auto"/>
      </w:divBdr>
    </w:div>
    <w:div w:id="508720296">
      <w:bodyDiv w:val="1"/>
      <w:marLeft w:val="0"/>
      <w:marRight w:val="0"/>
      <w:marTop w:val="0"/>
      <w:marBottom w:val="0"/>
      <w:divBdr>
        <w:top w:val="none" w:sz="0" w:space="0" w:color="auto"/>
        <w:left w:val="none" w:sz="0" w:space="0" w:color="auto"/>
        <w:bottom w:val="none" w:sz="0" w:space="0" w:color="auto"/>
        <w:right w:val="none" w:sz="0" w:space="0" w:color="auto"/>
      </w:divBdr>
    </w:div>
    <w:div w:id="527569178">
      <w:bodyDiv w:val="1"/>
      <w:marLeft w:val="0"/>
      <w:marRight w:val="0"/>
      <w:marTop w:val="0"/>
      <w:marBottom w:val="0"/>
      <w:divBdr>
        <w:top w:val="none" w:sz="0" w:space="0" w:color="auto"/>
        <w:left w:val="none" w:sz="0" w:space="0" w:color="auto"/>
        <w:bottom w:val="none" w:sz="0" w:space="0" w:color="auto"/>
        <w:right w:val="none" w:sz="0" w:space="0" w:color="auto"/>
      </w:divBdr>
    </w:div>
    <w:div w:id="541597010">
      <w:bodyDiv w:val="1"/>
      <w:marLeft w:val="0"/>
      <w:marRight w:val="0"/>
      <w:marTop w:val="0"/>
      <w:marBottom w:val="0"/>
      <w:divBdr>
        <w:top w:val="none" w:sz="0" w:space="0" w:color="auto"/>
        <w:left w:val="none" w:sz="0" w:space="0" w:color="auto"/>
        <w:bottom w:val="none" w:sz="0" w:space="0" w:color="auto"/>
        <w:right w:val="none" w:sz="0" w:space="0" w:color="auto"/>
      </w:divBdr>
    </w:div>
    <w:div w:id="545995025">
      <w:bodyDiv w:val="1"/>
      <w:marLeft w:val="0"/>
      <w:marRight w:val="0"/>
      <w:marTop w:val="0"/>
      <w:marBottom w:val="0"/>
      <w:divBdr>
        <w:top w:val="none" w:sz="0" w:space="0" w:color="auto"/>
        <w:left w:val="none" w:sz="0" w:space="0" w:color="auto"/>
        <w:bottom w:val="none" w:sz="0" w:space="0" w:color="auto"/>
        <w:right w:val="none" w:sz="0" w:space="0" w:color="auto"/>
      </w:divBdr>
    </w:div>
    <w:div w:id="587495767">
      <w:bodyDiv w:val="1"/>
      <w:marLeft w:val="0"/>
      <w:marRight w:val="0"/>
      <w:marTop w:val="0"/>
      <w:marBottom w:val="0"/>
      <w:divBdr>
        <w:top w:val="none" w:sz="0" w:space="0" w:color="auto"/>
        <w:left w:val="none" w:sz="0" w:space="0" w:color="auto"/>
        <w:bottom w:val="none" w:sz="0" w:space="0" w:color="auto"/>
        <w:right w:val="none" w:sz="0" w:space="0" w:color="auto"/>
      </w:divBdr>
    </w:div>
    <w:div w:id="595094318">
      <w:bodyDiv w:val="1"/>
      <w:marLeft w:val="0"/>
      <w:marRight w:val="0"/>
      <w:marTop w:val="0"/>
      <w:marBottom w:val="0"/>
      <w:divBdr>
        <w:top w:val="none" w:sz="0" w:space="0" w:color="auto"/>
        <w:left w:val="none" w:sz="0" w:space="0" w:color="auto"/>
        <w:bottom w:val="none" w:sz="0" w:space="0" w:color="auto"/>
        <w:right w:val="none" w:sz="0" w:space="0" w:color="auto"/>
      </w:divBdr>
    </w:div>
    <w:div w:id="631135341">
      <w:bodyDiv w:val="1"/>
      <w:marLeft w:val="0"/>
      <w:marRight w:val="0"/>
      <w:marTop w:val="0"/>
      <w:marBottom w:val="0"/>
      <w:divBdr>
        <w:top w:val="none" w:sz="0" w:space="0" w:color="auto"/>
        <w:left w:val="none" w:sz="0" w:space="0" w:color="auto"/>
        <w:bottom w:val="none" w:sz="0" w:space="0" w:color="auto"/>
        <w:right w:val="none" w:sz="0" w:space="0" w:color="auto"/>
      </w:divBdr>
    </w:div>
    <w:div w:id="681276643">
      <w:bodyDiv w:val="1"/>
      <w:marLeft w:val="0"/>
      <w:marRight w:val="0"/>
      <w:marTop w:val="0"/>
      <w:marBottom w:val="0"/>
      <w:divBdr>
        <w:top w:val="none" w:sz="0" w:space="0" w:color="auto"/>
        <w:left w:val="none" w:sz="0" w:space="0" w:color="auto"/>
        <w:bottom w:val="none" w:sz="0" w:space="0" w:color="auto"/>
        <w:right w:val="none" w:sz="0" w:space="0" w:color="auto"/>
      </w:divBdr>
    </w:div>
    <w:div w:id="729154510">
      <w:bodyDiv w:val="1"/>
      <w:marLeft w:val="0"/>
      <w:marRight w:val="0"/>
      <w:marTop w:val="0"/>
      <w:marBottom w:val="0"/>
      <w:divBdr>
        <w:top w:val="none" w:sz="0" w:space="0" w:color="auto"/>
        <w:left w:val="none" w:sz="0" w:space="0" w:color="auto"/>
        <w:bottom w:val="none" w:sz="0" w:space="0" w:color="auto"/>
        <w:right w:val="none" w:sz="0" w:space="0" w:color="auto"/>
      </w:divBdr>
    </w:div>
    <w:div w:id="733431236">
      <w:bodyDiv w:val="1"/>
      <w:marLeft w:val="0"/>
      <w:marRight w:val="0"/>
      <w:marTop w:val="0"/>
      <w:marBottom w:val="0"/>
      <w:divBdr>
        <w:top w:val="none" w:sz="0" w:space="0" w:color="auto"/>
        <w:left w:val="none" w:sz="0" w:space="0" w:color="auto"/>
        <w:bottom w:val="none" w:sz="0" w:space="0" w:color="auto"/>
        <w:right w:val="none" w:sz="0" w:space="0" w:color="auto"/>
      </w:divBdr>
    </w:div>
    <w:div w:id="738753382">
      <w:bodyDiv w:val="1"/>
      <w:marLeft w:val="0"/>
      <w:marRight w:val="0"/>
      <w:marTop w:val="0"/>
      <w:marBottom w:val="0"/>
      <w:divBdr>
        <w:top w:val="none" w:sz="0" w:space="0" w:color="auto"/>
        <w:left w:val="none" w:sz="0" w:space="0" w:color="auto"/>
        <w:bottom w:val="none" w:sz="0" w:space="0" w:color="auto"/>
        <w:right w:val="none" w:sz="0" w:space="0" w:color="auto"/>
      </w:divBdr>
    </w:div>
    <w:div w:id="750543966">
      <w:bodyDiv w:val="1"/>
      <w:marLeft w:val="0"/>
      <w:marRight w:val="0"/>
      <w:marTop w:val="0"/>
      <w:marBottom w:val="0"/>
      <w:divBdr>
        <w:top w:val="none" w:sz="0" w:space="0" w:color="auto"/>
        <w:left w:val="none" w:sz="0" w:space="0" w:color="auto"/>
        <w:bottom w:val="none" w:sz="0" w:space="0" w:color="auto"/>
        <w:right w:val="none" w:sz="0" w:space="0" w:color="auto"/>
      </w:divBdr>
    </w:div>
    <w:div w:id="762804374">
      <w:bodyDiv w:val="1"/>
      <w:marLeft w:val="0"/>
      <w:marRight w:val="0"/>
      <w:marTop w:val="0"/>
      <w:marBottom w:val="0"/>
      <w:divBdr>
        <w:top w:val="none" w:sz="0" w:space="0" w:color="auto"/>
        <w:left w:val="none" w:sz="0" w:space="0" w:color="auto"/>
        <w:bottom w:val="none" w:sz="0" w:space="0" w:color="auto"/>
        <w:right w:val="none" w:sz="0" w:space="0" w:color="auto"/>
      </w:divBdr>
    </w:div>
    <w:div w:id="793140044">
      <w:bodyDiv w:val="1"/>
      <w:marLeft w:val="0"/>
      <w:marRight w:val="0"/>
      <w:marTop w:val="0"/>
      <w:marBottom w:val="0"/>
      <w:divBdr>
        <w:top w:val="none" w:sz="0" w:space="0" w:color="auto"/>
        <w:left w:val="none" w:sz="0" w:space="0" w:color="auto"/>
        <w:bottom w:val="none" w:sz="0" w:space="0" w:color="auto"/>
        <w:right w:val="none" w:sz="0" w:space="0" w:color="auto"/>
      </w:divBdr>
    </w:div>
    <w:div w:id="802308866">
      <w:bodyDiv w:val="1"/>
      <w:marLeft w:val="0"/>
      <w:marRight w:val="0"/>
      <w:marTop w:val="0"/>
      <w:marBottom w:val="0"/>
      <w:divBdr>
        <w:top w:val="none" w:sz="0" w:space="0" w:color="auto"/>
        <w:left w:val="none" w:sz="0" w:space="0" w:color="auto"/>
        <w:bottom w:val="none" w:sz="0" w:space="0" w:color="auto"/>
        <w:right w:val="none" w:sz="0" w:space="0" w:color="auto"/>
      </w:divBdr>
    </w:div>
    <w:div w:id="813790129">
      <w:bodyDiv w:val="1"/>
      <w:marLeft w:val="0"/>
      <w:marRight w:val="0"/>
      <w:marTop w:val="0"/>
      <w:marBottom w:val="0"/>
      <w:divBdr>
        <w:top w:val="none" w:sz="0" w:space="0" w:color="auto"/>
        <w:left w:val="none" w:sz="0" w:space="0" w:color="auto"/>
        <w:bottom w:val="none" w:sz="0" w:space="0" w:color="auto"/>
        <w:right w:val="none" w:sz="0" w:space="0" w:color="auto"/>
      </w:divBdr>
    </w:div>
    <w:div w:id="833758940">
      <w:bodyDiv w:val="1"/>
      <w:marLeft w:val="0"/>
      <w:marRight w:val="0"/>
      <w:marTop w:val="0"/>
      <w:marBottom w:val="0"/>
      <w:divBdr>
        <w:top w:val="none" w:sz="0" w:space="0" w:color="auto"/>
        <w:left w:val="none" w:sz="0" w:space="0" w:color="auto"/>
        <w:bottom w:val="none" w:sz="0" w:space="0" w:color="auto"/>
        <w:right w:val="none" w:sz="0" w:space="0" w:color="auto"/>
      </w:divBdr>
    </w:div>
    <w:div w:id="886065062">
      <w:bodyDiv w:val="1"/>
      <w:marLeft w:val="0"/>
      <w:marRight w:val="0"/>
      <w:marTop w:val="0"/>
      <w:marBottom w:val="0"/>
      <w:divBdr>
        <w:top w:val="none" w:sz="0" w:space="0" w:color="auto"/>
        <w:left w:val="none" w:sz="0" w:space="0" w:color="auto"/>
        <w:bottom w:val="none" w:sz="0" w:space="0" w:color="auto"/>
        <w:right w:val="none" w:sz="0" w:space="0" w:color="auto"/>
      </w:divBdr>
    </w:div>
    <w:div w:id="915548900">
      <w:bodyDiv w:val="1"/>
      <w:marLeft w:val="0"/>
      <w:marRight w:val="0"/>
      <w:marTop w:val="0"/>
      <w:marBottom w:val="0"/>
      <w:divBdr>
        <w:top w:val="none" w:sz="0" w:space="0" w:color="auto"/>
        <w:left w:val="none" w:sz="0" w:space="0" w:color="auto"/>
        <w:bottom w:val="none" w:sz="0" w:space="0" w:color="auto"/>
        <w:right w:val="none" w:sz="0" w:space="0" w:color="auto"/>
      </w:divBdr>
    </w:div>
    <w:div w:id="923495819">
      <w:bodyDiv w:val="1"/>
      <w:marLeft w:val="0"/>
      <w:marRight w:val="0"/>
      <w:marTop w:val="0"/>
      <w:marBottom w:val="0"/>
      <w:divBdr>
        <w:top w:val="none" w:sz="0" w:space="0" w:color="auto"/>
        <w:left w:val="none" w:sz="0" w:space="0" w:color="auto"/>
        <w:bottom w:val="none" w:sz="0" w:space="0" w:color="auto"/>
        <w:right w:val="none" w:sz="0" w:space="0" w:color="auto"/>
      </w:divBdr>
    </w:div>
    <w:div w:id="946692236">
      <w:bodyDiv w:val="1"/>
      <w:marLeft w:val="0"/>
      <w:marRight w:val="0"/>
      <w:marTop w:val="0"/>
      <w:marBottom w:val="0"/>
      <w:divBdr>
        <w:top w:val="none" w:sz="0" w:space="0" w:color="auto"/>
        <w:left w:val="none" w:sz="0" w:space="0" w:color="auto"/>
        <w:bottom w:val="none" w:sz="0" w:space="0" w:color="auto"/>
        <w:right w:val="none" w:sz="0" w:space="0" w:color="auto"/>
      </w:divBdr>
    </w:div>
    <w:div w:id="983968007">
      <w:bodyDiv w:val="1"/>
      <w:marLeft w:val="0"/>
      <w:marRight w:val="0"/>
      <w:marTop w:val="0"/>
      <w:marBottom w:val="0"/>
      <w:divBdr>
        <w:top w:val="none" w:sz="0" w:space="0" w:color="auto"/>
        <w:left w:val="none" w:sz="0" w:space="0" w:color="auto"/>
        <w:bottom w:val="none" w:sz="0" w:space="0" w:color="auto"/>
        <w:right w:val="none" w:sz="0" w:space="0" w:color="auto"/>
      </w:divBdr>
    </w:div>
    <w:div w:id="1009335952">
      <w:bodyDiv w:val="1"/>
      <w:marLeft w:val="0"/>
      <w:marRight w:val="0"/>
      <w:marTop w:val="0"/>
      <w:marBottom w:val="0"/>
      <w:divBdr>
        <w:top w:val="none" w:sz="0" w:space="0" w:color="auto"/>
        <w:left w:val="none" w:sz="0" w:space="0" w:color="auto"/>
        <w:bottom w:val="none" w:sz="0" w:space="0" w:color="auto"/>
        <w:right w:val="none" w:sz="0" w:space="0" w:color="auto"/>
      </w:divBdr>
    </w:div>
    <w:div w:id="1100032669">
      <w:bodyDiv w:val="1"/>
      <w:marLeft w:val="0"/>
      <w:marRight w:val="0"/>
      <w:marTop w:val="0"/>
      <w:marBottom w:val="0"/>
      <w:divBdr>
        <w:top w:val="none" w:sz="0" w:space="0" w:color="auto"/>
        <w:left w:val="none" w:sz="0" w:space="0" w:color="auto"/>
        <w:bottom w:val="none" w:sz="0" w:space="0" w:color="auto"/>
        <w:right w:val="none" w:sz="0" w:space="0" w:color="auto"/>
      </w:divBdr>
    </w:div>
    <w:div w:id="1102454778">
      <w:bodyDiv w:val="1"/>
      <w:marLeft w:val="0"/>
      <w:marRight w:val="0"/>
      <w:marTop w:val="0"/>
      <w:marBottom w:val="0"/>
      <w:divBdr>
        <w:top w:val="none" w:sz="0" w:space="0" w:color="auto"/>
        <w:left w:val="none" w:sz="0" w:space="0" w:color="auto"/>
        <w:bottom w:val="none" w:sz="0" w:space="0" w:color="auto"/>
        <w:right w:val="none" w:sz="0" w:space="0" w:color="auto"/>
      </w:divBdr>
    </w:div>
    <w:div w:id="1103262383">
      <w:bodyDiv w:val="1"/>
      <w:marLeft w:val="0"/>
      <w:marRight w:val="0"/>
      <w:marTop w:val="0"/>
      <w:marBottom w:val="0"/>
      <w:divBdr>
        <w:top w:val="none" w:sz="0" w:space="0" w:color="auto"/>
        <w:left w:val="none" w:sz="0" w:space="0" w:color="auto"/>
        <w:bottom w:val="none" w:sz="0" w:space="0" w:color="auto"/>
        <w:right w:val="none" w:sz="0" w:space="0" w:color="auto"/>
      </w:divBdr>
      <w:divsChild>
        <w:div w:id="386609193">
          <w:marLeft w:val="0"/>
          <w:marRight w:val="0"/>
          <w:marTop w:val="0"/>
          <w:marBottom w:val="0"/>
          <w:divBdr>
            <w:top w:val="none" w:sz="0" w:space="0" w:color="auto"/>
            <w:left w:val="none" w:sz="0" w:space="0" w:color="auto"/>
            <w:bottom w:val="none" w:sz="0" w:space="0" w:color="auto"/>
            <w:right w:val="none" w:sz="0" w:space="0" w:color="auto"/>
          </w:divBdr>
        </w:div>
        <w:div w:id="759639400">
          <w:marLeft w:val="0"/>
          <w:marRight w:val="0"/>
          <w:marTop w:val="0"/>
          <w:marBottom w:val="0"/>
          <w:divBdr>
            <w:top w:val="none" w:sz="0" w:space="0" w:color="auto"/>
            <w:left w:val="none" w:sz="0" w:space="0" w:color="auto"/>
            <w:bottom w:val="none" w:sz="0" w:space="0" w:color="auto"/>
            <w:right w:val="none" w:sz="0" w:space="0" w:color="auto"/>
          </w:divBdr>
        </w:div>
        <w:div w:id="1494292766">
          <w:marLeft w:val="0"/>
          <w:marRight w:val="0"/>
          <w:marTop w:val="0"/>
          <w:marBottom w:val="0"/>
          <w:divBdr>
            <w:top w:val="none" w:sz="0" w:space="0" w:color="auto"/>
            <w:left w:val="none" w:sz="0" w:space="0" w:color="auto"/>
            <w:bottom w:val="none" w:sz="0" w:space="0" w:color="auto"/>
            <w:right w:val="none" w:sz="0" w:space="0" w:color="auto"/>
          </w:divBdr>
          <w:divsChild>
            <w:div w:id="1986277695">
              <w:marLeft w:val="0"/>
              <w:marRight w:val="0"/>
              <w:marTop w:val="0"/>
              <w:marBottom w:val="0"/>
              <w:divBdr>
                <w:top w:val="none" w:sz="0" w:space="0" w:color="auto"/>
                <w:left w:val="none" w:sz="0" w:space="0" w:color="auto"/>
                <w:bottom w:val="none" w:sz="0" w:space="0" w:color="auto"/>
                <w:right w:val="none" w:sz="0" w:space="0" w:color="auto"/>
              </w:divBdr>
              <w:divsChild>
                <w:div w:id="138614845">
                  <w:marLeft w:val="0"/>
                  <w:marRight w:val="0"/>
                  <w:marTop w:val="0"/>
                  <w:marBottom w:val="0"/>
                  <w:divBdr>
                    <w:top w:val="none" w:sz="0" w:space="0" w:color="auto"/>
                    <w:left w:val="none" w:sz="0" w:space="0" w:color="auto"/>
                    <w:bottom w:val="none" w:sz="0" w:space="0" w:color="auto"/>
                    <w:right w:val="none" w:sz="0" w:space="0" w:color="auto"/>
                  </w:divBdr>
                  <w:divsChild>
                    <w:div w:id="1144472691">
                      <w:marLeft w:val="0"/>
                      <w:marRight w:val="0"/>
                      <w:marTop w:val="0"/>
                      <w:marBottom w:val="0"/>
                      <w:divBdr>
                        <w:top w:val="none" w:sz="0" w:space="0" w:color="auto"/>
                        <w:left w:val="none" w:sz="0" w:space="0" w:color="auto"/>
                        <w:bottom w:val="none" w:sz="0" w:space="0" w:color="auto"/>
                        <w:right w:val="none" w:sz="0" w:space="0" w:color="auto"/>
                      </w:divBdr>
                      <w:divsChild>
                        <w:div w:id="8151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11538">
          <w:marLeft w:val="0"/>
          <w:marRight w:val="0"/>
          <w:marTop w:val="0"/>
          <w:marBottom w:val="0"/>
          <w:divBdr>
            <w:top w:val="none" w:sz="0" w:space="0" w:color="auto"/>
            <w:left w:val="none" w:sz="0" w:space="0" w:color="auto"/>
            <w:bottom w:val="none" w:sz="0" w:space="0" w:color="auto"/>
            <w:right w:val="none" w:sz="0" w:space="0" w:color="auto"/>
          </w:divBdr>
          <w:divsChild>
            <w:div w:id="462042669">
              <w:marLeft w:val="0"/>
              <w:marRight w:val="0"/>
              <w:marTop w:val="0"/>
              <w:marBottom w:val="0"/>
              <w:divBdr>
                <w:top w:val="none" w:sz="0" w:space="0" w:color="auto"/>
                <w:left w:val="none" w:sz="0" w:space="0" w:color="auto"/>
                <w:bottom w:val="none" w:sz="0" w:space="0" w:color="auto"/>
                <w:right w:val="none" w:sz="0" w:space="0" w:color="auto"/>
              </w:divBdr>
              <w:divsChild>
                <w:div w:id="850027711">
                  <w:marLeft w:val="0"/>
                  <w:marRight w:val="0"/>
                  <w:marTop w:val="0"/>
                  <w:marBottom w:val="0"/>
                  <w:divBdr>
                    <w:top w:val="none" w:sz="0" w:space="0" w:color="auto"/>
                    <w:left w:val="none" w:sz="0" w:space="0" w:color="auto"/>
                    <w:bottom w:val="none" w:sz="0" w:space="0" w:color="auto"/>
                    <w:right w:val="none" w:sz="0" w:space="0" w:color="auto"/>
                  </w:divBdr>
                  <w:divsChild>
                    <w:div w:id="1236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82635">
      <w:bodyDiv w:val="1"/>
      <w:marLeft w:val="0"/>
      <w:marRight w:val="0"/>
      <w:marTop w:val="0"/>
      <w:marBottom w:val="0"/>
      <w:divBdr>
        <w:top w:val="none" w:sz="0" w:space="0" w:color="auto"/>
        <w:left w:val="none" w:sz="0" w:space="0" w:color="auto"/>
        <w:bottom w:val="none" w:sz="0" w:space="0" w:color="auto"/>
        <w:right w:val="none" w:sz="0" w:space="0" w:color="auto"/>
      </w:divBdr>
    </w:div>
    <w:div w:id="1186627437">
      <w:bodyDiv w:val="1"/>
      <w:marLeft w:val="0"/>
      <w:marRight w:val="0"/>
      <w:marTop w:val="0"/>
      <w:marBottom w:val="0"/>
      <w:divBdr>
        <w:top w:val="none" w:sz="0" w:space="0" w:color="auto"/>
        <w:left w:val="none" w:sz="0" w:space="0" w:color="auto"/>
        <w:bottom w:val="none" w:sz="0" w:space="0" w:color="auto"/>
        <w:right w:val="none" w:sz="0" w:space="0" w:color="auto"/>
      </w:divBdr>
    </w:div>
    <w:div w:id="1207255146">
      <w:bodyDiv w:val="1"/>
      <w:marLeft w:val="0"/>
      <w:marRight w:val="0"/>
      <w:marTop w:val="0"/>
      <w:marBottom w:val="0"/>
      <w:divBdr>
        <w:top w:val="none" w:sz="0" w:space="0" w:color="auto"/>
        <w:left w:val="none" w:sz="0" w:space="0" w:color="auto"/>
        <w:bottom w:val="none" w:sz="0" w:space="0" w:color="auto"/>
        <w:right w:val="none" w:sz="0" w:space="0" w:color="auto"/>
      </w:divBdr>
    </w:div>
    <w:div w:id="1228800781">
      <w:bodyDiv w:val="1"/>
      <w:marLeft w:val="0"/>
      <w:marRight w:val="0"/>
      <w:marTop w:val="0"/>
      <w:marBottom w:val="0"/>
      <w:divBdr>
        <w:top w:val="none" w:sz="0" w:space="0" w:color="auto"/>
        <w:left w:val="none" w:sz="0" w:space="0" w:color="auto"/>
        <w:bottom w:val="none" w:sz="0" w:space="0" w:color="auto"/>
        <w:right w:val="none" w:sz="0" w:space="0" w:color="auto"/>
      </w:divBdr>
    </w:div>
    <w:div w:id="1258517732">
      <w:bodyDiv w:val="1"/>
      <w:marLeft w:val="0"/>
      <w:marRight w:val="0"/>
      <w:marTop w:val="0"/>
      <w:marBottom w:val="0"/>
      <w:divBdr>
        <w:top w:val="none" w:sz="0" w:space="0" w:color="auto"/>
        <w:left w:val="none" w:sz="0" w:space="0" w:color="auto"/>
        <w:bottom w:val="none" w:sz="0" w:space="0" w:color="auto"/>
        <w:right w:val="none" w:sz="0" w:space="0" w:color="auto"/>
      </w:divBdr>
    </w:div>
    <w:div w:id="1267154914">
      <w:bodyDiv w:val="1"/>
      <w:marLeft w:val="0"/>
      <w:marRight w:val="0"/>
      <w:marTop w:val="0"/>
      <w:marBottom w:val="0"/>
      <w:divBdr>
        <w:top w:val="none" w:sz="0" w:space="0" w:color="auto"/>
        <w:left w:val="none" w:sz="0" w:space="0" w:color="auto"/>
        <w:bottom w:val="none" w:sz="0" w:space="0" w:color="auto"/>
        <w:right w:val="none" w:sz="0" w:space="0" w:color="auto"/>
      </w:divBdr>
    </w:div>
    <w:div w:id="1275021006">
      <w:bodyDiv w:val="1"/>
      <w:marLeft w:val="0"/>
      <w:marRight w:val="0"/>
      <w:marTop w:val="0"/>
      <w:marBottom w:val="0"/>
      <w:divBdr>
        <w:top w:val="none" w:sz="0" w:space="0" w:color="auto"/>
        <w:left w:val="none" w:sz="0" w:space="0" w:color="auto"/>
        <w:bottom w:val="none" w:sz="0" w:space="0" w:color="auto"/>
        <w:right w:val="none" w:sz="0" w:space="0" w:color="auto"/>
      </w:divBdr>
    </w:div>
    <w:div w:id="1290624599">
      <w:bodyDiv w:val="1"/>
      <w:marLeft w:val="0"/>
      <w:marRight w:val="0"/>
      <w:marTop w:val="0"/>
      <w:marBottom w:val="0"/>
      <w:divBdr>
        <w:top w:val="none" w:sz="0" w:space="0" w:color="auto"/>
        <w:left w:val="none" w:sz="0" w:space="0" w:color="auto"/>
        <w:bottom w:val="none" w:sz="0" w:space="0" w:color="auto"/>
        <w:right w:val="none" w:sz="0" w:space="0" w:color="auto"/>
      </w:divBdr>
    </w:div>
    <w:div w:id="1326477522">
      <w:bodyDiv w:val="1"/>
      <w:marLeft w:val="0"/>
      <w:marRight w:val="0"/>
      <w:marTop w:val="0"/>
      <w:marBottom w:val="0"/>
      <w:divBdr>
        <w:top w:val="none" w:sz="0" w:space="0" w:color="auto"/>
        <w:left w:val="none" w:sz="0" w:space="0" w:color="auto"/>
        <w:bottom w:val="none" w:sz="0" w:space="0" w:color="auto"/>
        <w:right w:val="none" w:sz="0" w:space="0" w:color="auto"/>
      </w:divBdr>
    </w:div>
    <w:div w:id="1344436061">
      <w:bodyDiv w:val="1"/>
      <w:marLeft w:val="0"/>
      <w:marRight w:val="0"/>
      <w:marTop w:val="0"/>
      <w:marBottom w:val="0"/>
      <w:divBdr>
        <w:top w:val="none" w:sz="0" w:space="0" w:color="auto"/>
        <w:left w:val="none" w:sz="0" w:space="0" w:color="auto"/>
        <w:bottom w:val="none" w:sz="0" w:space="0" w:color="auto"/>
        <w:right w:val="none" w:sz="0" w:space="0" w:color="auto"/>
      </w:divBdr>
    </w:div>
    <w:div w:id="1357119989">
      <w:bodyDiv w:val="1"/>
      <w:marLeft w:val="0"/>
      <w:marRight w:val="0"/>
      <w:marTop w:val="0"/>
      <w:marBottom w:val="0"/>
      <w:divBdr>
        <w:top w:val="none" w:sz="0" w:space="0" w:color="auto"/>
        <w:left w:val="none" w:sz="0" w:space="0" w:color="auto"/>
        <w:bottom w:val="none" w:sz="0" w:space="0" w:color="auto"/>
        <w:right w:val="none" w:sz="0" w:space="0" w:color="auto"/>
      </w:divBdr>
    </w:div>
    <w:div w:id="1368986669">
      <w:bodyDiv w:val="1"/>
      <w:marLeft w:val="0"/>
      <w:marRight w:val="0"/>
      <w:marTop w:val="0"/>
      <w:marBottom w:val="0"/>
      <w:divBdr>
        <w:top w:val="none" w:sz="0" w:space="0" w:color="auto"/>
        <w:left w:val="none" w:sz="0" w:space="0" w:color="auto"/>
        <w:bottom w:val="none" w:sz="0" w:space="0" w:color="auto"/>
        <w:right w:val="none" w:sz="0" w:space="0" w:color="auto"/>
      </w:divBdr>
    </w:div>
    <w:div w:id="1418091114">
      <w:bodyDiv w:val="1"/>
      <w:marLeft w:val="0"/>
      <w:marRight w:val="0"/>
      <w:marTop w:val="0"/>
      <w:marBottom w:val="0"/>
      <w:divBdr>
        <w:top w:val="none" w:sz="0" w:space="0" w:color="auto"/>
        <w:left w:val="none" w:sz="0" w:space="0" w:color="auto"/>
        <w:bottom w:val="none" w:sz="0" w:space="0" w:color="auto"/>
        <w:right w:val="none" w:sz="0" w:space="0" w:color="auto"/>
      </w:divBdr>
    </w:div>
    <w:div w:id="1478955361">
      <w:bodyDiv w:val="1"/>
      <w:marLeft w:val="0"/>
      <w:marRight w:val="0"/>
      <w:marTop w:val="0"/>
      <w:marBottom w:val="0"/>
      <w:divBdr>
        <w:top w:val="none" w:sz="0" w:space="0" w:color="auto"/>
        <w:left w:val="none" w:sz="0" w:space="0" w:color="auto"/>
        <w:bottom w:val="none" w:sz="0" w:space="0" w:color="auto"/>
        <w:right w:val="none" w:sz="0" w:space="0" w:color="auto"/>
      </w:divBdr>
    </w:div>
    <w:div w:id="1498304140">
      <w:bodyDiv w:val="1"/>
      <w:marLeft w:val="0"/>
      <w:marRight w:val="0"/>
      <w:marTop w:val="0"/>
      <w:marBottom w:val="0"/>
      <w:divBdr>
        <w:top w:val="none" w:sz="0" w:space="0" w:color="auto"/>
        <w:left w:val="none" w:sz="0" w:space="0" w:color="auto"/>
        <w:bottom w:val="none" w:sz="0" w:space="0" w:color="auto"/>
        <w:right w:val="none" w:sz="0" w:space="0" w:color="auto"/>
      </w:divBdr>
    </w:div>
    <w:div w:id="1498308366">
      <w:bodyDiv w:val="1"/>
      <w:marLeft w:val="0"/>
      <w:marRight w:val="0"/>
      <w:marTop w:val="0"/>
      <w:marBottom w:val="0"/>
      <w:divBdr>
        <w:top w:val="none" w:sz="0" w:space="0" w:color="auto"/>
        <w:left w:val="none" w:sz="0" w:space="0" w:color="auto"/>
        <w:bottom w:val="none" w:sz="0" w:space="0" w:color="auto"/>
        <w:right w:val="none" w:sz="0" w:space="0" w:color="auto"/>
      </w:divBdr>
    </w:div>
    <w:div w:id="1499493674">
      <w:bodyDiv w:val="1"/>
      <w:marLeft w:val="0"/>
      <w:marRight w:val="0"/>
      <w:marTop w:val="0"/>
      <w:marBottom w:val="0"/>
      <w:divBdr>
        <w:top w:val="none" w:sz="0" w:space="0" w:color="auto"/>
        <w:left w:val="none" w:sz="0" w:space="0" w:color="auto"/>
        <w:bottom w:val="none" w:sz="0" w:space="0" w:color="auto"/>
        <w:right w:val="none" w:sz="0" w:space="0" w:color="auto"/>
      </w:divBdr>
    </w:div>
    <w:div w:id="1518350041">
      <w:bodyDiv w:val="1"/>
      <w:marLeft w:val="0"/>
      <w:marRight w:val="0"/>
      <w:marTop w:val="0"/>
      <w:marBottom w:val="0"/>
      <w:divBdr>
        <w:top w:val="none" w:sz="0" w:space="0" w:color="auto"/>
        <w:left w:val="none" w:sz="0" w:space="0" w:color="auto"/>
        <w:bottom w:val="none" w:sz="0" w:space="0" w:color="auto"/>
        <w:right w:val="none" w:sz="0" w:space="0" w:color="auto"/>
      </w:divBdr>
    </w:div>
    <w:div w:id="1536191684">
      <w:bodyDiv w:val="1"/>
      <w:marLeft w:val="0"/>
      <w:marRight w:val="0"/>
      <w:marTop w:val="0"/>
      <w:marBottom w:val="0"/>
      <w:divBdr>
        <w:top w:val="none" w:sz="0" w:space="0" w:color="auto"/>
        <w:left w:val="none" w:sz="0" w:space="0" w:color="auto"/>
        <w:bottom w:val="none" w:sz="0" w:space="0" w:color="auto"/>
        <w:right w:val="none" w:sz="0" w:space="0" w:color="auto"/>
      </w:divBdr>
    </w:div>
    <w:div w:id="1548760637">
      <w:bodyDiv w:val="1"/>
      <w:marLeft w:val="0"/>
      <w:marRight w:val="0"/>
      <w:marTop w:val="0"/>
      <w:marBottom w:val="0"/>
      <w:divBdr>
        <w:top w:val="none" w:sz="0" w:space="0" w:color="auto"/>
        <w:left w:val="none" w:sz="0" w:space="0" w:color="auto"/>
        <w:bottom w:val="none" w:sz="0" w:space="0" w:color="auto"/>
        <w:right w:val="none" w:sz="0" w:space="0" w:color="auto"/>
      </w:divBdr>
    </w:div>
    <w:div w:id="1614480633">
      <w:bodyDiv w:val="1"/>
      <w:marLeft w:val="0"/>
      <w:marRight w:val="0"/>
      <w:marTop w:val="0"/>
      <w:marBottom w:val="0"/>
      <w:divBdr>
        <w:top w:val="none" w:sz="0" w:space="0" w:color="auto"/>
        <w:left w:val="none" w:sz="0" w:space="0" w:color="auto"/>
        <w:bottom w:val="none" w:sz="0" w:space="0" w:color="auto"/>
        <w:right w:val="none" w:sz="0" w:space="0" w:color="auto"/>
      </w:divBdr>
    </w:div>
    <w:div w:id="1650790656">
      <w:bodyDiv w:val="1"/>
      <w:marLeft w:val="0"/>
      <w:marRight w:val="0"/>
      <w:marTop w:val="0"/>
      <w:marBottom w:val="0"/>
      <w:divBdr>
        <w:top w:val="none" w:sz="0" w:space="0" w:color="auto"/>
        <w:left w:val="none" w:sz="0" w:space="0" w:color="auto"/>
        <w:bottom w:val="none" w:sz="0" w:space="0" w:color="auto"/>
        <w:right w:val="none" w:sz="0" w:space="0" w:color="auto"/>
      </w:divBdr>
    </w:div>
    <w:div w:id="1672950411">
      <w:bodyDiv w:val="1"/>
      <w:marLeft w:val="0"/>
      <w:marRight w:val="0"/>
      <w:marTop w:val="0"/>
      <w:marBottom w:val="0"/>
      <w:divBdr>
        <w:top w:val="none" w:sz="0" w:space="0" w:color="auto"/>
        <w:left w:val="none" w:sz="0" w:space="0" w:color="auto"/>
        <w:bottom w:val="none" w:sz="0" w:space="0" w:color="auto"/>
        <w:right w:val="none" w:sz="0" w:space="0" w:color="auto"/>
      </w:divBdr>
    </w:div>
    <w:div w:id="1683584805">
      <w:bodyDiv w:val="1"/>
      <w:marLeft w:val="0"/>
      <w:marRight w:val="0"/>
      <w:marTop w:val="0"/>
      <w:marBottom w:val="0"/>
      <w:divBdr>
        <w:top w:val="none" w:sz="0" w:space="0" w:color="auto"/>
        <w:left w:val="none" w:sz="0" w:space="0" w:color="auto"/>
        <w:bottom w:val="none" w:sz="0" w:space="0" w:color="auto"/>
        <w:right w:val="none" w:sz="0" w:space="0" w:color="auto"/>
      </w:divBdr>
    </w:div>
    <w:div w:id="1694106970">
      <w:bodyDiv w:val="1"/>
      <w:marLeft w:val="0"/>
      <w:marRight w:val="0"/>
      <w:marTop w:val="0"/>
      <w:marBottom w:val="0"/>
      <w:divBdr>
        <w:top w:val="none" w:sz="0" w:space="0" w:color="auto"/>
        <w:left w:val="none" w:sz="0" w:space="0" w:color="auto"/>
        <w:bottom w:val="none" w:sz="0" w:space="0" w:color="auto"/>
        <w:right w:val="none" w:sz="0" w:space="0" w:color="auto"/>
      </w:divBdr>
    </w:div>
    <w:div w:id="1715344192">
      <w:bodyDiv w:val="1"/>
      <w:marLeft w:val="0"/>
      <w:marRight w:val="0"/>
      <w:marTop w:val="0"/>
      <w:marBottom w:val="0"/>
      <w:divBdr>
        <w:top w:val="none" w:sz="0" w:space="0" w:color="auto"/>
        <w:left w:val="none" w:sz="0" w:space="0" w:color="auto"/>
        <w:bottom w:val="none" w:sz="0" w:space="0" w:color="auto"/>
        <w:right w:val="none" w:sz="0" w:space="0" w:color="auto"/>
      </w:divBdr>
    </w:div>
    <w:div w:id="1824546592">
      <w:bodyDiv w:val="1"/>
      <w:marLeft w:val="0"/>
      <w:marRight w:val="0"/>
      <w:marTop w:val="0"/>
      <w:marBottom w:val="0"/>
      <w:divBdr>
        <w:top w:val="none" w:sz="0" w:space="0" w:color="auto"/>
        <w:left w:val="none" w:sz="0" w:space="0" w:color="auto"/>
        <w:bottom w:val="none" w:sz="0" w:space="0" w:color="auto"/>
        <w:right w:val="none" w:sz="0" w:space="0" w:color="auto"/>
      </w:divBdr>
    </w:div>
    <w:div w:id="1848522297">
      <w:bodyDiv w:val="1"/>
      <w:marLeft w:val="0"/>
      <w:marRight w:val="0"/>
      <w:marTop w:val="0"/>
      <w:marBottom w:val="0"/>
      <w:divBdr>
        <w:top w:val="none" w:sz="0" w:space="0" w:color="auto"/>
        <w:left w:val="none" w:sz="0" w:space="0" w:color="auto"/>
        <w:bottom w:val="none" w:sz="0" w:space="0" w:color="auto"/>
        <w:right w:val="none" w:sz="0" w:space="0" w:color="auto"/>
      </w:divBdr>
    </w:div>
    <w:div w:id="1868909426">
      <w:bodyDiv w:val="1"/>
      <w:marLeft w:val="0"/>
      <w:marRight w:val="0"/>
      <w:marTop w:val="0"/>
      <w:marBottom w:val="0"/>
      <w:divBdr>
        <w:top w:val="none" w:sz="0" w:space="0" w:color="auto"/>
        <w:left w:val="none" w:sz="0" w:space="0" w:color="auto"/>
        <w:bottom w:val="none" w:sz="0" w:space="0" w:color="auto"/>
        <w:right w:val="none" w:sz="0" w:space="0" w:color="auto"/>
      </w:divBdr>
    </w:div>
    <w:div w:id="1881474019">
      <w:bodyDiv w:val="1"/>
      <w:marLeft w:val="0"/>
      <w:marRight w:val="0"/>
      <w:marTop w:val="0"/>
      <w:marBottom w:val="0"/>
      <w:divBdr>
        <w:top w:val="none" w:sz="0" w:space="0" w:color="auto"/>
        <w:left w:val="none" w:sz="0" w:space="0" w:color="auto"/>
        <w:bottom w:val="none" w:sz="0" w:space="0" w:color="auto"/>
        <w:right w:val="none" w:sz="0" w:space="0" w:color="auto"/>
      </w:divBdr>
    </w:div>
    <w:div w:id="1914772677">
      <w:bodyDiv w:val="1"/>
      <w:marLeft w:val="0"/>
      <w:marRight w:val="0"/>
      <w:marTop w:val="0"/>
      <w:marBottom w:val="0"/>
      <w:divBdr>
        <w:top w:val="none" w:sz="0" w:space="0" w:color="auto"/>
        <w:left w:val="none" w:sz="0" w:space="0" w:color="auto"/>
        <w:bottom w:val="none" w:sz="0" w:space="0" w:color="auto"/>
        <w:right w:val="none" w:sz="0" w:space="0" w:color="auto"/>
      </w:divBdr>
    </w:div>
    <w:div w:id="1938756135">
      <w:bodyDiv w:val="1"/>
      <w:marLeft w:val="0"/>
      <w:marRight w:val="0"/>
      <w:marTop w:val="0"/>
      <w:marBottom w:val="0"/>
      <w:divBdr>
        <w:top w:val="none" w:sz="0" w:space="0" w:color="auto"/>
        <w:left w:val="none" w:sz="0" w:space="0" w:color="auto"/>
        <w:bottom w:val="none" w:sz="0" w:space="0" w:color="auto"/>
        <w:right w:val="none" w:sz="0" w:space="0" w:color="auto"/>
      </w:divBdr>
    </w:div>
    <w:div w:id="1976182225">
      <w:bodyDiv w:val="1"/>
      <w:marLeft w:val="0"/>
      <w:marRight w:val="0"/>
      <w:marTop w:val="0"/>
      <w:marBottom w:val="0"/>
      <w:divBdr>
        <w:top w:val="none" w:sz="0" w:space="0" w:color="auto"/>
        <w:left w:val="none" w:sz="0" w:space="0" w:color="auto"/>
        <w:bottom w:val="none" w:sz="0" w:space="0" w:color="auto"/>
        <w:right w:val="none" w:sz="0" w:space="0" w:color="auto"/>
      </w:divBdr>
    </w:div>
    <w:div w:id="2116174320">
      <w:bodyDiv w:val="1"/>
      <w:marLeft w:val="0"/>
      <w:marRight w:val="0"/>
      <w:marTop w:val="0"/>
      <w:marBottom w:val="0"/>
      <w:divBdr>
        <w:top w:val="none" w:sz="0" w:space="0" w:color="auto"/>
        <w:left w:val="none" w:sz="0" w:space="0" w:color="auto"/>
        <w:bottom w:val="none" w:sz="0" w:space="0" w:color="auto"/>
        <w:right w:val="none" w:sz="0" w:space="0" w:color="auto"/>
      </w:divBdr>
    </w:div>
    <w:div w:id="2126342690">
      <w:bodyDiv w:val="1"/>
      <w:marLeft w:val="0"/>
      <w:marRight w:val="0"/>
      <w:marTop w:val="0"/>
      <w:marBottom w:val="0"/>
      <w:divBdr>
        <w:top w:val="none" w:sz="0" w:space="0" w:color="auto"/>
        <w:left w:val="none" w:sz="0" w:space="0" w:color="auto"/>
        <w:bottom w:val="none" w:sz="0" w:space="0" w:color="auto"/>
        <w:right w:val="none" w:sz="0" w:space="0" w:color="auto"/>
      </w:divBdr>
    </w:div>
    <w:div w:id="21307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jfineco.2017.06.01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455AF1-93A1-4D22-8986-79D7DCD0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43</Pages>
  <Words>13841</Words>
  <Characters>78896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Hedge Fund Performance Attribution at Strategy level within Various Market Conditions</vt:lpstr>
    </vt:vector>
  </TitlesOfParts>
  <Company>Hedge Fund Performance - Strategy Level Empirical Chapter 1 of 3</Company>
  <LinksUpToDate>false</LinksUpToDate>
  <CharactersWithSpaces>92552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Hedge Fund Performance Attribution at Strategy level within Various Market Conditions</dc:title>
  <dc:subject>Empirical Paper One</dc:subject>
  <dc:creator>Dimitrios Stafylas</dc:creator>
  <cp:keywords/>
  <dc:description/>
  <cp:lastModifiedBy>Keith Anderson</cp:lastModifiedBy>
  <cp:revision>11</cp:revision>
  <cp:lastPrinted>2016-02-26T16:13:00Z</cp:lastPrinted>
  <dcterms:created xsi:type="dcterms:W3CDTF">2018-01-04T16:53:00Z</dcterms:created>
  <dcterms:modified xsi:type="dcterms:W3CDTF">2018-01-08T14:37:00Z</dcterms:modified>
</cp:coreProperties>
</file>