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C99B5" w14:textId="77777777" w:rsidR="00C61F01" w:rsidRPr="00256297" w:rsidRDefault="00C61F01" w:rsidP="00C61F01">
      <w:pPr>
        <w:pStyle w:val="Heading1"/>
        <w:rPr>
          <w:b/>
          <w:sz w:val="40"/>
          <w:szCs w:val="40"/>
        </w:rPr>
      </w:pPr>
      <w:r w:rsidRPr="00256297">
        <w:rPr>
          <w:b/>
          <w:sz w:val="40"/>
          <w:szCs w:val="40"/>
        </w:rPr>
        <w:t>A mediation analysis of treatment processes in the UK Alcohol Treatment Trial</w:t>
      </w:r>
    </w:p>
    <w:p w14:paraId="44419CFB" w14:textId="77777777" w:rsidR="00C61F01" w:rsidRDefault="00C61F01" w:rsidP="00C61F01">
      <w:pPr>
        <w:pStyle w:val="Table"/>
      </w:pPr>
    </w:p>
    <w:p w14:paraId="24301610" w14:textId="77777777" w:rsidR="00C61F01" w:rsidRPr="00864FEF" w:rsidRDefault="00C61F01" w:rsidP="00C61F01">
      <w:pPr>
        <w:pStyle w:val="Table"/>
      </w:pPr>
      <w:r w:rsidRPr="00864FEF">
        <w:t>Jacques Gaume, Nick Heather, Gillian Tober, Jim McCambridge, in collaboration with the UKATT Research Team</w:t>
      </w:r>
    </w:p>
    <w:p w14:paraId="63CB2539" w14:textId="77777777" w:rsidR="00C61F01" w:rsidRPr="00864FEF" w:rsidRDefault="00C61F01" w:rsidP="00C61F01">
      <w:pPr>
        <w:pStyle w:val="Table"/>
      </w:pPr>
    </w:p>
    <w:p w14:paraId="035FEB81" w14:textId="77777777" w:rsidR="00C61F01" w:rsidRPr="00864FEF" w:rsidRDefault="00C61F01" w:rsidP="00C61F01">
      <w:pPr>
        <w:pStyle w:val="Table"/>
      </w:pPr>
    </w:p>
    <w:p w14:paraId="11DA67A4" w14:textId="77777777" w:rsidR="00C61F01" w:rsidRPr="00B23F06" w:rsidRDefault="00C61F01" w:rsidP="00C61F01">
      <w:pPr>
        <w:pStyle w:val="Table"/>
        <w:rPr>
          <w:sz w:val="22"/>
          <w:szCs w:val="22"/>
        </w:rPr>
      </w:pPr>
      <w:r w:rsidRPr="00B23F06">
        <w:rPr>
          <w:sz w:val="22"/>
          <w:szCs w:val="22"/>
        </w:rPr>
        <w:t xml:space="preserve">Jacques Gaume, PhD (corresponding author), Alcohol Treatment Centre, Lausanne University Hospital, Avenue de Beaumont 21bis, Batiment P2, 1011 Lausanne, Switzerland, Tel +41 21 314 73 53, Fax +41 21 314 05 62, </w:t>
      </w:r>
      <w:hyperlink r:id="rId11" w:history="1">
        <w:r w:rsidRPr="00B23F06">
          <w:rPr>
            <w:sz w:val="22"/>
            <w:szCs w:val="22"/>
          </w:rPr>
          <w:t>jacques.gaume@chuv.ch</w:t>
        </w:r>
      </w:hyperlink>
      <w:r w:rsidRPr="00B23F06">
        <w:rPr>
          <w:sz w:val="22"/>
          <w:szCs w:val="22"/>
        </w:rPr>
        <w:t>.</w:t>
      </w:r>
    </w:p>
    <w:p w14:paraId="02C6C5C4" w14:textId="77777777" w:rsidR="00C61F01" w:rsidRPr="00B23F06" w:rsidRDefault="00C61F01" w:rsidP="00C61F01">
      <w:pPr>
        <w:pStyle w:val="Table"/>
        <w:rPr>
          <w:sz w:val="22"/>
          <w:szCs w:val="22"/>
        </w:rPr>
      </w:pPr>
    </w:p>
    <w:p w14:paraId="1E9D92BF" w14:textId="77777777" w:rsidR="00C61F01" w:rsidRPr="00B23F06" w:rsidRDefault="00C61F01" w:rsidP="00C61F01">
      <w:pPr>
        <w:pStyle w:val="Table"/>
        <w:rPr>
          <w:sz w:val="22"/>
          <w:szCs w:val="22"/>
        </w:rPr>
      </w:pPr>
      <w:r w:rsidRPr="00B23F06">
        <w:rPr>
          <w:sz w:val="22"/>
          <w:szCs w:val="22"/>
        </w:rPr>
        <w:t xml:space="preserve">Nick Heather, PhD, Department of Psychology, Northumbria University, 8 Roseworth Terrace, Gosforth, Newcastle upon Tyne, NE3 1LU, UK, Tel +44 191 284 7302, </w:t>
      </w:r>
      <w:hyperlink r:id="rId12" w:history="1">
        <w:r w:rsidRPr="00B23F06">
          <w:rPr>
            <w:sz w:val="22"/>
            <w:szCs w:val="22"/>
          </w:rPr>
          <w:t>nick.heather@northumbria.ac.uk</w:t>
        </w:r>
      </w:hyperlink>
      <w:r w:rsidRPr="00B23F06">
        <w:rPr>
          <w:sz w:val="22"/>
          <w:szCs w:val="22"/>
        </w:rPr>
        <w:t>.</w:t>
      </w:r>
    </w:p>
    <w:p w14:paraId="1E13791D" w14:textId="77777777" w:rsidR="00C61F01" w:rsidRPr="00B23F06" w:rsidRDefault="00C61F01" w:rsidP="00C61F01">
      <w:pPr>
        <w:pStyle w:val="Table"/>
        <w:rPr>
          <w:sz w:val="22"/>
          <w:szCs w:val="22"/>
        </w:rPr>
      </w:pPr>
    </w:p>
    <w:p w14:paraId="6C1A2234" w14:textId="77777777" w:rsidR="00C61F01" w:rsidRPr="00B23F06" w:rsidRDefault="00C61F01" w:rsidP="00C61F01">
      <w:pPr>
        <w:pStyle w:val="Table"/>
        <w:rPr>
          <w:sz w:val="22"/>
          <w:szCs w:val="22"/>
        </w:rPr>
      </w:pPr>
      <w:r w:rsidRPr="00B23F06">
        <w:rPr>
          <w:sz w:val="22"/>
          <w:szCs w:val="22"/>
        </w:rPr>
        <w:t xml:space="preserve">Gillian Tober, PhD, Leeds Addiction Unit, 19 Springfield Mount, Leeds, LS2 9NG, UK, Tel +44 113 855 9591, </w:t>
      </w:r>
      <w:hyperlink r:id="rId13" w:history="1">
        <w:r w:rsidRPr="00B23F06">
          <w:rPr>
            <w:sz w:val="22"/>
            <w:szCs w:val="22"/>
          </w:rPr>
          <w:t>gilliantober@yahoo.co.uk</w:t>
        </w:r>
      </w:hyperlink>
      <w:r w:rsidRPr="00B23F06">
        <w:rPr>
          <w:sz w:val="22"/>
          <w:szCs w:val="22"/>
        </w:rPr>
        <w:t>.</w:t>
      </w:r>
    </w:p>
    <w:p w14:paraId="419F0878" w14:textId="77777777" w:rsidR="00C61F01" w:rsidRPr="00B23F06" w:rsidRDefault="00C61F01" w:rsidP="00C61F01">
      <w:pPr>
        <w:pStyle w:val="Table"/>
        <w:rPr>
          <w:sz w:val="22"/>
          <w:szCs w:val="22"/>
        </w:rPr>
      </w:pPr>
    </w:p>
    <w:p w14:paraId="0D14CCDF" w14:textId="77777777" w:rsidR="00C61F01" w:rsidRPr="00B23F06" w:rsidRDefault="00C61F01" w:rsidP="00C61F01">
      <w:pPr>
        <w:pStyle w:val="Table"/>
        <w:rPr>
          <w:sz w:val="22"/>
          <w:szCs w:val="22"/>
        </w:rPr>
      </w:pPr>
      <w:r w:rsidRPr="00B23F06">
        <w:rPr>
          <w:sz w:val="22"/>
          <w:szCs w:val="22"/>
        </w:rPr>
        <w:t>Jim McCambridge, PhD, Department of Health Sciences, University of York, Seebohm Rowntree Building, Heslington, York, YO10 5DD, UK, Tel +44 190 432 1667, jim.mccambridge@york.ac.uk.</w:t>
      </w:r>
    </w:p>
    <w:p w14:paraId="7204425A" w14:textId="77777777" w:rsidR="00C61F01" w:rsidRDefault="00C61F01" w:rsidP="00C61F01">
      <w:pPr>
        <w:pStyle w:val="Table"/>
      </w:pPr>
    </w:p>
    <w:p w14:paraId="28727181" w14:textId="51248EF4" w:rsidR="00C61F01" w:rsidRDefault="00C61F01" w:rsidP="00C61F01">
      <w:pPr>
        <w:pStyle w:val="Table"/>
      </w:pPr>
    </w:p>
    <w:p w14:paraId="65F9661F" w14:textId="77777777" w:rsidR="002C3320" w:rsidRDefault="002C3320" w:rsidP="003877B7">
      <w:pPr>
        <w:pStyle w:val="Table"/>
      </w:pPr>
      <w:r>
        <w:t>Accepted for publication</w:t>
      </w:r>
      <w:r w:rsidRPr="00C33339">
        <w:t xml:space="preserve"> </w:t>
      </w:r>
      <w:r>
        <w:t>in</w:t>
      </w:r>
      <w:r w:rsidR="00C61F01" w:rsidRPr="00C33339">
        <w:t xml:space="preserve"> the Journal of Consulting and Clinical Psychology</w:t>
      </w:r>
    </w:p>
    <w:p w14:paraId="004BF1AD" w14:textId="108F5696" w:rsidR="00C33339" w:rsidRPr="00C33339" w:rsidRDefault="00C61F01" w:rsidP="003877B7">
      <w:pPr>
        <w:pStyle w:val="Table"/>
      </w:pPr>
      <w:r>
        <w:t xml:space="preserve">January 2018. </w:t>
      </w:r>
      <w:r w:rsidR="00C33339" w:rsidRPr="00C33339">
        <w:br w:type="page"/>
      </w:r>
    </w:p>
    <w:p w14:paraId="7C8321A2" w14:textId="77777777" w:rsidR="00682FBE" w:rsidRPr="00256297" w:rsidRDefault="00682FBE" w:rsidP="00256297">
      <w:pPr>
        <w:pStyle w:val="Heading2"/>
      </w:pPr>
      <w:r w:rsidRPr="00256297">
        <w:lastRenderedPageBreak/>
        <w:t>Abstract</w:t>
      </w:r>
    </w:p>
    <w:p w14:paraId="4DAE2F00" w14:textId="77777777" w:rsidR="00682FBE" w:rsidRDefault="00682FBE" w:rsidP="00F14D31">
      <w:pPr>
        <w:rPr>
          <w:rFonts w:ascii="Times New Roman" w:hAnsi="Times New Roman" w:cs="Times New Roman"/>
          <w:sz w:val="24"/>
          <w:szCs w:val="24"/>
        </w:rPr>
      </w:pPr>
      <w:r w:rsidRPr="00B44233">
        <w:rPr>
          <w:rFonts w:ascii="Times New Roman" w:hAnsi="Times New Roman" w:cs="Times New Roman"/>
          <w:b/>
          <w:i/>
          <w:sz w:val="24"/>
          <w:szCs w:val="24"/>
        </w:rPr>
        <w:t>Objective</w:t>
      </w:r>
      <w:r w:rsidR="00481439">
        <w:rPr>
          <w:rFonts w:ascii="Times New Roman" w:hAnsi="Times New Roman" w:cs="Times New Roman"/>
          <w:i/>
          <w:sz w:val="24"/>
          <w:szCs w:val="24"/>
        </w:rPr>
        <w:t>:</w:t>
      </w:r>
      <w:r w:rsidRPr="00C33339">
        <w:rPr>
          <w:rFonts w:ascii="Times New Roman" w:hAnsi="Times New Roman" w:cs="Times New Roman"/>
          <w:sz w:val="24"/>
          <w:szCs w:val="24"/>
        </w:rPr>
        <w:t xml:space="preserve"> To determine </w:t>
      </w:r>
      <w:r w:rsidR="00E862A6">
        <w:rPr>
          <w:rFonts w:ascii="Times New Roman" w:hAnsi="Times New Roman" w:cs="Times New Roman"/>
          <w:sz w:val="24"/>
          <w:szCs w:val="24"/>
        </w:rPr>
        <w:t xml:space="preserve">whether treatment outcomes are </w:t>
      </w:r>
      <w:r w:rsidR="00E862A6" w:rsidRPr="00C33339">
        <w:rPr>
          <w:rFonts w:ascii="Times New Roman" w:hAnsi="Times New Roman" w:cs="Times New Roman"/>
          <w:sz w:val="24"/>
          <w:szCs w:val="24"/>
        </w:rPr>
        <w:t xml:space="preserve">mediated by therapist </w:t>
      </w:r>
      <w:r w:rsidR="00F663EE" w:rsidRPr="00C33339">
        <w:rPr>
          <w:rFonts w:ascii="Times New Roman" w:hAnsi="Times New Roman" w:cs="Times New Roman"/>
          <w:sz w:val="24"/>
          <w:szCs w:val="24"/>
        </w:rPr>
        <w:t>behaviors</w:t>
      </w:r>
      <w:r w:rsidR="00E862A6" w:rsidRPr="00C33339">
        <w:rPr>
          <w:rFonts w:ascii="Times New Roman" w:hAnsi="Times New Roman" w:cs="Times New Roman"/>
          <w:sz w:val="24"/>
          <w:szCs w:val="24"/>
        </w:rPr>
        <w:t xml:space="preserve"> consistent with the theoretical postulates on </w:t>
      </w:r>
      <w:r w:rsidR="00E862A6">
        <w:rPr>
          <w:rFonts w:ascii="Times New Roman" w:hAnsi="Times New Roman" w:cs="Times New Roman"/>
          <w:sz w:val="24"/>
          <w:szCs w:val="24"/>
        </w:rPr>
        <w:t xml:space="preserve">which </w:t>
      </w:r>
      <w:r w:rsidR="00E862A6" w:rsidRPr="00C33339">
        <w:rPr>
          <w:rFonts w:ascii="Times New Roman" w:hAnsi="Times New Roman" w:cs="Times New Roman"/>
          <w:sz w:val="24"/>
          <w:szCs w:val="24"/>
        </w:rPr>
        <w:t xml:space="preserve">two </w:t>
      </w:r>
      <w:r w:rsidR="00E862A6">
        <w:rPr>
          <w:rFonts w:ascii="Times New Roman" w:hAnsi="Times New Roman" w:cs="Times New Roman"/>
          <w:sz w:val="24"/>
          <w:szCs w:val="24"/>
        </w:rPr>
        <w:t xml:space="preserve">contrasting treatments are </w:t>
      </w:r>
      <w:r w:rsidR="00E862A6" w:rsidRPr="00C33339">
        <w:rPr>
          <w:rFonts w:ascii="Times New Roman" w:hAnsi="Times New Roman" w:cs="Times New Roman"/>
          <w:sz w:val="24"/>
          <w:szCs w:val="24"/>
        </w:rPr>
        <w:t>based</w:t>
      </w:r>
      <w:r w:rsidR="00AC5AF1">
        <w:rPr>
          <w:rFonts w:ascii="Times New Roman" w:hAnsi="Times New Roman" w:cs="Times New Roman"/>
          <w:sz w:val="24"/>
          <w:szCs w:val="24"/>
        </w:rPr>
        <w:t>.</w:t>
      </w:r>
      <w:r w:rsidRPr="00C33339">
        <w:rPr>
          <w:rFonts w:ascii="Times New Roman" w:hAnsi="Times New Roman" w:cs="Times New Roman"/>
          <w:i/>
          <w:sz w:val="24"/>
          <w:szCs w:val="24"/>
        </w:rPr>
        <w:t xml:space="preserve"> </w:t>
      </w:r>
      <w:r w:rsidR="00256297">
        <w:rPr>
          <w:rFonts w:ascii="Times New Roman" w:hAnsi="Times New Roman" w:cs="Times New Roman"/>
          <w:i/>
          <w:sz w:val="24"/>
          <w:szCs w:val="24"/>
        </w:rPr>
        <w:t xml:space="preserve"> </w:t>
      </w:r>
      <w:r w:rsidRPr="00B44233">
        <w:rPr>
          <w:rFonts w:ascii="Times New Roman" w:hAnsi="Times New Roman" w:cs="Times New Roman"/>
          <w:b/>
          <w:i/>
          <w:sz w:val="24"/>
          <w:szCs w:val="24"/>
        </w:rPr>
        <w:t>Method</w:t>
      </w:r>
      <w:r w:rsidR="00481439">
        <w:rPr>
          <w:rFonts w:ascii="Times New Roman" w:hAnsi="Times New Roman" w:cs="Times New Roman"/>
          <w:i/>
          <w:sz w:val="24"/>
          <w:szCs w:val="24"/>
        </w:rPr>
        <w:t>:</w:t>
      </w:r>
      <w:r w:rsidRPr="00C33339">
        <w:rPr>
          <w:rFonts w:ascii="Times New Roman" w:hAnsi="Times New Roman" w:cs="Times New Roman"/>
          <w:sz w:val="24"/>
          <w:szCs w:val="24"/>
        </w:rPr>
        <w:t xml:space="preserve"> </w:t>
      </w:r>
      <w:r w:rsidR="00F14D31">
        <w:rPr>
          <w:rFonts w:ascii="Times New Roman" w:hAnsi="Times New Roman" w:cs="Times New Roman"/>
          <w:sz w:val="24"/>
          <w:szCs w:val="24"/>
        </w:rPr>
        <w:t xml:space="preserve">We </w:t>
      </w:r>
      <w:r w:rsidR="00F14D31" w:rsidRPr="00F14D31">
        <w:rPr>
          <w:rFonts w:ascii="Times New Roman" w:hAnsi="Times New Roman" w:cs="Times New Roman"/>
          <w:sz w:val="24"/>
          <w:szCs w:val="24"/>
        </w:rPr>
        <w:t>used data from the UK Alcohol Treatment Trial (UKATT), a pragmatic</w:t>
      </w:r>
      <w:r w:rsidR="00AD6AF7">
        <w:rPr>
          <w:rFonts w:ascii="Times New Roman" w:hAnsi="Times New Roman" w:cs="Times New Roman"/>
          <w:sz w:val="24"/>
          <w:szCs w:val="24"/>
        </w:rPr>
        <w:t>, multi-</w:t>
      </w:r>
      <w:r w:rsidR="00F663EE">
        <w:rPr>
          <w:rFonts w:ascii="Times New Roman" w:hAnsi="Times New Roman" w:cs="Times New Roman"/>
          <w:sz w:val="24"/>
          <w:szCs w:val="24"/>
        </w:rPr>
        <w:t>center</w:t>
      </w:r>
      <w:r w:rsidR="00AD6AF7">
        <w:rPr>
          <w:rFonts w:ascii="Times New Roman" w:hAnsi="Times New Roman" w:cs="Times New Roman"/>
          <w:sz w:val="24"/>
          <w:szCs w:val="24"/>
        </w:rPr>
        <w:t>,</w:t>
      </w:r>
      <w:r w:rsidR="00F14D31" w:rsidRPr="00F14D31">
        <w:rPr>
          <w:rFonts w:ascii="Times New Roman" w:hAnsi="Times New Roman" w:cs="Times New Roman"/>
          <w:sz w:val="24"/>
          <w:szCs w:val="24"/>
        </w:rPr>
        <w:t xml:space="preserve"> randomized controlled trial comparing the effectiveness of Motivational Enhancement Therapy (MET) and Social </w:t>
      </w:r>
      <w:r w:rsidR="00F663EE" w:rsidRPr="00F14D31">
        <w:rPr>
          <w:rFonts w:ascii="Times New Roman" w:hAnsi="Times New Roman" w:cs="Times New Roman"/>
          <w:sz w:val="24"/>
          <w:szCs w:val="24"/>
        </w:rPr>
        <w:t>Behavior</w:t>
      </w:r>
      <w:r w:rsidR="00F14D31" w:rsidRPr="00F14D31">
        <w:rPr>
          <w:rFonts w:ascii="Times New Roman" w:hAnsi="Times New Roman" w:cs="Times New Roman"/>
          <w:sz w:val="24"/>
          <w:szCs w:val="24"/>
        </w:rPr>
        <w:t xml:space="preserve"> and Network Therapy (SBNT) in the treatment of alcohol problems. </w:t>
      </w:r>
      <w:r w:rsidR="00F14D31" w:rsidRPr="00333807">
        <w:rPr>
          <w:rFonts w:ascii="Times New Roman" w:hAnsi="Times New Roman" w:cs="Times New Roman"/>
          <w:sz w:val="24"/>
          <w:szCs w:val="24"/>
        </w:rPr>
        <w:t xml:space="preserve">N=376 </w:t>
      </w:r>
      <w:r w:rsidR="00972E3F">
        <w:rPr>
          <w:rFonts w:ascii="Times New Roman" w:hAnsi="Times New Roman" w:cs="Times New Roman"/>
          <w:sz w:val="24"/>
          <w:szCs w:val="24"/>
        </w:rPr>
        <w:t>clients</w:t>
      </w:r>
      <w:r w:rsidR="0066260E">
        <w:rPr>
          <w:rFonts w:ascii="Times New Roman" w:hAnsi="Times New Roman" w:cs="Times New Roman"/>
          <w:sz w:val="24"/>
          <w:szCs w:val="24"/>
        </w:rPr>
        <w:t xml:space="preserve"> </w:t>
      </w:r>
      <w:r w:rsidR="00AD6AF7">
        <w:rPr>
          <w:rFonts w:ascii="Times New Roman" w:hAnsi="Times New Roman" w:cs="Times New Roman"/>
          <w:sz w:val="24"/>
          <w:szCs w:val="24"/>
        </w:rPr>
        <w:t xml:space="preserve">(mean age 42.5, 74.5% male) </w:t>
      </w:r>
      <w:r w:rsidR="00F14D31">
        <w:rPr>
          <w:rFonts w:ascii="Times New Roman" w:hAnsi="Times New Roman" w:cs="Times New Roman"/>
          <w:sz w:val="24"/>
          <w:szCs w:val="24"/>
        </w:rPr>
        <w:t xml:space="preserve">had </w:t>
      </w:r>
      <w:r w:rsidR="00AD6AF7" w:rsidRPr="00333807">
        <w:rPr>
          <w:rFonts w:ascii="Times New Roman" w:hAnsi="Times New Roman" w:cs="Times New Roman"/>
          <w:sz w:val="24"/>
          <w:szCs w:val="24"/>
        </w:rPr>
        <w:t>12-month</w:t>
      </w:r>
      <w:r w:rsidR="00AD6AF7">
        <w:rPr>
          <w:rFonts w:ascii="Times New Roman" w:hAnsi="Times New Roman" w:cs="Times New Roman"/>
          <w:sz w:val="24"/>
          <w:szCs w:val="24"/>
        </w:rPr>
        <w:t xml:space="preserve"> </w:t>
      </w:r>
      <w:r w:rsidR="00F14D31">
        <w:rPr>
          <w:rFonts w:ascii="Times New Roman" w:hAnsi="Times New Roman" w:cs="Times New Roman"/>
          <w:sz w:val="24"/>
          <w:szCs w:val="24"/>
        </w:rPr>
        <w:t>follow</w:t>
      </w:r>
      <w:r w:rsidR="00F14D31" w:rsidRPr="00333807">
        <w:rPr>
          <w:rFonts w:ascii="Times New Roman" w:hAnsi="Times New Roman" w:cs="Times New Roman"/>
          <w:sz w:val="24"/>
          <w:szCs w:val="24"/>
        </w:rPr>
        <w:t xml:space="preserve">-up </w:t>
      </w:r>
      <w:r w:rsidR="00F14D31">
        <w:rPr>
          <w:rFonts w:ascii="Times New Roman" w:hAnsi="Times New Roman" w:cs="Times New Roman"/>
          <w:sz w:val="24"/>
          <w:szCs w:val="24"/>
        </w:rPr>
        <w:t xml:space="preserve">data and one </w:t>
      </w:r>
      <w:r w:rsidR="00523FD6">
        <w:rPr>
          <w:rFonts w:ascii="Times New Roman" w:hAnsi="Times New Roman" w:cs="Times New Roman"/>
          <w:sz w:val="24"/>
          <w:szCs w:val="24"/>
        </w:rPr>
        <w:t xml:space="preserve">treatment </w:t>
      </w:r>
      <w:r w:rsidR="00F14D31">
        <w:rPr>
          <w:rFonts w:ascii="Times New Roman" w:hAnsi="Times New Roman" w:cs="Times New Roman"/>
          <w:sz w:val="24"/>
          <w:szCs w:val="24"/>
        </w:rPr>
        <w:t xml:space="preserve">session </w:t>
      </w:r>
      <w:r w:rsidR="00F14D31" w:rsidRPr="00F14D31">
        <w:rPr>
          <w:rFonts w:ascii="Times New Roman" w:hAnsi="Times New Roman" w:cs="Times New Roman"/>
          <w:sz w:val="24"/>
          <w:szCs w:val="24"/>
        </w:rPr>
        <w:t>recorded and coded using</w:t>
      </w:r>
      <w:r w:rsidR="00F14D31">
        <w:rPr>
          <w:rFonts w:ascii="Times New Roman" w:hAnsi="Times New Roman" w:cs="Times New Roman"/>
          <w:sz w:val="24"/>
          <w:szCs w:val="24"/>
        </w:rPr>
        <w:t xml:space="preserve"> the UKATT Process Rating Scale, </w:t>
      </w:r>
      <w:r w:rsidR="00F14D31" w:rsidRPr="00F14D31">
        <w:rPr>
          <w:rFonts w:ascii="Times New Roman" w:hAnsi="Times New Roman" w:cs="Times New Roman"/>
          <w:sz w:val="24"/>
          <w:szCs w:val="24"/>
        </w:rPr>
        <w:t xml:space="preserve">a reliable manual-based </w:t>
      </w:r>
      <w:r w:rsidR="00F14D31">
        <w:rPr>
          <w:rFonts w:ascii="Times New Roman" w:hAnsi="Times New Roman" w:cs="Times New Roman"/>
          <w:sz w:val="24"/>
          <w:szCs w:val="24"/>
        </w:rPr>
        <w:t>assessment of</w:t>
      </w:r>
      <w:r w:rsidR="00F14D31" w:rsidRPr="00F14D31">
        <w:rPr>
          <w:rFonts w:ascii="Times New Roman" w:hAnsi="Times New Roman" w:cs="Times New Roman"/>
          <w:sz w:val="24"/>
          <w:szCs w:val="24"/>
        </w:rPr>
        <w:t xml:space="preserve"> treatment fidelity including </w:t>
      </w:r>
      <w:r w:rsidR="00523FD6">
        <w:rPr>
          <w:rFonts w:ascii="Times New Roman" w:hAnsi="Times New Roman" w:cs="Times New Roman"/>
          <w:sz w:val="24"/>
          <w:szCs w:val="24"/>
        </w:rPr>
        <w:t xml:space="preserve">frequency </w:t>
      </w:r>
      <w:r w:rsidR="00523FD6" w:rsidRPr="00523FD6">
        <w:rPr>
          <w:rFonts w:ascii="Times New Roman" w:hAnsi="Times New Roman" w:cs="Times New Roman"/>
          <w:sz w:val="24"/>
          <w:szCs w:val="24"/>
        </w:rPr>
        <w:t>and quality ratings of treatment</w:t>
      </w:r>
      <w:r w:rsidR="009B53D4">
        <w:rPr>
          <w:rFonts w:ascii="Times New Roman" w:hAnsi="Times New Roman" w:cs="Times New Roman"/>
          <w:sz w:val="24"/>
          <w:szCs w:val="24"/>
        </w:rPr>
        <w:t>-</w:t>
      </w:r>
      <w:r w:rsidR="00523FD6" w:rsidRPr="00523FD6">
        <w:rPr>
          <w:rFonts w:ascii="Times New Roman" w:hAnsi="Times New Roman" w:cs="Times New Roman"/>
          <w:sz w:val="24"/>
          <w:szCs w:val="24"/>
        </w:rPr>
        <w:t>specific therapist tasks and therapist styles</w:t>
      </w:r>
      <w:r w:rsidR="00F14D31" w:rsidRPr="00F14D31">
        <w:rPr>
          <w:rFonts w:ascii="Times New Roman" w:hAnsi="Times New Roman" w:cs="Times New Roman"/>
          <w:sz w:val="24"/>
          <w:szCs w:val="24"/>
        </w:rPr>
        <w:t>. Analyses were conduct</w:t>
      </w:r>
      <w:r w:rsidR="00256297">
        <w:rPr>
          <w:rFonts w:ascii="Times New Roman" w:hAnsi="Times New Roman" w:cs="Times New Roman"/>
          <w:sz w:val="24"/>
          <w:szCs w:val="24"/>
        </w:rPr>
        <w:t>ed using a mediation framework.</w:t>
      </w:r>
      <w:r w:rsidRPr="00C33339">
        <w:rPr>
          <w:rFonts w:ascii="Times New Roman" w:hAnsi="Times New Roman" w:cs="Times New Roman"/>
          <w:sz w:val="24"/>
          <w:szCs w:val="24"/>
        </w:rPr>
        <w:t xml:space="preserve"> </w:t>
      </w:r>
      <w:r w:rsidR="00256297">
        <w:rPr>
          <w:rFonts w:ascii="Times New Roman" w:hAnsi="Times New Roman" w:cs="Times New Roman"/>
          <w:sz w:val="24"/>
          <w:szCs w:val="24"/>
        </w:rPr>
        <w:t xml:space="preserve"> </w:t>
      </w:r>
      <w:r w:rsidRPr="00B44233">
        <w:rPr>
          <w:rFonts w:ascii="Times New Roman" w:hAnsi="Times New Roman" w:cs="Times New Roman"/>
          <w:b/>
          <w:i/>
          <w:sz w:val="24"/>
          <w:szCs w:val="24"/>
        </w:rPr>
        <w:t>Results</w:t>
      </w:r>
      <w:r w:rsidR="006D27EC">
        <w:rPr>
          <w:rFonts w:ascii="Times New Roman" w:hAnsi="Times New Roman" w:cs="Times New Roman"/>
          <w:b/>
          <w:i/>
          <w:sz w:val="24"/>
          <w:szCs w:val="24"/>
        </w:rPr>
        <w:t>:</w:t>
      </w:r>
      <w:r w:rsidRPr="00C33339">
        <w:rPr>
          <w:rFonts w:ascii="Times New Roman" w:hAnsi="Times New Roman" w:cs="Times New Roman"/>
          <w:sz w:val="24"/>
          <w:szCs w:val="24"/>
        </w:rPr>
        <w:t xml:space="preserve"> </w:t>
      </w:r>
      <w:r w:rsidR="00F14D31" w:rsidRPr="00F14D31">
        <w:rPr>
          <w:rFonts w:ascii="Times New Roman" w:hAnsi="Times New Roman" w:cs="Times New Roman"/>
          <w:sz w:val="24"/>
          <w:szCs w:val="24"/>
        </w:rPr>
        <w:t xml:space="preserve">Analysis of individual paths from treatment condition to treatment process indices (a path) and from treatment process indices to alcohol outcomes (b path) showed that 1) SBNT therapists more often used SBNT-specific </w:t>
      </w:r>
      <w:r w:rsidR="00F663EE" w:rsidRPr="00F14D31">
        <w:rPr>
          <w:rFonts w:ascii="Times New Roman" w:hAnsi="Times New Roman" w:cs="Times New Roman"/>
          <w:sz w:val="24"/>
          <w:szCs w:val="24"/>
        </w:rPr>
        <w:t>behaviors</w:t>
      </w:r>
      <w:r w:rsidR="00F14D31" w:rsidRPr="00F14D31">
        <w:rPr>
          <w:rFonts w:ascii="Times New Roman" w:hAnsi="Times New Roman" w:cs="Times New Roman"/>
          <w:sz w:val="24"/>
          <w:szCs w:val="24"/>
        </w:rPr>
        <w:t xml:space="preserve">, and did so with overall higher quality; 2) MET therapists more often used MET-specific </w:t>
      </w:r>
      <w:r w:rsidR="00F663EE" w:rsidRPr="00F14D31">
        <w:rPr>
          <w:rFonts w:ascii="Times New Roman" w:hAnsi="Times New Roman" w:cs="Times New Roman"/>
          <w:sz w:val="24"/>
          <w:szCs w:val="24"/>
        </w:rPr>
        <w:t>behaviors</w:t>
      </w:r>
      <w:r w:rsidR="00F14D31" w:rsidRPr="00F14D31">
        <w:rPr>
          <w:rFonts w:ascii="Times New Roman" w:hAnsi="Times New Roman" w:cs="Times New Roman"/>
          <w:sz w:val="24"/>
          <w:szCs w:val="24"/>
        </w:rPr>
        <w:t xml:space="preserve">, but there was no evidence that they performed these </w:t>
      </w:r>
      <w:r w:rsidR="00F663EE" w:rsidRPr="00F14D31">
        <w:rPr>
          <w:rFonts w:ascii="Times New Roman" w:hAnsi="Times New Roman" w:cs="Times New Roman"/>
          <w:sz w:val="24"/>
          <w:szCs w:val="24"/>
        </w:rPr>
        <w:t>behaviors</w:t>
      </w:r>
      <w:r w:rsidR="00F14D31" w:rsidRPr="00F14D31">
        <w:rPr>
          <w:rFonts w:ascii="Times New Roman" w:hAnsi="Times New Roman" w:cs="Times New Roman"/>
          <w:sz w:val="24"/>
          <w:szCs w:val="24"/>
        </w:rPr>
        <w:t xml:space="preserve"> with higher quality than SBNT therapists; 3) only the quality of MET </w:t>
      </w:r>
      <w:r w:rsidR="00F663EE" w:rsidRPr="00F14D31">
        <w:rPr>
          <w:rFonts w:ascii="Times New Roman" w:hAnsi="Times New Roman" w:cs="Times New Roman"/>
          <w:sz w:val="24"/>
          <w:szCs w:val="24"/>
        </w:rPr>
        <w:t>behaviors</w:t>
      </w:r>
      <w:r w:rsidR="00F14D31" w:rsidRPr="00F14D31">
        <w:rPr>
          <w:rFonts w:ascii="Times New Roman" w:hAnsi="Times New Roman" w:cs="Times New Roman"/>
          <w:sz w:val="24"/>
          <w:szCs w:val="24"/>
        </w:rPr>
        <w:t xml:space="preserve"> significantly predicted 12-month alcohol outcomes</w:t>
      </w:r>
      <w:r w:rsidR="00523FD6">
        <w:rPr>
          <w:rFonts w:ascii="Times New Roman" w:hAnsi="Times New Roman" w:cs="Times New Roman"/>
          <w:sz w:val="24"/>
          <w:szCs w:val="24"/>
        </w:rPr>
        <w:t>, irrespective of treatment condition</w:t>
      </w:r>
      <w:r w:rsidR="00F14D31" w:rsidRPr="00F14D31">
        <w:rPr>
          <w:rFonts w:ascii="Times New Roman" w:hAnsi="Times New Roman" w:cs="Times New Roman"/>
          <w:sz w:val="24"/>
          <w:szCs w:val="24"/>
        </w:rPr>
        <w:t xml:space="preserve">. Consistently, there were no significant indirect effects. </w:t>
      </w:r>
      <w:r w:rsidR="00F14D31">
        <w:rPr>
          <w:rFonts w:ascii="Times New Roman" w:hAnsi="Times New Roman" w:cs="Times New Roman"/>
          <w:sz w:val="24"/>
          <w:szCs w:val="24"/>
        </w:rPr>
        <w:t xml:space="preserve">Multiple component </w:t>
      </w:r>
      <w:r w:rsidRPr="00C33339">
        <w:rPr>
          <w:rFonts w:ascii="Times New Roman" w:hAnsi="Times New Roman" w:cs="Times New Roman"/>
          <w:sz w:val="24"/>
          <w:szCs w:val="24"/>
        </w:rPr>
        <w:t xml:space="preserve">analysis </w:t>
      </w:r>
      <w:r w:rsidR="00523FD6">
        <w:rPr>
          <w:rFonts w:ascii="Times New Roman" w:hAnsi="Times New Roman" w:cs="Times New Roman"/>
          <w:sz w:val="24"/>
          <w:szCs w:val="24"/>
        </w:rPr>
        <w:t>indicated that therapist quality of</w:t>
      </w:r>
      <w:r w:rsidR="00523FD6" w:rsidRPr="00C33339">
        <w:rPr>
          <w:rFonts w:ascii="Times New Roman" w:hAnsi="Times New Roman" w:cs="Times New Roman"/>
          <w:sz w:val="24"/>
          <w:szCs w:val="24"/>
        </w:rPr>
        <w:t xml:space="preserve"> </w:t>
      </w:r>
      <w:r w:rsidRPr="00C33339">
        <w:rPr>
          <w:rFonts w:ascii="Times New Roman" w:hAnsi="Times New Roman" w:cs="Times New Roman"/>
          <w:sz w:val="24"/>
          <w:szCs w:val="24"/>
        </w:rPr>
        <w:t xml:space="preserve">specific tasks influenced outcomes. </w:t>
      </w:r>
      <w:r w:rsidR="00256297">
        <w:rPr>
          <w:rFonts w:ascii="Times New Roman" w:hAnsi="Times New Roman" w:cs="Times New Roman"/>
          <w:sz w:val="24"/>
          <w:szCs w:val="24"/>
        </w:rPr>
        <w:t xml:space="preserve"> </w:t>
      </w:r>
      <w:r w:rsidRPr="00B44233">
        <w:rPr>
          <w:rFonts w:ascii="Times New Roman" w:hAnsi="Times New Roman" w:cs="Times New Roman"/>
          <w:b/>
          <w:i/>
          <w:sz w:val="24"/>
          <w:szCs w:val="24"/>
        </w:rPr>
        <w:t>Conclusion</w:t>
      </w:r>
      <w:r w:rsidR="006D27EC">
        <w:rPr>
          <w:rFonts w:ascii="Times New Roman" w:hAnsi="Times New Roman" w:cs="Times New Roman"/>
          <w:b/>
          <w:i/>
          <w:sz w:val="24"/>
          <w:szCs w:val="24"/>
        </w:rPr>
        <w:t>s:</w:t>
      </w:r>
      <w:r w:rsidRPr="00C33339">
        <w:rPr>
          <w:rFonts w:ascii="Times New Roman" w:hAnsi="Times New Roman" w:cs="Times New Roman"/>
          <w:sz w:val="24"/>
          <w:szCs w:val="24"/>
        </w:rPr>
        <w:t xml:space="preserve"> The quality of delivery of</w:t>
      </w:r>
      <w:r w:rsidR="00E77E55">
        <w:rPr>
          <w:rFonts w:ascii="Times New Roman" w:hAnsi="Times New Roman" w:cs="Times New Roman"/>
          <w:sz w:val="24"/>
          <w:szCs w:val="24"/>
        </w:rPr>
        <w:t xml:space="preserve"> the same </w:t>
      </w:r>
      <w:r w:rsidRPr="00C33339">
        <w:rPr>
          <w:rFonts w:ascii="Times New Roman" w:hAnsi="Times New Roman" w:cs="Times New Roman"/>
          <w:sz w:val="24"/>
          <w:szCs w:val="24"/>
        </w:rPr>
        <w:t>treatment tasks</w:t>
      </w:r>
      <w:r w:rsidR="00E77E55">
        <w:rPr>
          <w:rFonts w:ascii="Times New Roman" w:hAnsi="Times New Roman" w:cs="Times New Roman"/>
          <w:sz w:val="24"/>
          <w:szCs w:val="24"/>
        </w:rPr>
        <w:t xml:space="preserve"> in both treatments studied </w:t>
      </w:r>
      <w:r w:rsidRPr="00C33339">
        <w:rPr>
          <w:rFonts w:ascii="Times New Roman" w:hAnsi="Times New Roman" w:cs="Times New Roman"/>
          <w:sz w:val="24"/>
          <w:szCs w:val="24"/>
        </w:rPr>
        <w:t>transcend</w:t>
      </w:r>
      <w:r w:rsidR="006C6401">
        <w:rPr>
          <w:rFonts w:ascii="Times New Roman" w:hAnsi="Times New Roman" w:cs="Times New Roman"/>
          <w:sz w:val="24"/>
          <w:szCs w:val="24"/>
        </w:rPr>
        <w:t>ed</w:t>
      </w:r>
      <w:r w:rsidRPr="00C33339">
        <w:rPr>
          <w:rFonts w:ascii="Times New Roman" w:hAnsi="Times New Roman" w:cs="Times New Roman"/>
          <w:sz w:val="24"/>
          <w:szCs w:val="24"/>
        </w:rPr>
        <w:t xml:space="preserve"> the impact of delivering treatments </w:t>
      </w:r>
      <w:r w:rsidR="00E77E55">
        <w:rPr>
          <w:rFonts w:ascii="Times New Roman" w:hAnsi="Times New Roman" w:cs="Times New Roman"/>
          <w:sz w:val="24"/>
          <w:szCs w:val="24"/>
        </w:rPr>
        <w:t xml:space="preserve">according to </w:t>
      </w:r>
      <w:r w:rsidRPr="00C33339">
        <w:rPr>
          <w:rFonts w:ascii="Times New Roman" w:hAnsi="Times New Roman" w:cs="Times New Roman"/>
          <w:sz w:val="24"/>
          <w:szCs w:val="24"/>
        </w:rPr>
        <w:t>different theoretical underpinnings</w:t>
      </w:r>
      <w:r w:rsidR="00F366DD">
        <w:rPr>
          <w:rFonts w:ascii="Times New Roman" w:hAnsi="Times New Roman" w:cs="Times New Roman"/>
          <w:sz w:val="24"/>
          <w:szCs w:val="24"/>
        </w:rPr>
        <w:t xml:space="preserve"> in UKATT</w:t>
      </w:r>
      <w:r w:rsidRPr="00C33339">
        <w:rPr>
          <w:rFonts w:ascii="Times New Roman" w:hAnsi="Times New Roman" w:cs="Times New Roman"/>
          <w:sz w:val="24"/>
          <w:szCs w:val="24"/>
        </w:rPr>
        <w:t xml:space="preserve">. </w:t>
      </w:r>
    </w:p>
    <w:p w14:paraId="2E4DF17C" w14:textId="77777777" w:rsidR="00523FD6" w:rsidRDefault="00523FD6" w:rsidP="00F14D31">
      <w:pPr>
        <w:rPr>
          <w:rFonts w:ascii="Times New Roman" w:hAnsi="Times New Roman" w:cs="Times New Roman"/>
          <w:sz w:val="24"/>
          <w:szCs w:val="24"/>
        </w:rPr>
      </w:pPr>
    </w:p>
    <w:p w14:paraId="7F35FDC1" w14:textId="77777777" w:rsidR="00256297" w:rsidRDefault="00256297">
      <w:pPr>
        <w:spacing w:line="240" w:lineRule="auto"/>
        <w:ind w:firstLine="0"/>
        <w:rPr>
          <w:rFonts w:ascii="Times New Roman" w:hAnsi="Times New Roman" w:cs="Times New Roman"/>
          <w:b/>
          <w:sz w:val="24"/>
          <w:szCs w:val="24"/>
        </w:rPr>
      </w:pPr>
      <w:r>
        <w:br w:type="page"/>
      </w:r>
    </w:p>
    <w:p w14:paraId="5554E1E7" w14:textId="77777777" w:rsidR="00DC3747" w:rsidRPr="00F40D0C" w:rsidRDefault="00DC3747" w:rsidP="00256297">
      <w:pPr>
        <w:pStyle w:val="Heading2"/>
      </w:pPr>
      <w:r w:rsidRPr="00F40D0C">
        <w:lastRenderedPageBreak/>
        <w:t>Public Health Significance Statements</w:t>
      </w:r>
    </w:p>
    <w:p w14:paraId="346B4072" w14:textId="77777777" w:rsidR="00DC3747" w:rsidRPr="00F40D0C" w:rsidRDefault="00DC3747" w:rsidP="00DC3747">
      <w:pPr>
        <w:rPr>
          <w:rFonts w:ascii="Times New Roman" w:hAnsi="Times New Roman" w:cs="Times New Roman"/>
          <w:sz w:val="24"/>
          <w:szCs w:val="24"/>
        </w:rPr>
      </w:pPr>
      <w:r w:rsidRPr="00EB5F70">
        <w:rPr>
          <w:rFonts w:ascii="Times New Roman" w:hAnsi="Times New Roman" w:cs="Times New Roman"/>
          <w:sz w:val="24"/>
          <w:szCs w:val="24"/>
        </w:rPr>
        <w:t xml:space="preserve">This </w:t>
      </w:r>
      <w:r w:rsidR="00C92621" w:rsidRPr="00EB5F70">
        <w:rPr>
          <w:rFonts w:ascii="Times New Roman" w:hAnsi="Times New Roman" w:cs="Times New Roman"/>
          <w:sz w:val="24"/>
          <w:szCs w:val="24"/>
        </w:rPr>
        <w:t>secondary analysis</w:t>
      </w:r>
      <w:r w:rsidRPr="00EB5F70">
        <w:rPr>
          <w:rFonts w:ascii="Times New Roman" w:hAnsi="Times New Roman" w:cs="Times New Roman"/>
          <w:sz w:val="24"/>
          <w:szCs w:val="24"/>
        </w:rPr>
        <w:t xml:space="preserve"> of the </w:t>
      </w:r>
      <w:r w:rsidR="00F366DD" w:rsidRPr="00EB5F70">
        <w:rPr>
          <w:rFonts w:ascii="Times New Roman" w:hAnsi="Times New Roman" w:cs="Times New Roman"/>
          <w:sz w:val="24"/>
          <w:szCs w:val="24"/>
        </w:rPr>
        <w:t>contents</w:t>
      </w:r>
      <w:r w:rsidRPr="00EB5F70">
        <w:rPr>
          <w:rFonts w:ascii="Times New Roman" w:hAnsi="Times New Roman" w:cs="Times New Roman"/>
          <w:sz w:val="24"/>
          <w:szCs w:val="24"/>
        </w:rPr>
        <w:t xml:space="preserve"> of alcohol treatments offers new insights into the</w:t>
      </w:r>
      <w:r w:rsidRPr="00F40D0C">
        <w:rPr>
          <w:rFonts w:ascii="Times New Roman" w:hAnsi="Times New Roman" w:cs="Times New Roman"/>
          <w:sz w:val="24"/>
          <w:szCs w:val="24"/>
        </w:rPr>
        <w:t xml:space="preserve"> </w:t>
      </w:r>
      <w:r>
        <w:rPr>
          <w:rFonts w:ascii="Times New Roman" w:hAnsi="Times New Roman" w:cs="Times New Roman"/>
          <w:sz w:val="24"/>
          <w:szCs w:val="24"/>
        </w:rPr>
        <w:t xml:space="preserve">lack of difference in outcomes between the two </w:t>
      </w:r>
      <w:r w:rsidR="00F366DD">
        <w:rPr>
          <w:rFonts w:ascii="Times New Roman" w:hAnsi="Times New Roman" w:cs="Times New Roman"/>
          <w:sz w:val="24"/>
          <w:szCs w:val="24"/>
        </w:rPr>
        <w:t xml:space="preserve">contrasting </w:t>
      </w:r>
      <w:r>
        <w:rPr>
          <w:rFonts w:ascii="Times New Roman" w:hAnsi="Times New Roman" w:cs="Times New Roman"/>
          <w:sz w:val="24"/>
          <w:szCs w:val="24"/>
        </w:rPr>
        <w:t>treatments in the UK Alcohol Treatment Trial. The q</w:t>
      </w:r>
      <w:r w:rsidRPr="00F40D0C">
        <w:rPr>
          <w:rFonts w:ascii="Times New Roman" w:hAnsi="Times New Roman" w:cs="Times New Roman"/>
          <w:sz w:val="24"/>
          <w:szCs w:val="24"/>
        </w:rPr>
        <w:t xml:space="preserve">uality of </w:t>
      </w:r>
      <w:r w:rsidRPr="00F14D31">
        <w:rPr>
          <w:rFonts w:ascii="Times New Roman" w:hAnsi="Times New Roman" w:cs="Times New Roman"/>
          <w:sz w:val="24"/>
          <w:szCs w:val="24"/>
        </w:rPr>
        <w:t>Mo</w:t>
      </w:r>
      <w:r>
        <w:rPr>
          <w:rFonts w:ascii="Times New Roman" w:hAnsi="Times New Roman" w:cs="Times New Roman"/>
          <w:sz w:val="24"/>
          <w:szCs w:val="24"/>
        </w:rPr>
        <w:t xml:space="preserve">tivational Enhancement Therapy </w:t>
      </w:r>
      <w:r w:rsidRPr="00F40D0C">
        <w:rPr>
          <w:rFonts w:ascii="Times New Roman" w:hAnsi="Times New Roman" w:cs="Times New Roman"/>
          <w:sz w:val="24"/>
          <w:szCs w:val="24"/>
        </w:rPr>
        <w:t xml:space="preserve">specific </w:t>
      </w:r>
      <w:r w:rsidR="00F663EE" w:rsidRPr="00F40D0C">
        <w:rPr>
          <w:rFonts w:ascii="Times New Roman" w:hAnsi="Times New Roman" w:cs="Times New Roman"/>
          <w:sz w:val="24"/>
          <w:szCs w:val="24"/>
        </w:rPr>
        <w:t>behaviors</w:t>
      </w:r>
      <w:r w:rsidRPr="00F40D0C">
        <w:rPr>
          <w:rFonts w:ascii="Times New Roman" w:hAnsi="Times New Roman" w:cs="Times New Roman"/>
          <w:sz w:val="24"/>
          <w:szCs w:val="24"/>
        </w:rPr>
        <w:t xml:space="preserve"> was related to better outcomes, </w:t>
      </w:r>
      <w:r w:rsidR="00F366DD">
        <w:rPr>
          <w:rFonts w:ascii="Times New Roman" w:hAnsi="Times New Roman" w:cs="Times New Roman"/>
          <w:sz w:val="24"/>
          <w:szCs w:val="24"/>
        </w:rPr>
        <w:t>and</w:t>
      </w:r>
      <w:r w:rsidRPr="00F40D0C">
        <w:rPr>
          <w:rFonts w:ascii="Times New Roman" w:hAnsi="Times New Roman" w:cs="Times New Roman"/>
          <w:sz w:val="24"/>
          <w:szCs w:val="24"/>
        </w:rPr>
        <w:t xml:space="preserve"> therapists from </w:t>
      </w:r>
      <w:r w:rsidR="0049454C" w:rsidRPr="0049454C">
        <w:rPr>
          <w:rFonts w:ascii="Times New Roman" w:hAnsi="Times New Roman" w:cs="Times New Roman"/>
          <w:i/>
          <w:sz w:val="24"/>
          <w:szCs w:val="24"/>
        </w:rPr>
        <w:t>both</w:t>
      </w:r>
      <w:r w:rsidRPr="00F40D0C">
        <w:rPr>
          <w:rFonts w:ascii="Times New Roman" w:hAnsi="Times New Roman" w:cs="Times New Roman"/>
          <w:sz w:val="24"/>
          <w:szCs w:val="24"/>
        </w:rPr>
        <w:t xml:space="preserve"> treatment conditions demonstrated </w:t>
      </w:r>
      <w:r w:rsidR="00F366DD">
        <w:rPr>
          <w:rFonts w:ascii="Times New Roman" w:hAnsi="Times New Roman" w:cs="Times New Roman"/>
          <w:sz w:val="24"/>
          <w:szCs w:val="24"/>
        </w:rPr>
        <w:t xml:space="preserve">similar levels of </w:t>
      </w:r>
      <w:r w:rsidRPr="00F40D0C">
        <w:rPr>
          <w:rFonts w:ascii="Times New Roman" w:hAnsi="Times New Roman" w:cs="Times New Roman"/>
          <w:sz w:val="24"/>
          <w:szCs w:val="24"/>
        </w:rPr>
        <w:t xml:space="preserve">quality in these </w:t>
      </w:r>
      <w:r w:rsidR="00F663EE" w:rsidRPr="00F40D0C">
        <w:rPr>
          <w:rFonts w:ascii="Times New Roman" w:hAnsi="Times New Roman" w:cs="Times New Roman"/>
          <w:sz w:val="24"/>
          <w:szCs w:val="24"/>
        </w:rPr>
        <w:t>behaviors</w:t>
      </w:r>
      <w:r w:rsidRPr="00F40D0C">
        <w:rPr>
          <w:rFonts w:ascii="Times New Roman" w:hAnsi="Times New Roman" w:cs="Times New Roman"/>
          <w:sz w:val="24"/>
          <w:szCs w:val="24"/>
        </w:rPr>
        <w:t>.</w:t>
      </w:r>
      <w:r>
        <w:rPr>
          <w:rFonts w:ascii="Times New Roman" w:hAnsi="Times New Roman" w:cs="Times New Roman"/>
          <w:sz w:val="24"/>
          <w:szCs w:val="24"/>
        </w:rPr>
        <w:t xml:space="preserve"> </w:t>
      </w:r>
      <w:r w:rsidRPr="00F40D0C">
        <w:rPr>
          <w:rFonts w:ascii="Times New Roman" w:hAnsi="Times New Roman" w:cs="Times New Roman"/>
          <w:sz w:val="24"/>
          <w:szCs w:val="24"/>
        </w:rPr>
        <w:t xml:space="preserve">The present results </w:t>
      </w:r>
      <w:r w:rsidR="00F366DD">
        <w:rPr>
          <w:rFonts w:ascii="Times New Roman" w:hAnsi="Times New Roman" w:cs="Times New Roman"/>
          <w:sz w:val="24"/>
          <w:szCs w:val="24"/>
        </w:rPr>
        <w:t>suggest the importance of</w:t>
      </w:r>
      <w:r w:rsidRPr="00F40D0C">
        <w:rPr>
          <w:rFonts w:ascii="Times New Roman" w:hAnsi="Times New Roman" w:cs="Times New Roman"/>
          <w:sz w:val="24"/>
          <w:szCs w:val="24"/>
        </w:rPr>
        <w:t xml:space="preserve"> </w:t>
      </w:r>
      <w:r w:rsidR="00E77E55">
        <w:rPr>
          <w:rFonts w:ascii="Times New Roman" w:hAnsi="Times New Roman" w:cs="Times New Roman"/>
          <w:sz w:val="24"/>
          <w:szCs w:val="24"/>
        </w:rPr>
        <w:t>‘</w:t>
      </w:r>
      <w:r w:rsidRPr="00F40D0C">
        <w:rPr>
          <w:rFonts w:ascii="Times New Roman" w:hAnsi="Times New Roman" w:cs="Times New Roman"/>
          <w:sz w:val="24"/>
          <w:szCs w:val="24"/>
        </w:rPr>
        <w:t>common factors</w:t>
      </w:r>
      <w:r w:rsidR="00E77E55">
        <w:rPr>
          <w:rFonts w:ascii="Times New Roman" w:hAnsi="Times New Roman" w:cs="Times New Roman"/>
          <w:sz w:val="24"/>
          <w:szCs w:val="24"/>
        </w:rPr>
        <w:t>’</w:t>
      </w:r>
      <w:r w:rsidRPr="00F40D0C">
        <w:rPr>
          <w:rFonts w:ascii="Times New Roman" w:hAnsi="Times New Roman" w:cs="Times New Roman"/>
          <w:sz w:val="24"/>
          <w:szCs w:val="24"/>
        </w:rPr>
        <w:t xml:space="preserve"> in the psychotherapy and addiction process literatures (e.g. empathy, discrepancy enhancement, eliciting commitment to change, reflective listening), </w:t>
      </w:r>
      <w:r w:rsidR="00F366DD">
        <w:rPr>
          <w:rFonts w:ascii="Times New Roman" w:hAnsi="Times New Roman" w:cs="Times New Roman"/>
          <w:sz w:val="24"/>
          <w:szCs w:val="24"/>
        </w:rPr>
        <w:t>as</w:t>
      </w:r>
      <w:r w:rsidRPr="00F40D0C">
        <w:rPr>
          <w:rFonts w:ascii="Times New Roman" w:hAnsi="Times New Roman" w:cs="Times New Roman"/>
          <w:sz w:val="24"/>
          <w:szCs w:val="24"/>
        </w:rPr>
        <w:t xml:space="preserve"> treatment-specific skills used distinctly in the two treatments were not related to better outcomes. </w:t>
      </w:r>
    </w:p>
    <w:p w14:paraId="119433FA" w14:textId="77777777" w:rsidR="00DC3747" w:rsidRDefault="00DC3747" w:rsidP="00DC3747">
      <w:pPr>
        <w:rPr>
          <w:rFonts w:ascii="Times New Roman" w:hAnsi="Times New Roman"/>
          <w:sz w:val="24"/>
        </w:rPr>
      </w:pPr>
    </w:p>
    <w:p w14:paraId="7D9ABA22" w14:textId="77777777" w:rsidR="00DC3747" w:rsidRDefault="00DC3747" w:rsidP="00DC3747">
      <w:pPr>
        <w:rPr>
          <w:rFonts w:ascii="Times New Roman" w:hAnsi="Times New Roman"/>
          <w:sz w:val="24"/>
        </w:rPr>
      </w:pPr>
    </w:p>
    <w:p w14:paraId="33E3B306" w14:textId="77777777" w:rsidR="009F6CA6" w:rsidRDefault="009F6CA6" w:rsidP="00DC3747">
      <w:pPr>
        <w:rPr>
          <w:rFonts w:ascii="Times New Roman" w:hAnsi="Times New Roman"/>
          <w:sz w:val="24"/>
        </w:rPr>
      </w:pPr>
    </w:p>
    <w:p w14:paraId="4157ACA5" w14:textId="77777777" w:rsidR="00DC3747" w:rsidRDefault="00DC3747" w:rsidP="00256297">
      <w:pPr>
        <w:pStyle w:val="Heading2"/>
      </w:pPr>
      <w:r>
        <w:t>Keywords</w:t>
      </w:r>
    </w:p>
    <w:p w14:paraId="5B870A02" w14:textId="77777777" w:rsidR="00DC3747" w:rsidRPr="00F40D0C" w:rsidRDefault="00DC3747" w:rsidP="00DC3747">
      <w:pPr>
        <w:rPr>
          <w:rFonts w:ascii="Times New Roman" w:hAnsi="Times New Roman"/>
          <w:sz w:val="24"/>
        </w:rPr>
      </w:pPr>
      <w:r w:rsidRPr="00F40D0C">
        <w:rPr>
          <w:rFonts w:ascii="Times New Roman" w:hAnsi="Times New Roman"/>
          <w:sz w:val="24"/>
        </w:rPr>
        <w:t xml:space="preserve">Alcohol treatment; Treatment processes; Mediation analysis; </w:t>
      </w:r>
      <w:r w:rsidR="00F366DD">
        <w:rPr>
          <w:rFonts w:ascii="Times New Roman" w:hAnsi="Times New Roman"/>
          <w:sz w:val="24"/>
        </w:rPr>
        <w:t xml:space="preserve">Motivational Enhancement Therapy; </w:t>
      </w:r>
      <w:r w:rsidR="00F366DD" w:rsidRPr="00F40D0C">
        <w:rPr>
          <w:rFonts w:ascii="Times New Roman" w:hAnsi="Times New Roman"/>
          <w:sz w:val="24"/>
        </w:rPr>
        <w:t>Active ingredients</w:t>
      </w:r>
      <w:r w:rsidRPr="00F40D0C">
        <w:rPr>
          <w:rFonts w:ascii="Times New Roman" w:hAnsi="Times New Roman"/>
          <w:sz w:val="24"/>
        </w:rPr>
        <w:t>.</w:t>
      </w:r>
    </w:p>
    <w:p w14:paraId="6697E749" w14:textId="77777777" w:rsidR="00F40D0C" w:rsidRPr="00F40D0C" w:rsidRDefault="00F40D0C" w:rsidP="00F14D31">
      <w:pPr>
        <w:rPr>
          <w:rFonts w:ascii="Times New Roman" w:hAnsi="Times New Roman"/>
          <w:sz w:val="24"/>
        </w:rPr>
      </w:pPr>
    </w:p>
    <w:p w14:paraId="6C90BF52" w14:textId="77777777" w:rsidR="009F568C" w:rsidRPr="00C33339" w:rsidRDefault="009F568C" w:rsidP="00BD2320">
      <w:pPr>
        <w:rPr>
          <w:rFonts w:ascii="Times New Roman" w:hAnsi="Times New Roman" w:cs="Times New Roman"/>
          <w:sz w:val="24"/>
          <w:szCs w:val="24"/>
        </w:rPr>
      </w:pPr>
      <w:r w:rsidRPr="00C33339">
        <w:rPr>
          <w:rFonts w:ascii="Times New Roman" w:hAnsi="Times New Roman" w:cs="Times New Roman"/>
          <w:sz w:val="24"/>
          <w:szCs w:val="24"/>
        </w:rPr>
        <w:br w:type="page"/>
      </w:r>
    </w:p>
    <w:p w14:paraId="0808AAE6" w14:textId="77777777" w:rsidR="00531DE4" w:rsidRPr="00B762B1" w:rsidRDefault="00531DE4" w:rsidP="00256297">
      <w:pPr>
        <w:pStyle w:val="Heading2"/>
      </w:pPr>
      <w:r w:rsidRPr="00B762B1">
        <w:lastRenderedPageBreak/>
        <w:t>Introduction</w:t>
      </w:r>
    </w:p>
    <w:p w14:paraId="4F90E1A4" w14:textId="77777777" w:rsidR="00E837E2" w:rsidRPr="00C33339" w:rsidRDefault="00E837E2" w:rsidP="00BD2320">
      <w:pPr>
        <w:rPr>
          <w:rFonts w:ascii="Times New Roman" w:hAnsi="Times New Roman" w:cs="Times New Roman"/>
          <w:sz w:val="24"/>
          <w:szCs w:val="24"/>
        </w:rPr>
      </w:pPr>
      <w:r w:rsidRPr="00C33339">
        <w:rPr>
          <w:rFonts w:ascii="Times New Roman" w:hAnsi="Times New Roman" w:cs="Times New Roman"/>
          <w:sz w:val="24"/>
          <w:szCs w:val="24"/>
        </w:rPr>
        <w:t>Reflecting on findings from two large and methodologically rigorous trials of treatment for alcohol problems (</w:t>
      </w:r>
      <w:r w:rsidR="00924C47">
        <w:rPr>
          <w:rFonts w:ascii="Times New Roman" w:hAnsi="Times New Roman" w:cs="Times New Roman"/>
          <w:sz w:val="24"/>
          <w:szCs w:val="24"/>
        </w:rPr>
        <w:t>Project MATCH Research Group, 1997</w:t>
      </w:r>
      <w:r w:rsidR="00D23332">
        <w:rPr>
          <w:rFonts w:ascii="Times New Roman" w:hAnsi="Times New Roman" w:cs="Times New Roman"/>
          <w:sz w:val="24"/>
          <w:szCs w:val="24"/>
        </w:rPr>
        <w:t>; UKATT Research Team, 2005)</w:t>
      </w:r>
      <w:r w:rsidRPr="00C33339">
        <w:rPr>
          <w:rFonts w:ascii="Times New Roman" w:hAnsi="Times New Roman" w:cs="Times New Roman"/>
          <w:sz w:val="24"/>
          <w:szCs w:val="24"/>
        </w:rPr>
        <w:t xml:space="preserve">, Orford </w:t>
      </w:r>
      <w:r w:rsidR="00D23332">
        <w:rPr>
          <w:rFonts w:ascii="Times New Roman" w:hAnsi="Times New Roman" w:cs="Times New Roman"/>
          <w:sz w:val="24"/>
          <w:szCs w:val="24"/>
        </w:rPr>
        <w:t>(2008)</w:t>
      </w:r>
      <w:r w:rsidRPr="00C33339">
        <w:rPr>
          <w:rFonts w:ascii="Times New Roman" w:hAnsi="Times New Roman" w:cs="Times New Roman"/>
          <w:sz w:val="24"/>
          <w:szCs w:val="24"/>
        </w:rPr>
        <w:t xml:space="preserve"> called for a major rethinking </w:t>
      </w:r>
      <w:r w:rsidR="00BD2320" w:rsidRPr="00C33339">
        <w:rPr>
          <w:rFonts w:ascii="Times New Roman" w:hAnsi="Times New Roman" w:cs="Times New Roman"/>
          <w:sz w:val="24"/>
          <w:szCs w:val="24"/>
        </w:rPr>
        <w:t>of research</w:t>
      </w:r>
      <w:r w:rsidRPr="00C33339">
        <w:rPr>
          <w:rFonts w:ascii="Times New Roman" w:hAnsi="Times New Roman" w:cs="Times New Roman"/>
          <w:sz w:val="24"/>
          <w:szCs w:val="24"/>
        </w:rPr>
        <w:t xml:space="preserve"> on the psychosocial treatment of addiction. Both trials failed to find significant differences in main effects of treatment, and </w:t>
      </w:r>
      <w:r w:rsidR="00A524AE" w:rsidRPr="00C33339">
        <w:rPr>
          <w:rFonts w:ascii="Times New Roman" w:hAnsi="Times New Roman" w:cs="Times New Roman"/>
          <w:sz w:val="24"/>
          <w:szCs w:val="24"/>
        </w:rPr>
        <w:t xml:space="preserve">found </w:t>
      </w:r>
      <w:r w:rsidRPr="00C33339">
        <w:rPr>
          <w:rFonts w:ascii="Times New Roman" w:hAnsi="Times New Roman" w:cs="Times New Roman"/>
          <w:sz w:val="24"/>
          <w:szCs w:val="24"/>
        </w:rPr>
        <w:t xml:space="preserve">few </w:t>
      </w:r>
      <w:r w:rsidR="00A524AE" w:rsidRPr="00C33339">
        <w:rPr>
          <w:rFonts w:ascii="Times New Roman" w:hAnsi="Times New Roman" w:cs="Times New Roman"/>
          <w:sz w:val="24"/>
          <w:szCs w:val="24"/>
        </w:rPr>
        <w:t xml:space="preserve">or no </w:t>
      </w:r>
      <w:r w:rsidRPr="00C33339">
        <w:rPr>
          <w:rFonts w:ascii="Times New Roman" w:hAnsi="Times New Roman" w:cs="Times New Roman"/>
          <w:sz w:val="24"/>
          <w:szCs w:val="24"/>
        </w:rPr>
        <w:t>clinically useful matching effects</w:t>
      </w:r>
      <w:r w:rsidR="007A769D" w:rsidRPr="00C33339">
        <w:rPr>
          <w:rFonts w:ascii="Times New Roman" w:hAnsi="Times New Roman" w:cs="Times New Roman"/>
          <w:sz w:val="24"/>
          <w:szCs w:val="24"/>
        </w:rPr>
        <w:t xml:space="preserve"> </w:t>
      </w:r>
      <w:r w:rsidR="002536D3" w:rsidRPr="00C33339">
        <w:rPr>
          <w:rFonts w:ascii="Times New Roman" w:hAnsi="Times New Roman" w:cs="Times New Roman"/>
          <w:sz w:val="24"/>
          <w:szCs w:val="24"/>
        </w:rPr>
        <w:t xml:space="preserve">among </w:t>
      </w:r>
      <w:r w:rsidR="007A769D" w:rsidRPr="00C33339">
        <w:rPr>
          <w:rFonts w:ascii="Times New Roman" w:hAnsi="Times New Roman" w:cs="Times New Roman"/>
          <w:sz w:val="24"/>
          <w:szCs w:val="24"/>
        </w:rPr>
        <w:t>treatment modalities based on contrasting underlying theories</w:t>
      </w:r>
      <w:r w:rsidR="0025284E" w:rsidRPr="00C33339">
        <w:rPr>
          <w:rFonts w:ascii="Times New Roman" w:hAnsi="Times New Roman" w:cs="Times New Roman"/>
          <w:sz w:val="24"/>
          <w:szCs w:val="24"/>
        </w:rPr>
        <w:t xml:space="preserve"> </w:t>
      </w:r>
      <w:r w:rsidR="00D23332">
        <w:rPr>
          <w:rFonts w:ascii="Times New Roman" w:hAnsi="Times New Roman" w:cs="Times New Roman"/>
          <w:sz w:val="24"/>
          <w:szCs w:val="24"/>
        </w:rPr>
        <w:t>(Babor &amp; Del Boca, 2003; UKATT Research Team, 2008).</w:t>
      </w:r>
      <w:r w:rsidRPr="00C33339">
        <w:rPr>
          <w:rFonts w:ascii="Times New Roman" w:hAnsi="Times New Roman" w:cs="Times New Roman"/>
          <w:sz w:val="24"/>
          <w:szCs w:val="24"/>
        </w:rPr>
        <w:t xml:space="preserve"> Orford’s first proposal was that the addiction field should stop studying named treatments in an attempt to discover which are superior in overall efficacy to others,</w:t>
      </w:r>
      <w:r w:rsidR="00BD2320" w:rsidRPr="00C33339">
        <w:rPr>
          <w:rFonts w:ascii="Times New Roman" w:hAnsi="Times New Roman" w:cs="Times New Roman"/>
          <w:sz w:val="24"/>
          <w:szCs w:val="24"/>
        </w:rPr>
        <w:t xml:space="preserve"> </w:t>
      </w:r>
      <w:r w:rsidRPr="00C33339">
        <w:rPr>
          <w:rFonts w:ascii="Times New Roman" w:hAnsi="Times New Roman" w:cs="Times New Roman"/>
          <w:sz w:val="24"/>
          <w:szCs w:val="24"/>
        </w:rPr>
        <w:t xml:space="preserve">and focus instead on processes and mechanisms of change associated with good outcomes across treatment modalities. Humphreys and Tucker </w:t>
      </w:r>
      <w:r w:rsidR="00DD273D">
        <w:rPr>
          <w:rFonts w:ascii="Times New Roman" w:hAnsi="Times New Roman" w:cs="Times New Roman"/>
          <w:sz w:val="24"/>
          <w:szCs w:val="24"/>
        </w:rPr>
        <w:t>(2002)</w:t>
      </w:r>
      <w:r w:rsidRPr="00C33339">
        <w:rPr>
          <w:rFonts w:ascii="Times New Roman" w:hAnsi="Times New Roman" w:cs="Times New Roman"/>
          <w:sz w:val="24"/>
          <w:szCs w:val="24"/>
        </w:rPr>
        <w:t xml:space="preserve"> also advised researchers to </w:t>
      </w:r>
      <w:r w:rsidR="00F663EE" w:rsidRPr="00C33339">
        <w:rPr>
          <w:rFonts w:ascii="Times New Roman" w:hAnsi="Times New Roman" w:cs="Times New Roman"/>
          <w:sz w:val="24"/>
          <w:szCs w:val="24"/>
        </w:rPr>
        <w:t>recognize</w:t>
      </w:r>
      <w:r w:rsidRPr="00C33339">
        <w:rPr>
          <w:rFonts w:ascii="Times New Roman" w:hAnsi="Times New Roman" w:cs="Times New Roman"/>
          <w:sz w:val="24"/>
          <w:szCs w:val="24"/>
        </w:rPr>
        <w:t xml:space="preserve"> the limitations of “’therapy-tinkering’ research (e.g. horserace comparisons or matching research on different psychotherapies)” (p.130).</w:t>
      </w:r>
      <w:r w:rsidR="00BD2320" w:rsidRPr="00C33339">
        <w:rPr>
          <w:rFonts w:ascii="Times New Roman" w:hAnsi="Times New Roman" w:cs="Times New Roman"/>
          <w:sz w:val="24"/>
          <w:szCs w:val="24"/>
        </w:rPr>
        <w:t xml:space="preserve"> </w:t>
      </w:r>
      <w:r w:rsidRPr="00C33339">
        <w:rPr>
          <w:rFonts w:ascii="Times New Roman" w:hAnsi="Times New Roman" w:cs="Times New Roman"/>
          <w:sz w:val="24"/>
          <w:szCs w:val="24"/>
        </w:rPr>
        <w:t xml:space="preserve">The present article reports the results of an analysis of the active ingredients from one of the null trials discussed by Orford, the UK Alcohol Treatment Trial (UKATT) </w:t>
      </w:r>
      <w:r w:rsidR="00DD273D">
        <w:rPr>
          <w:rFonts w:ascii="Times New Roman" w:hAnsi="Times New Roman" w:cs="Times New Roman"/>
          <w:sz w:val="24"/>
          <w:szCs w:val="24"/>
        </w:rPr>
        <w:t>(UKATT Research Team, 2005, 2008).</w:t>
      </w:r>
      <w:r w:rsidR="00BD2320" w:rsidRPr="00C33339">
        <w:rPr>
          <w:rFonts w:ascii="Times New Roman" w:hAnsi="Times New Roman" w:cs="Times New Roman"/>
          <w:sz w:val="24"/>
          <w:szCs w:val="24"/>
        </w:rPr>
        <w:t xml:space="preserve"> </w:t>
      </w:r>
    </w:p>
    <w:p w14:paraId="042D313D" w14:textId="77777777" w:rsidR="00E837E2" w:rsidRPr="00EB5F70" w:rsidRDefault="00E837E2" w:rsidP="00BD2320">
      <w:pPr>
        <w:rPr>
          <w:rFonts w:ascii="Times New Roman" w:hAnsi="Times New Roman" w:cs="Times New Roman"/>
          <w:sz w:val="24"/>
          <w:szCs w:val="24"/>
        </w:rPr>
      </w:pPr>
      <w:r w:rsidRPr="00C33339">
        <w:rPr>
          <w:rFonts w:ascii="Times New Roman" w:hAnsi="Times New Roman" w:cs="Times New Roman"/>
          <w:sz w:val="24"/>
          <w:szCs w:val="24"/>
        </w:rPr>
        <w:t xml:space="preserve">Since Orford </w:t>
      </w:r>
      <w:r w:rsidR="00DD273D">
        <w:rPr>
          <w:rFonts w:ascii="Times New Roman" w:hAnsi="Times New Roman" w:cs="Times New Roman"/>
          <w:sz w:val="24"/>
          <w:szCs w:val="24"/>
        </w:rPr>
        <w:t>(2008)</w:t>
      </w:r>
      <w:r w:rsidRPr="00C33339">
        <w:rPr>
          <w:rFonts w:ascii="Times New Roman" w:hAnsi="Times New Roman" w:cs="Times New Roman"/>
          <w:sz w:val="24"/>
          <w:szCs w:val="24"/>
        </w:rPr>
        <w:t xml:space="preserve"> wrote, there already appears to have been a shift away from asking whether treatment works to asking how it works </w:t>
      </w:r>
      <w:r w:rsidR="00DD273D">
        <w:rPr>
          <w:rFonts w:ascii="Times New Roman" w:hAnsi="Times New Roman" w:cs="Times New Roman"/>
          <w:sz w:val="24"/>
          <w:szCs w:val="24"/>
        </w:rPr>
        <w:t>(Longabaugh &amp; Magill, 2011)</w:t>
      </w:r>
      <w:r w:rsidRPr="00C33339">
        <w:rPr>
          <w:rFonts w:ascii="Times New Roman" w:hAnsi="Times New Roman" w:cs="Times New Roman"/>
          <w:sz w:val="24"/>
          <w:szCs w:val="24"/>
        </w:rPr>
        <w:t>. Given the absence of differential effectiveness in treatments derived from distinctively different</w:t>
      </w:r>
      <w:r w:rsidR="00BD2320" w:rsidRPr="00C33339">
        <w:rPr>
          <w:rFonts w:ascii="Times New Roman" w:hAnsi="Times New Roman" w:cs="Times New Roman"/>
          <w:sz w:val="24"/>
          <w:szCs w:val="24"/>
        </w:rPr>
        <w:t xml:space="preserve"> </w:t>
      </w:r>
      <w:r w:rsidRPr="00C33339">
        <w:rPr>
          <w:rFonts w:ascii="Times New Roman" w:hAnsi="Times New Roman" w:cs="Times New Roman"/>
          <w:sz w:val="24"/>
          <w:szCs w:val="24"/>
        </w:rPr>
        <w:t>theories and assumptions, it follows either that (a) different treatment modalities achieve equivalent outcomes</w:t>
      </w:r>
      <w:r w:rsidR="00BD2320" w:rsidRPr="00C33339">
        <w:rPr>
          <w:rFonts w:ascii="Times New Roman" w:hAnsi="Times New Roman" w:cs="Times New Roman"/>
          <w:sz w:val="24"/>
          <w:szCs w:val="24"/>
        </w:rPr>
        <w:t xml:space="preserve"> </w:t>
      </w:r>
      <w:r w:rsidRPr="00C33339">
        <w:rPr>
          <w:rFonts w:ascii="Times New Roman" w:hAnsi="Times New Roman" w:cs="Times New Roman"/>
          <w:sz w:val="24"/>
          <w:szCs w:val="24"/>
        </w:rPr>
        <w:t xml:space="preserve">via different mechanisms of change, or (b) different treatments achieve similar outcomes via the same </w:t>
      </w:r>
      <w:r w:rsidR="00366BF2" w:rsidRPr="00C33339">
        <w:rPr>
          <w:rFonts w:ascii="Times New Roman" w:hAnsi="Times New Roman" w:cs="Times New Roman"/>
          <w:sz w:val="24"/>
          <w:szCs w:val="24"/>
        </w:rPr>
        <w:t>mechanisms of change</w:t>
      </w:r>
      <w:r w:rsidR="00366BF2" w:rsidRPr="00C33339" w:rsidDel="00366BF2">
        <w:rPr>
          <w:rFonts w:ascii="Times New Roman" w:hAnsi="Times New Roman" w:cs="Times New Roman"/>
          <w:sz w:val="24"/>
          <w:szCs w:val="24"/>
        </w:rPr>
        <w:t xml:space="preserve"> </w:t>
      </w:r>
      <w:r w:rsidR="009713FA">
        <w:rPr>
          <w:rFonts w:ascii="Times New Roman" w:hAnsi="Times New Roman" w:cs="Times New Roman"/>
          <w:sz w:val="24"/>
          <w:szCs w:val="24"/>
        </w:rPr>
        <w:t xml:space="preserve">(Longabaugh, 2007; </w:t>
      </w:r>
      <w:r w:rsidR="009713FA" w:rsidRPr="001152E7">
        <w:rPr>
          <w:rFonts w:ascii="Times New Roman" w:hAnsi="Times New Roman" w:cs="Times New Roman"/>
          <w:sz w:val="24"/>
          <w:szCs w:val="24"/>
        </w:rPr>
        <w:t>Longabaugh, Magill, Morgenstern, &amp; Huebner, 2013</w:t>
      </w:r>
      <w:r w:rsidR="009713FA">
        <w:rPr>
          <w:rFonts w:ascii="Times New Roman" w:hAnsi="Times New Roman" w:cs="Times New Roman"/>
          <w:sz w:val="24"/>
          <w:szCs w:val="24"/>
        </w:rPr>
        <w:t>)</w:t>
      </w:r>
      <w:r w:rsidRPr="00C33339">
        <w:rPr>
          <w:rFonts w:ascii="Times New Roman" w:hAnsi="Times New Roman" w:cs="Times New Roman"/>
          <w:sz w:val="24"/>
          <w:szCs w:val="24"/>
        </w:rPr>
        <w:t xml:space="preserve">. </w:t>
      </w:r>
      <w:r w:rsidR="001C2F02" w:rsidRPr="00C33339">
        <w:rPr>
          <w:rFonts w:ascii="Times New Roman" w:hAnsi="Times New Roman" w:cs="Times New Roman"/>
          <w:sz w:val="24"/>
          <w:szCs w:val="24"/>
        </w:rPr>
        <w:t xml:space="preserve">Variability in the substantive contents of treatments </w:t>
      </w:r>
      <w:r w:rsidR="007A769D" w:rsidRPr="00C33339">
        <w:rPr>
          <w:rFonts w:ascii="Times New Roman" w:hAnsi="Times New Roman" w:cs="Times New Roman"/>
          <w:sz w:val="24"/>
          <w:szCs w:val="24"/>
        </w:rPr>
        <w:t xml:space="preserve">thus </w:t>
      </w:r>
      <w:r w:rsidR="001C2F02" w:rsidRPr="00EB5F70">
        <w:rPr>
          <w:rFonts w:ascii="Times New Roman" w:hAnsi="Times New Roman" w:cs="Times New Roman"/>
          <w:sz w:val="24"/>
          <w:szCs w:val="24"/>
        </w:rPr>
        <w:t xml:space="preserve">may or may not impact </w:t>
      </w:r>
      <w:r w:rsidR="007A769D" w:rsidRPr="00EB5F70">
        <w:rPr>
          <w:rFonts w:ascii="Times New Roman" w:hAnsi="Times New Roman" w:cs="Times New Roman"/>
          <w:sz w:val="24"/>
          <w:szCs w:val="24"/>
        </w:rPr>
        <w:t xml:space="preserve">differentially </w:t>
      </w:r>
      <w:r w:rsidR="001C2F02" w:rsidRPr="00EB5F70">
        <w:rPr>
          <w:rFonts w:ascii="Times New Roman" w:hAnsi="Times New Roman" w:cs="Times New Roman"/>
          <w:sz w:val="24"/>
          <w:szCs w:val="24"/>
        </w:rPr>
        <w:t>on mechanisms of change.</w:t>
      </w:r>
    </w:p>
    <w:p w14:paraId="54C6B0C6" w14:textId="77777777" w:rsidR="00E837E2" w:rsidRPr="00EB5F70" w:rsidRDefault="00E837E2" w:rsidP="00BD2320">
      <w:pPr>
        <w:rPr>
          <w:rFonts w:ascii="Times New Roman" w:hAnsi="Times New Roman" w:cs="Times New Roman"/>
          <w:sz w:val="24"/>
          <w:szCs w:val="24"/>
        </w:rPr>
      </w:pPr>
      <w:r w:rsidRPr="00EB5F70">
        <w:rPr>
          <w:rFonts w:ascii="Times New Roman" w:hAnsi="Times New Roman" w:cs="Times New Roman"/>
          <w:sz w:val="24"/>
          <w:szCs w:val="24"/>
        </w:rPr>
        <w:t xml:space="preserve">Rather than </w:t>
      </w:r>
      <w:r w:rsidR="001C2F02" w:rsidRPr="00EB5F70">
        <w:rPr>
          <w:rFonts w:ascii="Times New Roman" w:hAnsi="Times New Roman" w:cs="Times New Roman"/>
          <w:sz w:val="24"/>
          <w:szCs w:val="24"/>
        </w:rPr>
        <w:t xml:space="preserve">pursuing </w:t>
      </w:r>
      <w:r w:rsidR="00C92621" w:rsidRPr="00EB5F70">
        <w:rPr>
          <w:rFonts w:ascii="Times New Roman" w:hAnsi="Times New Roman" w:cs="Times New Roman"/>
          <w:sz w:val="24"/>
          <w:szCs w:val="24"/>
        </w:rPr>
        <w:t xml:space="preserve">an analysis focused </w:t>
      </w:r>
      <w:r w:rsidR="001C2F02" w:rsidRPr="00EB5F70">
        <w:rPr>
          <w:rFonts w:ascii="Times New Roman" w:hAnsi="Times New Roman" w:cs="Times New Roman"/>
          <w:sz w:val="24"/>
          <w:szCs w:val="24"/>
        </w:rPr>
        <w:t xml:space="preserve">on </w:t>
      </w:r>
      <w:r w:rsidRPr="00EB5F70">
        <w:rPr>
          <w:rFonts w:ascii="Times New Roman" w:hAnsi="Times New Roman" w:cs="Times New Roman"/>
          <w:sz w:val="24"/>
          <w:szCs w:val="24"/>
        </w:rPr>
        <w:t xml:space="preserve">mechanisms of change related to client </w:t>
      </w:r>
      <w:r w:rsidR="00F663EE" w:rsidRPr="00EB5F70">
        <w:rPr>
          <w:rFonts w:ascii="Times New Roman" w:hAnsi="Times New Roman" w:cs="Times New Roman"/>
          <w:sz w:val="24"/>
          <w:szCs w:val="24"/>
        </w:rPr>
        <w:t>behavior</w:t>
      </w:r>
      <w:r w:rsidRPr="00EB5F70">
        <w:rPr>
          <w:rFonts w:ascii="Times New Roman" w:hAnsi="Times New Roman" w:cs="Times New Roman"/>
          <w:sz w:val="24"/>
          <w:szCs w:val="24"/>
        </w:rPr>
        <w:t xml:space="preserve"> and experience, the present analysis </w:t>
      </w:r>
      <w:r w:rsidR="001C2F02" w:rsidRPr="00EB5F70">
        <w:rPr>
          <w:rFonts w:ascii="Times New Roman" w:hAnsi="Times New Roman" w:cs="Times New Roman"/>
          <w:sz w:val="24"/>
          <w:szCs w:val="24"/>
        </w:rPr>
        <w:t xml:space="preserve">is concerned </w:t>
      </w:r>
      <w:r w:rsidR="00C92621" w:rsidRPr="00EB5F70">
        <w:rPr>
          <w:rFonts w:ascii="Times New Roman" w:hAnsi="Times New Roman" w:cs="Times New Roman"/>
          <w:sz w:val="24"/>
          <w:szCs w:val="24"/>
        </w:rPr>
        <w:t xml:space="preserve">specifically with therapist </w:t>
      </w:r>
      <w:r w:rsidR="00C92621" w:rsidRPr="00EB5F70">
        <w:rPr>
          <w:rFonts w:ascii="Times New Roman" w:hAnsi="Times New Roman" w:cs="Times New Roman"/>
          <w:sz w:val="24"/>
          <w:szCs w:val="24"/>
        </w:rPr>
        <w:lastRenderedPageBreak/>
        <w:t>behavior</w:t>
      </w:r>
      <w:r w:rsidRPr="00EB5F70">
        <w:rPr>
          <w:rFonts w:ascii="Times New Roman" w:hAnsi="Times New Roman" w:cs="Times New Roman"/>
          <w:sz w:val="24"/>
          <w:szCs w:val="24"/>
        </w:rPr>
        <w:t>, i.e.,</w:t>
      </w:r>
      <w:r w:rsidR="00BD2320" w:rsidRPr="00EB5F70">
        <w:rPr>
          <w:rFonts w:ascii="Times New Roman" w:hAnsi="Times New Roman" w:cs="Times New Roman"/>
          <w:sz w:val="24"/>
          <w:szCs w:val="24"/>
        </w:rPr>
        <w:t xml:space="preserve"> </w:t>
      </w:r>
      <w:r w:rsidRPr="00EB5F70">
        <w:rPr>
          <w:rFonts w:ascii="Times New Roman" w:hAnsi="Times New Roman" w:cs="Times New Roman"/>
          <w:sz w:val="24"/>
          <w:szCs w:val="24"/>
        </w:rPr>
        <w:t xml:space="preserve">the </w:t>
      </w:r>
      <w:r w:rsidR="00CF4E14" w:rsidRPr="00EB5F70">
        <w:rPr>
          <w:rFonts w:ascii="Times New Roman" w:hAnsi="Times New Roman" w:cs="Times New Roman"/>
          <w:sz w:val="24"/>
          <w:szCs w:val="24"/>
        </w:rPr>
        <w:t xml:space="preserve">tasks, </w:t>
      </w:r>
      <w:r w:rsidRPr="00EB5F70">
        <w:rPr>
          <w:rFonts w:ascii="Times New Roman" w:hAnsi="Times New Roman" w:cs="Times New Roman"/>
          <w:sz w:val="24"/>
          <w:szCs w:val="24"/>
        </w:rPr>
        <w:t xml:space="preserve">skills and </w:t>
      </w:r>
      <w:r w:rsidR="00F663EE" w:rsidRPr="00EB5F70">
        <w:rPr>
          <w:rFonts w:ascii="Times New Roman" w:hAnsi="Times New Roman" w:cs="Times New Roman"/>
          <w:sz w:val="24"/>
          <w:szCs w:val="24"/>
        </w:rPr>
        <w:t>behaviors</w:t>
      </w:r>
      <w:r w:rsidRPr="00EB5F70">
        <w:rPr>
          <w:rFonts w:ascii="Times New Roman" w:hAnsi="Times New Roman" w:cs="Times New Roman"/>
          <w:sz w:val="24"/>
          <w:szCs w:val="24"/>
        </w:rPr>
        <w:t xml:space="preserve"> of therapists in interaction with clients, as measured by the UKATT Process Rating Scale (PRS) </w:t>
      </w:r>
      <w:r w:rsidR="003311A4" w:rsidRPr="00EB5F70">
        <w:rPr>
          <w:rFonts w:ascii="Times New Roman" w:hAnsi="Times New Roman" w:cs="Times New Roman"/>
          <w:sz w:val="24"/>
          <w:szCs w:val="24"/>
        </w:rPr>
        <w:t>(Tober, Clyne, Finnegan, Farrin, &amp; Russell, 2008)</w:t>
      </w:r>
      <w:r w:rsidRPr="00EB5F70">
        <w:rPr>
          <w:rFonts w:ascii="Times New Roman" w:hAnsi="Times New Roman" w:cs="Times New Roman"/>
          <w:sz w:val="24"/>
          <w:szCs w:val="24"/>
        </w:rPr>
        <w:t>.</w:t>
      </w:r>
      <w:r w:rsidR="00BD2320" w:rsidRPr="00EB5F70">
        <w:rPr>
          <w:rFonts w:ascii="Times New Roman" w:hAnsi="Times New Roman" w:cs="Times New Roman"/>
          <w:sz w:val="24"/>
          <w:szCs w:val="24"/>
        </w:rPr>
        <w:t xml:space="preserve"> </w:t>
      </w:r>
      <w:r w:rsidRPr="00EB5F70">
        <w:rPr>
          <w:rFonts w:ascii="Times New Roman" w:hAnsi="Times New Roman" w:cs="Times New Roman"/>
          <w:sz w:val="24"/>
          <w:szCs w:val="24"/>
        </w:rPr>
        <w:t xml:space="preserve">The UKATT PRS </w:t>
      </w:r>
      <w:r w:rsidR="00C92621" w:rsidRPr="00EB5F70">
        <w:rPr>
          <w:rFonts w:ascii="Times New Roman" w:hAnsi="Times New Roman" w:cs="Times New Roman"/>
          <w:sz w:val="24"/>
          <w:szCs w:val="24"/>
        </w:rPr>
        <w:t xml:space="preserve">enabled us </w:t>
      </w:r>
      <w:r w:rsidRPr="00EB5F70">
        <w:rPr>
          <w:rFonts w:ascii="Times New Roman" w:hAnsi="Times New Roman" w:cs="Times New Roman"/>
          <w:sz w:val="24"/>
          <w:szCs w:val="24"/>
        </w:rPr>
        <w:t>to measure the extent to which</w:t>
      </w:r>
      <w:r w:rsidR="00CF4E14" w:rsidRPr="00EB5F70">
        <w:rPr>
          <w:rFonts w:ascii="Times New Roman" w:hAnsi="Times New Roman" w:cs="Times New Roman"/>
          <w:sz w:val="24"/>
          <w:szCs w:val="24"/>
        </w:rPr>
        <w:t>,</w:t>
      </w:r>
      <w:r w:rsidRPr="00EB5F70">
        <w:rPr>
          <w:rFonts w:ascii="Times New Roman" w:hAnsi="Times New Roman" w:cs="Times New Roman"/>
          <w:sz w:val="24"/>
          <w:szCs w:val="24"/>
        </w:rPr>
        <w:t xml:space="preserve"> and the quality with which</w:t>
      </w:r>
      <w:r w:rsidR="00CF4E14" w:rsidRPr="00EB5F70">
        <w:rPr>
          <w:rFonts w:ascii="Times New Roman" w:hAnsi="Times New Roman" w:cs="Times New Roman"/>
          <w:sz w:val="24"/>
          <w:szCs w:val="24"/>
        </w:rPr>
        <w:t>,</w:t>
      </w:r>
      <w:r w:rsidRPr="00EB5F70">
        <w:rPr>
          <w:rFonts w:ascii="Times New Roman" w:hAnsi="Times New Roman" w:cs="Times New Roman"/>
          <w:sz w:val="24"/>
          <w:szCs w:val="24"/>
        </w:rPr>
        <w:t xml:space="preserve"> each of the two treatments included in UKATT was delivered as intended by the theory of therapeutic change </w:t>
      </w:r>
      <w:r w:rsidR="00E66050" w:rsidRPr="00EB5F70">
        <w:rPr>
          <w:rFonts w:ascii="Times New Roman" w:hAnsi="Times New Roman" w:cs="Times New Roman"/>
          <w:sz w:val="24"/>
          <w:szCs w:val="24"/>
        </w:rPr>
        <w:t xml:space="preserve">(Miller, Zweben, DiClemente, &amp; Rychtarik, 1992; Copello, Orford, Hodgson, &amp; Tober, 2009) </w:t>
      </w:r>
      <w:r w:rsidRPr="00EB5F70">
        <w:rPr>
          <w:rFonts w:ascii="Times New Roman" w:hAnsi="Times New Roman" w:cs="Times New Roman"/>
          <w:sz w:val="24"/>
          <w:szCs w:val="24"/>
        </w:rPr>
        <w:t>on which it was based.</w:t>
      </w:r>
      <w:r w:rsidR="00CF4E14" w:rsidRPr="00EB5F70">
        <w:rPr>
          <w:rFonts w:ascii="Times New Roman" w:hAnsi="Times New Roman" w:cs="Times New Roman"/>
          <w:sz w:val="24"/>
          <w:szCs w:val="24"/>
        </w:rPr>
        <w:t xml:space="preserve"> This comparison is useful in better understanding how alcohol treatment may be effective because</w:t>
      </w:r>
      <w:r w:rsidR="00C92621" w:rsidRPr="00EB5F70">
        <w:rPr>
          <w:rFonts w:ascii="Times New Roman" w:hAnsi="Times New Roman" w:cs="Times New Roman"/>
          <w:sz w:val="24"/>
          <w:szCs w:val="24"/>
        </w:rPr>
        <w:t xml:space="preserve"> it can potentially determine whether treatment effectiveness is related to therapist behaviors that differ between the two UKATT treatments or to therapist behaviors they may have in common.</w:t>
      </w:r>
    </w:p>
    <w:p w14:paraId="65787DEF" w14:textId="77777777" w:rsidR="002E4EC3" w:rsidRPr="002E4EC3" w:rsidRDefault="00C92621" w:rsidP="002E4EC3">
      <w:pPr>
        <w:rPr>
          <w:rFonts w:ascii="Times New Roman" w:hAnsi="Times New Roman" w:cs="Times New Roman"/>
          <w:sz w:val="24"/>
          <w:szCs w:val="24"/>
        </w:rPr>
      </w:pPr>
      <w:r w:rsidRPr="00EB5F70">
        <w:rPr>
          <w:rFonts w:ascii="Times New Roman" w:hAnsi="Times New Roman" w:cs="Times New Roman"/>
          <w:sz w:val="24"/>
          <w:szCs w:val="24"/>
        </w:rPr>
        <w:t>More specifically, in the present secondary analysis of UKATT data</w:t>
      </w:r>
      <w:r w:rsidR="002E4EC3" w:rsidRPr="00EB5F70">
        <w:rPr>
          <w:rFonts w:ascii="Times New Roman" w:hAnsi="Times New Roman" w:cs="Times New Roman"/>
          <w:sz w:val="24"/>
          <w:szCs w:val="24"/>
        </w:rPr>
        <w:t xml:space="preserve">, we tested the traditional assumption that treatments work in the way described in the theoretical postulates upon which they were developed. In other words, the </w:t>
      </w:r>
      <w:r w:rsidR="007252AD" w:rsidRPr="00EB5F70">
        <w:rPr>
          <w:rFonts w:ascii="Times New Roman" w:hAnsi="Times New Roman" w:cs="Times New Roman"/>
          <w:sz w:val="24"/>
          <w:szCs w:val="24"/>
        </w:rPr>
        <w:t xml:space="preserve">analysis </w:t>
      </w:r>
      <w:r w:rsidR="00F663EE" w:rsidRPr="00EB5F70">
        <w:rPr>
          <w:rFonts w:ascii="Times New Roman" w:hAnsi="Times New Roman" w:cs="Times New Roman"/>
          <w:sz w:val="24"/>
          <w:szCs w:val="24"/>
        </w:rPr>
        <w:t>was designed</w:t>
      </w:r>
      <w:r w:rsidR="002E4EC3" w:rsidRPr="00EB5F70">
        <w:rPr>
          <w:rFonts w:ascii="Times New Roman" w:hAnsi="Times New Roman" w:cs="Times New Roman"/>
          <w:sz w:val="24"/>
          <w:szCs w:val="24"/>
        </w:rPr>
        <w:t xml:space="preserve"> to test the overarching hypothesis that outcome of both MET and SBNT</w:t>
      </w:r>
      <w:r w:rsidRPr="00EB5F70">
        <w:rPr>
          <w:rFonts w:ascii="Times New Roman" w:hAnsi="Times New Roman" w:cs="Times New Roman"/>
          <w:sz w:val="24"/>
          <w:szCs w:val="24"/>
        </w:rPr>
        <w:t xml:space="preserve"> </w:t>
      </w:r>
      <w:r w:rsidR="00D81187" w:rsidRPr="00EB5F70">
        <w:rPr>
          <w:rFonts w:ascii="Times New Roman" w:hAnsi="Times New Roman" w:cs="Times New Roman"/>
          <w:sz w:val="24"/>
          <w:szCs w:val="24"/>
        </w:rPr>
        <w:t xml:space="preserve">- </w:t>
      </w:r>
      <w:r w:rsidRPr="00EB5F70">
        <w:rPr>
          <w:rFonts w:ascii="Times New Roman" w:hAnsi="Times New Roman" w:cs="Times New Roman"/>
          <w:sz w:val="24"/>
          <w:szCs w:val="24"/>
        </w:rPr>
        <w:t xml:space="preserve">where outcome is defined by measures of drinking frequency (Percentage days abstinent) and quantity (Drinks per drinking day) </w:t>
      </w:r>
      <w:r w:rsidR="00D81187" w:rsidRPr="00EB5F70">
        <w:rPr>
          <w:rFonts w:ascii="Times New Roman" w:hAnsi="Times New Roman" w:cs="Times New Roman"/>
          <w:sz w:val="24"/>
          <w:szCs w:val="24"/>
        </w:rPr>
        <w:t xml:space="preserve">- </w:t>
      </w:r>
      <w:r w:rsidR="002E4EC3" w:rsidRPr="00EB5F70">
        <w:rPr>
          <w:rFonts w:ascii="Times New Roman" w:hAnsi="Times New Roman" w:cs="Times New Roman"/>
          <w:sz w:val="24"/>
          <w:szCs w:val="24"/>
        </w:rPr>
        <w:t xml:space="preserve">was mediated by therapist </w:t>
      </w:r>
      <w:r w:rsidR="00F663EE" w:rsidRPr="00EB5F70">
        <w:rPr>
          <w:rFonts w:ascii="Times New Roman" w:hAnsi="Times New Roman" w:cs="Times New Roman"/>
          <w:sz w:val="24"/>
          <w:szCs w:val="24"/>
        </w:rPr>
        <w:t>behaviors</w:t>
      </w:r>
      <w:r w:rsidR="002E4EC3" w:rsidRPr="00EB5F70">
        <w:rPr>
          <w:rFonts w:ascii="Times New Roman" w:hAnsi="Times New Roman" w:cs="Times New Roman"/>
          <w:sz w:val="24"/>
          <w:szCs w:val="24"/>
        </w:rPr>
        <w:t xml:space="preserve"> consistent with their underlying theoretical models of therapeutic change.</w:t>
      </w:r>
      <w:r w:rsidR="00370686" w:rsidRPr="00EB5F70">
        <w:rPr>
          <w:rFonts w:ascii="Times New Roman" w:hAnsi="Times New Roman" w:cs="Times New Roman"/>
          <w:sz w:val="24"/>
          <w:szCs w:val="24"/>
        </w:rPr>
        <w:t xml:space="preserve"> </w:t>
      </w:r>
      <w:r w:rsidR="00D81187" w:rsidRPr="00EB5F70">
        <w:rPr>
          <w:rFonts w:ascii="Times New Roman" w:hAnsi="Times New Roman" w:cs="Times New Roman"/>
          <w:sz w:val="24"/>
          <w:szCs w:val="24"/>
        </w:rPr>
        <w:t>Thus</w:t>
      </w:r>
      <w:r w:rsidR="002E4EC3" w:rsidRPr="00EB5F70">
        <w:rPr>
          <w:rFonts w:ascii="Times New Roman" w:hAnsi="Times New Roman" w:cs="Times New Roman"/>
          <w:sz w:val="24"/>
          <w:szCs w:val="24"/>
        </w:rPr>
        <w:t>, we investigated the extent to which MET and SBNT outcomes were mediated by measures of the frequency and quality of performance of treatment-specific tasks and therapist styles.</w:t>
      </w:r>
      <w:r w:rsidR="005B4CC9" w:rsidRPr="00EB5F70">
        <w:rPr>
          <w:rFonts w:ascii="Times New Roman" w:hAnsi="Times New Roman" w:cs="Times New Roman"/>
          <w:sz w:val="24"/>
          <w:szCs w:val="24"/>
        </w:rPr>
        <w:t xml:space="preserve"> </w:t>
      </w:r>
      <w:r w:rsidR="00D81187" w:rsidRPr="00EB5F70">
        <w:rPr>
          <w:rFonts w:ascii="Times New Roman" w:hAnsi="Times New Roman" w:cs="Times New Roman"/>
          <w:sz w:val="24"/>
          <w:szCs w:val="24"/>
        </w:rPr>
        <w:t>I</w:t>
      </w:r>
      <w:r w:rsidR="002E4EC3" w:rsidRPr="00EB5F70">
        <w:rPr>
          <w:rFonts w:ascii="Times New Roman" w:hAnsi="Times New Roman" w:cs="Times New Roman"/>
          <w:sz w:val="24"/>
          <w:szCs w:val="24"/>
        </w:rPr>
        <w:t xml:space="preserve">n relation to the two possible explanations mentioned above for lack of significant differences between treatments </w:t>
      </w:r>
      <w:r w:rsidR="005B4CC9" w:rsidRPr="00EB5F70">
        <w:rPr>
          <w:rFonts w:ascii="Times New Roman" w:hAnsi="Times New Roman" w:cs="Times New Roman"/>
          <w:sz w:val="24"/>
          <w:szCs w:val="24"/>
        </w:rPr>
        <w:t xml:space="preserve">tested </w:t>
      </w:r>
      <w:r w:rsidR="002E4EC3" w:rsidRPr="00EB5F70">
        <w:rPr>
          <w:rFonts w:ascii="Times New Roman" w:hAnsi="Times New Roman" w:cs="Times New Roman"/>
          <w:sz w:val="24"/>
          <w:szCs w:val="24"/>
        </w:rPr>
        <w:t xml:space="preserve">in major clinical trials, we </w:t>
      </w:r>
      <w:r w:rsidR="00F663EE" w:rsidRPr="00EB5F70">
        <w:rPr>
          <w:rFonts w:ascii="Times New Roman" w:hAnsi="Times New Roman" w:cs="Times New Roman"/>
          <w:sz w:val="24"/>
          <w:szCs w:val="24"/>
        </w:rPr>
        <w:t>hypothesized</w:t>
      </w:r>
      <w:r w:rsidR="002E4EC3" w:rsidRPr="00EB5F70">
        <w:rPr>
          <w:rFonts w:ascii="Times New Roman" w:hAnsi="Times New Roman" w:cs="Times New Roman"/>
          <w:sz w:val="24"/>
          <w:szCs w:val="24"/>
        </w:rPr>
        <w:t xml:space="preserve"> that the two UKATT treatments work in different ways</w:t>
      </w:r>
      <w:r w:rsidR="00761BF0" w:rsidRPr="00EB5F70">
        <w:rPr>
          <w:rFonts w:ascii="Times New Roman" w:hAnsi="Times New Roman" w:cs="Times New Roman"/>
          <w:sz w:val="24"/>
          <w:szCs w:val="24"/>
        </w:rPr>
        <w:t xml:space="preserve"> via different therapist</w:t>
      </w:r>
      <w:r w:rsidR="00761BF0">
        <w:rPr>
          <w:rFonts w:ascii="Times New Roman" w:hAnsi="Times New Roman" w:cs="Times New Roman"/>
          <w:sz w:val="24"/>
          <w:szCs w:val="24"/>
        </w:rPr>
        <w:t xml:space="preserve"> </w:t>
      </w:r>
      <w:r w:rsidR="00F663EE">
        <w:rPr>
          <w:rFonts w:ascii="Times New Roman" w:hAnsi="Times New Roman" w:cs="Times New Roman"/>
          <w:sz w:val="24"/>
          <w:szCs w:val="24"/>
        </w:rPr>
        <w:t>behaviors</w:t>
      </w:r>
      <w:r w:rsidR="00761BF0">
        <w:rPr>
          <w:rFonts w:ascii="Times New Roman" w:hAnsi="Times New Roman" w:cs="Times New Roman"/>
          <w:sz w:val="24"/>
          <w:szCs w:val="24"/>
        </w:rPr>
        <w:t>.</w:t>
      </w:r>
    </w:p>
    <w:p w14:paraId="5A842A24" w14:textId="77777777" w:rsidR="001B4CAD" w:rsidRPr="00C33339" w:rsidRDefault="001B4CAD" w:rsidP="00BD2320">
      <w:pPr>
        <w:rPr>
          <w:rFonts w:ascii="Times New Roman" w:hAnsi="Times New Roman" w:cs="Times New Roman"/>
          <w:sz w:val="24"/>
          <w:szCs w:val="24"/>
        </w:rPr>
      </w:pPr>
    </w:p>
    <w:p w14:paraId="1B518BA2" w14:textId="77777777" w:rsidR="00BF2B52" w:rsidRPr="00C33339" w:rsidRDefault="00531DE4" w:rsidP="00256297">
      <w:pPr>
        <w:pStyle w:val="Heading2"/>
      </w:pPr>
      <w:r w:rsidRPr="00C33339">
        <w:t xml:space="preserve">Method </w:t>
      </w:r>
    </w:p>
    <w:p w14:paraId="2266968D" w14:textId="77777777" w:rsidR="00531DE4" w:rsidRPr="00B762B1" w:rsidRDefault="006C3315" w:rsidP="00B762B1">
      <w:pPr>
        <w:pStyle w:val="Heading3"/>
      </w:pPr>
      <w:r w:rsidRPr="00B762B1">
        <w:t>Sample</w:t>
      </w:r>
    </w:p>
    <w:p w14:paraId="54AA6AC0" w14:textId="77777777" w:rsidR="00FC60B5" w:rsidRPr="00EB5F70" w:rsidRDefault="00203CD3" w:rsidP="00BD2320">
      <w:pPr>
        <w:rPr>
          <w:rFonts w:ascii="Times New Roman" w:hAnsi="Times New Roman" w:cs="Times New Roman"/>
          <w:sz w:val="24"/>
          <w:szCs w:val="24"/>
        </w:rPr>
      </w:pPr>
      <w:r w:rsidRPr="00C33339">
        <w:rPr>
          <w:rFonts w:ascii="Times New Roman" w:hAnsi="Times New Roman" w:cs="Times New Roman"/>
          <w:sz w:val="24"/>
          <w:szCs w:val="24"/>
        </w:rPr>
        <w:lastRenderedPageBreak/>
        <w:t>UK</w:t>
      </w:r>
      <w:r w:rsidR="00E837E2" w:rsidRPr="00C33339">
        <w:rPr>
          <w:rFonts w:ascii="Times New Roman" w:hAnsi="Times New Roman" w:cs="Times New Roman"/>
          <w:sz w:val="24"/>
          <w:szCs w:val="24"/>
        </w:rPr>
        <w:t>ATT</w:t>
      </w:r>
      <w:r w:rsidR="00BD2320" w:rsidRPr="00C33339">
        <w:rPr>
          <w:rFonts w:ascii="Times New Roman" w:hAnsi="Times New Roman" w:cs="Times New Roman"/>
          <w:sz w:val="24"/>
          <w:szCs w:val="24"/>
        </w:rPr>
        <w:t xml:space="preserve"> </w:t>
      </w:r>
      <w:r w:rsidR="006F2633">
        <w:rPr>
          <w:rFonts w:ascii="Times New Roman" w:hAnsi="Times New Roman" w:cs="Times New Roman"/>
          <w:sz w:val="24"/>
          <w:szCs w:val="24"/>
        </w:rPr>
        <w:t xml:space="preserve">(UKATT Research Team, 2005) </w:t>
      </w:r>
      <w:r w:rsidR="00E837E2" w:rsidRPr="00C33339">
        <w:rPr>
          <w:rFonts w:ascii="Times New Roman" w:hAnsi="Times New Roman" w:cs="Times New Roman"/>
          <w:sz w:val="24"/>
          <w:szCs w:val="24"/>
        </w:rPr>
        <w:t>was</w:t>
      </w:r>
      <w:r w:rsidRPr="00C33339">
        <w:rPr>
          <w:rFonts w:ascii="Times New Roman" w:hAnsi="Times New Roman" w:cs="Times New Roman"/>
          <w:sz w:val="24"/>
          <w:szCs w:val="24"/>
        </w:rPr>
        <w:t xml:space="preserve"> a pragmatic, multi-</w:t>
      </w:r>
      <w:r w:rsidR="00F663EE" w:rsidRPr="00C33339">
        <w:rPr>
          <w:rFonts w:ascii="Times New Roman" w:hAnsi="Times New Roman" w:cs="Times New Roman"/>
          <w:sz w:val="24"/>
          <w:szCs w:val="24"/>
        </w:rPr>
        <w:t>center</w:t>
      </w:r>
      <w:r w:rsidRPr="00C33339">
        <w:rPr>
          <w:rFonts w:ascii="Times New Roman" w:hAnsi="Times New Roman" w:cs="Times New Roman"/>
          <w:sz w:val="24"/>
          <w:szCs w:val="24"/>
        </w:rPr>
        <w:t xml:space="preserve">, randomized controlled trial comparing the effectiveness of MET and SBNT </w:t>
      </w:r>
      <w:r w:rsidR="00837620" w:rsidRPr="00C33339">
        <w:rPr>
          <w:rFonts w:ascii="Times New Roman" w:hAnsi="Times New Roman" w:cs="Times New Roman"/>
          <w:sz w:val="24"/>
          <w:szCs w:val="24"/>
        </w:rPr>
        <w:t xml:space="preserve">in </w:t>
      </w:r>
      <w:r w:rsidRPr="00C33339">
        <w:rPr>
          <w:rFonts w:ascii="Times New Roman" w:hAnsi="Times New Roman" w:cs="Times New Roman"/>
          <w:sz w:val="24"/>
          <w:szCs w:val="24"/>
        </w:rPr>
        <w:t>the treatment of alcohol problems.</w:t>
      </w:r>
      <w:r w:rsidR="001F1519">
        <w:rPr>
          <w:rFonts w:ascii="Times New Roman" w:hAnsi="Times New Roman" w:cs="Times New Roman"/>
          <w:sz w:val="24"/>
          <w:szCs w:val="24"/>
        </w:rPr>
        <w:t xml:space="preserve"> Both treatments were described in manual protocols. Briefly, </w:t>
      </w:r>
      <w:r w:rsidR="001F1519" w:rsidRPr="001F1519">
        <w:rPr>
          <w:rFonts w:ascii="Times New Roman" w:hAnsi="Times New Roman" w:cs="Times New Roman"/>
          <w:sz w:val="24"/>
          <w:szCs w:val="24"/>
        </w:rPr>
        <w:t xml:space="preserve">MET was </w:t>
      </w:r>
      <w:r w:rsidR="00A83048">
        <w:rPr>
          <w:rFonts w:ascii="Times New Roman" w:hAnsi="Times New Roman" w:cs="Times New Roman"/>
          <w:sz w:val="24"/>
          <w:szCs w:val="24"/>
        </w:rPr>
        <w:t>designed</w:t>
      </w:r>
      <w:r w:rsidR="001F1519" w:rsidRPr="001F1519">
        <w:rPr>
          <w:rFonts w:ascii="Times New Roman" w:hAnsi="Times New Roman" w:cs="Times New Roman"/>
          <w:sz w:val="24"/>
          <w:szCs w:val="24"/>
        </w:rPr>
        <w:t xml:space="preserve"> to work through </w:t>
      </w:r>
      <w:r w:rsidR="00A83048" w:rsidRPr="00A83048">
        <w:rPr>
          <w:rFonts w:ascii="Times New Roman" w:hAnsi="Times New Roman" w:cs="Times New Roman"/>
          <w:sz w:val="24"/>
          <w:szCs w:val="24"/>
        </w:rPr>
        <w:t>a process of individual internal motivational change</w:t>
      </w:r>
      <w:r w:rsidR="00A83048" w:rsidRPr="001F1519">
        <w:rPr>
          <w:rFonts w:ascii="Times New Roman" w:hAnsi="Times New Roman" w:cs="Times New Roman"/>
          <w:sz w:val="24"/>
          <w:szCs w:val="24"/>
        </w:rPr>
        <w:t xml:space="preserve"> </w:t>
      </w:r>
      <w:r w:rsidR="00A83048">
        <w:rPr>
          <w:rFonts w:ascii="Times New Roman" w:hAnsi="Times New Roman" w:cs="Times New Roman"/>
          <w:sz w:val="24"/>
          <w:szCs w:val="24"/>
        </w:rPr>
        <w:t xml:space="preserve">(mostly via </w:t>
      </w:r>
      <w:r w:rsidR="001F1519" w:rsidRPr="001F1519">
        <w:rPr>
          <w:rFonts w:ascii="Times New Roman" w:hAnsi="Times New Roman" w:cs="Times New Roman"/>
          <w:sz w:val="24"/>
          <w:szCs w:val="24"/>
        </w:rPr>
        <w:t>resolution of ambivalence and eliciting commitment to change</w:t>
      </w:r>
      <w:r w:rsidR="00A83048">
        <w:rPr>
          <w:rFonts w:ascii="Times New Roman" w:hAnsi="Times New Roman" w:cs="Times New Roman"/>
          <w:sz w:val="24"/>
          <w:szCs w:val="24"/>
        </w:rPr>
        <w:t>)</w:t>
      </w:r>
      <w:r w:rsidR="001F1519" w:rsidRPr="001F1519">
        <w:rPr>
          <w:rFonts w:ascii="Times New Roman" w:hAnsi="Times New Roman" w:cs="Times New Roman"/>
          <w:sz w:val="24"/>
          <w:szCs w:val="24"/>
        </w:rPr>
        <w:t xml:space="preserve">. SBNT was </w:t>
      </w:r>
      <w:r w:rsidR="00B24BE9">
        <w:rPr>
          <w:rFonts w:ascii="Times New Roman" w:hAnsi="Times New Roman" w:cs="Times New Roman"/>
          <w:sz w:val="24"/>
          <w:szCs w:val="24"/>
        </w:rPr>
        <w:t>designed</w:t>
      </w:r>
      <w:r w:rsidR="00B24BE9" w:rsidRPr="001F1519">
        <w:rPr>
          <w:rFonts w:ascii="Times New Roman" w:hAnsi="Times New Roman" w:cs="Times New Roman"/>
          <w:sz w:val="24"/>
          <w:szCs w:val="24"/>
        </w:rPr>
        <w:t xml:space="preserve"> </w:t>
      </w:r>
      <w:r w:rsidR="001F1519" w:rsidRPr="001F1519">
        <w:rPr>
          <w:rFonts w:ascii="Times New Roman" w:hAnsi="Times New Roman" w:cs="Times New Roman"/>
          <w:sz w:val="24"/>
          <w:szCs w:val="24"/>
        </w:rPr>
        <w:t xml:space="preserve">to work by recruiting a network </w:t>
      </w:r>
      <w:r w:rsidR="00A83048" w:rsidRPr="00A83048">
        <w:rPr>
          <w:rFonts w:ascii="Times New Roman" w:hAnsi="Times New Roman" w:cs="Times New Roman"/>
          <w:sz w:val="24"/>
          <w:szCs w:val="24"/>
        </w:rPr>
        <w:t>that would support and drive change through external influence</w:t>
      </w:r>
      <w:r w:rsidR="00A83048" w:rsidRPr="001F1519">
        <w:rPr>
          <w:rFonts w:ascii="Times New Roman" w:hAnsi="Times New Roman" w:cs="Times New Roman"/>
          <w:sz w:val="24"/>
          <w:szCs w:val="24"/>
        </w:rPr>
        <w:t xml:space="preserve"> </w:t>
      </w:r>
      <w:r w:rsidR="001F1519" w:rsidRPr="001F1519">
        <w:rPr>
          <w:rFonts w:ascii="Times New Roman" w:hAnsi="Times New Roman" w:cs="Times New Roman"/>
          <w:sz w:val="24"/>
          <w:szCs w:val="24"/>
        </w:rPr>
        <w:t xml:space="preserve">(and enhancing self </w:t>
      </w:r>
      <w:r w:rsidR="004C11BB">
        <w:rPr>
          <w:rFonts w:ascii="Times New Roman" w:hAnsi="Times New Roman" w:cs="Times New Roman"/>
          <w:sz w:val="24"/>
          <w:szCs w:val="24"/>
        </w:rPr>
        <w:t>-</w:t>
      </w:r>
      <w:r w:rsidR="001F1519" w:rsidRPr="001F1519">
        <w:rPr>
          <w:rFonts w:ascii="Times New Roman" w:hAnsi="Times New Roman" w:cs="Times New Roman"/>
          <w:sz w:val="24"/>
          <w:szCs w:val="24"/>
        </w:rPr>
        <w:t>efficacy for change vicariously through this means).</w:t>
      </w:r>
      <w:r w:rsidRPr="00C33339">
        <w:rPr>
          <w:rFonts w:ascii="Times New Roman" w:hAnsi="Times New Roman" w:cs="Times New Roman"/>
          <w:sz w:val="24"/>
          <w:szCs w:val="24"/>
        </w:rPr>
        <w:t xml:space="preserve"> T</w:t>
      </w:r>
      <w:r w:rsidR="006C3315" w:rsidRPr="00C33339">
        <w:rPr>
          <w:rFonts w:ascii="Times New Roman" w:hAnsi="Times New Roman" w:cs="Times New Roman"/>
          <w:sz w:val="24"/>
          <w:szCs w:val="24"/>
        </w:rPr>
        <w:t>he methods used in the trial, including recruitment of</w:t>
      </w:r>
      <w:r w:rsidRPr="00C33339">
        <w:rPr>
          <w:rFonts w:ascii="Times New Roman" w:hAnsi="Times New Roman" w:cs="Times New Roman"/>
          <w:sz w:val="24"/>
          <w:szCs w:val="24"/>
        </w:rPr>
        <w:t xml:space="preserve"> </w:t>
      </w:r>
      <w:r w:rsidR="006C3315" w:rsidRPr="00C33339">
        <w:rPr>
          <w:rFonts w:ascii="Times New Roman" w:hAnsi="Times New Roman" w:cs="Times New Roman"/>
          <w:sz w:val="24"/>
          <w:szCs w:val="24"/>
        </w:rPr>
        <w:t>participants, screening, inclusion/exclusion criteria,</w:t>
      </w:r>
      <w:r w:rsidRPr="00C33339">
        <w:rPr>
          <w:rFonts w:ascii="Times New Roman" w:hAnsi="Times New Roman" w:cs="Times New Roman"/>
          <w:sz w:val="24"/>
          <w:szCs w:val="24"/>
        </w:rPr>
        <w:t xml:space="preserve"> </w:t>
      </w:r>
      <w:r w:rsidR="006C3315" w:rsidRPr="00C33339">
        <w:rPr>
          <w:rFonts w:ascii="Times New Roman" w:hAnsi="Times New Roman" w:cs="Times New Roman"/>
          <w:sz w:val="24"/>
          <w:szCs w:val="24"/>
        </w:rPr>
        <w:t>randomi</w:t>
      </w:r>
      <w:r w:rsidR="004C11BB">
        <w:rPr>
          <w:rFonts w:ascii="Times New Roman" w:hAnsi="Times New Roman" w:cs="Times New Roman"/>
          <w:sz w:val="24"/>
          <w:szCs w:val="24"/>
        </w:rPr>
        <w:t>z</w:t>
      </w:r>
      <w:r w:rsidR="006C3315" w:rsidRPr="00C33339">
        <w:rPr>
          <w:rFonts w:ascii="Times New Roman" w:hAnsi="Times New Roman" w:cs="Times New Roman"/>
          <w:sz w:val="24"/>
          <w:szCs w:val="24"/>
        </w:rPr>
        <w:t>ation procedures, follow-up arrangements and</w:t>
      </w:r>
      <w:r w:rsidRPr="00C33339">
        <w:rPr>
          <w:rFonts w:ascii="Times New Roman" w:hAnsi="Times New Roman" w:cs="Times New Roman"/>
          <w:sz w:val="24"/>
          <w:szCs w:val="24"/>
        </w:rPr>
        <w:t xml:space="preserve"> </w:t>
      </w:r>
      <w:r w:rsidR="006C3315" w:rsidRPr="00C33339">
        <w:rPr>
          <w:rFonts w:ascii="Times New Roman" w:hAnsi="Times New Roman" w:cs="Times New Roman"/>
          <w:sz w:val="24"/>
          <w:szCs w:val="24"/>
        </w:rPr>
        <w:t>details of treatments and therapists,</w:t>
      </w:r>
      <w:r w:rsidRPr="00C33339">
        <w:rPr>
          <w:rFonts w:ascii="Times New Roman" w:hAnsi="Times New Roman" w:cs="Times New Roman"/>
          <w:sz w:val="24"/>
          <w:szCs w:val="24"/>
        </w:rPr>
        <w:t xml:space="preserve"> </w:t>
      </w:r>
      <w:r w:rsidR="006C3315" w:rsidRPr="00C33339">
        <w:rPr>
          <w:rFonts w:ascii="Times New Roman" w:hAnsi="Times New Roman" w:cs="Times New Roman"/>
          <w:sz w:val="24"/>
          <w:szCs w:val="24"/>
        </w:rPr>
        <w:t xml:space="preserve">were described </w:t>
      </w:r>
      <w:r w:rsidRPr="00C33339">
        <w:rPr>
          <w:rFonts w:ascii="Times New Roman" w:hAnsi="Times New Roman" w:cs="Times New Roman"/>
          <w:sz w:val="24"/>
          <w:szCs w:val="24"/>
        </w:rPr>
        <w:t>elsewhere</w:t>
      </w:r>
      <w:r w:rsidR="006C3315" w:rsidRPr="00C33339">
        <w:rPr>
          <w:rFonts w:ascii="Times New Roman" w:hAnsi="Times New Roman" w:cs="Times New Roman"/>
          <w:sz w:val="24"/>
          <w:szCs w:val="24"/>
        </w:rPr>
        <w:t xml:space="preserve"> </w:t>
      </w:r>
      <w:r w:rsidR="006F2633">
        <w:rPr>
          <w:rFonts w:ascii="Times New Roman" w:hAnsi="Times New Roman" w:cs="Times New Roman"/>
          <w:sz w:val="24"/>
          <w:szCs w:val="24"/>
        </w:rPr>
        <w:t>(UKATT Research Team, 2001)</w:t>
      </w:r>
      <w:r w:rsidR="006C3315" w:rsidRPr="00C33339">
        <w:rPr>
          <w:rFonts w:ascii="Times New Roman" w:hAnsi="Times New Roman" w:cs="Times New Roman"/>
          <w:sz w:val="24"/>
          <w:szCs w:val="24"/>
        </w:rPr>
        <w:t>.</w:t>
      </w:r>
      <w:r w:rsidR="00E66E50" w:rsidRPr="00C33339">
        <w:rPr>
          <w:rFonts w:ascii="Times New Roman" w:hAnsi="Times New Roman" w:cs="Times New Roman"/>
          <w:sz w:val="24"/>
          <w:szCs w:val="24"/>
        </w:rPr>
        <w:t xml:space="preserve"> </w:t>
      </w:r>
      <w:r w:rsidR="00CE392E">
        <w:rPr>
          <w:rFonts w:ascii="Times New Roman" w:hAnsi="Times New Roman" w:cs="Times New Roman"/>
          <w:sz w:val="24"/>
          <w:szCs w:val="24"/>
        </w:rPr>
        <w:t>Written informed consent from the client to participate in the study</w:t>
      </w:r>
      <w:r w:rsidR="00256297">
        <w:rPr>
          <w:rFonts w:ascii="Times New Roman" w:hAnsi="Times New Roman" w:cs="Times New Roman"/>
          <w:sz w:val="24"/>
          <w:szCs w:val="24"/>
        </w:rPr>
        <w:t xml:space="preserve"> and</w:t>
      </w:r>
      <w:r w:rsidR="00CE392E">
        <w:rPr>
          <w:rFonts w:ascii="Times New Roman" w:hAnsi="Times New Roman" w:cs="Times New Roman"/>
          <w:sz w:val="24"/>
          <w:szCs w:val="24"/>
        </w:rPr>
        <w:t xml:space="preserve"> to have each session video</w:t>
      </w:r>
      <w:r w:rsidR="004C11BB">
        <w:rPr>
          <w:rFonts w:ascii="Times New Roman" w:hAnsi="Times New Roman" w:cs="Times New Roman"/>
          <w:sz w:val="24"/>
          <w:szCs w:val="24"/>
        </w:rPr>
        <w:t>-</w:t>
      </w:r>
      <w:r w:rsidR="00CE392E">
        <w:rPr>
          <w:rFonts w:ascii="Times New Roman" w:hAnsi="Times New Roman" w:cs="Times New Roman"/>
          <w:sz w:val="24"/>
          <w:szCs w:val="24"/>
        </w:rPr>
        <w:t xml:space="preserve">recorded for the purpose of supervision, </w:t>
      </w:r>
      <w:r w:rsidR="006E56F7">
        <w:rPr>
          <w:rFonts w:ascii="Times New Roman" w:hAnsi="Times New Roman" w:cs="Times New Roman"/>
          <w:sz w:val="24"/>
          <w:szCs w:val="24"/>
        </w:rPr>
        <w:t xml:space="preserve">rating treatment delivery and future research was collected by the </w:t>
      </w:r>
      <w:r w:rsidR="006F3D02">
        <w:rPr>
          <w:rFonts w:ascii="Times New Roman" w:hAnsi="Times New Roman" w:cs="Times New Roman"/>
          <w:sz w:val="24"/>
          <w:szCs w:val="24"/>
        </w:rPr>
        <w:t xml:space="preserve">local </w:t>
      </w:r>
      <w:r w:rsidR="006E56F7">
        <w:rPr>
          <w:rFonts w:ascii="Times New Roman" w:hAnsi="Times New Roman" w:cs="Times New Roman"/>
          <w:sz w:val="24"/>
          <w:szCs w:val="24"/>
        </w:rPr>
        <w:t xml:space="preserve">researcher at the point of </w:t>
      </w:r>
      <w:r w:rsidR="006E56F7" w:rsidRPr="00EB5F70">
        <w:rPr>
          <w:rFonts w:ascii="Times New Roman" w:hAnsi="Times New Roman" w:cs="Times New Roman"/>
          <w:sz w:val="24"/>
          <w:szCs w:val="24"/>
        </w:rPr>
        <w:t xml:space="preserve">recruitment to the study. </w:t>
      </w:r>
      <w:r w:rsidR="006F3D02" w:rsidRPr="00EB5F70">
        <w:rPr>
          <w:rFonts w:ascii="Times New Roman" w:hAnsi="Times New Roman" w:cs="Times New Roman"/>
          <w:sz w:val="24"/>
          <w:szCs w:val="24"/>
        </w:rPr>
        <w:t xml:space="preserve">Ethical approval was obtained through the local NHS ethics committee for each of the treatment </w:t>
      </w:r>
      <w:r w:rsidR="00F663EE" w:rsidRPr="00EB5F70">
        <w:rPr>
          <w:rFonts w:ascii="Times New Roman" w:hAnsi="Times New Roman" w:cs="Times New Roman"/>
          <w:sz w:val="24"/>
          <w:szCs w:val="24"/>
        </w:rPr>
        <w:t>centers</w:t>
      </w:r>
      <w:r w:rsidR="006F3D02" w:rsidRPr="00EB5F70">
        <w:rPr>
          <w:rFonts w:ascii="Times New Roman" w:hAnsi="Times New Roman" w:cs="Times New Roman"/>
          <w:sz w:val="24"/>
          <w:szCs w:val="24"/>
        </w:rPr>
        <w:t xml:space="preserve">. </w:t>
      </w:r>
      <w:r w:rsidR="00AC5AF1" w:rsidRPr="00EB5F70">
        <w:rPr>
          <w:rFonts w:ascii="Times New Roman" w:hAnsi="Times New Roman" w:cs="Times New Roman"/>
          <w:sz w:val="24"/>
          <w:szCs w:val="24"/>
        </w:rPr>
        <w:t xml:space="preserve">The protocol required therapists to record all sessions and one </w:t>
      </w:r>
      <w:r w:rsidR="006C3315" w:rsidRPr="00EB5F70">
        <w:rPr>
          <w:rFonts w:ascii="Times New Roman" w:hAnsi="Times New Roman" w:cs="Times New Roman"/>
          <w:sz w:val="24"/>
          <w:szCs w:val="24"/>
        </w:rPr>
        <w:t xml:space="preserve">video per </w:t>
      </w:r>
      <w:r w:rsidR="001B444E" w:rsidRPr="00EB5F70">
        <w:rPr>
          <w:rFonts w:ascii="Times New Roman" w:hAnsi="Times New Roman" w:cs="Times New Roman"/>
          <w:sz w:val="24"/>
          <w:szCs w:val="24"/>
        </w:rPr>
        <w:t>client</w:t>
      </w:r>
      <w:r w:rsidR="004C11BB" w:rsidRPr="00EB5F70">
        <w:rPr>
          <w:rFonts w:ascii="Times New Roman" w:hAnsi="Times New Roman" w:cs="Times New Roman"/>
          <w:sz w:val="24"/>
          <w:szCs w:val="24"/>
        </w:rPr>
        <w:t xml:space="preserve"> </w:t>
      </w:r>
      <w:r w:rsidR="006C3315" w:rsidRPr="00EB5F70">
        <w:rPr>
          <w:rFonts w:ascii="Times New Roman" w:hAnsi="Times New Roman" w:cs="Times New Roman"/>
          <w:sz w:val="24"/>
          <w:szCs w:val="24"/>
        </w:rPr>
        <w:t xml:space="preserve">(where available) was sampled </w:t>
      </w:r>
      <w:r w:rsidR="00FC60B5" w:rsidRPr="00EB5F70">
        <w:rPr>
          <w:rFonts w:ascii="Times New Roman" w:hAnsi="Times New Roman" w:cs="Times New Roman"/>
          <w:sz w:val="24"/>
          <w:szCs w:val="24"/>
        </w:rPr>
        <w:t xml:space="preserve">for monitoring and rating the delivery of </w:t>
      </w:r>
      <w:r w:rsidR="00227426" w:rsidRPr="00EB5F70">
        <w:rPr>
          <w:rFonts w:ascii="Times New Roman" w:hAnsi="Times New Roman" w:cs="Times New Roman"/>
          <w:sz w:val="24"/>
          <w:szCs w:val="24"/>
        </w:rPr>
        <w:t xml:space="preserve">each </w:t>
      </w:r>
      <w:r w:rsidR="00FC60B5" w:rsidRPr="00EB5F70">
        <w:rPr>
          <w:rFonts w:ascii="Times New Roman" w:hAnsi="Times New Roman" w:cs="Times New Roman"/>
          <w:sz w:val="24"/>
          <w:szCs w:val="24"/>
        </w:rPr>
        <w:t>treatment</w:t>
      </w:r>
      <w:r w:rsidR="00BD2320" w:rsidRPr="00EB5F70">
        <w:rPr>
          <w:rFonts w:ascii="Times New Roman" w:hAnsi="Times New Roman" w:cs="Times New Roman"/>
          <w:sz w:val="24"/>
          <w:szCs w:val="24"/>
        </w:rPr>
        <w:t xml:space="preserve"> </w:t>
      </w:r>
      <w:r w:rsidR="006F2633" w:rsidRPr="00EB5F70">
        <w:rPr>
          <w:rFonts w:ascii="Times New Roman" w:hAnsi="Times New Roman" w:cs="Times New Roman"/>
          <w:sz w:val="24"/>
          <w:szCs w:val="24"/>
        </w:rPr>
        <w:t>(Tober et al., 2008)</w:t>
      </w:r>
      <w:r w:rsidR="006C3315" w:rsidRPr="00EB5F70">
        <w:rPr>
          <w:rFonts w:ascii="Times New Roman" w:hAnsi="Times New Roman" w:cs="Times New Roman"/>
          <w:sz w:val="24"/>
          <w:szCs w:val="24"/>
        </w:rPr>
        <w:t xml:space="preserve">. </w:t>
      </w:r>
      <w:r w:rsidR="00940204" w:rsidRPr="00EB5F70">
        <w:rPr>
          <w:rFonts w:ascii="Times New Roman" w:hAnsi="Times New Roman" w:cs="Times New Roman"/>
          <w:sz w:val="24"/>
          <w:szCs w:val="24"/>
        </w:rPr>
        <w:t xml:space="preserve">Among the 742 </w:t>
      </w:r>
      <w:r w:rsidR="004C11BB" w:rsidRPr="00EB5F70">
        <w:rPr>
          <w:rFonts w:ascii="Times New Roman" w:hAnsi="Times New Roman" w:cs="Times New Roman"/>
          <w:sz w:val="24"/>
          <w:szCs w:val="24"/>
        </w:rPr>
        <w:t>clients</w:t>
      </w:r>
      <w:r w:rsidR="00940204" w:rsidRPr="00EB5F70">
        <w:rPr>
          <w:rFonts w:ascii="Times New Roman" w:hAnsi="Times New Roman" w:cs="Times New Roman"/>
          <w:sz w:val="24"/>
          <w:szCs w:val="24"/>
        </w:rPr>
        <w:t xml:space="preserve"> included in UKATT, 178 (24%) had no video available, an additional 15% (N=112) had </w:t>
      </w:r>
      <w:r w:rsidR="005F46CC" w:rsidRPr="00EB5F70">
        <w:rPr>
          <w:rFonts w:ascii="Times New Roman" w:hAnsi="Times New Roman" w:cs="Times New Roman"/>
          <w:sz w:val="24"/>
          <w:szCs w:val="24"/>
        </w:rPr>
        <w:t>an</w:t>
      </w:r>
      <w:r w:rsidR="00972E3F" w:rsidRPr="00EB5F70">
        <w:rPr>
          <w:rFonts w:ascii="Times New Roman" w:hAnsi="Times New Roman" w:cs="Times New Roman"/>
          <w:sz w:val="24"/>
          <w:szCs w:val="24"/>
        </w:rPr>
        <w:t xml:space="preserve"> </w:t>
      </w:r>
      <w:r w:rsidR="00940204" w:rsidRPr="00EB5F70">
        <w:rPr>
          <w:rFonts w:ascii="Times New Roman" w:hAnsi="Times New Roman" w:cs="Times New Roman"/>
          <w:sz w:val="24"/>
          <w:szCs w:val="24"/>
        </w:rPr>
        <w:t xml:space="preserve">unrateable </w:t>
      </w:r>
      <w:r w:rsidR="005F46CC" w:rsidRPr="00EB5F70">
        <w:rPr>
          <w:rFonts w:ascii="Times New Roman" w:hAnsi="Times New Roman" w:cs="Times New Roman"/>
          <w:sz w:val="24"/>
          <w:szCs w:val="24"/>
        </w:rPr>
        <w:t xml:space="preserve">video </w:t>
      </w:r>
      <w:r w:rsidR="00940204" w:rsidRPr="00EB5F70">
        <w:rPr>
          <w:rFonts w:ascii="Times New Roman" w:hAnsi="Times New Roman" w:cs="Times New Roman"/>
          <w:sz w:val="24"/>
          <w:szCs w:val="24"/>
        </w:rPr>
        <w:t>(mostly sound problems or incomplete recording). Among t</w:t>
      </w:r>
      <w:r w:rsidR="006C3315" w:rsidRPr="00EB5F70">
        <w:rPr>
          <w:rFonts w:ascii="Times New Roman" w:hAnsi="Times New Roman" w:cs="Times New Roman"/>
          <w:sz w:val="24"/>
          <w:szCs w:val="24"/>
        </w:rPr>
        <w:t xml:space="preserve">he </w:t>
      </w:r>
      <w:r w:rsidR="00940204" w:rsidRPr="00EB5F70">
        <w:rPr>
          <w:rFonts w:ascii="Times New Roman" w:hAnsi="Times New Roman" w:cs="Times New Roman"/>
          <w:sz w:val="24"/>
          <w:szCs w:val="24"/>
        </w:rPr>
        <w:t xml:space="preserve">resulting </w:t>
      </w:r>
      <w:r w:rsidR="006C3315" w:rsidRPr="00EB5F70">
        <w:rPr>
          <w:rFonts w:ascii="Times New Roman" w:hAnsi="Times New Roman" w:cs="Times New Roman"/>
          <w:sz w:val="24"/>
          <w:szCs w:val="24"/>
        </w:rPr>
        <w:t xml:space="preserve">452 </w:t>
      </w:r>
      <w:r w:rsidR="001B444E" w:rsidRPr="00EB5F70">
        <w:rPr>
          <w:rFonts w:ascii="Times New Roman" w:hAnsi="Times New Roman" w:cs="Times New Roman"/>
          <w:sz w:val="24"/>
          <w:szCs w:val="24"/>
        </w:rPr>
        <w:t>clients</w:t>
      </w:r>
      <w:r w:rsidR="00940204" w:rsidRPr="00EB5F70">
        <w:rPr>
          <w:rFonts w:ascii="Times New Roman" w:hAnsi="Times New Roman" w:cs="Times New Roman"/>
          <w:sz w:val="24"/>
          <w:szCs w:val="24"/>
        </w:rPr>
        <w:t xml:space="preserve"> (61%), one video was</w:t>
      </w:r>
      <w:r w:rsidR="006C3315" w:rsidRPr="00EB5F70">
        <w:rPr>
          <w:rFonts w:ascii="Times New Roman" w:hAnsi="Times New Roman" w:cs="Times New Roman"/>
          <w:sz w:val="24"/>
          <w:szCs w:val="24"/>
        </w:rPr>
        <w:t xml:space="preserve"> </w:t>
      </w:r>
      <w:r w:rsidR="00AC5AF1" w:rsidRPr="00EB5F70">
        <w:rPr>
          <w:rFonts w:ascii="Times New Roman" w:hAnsi="Times New Roman" w:cs="Times New Roman"/>
          <w:sz w:val="24"/>
          <w:szCs w:val="24"/>
        </w:rPr>
        <w:t xml:space="preserve">randomly </w:t>
      </w:r>
      <w:r w:rsidR="00940204" w:rsidRPr="00EB5F70">
        <w:rPr>
          <w:rFonts w:ascii="Times New Roman" w:hAnsi="Times New Roman" w:cs="Times New Roman"/>
          <w:sz w:val="24"/>
          <w:szCs w:val="24"/>
        </w:rPr>
        <w:t>sampled</w:t>
      </w:r>
      <w:r w:rsidR="00F04C3E" w:rsidRPr="00EB5F70">
        <w:rPr>
          <w:rFonts w:ascii="Times New Roman" w:hAnsi="Times New Roman" w:cs="Times New Roman"/>
          <w:sz w:val="24"/>
          <w:szCs w:val="24"/>
        </w:rPr>
        <w:t>,</w:t>
      </w:r>
      <w:r w:rsidR="00940204" w:rsidRPr="00EB5F70">
        <w:rPr>
          <w:rFonts w:ascii="Times New Roman" w:hAnsi="Times New Roman" w:cs="Times New Roman"/>
          <w:sz w:val="24"/>
          <w:szCs w:val="24"/>
        </w:rPr>
        <w:t xml:space="preserve"> </w:t>
      </w:r>
      <w:r w:rsidR="006C3315" w:rsidRPr="00EB5F70">
        <w:rPr>
          <w:rFonts w:ascii="Times New Roman" w:hAnsi="Times New Roman" w:cs="Times New Roman"/>
          <w:sz w:val="24"/>
          <w:szCs w:val="24"/>
        </w:rPr>
        <w:t>stratified</w:t>
      </w:r>
      <w:r w:rsidRPr="00EB5F70">
        <w:rPr>
          <w:rFonts w:ascii="Times New Roman" w:hAnsi="Times New Roman" w:cs="Times New Roman"/>
          <w:sz w:val="24"/>
          <w:szCs w:val="24"/>
        </w:rPr>
        <w:t xml:space="preserve"> </w:t>
      </w:r>
      <w:r w:rsidR="006C3315" w:rsidRPr="00EB5F70">
        <w:rPr>
          <w:rFonts w:ascii="Times New Roman" w:hAnsi="Times New Roman" w:cs="Times New Roman"/>
          <w:sz w:val="24"/>
          <w:szCs w:val="24"/>
        </w:rPr>
        <w:t>by treatment (MET or SBNT), session number (1</w:t>
      </w:r>
      <w:r w:rsidR="00FC60B5" w:rsidRPr="00EB5F70">
        <w:rPr>
          <w:rFonts w:ascii="Times New Roman" w:hAnsi="Times New Roman" w:cs="Times New Roman"/>
          <w:sz w:val="24"/>
          <w:szCs w:val="24"/>
        </w:rPr>
        <w:t xml:space="preserve"> to </w:t>
      </w:r>
      <w:r w:rsidR="006C3315" w:rsidRPr="00EB5F70">
        <w:rPr>
          <w:rFonts w:ascii="Times New Roman" w:hAnsi="Times New Roman" w:cs="Times New Roman"/>
          <w:sz w:val="24"/>
          <w:szCs w:val="24"/>
        </w:rPr>
        <w:t>3 for MET,</w:t>
      </w:r>
      <w:r w:rsidRPr="00EB5F70">
        <w:rPr>
          <w:rFonts w:ascii="Times New Roman" w:hAnsi="Times New Roman" w:cs="Times New Roman"/>
          <w:sz w:val="24"/>
          <w:szCs w:val="24"/>
        </w:rPr>
        <w:t xml:space="preserve"> </w:t>
      </w:r>
      <w:r w:rsidR="006C3315" w:rsidRPr="00EB5F70">
        <w:rPr>
          <w:rFonts w:ascii="Times New Roman" w:hAnsi="Times New Roman" w:cs="Times New Roman"/>
          <w:sz w:val="24"/>
          <w:szCs w:val="24"/>
        </w:rPr>
        <w:t>1</w:t>
      </w:r>
      <w:r w:rsidR="00FC60B5" w:rsidRPr="00EB5F70">
        <w:rPr>
          <w:rFonts w:ascii="Times New Roman" w:hAnsi="Times New Roman" w:cs="Times New Roman"/>
          <w:sz w:val="24"/>
          <w:szCs w:val="24"/>
        </w:rPr>
        <w:t xml:space="preserve"> to </w:t>
      </w:r>
      <w:r w:rsidR="006C3315" w:rsidRPr="00EB5F70">
        <w:rPr>
          <w:rFonts w:ascii="Times New Roman" w:hAnsi="Times New Roman" w:cs="Times New Roman"/>
          <w:sz w:val="24"/>
          <w:szCs w:val="24"/>
        </w:rPr>
        <w:t xml:space="preserve">8 for SBNT) and </w:t>
      </w:r>
      <w:r w:rsidR="00490D1D" w:rsidRPr="00EB5F70">
        <w:rPr>
          <w:rFonts w:ascii="Times New Roman" w:hAnsi="Times New Roman" w:cs="Times New Roman"/>
          <w:sz w:val="24"/>
          <w:szCs w:val="24"/>
        </w:rPr>
        <w:t>treatment</w:t>
      </w:r>
      <w:r w:rsidR="006C3315" w:rsidRPr="00EB5F70">
        <w:rPr>
          <w:rFonts w:ascii="Times New Roman" w:hAnsi="Times New Roman" w:cs="Times New Roman"/>
          <w:sz w:val="24"/>
          <w:szCs w:val="24"/>
        </w:rPr>
        <w:t xml:space="preserve"> </w:t>
      </w:r>
      <w:r w:rsidR="00F663EE" w:rsidRPr="00EB5F70">
        <w:rPr>
          <w:rFonts w:ascii="Times New Roman" w:hAnsi="Times New Roman" w:cs="Times New Roman"/>
          <w:sz w:val="24"/>
          <w:szCs w:val="24"/>
        </w:rPr>
        <w:t>center</w:t>
      </w:r>
      <w:r w:rsidR="006C3315" w:rsidRPr="00EB5F70">
        <w:rPr>
          <w:rFonts w:ascii="Times New Roman" w:hAnsi="Times New Roman" w:cs="Times New Roman"/>
          <w:sz w:val="24"/>
          <w:szCs w:val="24"/>
        </w:rPr>
        <w:t>. To maintain balance</w:t>
      </w:r>
      <w:r w:rsidRPr="00EB5F70">
        <w:rPr>
          <w:rFonts w:ascii="Times New Roman" w:hAnsi="Times New Roman" w:cs="Times New Roman"/>
          <w:sz w:val="24"/>
          <w:szCs w:val="24"/>
        </w:rPr>
        <w:t xml:space="preserve"> </w:t>
      </w:r>
      <w:r w:rsidR="006C3315" w:rsidRPr="00EB5F70">
        <w:rPr>
          <w:rFonts w:ascii="Times New Roman" w:hAnsi="Times New Roman" w:cs="Times New Roman"/>
          <w:sz w:val="24"/>
          <w:szCs w:val="24"/>
        </w:rPr>
        <w:t xml:space="preserve">between treatments, session numbers and </w:t>
      </w:r>
      <w:r w:rsidR="00F663EE" w:rsidRPr="00EB5F70">
        <w:rPr>
          <w:rFonts w:ascii="Times New Roman" w:hAnsi="Times New Roman" w:cs="Times New Roman"/>
          <w:sz w:val="24"/>
          <w:szCs w:val="24"/>
        </w:rPr>
        <w:t>centers</w:t>
      </w:r>
      <w:r w:rsidR="006C3315" w:rsidRPr="00EB5F70">
        <w:rPr>
          <w:rFonts w:ascii="Times New Roman" w:hAnsi="Times New Roman" w:cs="Times New Roman"/>
          <w:sz w:val="24"/>
          <w:szCs w:val="24"/>
        </w:rPr>
        <w:t>, replacement</w:t>
      </w:r>
      <w:r w:rsidRPr="00EB5F70">
        <w:rPr>
          <w:rFonts w:ascii="Times New Roman" w:hAnsi="Times New Roman" w:cs="Times New Roman"/>
          <w:sz w:val="24"/>
          <w:szCs w:val="24"/>
        </w:rPr>
        <w:t xml:space="preserve"> </w:t>
      </w:r>
      <w:r w:rsidR="006C3315" w:rsidRPr="00EB5F70">
        <w:rPr>
          <w:rFonts w:ascii="Times New Roman" w:hAnsi="Times New Roman" w:cs="Times New Roman"/>
          <w:sz w:val="24"/>
          <w:szCs w:val="24"/>
        </w:rPr>
        <w:t>sampling was used when a video was unrateable</w:t>
      </w:r>
      <w:r w:rsidR="00660F05" w:rsidRPr="00EB5F70">
        <w:rPr>
          <w:rFonts w:ascii="Times New Roman" w:hAnsi="Times New Roman" w:cs="Times New Roman"/>
          <w:sz w:val="24"/>
          <w:szCs w:val="24"/>
        </w:rPr>
        <w:t>.</w:t>
      </w:r>
      <w:r w:rsidR="006C3315" w:rsidRPr="00EB5F70">
        <w:rPr>
          <w:rFonts w:ascii="Times New Roman" w:hAnsi="Times New Roman" w:cs="Times New Roman"/>
          <w:sz w:val="24"/>
          <w:szCs w:val="24"/>
        </w:rPr>
        <w:t xml:space="preserve"> </w:t>
      </w:r>
    </w:p>
    <w:p w14:paraId="07756953" w14:textId="3002A962" w:rsidR="001B4CAD" w:rsidRPr="00C33339" w:rsidRDefault="00E66E50" w:rsidP="002C3320">
      <w:pPr>
        <w:rPr>
          <w:rFonts w:ascii="Times New Roman" w:hAnsi="Times New Roman" w:cs="Times New Roman"/>
          <w:sz w:val="24"/>
          <w:szCs w:val="24"/>
        </w:rPr>
      </w:pPr>
      <w:r w:rsidRPr="00EB5F70">
        <w:rPr>
          <w:rFonts w:ascii="Times New Roman" w:hAnsi="Times New Roman" w:cs="Times New Roman"/>
          <w:sz w:val="24"/>
          <w:szCs w:val="24"/>
        </w:rPr>
        <w:t xml:space="preserve">In the present </w:t>
      </w:r>
      <w:r w:rsidR="00C92621" w:rsidRPr="00EB5F70">
        <w:rPr>
          <w:rFonts w:ascii="Times New Roman" w:hAnsi="Times New Roman" w:cs="Times New Roman"/>
          <w:sz w:val="24"/>
          <w:szCs w:val="24"/>
        </w:rPr>
        <w:t>analysis</w:t>
      </w:r>
      <w:r w:rsidRPr="00EB5F70">
        <w:rPr>
          <w:rFonts w:ascii="Times New Roman" w:hAnsi="Times New Roman" w:cs="Times New Roman"/>
          <w:sz w:val="24"/>
          <w:szCs w:val="24"/>
        </w:rPr>
        <w:t xml:space="preserve">, we matched the process data extracted </w:t>
      </w:r>
      <w:r w:rsidR="00810BC4" w:rsidRPr="00EB5F70">
        <w:rPr>
          <w:rFonts w:ascii="Times New Roman" w:hAnsi="Times New Roman" w:cs="Times New Roman"/>
          <w:sz w:val="24"/>
          <w:szCs w:val="24"/>
        </w:rPr>
        <w:t>in</w:t>
      </w:r>
      <w:r w:rsidR="00676868" w:rsidRPr="00EB5F70">
        <w:rPr>
          <w:rFonts w:ascii="Times New Roman" w:hAnsi="Times New Roman" w:cs="Times New Roman"/>
          <w:sz w:val="24"/>
          <w:szCs w:val="24"/>
        </w:rPr>
        <w:t xml:space="preserve"> Tober et al. </w:t>
      </w:r>
      <w:r w:rsidR="006F2633" w:rsidRPr="00EB5F70">
        <w:rPr>
          <w:rFonts w:ascii="Times New Roman" w:hAnsi="Times New Roman" w:cs="Times New Roman"/>
          <w:sz w:val="24"/>
          <w:szCs w:val="24"/>
        </w:rPr>
        <w:t>(2008)</w:t>
      </w:r>
      <w:r w:rsidR="00810BC4" w:rsidRPr="00EB5F70">
        <w:rPr>
          <w:rFonts w:ascii="Times New Roman" w:hAnsi="Times New Roman" w:cs="Times New Roman"/>
          <w:sz w:val="24"/>
          <w:szCs w:val="24"/>
        </w:rPr>
        <w:t xml:space="preserve"> to </w:t>
      </w:r>
      <w:r w:rsidR="00660F05" w:rsidRPr="00EB5F70">
        <w:rPr>
          <w:rFonts w:ascii="Times New Roman" w:hAnsi="Times New Roman" w:cs="Times New Roman"/>
          <w:sz w:val="24"/>
          <w:szCs w:val="24"/>
        </w:rPr>
        <w:t xml:space="preserve">data from </w:t>
      </w:r>
      <w:r w:rsidR="001B444E" w:rsidRPr="00EB5F70">
        <w:rPr>
          <w:rFonts w:ascii="Times New Roman" w:hAnsi="Times New Roman" w:cs="Times New Roman"/>
          <w:sz w:val="24"/>
          <w:szCs w:val="24"/>
        </w:rPr>
        <w:t>client</w:t>
      </w:r>
      <w:r w:rsidR="00660F05" w:rsidRPr="00EB5F70">
        <w:rPr>
          <w:rFonts w:ascii="Times New Roman" w:hAnsi="Times New Roman" w:cs="Times New Roman"/>
          <w:sz w:val="24"/>
          <w:szCs w:val="24"/>
        </w:rPr>
        <w:t xml:space="preserve">s followed-up at 12-month in </w:t>
      </w:r>
      <w:r w:rsidR="00810BC4" w:rsidRPr="00EB5F70">
        <w:rPr>
          <w:rFonts w:ascii="Times New Roman" w:hAnsi="Times New Roman" w:cs="Times New Roman"/>
          <w:sz w:val="24"/>
          <w:szCs w:val="24"/>
        </w:rPr>
        <w:t xml:space="preserve">the main UKATT dataset </w:t>
      </w:r>
      <w:r w:rsidR="006F2633" w:rsidRPr="00EB5F70">
        <w:rPr>
          <w:rFonts w:ascii="Times New Roman" w:hAnsi="Times New Roman" w:cs="Times New Roman"/>
          <w:sz w:val="24"/>
          <w:szCs w:val="24"/>
        </w:rPr>
        <w:t>(UKATT Research</w:t>
      </w:r>
      <w:r w:rsidR="006F2633">
        <w:rPr>
          <w:rFonts w:ascii="Times New Roman" w:hAnsi="Times New Roman" w:cs="Times New Roman"/>
          <w:sz w:val="24"/>
          <w:szCs w:val="24"/>
        </w:rPr>
        <w:t xml:space="preserve"> </w:t>
      </w:r>
      <w:r w:rsidR="006F2633">
        <w:rPr>
          <w:rFonts w:ascii="Times New Roman" w:hAnsi="Times New Roman" w:cs="Times New Roman"/>
          <w:sz w:val="24"/>
          <w:szCs w:val="24"/>
        </w:rPr>
        <w:lastRenderedPageBreak/>
        <w:t>Team, 2005)</w:t>
      </w:r>
      <w:r w:rsidR="00810BC4" w:rsidRPr="00C33339">
        <w:rPr>
          <w:rFonts w:ascii="Times New Roman" w:hAnsi="Times New Roman" w:cs="Times New Roman"/>
          <w:sz w:val="24"/>
          <w:szCs w:val="24"/>
        </w:rPr>
        <w:t xml:space="preserve">. This resulted in a sample </w:t>
      </w:r>
      <w:r w:rsidR="00660F05" w:rsidRPr="00C33339">
        <w:rPr>
          <w:rFonts w:ascii="Times New Roman" w:hAnsi="Times New Roman" w:cs="Times New Roman"/>
          <w:sz w:val="24"/>
          <w:szCs w:val="24"/>
        </w:rPr>
        <w:t>of N=376 (N=217 for MET and N=159 for SBNT) with one coded session each</w:t>
      </w:r>
      <w:r w:rsidR="00810BC4" w:rsidRPr="00C33339">
        <w:rPr>
          <w:rFonts w:ascii="Times New Roman" w:hAnsi="Times New Roman" w:cs="Times New Roman"/>
          <w:sz w:val="24"/>
          <w:szCs w:val="24"/>
        </w:rPr>
        <w:t xml:space="preserve"> </w:t>
      </w:r>
      <w:r w:rsidR="002F2C87" w:rsidRPr="00C33339">
        <w:rPr>
          <w:rFonts w:ascii="Times New Roman" w:hAnsi="Times New Roman" w:cs="Times New Roman"/>
          <w:sz w:val="24"/>
          <w:szCs w:val="24"/>
        </w:rPr>
        <w:t>(</w:t>
      </w:r>
      <w:r w:rsidR="00810BC4" w:rsidRPr="00C33339">
        <w:rPr>
          <w:rFonts w:ascii="Times New Roman" w:hAnsi="Times New Roman" w:cs="Times New Roman"/>
          <w:sz w:val="24"/>
          <w:szCs w:val="24"/>
        </w:rPr>
        <w:t>see Table 1).</w:t>
      </w:r>
    </w:p>
    <w:p w14:paraId="0E35E549" w14:textId="77C94F51" w:rsidR="001B4CAD" w:rsidRPr="00C33339" w:rsidRDefault="00810BC4" w:rsidP="002C3320">
      <w:pPr>
        <w:pStyle w:val="Heading6"/>
      </w:pPr>
      <w:r w:rsidRPr="00C33339">
        <w:t xml:space="preserve">Insert Table 1 </w:t>
      </w:r>
      <w:r w:rsidR="00FC5BC2" w:rsidRPr="00C33339">
        <w:t xml:space="preserve">about </w:t>
      </w:r>
      <w:r w:rsidRPr="00C33339">
        <w:t>here</w:t>
      </w:r>
      <w:r w:rsidR="001B4CAD" w:rsidRPr="00C33339">
        <w:t>.</w:t>
      </w:r>
    </w:p>
    <w:p w14:paraId="44A9DDB0" w14:textId="77777777" w:rsidR="00FF7B89" w:rsidRPr="00C33339" w:rsidRDefault="00C45695" w:rsidP="00B762B1">
      <w:pPr>
        <w:pStyle w:val="Heading3"/>
      </w:pPr>
      <w:r w:rsidRPr="00C33339">
        <w:t xml:space="preserve">Therapist </w:t>
      </w:r>
      <w:r w:rsidR="002E06F1" w:rsidRPr="00C33339">
        <w:t xml:space="preserve">selection and </w:t>
      </w:r>
      <w:r w:rsidRPr="00C33339">
        <w:t>training</w:t>
      </w:r>
      <w:r w:rsidR="009C3334">
        <w:t xml:space="preserve"> </w:t>
      </w:r>
    </w:p>
    <w:p w14:paraId="43AA7D4F" w14:textId="7AEE153C" w:rsidR="004D5AE5" w:rsidRDefault="00F1101F" w:rsidP="005A0D61">
      <w:pPr>
        <w:rPr>
          <w:rFonts w:ascii="Times New Roman" w:hAnsi="Times New Roman" w:cs="Times New Roman"/>
          <w:sz w:val="24"/>
          <w:szCs w:val="24"/>
        </w:rPr>
      </w:pPr>
      <w:r w:rsidRPr="00C33339">
        <w:rPr>
          <w:rFonts w:ascii="Times New Roman" w:hAnsi="Times New Roman" w:cs="Times New Roman"/>
          <w:sz w:val="24"/>
          <w:szCs w:val="24"/>
        </w:rPr>
        <w:t xml:space="preserve">As this was a pragmatic trial, </w:t>
      </w:r>
      <w:r w:rsidR="005A0D61">
        <w:rPr>
          <w:rFonts w:ascii="Times New Roman" w:hAnsi="Times New Roman" w:cs="Times New Roman"/>
          <w:sz w:val="24"/>
          <w:szCs w:val="24"/>
        </w:rPr>
        <w:t>t</w:t>
      </w:r>
      <w:r w:rsidR="005A0D61" w:rsidRPr="005A0D61">
        <w:rPr>
          <w:rFonts w:ascii="Times New Roman" w:hAnsi="Times New Roman" w:cs="Times New Roman"/>
          <w:sz w:val="24"/>
          <w:szCs w:val="24"/>
        </w:rPr>
        <w:t xml:space="preserve">herapists were randomly assigned to one of the two treatments after they had been accepted to </w:t>
      </w:r>
      <w:r w:rsidR="00891288" w:rsidRPr="005A0D61">
        <w:rPr>
          <w:rFonts w:ascii="Times New Roman" w:hAnsi="Times New Roman" w:cs="Times New Roman"/>
          <w:sz w:val="24"/>
          <w:szCs w:val="24"/>
        </w:rPr>
        <w:t>practice</w:t>
      </w:r>
      <w:r w:rsidR="005A0D61" w:rsidRPr="005A0D61">
        <w:rPr>
          <w:rFonts w:ascii="Times New Roman" w:hAnsi="Times New Roman" w:cs="Times New Roman"/>
          <w:sz w:val="24"/>
          <w:szCs w:val="24"/>
        </w:rPr>
        <w:t xml:space="preserve"> in the study. </w:t>
      </w:r>
      <w:r w:rsidR="005A0D61">
        <w:rPr>
          <w:rFonts w:ascii="Times New Roman" w:hAnsi="Times New Roman" w:cs="Times New Roman"/>
          <w:sz w:val="24"/>
          <w:szCs w:val="24"/>
        </w:rPr>
        <w:t>C</w:t>
      </w:r>
      <w:r w:rsidRPr="00C33339">
        <w:rPr>
          <w:rFonts w:ascii="Times New Roman" w:hAnsi="Times New Roman" w:cs="Times New Roman"/>
          <w:sz w:val="24"/>
          <w:szCs w:val="24"/>
        </w:rPr>
        <w:t xml:space="preserve">riteria for </w:t>
      </w:r>
      <w:r w:rsidR="007A769D" w:rsidRPr="00C33339">
        <w:rPr>
          <w:rFonts w:ascii="Times New Roman" w:hAnsi="Times New Roman" w:cs="Times New Roman"/>
          <w:sz w:val="24"/>
          <w:szCs w:val="24"/>
        </w:rPr>
        <w:t xml:space="preserve">recruitment </w:t>
      </w:r>
      <w:r w:rsidR="005A0D61">
        <w:rPr>
          <w:rFonts w:ascii="Times New Roman" w:hAnsi="Times New Roman" w:cs="Times New Roman"/>
          <w:sz w:val="24"/>
          <w:szCs w:val="24"/>
        </w:rPr>
        <w:t xml:space="preserve">included two </w:t>
      </w:r>
      <w:r w:rsidR="005A0D61" w:rsidRPr="005A0D61">
        <w:rPr>
          <w:rFonts w:ascii="Times New Roman" w:hAnsi="Times New Roman" w:cs="Times New Roman"/>
          <w:sz w:val="24"/>
          <w:szCs w:val="24"/>
        </w:rPr>
        <w:t>requirements, one relevant to each condition</w:t>
      </w:r>
      <w:r w:rsidR="005A0D61">
        <w:rPr>
          <w:rFonts w:ascii="Times New Roman" w:hAnsi="Times New Roman" w:cs="Times New Roman"/>
          <w:sz w:val="24"/>
          <w:szCs w:val="24"/>
        </w:rPr>
        <w:t xml:space="preserve">, i.e. </w:t>
      </w:r>
      <w:r w:rsidR="005A0D61" w:rsidRPr="005A0D61">
        <w:rPr>
          <w:rFonts w:ascii="Times New Roman" w:hAnsi="Times New Roman" w:cs="Times New Roman"/>
          <w:sz w:val="24"/>
          <w:szCs w:val="24"/>
        </w:rPr>
        <w:t>ability to demonstrate basic MI style</w:t>
      </w:r>
      <w:r w:rsidR="005A0D61">
        <w:rPr>
          <w:rFonts w:ascii="Times New Roman" w:hAnsi="Times New Roman" w:cs="Times New Roman"/>
          <w:sz w:val="24"/>
          <w:szCs w:val="24"/>
        </w:rPr>
        <w:t xml:space="preserve"> (MET)</w:t>
      </w:r>
      <w:r w:rsidR="005A0D61" w:rsidRPr="005A0D61">
        <w:rPr>
          <w:rFonts w:ascii="Times New Roman" w:hAnsi="Times New Roman" w:cs="Times New Roman"/>
          <w:sz w:val="24"/>
          <w:szCs w:val="24"/>
        </w:rPr>
        <w:t>, and ability to work with more than one person at a time</w:t>
      </w:r>
      <w:r w:rsidR="005A0D61">
        <w:rPr>
          <w:rFonts w:ascii="Times New Roman" w:hAnsi="Times New Roman" w:cs="Times New Roman"/>
          <w:sz w:val="24"/>
          <w:szCs w:val="24"/>
        </w:rPr>
        <w:t xml:space="preserve"> (SBNT)</w:t>
      </w:r>
      <w:r w:rsidR="005A0D61" w:rsidRPr="005A0D61">
        <w:rPr>
          <w:rFonts w:ascii="Times New Roman" w:hAnsi="Times New Roman" w:cs="Times New Roman"/>
          <w:sz w:val="24"/>
          <w:szCs w:val="24"/>
        </w:rPr>
        <w:t xml:space="preserve">. This was </w:t>
      </w:r>
      <w:r w:rsidR="005A0D61">
        <w:rPr>
          <w:rFonts w:ascii="Times New Roman" w:hAnsi="Times New Roman" w:cs="Times New Roman"/>
          <w:sz w:val="24"/>
          <w:szCs w:val="24"/>
        </w:rPr>
        <w:t xml:space="preserve">assessed by </w:t>
      </w:r>
      <w:r w:rsidR="001B444E">
        <w:rPr>
          <w:rFonts w:ascii="Times New Roman" w:hAnsi="Times New Roman" w:cs="Times New Roman"/>
          <w:sz w:val="24"/>
          <w:szCs w:val="24"/>
        </w:rPr>
        <w:t xml:space="preserve">candidate therapists </w:t>
      </w:r>
      <w:r w:rsidR="005A0D61">
        <w:rPr>
          <w:rFonts w:ascii="Times New Roman" w:hAnsi="Times New Roman" w:cs="Times New Roman"/>
          <w:sz w:val="24"/>
          <w:szCs w:val="24"/>
        </w:rPr>
        <w:t>submitting</w:t>
      </w:r>
      <w:r w:rsidRPr="00C33339">
        <w:rPr>
          <w:rFonts w:ascii="Times New Roman" w:hAnsi="Times New Roman" w:cs="Times New Roman"/>
          <w:sz w:val="24"/>
          <w:szCs w:val="24"/>
        </w:rPr>
        <w:t xml:space="preserve"> two video recordings of their practice. Therapists in the MET condition were taught to apply motivational interviewing core skills and strategies to the protocol for MET; SBNT therapists were taught to engage and address the network</w:t>
      </w:r>
      <w:r w:rsidR="005A0D61" w:rsidRPr="005A0D61">
        <w:rPr>
          <w:rFonts w:ascii="Times New Roman" w:hAnsi="Times New Roman" w:cs="Times New Roman"/>
          <w:sz w:val="24"/>
          <w:szCs w:val="24"/>
        </w:rPr>
        <w:t xml:space="preserve"> </w:t>
      </w:r>
      <w:r w:rsidR="001B444E">
        <w:rPr>
          <w:rFonts w:ascii="Times New Roman" w:hAnsi="Times New Roman" w:cs="Times New Roman"/>
          <w:sz w:val="24"/>
          <w:szCs w:val="24"/>
        </w:rPr>
        <w:t xml:space="preserve">skills </w:t>
      </w:r>
      <w:r w:rsidR="005A0D61" w:rsidRPr="00C33339">
        <w:rPr>
          <w:rFonts w:ascii="Times New Roman" w:hAnsi="Times New Roman" w:cs="Times New Roman"/>
          <w:sz w:val="24"/>
          <w:szCs w:val="24"/>
        </w:rPr>
        <w:t xml:space="preserve">and strategies </w:t>
      </w:r>
      <w:r w:rsidR="004D339A">
        <w:rPr>
          <w:rFonts w:ascii="Times New Roman" w:hAnsi="Times New Roman" w:cs="Times New Roman"/>
          <w:sz w:val="24"/>
          <w:szCs w:val="24"/>
        </w:rPr>
        <w:t>in line with</w:t>
      </w:r>
      <w:r w:rsidR="005A0D61" w:rsidRPr="00C33339">
        <w:rPr>
          <w:rFonts w:ascii="Times New Roman" w:hAnsi="Times New Roman" w:cs="Times New Roman"/>
          <w:sz w:val="24"/>
          <w:szCs w:val="24"/>
        </w:rPr>
        <w:t xml:space="preserve"> the protocol for </w:t>
      </w:r>
      <w:r w:rsidR="005A0D61">
        <w:rPr>
          <w:rFonts w:ascii="Times New Roman" w:hAnsi="Times New Roman" w:cs="Times New Roman"/>
          <w:sz w:val="24"/>
          <w:szCs w:val="24"/>
        </w:rPr>
        <w:t xml:space="preserve">SBNT; </w:t>
      </w:r>
      <w:r w:rsidRPr="00C33339">
        <w:rPr>
          <w:rFonts w:ascii="Times New Roman" w:hAnsi="Times New Roman" w:cs="Times New Roman"/>
          <w:sz w:val="24"/>
          <w:szCs w:val="24"/>
        </w:rPr>
        <w:t xml:space="preserve">their motivational style of </w:t>
      </w:r>
      <w:r w:rsidR="00AA13E9" w:rsidRPr="00C33339">
        <w:rPr>
          <w:rFonts w:ascii="Times New Roman" w:hAnsi="Times New Roman" w:cs="Times New Roman"/>
          <w:sz w:val="24"/>
          <w:szCs w:val="24"/>
        </w:rPr>
        <w:t xml:space="preserve">so </w:t>
      </w:r>
      <w:r w:rsidRPr="00C33339">
        <w:rPr>
          <w:rFonts w:ascii="Times New Roman" w:hAnsi="Times New Roman" w:cs="Times New Roman"/>
          <w:sz w:val="24"/>
          <w:szCs w:val="24"/>
        </w:rPr>
        <w:t xml:space="preserve">doing was not addressed. Thereafter, therapists were </w:t>
      </w:r>
      <w:r w:rsidR="002629BF" w:rsidRPr="00C33339">
        <w:rPr>
          <w:rFonts w:ascii="Times New Roman" w:hAnsi="Times New Roman" w:cs="Times New Roman"/>
          <w:sz w:val="24"/>
          <w:szCs w:val="24"/>
        </w:rPr>
        <w:t>supervi</w:t>
      </w:r>
      <w:r w:rsidR="002629BF">
        <w:rPr>
          <w:rFonts w:ascii="Times New Roman" w:hAnsi="Times New Roman" w:cs="Times New Roman"/>
          <w:sz w:val="24"/>
          <w:szCs w:val="24"/>
        </w:rPr>
        <w:t>s</w:t>
      </w:r>
      <w:r w:rsidR="002629BF" w:rsidRPr="00C33339">
        <w:rPr>
          <w:rFonts w:ascii="Times New Roman" w:hAnsi="Times New Roman" w:cs="Times New Roman"/>
          <w:sz w:val="24"/>
          <w:szCs w:val="24"/>
        </w:rPr>
        <w:t>ed</w:t>
      </w:r>
      <w:r w:rsidRPr="00C33339">
        <w:rPr>
          <w:rFonts w:ascii="Times New Roman" w:hAnsi="Times New Roman" w:cs="Times New Roman"/>
          <w:sz w:val="24"/>
          <w:szCs w:val="24"/>
        </w:rPr>
        <w:t xml:space="preserve"> separately and asked to avoid discussing their assigned trial intervention with colleagues working in the other condition</w:t>
      </w:r>
      <w:r w:rsidR="00344C3B">
        <w:rPr>
          <w:rFonts w:ascii="Times New Roman" w:hAnsi="Times New Roman" w:cs="Times New Roman"/>
          <w:sz w:val="24"/>
          <w:szCs w:val="24"/>
        </w:rPr>
        <w:t xml:space="preserve"> </w:t>
      </w:r>
      <w:r w:rsidR="00256297">
        <w:rPr>
          <w:rFonts w:ascii="Times New Roman" w:hAnsi="Times New Roman" w:cs="Times New Roman"/>
          <w:sz w:val="24"/>
          <w:szCs w:val="24"/>
        </w:rPr>
        <w:t>(</w:t>
      </w:r>
      <w:r w:rsidR="00344C3B">
        <w:rPr>
          <w:rFonts w:ascii="Times New Roman" w:hAnsi="Times New Roman" w:cs="Times New Roman"/>
          <w:sz w:val="24"/>
          <w:szCs w:val="24"/>
        </w:rPr>
        <w:t>Tober et al. 2005)</w:t>
      </w:r>
      <w:r w:rsidRPr="00C33339">
        <w:rPr>
          <w:rFonts w:ascii="Times New Roman" w:hAnsi="Times New Roman" w:cs="Times New Roman"/>
          <w:sz w:val="24"/>
          <w:szCs w:val="24"/>
        </w:rPr>
        <w:t>.</w:t>
      </w:r>
    </w:p>
    <w:p w14:paraId="7E960767" w14:textId="77777777" w:rsidR="005A0D61" w:rsidRPr="00C33339" w:rsidRDefault="005A0D61" w:rsidP="005A0D61">
      <w:pPr>
        <w:rPr>
          <w:rFonts w:ascii="Times New Roman" w:hAnsi="Times New Roman" w:cs="Times New Roman"/>
          <w:sz w:val="24"/>
          <w:szCs w:val="24"/>
        </w:rPr>
      </w:pPr>
    </w:p>
    <w:p w14:paraId="5CA6F41A" w14:textId="77777777" w:rsidR="006C3315" w:rsidRPr="00C33339" w:rsidRDefault="006C3315" w:rsidP="00B762B1">
      <w:pPr>
        <w:pStyle w:val="Heading3"/>
      </w:pPr>
      <w:r w:rsidRPr="00C33339">
        <w:t>Measures</w:t>
      </w:r>
    </w:p>
    <w:p w14:paraId="0BEF62B0" w14:textId="77777777" w:rsidR="00F02CD1" w:rsidRPr="00C33339" w:rsidRDefault="004F5067" w:rsidP="00BD2320">
      <w:pPr>
        <w:rPr>
          <w:rFonts w:ascii="Times New Roman" w:hAnsi="Times New Roman" w:cs="Times New Roman"/>
          <w:sz w:val="24"/>
          <w:szCs w:val="24"/>
        </w:rPr>
      </w:pPr>
      <w:r w:rsidRPr="00C33339">
        <w:rPr>
          <w:rFonts w:ascii="Times New Roman" w:hAnsi="Times New Roman" w:cs="Times New Roman"/>
          <w:sz w:val="24"/>
          <w:szCs w:val="24"/>
        </w:rPr>
        <w:t>Baseline variables were measured during pre-treatment</w:t>
      </w:r>
      <w:r w:rsidR="001752B4" w:rsidRPr="00C33339">
        <w:rPr>
          <w:rFonts w:ascii="Times New Roman" w:hAnsi="Times New Roman" w:cs="Times New Roman"/>
          <w:sz w:val="24"/>
          <w:szCs w:val="24"/>
        </w:rPr>
        <w:t>,</w:t>
      </w:r>
      <w:r w:rsidRPr="00C33339">
        <w:rPr>
          <w:rFonts w:ascii="Times New Roman" w:hAnsi="Times New Roman" w:cs="Times New Roman"/>
          <w:sz w:val="24"/>
          <w:szCs w:val="24"/>
        </w:rPr>
        <w:t xml:space="preserve"> interviewer-led assessments</w:t>
      </w:r>
      <w:r w:rsidR="004209D5" w:rsidRPr="00C33339">
        <w:rPr>
          <w:rFonts w:ascii="Times New Roman" w:hAnsi="Times New Roman" w:cs="Times New Roman"/>
          <w:sz w:val="24"/>
          <w:szCs w:val="24"/>
        </w:rPr>
        <w:t>,</w:t>
      </w:r>
      <w:r w:rsidRPr="00C33339">
        <w:rPr>
          <w:rFonts w:ascii="Times New Roman" w:hAnsi="Times New Roman" w:cs="Times New Roman"/>
          <w:sz w:val="24"/>
          <w:szCs w:val="24"/>
        </w:rPr>
        <w:t xml:space="preserve"> including socio-demographic information and alcohol consumption by means of Form 90 </w:t>
      </w:r>
      <w:r w:rsidR="00F65AB8" w:rsidRPr="00EB5F70">
        <w:rPr>
          <w:rFonts w:ascii="Times New Roman" w:hAnsi="Times New Roman" w:cs="Times New Roman"/>
          <w:sz w:val="24"/>
          <w:szCs w:val="24"/>
        </w:rPr>
        <w:t>(Miller, 1996)</w:t>
      </w:r>
      <w:r w:rsidR="00A45A8B" w:rsidRPr="00EB5F70">
        <w:rPr>
          <w:rFonts w:ascii="Times New Roman" w:hAnsi="Times New Roman" w:cs="Times New Roman"/>
          <w:sz w:val="24"/>
          <w:szCs w:val="24"/>
        </w:rPr>
        <w:t xml:space="preserve">. </w:t>
      </w:r>
      <w:r w:rsidRPr="00EB5F70">
        <w:rPr>
          <w:rFonts w:ascii="Times New Roman" w:hAnsi="Times New Roman" w:cs="Times New Roman"/>
          <w:sz w:val="24"/>
          <w:szCs w:val="24"/>
        </w:rPr>
        <w:t xml:space="preserve">Form 90 was repeated at </w:t>
      </w:r>
      <w:r w:rsidR="00B63CDF" w:rsidRPr="00EB5F70">
        <w:rPr>
          <w:rFonts w:ascii="Times New Roman" w:hAnsi="Times New Roman" w:cs="Times New Roman"/>
          <w:sz w:val="24"/>
          <w:szCs w:val="24"/>
        </w:rPr>
        <w:t>3</w:t>
      </w:r>
      <w:r w:rsidR="001B444E" w:rsidRPr="00EB5F70">
        <w:rPr>
          <w:rFonts w:ascii="Times New Roman" w:hAnsi="Times New Roman" w:cs="Times New Roman"/>
          <w:sz w:val="24"/>
          <w:szCs w:val="24"/>
        </w:rPr>
        <w:t>-</w:t>
      </w:r>
      <w:r w:rsidR="00B63CDF" w:rsidRPr="00EB5F70">
        <w:rPr>
          <w:rFonts w:ascii="Times New Roman" w:hAnsi="Times New Roman" w:cs="Times New Roman"/>
          <w:sz w:val="24"/>
          <w:szCs w:val="24"/>
        </w:rPr>
        <w:t xml:space="preserve"> and </w:t>
      </w:r>
      <w:r w:rsidRPr="00EB5F70">
        <w:rPr>
          <w:rFonts w:ascii="Times New Roman" w:hAnsi="Times New Roman" w:cs="Times New Roman"/>
          <w:sz w:val="24"/>
          <w:szCs w:val="24"/>
        </w:rPr>
        <w:t>12-month follow-up</w:t>
      </w:r>
      <w:r w:rsidR="00B63CDF" w:rsidRPr="00EB5F70">
        <w:rPr>
          <w:rFonts w:ascii="Times New Roman" w:hAnsi="Times New Roman" w:cs="Times New Roman"/>
          <w:sz w:val="24"/>
          <w:szCs w:val="24"/>
        </w:rPr>
        <w:t xml:space="preserve">s (in this </w:t>
      </w:r>
      <w:r w:rsidR="00C92621" w:rsidRPr="00EB5F70">
        <w:rPr>
          <w:rFonts w:ascii="Times New Roman" w:hAnsi="Times New Roman" w:cs="Times New Roman"/>
          <w:sz w:val="24"/>
          <w:szCs w:val="24"/>
        </w:rPr>
        <w:t xml:space="preserve">analysis </w:t>
      </w:r>
      <w:r w:rsidR="00B63CDF" w:rsidRPr="00EB5F70">
        <w:rPr>
          <w:rFonts w:ascii="Times New Roman" w:hAnsi="Times New Roman" w:cs="Times New Roman"/>
          <w:sz w:val="24"/>
          <w:szCs w:val="24"/>
        </w:rPr>
        <w:t>we use</w:t>
      </w:r>
      <w:r w:rsidR="00B63CDF" w:rsidRPr="00C33339">
        <w:rPr>
          <w:rFonts w:ascii="Times New Roman" w:hAnsi="Times New Roman" w:cs="Times New Roman"/>
          <w:sz w:val="24"/>
          <w:szCs w:val="24"/>
        </w:rPr>
        <w:t xml:space="preserve"> the latter)</w:t>
      </w:r>
      <w:r w:rsidRPr="00C33339">
        <w:rPr>
          <w:rFonts w:ascii="Times New Roman" w:hAnsi="Times New Roman" w:cs="Times New Roman"/>
          <w:sz w:val="24"/>
          <w:szCs w:val="24"/>
        </w:rPr>
        <w:t>, permitting the calculation of the primary outcome variables</w:t>
      </w:r>
      <w:r w:rsidR="00412807" w:rsidRPr="00C33339">
        <w:rPr>
          <w:rFonts w:ascii="Times New Roman" w:hAnsi="Times New Roman" w:cs="Times New Roman"/>
          <w:sz w:val="24"/>
          <w:szCs w:val="24"/>
        </w:rPr>
        <w:t xml:space="preserve"> of</w:t>
      </w:r>
      <w:r w:rsidRPr="00C33339">
        <w:rPr>
          <w:rFonts w:ascii="Times New Roman" w:hAnsi="Times New Roman" w:cs="Times New Roman"/>
          <w:sz w:val="24"/>
          <w:szCs w:val="24"/>
        </w:rPr>
        <w:t xml:space="preserve"> percent days abstinent (PDA) to record frequency of drinking and drinks per drinking day (DDD) to record intensity of drinking</w:t>
      </w:r>
      <w:r w:rsidR="002701CE" w:rsidRPr="00C33339">
        <w:rPr>
          <w:rFonts w:ascii="Times New Roman" w:hAnsi="Times New Roman" w:cs="Times New Roman"/>
          <w:sz w:val="24"/>
          <w:szCs w:val="24"/>
        </w:rPr>
        <w:t>, with individuals totally abstinent at follow-up scored zero</w:t>
      </w:r>
      <w:r w:rsidR="002F2C87" w:rsidRPr="00C33339">
        <w:rPr>
          <w:rFonts w:ascii="Times New Roman" w:hAnsi="Times New Roman" w:cs="Times New Roman"/>
          <w:sz w:val="24"/>
          <w:szCs w:val="24"/>
        </w:rPr>
        <w:t xml:space="preserve"> on DDD</w:t>
      </w:r>
      <w:r w:rsidRPr="00C33339">
        <w:rPr>
          <w:rFonts w:ascii="Times New Roman" w:hAnsi="Times New Roman" w:cs="Times New Roman"/>
          <w:sz w:val="24"/>
          <w:szCs w:val="24"/>
        </w:rPr>
        <w:t>. In the present analysis, we used both variables at baseline</w:t>
      </w:r>
      <w:r w:rsidR="002F2C87" w:rsidRPr="00C33339">
        <w:rPr>
          <w:rFonts w:ascii="Times New Roman" w:hAnsi="Times New Roman" w:cs="Times New Roman"/>
          <w:sz w:val="24"/>
          <w:szCs w:val="24"/>
        </w:rPr>
        <w:t>,</w:t>
      </w:r>
      <w:r w:rsidRPr="00C33339">
        <w:rPr>
          <w:rFonts w:ascii="Times New Roman" w:hAnsi="Times New Roman" w:cs="Times New Roman"/>
          <w:sz w:val="24"/>
          <w:szCs w:val="24"/>
        </w:rPr>
        <w:t xml:space="preserve"> as well as gender and age</w:t>
      </w:r>
      <w:r w:rsidR="002F2C87" w:rsidRPr="00C33339">
        <w:rPr>
          <w:rFonts w:ascii="Times New Roman" w:hAnsi="Times New Roman" w:cs="Times New Roman"/>
          <w:sz w:val="24"/>
          <w:szCs w:val="24"/>
        </w:rPr>
        <w:t>,</w:t>
      </w:r>
      <w:r w:rsidRPr="00C33339">
        <w:rPr>
          <w:rFonts w:ascii="Times New Roman" w:hAnsi="Times New Roman" w:cs="Times New Roman"/>
          <w:sz w:val="24"/>
          <w:szCs w:val="24"/>
        </w:rPr>
        <w:t xml:space="preserve"> as control </w:t>
      </w:r>
      <w:r w:rsidRPr="00C33339">
        <w:rPr>
          <w:rFonts w:ascii="Times New Roman" w:hAnsi="Times New Roman" w:cs="Times New Roman"/>
          <w:sz w:val="24"/>
          <w:szCs w:val="24"/>
        </w:rPr>
        <w:lastRenderedPageBreak/>
        <w:t>variables in regression models.</w:t>
      </w:r>
      <w:r w:rsidR="00AD4753" w:rsidRPr="00C33339">
        <w:rPr>
          <w:rFonts w:ascii="Times New Roman" w:hAnsi="Times New Roman" w:cs="Times New Roman"/>
          <w:sz w:val="24"/>
          <w:szCs w:val="24"/>
        </w:rPr>
        <w:t xml:space="preserve"> </w:t>
      </w:r>
      <w:r w:rsidR="00B60CDD" w:rsidRPr="00C33339">
        <w:rPr>
          <w:rFonts w:ascii="Times New Roman" w:hAnsi="Times New Roman" w:cs="Times New Roman"/>
          <w:sz w:val="24"/>
          <w:szCs w:val="24"/>
        </w:rPr>
        <w:t xml:space="preserve">As the session coded for each </w:t>
      </w:r>
      <w:r w:rsidR="001B444E">
        <w:rPr>
          <w:rFonts w:ascii="Times New Roman" w:hAnsi="Times New Roman" w:cs="Times New Roman"/>
          <w:sz w:val="24"/>
          <w:szCs w:val="24"/>
        </w:rPr>
        <w:t>client</w:t>
      </w:r>
      <w:r w:rsidR="00B60CDD" w:rsidRPr="00C33339">
        <w:rPr>
          <w:rFonts w:ascii="Times New Roman" w:hAnsi="Times New Roman" w:cs="Times New Roman"/>
          <w:sz w:val="24"/>
          <w:szCs w:val="24"/>
        </w:rPr>
        <w:t xml:space="preserve"> was randomly selected among all available treatment sessions (session 1 to 3 for MET; session 1 to 8 for SBNT, see above)</w:t>
      </w:r>
      <w:r w:rsidR="003D57AF" w:rsidRPr="00C33339">
        <w:rPr>
          <w:rFonts w:ascii="Times New Roman" w:hAnsi="Times New Roman" w:cs="Times New Roman"/>
          <w:sz w:val="24"/>
          <w:szCs w:val="24"/>
        </w:rPr>
        <w:t>, we</w:t>
      </w:r>
      <w:r w:rsidR="00AD4753" w:rsidRPr="00C33339">
        <w:rPr>
          <w:rFonts w:ascii="Times New Roman" w:hAnsi="Times New Roman" w:cs="Times New Roman"/>
          <w:sz w:val="24"/>
          <w:szCs w:val="24"/>
        </w:rPr>
        <w:t xml:space="preserve"> also measured the number of days between baseline assessment and the coded session to control for time in treatment</w:t>
      </w:r>
      <w:r w:rsidR="00B60CDD" w:rsidRPr="00C33339">
        <w:rPr>
          <w:rFonts w:ascii="Times New Roman" w:hAnsi="Times New Roman" w:cs="Times New Roman"/>
          <w:sz w:val="24"/>
          <w:szCs w:val="24"/>
        </w:rPr>
        <w:t>.</w:t>
      </w:r>
      <w:r w:rsidR="00A95089" w:rsidRPr="00C33339">
        <w:rPr>
          <w:rFonts w:ascii="Times New Roman" w:hAnsi="Times New Roman" w:cs="Times New Roman"/>
          <w:sz w:val="24"/>
          <w:szCs w:val="24"/>
        </w:rPr>
        <w:t xml:space="preserve"> </w:t>
      </w:r>
    </w:p>
    <w:p w14:paraId="79A9BA39" w14:textId="77777777" w:rsidR="003907FC" w:rsidRPr="00C33339" w:rsidRDefault="0088220E" w:rsidP="00BD2320">
      <w:pPr>
        <w:rPr>
          <w:rFonts w:ascii="Times New Roman" w:hAnsi="Times New Roman" w:cs="Times New Roman"/>
          <w:sz w:val="24"/>
          <w:szCs w:val="24"/>
        </w:rPr>
      </w:pPr>
      <w:r w:rsidRPr="00C33339">
        <w:rPr>
          <w:rFonts w:ascii="Times New Roman" w:hAnsi="Times New Roman" w:cs="Times New Roman"/>
          <w:sz w:val="24"/>
          <w:szCs w:val="24"/>
        </w:rPr>
        <w:t xml:space="preserve">Process variables were extracted using the </w:t>
      </w:r>
      <w:r w:rsidR="00676868" w:rsidRPr="00C33339">
        <w:rPr>
          <w:rFonts w:ascii="Times New Roman" w:hAnsi="Times New Roman" w:cs="Times New Roman"/>
          <w:noProof/>
          <w:sz w:val="24"/>
          <w:szCs w:val="24"/>
        </w:rPr>
        <w:t>UKATT PRS</w:t>
      </w:r>
      <w:r w:rsidR="00676868" w:rsidRPr="00C33339">
        <w:rPr>
          <w:rFonts w:ascii="Times New Roman" w:hAnsi="Times New Roman" w:cs="Times New Roman"/>
          <w:sz w:val="24"/>
          <w:szCs w:val="24"/>
        </w:rPr>
        <w:t xml:space="preserve"> </w:t>
      </w:r>
      <w:r w:rsidR="00DC1864">
        <w:rPr>
          <w:rFonts w:ascii="Times New Roman" w:hAnsi="Times New Roman" w:cs="Times New Roman"/>
          <w:sz w:val="24"/>
          <w:szCs w:val="24"/>
        </w:rPr>
        <w:t>(Tober et al., 2008)</w:t>
      </w:r>
      <w:r w:rsidRPr="00C33339">
        <w:rPr>
          <w:rFonts w:ascii="Times New Roman" w:hAnsi="Times New Roman" w:cs="Times New Roman"/>
          <w:sz w:val="24"/>
          <w:szCs w:val="24"/>
        </w:rPr>
        <w:t xml:space="preserve">. </w:t>
      </w:r>
      <w:r w:rsidR="00D205B2" w:rsidRPr="00C33339">
        <w:rPr>
          <w:rFonts w:ascii="Times New Roman" w:hAnsi="Times New Roman" w:cs="Times New Roman"/>
          <w:sz w:val="24"/>
          <w:szCs w:val="24"/>
        </w:rPr>
        <w:t>This was</w:t>
      </w:r>
      <w:r w:rsidRPr="00C33339">
        <w:rPr>
          <w:rFonts w:ascii="Times New Roman" w:hAnsi="Times New Roman" w:cs="Times New Roman"/>
          <w:sz w:val="24"/>
          <w:szCs w:val="24"/>
        </w:rPr>
        <w:t xml:space="preserve"> </w:t>
      </w:r>
      <w:r w:rsidR="003869A3" w:rsidRPr="00C33339">
        <w:rPr>
          <w:rFonts w:ascii="Times New Roman" w:hAnsi="Times New Roman" w:cs="Times New Roman"/>
          <w:sz w:val="24"/>
          <w:szCs w:val="24"/>
        </w:rPr>
        <w:t>d</w:t>
      </w:r>
      <w:r w:rsidRPr="00C33339">
        <w:rPr>
          <w:rFonts w:ascii="Times New Roman" w:hAnsi="Times New Roman" w:cs="Times New Roman"/>
          <w:sz w:val="24"/>
          <w:szCs w:val="24"/>
        </w:rPr>
        <w:t>eveloped as a manual-based, time-efficient method of rating treatment fidelity, including frequency and quality of the delivery of treatment components, treatment manual adherence, therapeutic style and discriminability between different treatments.</w:t>
      </w:r>
      <w:r w:rsidR="00BD2320" w:rsidRPr="00C33339">
        <w:rPr>
          <w:rFonts w:ascii="Times New Roman" w:hAnsi="Times New Roman" w:cs="Times New Roman"/>
          <w:sz w:val="24"/>
          <w:szCs w:val="24"/>
        </w:rPr>
        <w:t xml:space="preserve"> </w:t>
      </w:r>
      <w:r w:rsidR="000116F0" w:rsidRPr="00C33339">
        <w:rPr>
          <w:rFonts w:ascii="Times New Roman" w:hAnsi="Times New Roman" w:cs="Times New Roman"/>
          <w:sz w:val="24"/>
          <w:szCs w:val="24"/>
        </w:rPr>
        <w:t>It</w:t>
      </w:r>
      <w:r w:rsidR="003B1BB6" w:rsidRPr="00C33339">
        <w:rPr>
          <w:rFonts w:ascii="Times New Roman" w:hAnsi="Times New Roman" w:cs="Times New Roman"/>
          <w:sz w:val="24"/>
          <w:szCs w:val="24"/>
        </w:rPr>
        <w:t xml:space="preserve"> is a 20-item scale divided into two sections: 13 items measuring treatment-specific tasks (</w:t>
      </w:r>
      <w:r w:rsidR="00636467" w:rsidRPr="00C33339">
        <w:rPr>
          <w:rFonts w:ascii="Times New Roman" w:hAnsi="Times New Roman" w:cs="Times New Roman"/>
          <w:sz w:val="24"/>
          <w:szCs w:val="24"/>
        </w:rPr>
        <w:t xml:space="preserve">i.e. </w:t>
      </w:r>
      <w:r w:rsidR="00636467" w:rsidRPr="00C33339">
        <w:rPr>
          <w:rFonts w:ascii="Times New Roman" w:hAnsi="Times New Roman" w:cs="Times New Roman"/>
          <w:i/>
          <w:sz w:val="24"/>
          <w:szCs w:val="24"/>
        </w:rPr>
        <w:t>MET</w:t>
      </w:r>
      <w:r w:rsidR="00636467" w:rsidRPr="00C33339">
        <w:rPr>
          <w:rFonts w:ascii="Times New Roman" w:hAnsi="Times New Roman" w:cs="Times New Roman"/>
          <w:sz w:val="24"/>
          <w:szCs w:val="24"/>
        </w:rPr>
        <w:t>: Focus on ambivalence, Discuss commitment to drinking goals, Elicit commitment to change drinking, Creat</w:t>
      </w:r>
      <w:r w:rsidR="005A56DD" w:rsidRPr="00C33339">
        <w:rPr>
          <w:rFonts w:ascii="Times New Roman" w:hAnsi="Times New Roman" w:cs="Times New Roman"/>
          <w:sz w:val="24"/>
          <w:szCs w:val="24"/>
        </w:rPr>
        <w:t>e internal</w:t>
      </w:r>
      <w:r w:rsidR="00636467" w:rsidRPr="00C33339">
        <w:rPr>
          <w:rFonts w:ascii="Times New Roman" w:hAnsi="Times New Roman" w:cs="Times New Roman"/>
          <w:sz w:val="24"/>
          <w:szCs w:val="24"/>
        </w:rPr>
        <w:t xml:space="preserve"> conflict or discrepancy, Elicit client concern, Elicit client self-efficacy,</w:t>
      </w:r>
      <w:r w:rsidR="005A56DD" w:rsidRPr="00C33339">
        <w:rPr>
          <w:rFonts w:ascii="Times New Roman" w:hAnsi="Times New Roman" w:cs="Times New Roman"/>
          <w:sz w:val="24"/>
          <w:szCs w:val="24"/>
        </w:rPr>
        <w:t xml:space="preserve"> Elicit optimism for change,</w:t>
      </w:r>
      <w:r w:rsidR="00636467" w:rsidRPr="00C33339">
        <w:rPr>
          <w:rFonts w:ascii="Times New Roman" w:hAnsi="Times New Roman" w:cs="Times New Roman"/>
          <w:sz w:val="24"/>
          <w:szCs w:val="24"/>
        </w:rPr>
        <w:t xml:space="preserve"> </w:t>
      </w:r>
      <w:r w:rsidR="0045605C" w:rsidRPr="00C33339">
        <w:rPr>
          <w:rFonts w:ascii="Times New Roman" w:hAnsi="Times New Roman" w:cs="Times New Roman"/>
          <w:sz w:val="24"/>
          <w:szCs w:val="24"/>
        </w:rPr>
        <w:t xml:space="preserve">and </w:t>
      </w:r>
      <w:r w:rsidR="00636467" w:rsidRPr="00C33339">
        <w:rPr>
          <w:rFonts w:ascii="Times New Roman" w:hAnsi="Times New Roman" w:cs="Times New Roman"/>
          <w:sz w:val="24"/>
          <w:szCs w:val="24"/>
        </w:rPr>
        <w:t xml:space="preserve">Feedback on negative consequences; </w:t>
      </w:r>
      <w:r w:rsidR="00636467" w:rsidRPr="00C33339">
        <w:rPr>
          <w:rFonts w:ascii="Times New Roman" w:hAnsi="Times New Roman" w:cs="Times New Roman"/>
          <w:i/>
          <w:sz w:val="24"/>
          <w:szCs w:val="24"/>
        </w:rPr>
        <w:t>SBNT</w:t>
      </w:r>
      <w:r w:rsidR="00636467" w:rsidRPr="00C33339">
        <w:rPr>
          <w:rFonts w:ascii="Times New Roman" w:hAnsi="Times New Roman" w:cs="Times New Roman"/>
          <w:sz w:val="24"/>
          <w:szCs w:val="24"/>
        </w:rPr>
        <w:t>: Discuss alternative activities to drinking, Plan or review h</w:t>
      </w:r>
      <w:r w:rsidR="003B1BB6" w:rsidRPr="00C33339">
        <w:rPr>
          <w:rFonts w:ascii="Times New Roman" w:hAnsi="Times New Roman" w:cs="Times New Roman"/>
          <w:sz w:val="24"/>
          <w:szCs w:val="24"/>
        </w:rPr>
        <w:t xml:space="preserve">omework, Involve others in </w:t>
      </w:r>
      <w:r w:rsidR="00F663EE" w:rsidRPr="00C33339">
        <w:rPr>
          <w:rFonts w:ascii="Times New Roman" w:hAnsi="Times New Roman" w:cs="Times New Roman"/>
          <w:sz w:val="24"/>
          <w:szCs w:val="24"/>
        </w:rPr>
        <w:t>behavior</w:t>
      </w:r>
      <w:r w:rsidR="003B1BB6" w:rsidRPr="00C33339">
        <w:rPr>
          <w:rFonts w:ascii="Times New Roman" w:hAnsi="Times New Roman" w:cs="Times New Roman"/>
          <w:sz w:val="24"/>
          <w:szCs w:val="24"/>
        </w:rPr>
        <w:t xml:space="preserve"> change</w:t>
      </w:r>
      <w:r w:rsidR="00636467" w:rsidRPr="00C33339">
        <w:rPr>
          <w:rFonts w:ascii="Times New Roman" w:hAnsi="Times New Roman" w:cs="Times New Roman"/>
          <w:sz w:val="24"/>
          <w:szCs w:val="24"/>
        </w:rPr>
        <w:t xml:space="preserve">, </w:t>
      </w:r>
      <w:r w:rsidR="0045605C" w:rsidRPr="00C33339">
        <w:rPr>
          <w:rFonts w:ascii="Times New Roman" w:hAnsi="Times New Roman" w:cs="Times New Roman"/>
          <w:sz w:val="24"/>
          <w:szCs w:val="24"/>
        </w:rPr>
        <w:t xml:space="preserve">Stress the importance of social support in changing, and </w:t>
      </w:r>
      <w:r w:rsidR="00636467" w:rsidRPr="00C33339">
        <w:rPr>
          <w:rFonts w:ascii="Times New Roman" w:hAnsi="Times New Roman" w:cs="Times New Roman"/>
          <w:sz w:val="24"/>
          <w:szCs w:val="24"/>
        </w:rPr>
        <w:t>Identify sources of support for change</w:t>
      </w:r>
      <w:r w:rsidR="003B1BB6" w:rsidRPr="00C33339">
        <w:rPr>
          <w:rFonts w:ascii="Times New Roman" w:hAnsi="Times New Roman" w:cs="Times New Roman"/>
          <w:sz w:val="24"/>
          <w:szCs w:val="24"/>
        </w:rPr>
        <w:t>)</w:t>
      </w:r>
      <w:r w:rsidR="0045605C" w:rsidRPr="00C33339">
        <w:rPr>
          <w:rFonts w:ascii="Times New Roman" w:hAnsi="Times New Roman" w:cs="Times New Roman"/>
          <w:sz w:val="24"/>
          <w:szCs w:val="24"/>
        </w:rPr>
        <w:t>;</w:t>
      </w:r>
      <w:r w:rsidR="003B1BB6" w:rsidRPr="00C33339">
        <w:rPr>
          <w:rFonts w:ascii="Times New Roman" w:hAnsi="Times New Roman" w:cs="Times New Roman"/>
          <w:sz w:val="24"/>
          <w:szCs w:val="24"/>
        </w:rPr>
        <w:t xml:space="preserve"> and 7 items measuring treatment-specific therapist style (</w:t>
      </w:r>
      <w:r w:rsidR="0045605C" w:rsidRPr="00C33339">
        <w:rPr>
          <w:rFonts w:ascii="Times New Roman" w:hAnsi="Times New Roman" w:cs="Times New Roman"/>
          <w:sz w:val="24"/>
          <w:szCs w:val="24"/>
        </w:rPr>
        <w:t xml:space="preserve">i.e. </w:t>
      </w:r>
      <w:r w:rsidR="0045605C" w:rsidRPr="00C33339">
        <w:rPr>
          <w:rFonts w:ascii="Times New Roman" w:hAnsi="Times New Roman" w:cs="Times New Roman"/>
          <w:i/>
          <w:sz w:val="24"/>
          <w:szCs w:val="24"/>
        </w:rPr>
        <w:t>MET</w:t>
      </w:r>
      <w:r w:rsidR="0045605C" w:rsidRPr="00C33339">
        <w:rPr>
          <w:rFonts w:ascii="Times New Roman" w:hAnsi="Times New Roman" w:cs="Times New Roman"/>
          <w:sz w:val="24"/>
          <w:szCs w:val="24"/>
        </w:rPr>
        <w:t xml:space="preserve">: Empathy, Exploration of feelings, and Reflective listening; </w:t>
      </w:r>
      <w:r w:rsidR="0045605C" w:rsidRPr="00C33339">
        <w:rPr>
          <w:rFonts w:ascii="Times New Roman" w:hAnsi="Times New Roman" w:cs="Times New Roman"/>
          <w:i/>
          <w:sz w:val="24"/>
          <w:szCs w:val="24"/>
        </w:rPr>
        <w:t>SBNT</w:t>
      </w:r>
      <w:r w:rsidR="0045605C" w:rsidRPr="00C33339">
        <w:rPr>
          <w:rFonts w:ascii="Times New Roman" w:hAnsi="Times New Roman" w:cs="Times New Roman"/>
          <w:sz w:val="24"/>
          <w:szCs w:val="24"/>
        </w:rPr>
        <w:t>: Focus on interpersonal relationships, Task</w:t>
      </w:r>
      <w:r w:rsidR="00F1101F" w:rsidRPr="00C33339">
        <w:rPr>
          <w:rFonts w:ascii="Times New Roman" w:hAnsi="Times New Roman" w:cs="Times New Roman"/>
          <w:sz w:val="24"/>
          <w:szCs w:val="24"/>
        </w:rPr>
        <w:t>-</w:t>
      </w:r>
      <w:r w:rsidR="0045605C" w:rsidRPr="00C33339">
        <w:rPr>
          <w:rFonts w:ascii="Times New Roman" w:hAnsi="Times New Roman" w:cs="Times New Roman"/>
          <w:sz w:val="24"/>
          <w:szCs w:val="24"/>
        </w:rPr>
        <w:t>oriented, Treatment as a collaborative effort, and Therapist as agent for change).</w:t>
      </w:r>
      <w:r w:rsidR="003B1BB6" w:rsidRPr="00C33339">
        <w:rPr>
          <w:rFonts w:ascii="Times New Roman" w:hAnsi="Times New Roman" w:cs="Times New Roman"/>
          <w:sz w:val="24"/>
          <w:szCs w:val="24"/>
        </w:rPr>
        <w:t xml:space="preserve"> </w:t>
      </w:r>
    </w:p>
    <w:p w14:paraId="7F5A1710" w14:textId="77777777" w:rsidR="0088220E" w:rsidRPr="00C33339" w:rsidRDefault="003B1BB6" w:rsidP="00BD2320">
      <w:pPr>
        <w:rPr>
          <w:rFonts w:ascii="Times New Roman" w:hAnsi="Times New Roman" w:cs="Times New Roman"/>
          <w:sz w:val="24"/>
          <w:szCs w:val="24"/>
        </w:rPr>
      </w:pPr>
      <w:r w:rsidRPr="00C33339">
        <w:rPr>
          <w:rFonts w:ascii="Times New Roman" w:hAnsi="Times New Roman" w:cs="Times New Roman"/>
          <w:sz w:val="24"/>
          <w:szCs w:val="24"/>
        </w:rPr>
        <w:t>These 20 items were rated on two 5-point scales, one measuring the extent to which the item was performed (frequency) and the other measuring how well the therapist performed the item (quality).</w:t>
      </w:r>
      <w:r w:rsidR="003907FC" w:rsidRPr="00C33339">
        <w:rPr>
          <w:rFonts w:ascii="Times New Roman" w:hAnsi="Times New Roman" w:cs="Times New Roman"/>
          <w:sz w:val="24"/>
          <w:szCs w:val="24"/>
        </w:rPr>
        <w:t xml:space="preserve"> Quality was assessed </w:t>
      </w:r>
      <w:r w:rsidR="00F1101F" w:rsidRPr="00C33339">
        <w:rPr>
          <w:rFonts w:ascii="Times New Roman" w:hAnsi="Times New Roman" w:cs="Times New Roman"/>
          <w:sz w:val="24"/>
          <w:szCs w:val="24"/>
        </w:rPr>
        <w:t xml:space="preserve">only </w:t>
      </w:r>
      <w:r w:rsidR="003907FC" w:rsidRPr="00C33339">
        <w:rPr>
          <w:rFonts w:ascii="Times New Roman" w:hAnsi="Times New Roman" w:cs="Times New Roman"/>
          <w:sz w:val="24"/>
          <w:szCs w:val="24"/>
        </w:rPr>
        <w:t>where performance of the item in question had been identified, thus resulting in considerable variability in the number of sessions providing data for ind</w:t>
      </w:r>
      <w:r w:rsidR="00256297">
        <w:rPr>
          <w:rFonts w:ascii="Times New Roman" w:hAnsi="Times New Roman" w:cs="Times New Roman"/>
          <w:sz w:val="24"/>
          <w:szCs w:val="24"/>
        </w:rPr>
        <w:t xml:space="preserve">ividual items (see Tober et al., </w:t>
      </w:r>
      <w:r w:rsidR="00DC1864">
        <w:rPr>
          <w:rFonts w:ascii="Times New Roman" w:hAnsi="Times New Roman" w:cs="Times New Roman"/>
          <w:sz w:val="24"/>
          <w:szCs w:val="24"/>
        </w:rPr>
        <w:t xml:space="preserve">2008 </w:t>
      </w:r>
      <w:r w:rsidR="003907FC" w:rsidRPr="00C33339">
        <w:rPr>
          <w:rFonts w:ascii="Times New Roman" w:hAnsi="Times New Roman" w:cs="Times New Roman"/>
          <w:sz w:val="24"/>
          <w:szCs w:val="24"/>
        </w:rPr>
        <w:t>for details).</w:t>
      </w:r>
      <w:r w:rsidR="0014542B" w:rsidRPr="00C33339">
        <w:rPr>
          <w:rFonts w:ascii="Times New Roman" w:hAnsi="Times New Roman" w:cs="Times New Roman"/>
          <w:sz w:val="24"/>
          <w:szCs w:val="24"/>
        </w:rPr>
        <w:t xml:space="preserve"> The frequency scale w</w:t>
      </w:r>
      <w:r w:rsidR="00636467" w:rsidRPr="00C33339">
        <w:rPr>
          <w:rFonts w:ascii="Times New Roman" w:hAnsi="Times New Roman" w:cs="Times New Roman"/>
          <w:sz w:val="24"/>
          <w:szCs w:val="24"/>
        </w:rPr>
        <w:t>as</w:t>
      </w:r>
      <w:r w:rsidR="0014542B" w:rsidRPr="00C33339">
        <w:rPr>
          <w:rFonts w:ascii="Times New Roman" w:hAnsi="Times New Roman" w:cs="Times New Roman"/>
          <w:sz w:val="24"/>
          <w:szCs w:val="24"/>
        </w:rPr>
        <w:t xml:space="preserve"> </w:t>
      </w:r>
      <w:r w:rsidR="002B544B" w:rsidRPr="00C33339">
        <w:rPr>
          <w:rFonts w:ascii="Times New Roman" w:hAnsi="Times New Roman" w:cs="Times New Roman"/>
          <w:sz w:val="24"/>
          <w:szCs w:val="24"/>
        </w:rPr>
        <w:t>labeled</w:t>
      </w:r>
      <w:r w:rsidR="001752B4" w:rsidRPr="00C33339">
        <w:rPr>
          <w:rFonts w:ascii="Times New Roman" w:hAnsi="Times New Roman" w:cs="Times New Roman"/>
          <w:sz w:val="24"/>
          <w:szCs w:val="24"/>
        </w:rPr>
        <w:t>:</w:t>
      </w:r>
      <w:r w:rsidR="0014542B" w:rsidRPr="00C33339">
        <w:rPr>
          <w:rFonts w:ascii="Times New Roman" w:hAnsi="Times New Roman" w:cs="Times New Roman"/>
          <w:sz w:val="24"/>
          <w:szCs w:val="24"/>
        </w:rPr>
        <w:t xml:space="preserve"> 0=not at all, 1=a little, 2=somewhat, 3=considerably, and 4=extensively. The quality scale was anchored with 0=not at all well</w:t>
      </w:r>
      <w:r w:rsidR="0045605C" w:rsidRPr="00C33339">
        <w:rPr>
          <w:rFonts w:ascii="Times New Roman" w:hAnsi="Times New Roman" w:cs="Times New Roman"/>
          <w:sz w:val="24"/>
          <w:szCs w:val="24"/>
        </w:rPr>
        <w:t>,</w:t>
      </w:r>
      <w:r w:rsidR="0014542B" w:rsidRPr="00C33339">
        <w:rPr>
          <w:rFonts w:ascii="Times New Roman" w:hAnsi="Times New Roman" w:cs="Times New Roman"/>
          <w:sz w:val="24"/>
          <w:szCs w:val="24"/>
        </w:rPr>
        <w:t xml:space="preserve"> and 4=very well. </w:t>
      </w:r>
      <w:r w:rsidR="001E20C5">
        <w:rPr>
          <w:rFonts w:ascii="Times New Roman" w:hAnsi="Times New Roman" w:cs="Times New Roman"/>
          <w:sz w:val="24"/>
          <w:szCs w:val="24"/>
        </w:rPr>
        <w:t>Mean frequency and quality scores, as well as frequencies of quality scores for individual items</w:t>
      </w:r>
      <w:r w:rsidR="001B444E">
        <w:rPr>
          <w:rFonts w:ascii="Times New Roman" w:hAnsi="Times New Roman" w:cs="Times New Roman"/>
          <w:sz w:val="24"/>
          <w:szCs w:val="24"/>
        </w:rPr>
        <w:t>,</w:t>
      </w:r>
      <w:r w:rsidR="001E20C5">
        <w:rPr>
          <w:rFonts w:ascii="Times New Roman" w:hAnsi="Times New Roman" w:cs="Times New Roman"/>
          <w:sz w:val="24"/>
          <w:szCs w:val="24"/>
        </w:rPr>
        <w:t xml:space="preserve"> are presented in Tober et al. (2008). </w:t>
      </w:r>
      <w:r w:rsidR="00BA7C68" w:rsidRPr="00C33339">
        <w:rPr>
          <w:rFonts w:ascii="Times New Roman" w:hAnsi="Times New Roman" w:cs="Times New Roman"/>
          <w:sz w:val="24"/>
          <w:szCs w:val="24"/>
        </w:rPr>
        <w:lastRenderedPageBreak/>
        <w:t xml:space="preserve">Four </w:t>
      </w:r>
      <w:r w:rsidR="008C5CA9" w:rsidRPr="00C33339">
        <w:rPr>
          <w:rFonts w:ascii="Times New Roman" w:hAnsi="Times New Roman" w:cs="Times New Roman"/>
          <w:sz w:val="24"/>
          <w:szCs w:val="24"/>
        </w:rPr>
        <w:t xml:space="preserve">indices </w:t>
      </w:r>
      <w:r w:rsidR="00BA7C68" w:rsidRPr="00C33339">
        <w:rPr>
          <w:rFonts w:ascii="Times New Roman" w:hAnsi="Times New Roman" w:cs="Times New Roman"/>
          <w:sz w:val="24"/>
          <w:szCs w:val="24"/>
        </w:rPr>
        <w:t>were</w:t>
      </w:r>
      <w:r w:rsidR="008C5CA9" w:rsidRPr="00C33339">
        <w:rPr>
          <w:rFonts w:ascii="Times New Roman" w:hAnsi="Times New Roman" w:cs="Times New Roman"/>
          <w:sz w:val="24"/>
          <w:szCs w:val="24"/>
        </w:rPr>
        <w:t xml:space="preserve"> derived from the UKATT PRS: the frequency of MET </w:t>
      </w:r>
      <w:r w:rsidR="00F663EE" w:rsidRPr="00C33339">
        <w:rPr>
          <w:rFonts w:ascii="Times New Roman" w:hAnsi="Times New Roman" w:cs="Times New Roman"/>
          <w:sz w:val="24"/>
          <w:szCs w:val="24"/>
        </w:rPr>
        <w:t>behaviors</w:t>
      </w:r>
      <w:r w:rsidR="008C5CA9" w:rsidRPr="00C33339">
        <w:rPr>
          <w:rFonts w:ascii="Times New Roman" w:hAnsi="Times New Roman" w:cs="Times New Roman"/>
          <w:sz w:val="24"/>
          <w:szCs w:val="24"/>
        </w:rPr>
        <w:t xml:space="preserve"> (met-f); the quality of MET </w:t>
      </w:r>
      <w:r w:rsidR="00F663EE" w:rsidRPr="00C33339">
        <w:rPr>
          <w:rFonts w:ascii="Times New Roman" w:hAnsi="Times New Roman" w:cs="Times New Roman"/>
          <w:sz w:val="24"/>
          <w:szCs w:val="24"/>
        </w:rPr>
        <w:t>behaviors</w:t>
      </w:r>
      <w:r w:rsidR="008C5CA9" w:rsidRPr="00C33339">
        <w:rPr>
          <w:rFonts w:ascii="Times New Roman" w:hAnsi="Times New Roman" w:cs="Times New Roman"/>
          <w:sz w:val="24"/>
          <w:szCs w:val="24"/>
        </w:rPr>
        <w:t xml:space="preserve"> (met-q); the frequency of SBNT </w:t>
      </w:r>
      <w:r w:rsidR="00F663EE" w:rsidRPr="00C33339">
        <w:rPr>
          <w:rFonts w:ascii="Times New Roman" w:hAnsi="Times New Roman" w:cs="Times New Roman"/>
          <w:sz w:val="24"/>
          <w:szCs w:val="24"/>
        </w:rPr>
        <w:t>behaviors</w:t>
      </w:r>
      <w:r w:rsidR="008C5CA9" w:rsidRPr="00C33339">
        <w:rPr>
          <w:rFonts w:ascii="Times New Roman" w:hAnsi="Times New Roman" w:cs="Times New Roman"/>
          <w:sz w:val="24"/>
          <w:szCs w:val="24"/>
        </w:rPr>
        <w:t xml:space="preserve"> (sbnt-f); and the quality of SBNT </w:t>
      </w:r>
      <w:r w:rsidR="00F663EE" w:rsidRPr="00C33339">
        <w:rPr>
          <w:rFonts w:ascii="Times New Roman" w:hAnsi="Times New Roman" w:cs="Times New Roman"/>
          <w:sz w:val="24"/>
          <w:szCs w:val="24"/>
        </w:rPr>
        <w:t>behaviors</w:t>
      </w:r>
      <w:r w:rsidR="008C5CA9" w:rsidRPr="00C33339">
        <w:rPr>
          <w:rFonts w:ascii="Times New Roman" w:hAnsi="Times New Roman" w:cs="Times New Roman"/>
          <w:sz w:val="24"/>
          <w:szCs w:val="24"/>
        </w:rPr>
        <w:t xml:space="preserve"> (sbnt-q).</w:t>
      </w:r>
      <w:r w:rsidR="0075551B" w:rsidRPr="00C33339">
        <w:rPr>
          <w:rFonts w:ascii="Times New Roman" w:hAnsi="Times New Roman" w:cs="Times New Roman"/>
          <w:sz w:val="24"/>
          <w:szCs w:val="24"/>
        </w:rPr>
        <w:t xml:space="preserve"> All four indices were calculated as the </w:t>
      </w:r>
      <w:r w:rsidR="003907FC" w:rsidRPr="00C33339">
        <w:rPr>
          <w:rFonts w:ascii="Times New Roman" w:hAnsi="Times New Roman" w:cs="Times New Roman"/>
          <w:sz w:val="24"/>
          <w:szCs w:val="24"/>
        </w:rPr>
        <w:t xml:space="preserve">unweighted </w:t>
      </w:r>
      <w:r w:rsidR="0075551B" w:rsidRPr="00C33339">
        <w:rPr>
          <w:rFonts w:ascii="Times New Roman" w:hAnsi="Times New Roman" w:cs="Times New Roman"/>
          <w:sz w:val="24"/>
          <w:szCs w:val="24"/>
        </w:rPr>
        <w:t>mean of the related scales and are thus measured on the same 0 to 4 scale.</w:t>
      </w:r>
      <w:r w:rsidR="00DB5657">
        <w:rPr>
          <w:rFonts w:ascii="Times New Roman" w:hAnsi="Times New Roman" w:cs="Times New Roman"/>
          <w:sz w:val="24"/>
          <w:szCs w:val="24"/>
        </w:rPr>
        <w:t xml:space="preserve"> Inter</w:t>
      </w:r>
      <w:r w:rsidR="001B444E">
        <w:rPr>
          <w:rFonts w:ascii="Times New Roman" w:hAnsi="Times New Roman" w:cs="Times New Roman"/>
          <w:sz w:val="24"/>
          <w:szCs w:val="24"/>
        </w:rPr>
        <w:t>-</w:t>
      </w:r>
      <w:r w:rsidR="00DB5657">
        <w:rPr>
          <w:rFonts w:ascii="Times New Roman" w:hAnsi="Times New Roman" w:cs="Times New Roman"/>
          <w:sz w:val="24"/>
          <w:szCs w:val="24"/>
        </w:rPr>
        <w:t xml:space="preserve">rater reliability was measured </w:t>
      </w:r>
      <w:r w:rsidR="00DB5657" w:rsidRPr="00EB5F70">
        <w:rPr>
          <w:rFonts w:ascii="Times New Roman" w:hAnsi="Times New Roman" w:cs="Times New Roman"/>
          <w:sz w:val="24"/>
          <w:szCs w:val="24"/>
        </w:rPr>
        <w:t xml:space="preserve">among 76 </w:t>
      </w:r>
      <w:r w:rsidR="00AC5AF1" w:rsidRPr="00EB5F70">
        <w:rPr>
          <w:rFonts w:ascii="Times New Roman" w:hAnsi="Times New Roman" w:cs="Times New Roman"/>
          <w:sz w:val="24"/>
          <w:szCs w:val="24"/>
        </w:rPr>
        <w:t xml:space="preserve">randomly selected </w:t>
      </w:r>
      <w:r w:rsidR="00DB5657" w:rsidRPr="00EB5F70">
        <w:rPr>
          <w:rFonts w:ascii="Times New Roman" w:hAnsi="Times New Roman" w:cs="Times New Roman"/>
          <w:sz w:val="24"/>
          <w:szCs w:val="24"/>
        </w:rPr>
        <w:t xml:space="preserve">sessions which were coded by 2 independent raters using intra-class correlations (two-way mixed effects, </w:t>
      </w:r>
      <w:r w:rsidR="00AC5AF1" w:rsidRPr="00EB5F70">
        <w:rPr>
          <w:rFonts w:ascii="Times New Roman" w:hAnsi="Times New Roman" w:cs="Times New Roman"/>
          <w:sz w:val="24"/>
          <w:szCs w:val="24"/>
        </w:rPr>
        <w:t>average</w:t>
      </w:r>
      <w:r w:rsidR="00DB5657" w:rsidRPr="00EB5F70">
        <w:rPr>
          <w:rFonts w:ascii="Times New Roman" w:hAnsi="Times New Roman" w:cs="Times New Roman"/>
          <w:sz w:val="24"/>
          <w:szCs w:val="24"/>
        </w:rPr>
        <w:t xml:space="preserve"> measures, absolute agreement) and indicated excellent reliability for frequency summary scores (met-f=0.7</w:t>
      </w:r>
      <w:r w:rsidR="00AC5AF1" w:rsidRPr="00EB5F70">
        <w:rPr>
          <w:rFonts w:ascii="Times New Roman" w:hAnsi="Times New Roman" w:cs="Times New Roman"/>
          <w:sz w:val="24"/>
          <w:szCs w:val="24"/>
        </w:rPr>
        <w:t>9</w:t>
      </w:r>
      <w:r w:rsidR="00DB5657" w:rsidRPr="00EB5F70">
        <w:rPr>
          <w:rFonts w:ascii="Times New Roman" w:hAnsi="Times New Roman" w:cs="Times New Roman"/>
          <w:sz w:val="24"/>
          <w:szCs w:val="24"/>
        </w:rPr>
        <w:t>, sbnt-f=0.</w:t>
      </w:r>
      <w:r w:rsidR="00AC5AF1" w:rsidRPr="00EB5F70">
        <w:rPr>
          <w:rFonts w:ascii="Times New Roman" w:hAnsi="Times New Roman" w:cs="Times New Roman"/>
          <w:sz w:val="24"/>
          <w:szCs w:val="24"/>
        </w:rPr>
        <w:t>94</w:t>
      </w:r>
      <w:r w:rsidR="00DB5657" w:rsidRPr="00EB5F70">
        <w:rPr>
          <w:rFonts w:ascii="Times New Roman" w:hAnsi="Times New Roman" w:cs="Times New Roman"/>
          <w:sz w:val="24"/>
          <w:szCs w:val="24"/>
        </w:rPr>
        <w:t xml:space="preserve">), and </w:t>
      </w:r>
      <w:r w:rsidR="00AC5AF1" w:rsidRPr="00EB5F70">
        <w:rPr>
          <w:rFonts w:ascii="Times New Roman" w:hAnsi="Times New Roman" w:cs="Times New Roman"/>
          <w:sz w:val="24"/>
          <w:szCs w:val="24"/>
        </w:rPr>
        <w:t>good</w:t>
      </w:r>
      <w:r w:rsidR="00DB5657" w:rsidRPr="00EB5F70">
        <w:rPr>
          <w:rFonts w:ascii="Times New Roman" w:hAnsi="Times New Roman" w:cs="Times New Roman"/>
          <w:sz w:val="24"/>
          <w:szCs w:val="24"/>
        </w:rPr>
        <w:t xml:space="preserve"> reliability for quality summary scores (met-q=0.</w:t>
      </w:r>
      <w:r w:rsidR="00AC5AF1" w:rsidRPr="00EB5F70">
        <w:rPr>
          <w:rFonts w:ascii="Times New Roman" w:hAnsi="Times New Roman" w:cs="Times New Roman"/>
          <w:sz w:val="24"/>
          <w:szCs w:val="24"/>
        </w:rPr>
        <w:t>65</w:t>
      </w:r>
      <w:r w:rsidR="00DB5657" w:rsidRPr="00EB5F70">
        <w:rPr>
          <w:rFonts w:ascii="Times New Roman" w:hAnsi="Times New Roman" w:cs="Times New Roman"/>
          <w:sz w:val="24"/>
          <w:szCs w:val="24"/>
        </w:rPr>
        <w:t>, sbnt-q=0.</w:t>
      </w:r>
      <w:r w:rsidR="00AC5AF1" w:rsidRPr="00EB5F70">
        <w:rPr>
          <w:rFonts w:ascii="Times New Roman" w:hAnsi="Times New Roman" w:cs="Times New Roman"/>
          <w:sz w:val="24"/>
          <w:szCs w:val="24"/>
        </w:rPr>
        <w:t>65</w:t>
      </w:r>
      <w:r w:rsidR="00DB5657" w:rsidRPr="00EB5F70">
        <w:rPr>
          <w:rFonts w:ascii="Times New Roman" w:hAnsi="Times New Roman" w:cs="Times New Roman"/>
          <w:sz w:val="24"/>
          <w:szCs w:val="24"/>
        </w:rPr>
        <w:t>).</w:t>
      </w:r>
    </w:p>
    <w:p w14:paraId="3E33B27B" w14:textId="77777777" w:rsidR="001B4CAD" w:rsidRPr="00C33339" w:rsidRDefault="001B4CAD" w:rsidP="00BD2320">
      <w:pPr>
        <w:rPr>
          <w:rFonts w:ascii="Times New Roman" w:hAnsi="Times New Roman" w:cs="Times New Roman"/>
          <w:sz w:val="24"/>
          <w:szCs w:val="24"/>
        </w:rPr>
      </w:pPr>
    </w:p>
    <w:p w14:paraId="6052E14A" w14:textId="77777777" w:rsidR="0088220E" w:rsidRPr="00C33339" w:rsidRDefault="0088220E" w:rsidP="00B762B1">
      <w:pPr>
        <w:pStyle w:val="Heading3"/>
      </w:pPr>
      <w:r w:rsidRPr="00C33339">
        <w:t>Statistical analysis</w:t>
      </w:r>
    </w:p>
    <w:p w14:paraId="6699AE18" w14:textId="77777777" w:rsidR="00BC29B4" w:rsidRPr="00C33339" w:rsidRDefault="003A08B2" w:rsidP="00BD2320">
      <w:pPr>
        <w:rPr>
          <w:rFonts w:ascii="Times New Roman" w:hAnsi="Times New Roman" w:cs="Times New Roman"/>
          <w:sz w:val="24"/>
          <w:szCs w:val="24"/>
        </w:rPr>
      </w:pPr>
      <w:r w:rsidRPr="00C33339">
        <w:rPr>
          <w:rFonts w:ascii="Times New Roman" w:hAnsi="Times New Roman" w:cs="Times New Roman"/>
          <w:sz w:val="24"/>
          <w:szCs w:val="24"/>
        </w:rPr>
        <w:t>We first describe</w:t>
      </w:r>
      <w:r w:rsidR="00AD7C0F">
        <w:rPr>
          <w:rFonts w:ascii="Times New Roman" w:hAnsi="Times New Roman" w:cs="Times New Roman"/>
          <w:sz w:val="24"/>
          <w:szCs w:val="24"/>
        </w:rPr>
        <w:t>d</w:t>
      </w:r>
      <w:r w:rsidRPr="00C33339">
        <w:rPr>
          <w:rFonts w:ascii="Times New Roman" w:hAnsi="Times New Roman" w:cs="Times New Roman"/>
          <w:sz w:val="24"/>
          <w:szCs w:val="24"/>
        </w:rPr>
        <w:t xml:space="preserve"> our sample using standard descriptive statistics. </w:t>
      </w:r>
      <w:r w:rsidR="00495176" w:rsidRPr="00C33339">
        <w:rPr>
          <w:rFonts w:ascii="Times New Roman" w:hAnsi="Times New Roman" w:cs="Times New Roman"/>
          <w:sz w:val="24"/>
          <w:szCs w:val="24"/>
        </w:rPr>
        <w:t>W</w:t>
      </w:r>
      <w:r w:rsidRPr="00C33339">
        <w:rPr>
          <w:rFonts w:ascii="Times New Roman" w:hAnsi="Times New Roman" w:cs="Times New Roman"/>
          <w:sz w:val="24"/>
          <w:szCs w:val="24"/>
        </w:rPr>
        <w:t xml:space="preserve">e </w:t>
      </w:r>
      <w:r w:rsidR="00495176" w:rsidRPr="00C33339">
        <w:rPr>
          <w:rFonts w:ascii="Times New Roman" w:hAnsi="Times New Roman" w:cs="Times New Roman"/>
          <w:sz w:val="24"/>
          <w:szCs w:val="24"/>
        </w:rPr>
        <w:t xml:space="preserve">then </w:t>
      </w:r>
      <w:r w:rsidRPr="00C33339">
        <w:rPr>
          <w:rFonts w:ascii="Times New Roman" w:hAnsi="Times New Roman" w:cs="Times New Roman"/>
          <w:sz w:val="24"/>
          <w:szCs w:val="24"/>
        </w:rPr>
        <w:t>test</w:t>
      </w:r>
      <w:r w:rsidR="00AD7C0F">
        <w:rPr>
          <w:rFonts w:ascii="Times New Roman" w:hAnsi="Times New Roman" w:cs="Times New Roman"/>
          <w:sz w:val="24"/>
          <w:szCs w:val="24"/>
        </w:rPr>
        <w:t>ed</w:t>
      </w:r>
      <w:r w:rsidRPr="00C33339">
        <w:rPr>
          <w:rFonts w:ascii="Times New Roman" w:hAnsi="Times New Roman" w:cs="Times New Roman"/>
          <w:sz w:val="24"/>
          <w:szCs w:val="24"/>
        </w:rPr>
        <w:t xml:space="preserve"> </w:t>
      </w:r>
      <w:r w:rsidR="00495176" w:rsidRPr="00C33339">
        <w:rPr>
          <w:rFonts w:ascii="Times New Roman" w:hAnsi="Times New Roman" w:cs="Times New Roman"/>
          <w:sz w:val="24"/>
          <w:szCs w:val="24"/>
        </w:rPr>
        <w:t xml:space="preserve">our </w:t>
      </w:r>
      <w:r w:rsidRPr="00C33339">
        <w:rPr>
          <w:rFonts w:ascii="Times New Roman" w:hAnsi="Times New Roman" w:cs="Times New Roman"/>
          <w:sz w:val="24"/>
          <w:szCs w:val="24"/>
        </w:rPr>
        <w:t>hypotheses using a mediation framework. Mediation analyses</w:t>
      </w:r>
      <w:r w:rsidR="00327ABC" w:rsidRPr="00C33339">
        <w:rPr>
          <w:rFonts w:ascii="Times New Roman" w:hAnsi="Times New Roman" w:cs="Times New Roman"/>
          <w:sz w:val="24"/>
          <w:szCs w:val="24"/>
        </w:rPr>
        <w:t xml:space="preserve"> </w:t>
      </w:r>
      <w:r w:rsidR="00DC1864">
        <w:rPr>
          <w:rFonts w:ascii="Times New Roman" w:hAnsi="Times New Roman" w:cs="Times New Roman"/>
          <w:sz w:val="24"/>
          <w:szCs w:val="24"/>
        </w:rPr>
        <w:t>(Baron &amp; Kenny, 1986)</w:t>
      </w:r>
      <w:r w:rsidR="00F02CD1" w:rsidRPr="00C33339">
        <w:rPr>
          <w:rFonts w:ascii="Times New Roman" w:hAnsi="Times New Roman" w:cs="Times New Roman"/>
          <w:sz w:val="24"/>
          <w:szCs w:val="24"/>
        </w:rPr>
        <w:t xml:space="preserve"> posit</w:t>
      </w:r>
      <w:r w:rsidRPr="00C33339">
        <w:rPr>
          <w:rFonts w:ascii="Times New Roman" w:hAnsi="Times New Roman" w:cs="Times New Roman"/>
          <w:sz w:val="24"/>
          <w:szCs w:val="24"/>
        </w:rPr>
        <w:t xml:space="preserve"> how, or by what means, an independent variable (X) affects a dependent variable (Y) through one or more potential intervening variables, or mediators (M). Several paths are tested using regression analyses (see Figure 1). Path </w:t>
      </w:r>
      <w:r w:rsidRPr="00C33339">
        <w:rPr>
          <w:rFonts w:ascii="Times New Roman" w:hAnsi="Times New Roman" w:cs="Times New Roman"/>
          <w:i/>
          <w:sz w:val="24"/>
          <w:szCs w:val="24"/>
        </w:rPr>
        <w:t>a</w:t>
      </w:r>
      <w:r w:rsidRPr="00C33339">
        <w:rPr>
          <w:rFonts w:ascii="Times New Roman" w:hAnsi="Times New Roman" w:cs="Times New Roman"/>
          <w:sz w:val="24"/>
          <w:szCs w:val="24"/>
        </w:rPr>
        <w:t xml:space="preserve"> represents the effect of X on the proposed mediator, whereas path </w:t>
      </w:r>
      <w:r w:rsidRPr="00C33339">
        <w:rPr>
          <w:rFonts w:ascii="Times New Roman" w:hAnsi="Times New Roman" w:cs="Times New Roman"/>
          <w:i/>
          <w:sz w:val="24"/>
          <w:szCs w:val="24"/>
        </w:rPr>
        <w:t>b</w:t>
      </w:r>
      <w:r w:rsidRPr="00C33339">
        <w:rPr>
          <w:rFonts w:ascii="Times New Roman" w:hAnsi="Times New Roman" w:cs="Times New Roman"/>
          <w:sz w:val="24"/>
          <w:szCs w:val="24"/>
        </w:rPr>
        <w:t xml:space="preserve"> is the effect of M on Y partialling out the effect of X. The indirect effect of X on Y through M can </w:t>
      </w:r>
      <w:r w:rsidRPr="00EB5F70">
        <w:rPr>
          <w:rFonts w:ascii="Times New Roman" w:hAnsi="Times New Roman" w:cs="Times New Roman"/>
          <w:sz w:val="24"/>
          <w:szCs w:val="24"/>
        </w:rPr>
        <w:t xml:space="preserve">then be quantified as the product of the </w:t>
      </w:r>
      <w:r w:rsidRPr="00EB5F70">
        <w:rPr>
          <w:rFonts w:ascii="Times New Roman" w:hAnsi="Times New Roman" w:cs="Times New Roman"/>
          <w:i/>
          <w:sz w:val="24"/>
          <w:szCs w:val="24"/>
        </w:rPr>
        <w:t>a</w:t>
      </w:r>
      <w:r w:rsidRPr="00EB5F70">
        <w:rPr>
          <w:rFonts w:ascii="Times New Roman" w:hAnsi="Times New Roman" w:cs="Times New Roman"/>
          <w:sz w:val="24"/>
          <w:szCs w:val="24"/>
        </w:rPr>
        <w:t xml:space="preserve"> and </w:t>
      </w:r>
      <w:r w:rsidRPr="00EB5F70">
        <w:rPr>
          <w:rFonts w:ascii="Times New Roman" w:hAnsi="Times New Roman" w:cs="Times New Roman"/>
          <w:i/>
          <w:sz w:val="24"/>
          <w:szCs w:val="24"/>
        </w:rPr>
        <w:t xml:space="preserve">b </w:t>
      </w:r>
      <w:r w:rsidRPr="00EB5F70">
        <w:rPr>
          <w:rFonts w:ascii="Times New Roman" w:hAnsi="Times New Roman" w:cs="Times New Roman"/>
          <w:sz w:val="24"/>
          <w:szCs w:val="24"/>
        </w:rPr>
        <w:t xml:space="preserve">paths </w:t>
      </w:r>
      <w:r w:rsidR="00DC1864" w:rsidRPr="00EB5F70">
        <w:rPr>
          <w:rFonts w:ascii="Times New Roman" w:hAnsi="Times New Roman" w:cs="Times New Roman"/>
          <w:sz w:val="24"/>
          <w:szCs w:val="24"/>
        </w:rPr>
        <w:t>(Sobel, 1982)</w:t>
      </w:r>
      <w:r w:rsidR="00EA3158" w:rsidRPr="00EB5F70">
        <w:rPr>
          <w:rFonts w:ascii="Times New Roman" w:hAnsi="Times New Roman" w:cs="Times New Roman"/>
          <w:sz w:val="24"/>
          <w:szCs w:val="24"/>
        </w:rPr>
        <w:t>.</w:t>
      </w:r>
      <w:r w:rsidRPr="00EB5F70">
        <w:rPr>
          <w:rFonts w:ascii="Times New Roman" w:hAnsi="Times New Roman" w:cs="Times New Roman"/>
          <w:sz w:val="24"/>
          <w:szCs w:val="24"/>
        </w:rPr>
        <w:t xml:space="preserve"> Bootstrapping, a nonparametric resampling procedure, is a</w:t>
      </w:r>
      <w:r w:rsidR="00266016" w:rsidRPr="00EB5F70">
        <w:rPr>
          <w:rFonts w:ascii="Times New Roman" w:hAnsi="Times New Roman" w:cs="Times New Roman"/>
          <w:sz w:val="24"/>
          <w:szCs w:val="24"/>
        </w:rPr>
        <w:t xml:space="preserve"> </w:t>
      </w:r>
      <w:r w:rsidRPr="00EB5F70">
        <w:rPr>
          <w:rFonts w:ascii="Times New Roman" w:hAnsi="Times New Roman" w:cs="Times New Roman"/>
          <w:sz w:val="24"/>
          <w:szCs w:val="24"/>
        </w:rPr>
        <w:t xml:space="preserve">method advocated for testing mediation </w:t>
      </w:r>
      <w:r w:rsidR="00266016" w:rsidRPr="00EB5F70">
        <w:rPr>
          <w:rFonts w:ascii="Times New Roman" w:hAnsi="Times New Roman" w:cs="Times New Roman"/>
          <w:sz w:val="24"/>
          <w:szCs w:val="24"/>
        </w:rPr>
        <w:t xml:space="preserve">where an empirical approximation of the sampling distribution of </w:t>
      </w:r>
      <w:r w:rsidR="00266016" w:rsidRPr="00EB5F70">
        <w:rPr>
          <w:rFonts w:ascii="Times New Roman" w:hAnsi="Times New Roman" w:cs="Times New Roman"/>
          <w:i/>
          <w:sz w:val="24"/>
          <w:szCs w:val="24"/>
        </w:rPr>
        <w:t>ab</w:t>
      </w:r>
      <w:r w:rsidR="00266016" w:rsidRPr="00EB5F70">
        <w:rPr>
          <w:rFonts w:ascii="Times New Roman" w:hAnsi="Times New Roman" w:cs="Times New Roman"/>
          <w:sz w:val="24"/>
          <w:szCs w:val="24"/>
        </w:rPr>
        <w:t xml:space="preserve"> is built and used to construct confidence intervals for the test of the indirect effect </w:t>
      </w:r>
      <w:r w:rsidR="00BB759D" w:rsidRPr="00EB5F70">
        <w:rPr>
          <w:rFonts w:ascii="Times New Roman" w:hAnsi="Times New Roman" w:cs="Times New Roman"/>
          <w:sz w:val="24"/>
          <w:szCs w:val="24"/>
        </w:rPr>
        <w:t>(Hayes, 2013; Preacher &amp; Hayes, 2008)</w:t>
      </w:r>
      <w:r w:rsidRPr="00EB5F70">
        <w:rPr>
          <w:rFonts w:ascii="Times New Roman" w:hAnsi="Times New Roman" w:cs="Times New Roman"/>
          <w:sz w:val="24"/>
          <w:szCs w:val="24"/>
        </w:rPr>
        <w:t>. We used this approach as implemented in Model 4 of the PROCESS macro for SPSS</w:t>
      </w:r>
      <w:r w:rsidR="00676868" w:rsidRPr="00EB5F70">
        <w:rPr>
          <w:rFonts w:ascii="Times New Roman" w:hAnsi="Times New Roman" w:cs="Times New Roman"/>
          <w:sz w:val="24"/>
          <w:szCs w:val="24"/>
        </w:rPr>
        <w:t xml:space="preserve"> developed by Hayes</w:t>
      </w:r>
      <w:r w:rsidR="00D9229F" w:rsidRPr="00EB5F70">
        <w:rPr>
          <w:rFonts w:ascii="Times New Roman" w:hAnsi="Times New Roman" w:cs="Times New Roman"/>
          <w:sz w:val="24"/>
          <w:szCs w:val="24"/>
        </w:rPr>
        <w:t xml:space="preserve"> </w:t>
      </w:r>
      <w:r w:rsidR="00BB759D" w:rsidRPr="00EB5F70">
        <w:rPr>
          <w:rFonts w:ascii="Times New Roman" w:hAnsi="Times New Roman" w:cs="Times New Roman"/>
          <w:sz w:val="24"/>
          <w:szCs w:val="24"/>
        </w:rPr>
        <w:t>(2013)</w:t>
      </w:r>
      <w:r w:rsidRPr="00EB5F70">
        <w:rPr>
          <w:rFonts w:ascii="Times New Roman" w:hAnsi="Times New Roman" w:cs="Times New Roman"/>
          <w:sz w:val="24"/>
          <w:szCs w:val="24"/>
        </w:rPr>
        <w:t xml:space="preserve">. Here, </w:t>
      </w:r>
      <w:r w:rsidR="008C2A83" w:rsidRPr="00EB5F70">
        <w:rPr>
          <w:rFonts w:ascii="Times New Roman" w:hAnsi="Times New Roman" w:cs="Times New Roman"/>
          <w:sz w:val="24"/>
          <w:szCs w:val="24"/>
        </w:rPr>
        <w:t>received treatment (MET vs. SBNT)</w:t>
      </w:r>
      <w:r w:rsidRPr="00EB5F70">
        <w:rPr>
          <w:rFonts w:ascii="Times New Roman" w:hAnsi="Times New Roman" w:cs="Times New Roman"/>
          <w:sz w:val="24"/>
          <w:szCs w:val="24"/>
        </w:rPr>
        <w:t xml:space="preserve"> was used as the independent variable</w:t>
      </w:r>
      <w:r w:rsidRPr="00C33339">
        <w:rPr>
          <w:rFonts w:ascii="Times New Roman" w:hAnsi="Times New Roman" w:cs="Times New Roman"/>
          <w:sz w:val="24"/>
          <w:szCs w:val="24"/>
        </w:rPr>
        <w:t xml:space="preserve"> (X), the </w:t>
      </w:r>
      <w:r w:rsidR="008C2A83" w:rsidRPr="00C33339">
        <w:rPr>
          <w:rFonts w:ascii="Times New Roman" w:hAnsi="Times New Roman" w:cs="Times New Roman"/>
          <w:sz w:val="24"/>
          <w:szCs w:val="24"/>
        </w:rPr>
        <w:t>alcohol outcome (PDA or DDD)</w:t>
      </w:r>
      <w:r w:rsidRPr="00C33339">
        <w:rPr>
          <w:rFonts w:ascii="Times New Roman" w:hAnsi="Times New Roman" w:cs="Times New Roman"/>
          <w:sz w:val="24"/>
          <w:szCs w:val="24"/>
        </w:rPr>
        <w:t xml:space="preserve"> at </w:t>
      </w:r>
      <w:r w:rsidR="008C2A83" w:rsidRPr="00C33339">
        <w:rPr>
          <w:rFonts w:ascii="Times New Roman" w:hAnsi="Times New Roman" w:cs="Times New Roman"/>
          <w:sz w:val="24"/>
          <w:szCs w:val="24"/>
        </w:rPr>
        <w:t>12</w:t>
      </w:r>
      <w:r w:rsidRPr="00C33339">
        <w:rPr>
          <w:rFonts w:ascii="Times New Roman" w:hAnsi="Times New Roman" w:cs="Times New Roman"/>
          <w:sz w:val="24"/>
          <w:szCs w:val="24"/>
        </w:rPr>
        <w:t xml:space="preserve">-month follow-up as outcome variable (Y), and </w:t>
      </w:r>
      <w:r w:rsidR="008C2A83" w:rsidRPr="00C33339">
        <w:rPr>
          <w:rFonts w:ascii="Times New Roman" w:hAnsi="Times New Roman" w:cs="Times New Roman"/>
          <w:sz w:val="24"/>
          <w:szCs w:val="24"/>
        </w:rPr>
        <w:t xml:space="preserve">the 4 UKATT PRS summary scores as </w:t>
      </w:r>
      <w:r w:rsidRPr="00C33339">
        <w:rPr>
          <w:rFonts w:ascii="Times New Roman" w:hAnsi="Times New Roman" w:cs="Times New Roman"/>
          <w:sz w:val="24"/>
          <w:szCs w:val="24"/>
        </w:rPr>
        <w:t xml:space="preserve">the mediator (M). </w:t>
      </w:r>
      <w:r w:rsidR="001F1411" w:rsidRPr="001F1411">
        <w:rPr>
          <w:rFonts w:ascii="Times New Roman" w:hAnsi="Times New Roman" w:cs="Times New Roman"/>
          <w:sz w:val="24"/>
          <w:szCs w:val="24"/>
        </w:rPr>
        <w:t xml:space="preserve">Each mediator was tested separately with each outcome variable, resulting </w:t>
      </w:r>
      <w:r w:rsidR="004D339A">
        <w:rPr>
          <w:rFonts w:ascii="Times New Roman" w:hAnsi="Times New Roman" w:cs="Times New Roman"/>
          <w:sz w:val="24"/>
          <w:szCs w:val="24"/>
        </w:rPr>
        <w:t xml:space="preserve">in </w:t>
      </w:r>
      <w:r w:rsidR="001F1411" w:rsidRPr="001F1411">
        <w:rPr>
          <w:rFonts w:ascii="Times New Roman" w:hAnsi="Times New Roman" w:cs="Times New Roman"/>
          <w:sz w:val="24"/>
          <w:szCs w:val="24"/>
        </w:rPr>
        <w:t xml:space="preserve">4x2=8 mediation </w:t>
      </w:r>
      <w:r w:rsidR="001F1411" w:rsidRPr="001F1411">
        <w:rPr>
          <w:rFonts w:ascii="Times New Roman" w:hAnsi="Times New Roman" w:cs="Times New Roman"/>
          <w:sz w:val="24"/>
          <w:szCs w:val="24"/>
        </w:rPr>
        <w:lastRenderedPageBreak/>
        <w:t>models.</w:t>
      </w:r>
      <w:r w:rsidR="001F1411">
        <w:rPr>
          <w:rFonts w:ascii="Times New Roman" w:hAnsi="Times New Roman" w:cs="Times New Roman"/>
          <w:sz w:val="24"/>
          <w:szCs w:val="24"/>
        </w:rPr>
        <w:t xml:space="preserve"> </w:t>
      </w:r>
      <w:r w:rsidR="008C2A83" w:rsidRPr="00C33339">
        <w:rPr>
          <w:rFonts w:ascii="Times New Roman" w:hAnsi="Times New Roman" w:cs="Times New Roman"/>
          <w:sz w:val="24"/>
          <w:szCs w:val="24"/>
        </w:rPr>
        <w:t xml:space="preserve">All models were ordinary least squares regressions controlling for </w:t>
      </w:r>
      <w:r w:rsidR="00B55371" w:rsidRPr="00C33339">
        <w:rPr>
          <w:rFonts w:ascii="Times New Roman" w:hAnsi="Times New Roman" w:cs="Times New Roman"/>
          <w:sz w:val="24"/>
          <w:szCs w:val="24"/>
        </w:rPr>
        <w:t xml:space="preserve">the </w:t>
      </w:r>
      <w:r w:rsidR="008C2A83" w:rsidRPr="00C33339">
        <w:rPr>
          <w:rFonts w:ascii="Times New Roman" w:hAnsi="Times New Roman" w:cs="Times New Roman"/>
          <w:sz w:val="24"/>
          <w:szCs w:val="24"/>
        </w:rPr>
        <w:t>baseline measure of the dependent variable, gender, age, and number of days between baseline and the coded session.</w:t>
      </w:r>
      <w:r w:rsidR="00BC29B4">
        <w:rPr>
          <w:rFonts w:ascii="Times New Roman" w:hAnsi="Times New Roman" w:cs="Times New Roman"/>
          <w:sz w:val="24"/>
          <w:szCs w:val="24"/>
        </w:rPr>
        <w:t xml:space="preserve"> In order to detect potential therapist effect in our findings, we repeated </w:t>
      </w:r>
      <w:r w:rsidR="00BC29B4" w:rsidRPr="00BC29B4">
        <w:rPr>
          <w:rFonts w:ascii="Times New Roman" w:hAnsi="Times New Roman" w:cs="Times New Roman"/>
          <w:i/>
          <w:sz w:val="24"/>
          <w:szCs w:val="24"/>
        </w:rPr>
        <w:t>a</w:t>
      </w:r>
      <w:r w:rsidR="00BC29B4">
        <w:rPr>
          <w:rFonts w:ascii="Times New Roman" w:hAnsi="Times New Roman" w:cs="Times New Roman"/>
          <w:sz w:val="24"/>
          <w:szCs w:val="24"/>
        </w:rPr>
        <w:t xml:space="preserve"> and </w:t>
      </w:r>
      <w:r w:rsidR="00BC29B4" w:rsidRPr="00BC29B4">
        <w:rPr>
          <w:rFonts w:ascii="Times New Roman" w:hAnsi="Times New Roman" w:cs="Times New Roman"/>
          <w:i/>
          <w:sz w:val="24"/>
          <w:szCs w:val="24"/>
        </w:rPr>
        <w:t>b</w:t>
      </w:r>
      <w:r w:rsidR="00BC29B4">
        <w:rPr>
          <w:rFonts w:ascii="Times New Roman" w:hAnsi="Times New Roman" w:cs="Times New Roman"/>
          <w:sz w:val="24"/>
          <w:szCs w:val="24"/>
        </w:rPr>
        <w:t xml:space="preserve"> paths analyses using mixed models with random intercept and slopes at the therapist level.</w:t>
      </w:r>
    </w:p>
    <w:p w14:paraId="30B8C33C" w14:textId="77777777" w:rsidR="00B043E4" w:rsidRPr="00CF17EF" w:rsidRDefault="00B043E4" w:rsidP="00CF17EF">
      <w:pPr>
        <w:pStyle w:val="Heading6"/>
      </w:pPr>
      <w:r w:rsidRPr="00CF17EF">
        <w:t xml:space="preserve">Insert Figure 1 </w:t>
      </w:r>
      <w:r w:rsidR="00C505A7" w:rsidRPr="00CF17EF">
        <w:t xml:space="preserve">about </w:t>
      </w:r>
      <w:r w:rsidRPr="00CF17EF">
        <w:t>here</w:t>
      </w:r>
    </w:p>
    <w:p w14:paraId="3B269995" w14:textId="77777777" w:rsidR="00FC60B5" w:rsidRPr="00C33339" w:rsidRDefault="00C1310C" w:rsidP="0003411C">
      <w:pPr>
        <w:rPr>
          <w:rFonts w:ascii="Times New Roman" w:hAnsi="Times New Roman" w:cs="Times New Roman"/>
          <w:sz w:val="24"/>
          <w:szCs w:val="24"/>
        </w:rPr>
      </w:pPr>
      <w:r w:rsidRPr="00C33339">
        <w:rPr>
          <w:rFonts w:ascii="Times New Roman" w:hAnsi="Times New Roman" w:cs="Times New Roman"/>
          <w:sz w:val="24"/>
          <w:szCs w:val="24"/>
        </w:rPr>
        <w:t xml:space="preserve">In the eventuality of a significant </w:t>
      </w:r>
      <w:r w:rsidRPr="00C33339">
        <w:rPr>
          <w:rFonts w:ascii="Times New Roman" w:hAnsi="Times New Roman" w:cs="Times New Roman"/>
          <w:i/>
          <w:sz w:val="24"/>
          <w:szCs w:val="24"/>
        </w:rPr>
        <w:t>b</w:t>
      </w:r>
      <w:r w:rsidRPr="00C33339">
        <w:rPr>
          <w:rFonts w:ascii="Times New Roman" w:hAnsi="Times New Roman" w:cs="Times New Roman"/>
          <w:sz w:val="24"/>
          <w:szCs w:val="24"/>
        </w:rPr>
        <w:t xml:space="preserve"> path, we added a</w:t>
      </w:r>
      <w:r w:rsidR="00E77E72" w:rsidRPr="00C33339">
        <w:rPr>
          <w:rFonts w:ascii="Times New Roman" w:hAnsi="Times New Roman" w:cs="Times New Roman"/>
          <w:sz w:val="24"/>
          <w:szCs w:val="24"/>
        </w:rPr>
        <w:t xml:space="preserve"> last step to test which individual items </w:t>
      </w:r>
      <w:r w:rsidRPr="00C33339">
        <w:rPr>
          <w:rFonts w:ascii="Times New Roman" w:hAnsi="Times New Roman" w:cs="Times New Roman"/>
          <w:sz w:val="24"/>
          <w:szCs w:val="24"/>
        </w:rPr>
        <w:t xml:space="preserve">of the significant index </w:t>
      </w:r>
      <w:r w:rsidR="00E77E72" w:rsidRPr="00C33339">
        <w:rPr>
          <w:rFonts w:ascii="Times New Roman" w:hAnsi="Times New Roman" w:cs="Times New Roman"/>
          <w:sz w:val="24"/>
          <w:szCs w:val="24"/>
        </w:rPr>
        <w:t xml:space="preserve">had an influence on outcomes. </w:t>
      </w:r>
      <w:r w:rsidR="005C75B4" w:rsidRPr="00C33339">
        <w:rPr>
          <w:rFonts w:ascii="Times New Roman" w:hAnsi="Times New Roman" w:cs="Times New Roman"/>
          <w:sz w:val="24"/>
          <w:szCs w:val="24"/>
        </w:rPr>
        <w:t>Data reduction technique</w:t>
      </w:r>
      <w:r w:rsidR="007C1194" w:rsidRPr="00C33339">
        <w:rPr>
          <w:rFonts w:ascii="Times New Roman" w:hAnsi="Times New Roman" w:cs="Times New Roman"/>
          <w:sz w:val="24"/>
          <w:szCs w:val="24"/>
        </w:rPr>
        <w:t>s</w:t>
      </w:r>
      <w:r w:rsidR="005C75B4" w:rsidRPr="00C33339">
        <w:rPr>
          <w:rFonts w:ascii="Times New Roman" w:hAnsi="Times New Roman" w:cs="Times New Roman"/>
          <w:sz w:val="24"/>
          <w:szCs w:val="24"/>
        </w:rPr>
        <w:t xml:space="preserve"> w</w:t>
      </w:r>
      <w:r w:rsidR="007C1194" w:rsidRPr="00C33339">
        <w:rPr>
          <w:rFonts w:ascii="Times New Roman" w:hAnsi="Times New Roman" w:cs="Times New Roman"/>
          <w:sz w:val="24"/>
          <w:szCs w:val="24"/>
        </w:rPr>
        <w:t>ere</w:t>
      </w:r>
      <w:r w:rsidR="005C75B4" w:rsidRPr="00C33339">
        <w:rPr>
          <w:rFonts w:ascii="Times New Roman" w:hAnsi="Times New Roman" w:cs="Times New Roman"/>
          <w:sz w:val="24"/>
          <w:szCs w:val="24"/>
        </w:rPr>
        <w:t xml:space="preserve"> used a</w:t>
      </w:r>
      <w:r w:rsidR="00E77E72" w:rsidRPr="00C33339">
        <w:rPr>
          <w:rFonts w:ascii="Times New Roman" w:hAnsi="Times New Roman" w:cs="Times New Roman"/>
          <w:sz w:val="24"/>
          <w:szCs w:val="24"/>
        </w:rPr>
        <w:t xml:space="preserve">s </w:t>
      </w:r>
      <w:r w:rsidR="006B2080" w:rsidRPr="00C33339">
        <w:rPr>
          <w:rFonts w:ascii="Times New Roman" w:hAnsi="Times New Roman" w:cs="Times New Roman"/>
          <w:sz w:val="24"/>
          <w:szCs w:val="24"/>
        </w:rPr>
        <w:t xml:space="preserve">PRS indices are comprised of </w:t>
      </w:r>
      <w:r w:rsidR="00E77E72" w:rsidRPr="00C33339">
        <w:rPr>
          <w:rFonts w:ascii="Times New Roman" w:hAnsi="Times New Roman" w:cs="Times New Roman"/>
          <w:sz w:val="24"/>
          <w:szCs w:val="24"/>
        </w:rPr>
        <w:t xml:space="preserve">several items and several </w:t>
      </w:r>
      <w:r w:rsidR="00495176" w:rsidRPr="00C33339">
        <w:rPr>
          <w:rFonts w:ascii="Times New Roman" w:hAnsi="Times New Roman" w:cs="Times New Roman"/>
          <w:sz w:val="24"/>
          <w:szCs w:val="24"/>
        </w:rPr>
        <w:t xml:space="preserve">of these </w:t>
      </w:r>
      <w:r w:rsidR="006B2080" w:rsidRPr="00C33339">
        <w:rPr>
          <w:rFonts w:ascii="Times New Roman" w:hAnsi="Times New Roman" w:cs="Times New Roman"/>
          <w:sz w:val="24"/>
          <w:szCs w:val="24"/>
        </w:rPr>
        <w:t>are</w:t>
      </w:r>
      <w:r w:rsidR="00E77E72" w:rsidRPr="00C33339">
        <w:rPr>
          <w:rFonts w:ascii="Times New Roman" w:hAnsi="Times New Roman" w:cs="Times New Roman"/>
          <w:sz w:val="24"/>
          <w:szCs w:val="24"/>
        </w:rPr>
        <w:t xml:space="preserve"> measuring </w:t>
      </w:r>
      <w:r w:rsidR="007C1194" w:rsidRPr="00C33339">
        <w:rPr>
          <w:rFonts w:ascii="Times New Roman" w:hAnsi="Times New Roman" w:cs="Times New Roman"/>
          <w:sz w:val="24"/>
          <w:szCs w:val="24"/>
        </w:rPr>
        <w:t>similar or related</w:t>
      </w:r>
      <w:r w:rsidR="00E77E72" w:rsidRPr="00C33339">
        <w:rPr>
          <w:rFonts w:ascii="Times New Roman" w:hAnsi="Times New Roman" w:cs="Times New Roman"/>
          <w:sz w:val="24"/>
          <w:szCs w:val="24"/>
        </w:rPr>
        <w:t xml:space="preserve"> </w:t>
      </w:r>
      <w:r w:rsidR="00F663EE" w:rsidRPr="00C33339">
        <w:rPr>
          <w:rFonts w:ascii="Times New Roman" w:hAnsi="Times New Roman" w:cs="Times New Roman"/>
          <w:sz w:val="24"/>
          <w:szCs w:val="24"/>
        </w:rPr>
        <w:t>behaviors</w:t>
      </w:r>
      <w:r w:rsidR="005C75B4" w:rsidRPr="00C33339">
        <w:rPr>
          <w:rFonts w:ascii="Times New Roman" w:hAnsi="Times New Roman" w:cs="Times New Roman"/>
          <w:sz w:val="24"/>
          <w:szCs w:val="24"/>
        </w:rPr>
        <w:t>. As the quality ratings were evaluated only when items were observed (frequency&gt;0)</w:t>
      </w:r>
      <w:r w:rsidR="007365A5" w:rsidRPr="00C33339">
        <w:rPr>
          <w:rFonts w:ascii="Times New Roman" w:hAnsi="Times New Roman" w:cs="Times New Roman"/>
          <w:sz w:val="24"/>
          <w:szCs w:val="24"/>
        </w:rPr>
        <w:t>,</w:t>
      </w:r>
      <w:r w:rsidR="005C75B4" w:rsidRPr="00C33339">
        <w:rPr>
          <w:rFonts w:ascii="Times New Roman" w:hAnsi="Times New Roman" w:cs="Times New Roman"/>
          <w:sz w:val="24"/>
          <w:szCs w:val="24"/>
        </w:rPr>
        <w:t xml:space="preserve"> resulting in missing data, we used multiple correspondence analysis (MCA), </w:t>
      </w:r>
      <w:r w:rsidR="005C75B4" w:rsidRPr="00C33339">
        <w:rPr>
          <w:rFonts w:ascii="Times New Roman" w:hAnsi="Times New Roman"/>
          <w:sz w:val="24"/>
        </w:rPr>
        <w:t>treating missing values as ordinary values.</w:t>
      </w:r>
      <w:r w:rsidR="00781D54" w:rsidRPr="00C33339">
        <w:rPr>
          <w:rFonts w:ascii="Times New Roman" w:hAnsi="Times New Roman"/>
          <w:sz w:val="24"/>
        </w:rPr>
        <w:t xml:space="preserve"> </w:t>
      </w:r>
      <w:r w:rsidR="0003411C" w:rsidRPr="0003411C">
        <w:rPr>
          <w:rFonts w:ascii="Times New Roman" w:hAnsi="Times New Roman"/>
          <w:sz w:val="24"/>
        </w:rPr>
        <w:t>MCA can be viewed as a generalization of principal component analysis where the variables to be</w:t>
      </w:r>
      <w:r w:rsidR="0003411C">
        <w:rPr>
          <w:rFonts w:ascii="Times New Roman" w:hAnsi="Times New Roman"/>
          <w:sz w:val="24"/>
        </w:rPr>
        <w:t xml:space="preserve"> </w:t>
      </w:r>
      <w:r w:rsidR="0003411C" w:rsidRPr="0003411C">
        <w:rPr>
          <w:rFonts w:ascii="Times New Roman" w:hAnsi="Times New Roman"/>
          <w:sz w:val="24"/>
        </w:rPr>
        <w:t>analyzed are categorical, not continuous</w:t>
      </w:r>
      <w:r w:rsidR="0026549F">
        <w:rPr>
          <w:rFonts w:ascii="Times New Roman" w:hAnsi="Times New Roman"/>
          <w:sz w:val="24"/>
        </w:rPr>
        <w:t xml:space="preserve"> (Greenacre &amp; Blasius</w:t>
      </w:r>
      <w:r w:rsidR="001B444E">
        <w:rPr>
          <w:rFonts w:ascii="Times New Roman" w:hAnsi="Times New Roman" w:cs="Times New Roman"/>
          <w:sz w:val="24"/>
          <w:szCs w:val="24"/>
        </w:rPr>
        <w:t>, 2006</w:t>
      </w:r>
      <w:r w:rsidR="0026549F">
        <w:rPr>
          <w:rFonts w:ascii="Times New Roman" w:hAnsi="Times New Roman"/>
          <w:sz w:val="24"/>
        </w:rPr>
        <w:t xml:space="preserve">). </w:t>
      </w:r>
      <w:r w:rsidR="007365A5" w:rsidRPr="00C33339">
        <w:rPr>
          <w:rFonts w:ascii="Times New Roman" w:hAnsi="Times New Roman" w:cs="Times New Roman"/>
          <w:sz w:val="24"/>
          <w:szCs w:val="24"/>
        </w:rPr>
        <w:t xml:space="preserve">We used coordinate plots and discrimination measures </w:t>
      </w:r>
      <w:r w:rsidR="00781D54" w:rsidRPr="00C33339">
        <w:rPr>
          <w:rFonts w:ascii="Times New Roman" w:hAnsi="Times New Roman" w:cs="Times New Roman"/>
          <w:sz w:val="24"/>
          <w:szCs w:val="24"/>
        </w:rPr>
        <w:t xml:space="preserve">(variable principal normalization) </w:t>
      </w:r>
      <w:r w:rsidR="007365A5" w:rsidRPr="00C33339">
        <w:rPr>
          <w:rFonts w:ascii="Times New Roman" w:hAnsi="Times New Roman" w:cs="Times New Roman"/>
          <w:sz w:val="24"/>
          <w:szCs w:val="24"/>
        </w:rPr>
        <w:t>to describe resulting dimensions. T</w:t>
      </w:r>
      <w:r w:rsidR="008C62A3" w:rsidRPr="00C33339">
        <w:rPr>
          <w:rFonts w:ascii="Times New Roman" w:hAnsi="Times New Roman" w:cs="Times New Roman"/>
          <w:sz w:val="24"/>
          <w:szCs w:val="24"/>
        </w:rPr>
        <w:t xml:space="preserve">he </w:t>
      </w:r>
      <w:r w:rsidR="00781D54" w:rsidRPr="00C33339">
        <w:rPr>
          <w:rFonts w:ascii="Times New Roman" w:hAnsi="Times New Roman" w:cs="Times New Roman"/>
          <w:sz w:val="24"/>
          <w:szCs w:val="24"/>
        </w:rPr>
        <w:t>resulting</w:t>
      </w:r>
      <w:r w:rsidR="008C62A3" w:rsidRPr="00C33339">
        <w:rPr>
          <w:rFonts w:ascii="Times New Roman" w:hAnsi="Times New Roman" w:cs="Times New Roman"/>
          <w:sz w:val="24"/>
          <w:szCs w:val="24"/>
        </w:rPr>
        <w:t xml:space="preserve"> </w:t>
      </w:r>
      <w:r w:rsidR="007365A5" w:rsidRPr="00C33339">
        <w:rPr>
          <w:rFonts w:ascii="Times New Roman" w:hAnsi="Times New Roman" w:cs="Times New Roman"/>
          <w:sz w:val="24"/>
          <w:szCs w:val="24"/>
        </w:rPr>
        <w:t xml:space="preserve">dimensions’ </w:t>
      </w:r>
      <w:r w:rsidR="008C62A3" w:rsidRPr="00C33339">
        <w:rPr>
          <w:rFonts w:ascii="Times New Roman" w:hAnsi="Times New Roman" w:cs="Times New Roman"/>
          <w:sz w:val="24"/>
          <w:szCs w:val="24"/>
        </w:rPr>
        <w:t xml:space="preserve">scores were saved as variables </w:t>
      </w:r>
      <w:r w:rsidR="00781D54" w:rsidRPr="00C33339">
        <w:rPr>
          <w:rFonts w:ascii="Times New Roman" w:hAnsi="Times New Roman" w:cs="Times New Roman"/>
          <w:sz w:val="24"/>
          <w:szCs w:val="24"/>
        </w:rPr>
        <w:t>(“Save object scores</w:t>
      </w:r>
      <w:r w:rsidR="00451D90" w:rsidRPr="00C33339">
        <w:rPr>
          <w:rFonts w:ascii="Times New Roman" w:hAnsi="Times New Roman" w:cs="Times New Roman"/>
          <w:sz w:val="24"/>
          <w:szCs w:val="24"/>
        </w:rPr>
        <w:t>”</w:t>
      </w:r>
      <w:r w:rsidR="008C62A3" w:rsidRPr="00C33339">
        <w:rPr>
          <w:rFonts w:ascii="Times New Roman" w:hAnsi="Times New Roman" w:cs="Times New Roman"/>
          <w:sz w:val="24"/>
          <w:szCs w:val="24"/>
        </w:rPr>
        <w:t xml:space="preserve"> </w:t>
      </w:r>
      <w:r w:rsidR="00781D54" w:rsidRPr="00C33339">
        <w:rPr>
          <w:rFonts w:ascii="Times New Roman" w:hAnsi="Times New Roman" w:cs="Times New Roman"/>
          <w:sz w:val="24"/>
          <w:szCs w:val="24"/>
        </w:rPr>
        <w:t>function</w:t>
      </w:r>
      <w:r w:rsidR="00451D90" w:rsidRPr="00C33339">
        <w:rPr>
          <w:rFonts w:ascii="Times New Roman" w:hAnsi="Times New Roman" w:cs="Times New Roman"/>
          <w:sz w:val="24"/>
          <w:szCs w:val="24"/>
        </w:rPr>
        <w:t xml:space="preserve"> in SPSS</w:t>
      </w:r>
      <w:r w:rsidR="00781D54" w:rsidRPr="00C33339">
        <w:rPr>
          <w:rFonts w:ascii="Times New Roman" w:hAnsi="Times New Roman" w:cs="Times New Roman"/>
          <w:sz w:val="24"/>
          <w:szCs w:val="24"/>
        </w:rPr>
        <w:t xml:space="preserve"> 23)</w:t>
      </w:r>
      <w:r w:rsidR="0051213E" w:rsidRPr="00C33339">
        <w:rPr>
          <w:rFonts w:ascii="Times New Roman" w:hAnsi="Times New Roman" w:cs="Times New Roman"/>
          <w:sz w:val="24"/>
          <w:szCs w:val="24"/>
        </w:rPr>
        <w:t>.</w:t>
      </w:r>
      <w:r w:rsidR="008C62A3" w:rsidRPr="00C33339">
        <w:rPr>
          <w:rFonts w:ascii="Times New Roman" w:hAnsi="Times New Roman" w:cs="Times New Roman"/>
          <w:sz w:val="24"/>
          <w:szCs w:val="24"/>
        </w:rPr>
        <w:t xml:space="preserve"> </w:t>
      </w:r>
      <w:r w:rsidR="00005F69" w:rsidRPr="00C33339">
        <w:rPr>
          <w:rFonts w:ascii="Times New Roman" w:hAnsi="Times New Roman" w:cs="Times New Roman"/>
          <w:sz w:val="24"/>
          <w:szCs w:val="24"/>
        </w:rPr>
        <w:t>T</w:t>
      </w:r>
      <w:r w:rsidR="008C62A3" w:rsidRPr="00C33339">
        <w:rPr>
          <w:rFonts w:ascii="Times New Roman" w:hAnsi="Times New Roman" w:cs="Times New Roman"/>
          <w:sz w:val="24"/>
          <w:szCs w:val="24"/>
        </w:rPr>
        <w:t>h</w:t>
      </w:r>
      <w:r w:rsidR="0051213E" w:rsidRPr="00C33339">
        <w:rPr>
          <w:rFonts w:ascii="Times New Roman" w:hAnsi="Times New Roman" w:cs="Times New Roman"/>
          <w:sz w:val="24"/>
          <w:szCs w:val="24"/>
        </w:rPr>
        <w:t xml:space="preserve">ese variables were </w:t>
      </w:r>
      <w:r w:rsidR="00005F69" w:rsidRPr="00C33339">
        <w:rPr>
          <w:rFonts w:ascii="Times New Roman" w:hAnsi="Times New Roman" w:cs="Times New Roman"/>
          <w:sz w:val="24"/>
          <w:szCs w:val="24"/>
        </w:rPr>
        <w:t xml:space="preserve">then </w:t>
      </w:r>
      <w:r w:rsidR="0051213E" w:rsidRPr="00C33339">
        <w:rPr>
          <w:rFonts w:ascii="Times New Roman" w:hAnsi="Times New Roman" w:cs="Times New Roman"/>
          <w:sz w:val="24"/>
          <w:szCs w:val="24"/>
        </w:rPr>
        <w:t xml:space="preserve">entered in a regression model similar to those in </w:t>
      </w:r>
      <w:r w:rsidR="0051213E" w:rsidRPr="00C33339">
        <w:rPr>
          <w:rFonts w:ascii="Times New Roman" w:hAnsi="Times New Roman" w:cs="Times New Roman"/>
          <w:i/>
          <w:sz w:val="24"/>
          <w:szCs w:val="24"/>
        </w:rPr>
        <w:t>b</w:t>
      </w:r>
      <w:r w:rsidR="0051213E" w:rsidRPr="00C33339">
        <w:rPr>
          <w:rFonts w:ascii="Times New Roman" w:hAnsi="Times New Roman" w:cs="Times New Roman"/>
          <w:sz w:val="24"/>
          <w:szCs w:val="24"/>
        </w:rPr>
        <w:t xml:space="preserve"> paths of the mediation models, i.e.</w:t>
      </w:r>
      <w:r w:rsidR="001B444E">
        <w:rPr>
          <w:rFonts w:ascii="Times New Roman" w:hAnsi="Times New Roman" w:cs="Times New Roman"/>
          <w:sz w:val="24"/>
          <w:szCs w:val="24"/>
        </w:rPr>
        <w:t>,</w:t>
      </w:r>
      <w:r w:rsidR="0051213E" w:rsidRPr="00C33339">
        <w:rPr>
          <w:rFonts w:ascii="Times New Roman" w:hAnsi="Times New Roman" w:cs="Times New Roman"/>
          <w:sz w:val="24"/>
          <w:szCs w:val="24"/>
        </w:rPr>
        <w:t xml:space="preserve"> </w:t>
      </w:r>
      <w:r w:rsidRPr="00C33339">
        <w:rPr>
          <w:rFonts w:ascii="Times New Roman" w:hAnsi="Times New Roman" w:cs="Times New Roman"/>
          <w:sz w:val="24"/>
          <w:szCs w:val="24"/>
        </w:rPr>
        <w:t xml:space="preserve">with </w:t>
      </w:r>
      <w:r w:rsidR="0051213E" w:rsidRPr="00C33339">
        <w:rPr>
          <w:rFonts w:ascii="Times New Roman" w:hAnsi="Times New Roman" w:cs="Times New Roman"/>
          <w:sz w:val="24"/>
          <w:szCs w:val="24"/>
        </w:rPr>
        <w:t>PDA or DDD</w:t>
      </w:r>
      <w:r w:rsidRPr="00C33339">
        <w:rPr>
          <w:rFonts w:ascii="Times New Roman" w:hAnsi="Times New Roman" w:cs="Times New Roman"/>
          <w:sz w:val="24"/>
          <w:szCs w:val="24"/>
        </w:rPr>
        <w:t xml:space="preserve"> at 12-month follow-up as outcome variable and controlling for </w:t>
      </w:r>
      <w:r w:rsidR="00B55371" w:rsidRPr="00C33339">
        <w:rPr>
          <w:rFonts w:ascii="Times New Roman" w:hAnsi="Times New Roman" w:cs="Times New Roman"/>
          <w:sz w:val="24"/>
          <w:szCs w:val="24"/>
        </w:rPr>
        <w:t xml:space="preserve">the </w:t>
      </w:r>
      <w:r w:rsidRPr="00C33339">
        <w:rPr>
          <w:rFonts w:ascii="Times New Roman" w:hAnsi="Times New Roman" w:cs="Times New Roman"/>
          <w:sz w:val="24"/>
          <w:szCs w:val="24"/>
        </w:rPr>
        <w:t xml:space="preserve">baseline measure of the dependent variable, gender, age, and number of days between baseline and the coded session. </w:t>
      </w:r>
    </w:p>
    <w:p w14:paraId="52DEB93A" w14:textId="77777777" w:rsidR="001B4CAD" w:rsidRPr="00C33339" w:rsidRDefault="001B4CAD" w:rsidP="00781D54">
      <w:pPr>
        <w:rPr>
          <w:rFonts w:ascii="Times New Roman" w:hAnsi="Times New Roman" w:cs="Times New Roman"/>
          <w:sz w:val="24"/>
          <w:szCs w:val="24"/>
        </w:rPr>
      </w:pPr>
    </w:p>
    <w:p w14:paraId="4574C694" w14:textId="77777777" w:rsidR="00531DE4" w:rsidRPr="00C33339" w:rsidRDefault="00531DE4" w:rsidP="00256297">
      <w:pPr>
        <w:pStyle w:val="Heading2"/>
      </w:pPr>
      <w:r w:rsidRPr="00C33339">
        <w:t>Results</w:t>
      </w:r>
    </w:p>
    <w:p w14:paraId="2BF2F3CF" w14:textId="77777777" w:rsidR="00531DE4" w:rsidRPr="00C33339" w:rsidRDefault="009D635C" w:rsidP="00B762B1">
      <w:pPr>
        <w:pStyle w:val="Heading3"/>
      </w:pPr>
      <w:r w:rsidRPr="00C33339">
        <w:t>Sample description</w:t>
      </w:r>
    </w:p>
    <w:p w14:paraId="22801016" w14:textId="77777777" w:rsidR="0023382D" w:rsidRPr="00C33339" w:rsidRDefault="009D635C" w:rsidP="00BD2320">
      <w:pPr>
        <w:rPr>
          <w:rFonts w:ascii="Times New Roman" w:hAnsi="Times New Roman" w:cs="Times New Roman"/>
          <w:sz w:val="24"/>
          <w:szCs w:val="24"/>
        </w:rPr>
      </w:pPr>
      <w:r w:rsidRPr="00C33339">
        <w:rPr>
          <w:rFonts w:ascii="Times New Roman" w:hAnsi="Times New Roman" w:cs="Times New Roman"/>
          <w:sz w:val="24"/>
          <w:szCs w:val="24"/>
        </w:rPr>
        <w:t xml:space="preserve">The sample for the </w:t>
      </w:r>
      <w:r w:rsidRPr="00EB5F70">
        <w:rPr>
          <w:rFonts w:ascii="Times New Roman" w:hAnsi="Times New Roman" w:cs="Times New Roman"/>
          <w:sz w:val="24"/>
          <w:szCs w:val="24"/>
        </w:rPr>
        <w:t xml:space="preserve">present </w:t>
      </w:r>
      <w:r w:rsidR="00C868CD" w:rsidRPr="00EB5F70">
        <w:rPr>
          <w:rFonts w:ascii="Times New Roman" w:hAnsi="Times New Roman" w:cs="Times New Roman"/>
          <w:sz w:val="24"/>
          <w:szCs w:val="24"/>
        </w:rPr>
        <w:t xml:space="preserve">analysis </w:t>
      </w:r>
      <w:r w:rsidRPr="00EB5F70">
        <w:rPr>
          <w:rFonts w:ascii="Times New Roman" w:hAnsi="Times New Roman" w:cs="Times New Roman"/>
          <w:sz w:val="24"/>
          <w:szCs w:val="24"/>
        </w:rPr>
        <w:t>was comparable to the complete UKATT sample, with no significant differences between</w:t>
      </w:r>
      <w:r w:rsidRPr="00C33339">
        <w:rPr>
          <w:rFonts w:ascii="Times New Roman" w:hAnsi="Times New Roman" w:cs="Times New Roman"/>
          <w:sz w:val="24"/>
          <w:szCs w:val="24"/>
        </w:rPr>
        <w:t xml:space="preserve"> those </w:t>
      </w:r>
      <w:r w:rsidR="001B444E">
        <w:rPr>
          <w:rFonts w:ascii="Times New Roman" w:hAnsi="Times New Roman" w:cs="Times New Roman"/>
          <w:sz w:val="24"/>
          <w:szCs w:val="24"/>
        </w:rPr>
        <w:t>client</w:t>
      </w:r>
      <w:r w:rsidRPr="00C33339">
        <w:rPr>
          <w:rFonts w:ascii="Times New Roman" w:hAnsi="Times New Roman" w:cs="Times New Roman"/>
          <w:sz w:val="24"/>
          <w:szCs w:val="24"/>
        </w:rPr>
        <w:t>s included (N=</w:t>
      </w:r>
      <w:r w:rsidR="008E2DDB" w:rsidRPr="00C33339">
        <w:rPr>
          <w:rFonts w:ascii="Times New Roman" w:hAnsi="Times New Roman" w:cs="Times New Roman"/>
          <w:sz w:val="24"/>
          <w:szCs w:val="24"/>
        </w:rPr>
        <w:t>376</w:t>
      </w:r>
      <w:r w:rsidRPr="00C33339">
        <w:rPr>
          <w:rFonts w:ascii="Times New Roman" w:hAnsi="Times New Roman" w:cs="Times New Roman"/>
          <w:sz w:val="24"/>
          <w:szCs w:val="24"/>
        </w:rPr>
        <w:t>) and excluded (N=</w:t>
      </w:r>
      <w:r w:rsidR="008E2DDB" w:rsidRPr="00C33339">
        <w:rPr>
          <w:rFonts w:ascii="Times New Roman" w:hAnsi="Times New Roman" w:cs="Times New Roman"/>
          <w:sz w:val="24"/>
          <w:szCs w:val="24"/>
        </w:rPr>
        <w:t>366</w:t>
      </w:r>
      <w:r w:rsidRPr="00C33339">
        <w:rPr>
          <w:rFonts w:ascii="Times New Roman" w:hAnsi="Times New Roman" w:cs="Times New Roman"/>
          <w:sz w:val="24"/>
          <w:szCs w:val="24"/>
        </w:rPr>
        <w:t xml:space="preserve">) </w:t>
      </w:r>
      <w:r w:rsidRPr="00C33339">
        <w:rPr>
          <w:rFonts w:ascii="Times New Roman" w:hAnsi="Times New Roman" w:cs="Times New Roman"/>
          <w:sz w:val="24"/>
          <w:szCs w:val="24"/>
        </w:rPr>
        <w:lastRenderedPageBreak/>
        <w:t>on baseline alcohol use (</w:t>
      </w:r>
      <w:r w:rsidR="008E2DDB" w:rsidRPr="00C33339">
        <w:rPr>
          <w:rFonts w:ascii="Times New Roman" w:hAnsi="Times New Roman" w:cs="Times New Roman"/>
          <w:sz w:val="24"/>
          <w:szCs w:val="24"/>
        </w:rPr>
        <w:t xml:space="preserve">p=0.26 for </w:t>
      </w:r>
      <w:r w:rsidRPr="00C33339">
        <w:rPr>
          <w:rFonts w:ascii="Times New Roman" w:hAnsi="Times New Roman" w:cs="Times New Roman"/>
          <w:sz w:val="24"/>
          <w:szCs w:val="24"/>
        </w:rPr>
        <w:t>PDA</w:t>
      </w:r>
      <w:r w:rsidR="008E2DDB" w:rsidRPr="00C33339">
        <w:rPr>
          <w:rFonts w:ascii="Times New Roman" w:hAnsi="Times New Roman" w:cs="Times New Roman"/>
          <w:sz w:val="24"/>
          <w:szCs w:val="24"/>
        </w:rPr>
        <w:t>,</w:t>
      </w:r>
      <w:r w:rsidRPr="00C33339">
        <w:rPr>
          <w:rFonts w:ascii="Times New Roman" w:hAnsi="Times New Roman" w:cs="Times New Roman"/>
          <w:sz w:val="24"/>
          <w:szCs w:val="24"/>
        </w:rPr>
        <w:t xml:space="preserve"> and</w:t>
      </w:r>
      <w:r w:rsidR="008E2DDB" w:rsidRPr="00C33339">
        <w:rPr>
          <w:rFonts w:ascii="Times New Roman" w:hAnsi="Times New Roman" w:cs="Times New Roman"/>
          <w:sz w:val="24"/>
          <w:szCs w:val="24"/>
        </w:rPr>
        <w:t xml:space="preserve"> p=0.17 for</w:t>
      </w:r>
      <w:r w:rsidRPr="00C33339">
        <w:rPr>
          <w:rFonts w:ascii="Times New Roman" w:hAnsi="Times New Roman" w:cs="Times New Roman"/>
          <w:sz w:val="24"/>
          <w:szCs w:val="24"/>
        </w:rPr>
        <w:t xml:space="preserve"> DD</w:t>
      </w:r>
      <w:r w:rsidR="008E2DDB" w:rsidRPr="00C33339">
        <w:rPr>
          <w:rFonts w:ascii="Times New Roman" w:hAnsi="Times New Roman" w:cs="Times New Roman"/>
          <w:sz w:val="24"/>
          <w:szCs w:val="24"/>
        </w:rPr>
        <w:t>D) and</w:t>
      </w:r>
      <w:r w:rsidRPr="00C33339">
        <w:rPr>
          <w:rFonts w:ascii="Times New Roman" w:hAnsi="Times New Roman" w:cs="Times New Roman"/>
          <w:sz w:val="24"/>
          <w:szCs w:val="24"/>
        </w:rPr>
        <w:t xml:space="preserve"> gender</w:t>
      </w:r>
      <w:r w:rsidR="008E2DDB" w:rsidRPr="00C33339">
        <w:rPr>
          <w:rFonts w:ascii="Times New Roman" w:hAnsi="Times New Roman" w:cs="Times New Roman"/>
          <w:sz w:val="24"/>
          <w:szCs w:val="24"/>
        </w:rPr>
        <w:t xml:space="preserve"> (p=0.83)</w:t>
      </w:r>
      <w:r w:rsidR="00F05296" w:rsidRPr="00C33339">
        <w:rPr>
          <w:rFonts w:ascii="Times New Roman" w:hAnsi="Times New Roman" w:cs="Times New Roman"/>
          <w:sz w:val="24"/>
          <w:szCs w:val="24"/>
        </w:rPr>
        <w:t xml:space="preserve">. However, </w:t>
      </w:r>
      <w:r w:rsidR="008E2DDB" w:rsidRPr="00C33339">
        <w:rPr>
          <w:rFonts w:ascii="Times New Roman" w:hAnsi="Times New Roman" w:cs="Times New Roman"/>
          <w:sz w:val="24"/>
          <w:szCs w:val="24"/>
        </w:rPr>
        <w:t xml:space="preserve">those included tended to be older than those excluded </w:t>
      </w:r>
      <w:r w:rsidRPr="00C33339">
        <w:rPr>
          <w:rFonts w:ascii="Times New Roman" w:hAnsi="Times New Roman" w:cs="Times New Roman"/>
          <w:sz w:val="24"/>
          <w:szCs w:val="24"/>
        </w:rPr>
        <w:t>(</w:t>
      </w:r>
      <w:r w:rsidR="005E52FE" w:rsidRPr="00C33339">
        <w:rPr>
          <w:rFonts w:ascii="Times New Roman" w:hAnsi="Times New Roman" w:cs="Times New Roman"/>
          <w:sz w:val="24"/>
          <w:szCs w:val="24"/>
        </w:rPr>
        <w:t xml:space="preserve">42.5 </w:t>
      </w:r>
      <w:r w:rsidR="008E2DDB" w:rsidRPr="00C33339">
        <w:rPr>
          <w:rFonts w:ascii="Times New Roman" w:hAnsi="Times New Roman" w:cs="Times New Roman"/>
          <w:sz w:val="24"/>
          <w:szCs w:val="24"/>
        </w:rPr>
        <w:t xml:space="preserve">years </w:t>
      </w:r>
      <w:r w:rsidR="00232E2C" w:rsidRPr="00C33339">
        <w:rPr>
          <w:rFonts w:ascii="Times New Roman" w:hAnsi="Times New Roman" w:cs="Times New Roman"/>
          <w:sz w:val="24"/>
          <w:szCs w:val="24"/>
        </w:rPr>
        <w:t>vs.</w:t>
      </w:r>
      <w:r w:rsidR="008E2DDB" w:rsidRPr="00C33339">
        <w:rPr>
          <w:rFonts w:ascii="Times New Roman" w:hAnsi="Times New Roman" w:cs="Times New Roman"/>
          <w:sz w:val="24"/>
          <w:szCs w:val="24"/>
        </w:rPr>
        <w:t xml:space="preserve"> </w:t>
      </w:r>
      <w:r w:rsidR="005E52FE" w:rsidRPr="00C33339">
        <w:rPr>
          <w:rFonts w:ascii="Times New Roman" w:hAnsi="Times New Roman" w:cs="Times New Roman"/>
          <w:sz w:val="24"/>
          <w:szCs w:val="24"/>
        </w:rPr>
        <w:t>40.8</w:t>
      </w:r>
      <w:r w:rsidR="008E2DDB" w:rsidRPr="00C33339">
        <w:rPr>
          <w:rFonts w:ascii="Times New Roman" w:hAnsi="Times New Roman" w:cs="Times New Roman"/>
          <w:sz w:val="24"/>
          <w:szCs w:val="24"/>
        </w:rPr>
        <w:t xml:space="preserve"> on average, p=0.02</w:t>
      </w:r>
      <w:r w:rsidRPr="00C33339">
        <w:rPr>
          <w:rFonts w:ascii="Times New Roman" w:hAnsi="Times New Roman" w:cs="Times New Roman"/>
          <w:sz w:val="24"/>
          <w:szCs w:val="24"/>
        </w:rPr>
        <w:t xml:space="preserve">). </w:t>
      </w:r>
      <w:r w:rsidR="0023382D" w:rsidRPr="00C33339">
        <w:rPr>
          <w:rFonts w:ascii="Times New Roman" w:hAnsi="Times New Roman" w:cs="Times New Roman"/>
          <w:sz w:val="24"/>
          <w:szCs w:val="24"/>
        </w:rPr>
        <w:t>As shown in Table 1, t</w:t>
      </w:r>
      <w:r w:rsidRPr="00C33339">
        <w:rPr>
          <w:rFonts w:ascii="Times New Roman" w:hAnsi="Times New Roman" w:cs="Times New Roman"/>
          <w:sz w:val="24"/>
          <w:szCs w:val="24"/>
        </w:rPr>
        <w:t>here were no significant differences on the same measures between those having received MET (N=2</w:t>
      </w:r>
      <w:r w:rsidR="008E2DDB" w:rsidRPr="00C33339">
        <w:rPr>
          <w:rFonts w:ascii="Times New Roman" w:hAnsi="Times New Roman" w:cs="Times New Roman"/>
          <w:sz w:val="24"/>
          <w:szCs w:val="24"/>
        </w:rPr>
        <w:t>17</w:t>
      </w:r>
      <w:r w:rsidRPr="00C33339">
        <w:rPr>
          <w:rFonts w:ascii="Times New Roman" w:hAnsi="Times New Roman" w:cs="Times New Roman"/>
          <w:sz w:val="24"/>
          <w:szCs w:val="24"/>
        </w:rPr>
        <w:t>) and SBNT (N=1</w:t>
      </w:r>
      <w:r w:rsidR="008E2DDB" w:rsidRPr="00C33339">
        <w:rPr>
          <w:rFonts w:ascii="Times New Roman" w:hAnsi="Times New Roman" w:cs="Times New Roman"/>
          <w:sz w:val="24"/>
          <w:szCs w:val="24"/>
        </w:rPr>
        <w:t>59</w:t>
      </w:r>
      <w:r w:rsidRPr="00C33339">
        <w:rPr>
          <w:rFonts w:ascii="Times New Roman" w:hAnsi="Times New Roman" w:cs="Times New Roman"/>
          <w:sz w:val="24"/>
          <w:szCs w:val="24"/>
        </w:rPr>
        <w:t>)</w:t>
      </w:r>
      <w:r w:rsidR="0023382D" w:rsidRPr="00C33339">
        <w:rPr>
          <w:rFonts w:ascii="Times New Roman" w:hAnsi="Times New Roman" w:cs="Times New Roman"/>
          <w:sz w:val="24"/>
          <w:szCs w:val="24"/>
        </w:rPr>
        <w:t>. Overall, about three quarters of the sample were male, mean age was 42 years (</w:t>
      </w:r>
      <w:r w:rsidR="00232E2C">
        <w:rPr>
          <w:rFonts w:ascii="Times New Roman" w:hAnsi="Times New Roman" w:cs="Times New Roman"/>
          <w:sz w:val="24"/>
          <w:szCs w:val="24"/>
        </w:rPr>
        <w:t>SD</w:t>
      </w:r>
      <w:r w:rsidR="0023382D" w:rsidRPr="00C33339">
        <w:rPr>
          <w:rFonts w:ascii="Times New Roman" w:hAnsi="Times New Roman" w:cs="Times New Roman"/>
          <w:sz w:val="24"/>
          <w:szCs w:val="24"/>
        </w:rPr>
        <w:t>=10.0), PDA at baseline was 28.0 (26.0), and DDD</w:t>
      </w:r>
      <w:r w:rsidR="006957B2" w:rsidRPr="00C33339">
        <w:rPr>
          <w:rFonts w:ascii="Times New Roman" w:hAnsi="Times New Roman" w:cs="Times New Roman"/>
          <w:sz w:val="24"/>
          <w:szCs w:val="24"/>
        </w:rPr>
        <w:t xml:space="preserve"> </w:t>
      </w:r>
      <w:r w:rsidR="0023382D" w:rsidRPr="00C33339">
        <w:rPr>
          <w:rFonts w:ascii="Times New Roman" w:hAnsi="Times New Roman" w:cs="Times New Roman"/>
          <w:sz w:val="24"/>
          <w:szCs w:val="24"/>
        </w:rPr>
        <w:t>23.9 (14.0).</w:t>
      </w:r>
      <w:r w:rsidR="00876112" w:rsidRPr="00C33339">
        <w:rPr>
          <w:rFonts w:ascii="Times New Roman" w:hAnsi="Times New Roman" w:cs="Times New Roman"/>
          <w:sz w:val="24"/>
          <w:szCs w:val="24"/>
        </w:rPr>
        <w:t xml:space="preserve"> </w:t>
      </w:r>
      <w:r w:rsidR="00FE456A" w:rsidRPr="00C33339">
        <w:rPr>
          <w:rFonts w:ascii="Times New Roman" w:hAnsi="Times New Roman" w:cs="Times New Roman"/>
          <w:sz w:val="24"/>
          <w:szCs w:val="24"/>
        </w:rPr>
        <w:t xml:space="preserve">The values of the </w:t>
      </w:r>
      <w:r w:rsidR="0023382D" w:rsidRPr="00C33339">
        <w:rPr>
          <w:rFonts w:ascii="Times New Roman" w:hAnsi="Times New Roman" w:cs="Times New Roman"/>
          <w:sz w:val="24"/>
          <w:szCs w:val="24"/>
        </w:rPr>
        <w:t xml:space="preserve">UKATT PRS data </w:t>
      </w:r>
      <w:r w:rsidR="00FE456A" w:rsidRPr="00C33339">
        <w:rPr>
          <w:rFonts w:ascii="Times New Roman" w:hAnsi="Times New Roman" w:cs="Times New Roman"/>
          <w:sz w:val="24"/>
          <w:szCs w:val="24"/>
        </w:rPr>
        <w:t xml:space="preserve">used here </w:t>
      </w:r>
      <w:r w:rsidR="0023382D" w:rsidRPr="00C33339">
        <w:rPr>
          <w:rFonts w:ascii="Times New Roman" w:hAnsi="Times New Roman" w:cs="Times New Roman"/>
          <w:sz w:val="24"/>
          <w:szCs w:val="24"/>
        </w:rPr>
        <w:t>were</w:t>
      </w:r>
      <w:r w:rsidR="00FE456A" w:rsidRPr="00C33339">
        <w:rPr>
          <w:rFonts w:ascii="Times New Roman" w:hAnsi="Times New Roman" w:cs="Times New Roman"/>
          <w:sz w:val="24"/>
          <w:szCs w:val="24"/>
        </w:rPr>
        <w:t xml:space="preserve"> similar</w:t>
      </w:r>
      <w:r w:rsidR="0023382D" w:rsidRPr="00C33339">
        <w:rPr>
          <w:rFonts w:ascii="Times New Roman" w:hAnsi="Times New Roman" w:cs="Times New Roman"/>
          <w:sz w:val="24"/>
          <w:szCs w:val="24"/>
        </w:rPr>
        <w:t xml:space="preserve"> to </w:t>
      </w:r>
      <w:r w:rsidR="00C505A7" w:rsidRPr="00C33339">
        <w:rPr>
          <w:rFonts w:ascii="Times New Roman" w:hAnsi="Times New Roman" w:cs="Times New Roman"/>
          <w:sz w:val="24"/>
          <w:szCs w:val="24"/>
        </w:rPr>
        <w:t xml:space="preserve">those </w:t>
      </w:r>
      <w:r w:rsidR="0023382D" w:rsidRPr="00C33339">
        <w:rPr>
          <w:rFonts w:ascii="Times New Roman" w:hAnsi="Times New Roman" w:cs="Times New Roman"/>
          <w:sz w:val="24"/>
          <w:szCs w:val="24"/>
        </w:rPr>
        <w:t xml:space="preserve">presented in </w:t>
      </w:r>
      <w:r w:rsidR="00676868" w:rsidRPr="00C33339">
        <w:rPr>
          <w:rFonts w:ascii="Times New Roman" w:hAnsi="Times New Roman" w:cs="Times New Roman"/>
          <w:sz w:val="24"/>
          <w:szCs w:val="24"/>
        </w:rPr>
        <w:t xml:space="preserve">Tober et al. </w:t>
      </w:r>
      <w:r w:rsidR="0081252C">
        <w:rPr>
          <w:rFonts w:ascii="Times New Roman" w:hAnsi="Times New Roman" w:cs="Times New Roman"/>
          <w:sz w:val="24"/>
          <w:szCs w:val="24"/>
        </w:rPr>
        <w:t>(2008)</w:t>
      </w:r>
      <w:r w:rsidR="00FE456A" w:rsidRPr="00C33339">
        <w:rPr>
          <w:rFonts w:ascii="Times New Roman" w:hAnsi="Times New Roman" w:cs="Times New Roman"/>
          <w:sz w:val="24"/>
          <w:szCs w:val="24"/>
        </w:rPr>
        <w:t xml:space="preserve"> for the larger validation study</w:t>
      </w:r>
      <w:r w:rsidR="0023382D" w:rsidRPr="00C33339">
        <w:rPr>
          <w:rFonts w:ascii="Times New Roman" w:hAnsi="Times New Roman" w:cs="Times New Roman"/>
          <w:sz w:val="24"/>
          <w:szCs w:val="24"/>
        </w:rPr>
        <w:t xml:space="preserve">. </w:t>
      </w:r>
      <w:r w:rsidR="00876112" w:rsidRPr="00C33339">
        <w:rPr>
          <w:rFonts w:ascii="Times New Roman" w:hAnsi="Times New Roman" w:cs="Times New Roman"/>
          <w:sz w:val="24"/>
          <w:szCs w:val="24"/>
        </w:rPr>
        <w:t xml:space="preserve">Three of the 4 indices strongly discriminated between the two treatments (p values &lt; 0.0001): met-f, sbnt-f, and sbnt-q. However, met-q (i.e. the quality of MET </w:t>
      </w:r>
      <w:r w:rsidR="00F663EE" w:rsidRPr="00C33339">
        <w:rPr>
          <w:rFonts w:ascii="Times New Roman" w:hAnsi="Times New Roman" w:cs="Times New Roman"/>
          <w:sz w:val="24"/>
          <w:szCs w:val="24"/>
        </w:rPr>
        <w:t>behaviors</w:t>
      </w:r>
      <w:r w:rsidR="00876112" w:rsidRPr="00C33339">
        <w:rPr>
          <w:rFonts w:ascii="Times New Roman" w:hAnsi="Times New Roman" w:cs="Times New Roman"/>
          <w:sz w:val="24"/>
          <w:szCs w:val="24"/>
        </w:rPr>
        <w:t>) did not significantly differ between MET and SBNT (p=0.</w:t>
      </w:r>
      <w:r w:rsidR="008E2DDB" w:rsidRPr="00C33339">
        <w:rPr>
          <w:rFonts w:ascii="Times New Roman" w:hAnsi="Times New Roman" w:cs="Times New Roman"/>
          <w:sz w:val="24"/>
          <w:szCs w:val="24"/>
        </w:rPr>
        <w:t>08</w:t>
      </w:r>
      <w:r w:rsidR="00876112" w:rsidRPr="00C33339">
        <w:rPr>
          <w:rFonts w:ascii="Times New Roman" w:hAnsi="Times New Roman" w:cs="Times New Roman"/>
          <w:sz w:val="24"/>
          <w:szCs w:val="24"/>
        </w:rPr>
        <w:t xml:space="preserve">), </w:t>
      </w:r>
      <w:r w:rsidR="007A022C" w:rsidRPr="00C33339">
        <w:rPr>
          <w:rFonts w:ascii="Times New Roman" w:hAnsi="Times New Roman" w:cs="Times New Roman"/>
          <w:sz w:val="24"/>
          <w:szCs w:val="24"/>
        </w:rPr>
        <w:t xml:space="preserve">although </w:t>
      </w:r>
      <w:r w:rsidR="00876112" w:rsidRPr="00C33339">
        <w:rPr>
          <w:rFonts w:ascii="Times New Roman" w:hAnsi="Times New Roman" w:cs="Times New Roman"/>
          <w:sz w:val="24"/>
          <w:szCs w:val="24"/>
        </w:rPr>
        <w:t xml:space="preserve">the trend was in </w:t>
      </w:r>
      <w:r w:rsidR="007A022C" w:rsidRPr="00C33339">
        <w:rPr>
          <w:rFonts w:ascii="Times New Roman" w:hAnsi="Times New Roman" w:cs="Times New Roman"/>
          <w:sz w:val="24"/>
          <w:szCs w:val="24"/>
        </w:rPr>
        <w:t xml:space="preserve">the </w:t>
      </w:r>
      <w:r w:rsidR="00876112" w:rsidRPr="00C33339">
        <w:rPr>
          <w:rFonts w:ascii="Times New Roman" w:hAnsi="Times New Roman" w:cs="Times New Roman"/>
          <w:sz w:val="24"/>
          <w:szCs w:val="24"/>
        </w:rPr>
        <w:t>expected direction (i.e. slightly higher scores in MET). Th</w:t>
      </w:r>
      <w:r w:rsidR="00FE456A" w:rsidRPr="00C33339">
        <w:rPr>
          <w:rFonts w:ascii="Times New Roman" w:hAnsi="Times New Roman" w:cs="Times New Roman"/>
          <w:sz w:val="24"/>
          <w:szCs w:val="24"/>
        </w:rPr>
        <w:t>ere was also only a small</w:t>
      </w:r>
      <w:r w:rsidR="00876112" w:rsidRPr="00C33339">
        <w:rPr>
          <w:rFonts w:ascii="Times New Roman" w:hAnsi="Times New Roman" w:cs="Times New Roman"/>
          <w:sz w:val="24"/>
          <w:szCs w:val="24"/>
        </w:rPr>
        <w:t xml:space="preserve"> difference</w:t>
      </w:r>
      <w:r w:rsidR="008E2DDB" w:rsidRPr="00C33339">
        <w:rPr>
          <w:rFonts w:ascii="Times New Roman" w:hAnsi="Times New Roman" w:cs="Times New Roman"/>
          <w:sz w:val="24"/>
          <w:szCs w:val="24"/>
        </w:rPr>
        <w:t xml:space="preserve"> on this measure</w:t>
      </w:r>
      <w:r w:rsidR="00876112" w:rsidRPr="00C33339">
        <w:rPr>
          <w:rFonts w:ascii="Times New Roman" w:hAnsi="Times New Roman" w:cs="Times New Roman"/>
          <w:sz w:val="24"/>
          <w:szCs w:val="24"/>
        </w:rPr>
        <w:t xml:space="preserve"> in </w:t>
      </w:r>
      <w:r w:rsidR="00AE1BF0" w:rsidRPr="00C33339">
        <w:rPr>
          <w:rFonts w:ascii="Times New Roman" w:hAnsi="Times New Roman" w:cs="Times New Roman"/>
          <w:sz w:val="24"/>
          <w:szCs w:val="24"/>
        </w:rPr>
        <w:t xml:space="preserve">Tober et al. </w:t>
      </w:r>
      <w:r w:rsidR="00BB759D">
        <w:rPr>
          <w:rFonts w:ascii="Times New Roman" w:hAnsi="Times New Roman" w:cs="Times New Roman"/>
          <w:sz w:val="24"/>
          <w:szCs w:val="24"/>
        </w:rPr>
        <w:t>(2008)</w:t>
      </w:r>
      <w:r w:rsidR="00A26092" w:rsidRPr="00C33339">
        <w:rPr>
          <w:rFonts w:ascii="Times New Roman" w:hAnsi="Times New Roman" w:cs="Times New Roman"/>
          <w:sz w:val="24"/>
          <w:szCs w:val="24"/>
        </w:rPr>
        <w:t>,</w:t>
      </w:r>
      <w:r w:rsidR="00FE456A" w:rsidRPr="00C33339">
        <w:rPr>
          <w:rFonts w:ascii="Times New Roman" w:hAnsi="Times New Roman" w:cs="Times New Roman"/>
          <w:sz w:val="24"/>
          <w:szCs w:val="24"/>
        </w:rPr>
        <w:t xml:space="preserve"> though that</w:t>
      </w:r>
      <w:r w:rsidR="00876112" w:rsidRPr="00C33339">
        <w:rPr>
          <w:rFonts w:ascii="Times New Roman" w:hAnsi="Times New Roman" w:cs="Times New Roman"/>
          <w:sz w:val="24"/>
          <w:szCs w:val="24"/>
        </w:rPr>
        <w:t xml:space="preserve"> was </w:t>
      </w:r>
      <w:r w:rsidR="00FE456A" w:rsidRPr="00C33339">
        <w:rPr>
          <w:rFonts w:ascii="Times New Roman" w:hAnsi="Times New Roman" w:cs="Times New Roman"/>
          <w:sz w:val="24"/>
          <w:szCs w:val="24"/>
        </w:rPr>
        <w:t xml:space="preserve">statistically </w:t>
      </w:r>
      <w:r w:rsidR="00876112" w:rsidRPr="00C33339">
        <w:rPr>
          <w:rFonts w:ascii="Times New Roman" w:hAnsi="Times New Roman" w:cs="Times New Roman"/>
          <w:sz w:val="24"/>
          <w:szCs w:val="24"/>
        </w:rPr>
        <w:t xml:space="preserve">significant (p=0.04). Parallel to results of the </w:t>
      </w:r>
      <w:r w:rsidR="006957B2" w:rsidRPr="00C33339">
        <w:rPr>
          <w:rFonts w:ascii="Times New Roman" w:hAnsi="Times New Roman" w:cs="Times New Roman"/>
          <w:sz w:val="24"/>
          <w:szCs w:val="24"/>
        </w:rPr>
        <w:t xml:space="preserve">main </w:t>
      </w:r>
      <w:r w:rsidR="00876112" w:rsidRPr="00C33339">
        <w:rPr>
          <w:rFonts w:ascii="Times New Roman" w:hAnsi="Times New Roman" w:cs="Times New Roman"/>
          <w:sz w:val="24"/>
          <w:szCs w:val="24"/>
        </w:rPr>
        <w:t xml:space="preserve">trial </w:t>
      </w:r>
      <w:r w:rsidR="00BB759D">
        <w:rPr>
          <w:rFonts w:ascii="Times New Roman" w:hAnsi="Times New Roman" w:cs="Times New Roman"/>
          <w:sz w:val="24"/>
          <w:szCs w:val="24"/>
        </w:rPr>
        <w:t>(UKATT Research Team, 2005)</w:t>
      </w:r>
      <w:r w:rsidR="00876112" w:rsidRPr="00C33339">
        <w:rPr>
          <w:rFonts w:ascii="Times New Roman" w:hAnsi="Times New Roman" w:cs="Times New Roman"/>
          <w:sz w:val="24"/>
          <w:szCs w:val="24"/>
        </w:rPr>
        <w:t xml:space="preserve">, there were no significant differences between treatments </w:t>
      </w:r>
      <w:r w:rsidR="00A26092" w:rsidRPr="00C33339">
        <w:rPr>
          <w:rFonts w:ascii="Times New Roman" w:hAnsi="Times New Roman" w:cs="Times New Roman"/>
          <w:sz w:val="24"/>
          <w:szCs w:val="24"/>
        </w:rPr>
        <w:t xml:space="preserve">on </w:t>
      </w:r>
      <w:r w:rsidR="00876112" w:rsidRPr="00C33339">
        <w:rPr>
          <w:rFonts w:ascii="Times New Roman" w:hAnsi="Times New Roman" w:cs="Times New Roman"/>
          <w:sz w:val="24"/>
          <w:szCs w:val="24"/>
        </w:rPr>
        <w:t>primary outcomes at 12-month follow-up.</w:t>
      </w:r>
    </w:p>
    <w:p w14:paraId="25F5E533" w14:textId="77777777" w:rsidR="00C505A7" w:rsidRPr="00C33339" w:rsidRDefault="00C505A7" w:rsidP="00CF17EF">
      <w:pPr>
        <w:pStyle w:val="Heading6"/>
      </w:pPr>
      <w:r w:rsidRPr="00C33339">
        <w:t>Insert Table 1 about here.</w:t>
      </w:r>
    </w:p>
    <w:p w14:paraId="65669AC2" w14:textId="77777777" w:rsidR="00876112" w:rsidRPr="00C33339" w:rsidRDefault="00876112" w:rsidP="00B762B1">
      <w:pPr>
        <w:pStyle w:val="Heading3"/>
      </w:pPr>
      <w:r w:rsidRPr="00C33339">
        <w:t>Mediation analysis</w:t>
      </w:r>
    </w:p>
    <w:p w14:paraId="2C4BFE63" w14:textId="77777777" w:rsidR="00B16DE9" w:rsidRPr="00C33339" w:rsidRDefault="001305A4" w:rsidP="00BD2320">
      <w:pPr>
        <w:rPr>
          <w:rFonts w:ascii="Times New Roman" w:hAnsi="Times New Roman" w:cs="Times New Roman"/>
          <w:sz w:val="24"/>
          <w:szCs w:val="24"/>
        </w:rPr>
      </w:pPr>
      <w:r w:rsidRPr="00C33339">
        <w:rPr>
          <w:rFonts w:ascii="Times New Roman" w:hAnsi="Times New Roman" w:cs="Times New Roman"/>
          <w:sz w:val="24"/>
          <w:szCs w:val="24"/>
        </w:rPr>
        <w:t xml:space="preserve">On the </w:t>
      </w:r>
      <w:r w:rsidRPr="00C33339">
        <w:rPr>
          <w:rFonts w:ascii="Times New Roman" w:hAnsi="Times New Roman" w:cs="Times New Roman"/>
          <w:i/>
          <w:sz w:val="24"/>
          <w:szCs w:val="24"/>
        </w:rPr>
        <w:t>a</w:t>
      </w:r>
      <w:r w:rsidRPr="00C33339">
        <w:rPr>
          <w:rFonts w:ascii="Times New Roman" w:hAnsi="Times New Roman" w:cs="Times New Roman"/>
          <w:sz w:val="24"/>
          <w:szCs w:val="24"/>
        </w:rPr>
        <w:t xml:space="preserve"> path, MET significantly predicted higher met-f, while SBNT significantly predicted higher sbnt-f and sbnt-q (see Table 2). However, as previously observed in Table 1, MET was not significantly related to met-q. Findings were similar </w:t>
      </w:r>
      <w:r w:rsidR="003371EA" w:rsidRPr="00C33339">
        <w:rPr>
          <w:rFonts w:ascii="Times New Roman" w:hAnsi="Times New Roman" w:cs="Times New Roman"/>
          <w:sz w:val="24"/>
          <w:szCs w:val="24"/>
        </w:rPr>
        <w:t>for</w:t>
      </w:r>
      <w:r w:rsidRPr="00C33339">
        <w:rPr>
          <w:rFonts w:ascii="Times New Roman" w:hAnsi="Times New Roman" w:cs="Times New Roman"/>
          <w:sz w:val="24"/>
          <w:szCs w:val="24"/>
        </w:rPr>
        <w:t xml:space="preserve"> both the PDA outcome</w:t>
      </w:r>
      <w:r w:rsidR="003371EA" w:rsidRPr="00C33339">
        <w:rPr>
          <w:rFonts w:ascii="Times New Roman" w:hAnsi="Times New Roman" w:cs="Times New Roman"/>
          <w:sz w:val="24"/>
          <w:szCs w:val="24"/>
        </w:rPr>
        <w:t xml:space="preserve"> models</w:t>
      </w:r>
      <w:r w:rsidRPr="00C33339">
        <w:rPr>
          <w:rFonts w:ascii="Times New Roman" w:hAnsi="Times New Roman" w:cs="Times New Roman"/>
          <w:sz w:val="24"/>
          <w:szCs w:val="24"/>
        </w:rPr>
        <w:t xml:space="preserve"> (</w:t>
      </w:r>
      <w:r w:rsidR="003371EA" w:rsidRPr="00C33339">
        <w:rPr>
          <w:rFonts w:ascii="Times New Roman" w:hAnsi="Times New Roman" w:cs="Times New Roman"/>
          <w:sz w:val="24"/>
          <w:szCs w:val="24"/>
        </w:rPr>
        <w:t xml:space="preserve">top </w:t>
      </w:r>
      <w:r w:rsidRPr="00C33339">
        <w:rPr>
          <w:rFonts w:ascii="Times New Roman" w:hAnsi="Times New Roman" w:cs="Times New Roman"/>
          <w:sz w:val="24"/>
          <w:szCs w:val="24"/>
        </w:rPr>
        <w:t>4 rows in Table 2) and the DDD outcome</w:t>
      </w:r>
      <w:r w:rsidR="003371EA" w:rsidRPr="00C33339">
        <w:rPr>
          <w:rFonts w:ascii="Times New Roman" w:hAnsi="Times New Roman" w:cs="Times New Roman"/>
          <w:sz w:val="24"/>
          <w:szCs w:val="24"/>
        </w:rPr>
        <w:t xml:space="preserve"> models</w:t>
      </w:r>
      <w:r w:rsidRPr="00C33339">
        <w:rPr>
          <w:rFonts w:ascii="Times New Roman" w:hAnsi="Times New Roman" w:cs="Times New Roman"/>
          <w:sz w:val="24"/>
          <w:szCs w:val="24"/>
        </w:rPr>
        <w:t xml:space="preserve"> (</w:t>
      </w:r>
      <w:r w:rsidR="003371EA" w:rsidRPr="00C33339">
        <w:rPr>
          <w:rFonts w:ascii="Times New Roman" w:hAnsi="Times New Roman" w:cs="Times New Roman"/>
          <w:sz w:val="24"/>
          <w:szCs w:val="24"/>
        </w:rPr>
        <w:t xml:space="preserve">bottom </w:t>
      </w:r>
      <w:r w:rsidRPr="00C33339">
        <w:rPr>
          <w:rFonts w:ascii="Times New Roman" w:hAnsi="Times New Roman" w:cs="Times New Roman"/>
          <w:sz w:val="24"/>
          <w:szCs w:val="24"/>
        </w:rPr>
        <w:t xml:space="preserve">4 rows in Table 2), with small differences due to different </w:t>
      </w:r>
      <w:r w:rsidR="006957B2" w:rsidRPr="00C33339">
        <w:rPr>
          <w:rFonts w:ascii="Times New Roman" w:hAnsi="Times New Roman" w:cs="Times New Roman"/>
          <w:sz w:val="24"/>
          <w:szCs w:val="24"/>
        </w:rPr>
        <w:t>control variable</w:t>
      </w:r>
      <w:r w:rsidR="003D76F0" w:rsidRPr="00C33339">
        <w:rPr>
          <w:rFonts w:ascii="Times New Roman" w:hAnsi="Times New Roman" w:cs="Times New Roman"/>
          <w:sz w:val="24"/>
          <w:szCs w:val="24"/>
        </w:rPr>
        <w:t>s</w:t>
      </w:r>
      <w:r w:rsidR="006957B2" w:rsidRPr="00C33339">
        <w:rPr>
          <w:rFonts w:ascii="Times New Roman" w:hAnsi="Times New Roman" w:cs="Times New Roman"/>
          <w:sz w:val="24"/>
          <w:szCs w:val="24"/>
        </w:rPr>
        <w:t xml:space="preserve"> (baseline PDA or</w:t>
      </w:r>
      <w:r w:rsidRPr="00C33339">
        <w:rPr>
          <w:rFonts w:ascii="Times New Roman" w:hAnsi="Times New Roman" w:cs="Times New Roman"/>
          <w:sz w:val="24"/>
          <w:szCs w:val="24"/>
        </w:rPr>
        <w:t xml:space="preserve"> DDD).</w:t>
      </w:r>
    </w:p>
    <w:p w14:paraId="7A6AE3BE" w14:textId="77777777" w:rsidR="00B043E4" w:rsidRDefault="001305A4" w:rsidP="00FC5BC2">
      <w:pPr>
        <w:rPr>
          <w:rFonts w:ascii="Times New Roman" w:hAnsi="Times New Roman" w:cs="Times New Roman"/>
          <w:sz w:val="24"/>
          <w:szCs w:val="24"/>
        </w:rPr>
      </w:pPr>
      <w:r w:rsidRPr="00C33339">
        <w:rPr>
          <w:rFonts w:ascii="Times New Roman" w:hAnsi="Times New Roman" w:cs="Times New Roman"/>
          <w:sz w:val="24"/>
          <w:szCs w:val="24"/>
        </w:rPr>
        <w:t xml:space="preserve">On the </w:t>
      </w:r>
      <w:r w:rsidRPr="00C33339">
        <w:rPr>
          <w:rFonts w:ascii="Times New Roman" w:hAnsi="Times New Roman" w:cs="Times New Roman"/>
          <w:i/>
          <w:sz w:val="24"/>
          <w:szCs w:val="24"/>
        </w:rPr>
        <w:t>b</w:t>
      </w:r>
      <w:r w:rsidRPr="00C33339">
        <w:rPr>
          <w:rFonts w:ascii="Times New Roman" w:hAnsi="Times New Roman" w:cs="Times New Roman"/>
          <w:sz w:val="24"/>
          <w:szCs w:val="24"/>
        </w:rPr>
        <w:t xml:space="preserve"> path</w:t>
      </w:r>
      <w:r w:rsidR="006238C0" w:rsidRPr="00C33339">
        <w:rPr>
          <w:rFonts w:ascii="Times New Roman" w:hAnsi="Times New Roman" w:cs="Times New Roman"/>
          <w:sz w:val="24"/>
          <w:szCs w:val="24"/>
        </w:rPr>
        <w:t xml:space="preserve">, met-q was a significant predictor of </w:t>
      </w:r>
      <w:r w:rsidR="00841751" w:rsidRPr="00C33339">
        <w:rPr>
          <w:rFonts w:ascii="Times New Roman" w:hAnsi="Times New Roman" w:cs="Times New Roman"/>
          <w:sz w:val="24"/>
          <w:szCs w:val="24"/>
        </w:rPr>
        <w:t xml:space="preserve">both </w:t>
      </w:r>
      <w:r w:rsidR="006238C0" w:rsidRPr="00C33339">
        <w:rPr>
          <w:rFonts w:ascii="Times New Roman" w:hAnsi="Times New Roman" w:cs="Times New Roman"/>
          <w:sz w:val="24"/>
          <w:szCs w:val="24"/>
        </w:rPr>
        <w:t>higher PDA and lower DDD at 12-month follow-up. The</w:t>
      </w:r>
      <w:r w:rsidR="00841751" w:rsidRPr="00C33339">
        <w:rPr>
          <w:rFonts w:ascii="Times New Roman" w:hAnsi="Times New Roman" w:cs="Times New Roman"/>
          <w:sz w:val="24"/>
          <w:szCs w:val="24"/>
        </w:rPr>
        <w:t>re was no strong evidence that the</w:t>
      </w:r>
      <w:r w:rsidR="006238C0" w:rsidRPr="00C33339">
        <w:rPr>
          <w:rFonts w:ascii="Times New Roman" w:hAnsi="Times New Roman" w:cs="Times New Roman"/>
          <w:sz w:val="24"/>
          <w:szCs w:val="24"/>
        </w:rPr>
        <w:t xml:space="preserve"> three other indices were related to</w:t>
      </w:r>
      <w:r w:rsidR="00841751" w:rsidRPr="00C33339">
        <w:rPr>
          <w:rFonts w:ascii="Times New Roman" w:hAnsi="Times New Roman" w:cs="Times New Roman"/>
          <w:sz w:val="24"/>
          <w:szCs w:val="24"/>
        </w:rPr>
        <w:t xml:space="preserve"> either</w:t>
      </w:r>
      <w:r w:rsidR="006238C0" w:rsidRPr="00C33339">
        <w:rPr>
          <w:rFonts w:ascii="Times New Roman" w:hAnsi="Times New Roman" w:cs="Times New Roman"/>
          <w:sz w:val="24"/>
          <w:szCs w:val="24"/>
        </w:rPr>
        <w:t xml:space="preserve"> DDD</w:t>
      </w:r>
      <w:r w:rsidR="00841751" w:rsidRPr="00C33339">
        <w:rPr>
          <w:rFonts w:ascii="Times New Roman" w:hAnsi="Times New Roman" w:cs="Times New Roman"/>
          <w:sz w:val="24"/>
          <w:szCs w:val="24"/>
        </w:rPr>
        <w:t xml:space="preserve"> or PDA, though met-f approached statistical significance in relation to PDA only.</w:t>
      </w:r>
      <w:r w:rsidR="00BD2320" w:rsidRPr="00C33339">
        <w:rPr>
          <w:rFonts w:ascii="Times New Roman" w:hAnsi="Times New Roman" w:cs="Times New Roman"/>
          <w:sz w:val="24"/>
          <w:szCs w:val="24"/>
        </w:rPr>
        <w:t xml:space="preserve"> </w:t>
      </w:r>
      <w:r w:rsidR="006238C0" w:rsidRPr="00C33339">
        <w:rPr>
          <w:rFonts w:ascii="Times New Roman" w:hAnsi="Times New Roman" w:cs="Times New Roman"/>
          <w:sz w:val="24"/>
          <w:szCs w:val="24"/>
        </w:rPr>
        <w:lastRenderedPageBreak/>
        <w:t xml:space="preserve">Indirect effects were all non-significant, which </w:t>
      </w:r>
      <w:r w:rsidR="00774655" w:rsidRPr="00C33339">
        <w:rPr>
          <w:rFonts w:ascii="Times New Roman" w:hAnsi="Times New Roman" w:cs="Times New Roman"/>
          <w:sz w:val="24"/>
          <w:szCs w:val="24"/>
        </w:rPr>
        <w:t>is consistent with the fact that</w:t>
      </w:r>
      <w:r w:rsidR="006238C0" w:rsidRPr="00C33339">
        <w:rPr>
          <w:rFonts w:ascii="Times New Roman" w:hAnsi="Times New Roman" w:cs="Times New Roman"/>
          <w:sz w:val="24"/>
          <w:szCs w:val="24"/>
        </w:rPr>
        <w:t xml:space="preserve"> no models had </w:t>
      </w:r>
      <w:r w:rsidR="003371EA" w:rsidRPr="00C33339">
        <w:rPr>
          <w:rFonts w:ascii="Times New Roman" w:hAnsi="Times New Roman" w:cs="Times New Roman"/>
          <w:sz w:val="24"/>
          <w:szCs w:val="24"/>
        </w:rPr>
        <w:t xml:space="preserve">both </w:t>
      </w:r>
      <w:r w:rsidR="00774655" w:rsidRPr="00C33339">
        <w:rPr>
          <w:rFonts w:ascii="Times New Roman" w:hAnsi="Times New Roman" w:cs="Times New Roman"/>
          <w:sz w:val="24"/>
          <w:szCs w:val="24"/>
        </w:rPr>
        <w:t>significant</w:t>
      </w:r>
      <w:r w:rsidR="006238C0" w:rsidRPr="00C33339">
        <w:rPr>
          <w:rFonts w:ascii="Times New Roman" w:hAnsi="Times New Roman" w:cs="Times New Roman"/>
          <w:sz w:val="24"/>
          <w:szCs w:val="24"/>
        </w:rPr>
        <w:t xml:space="preserve"> </w:t>
      </w:r>
      <w:r w:rsidR="006238C0" w:rsidRPr="00C33339">
        <w:rPr>
          <w:rFonts w:ascii="Times New Roman" w:hAnsi="Times New Roman" w:cs="Times New Roman"/>
          <w:i/>
          <w:sz w:val="24"/>
          <w:szCs w:val="24"/>
        </w:rPr>
        <w:t>a</w:t>
      </w:r>
      <w:r w:rsidR="006238C0" w:rsidRPr="00C33339">
        <w:rPr>
          <w:rFonts w:ascii="Times New Roman" w:hAnsi="Times New Roman" w:cs="Times New Roman"/>
          <w:sz w:val="24"/>
          <w:szCs w:val="24"/>
        </w:rPr>
        <w:t xml:space="preserve"> and </w:t>
      </w:r>
      <w:r w:rsidR="006238C0" w:rsidRPr="00C33339">
        <w:rPr>
          <w:rFonts w:ascii="Times New Roman" w:hAnsi="Times New Roman" w:cs="Times New Roman"/>
          <w:i/>
          <w:sz w:val="24"/>
          <w:szCs w:val="24"/>
        </w:rPr>
        <w:t>b</w:t>
      </w:r>
      <w:r w:rsidR="006238C0" w:rsidRPr="00C33339">
        <w:rPr>
          <w:rFonts w:ascii="Times New Roman" w:hAnsi="Times New Roman" w:cs="Times New Roman"/>
          <w:sz w:val="24"/>
          <w:szCs w:val="24"/>
        </w:rPr>
        <w:t xml:space="preserve"> paths.</w:t>
      </w:r>
    </w:p>
    <w:p w14:paraId="71AFF0AC" w14:textId="77777777" w:rsidR="00BC29B4" w:rsidRPr="00C33339" w:rsidRDefault="00BC29B4" w:rsidP="00FC5BC2">
      <w:pPr>
        <w:rPr>
          <w:rFonts w:ascii="Times New Roman" w:hAnsi="Times New Roman" w:cs="Times New Roman"/>
          <w:sz w:val="24"/>
          <w:szCs w:val="24"/>
        </w:rPr>
      </w:pPr>
      <w:r>
        <w:rPr>
          <w:rFonts w:ascii="Times New Roman" w:hAnsi="Times New Roman" w:cs="Times New Roman"/>
          <w:sz w:val="24"/>
          <w:szCs w:val="24"/>
        </w:rPr>
        <w:t xml:space="preserve">We then repeated </w:t>
      </w:r>
      <w:r w:rsidRPr="00BC29B4">
        <w:rPr>
          <w:rFonts w:ascii="Times New Roman" w:hAnsi="Times New Roman" w:cs="Times New Roman"/>
          <w:i/>
          <w:sz w:val="24"/>
          <w:szCs w:val="24"/>
        </w:rPr>
        <w:t>a</w:t>
      </w:r>
      <w:r>
        <w:rPr>
          <w:rFonts w:ascii="Times New Roman" w:hAnsi="Times New Roman" w:cs="Times New Roman"/>
          <w:sz w:val="24"/>
          <w:szCs w:val="24"/>
        </w:rPr>
        <w:t xml:space="preserve"> and </w:t>
      </w:r>
      <w:r w:rsidRPr="00BC29B4">
        <w:rPr>
          <w:rFonts w:ascii="Times New Roman" w:hAnsi="Times New Roman" w:cs="Times New Roman"/>
          <w:i/>
          <w:sz w:val="24"/>
          <w:szCs w:val="24"/>
        </w:rPr>
        <w:t>b</w:t>
      </w:r>
      <w:r>
        <w:rPr>
          <w:rFonts w:ascii="Times New Roman" w:hAnsi="Times New Roman" w:cs="Times New Roman"/>
          <w:sz w:val="24"/>
          <w:szCs w:val="24"/>
        </w:rPr>
        <w:t xml:space="preserve"> paths analyses using mixed models with random intercept and slopes at the therapist level</w:t>
      </w:r>
      <w:r w:rsidRPr="00BC29B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EB5F70">
        <w:rPr>
          <w:rFonts w:ascii="Times New Roman" w:hAnsi="Times New Roman" w:cs="Times New Roman"/>
          <w:sz w:val="24"/>
          <w:szCs w:val="24"/>
        </w:rPr>
        <w:t xml:space="preserve">detect potential therapist effect in our findings. There was evidence of a </w:t>
      </w:r>
      <w:r w:rsidR="0000155A" w:rsidRPr="00EB5F70">
        <w:rPr>
          <w:rFonts w:ascii="Times New Roman" w:hAnsi="Times New Roman" w:cs="Times New Roman"/>
          <w:sz w:val="24"/>
          <w:szCs w:val="24"/>
        </w:rPr>
        <w:t xml:space="preserve">small </w:t>
      </w:r>
      <w:r w:rsidRPr="00EB5F70">
        <w:rPr>
          <w:rFonts w:ascii="Times New Roman" w:hAnsi="Times New Roman" w:cs="Times New Roman"/>
          <w:sz w:val="24"/>
          <w:szCs w:val="24"/>
        </w:rPr>
        <w:t xml:space="preserve">therapist effect on the </w:t>
      </w:r>
      <w:r w:rsidRPr="00EB5F70">
        <w:rPr>
          <w:rFonts w:ascii="Times New Roman" w:hAnsi="Times New Roman" w:cs="Times New Roman"/>
          <w:i/>
          <w:sz w:val="24"/>
          <w:szCs w:val="24"/>
        </w:rPr>
        <w:t>a</w:t>
      </w:r>
      <w:r w:rsidRPr="00EB5F70">
        <w:rPr>
          <w:rFonts w:ascii="Times New Roman" w:hAnsi="Times New Roman" w:cs="Times New Roman"/>
          <w:sz w:val="24"/>
          <w:szCs w:val="24"/>
        </w:rPr>
        <w:t xml:space="preserve"> path models, but the patterns of results were similar </w:t>
      </w:r>
      <w:r w:rsidR="00AC5AF1" w:rsidRPr="00EB5F70">
        <w:rPr>
          <w:rFonts w:ascii="Times New Roman" w:hAnsi="Times New Roman" w:cs="Times New Roman"/>
          <w:sz w:val="24"/>
          <w:szCs w:val="24"/>
        </w:rPr>
        <w:t xml:space="preserve">(i.e. </w:t>
      </w:r>
      <w:r w:rsidR="00902B8B" w:rsidRPr="00EB5F70">
        <w:rPr>
          <w:rFonts w:ascii="Times New Roman" w:hAnsi="Times New Roman" w:cs="Times New Roman"/>
          <w:sz w:val="24"/>
          <w:szCs w:val="24"/>
        </w:rPr>
        <w:t>there were small but significant differences in intercept and slopes between the 48 therapists</w:t>
      </w:r>
      <w:r w:rsidR="00AC5AF1" w:rsidRPr="00EB5F70">
        <w:rPr>
          <w:rFonts w:ascii="Times New Roman" w:hAnsi="Times New Roman" w:cs="Times New Roman"/>
          <w:sz w:val="24"/>
          <w:szCs w:val="24"/>
        </w:rPr>
        <w:t xml:space="preserve">, but the associations between treatment condition and behaviors measured in the PRS remained in the same direction and at similar level of significance when </w:t>
      </w:r>
      <w:r w:rsidR="00902B8B" w:rsidRPr="00EB5F70">
        <w:rPr>
          <w:rFonts w:ascii="Times New Roman" w:hAnsi="Times New Roman" w:cs="Times New Roman"/>
          <w:sz w:val="24"/>
          <w:szCs w:val="24"/>
        </w:rPr>
        <w:t>taking</w:t>
      </w:r>
      <w:r w:rsidR="00AC5AF1" w:rsidRPr="00EB5F70">
        <w:rPr>
          <w:rFonts w:ascii="Times New Roman" w:hAnsi="Times New Roman" w:cs="Times New Roman"/>
          <w:sz w:val="24"/>
          <w:szCs w:val="24"/>
        </w:rPr>
        <w:t xml:space="preserve"> them</w:t>
      </w:r>
      <w:r w:rsidR="00902B8B" w:rsidRPr="00EB5F70">
        <w:rPr>
          <w:rFonts w:ascii="Times New Roman" w:hAnsi="Times New Roman" w:cs="Times New Roman"/>
          <w:sz w:val="24"/>
          <w:szCs w:val="24"/>
        </w:rPr>
        <w:t xml:space="preserve"> into account</w:t>
      </w:r>
      <w:r w:rsidR="00AC5AF1" w:rsidRPr="00EB5F70">
        <w:rPr>
          <w:rFonts w:ascii="Times New Roman" w:hAnsi="Times New Roman" w:cs="Times New Roman"/>
          <w:sz w:val="24"/>
          <w:szCs w:val="24"/>
        </w:rPr>
        <w:t xml:space="preserve">; </w:t>
      </w:r>
      <w:r w:rsidRPr="00EB5F70">
        <w:rPr>
          <w:rFonts w:ascii="Times New Roman" w:hAnsi="Times New Roman" w:cs="Times New Roman"/>
          <w:sz w:val="24"/>
          <w:szCs w:val="24"/>
        </w:rPr>
        <w:t>data not presented, available</w:t>
      </w:r>
      <w:r>
        <w:rPr>
          <w:rFonts w:ascii="Times New Roman" w:hAnsi="Times New Roman" w:cs="Times New Roman"/>
          <w:sz w:val="24"/>
          <w:szCs w:val="24"/>
        </w:rPr>
        <w:t xml:space="preserve"> on request to the first author). There was no evidence of a therapist effect on the </w:t>
      </w:r>
      <w:r>
        <w:rPr>
          <w:rFonts w:ascii="Times New Roman" w:hAnsi="Times New Roman" w:cs="Times New Roman"/>
          <w:i/>
          <w:sz w:val="24"/>
          <w:szCs w:val="24"/>
        </w:rPr>
        <w:t>b</w:t>
      </w:r>
      <w:r>
        <w:rPr>
          <w:rFonts w:ascii="Times New Roman" w:hAnsi="Times New Roman" w:cs="Times New Roman"/>
          <w:sz w:val="24"/>
          <w:szCs w:val="24"/>
        </w:rPr>
        <w:t xml:space="preserve"> path models.</w:t>
      </w:r>
    </w:p>
    <w:p w14:paraId="05B0F20C" w14:textId="77777777" w:rsidR="00B043E4" w:rsidRPr="00C33339" w:rsidRDefault="00B043E4" w:rsidP="00CF17EF">
      <w:pPr>
        <w:pStyle w:val="Heading6"/>
      </w:pPr>
      <w:r w:rsidRPr="00C33339">
        <w:t xml:space="preserve">Insert Table 2 </w:t>
      </w:r>
      <w:r w:rsidR="00C505A7" w:rsidRPr="00C33339">
        <w:t xml:space="preserve">about </w:t>
      </w:r>
      <w:r w:rsidRPr="00C33339">
        <w:t>here</w:t>
      </w:r>
    </w:p>
    <w:p w14:paraId="704257B3" w14:textId="77777777" w:rsidR="006B2080" w:rsidRPr="00EB5F70" w:rsidRDefault="006B2080" w:rsidP="00B762B1">
      <w:pPr>
        <w:pStyle w:val="Heading3"/>
      </w:pPr>
      <w:r w:rsidRPr="00C33339">
        <w:t xml:space="preserve">Individual items </w:t>
      </w:r>
      <w:r w:rsidRPr="00EB5F70">
        <w:t>influencing the significant b path</w:t>
      </w:r>
    </w:p>
    <w:p w14:paraId="3C2B67B6" w14:textId="77777777" w:rsidR="006A2E75" w:rsidRPr="00EB5F70" w:rsidRDefault="007433F0" w:rsidP="00BD2320">
      <w:pPr>
        <w:rPr>
          <w:rFonts w:ascii="Times New Roman" w:hAnsi="Times New Roman" w:cs="Times New Roman"/>
          <w:sz w:val="24"/>
          <w:szCs w:val="24"/>
        </w:rPr>
      </w:pPr>
      <w:r w:rsidRPr="00EB5F70">
        <w:rPr>
          <w:rFonts w:ascii="Times New Roman" w:hAnsi="Times New Roman" w:cs="Times New Roman"/>
          <w:sz w:val="24"/>
          <w:szCs w:val="24"/>
        </w:rPr>
        <w:t xml:space="preserve">The met-q summary score was a significant predictor of both alcohol outcomes. Descriptive statistics of met-q individual items are presented in Table 3. We </w:t>
      </w:r>
      <w:r w:rsidR="00CC3E83" w:rsidRPr="00EB5F70">
        <w:rPr>
          <w:rFonts w:ascii="Times New Roman" w:hAnsi="Times New Roman" w:cs="Times New Roman"/>
          <w:sz w:val="24"/>
          <w:szCs w:val="24"/>
        </w:rPr>
        <w:t>tested</w:t>
      </w:r>
      <w:r w:rsidR="006B2080" w:rsidRPr="00EB5F70">
        <w:rPr>
          <w:rFonts w:ascii="Times New Roman" w:hAnsi="Times New Roman" w:cs="Times New Roman"/>
          <w:sz w:val="24"/>
          <w:szCs w:val="24"/>
        </w:rPr>
        <w:t xml:space="preserve"> which individual items of </w:t>
      </w:r>
      <w:r w:rsidR="00CC3E83" w:rsidRPr="00EB5F70">
        <w:rPr>
          <w:rFonts w:ascii="Times New Roman" w:hAnsi="Times New Roman" w:cs="Times New Roman"/>
          <w:sz w:val="24"/>
          <w:szCs w:val="24"/>
        </w:rPr>
        <w:t>this</w:t>
      </w:r>
      <w:r w:rsidR="006B2080" w:rsidRPr="00EB5F70">
        <w:rPr>
          <w:rFonts w:ascii="Times New Roman" w:hAnsi="Times New Roman" w:cs="Times New Roman"/>
          <w:sz w:val="24"/>
          <w:szCs w:val="24"/>
        </w:rPr>
        <w:t xml:space="preserve"> index</w:t>
      </w:r>
      <w:r w:rsidR="006B2080" w:rsidRPr="00C33339">
        <w:rPr>
          <w:rFonts w:ascii="Times New Roman" w:hAnsi="Times New Roman" w:cs="Times New Roman"/>
          <w:sz w:val="24"/>
          <w:szCs w:val="24"/>
        </w:rPr>
        <w:t xml:space="preserve"> had an influence on outcomes</w:t>
      </w:r>
      <w:r w:rsidR="00CC3E83" w:rsidRPr="00C33339">
        <w:rPr>
          <w:rFonts w:ascii="Times New Roman" w:hAnsi="Times New Roman" w:cs="Times New Roman"/>
          <w:sz w:val="24"/>
          <w:szCs w:val="24"/>
        </w:rPr>
        <w:t xml:space="preserve"> </w:t>
      </w:r>
      <w:r w:rsidR="00676868" w:rsidRPr="00C33339">
        <w:rPr>
          <w:rFonts w:ascii="Times New Roman" w:hAnsi="Times New Roman" w:cs="Times New Roman"/>
          <w:sz w:val="24"/>
          <w:szCs w:val="24"/>
        </w:rPr>
        <w:t xml:space="preserve">using </w:t>
      </w:r>
      <w:r w:rsidR="007365A5" w:rsidRPr="00C33339">
        <w:rPr>
          <w:rFonts w:ascii="Times New Roman" w:hAnsi="Times New Roman" w:cs="Times New Roman"/>
          <w:sz w:val="24"/>
          <w:szCs w:val="24"/>
        </w:rPr>
        <w:t xml:space="preserve">multiple correspondence analysis (MCA). </w:t>
      </w:r>
      <w:r w:rsidR="00AD3DA8" w:rsidRPr="00C33339">
        <w:rPr>
          <w:rFonts w:ascii="Times New Roman" w:hAnsi="Times New Roman" w:cs="Times New Roman"/>
          <w:sz w:val="24"/>
          <w:szCs w:val="24"/>
        </w:rPr>
        <w:t>MCA indicated a t</w:t>
      </w:r>
      <w:r w:rsidR="007365A5" w:rsidRPr="00C33339">
        <w:rPr>
          <w:rFonts w:ascii="Times New Roman" w:hAnsi="Times New Roman" w:cs="Times New Roman"/>
          <w:sz w:val="24"/>
          <w:szCs w:val="24"/>
        </w:rPr>
        <w:t>wo</w:t>
      </w:r>
      <w:r w:rsidR="00FC60E4" w:rsidRPr="00C33339">
        <w:rPr>
          <w:rFonts w:ascii="Times New Roman" w:hAnsi="Times New Roman" w:cs="Times New Roman"/>
          <w:sz w:val="24"/>
          <w:szCs w:val="24"/>
        </w:rPr>
        <w:t>-dimension</w:t>
      </w:r>
      <w:r w:rsidR="006B2080" w:rsidRPr="00C33339">
        <w:rPr>
          <w:rFonts w:ascii="Times New Roman" w:hAnsi="Times New Roman" w:cs="Times New Roman"/>
          <w:sz w:val="24"/>
          <w:szCs w:val="24"/>
        </w:rPr>
        <w:t xml:space="preserve"> </w:t>
      </w:r>
      <w:r w:rsidR="00AD3DA8" w:rsidRPr="00C33339">
        <w:rPr>
          <w:rFonts w:ascii="Times New Roman" w:hAnsi="Times New Roman" w:cs="Times New Roman"/>
          <w:sz w:val="24"/>
          <w:szCs w:val="24"/>
        </w:rPr>
        <w:t>solution</w:t>
      </w:r>
      <w:r w:rsidR="00CC3E83" w:rsidRPr="00C33339">
        <w:rPr>
          <w:rFonts w:ascii="Times New Roman" w:hAnsi="Times New Roman" w:cs="Times New Roman"/>
          <w:sz w:val="24"/>
          <w:szCs w:val="24"/>
        </w:rPr>
        <w:t xml:space="preserve">. </w:t>
      </w:r>
      <w:r w:rsidR="00DA6A5A" w:rsidRPr="00C33339">
        <w:rPr>
          <w:rFonts w:ascii="Times New Roman" w:hAnsi="Times New Roman" w:cs="Times New Roman"/>
          <w:sz w:val="24"/>
          <w:szCs w:val="24"/>
        </w:rPr>
        <w:t>Figure 2a present</w:t>
      </w:r>
      <w:r w:rsidR="00EB7DDE" w:rsidRPr="00C33339">
        <w:rPr>
          <w:rFonts w:ascii="Times New Roman" w:hAnsi="Times New Roman" w:cs="Times New Roman"/>
          <w:sz w:val="24"/>
          <w:szCs w:val="24"/>
        </w:rPr>
        <w:t>s</w:t>
      </w:r>
      <w:r w:rsidR="00DA6A5A" w:rsidRPr="00C33339">
        <w:rPr>
          <w:rFonts w:ascii="Times New Roman" w:hAnsi="Times New Roman" w:cs="Times New Roman"/>
          <w:sz w:val="24"/>
          <w:szCs w:val="24"/>
        </w:rPr>
        <w:t xml:space="preserve"> c</w:t>
      </w:r>
      <w:r w:rsidR="007365A5" w:rsidRPr="00C33339">
        <w:rPr>
          <w:rFonts w:ascii="Times New Roman" w:hAnsi="Times New Roman" w:cs="Times New Roman"/>
          <w:sz w:val="24"/>
          <w:szCs w:val="24"/>
        </w:rPr>
        <w:t xml:space="preserve">oordinate plots </w:t>
      </w:r>
      <w:r w:rsidR="00DA6A5A" w:rsidRPr="00C33339">
        <w:rPr>
          <w:rFonts w:ascii="Times New Roman" w:hAnsi="Times New Roman" w:cs="Times New Roman"/>
          <w:sz w:val="24"/>
          <w:szCs w:val="24"/>
        </w:rPr>
        <w:t xml:space="preserve">(i.e. </w:t>
      </w:r>
      <w:r w:rsidR="00E115B2" w:rsidRPr="00C33339">
        <w:rPr>
          <w:rFonts w:ascii="Times New Roman" w:hAnsi="Times New Roman" w:cs="Times New Roman"/>
          <w:sz w:val="24"/>
          <w:szCs w:val="24"/>
        </w:rPr>
        <w:t xml:space="preserve">the coordinate of </w:t>
      </w:r>
      <w:r w:rsidR="00DA6A5A" w:rsidRPr="00C33339">
        <w:rPr>
          <w:rFonts w:ascii="Times New Roman" w:hAnsi="Times New Roman" w:cs="Times New Roman"/>
          <w:sz w:val="24"/>
          <w:szCs w:val="24"/>
        </w:rPr>
        <w:t xml:space="preserve">each category on the 2 dimensions, for each variable independently) </w:t>
      </w:r>
      <w:r w:rsidR="007365A5" w:rsidRPr="00C33339">
        <w:rPr>
          <w:rFonts w:ascii="Times New Roman" w:hAnsi="Times New Roman" w:cs="Times New Roman"/>
          <w:sz w:val="24"/>
          <w:szCs w:val="24"/>
        </w:rPr>
        <w:t>and</w:t>
      </w:r>
      <w:r w:rsidR="00DA6A5A" w:rsidRPr="00C33339">
        <w:rPr>
          <w:rFonts w:ascii="Times New Roman" w:hAnsi="Times New Roman" w:cs="Times New Roman"/>
          <w:sz w:val="24"/>
          <w:szCs w:val="24"/>
        </w:rPr>
        <w:t xml:space="preserve"> </w:t>
      </w:r>
      <w:r w:rsidR="00E115B2" w:rsidRPr="00C33339">
        <w:rPr>
          <w:rFonts w:ascii="Times New Roman" w:hAnsi="Times New Roman" w:cs="Times New Roman"/>
          <w:sz w:val="24"/>
          <w:szCs w:val="24"/>
        </w:rPr>
        <w:t xml:space="preserve">Figure </w:t>
      </w:r>
      <w:r w:rsidR="00DA6A5A" w:rsidRPr="00C33339">
        <w:rPr>
          <w:rFonts w:ascii="Times New Roman" w:hAnsi="Times New Roman" w:cs="Times New Roman"/>
          <w:sz w:val="24"/>
          <w:szCs w:val="24"/>
        </w:rPr>
        <w:t xml:space="preserve">2b </w:t>
      </w:r>
      <w:r w:rsidR="007365A5" w:rsidRPr="00C33339">
        <w:rPr>
          <w:rFonts w:ascii="Times New Roman" w:hAnsi="Times New Roman" w:cs="Times New Roman"/>
          <w:sz w:val="24"/>
          <w:szCs w:val="24"/>
        </w:rPr>
        <w:t>a plot of discrimination measures</w:t>
      </w:r>
      <w:r w:rsidR="00DA6A5A" w:rsidRPr="00C33339">
        <w:rPr>
          <w:rFonts w:ascii="Times New Roman" w:hAnsi="Times New Roman" w:cs="Times New Roman"/>
          <w:sz w:val="24"/>
          <w:szCs w:val="24"/>
        </w:rPr>
        <w:t xml:space="preserve"> (i.e.</w:t>
      </w:r>
      <w:r w:rsidR="00E115B2" w:rsidRPr="00C33339">
        <w:rPr>
          <w:rFonts w:ascii="Times New Roman" w:hAnsi="Times New Roman" w:cs="Times New Roman"/>
          <w:sz w:val="24"/>
          <w:szCs w:val="24"/>
        </w:rPr>
        <w:t xml:space="preserve"> the percent of variance of each dimension explained by each variable)</w:t>
      </w:r>
      <w:r w:rsidR="006A2E75" w:rsidRPr="00C33339">
        <w:rPr>
          <w:rFonts w:ascii="Times New Roman" w:hAnsi="Times New Roman" w:cs="Times New Roman"/>
          <w:sz w:val="24"/>
          <w:szCs w:val="24"/>
        </w:rPr>
        <w:t xml:space="preserve">. </w:t>
      </w:r>
      <w:r w:rsidR="005A56DD" w:rsidRPr="00C33339">
        <w:rPr>
          <w:rFonts w:ascii="Times New Roman" w:hAnsi="Times New Roman" w:cs="Times New Roman"/>
          <w:sz w:val="24"/>
          <w:szCs w:val="24"/>
        </w:rPr>
        <w:t xml:space="preserve">Examination of </w:t>
      </w:r>
      <w:r w:rsidR="006A2E75" w:rsidRPr="00C33339">
        <w:rPr>
          <w:rFonts w:ascii="Times New Roman" w:hAnsi="Times New Roman" w:cs="Times New Roman"/>
          <w:sz w:val="24"/>
          <w:szCs w:val="24"/>
        </w:rPr>
        <w:t xml:space="preserve">these figures </w:t>
      </w:r>
      <w:r w:rsidR="005A56DD" w:rsidRPr="00C33339">
        <w:rPr>
          <w:rFonts w:ascii="Times New Roman" w:hAnsi="Times New Roman" w:cs="Times New Roman"/>
          <w:sz w:val="24"/>
          <w:szCs w:val="24"/>
        </w:rPr>
        <w:t xml:space="preserve">showed </w:t>
      </w:r>
      <w:r w:rsidR="006A2E75" w:rsidRPr="00C33339">
        <w:rPr>
          <w:rFonts w:ascii="Times New Roman" w:hAnsi="Times New Roman" w:cs="Times New Roman"/>
          <w:sz w:val="24"/>
          <w:szCs w:val="24"/>
        </w:rPr>
        <w:t>that</w:t>
      </w:r>
      <w:r w:rsidR="005E6F53" w:rsidRPr="00C33339">
        <w:rPr>
          <w:rFonts w:ascii="Times New Roman" w:hAnsi="Times New Roman" w:cs="Times New Roman"/>
          <w:sz w:val="24"/>
          <w:szCs w:val="24"/>
        </w:rPr>
        <w:t xml:space="preserve"> Eliciting client concern, providing Feedback on negative consequences, </w:t>
      </w:r>
      <w:r w:rsidR="00C94FAF" w:rsidRPr="00C33339">
        <w:rPr>
          <w:rFonts w:ascii="Times New Roman" w:hAnsi="Times New Roman" w:cs="Times New Roman"/>
          <w:sz w:val="24"/>
          <w:szCs w:val="24"/>
        </w:rPr>
        <w:t xml:space="preserve">and </w:t>
      </w:r>
      <w:r w:rsidR="005E6F53" w:rsidRPr="00C33339">
        <w:rPr>
          <w:rFonts w:ascii="Times New Roman" w:hAnsi="Times New Roman" w:cs="Times New Roman"/>
          <w:sz w:val="24"/>
          <w:szCs w:val="24"/>
        </w:rPr>
        <w:t>Exploration of feelings characterized Dimension 1 (horizontal axis). On the other hand, Eliciting commitment to change drinking, Empathy, Creating</w:t>
      </w:r>
      <w:r w:rsidR="00C94FAF" w:rsidRPr="00C33339">
        <w:rPr>
          <w:rFonts w:ascii="Times New Roman" w:hAnsi="Times New Roman" w:cs="Times New Roman"/>
          <w:sz w:val="24"/>
          <w:szCs w:val="24"/>
        </w:rPr>
        <w:t xml:space="preserve"> internal conflict/enhance </w:t>
      </w:r>
      <w:r w:rsidR="005E6F53" w:rsidRPr="00C33339">
        <w:rPr>
          <w:rFonts w:ascii="Times New Roman" w:hAnsi="Times New Roman" w:cs="Times New Roman"/>
          <w:sz w:val="24"/>
          <w:szCs w:val="24"/>
        </w:rPr>
        <w:t xml:space="preserve">discrepancy, Reflective listening, </w:t>
      </w:r>
      <w:r w:rsidR="009E6C35" w:rsidRPr="00C33339">
        <w:rPr>
          <w:rFonts w:ascii="Times New Roman" w:hAnsi="Times New Roman" w:cs="Times New Roman"/>
          <w:sz w:val="24"/>
          <w:szCs w:val="24"/>
        </w:rPr>
        <w:t xml:space="preserve">and </w:t>
      </w:r>
      <w:r w:rsidR="005E6F53" w:rsidRPr="00EB5F70">
        <w:rPr>
          <w:rFonts w:ascii="Times New Roman" w:hAnsi="Times New Roman" w:cs="Times New Roman"/>
          <w:sz w:val="24"/>
          <w:szCs w:val="24"/>
        </w:rPr>
        <w:t>Discussing commitment to drinking goals characterized Dimension 2 (vertical axis).</w:t>
      </w:r>
    </w:p>
    <w:p w14:paraId="68368A5B" w14:textId="77777777" w:rsidR="007433F0" w:rsidRPr="00EB5F70" w:rsidRDefault="007433F0" w:rsidP="007433F0">
      <w:pPr>
        <w:pStyle w:val="Heading6"/>
      </w:pPr>
      <w:r w:rsidRPr="00EB5F70">
        <w:lastRenderedPageBreak/>
        <w:t>Insert Table 3 and Figures 2a &amp; 2b about here</w:t>
      </w:r>
    </w:p>
    <w:p w14:paraId="0F66ABB7" w14:textId="77777777" w:rsidR="00B043E4" w:rsidRPr="00EB5F70" w:rsidRDefault="005E6F53" w:rsidP="00BD2320">
      <w:pPr>
        <w:rPr>
          <w:rFonts w:ascii="Times New Roman" w:hAnsi="Times New Roman"/>
          <w:sz w:val="24"/>
        </w:rPr>
      </w:pPr>
      <w:r w:rsidRPr="00EB5F70">
        <w:rPr>
          <w:rFonts w:ascii="Times New Roman" w:hAnsi="Times New Roman"/>
          <w:sz w:val="24"/>
        </w:rPr>
        <w:t>When using MCA dimensions’ scores to predict alcohol outcomes, Dimension 2 was a significant predictor of both outcomes (PDA: B= -6.53, p&lt;0.001; DDD: B=1.66, p=0.009), while Dimension 1 was not</w:t>
      </w:r>
      <w:r w:rsidR="004A439C" w:rsidRPr="00EB5F70">
        <w:rPr>
          <w:rFonts w:ascii="Times New Roman" w:hAnsi="Times New Roman" w:cs="Times New Roman"/>
          <w:sz w:val="24"/>
          <w:szCs w:val="24"/>
        </w:rPr>
        <w:t xml:space="preserve"> (Table </w:t>
      </w:r>
      <w:r w:rsidR="007433F0" w:rsidRPr="00EB5F70">
        <w:rPr>
          <w:rFonts w:ascii="Times New Roman" w:hAnsi="Times New Roman" w:cs="Times New Roman"/>
          <w:sz w:val="24"/>
          <w:szCs w:val="24"/>
        </w:rPr>
        <w:t>4</w:t>
      </w:r>
      <w:r w:rsidR="004A439C" w:rsidRPr="00EB5F70">
        <w:rPr>
          <w:rFonts w:ascii="Times New Roman" w:hAnsi="Times New Roman" w:cs="Times New Roman"/>
          <w:sz w:val="24"/>
          <w:szCs w:val="24"/>
        </w:rPr>
        <w:t>)</w:t>
      </w:r>
      <w:r w:rsidRPr="00EB5F70">
        <w:rPr>
          <w:rFonts w:ascii="Times New Roman" w:hAnsi="Times New Roman" w:cs="Times New Roman"/>
          <w:sz w:val="24"/>
          <w:szCs w:val="24"/>
        </w:rPr>
        <w:t>.</w:t>
      </w:r>
    </w:p>
    <w:p w14:paraId="70D6391C" w14:textId="77777777" w:rsidR="006B2080" w:rsidRPr="00CF17EF" w:rsidRDefault="00B043E4" w:rsidP="00CF17EF">
      <w:pPr>
        <w:pStyle w:val="Heading6"/>
      </w:pPr>
      <w:r w:rsidRPr="00EB5F70">
        <w:t xml:space="preserve">Insert Table </w:t>
      </w:r>
      <w:r w:rsidR="007433F0" w:rsidRPr="00EB5F70">
        <w:t>4</w:t>
      </w:r>
      <w:r w:rsidRPr="00CF17EF">
        <w:t xml:space="preserve"> </w:t>
      </w:r>
      <w:r w:rsidR="00F25DA3" w:rsidRPr="00CF17EF">
        <w:t xml:space="preserve">about </w:t>
      </w:r>
      <w:r w:rsidRPr="00CF17EF">
        <w:t>here</w:t>
      </w:r>
    </w:p>
    <w:p w14:paraId="6559D8C3" w14:textId="77777777" w:rsidR="00CF17EF" w:rsidRPr="00CF17EF" w:rsidRDefault="00CF17EF" w:rsidP="00CF17EF">
      <w:pPr>
        <w:rPr>
          <w:rFonts w:ascii="Times New Roman" w:hAnsi="Times New Roman"/>
          <w:sz w:val="24"/>
        </w:rPr>
      </w:pPr>
    </w:p>
    <w:p w14:paraId="42DD98C4" w14:textId="77777777" w:rsidR="00531DE4" w:rsidRPr="00C33339" w:rsidRDefault="00531DE4" w:rsidP="00256297">
      <w:pPr>
        <w:pStyle w:val="Heading2"/>
      </w:pPr>
      <w:r w:rsidRPr="00C33339">
        <w:t>Discussion</w:t>
      </w:r>
    </w:p>
    <w:p w14:paraId="4A3A6E92" w14:textId="77777777" w:rsidR="008C5B74" w:rsidRPr="00EB5F70" w:rsidRDefault="00720C73" w:rsidP="001464B1">
      <w:pPr>
        <w:rPr>
          <w:rFonts w:ascii="Times New Roman" w:hAnsi="Times New Roman" w:cs="Times New Roman"/>
          <w:sz w:val="24"/>
          <w:szCs w:val="24"/>
        </w:rPr>
      </w:pPr>
      <w:r w:rsidRPr="00C33339">
        <w:rPr>
          <w:rFonts w:ascii="Times New Roman" w:hAnsi="Times New Roman" w:cs="Times New Roman"/>
          <w:sz w:val="24"/>
          <w:szCs w:val="24"/>
        </w:rPr>
        <w:t xml:space="preserve">Using a mediation framework to study the active ingredients of the treatments in </w:t>
      </w:r>
      <w:r w:rsidR="00333DFB" w:rsidRPr="00C33339">
        <w:rPr>
          <w:rFonts w:ascii="Times New Roman" w:hAnsi="Times New Roman" w:cs="Times New Roman"/>
          <w:sz w:val="24"/>
          <w:szCs w:val="24"/>
        </w:rPr>
        <w:t>UKATT offers</w:t>
      </w:r>
      <w:r w:rsidRPr="00C33339">
        <w:rPr>
          <w:rFonts w:ascii="Times New Roman" w:hAnsi="Times New Roman" w:cs="Times New Roman"/>
          <w:sz w:val="24"/>
          <w:szCs w:val="24"/>
        </w:rPr>
        <w:t xml:space="preserve"> a better understanding of the trial’s overall null findings. </w:t>
      </w:r>
      <w:r w:rsidR="008113EE" w:rsidRPr="00C33339">
        <w:rPr>
          <w:rFonts w:ascii="Times New Roman" w:hAnsi="Times New Roman" w:cs="Times New Roman"/>
          <w:sz w:val="24"/>
          <w:szCs w:val="24"/>
        </w:rPr>
        <w:t>While there w</w:t>
      </w:r>
      <w:r w:rsidR="006717AC" w:rsidRPr="00C33339">
        <w:rPr>
          <w:rFonts w:ascii="Times New Roman" w:hAnsi="Times New Roman" w:cs="Times New Roman"/>
          <w:sz w:val="24"/>
          <w:szCs w:val="24"/>
        </w:rPr>
        <w:t>ere</w:t>
      </w:r>
      <w:r w:rsidR="008113EE" w:rsidRPr="00C33339">
        <w:rPr>
          <w:rFonts w:ascii="Times New Roman" w:hAnsi="Times New Roman" w:cs="Times New Roman"/>
          <w:sz w:val="24"/>
          <w:szCs w:val="24"/>
        </w:rPr>
        <w:t xml:space="preserve"> no significant indirect effects, analysis of individual paths from treatment condition to treatment process indices (</w:t>
      </w:r>
      <w:r w:rsidR="008113EE" w:rsidRPr="00C33339">
        <w:rPr>
          <w:rFonts w:ascii="Times New Roman" w:hAnsi="Times New Roman" w:cs="Times New Roman"/>
          <w:i/>
          <w:sz w:val="24"/>
          <w:szCs w:val="24"/>
        </w:rPr>
        <w:t xml:space="preserve">a </w:t>
      </w:r>
      <w:r w:rsidR="008113EE" w:rsidRPr="00C33339">
        <w:rPr>
          <w:rFonts w:ascii="Times New Roman" w:hAnsi="Times New Roman" w:cs="Times New Roman"/>
          <w:sz w:val="24"/>
          <w:szCs w:val="24"/>
        </w:rPr>
        <w:t xml:space="preserve">path) and from treatment process indices to </w:t>
      </w:r>
      <w:r w:rsidR="00B752CC" w:rsidRPr="00C33339">
        <w:rPr>
          <w:rFonts w:ascii="Times New Roman" w:hAnsi="Times New Roman" w:cs="Times New Roman"/>
          <w:sz w:val="24"/>
          <w:szCs w:val="24"/>
        </w:rPr>
        <w:t xml:space="preserve">alcohol </w:t>
      </w:r>
      <w:r w:rsidR="008113EE" w:rsidRPr="00C33339">
        <w:rPr>
          <w:rFonts w:ascii="Times New Roman" w:hAnsi="Times New Roman" w:cs="Times New Roman"/>
          <w:sz w:val="24"/>
          <w:szCs w:val="24"/>
        </w:rPr>
        <w:t>outcomes (</w:t>
      </w:r>
      <w:r w:rsidR="008113EE" w:rsidRPr="00C33339">
        <w:rPr>
          <w:rFonts w:ascii="Times New Roman" w:hAnsi="Times New Roman" w:cs="Times New Roman"/>
          <w:i/>
          <w:sz w:val="24"/>
          <w:szCs w:val="24"/>
        </w:rPr>
        <w:t>b</w:t>
      </w:r>
      <w:r w:rsidR="008113EE" w:rsidRPr="00C33339">
        <w:rPr>
          <w:rFonts w:ascii="Times New Roman" w:hAnsi="Times New Roman" w:cs="Times New Roman"/>
          <w:sz w:val="24"/>
          <w:szCs w:val="24"/>
        </w:rPr>
        <w:t xml:space="preserve"> path) showed that</w:t>
      </w:r>
      <w:r w:rsidR="001B444E">
        <w:rPr>
          <w:rFonts w:ascii="Times New Roman" w:hAnsi="Times New Roman" w:cs="Times New Roman"/>
          <w:sz w:val="24"/>
          <w:szCs w:val="24"/>
        </w:rPr>
        <w:t>:</w:t>
      </w:r>
      <w:r w:rsidR="008113EE" w:rsidRPr="00C33339">
        <w:rPr>
          <w:rFonts w:ascii="Times New Roman" w:hAnsi="Times New Roman" w:cs="Times New Roman"/>
          <w:sz w:val="24"/>
          <w:szCs w:val="24"/>
        </w:rPr>
        <w:t xml:space="preserve"> 1) SBNT therapists more often used SBNT-specific </w:t>
      </w:r>
      <w:r w:rsidR="00F663EE" w:rsidRPr="00C33339">
        <w:rPr>
          <w:rFonts w:ascii="Times New Roman" w:hAnsi="Times New Roman" w:cs="Times New Roman"/>
          <w:sz w:val="24"/>
          <w:szCs w:val="24"/>
        </w:rPr>
        <w:t>behaviors</w:t>
      </w:r>
      <w:r w:rsidR="008113EE" w:rsidRPr="00C33339">
        <w:rPr>
          <w:rFonts w:ascii="Times New Roman" w:hAnsi="Times New Roman" w:cs="Times New Roman"/>
          <w:sz w:val="24"/>
          <w:szCs w:val="24"/>
        </w:rPr>
        <w:t xml:space="preserve">, and did so with an overall higher quality; 2) MET therapists more often performed MET-specific </w:t>
      </w:r>
      <w:r w:rsidR="00F663EE" w:rsidRPr="00C33339">
        <w:rPr>
          <w:rFonts w:ascii="Times New Roman" w:hAnsi="Times New Roman" w:cs="Times New Roman"/>
          <w:sz w:val="24"/>
          <w:szCs w:val="24"/>
        </w:rPr>
        <w:t>behaviors</w:t>
      </w:r>
      <w:r w:rsidR="008113EE" w:rsidRPr="00C33339">
        <w:rPr>
          <w:rFonts w:ascii="Times New Roman" w:hAnsi="Times New Roman" w:cs="Times New Roman"/>
          <w:sz w:val="24"/>
          <w:szCs w:val="24"/>
        </w:rPr>
        <w:t xml:space="preserve">, but there was no evidence that they performed these </w:t>
      </w:r>
      <w:r w:rsidR="00F663EE" w:rsidRPr="00C33339">
        <w:rPr>
          <w:rFonts w:ascii="Times New Roman" w:hAnsi="Times New Roman" w:cs="Times New Roman"/>
          <w:sz w:val="24"/>
          <w:szCs w:val="24"/>
        </w:rPr>
        <w:t>behaviors</w:t>
      </w:r>
      <w:r w:rsidR="008113EE" w:rsidRPr="00C33339">
        <w:rPr>
          <w:rFonts w:ascii="Times New Roman" w:hAnsi="Times New Roman" w:cs="Times New Roman"/>
          <w:sz w:val="24"/>
          <w:szCs w:val="24"/>
        </w:rPr>
        <w:t xml:space="preserve"> </w:t>
      </w:r>
      <w:r w:rsidR="000469EC" w:rsidRPr="00C33339">
        <w:rPr>
          <w:rFonts w:ascii="Times New Roman" w:hAnsi="Times New Roman" w:cs="Times New Roman"/>
          <w:sz w:val="24"/>
          <w:szCs w:val="24"/>
        </w:rPr>
        <w:t>at</w:t>
      </w:r>
      <w:r w:rsidR="009C3334">
        <w:rPr>
          <w:rFonts w:ascii="Times New Roman" w:hAnsi="Times New Roman" w:cs="Times New Roman"/>
          <w:sz w:val="24"/>
          <w:szCs w:val="24"/>
        </w:rPr>
        <w:t xml:space="preserve"> </w:t>
      </w:r>
      <w:r w:rsidR="008113EE" w:rsidRPr="00C33339">
        <w:rPr>
          <w:rFonts w:ascii="Times New Roman" w:hAnsi="Times New Roman" w:cs="Times New Roman"/>
          <w:sz w:val="24"/>
          <w:szCs w:val="24"/>
        </w:rPr>
        <w:t>higher quality than SBNT therapists; 3)</w:t>
      </w:r>
      <w:r w:rsidR="00B752CC" w:rsidRPr="00C33339">
        <w:rPr>
          <w:rFonts w:ascii="Times New Roman" w:hAnsi="Times New Roman" w:cs="Times New Roman"/>
          <w:sz w:val="24"/>
          <w:szCs w:val="24"/>
        </w:rPr>
        <w:t xml:space="preserve"> only the quality of MET </w:t>
      </w:r>
      <w:r w:rsidR="00F663EE" w:rsidRPr="00C33339">
        <w:rPr>
          <w:rFonts w:ascii="Times New Roman" w:hAnsi="Times New Roman" w:cs="Times New Roman"/>
          <w:sz w:val="24"/>
          <w:szCs w:val="24"/>
        </w:rPr>
        <w:t>behaviors</w:t>
      </w:r>
      <w:r w:rsidR="00B752CC" w:rsidRPr="00C33339">
        <w:rPr>
          <w:rFonts w:ascii="Times New Roman" w:hAnsi="Times New Roman" w:cs="Times New Roman"/>
          <w:sz w:val="24"/>
          <w:szCs w:val="24"/>
        </w:rPr>
        <w:t xml:space="preserve"> significantly predicted 12-month alcohol outcomes. The quality of MET-specific </w:t>
      </w:r>
      <w:r w:rsidR="00F663EE" w:rsidRPr="00C33339">
        <w:rPr>
          <w:rFonts w:ascii="Times New Roman" w:hAnsi="Times New Roman" w:cs="Times New Roman"/>
          <w:sz w:val="24"/>
          <w:szCs w:val="24"/>
        </w:rPr>
        <w:t>behaviors</w:t>
      </w:r>
      <w:r w:rsidR="00B752CC" w:rsidRPr="00C33339">
        <w:rPr>
          <w:rFonts w:ascii="Times New Roman" w:hAnsi="Times New Roman" w:cs="Times New Roman"/>
          <w:sz w:val="24"/>
          <w:szCs w:val="24"/>
        </w:rPr>
        <w:t xml:space="preserve"> </w:t>
      </w:r>
      <w:r w:rsidR="0027479E" w:rsidRPr="00C33339">
        <w:rPr>
          <w:rFonts w:ascii="Times New Roman" w:hAnsi="Times New Roman" w:cs="Times New Roman"/>
          <w:sz w:val="24"/>
          <w:szCs w:val="24"/>
        </w:rPr>
        <w:t xml:space="preserve">was </w:t>
      </w:r>
      <w:r w:rsidR="00B752CC" w:rsidRPr="00C33339">
        <w:rPr>
          <w:rFonts w:ascii="Times New Roman" w:hAnsi="Times New Roman" w:cs="Times New Roman"/>
          <w:sz w:val="24"/>
          <w:szCs w:val="24"/>
        </w:rPr>
        <w:t xml:space="preserve">thus related to better </w:t>
      </w:r>
      <w:r w:rsidR="002D7A69" w:rsidRPr="00C33339">
        <w:rPr>
          <w:rFonts w:ascii="Times New Roman" w:hAnsi="Times New Roman" w:cs="Times New Roman"/>
          <w:sz w:val="24"/>
          <w:szCs w:val="24"/>
        </w:rPr>
        <w:t xml:space="preserve">drinking </w:t>
      </w:r>
      <w:r w:rsidR="00B752CC" w:rsidRPr="00C33339">
        <w:rPr>
          <w:rFonts w:ascii="Times New Roman" w:hAnsi="Times New Roman" w:cs="Times New Roman"/>
          <w:sz w:val="24"/>
          <w:szCs w:val="24"/>
        </w:rPr>
        <w:t>outcomes</w:t>
      </w:r>
      <w:r w:rsidR="007C1194" w:rsidRPr="00C33339">
        <w:rPr>
          <w:rFonts w:ascii="Times New Roman" w:hAnsi="Times New Roman" w:cs="Times New Roman"/>
          <w:sz w:val="24"/>
          <w:szCs w:val="24"/>
        </w:rPr>
        <w:t>,</w:t>
      </w:r>
      <w:r w:rsidR="00B752CC" w:rsidRPr="00C33339">
        <w:rPr>
          <w:rFonts w:ascii="Times New Roman" w:hAnsi="Times New Roman" w:cs="Times New Roman"/>
          <w:sz w:val="24"/>
          <w:szCs w:val="24"/>
        </w:rPr>
        <w:t xml:space="preserve"> </w:t>
      </w:r>
      <w:r w:rsidR="00AA13E9" w:rsidRPr="00C33339">
        <w:rPr>
          <w:rFonts w:ascii="Times New Roman" w:hAnsi="Times New Roman" w:cs="Times New Roman"/>
          <w:sz w:val="24"/>
          <w:szCs w:val="24"/>
        </w:rPr>
        <w:t xml:space="preserve">and </w:t>
      </w:r>
      <w:r w:rsidR="00B752CC" w:rsidRPr="00C33339">
        <w:rPr>
          <w:rFonts w:ascii="Times New Roman" w:hAnsi="Times New Roman" w:cs="Times New Roman"/>
          <w:sz w:val="24"/>
          <w:szCs w:val="24"/>
        </w:rPr>
        <w:t xml:space="preserve">therapists from both treatment conditions </w:t>
      </w:r>
      <w:r w:rsidR="006002A3" w:rsidRPr="00C33339">
        <w:rPr>
          <w:rFonts w:ascii="Times New Roman" w:hAnsi="Times New Roman" w:cs="Times New Roman"/>
          <w:sz w:val="24"/>
          <w:szCs w:val="24"/>
        </w:rPr>
        <w:t>helped achieve positive treatment outcomes in this</w:t>
      </w:r>
      <w:r w:rsidR="008C5B74" w:rsidRPr="00C33339">
        <w:rPr>
          <w:rFonts w:ascii="Times New Roman" w:hAnsi="Times New Roman" w:cs="Times New Roman"/>
          <w:sz w:val="24"/>
          <w:szCs w:val="24"/>
        </w:rPr>
        <w:t xml:space="preserve"> way</w:t>
      </w:r>
      <w:r w:rsidR="00B752CC" w:rsidRPr="00C33339">
        <w:rPr>
          <w:rFonts w:ascii="Times New Roman" w:hAnsi="Times New Roman" w:cs="Times New Roman"/>
          <w:sz w:val="24"/>
          <w:szCs w:val="24"/>
        </w:rPr>
        <w:t>.</w:t>
      </w:r>
      <w:r w:rsidR="008C5B74" w:rsidRPr="00C33339">
        <w:rPr>
          <w:rFonts w:ascii="Times New Roman" w:hAnsi="Times New Roman" w:cs="Times New Roman"/>
          <w:sz w:val="24"/>
          <w:szCs w:val="24"/>
        </w:rPr>
        <w:t xml:space="preserve"> </w:t>
      </w:r>
      <w:r w:rsidR="001464B1" w:rsidRPr="00C33339">
        <w:rPr>
          <w:rFonts w:ascii="Times New Roman" w:hAnsi="Times New Roman" w:cs="Times New Roman"/>
          <w:sz w:val="24"/>
          <w:szCs w:val="24"/>
        </w:rPr>
        <w:t>In relation to the hypothes</w:t>
      </w:r>
      <w:r w:rsidR="001B444E">
        <w:rPr>
          <w:rFonts w:ascii="Times New Roman" w:hAnsi="Times New Roman" w:cs="Times New Roman"/>
          <w:sz w:val="24"/>
          <w:szCs w:val="24"/>
        </w:rPr>
        <w:t>i</w:t>
      </w:r>
      <w:r w:rsidR="001464B1" w:rsidRPr="00C33339">
        <w:rPr>
          <w:rFonts w:ascii="Times New Roman" w:hAnsi="Times New Roman" w:cs="Times New Roman"/>
          <w:sz w:val="24"/>
          <w:szCs w:val="24"/>
        </w:rPr>
        <w:t xml:space="preserve">s tested, there is no evidence </w:t>
      </w:r>
      <w:r w:rsidR="002D7A69" w:rsidRPr="00C33339">
        <w:rPr>
          <w:rFonts w:ascii="Times New Roman" w:hAnsi="Times New Roman" w:cs="Times New Roman"/>
          <w:sz w:val="24"/>
          <w:szCs w:val="24"/>
        </w:rPr>
        <w:t xml:space="preserve">from </w:t>
      </w:r>
      <w:r w:rsidR="001464B1" w:rsidRPr="00C33339">
        <w:rPr>
          <w:rFonts w:ascii="Times New Roman" w:hAnsi="Times New Roman" w:cs="Times New Roman"/>
          <w:sz w:val="24"/>
          <w:szCs w:val="24"/>
        </w:rPr>
        <w:t xml:space="preserve">the present </w:t>
      </w:r>
      <w:r w:rsidR="001B444E">
        <w:rPr>
          <w:rFonts w:ascii="Times New Roman" w:hAnsi="Times New Roman" w:cs="Times New Roman"/>
          <w:sz w:val="24"/>
          <w:szCs w:val="24"/>
        </w:rPr>
        <w:t xml:space="preserve">analysis </w:t>
      </w:r>
      <w:r w:rsidR="001464B1" w:rsidRPr="00C33339">
        <w:rPr>
          <w:rFonts w:ascii="Times New Roman" w:hAnsi="Times New Roman" w:cs="Times New Roman"/>
          <w:sz w:val="24"/>
          <w:szCs w:val="24"/>
        </w:rPr>
        <w:t xml:space="preserve">that treatment outcomes are mediated by therapist </w:t>
      </w:r>
      <w:r w:rsidR="00F663EE" w:rsidRPr="00C33339">
        <w:rPr>
          <w:rFonts w:ascii="Times New Roman" w:hAnsi="Times New Roman" w:cs="Times New Roman"/>
          <w:sz w:val="24"/>
          <w:szCs w:val="24"/>
        </w:rPr>
        <w:t>behaviors</w:t>
      </w:r>
      <w:r w:rsidR="001464B1" w:rsidRPr="00C33339">
        <w:rPr>
          <w:rFonts w:ascii="Times New Roman" w:hAnsi="Times New Roman" w:cs="Times New Roman"/>
          <w:sz w:val="24"/>
          <w:szCs w:val="24"/>
        </w:rPr>
        <w:t xml:space="preserve"> consistent with the theoretical postulates on which the two treatments are based. </w:t>
      </w:r>
      <w:r w:rsidR="00991D14" w:rsidRPr="00C33339">
        <w:rPr>
          <w:rFonts w:ascii="Times New Roman" w:hAnsi="Times New Roman" w:cs="Times New Roman"/>
          <w:sz w:val="24"/>
          <w:szCs w:val="24"/>
        </w:rPr>
        <w:t>T</w:t>
      </w:r>
      <w:r w:rsidR="001464B1" w:rsidRPr="00C33339">
        <w:rPr>
          <w:rFonts w:ascii="Times New Roman" w:hAnsi="Times New Roman" w:cs="Times New Roman"/>
          <w:sz w:val="24"/>
          <w:szCs w:val="24"/>
        </w:rPr>
        <w:t>he met-q finding, which does not provide strong evidence to support any mediational hypothesis</w:t>
      </w:r>
      <w:r w:rsidR="008C5B74" w:rsidRPr="00C33339">
        <w:rPr>
          <w:rFonts w:ascii="Times New Roman" w:hAnsi="Times New Roman" w:cs="Times New Roman"/>
          <w:sz w:val="24"/>
          <w:szCs w:val="24"/>
        </w:rPr>
        <w:t xml:space="preserve"> </w:t>
      </w:r>
      <w:r w:rsidR="008C5B74" w:rsidRPr="00C33339">
        <w:rPr>
          <w:rFonts w:ascii="Times New Roman" w:hAnsi="Times New Roman" w:cs="Times New Roman"/>
          <w:i/>
          <w:sz w:val="24"/>
          <w:szCs w:val="24"/>
        </w:rPr>
        <w:t>per se</w:t>
      </w:r>
      <w:r w:rsidR="001464B1" w:rsidRPr="00C33339">
        <w:rPr>
          <w:rFonts w:ascii="Times New Roman" w:hAnsi="Times New Roman" w:cs="Times New Roman"/>
          <w:sz w:val="24"/>
          <w:szCs w:val="24"/>
        </w:rPr>
        <w:t>, nonetheless provides some data suggestive of the possibility that these two treatments,</w:t>
      </w:r>
      <w:r w:rsidR="008C5B74" w:rsidRPr="00C33339">
        <w:rPr>
          <w:rFonts w:ascii="Times New Roman" w:hAnsi="Times New Roman" w:cs="Times New Roman"/>
          <w:sz w:val="24"/>
          <w:szCs w:val="24"/>
        </w:rPr>
        <w:t xml:space="preserve"> </w:t>
      </w:r>
      <w:r w:rsidR="001464B1" w:rsidRPr="00C33339">
        <w:rPr>
          <w:rFonts w:ascii="Times New Roman" w:hAnsi="Times New Roman" w:cs="Times New Roman"/>
          <w:sz w:val="24"/>
          <w:szCs w:val="24"/>
        </w:rPr>
        <w:t xml:space="preserve">as they were </w:t>
      </w:r>
      <w:r w:rsidR="001464B1" w:rsidRPr="00EB5F70">
        <w:rPr>
          <w:rFonts w:ascii="Times New Roman" w:hAnsi="Times New Roman" w:cs="Times New Roman"/>
          <w:sz w:val="24"/>
          <w:szCs w:val="24"/>
        </w:rPr>
        <w:t>delivered in</w:t>
      </w:r>
      <w:r w:rsidR="008C5B74" w:rsidRPr="00EB5F70">
        <w:rPr>
          <w:rFonts w:ascii="Times New Roman" w:hAnsi="Times New Roman" w:cs="Times New Roman"/>
          <w:sz w:val="24"/>
          <w:szCs w:val="24"/>
        </w:rPr>
        <w:t xml:space="preserve"> </w:t>
      </w:r>
      <w:r w:rsidR="00C868CD" w:rsidRPr="00EB5F70">
        <w:rPr>
          <w:rFonts w:ascii="Times New Roman" w:hAnsi="Times New Roman" w:cs="Times New Roman"/>
          <w:sz w:val="24"/>
          <w:szCs w:val="24"/>
        </w:rPr>
        <w:t>UKATT</w:t>
      </w:r>
      <w:r w:rsidR="008C5B74" w:rsidRPr="00EB5F70">
        <w:rPr>
          <w:rFonts w:ascii="Times New Roman" w:hAnsi="Times New Roman" w:cs="Times New Roman"/>
          <w:sz w:val="24"/>
          <w:szCs w:val="24"/>
        </w:rPr>
        <w:t>, have similar active ingredients.</w:t>
      </w:r>
    </w:p>
    <w:p w14:paraId="3EB0A8F0" w14:textId="77777777" w:rsidR="00C11BAA" w:rsidRPr="00C33339" w:rsidRDefault="009A7B36" w:rsidP="009A43B3">
      <w:pPr>
        <w:rPr>
          <w:rFonts w:ascii="Times New Roman" w:hAnsi="Times New Roman" w:cs="Times New Roman"/>
          <w:sz w:val="24"/>
          <w:szCs w:val="24"/>
          <w:lang w:eastAsia="fr-CH"/>
        </w:rPr>
      </w:pPr>
      <w:r w:rsidRPr="00EB5F70">
        <w:rPr>
          <w:rFonts w:ascii="Times New Roman" w:hAnsi="Times New Roman" w:cs="Times New Roman"/>
          <w:sz w:val="24"/>
          <w:szCs w:val="24"/>
        </w:rPr>
        <w:lastRenderedPageBreak/>
        <w:t>Given these findings for met-q, i</w:t>
      </w:r>
      <w:r w:rsidR="00B752CC" w:rsidRPr="00EB5F70">
        <w:rPr>
          <w:rFonts w:ascii="Times New Roman" w:hAnsi="Times New Roman" w:cs="Times New Roman"/>
          <w:sz w:val="24"/>
          <w:szCs w:val="24"/>
        </w:rPr>
        <w:t xml:space="preserve">t was of interest to investigate which individual </w:t>
      </w:r>
      <w:r w:rsidR="00EC6E8C" w:rsidRPr="00EB5F70">
        <w:rPr>
          <w:rFonts w:ascii="Times New Roman" w:hAnsi="Times New Roman" w:cs="Times New Roman"/>
          <w:sz w:val="24"/>
          <w:szCs w:val="24"/>
        </w:rPr>
        <w:t xml:space="preserve">met-q </w:t>
      </w:r>
      <w:r w:rsidR="00B752CC" w:rsidRPr="00EB5F70">
        <w:rPr>
          <w:rFonts w:ascii="Times New Roman" w:hAnsi="Times New Roman" w:cs="Times New Roman"/>
          <w:sz w:val="24"/>
          <w:szCs w:val="24"/>
        </w:rPr>
        <w:t>items measured in the UKATT PRS were related to better outcomes</w:t>
      </w:r>
      <w:r w:rsidR="00F26DBD" w:rsidRPr="00EB5F70">
        <w:rPr>
          <w:rFonts w:ascii="Times New Roman" w:hAnsi="Times New Roman" w:cs="Times New Roman"/>
          <w:sz w:val="24"/>
          <w:szCs w:val="24"/>
        </w:rPr>
        <w:t xml:space="preserve">. Multiple correspondence </w:t>
      </w:r>
      <w:r w:rsidR="00B752CC" w:rsidRPr="00EB5F70">
        <w:rPr>
          <w:rFonts w:ascii="Times New Roman" w:hAnsi="Times New Roman" w:cs="Times New Roman"/>
          <w:sz w:val="24"/>
          <w:szCs w:val="24"/>
        </w:rPr>
        <w:t xml:space="preserve">analysis </w:t>
      </w:r>
      <w:r w:rsidR="00F26DBD" w:rsidRPr="00EB5F70">
        <w:rPr>
          <w:rFonts w:ascii="Times New Roman" w:hAnsi="Times New Roman"/>
          <w:sz w:val="24"/>
        </w:rPr>
        <w:t>point</w:t>
      </w:r>
      <w:r w:rsidR="00325920" w:rsidRPr="00EB5F70">
        <w:rPr>
          <w:rFonts w:ascii="Times New Roman" w:hAnsi="Times New Roman"/>
          <w:sz w:val="24"/>
        </w:rPr>
        <w:t>ed</w:t>
      </w:r>
      <w:r w:rsidR="00AA13E9" w:rsidRPr="00EB5F70">
        <w:rPr>
          <w:rFonts w:ascii="Times New Roman" w:hAnsi="Times New Roman"/>
          <w:sz w:val="24"/>
        </w:rPr>
        <w:t xml:space="preserve"> to variables that are </w:t>
      </w:r>
      <w:r w:rsidR="00EC6E8C" w:rsidRPr="00EB5F70">
        <w:rPr>
          <w:rFonts w:ascii="Times New Roman" w:hAnsi="Times New Roman"/>
          <w:sz w:val="24"/>
        </w:rPr>
        <w:t xml:space="preserve">commonly </w:t>
      </w:r>
      <w:r w:rsidR="00AA13E9" w:rsidRPr="00EB5F70">
        <w:rPr>
          <w:rFonts w:ascii="Times New Roman" w:hAnsi="Times New Roman"/>
          <w:sz w:val="24"/>
        </w:rPr>
        <w:t>associated with the style of motivational i</w:t>
      </w:r>
      <w:r w:rsidR="00274961" w:rsidRPr="00EB5F70">
        <w:rPr>
          <w:rFonts w:ascii="Times New Roman" w:hAnsi="Times New Roman"/>
          <w:sz w:val="24"/>
        </w:rPr>
        <w:t>nterviewing</w:t>
      </w:r>
      <w:r w:rsidRPr="00EB5F70">
        <w:rPr>
          <w:rFonts w:ascii="Times New Roman" w:hAnsi="Times New Roman"/>
          <w:sz w:val="24"/>
        </w:rPr>
        <w:t xml:space="preserve"> (</w:t>
      </w:r>
      <w:r w:rsidR="00232E2C" w:rsidRPr="00EB5F70">
        <w:rPr>
          <w:rFonts w:ascii="Times New Roman" w:hAnsi="Times New Roman"/>
          <w:sz w:val="24"/>
        </w:rPr>
        <w:t>i.e., empathy</w:t>
      </w:r>
      <w:r w:rsidRPr="00EB5F70">
        <w:rPr>
          <w:rFonts w:ascii="Times New Roman" w:hAnsi="Times New Roman"/>
          <w:sz w:val="24"/>
        </w:rPr>
        <w:t>, discrepancy enhancement, eliciting and discussing commitment to change, reflective listening)</w:t>
      </w:r>
      <w:r w:rsidR="002D7A69" w:rsidRPr="00EB5F70">
        <w:rPr>
          <w:rFonts w:ascii="Times New Roman" w:hAnsi="Times New Roman"/>
          <w:sz w:val="24"/>
        </w:rPr>
        <w:t xml:space="preserve">. </w:t>
      </w:r>
      <w:r w:rsidR="00916E10" w:rsidRPr="00EB5F70">
        <w:rPr>
          <w:rFonts w:ascii="Times New Roman" w:hAnsi="Times New Roman"/>
          <w:sz w:val="24"/>
        </w:rPr>
        <w:t xml:space="preserve">However, </w:t>
      </w:r>
      <w:r w:rsidR="00274961" w:rsidRPr="00EB5F70">
        <w:rPr>
          <w:rFonts w:ascii="Times New Roman" w:hAnsi="Times New Roman"/>
          <w:sz w:val="24"/>
        </w:rPr>
        <w:t>as s</w:t>
      </w:r>
      <w:r w:rsidR="00CB0147" w:rsidRPr="00EB5F70">
        <w:rPr>
          <w:rFonts w:ascii="Times New Roman" w:hAnsi="Times New Roman"/>
          <w:sz w:val="24"/>
        </w:rPr>
        <w:t>hown</w:t>
      </w:r>
      <w:r w:rsidR="00274961" w:rsidRPr="00EB5F70">
        <w:rPr>
          <w:rFonts w:ascii="Times New Roman" w:hAnsi="Times New Roman"/>
          <w:sz w:val="24"/>
        </w:rPr>
        <w:t xml:space="preserve"> in th</w:t>
      </w:r>
      <w:r w:rsidR="002D7A69" w:rsidRPr="00EB5F70">
        <w:rPr>
          <w:rFonts w:ascii="Times New Roman" w:hAnsi="Times New Roman"/>
          <w:sz w:val="24"/>
        </w:rPr>
        <w:t xml:space="preserve">e present </w:t>
      </w:r>
      <w:r w:rsidR="00C868CD" w:rsidRPr="00EB5F70">
        <w:rPr>
          <w:rFonts w:ascii="Times New Roman" w:hAnsi="Times New Roman"/>
          <w:sz w:val="24"/>
        </w:rPr>
        <w:t>analysis</w:t>
      </w:r>
      <w:r w:rsidR="00EC6E8C" w:rsidRPr="00EB5F70">
        <w:rPr>
          <w:rFonts w:ascii="Times New Roman" w:hAnsi="Times New Roman"/>
          <w:sz w:val="24"/>
        </w:rPr>
        <w:t>,</w:t>
      </w:r>
      <w:r w:rsidR="00AA13E9" w:rsidRPr="00EB5F70">
        <w:rPr>
          <w:rFonts w:ascii="Times New Roman" w:hAnsi="Times New Roman"/>
          <w:sz w:val="24"/>
        </w:rPr>
        <w:t xml:space="preserve"> these </w:t>
      </w:r>
      <w:r w:rsidR="002D7A69" w:rsidRPr="00EB5F70">
        <w:rPr>
          <w:rFonts w:ascii="Times New Roman" w:hAnsi="Times New Roman"/>
          <w:sz w:val="24"/>
        </w:rPr>
        <w:t xml:space="preserve">therapist qualities </w:t>
      </w:r>
      <w:r w:rsidR="00AA13E9" w:rsidRPr="00EB5F70">
        <w:rPr>
          <w:rFonts w:ascii="Times New Roman" w:hAnsi="Times New Roman"/>
          <w:sz w:val="24"/>
        </w:rPr>
        <w:t xml:space="preserve">are </w:t>
      </w:r>
      <w:r w:rsidR="00916E10" w:rsidRPr="00EB5F70">
        <w:rPr>
          <w:rFonts w:ascii="Times New Roman" w:hAnsi="Times New Roman"/>
          <w:sz w:val="24"/>
        </w:rPr>
        <w:t xml:space="preserve">not </w:t>
      </w:r>
      <w:r w:rsidR="00AA13E9" w:rsidRPr="00EB5F70">
        <w:rPr>
          <w:rFonts w:ascii="Times New Roman" w:hAnsi="Times New Roman"/>
          <w:sz w:val="24"/>
        </w:rPr>
        <w:t xml:space="preserve">unique to </w:t>
      </w:r>
      <w:r w:rsidR="002D7A69" w:rsidRPr="00EB5F70">
        <w:rPr>
          <w:rFonts w:ascii="Times New Roman" w:hAnsi="Times New Roman"/>
          <w:sz w:val="24"/>
        </w:rPr>
        <w:t>motivational interviewing</w:t>
      </w:r>
      <w:r w:rsidR="007C1194" w:rsidRPr="00C33339">
        <w:rPr>
          <w:rFonts w:ascii="Times New Roman" w:hAnsi="Times New Roman"/>
          <w:sz w:val="24"/>
        </w:rPr>
        <w:t>,</w:t>
      </w:r>
      <w:r w:rsidR="002D7A69" w:rsidRPr="00C33339">
        <w:rPr>
          <w:rFonts w:ascii="Times New Roman" w:hAnsi="Times New Roman"/>
          <w:sz w:val="24"/>
        </w:rPr>
        <w:t xml:space="preserve"> </w:t>
      </w:r>
      <w:r w:rsidR="00916E10" w:rsidRPr="00C33339">
        <w:rPr>
          <w:rFonts w:ascii="Times New Roman" w:hAnsi="Times New Roman"/>
          <w:sz w:val="24"/>
        </w:rPr>
        <w:t>and</w:t>
      </w:r>
      <w:r w:rsidR="008C5B74" w:rsidRPr="00C33339">
        <w:rPr>
          <w:rFonts w:ascii="Times New Roman" w:hAnsi="Times New Roman"/>
          <w:sz w:val="24"/>
        </w:rPr>
        <w:t xml:space="preserve"> can</w:t>
      </w:r>
      <w:r w:rsidR="00AA13E9" w:rsidRPr="00C33339">
        <w:rPr>
          <w:rFonts w:ascii="Times New Roman" w:hAnsi="Times New Roman"/>
          <w:sz w:val="24"/>
        </w:rPr>
        <w:t xml:space="preserve"> </w:t>
      </w:r>
      <w:r w:rsidR="008C5B74" w:rsidRPr="00C33339">
        <w:rPr>
          <w:rFonts w:ascii="Times New Roman" w:hAnsi="Times New Roman"/>
          <w:sz w:val="24"/>
        </w:rPr>
        <w:t xml:space="preserve">be </w:t>
      </w:r>
      <w:r w:rsidR="00CB0147" w:rsidRPr="00C33339">
        <w:rPr>
          <w:rFonts w:ascii="Times New Roman" w:hAnsi="Times New Roman"/>
          <w:sz w:val="24"/>
        </w:rPr>
        <w:t xml:space="preserve">seen </w:t>
      </w:r>
      <w:r w:rsidR="00AA13E9" w:rsidRPr="00C33339">
        <w:rPr>
          <w:rFonts w:ascii="Times New Roman" w:hAnsi="Times New Roman"/>
          <w:sz w:val="24"/>
        </w:rPr>
        <w:t>as</w:t>
      </w:r>
      <w:r w:rsidR="00F26DBD" w:rsidRPr="00C33339">
        <w:rPr>
          <w:rFonts w:ascii="Times New Roman" w:hAnsi="Times New Roman"/>
          <w:sz w:val="24"/>
        </w:rPr>
        <w:t xml:space="preserve"> </w:t>
      </w:r>
      <w:r w:rsidR="0053173E" w:rsidRPr="00C33339">
        <w:rPr>
          <w:rFonts w:ascii="Times New Roman" w:hAnsi="Times New Roman"/>
          <w:sz w:val="24"/>
        </w:rPr>
        <w:t>common factors</w:t>
      </w:r>
      <w:r w:rsidR="0053173E" w:rsidRPr="00C33339">
        <w:rPr>
          <w:rFonts w:ascii="Times New Roman" w:hAnsi="Times New Roman"/>
          <w:b/>
          <w:sz w:val="24"/>
        </w:rPr>
        <w:t xml:space="preserve"> </w:t>
      </w:r>
      <w:r w:rsidR="006A79CB" w:rsidRPr="00C33339">
        <w:rPr>
          <w:rFonts w:ascii="Times New Roman" w:hAnsi="Times New Roman"/>
          <w:sz w:val="24"/>
        </w:rPr>
        <w:t xml:space="preserve">of </w:t>
      </w:r>
      <w:r w:rsidR="00CB0147" w:rsidRPr="00C33339">
        <w:rPr>
          <w:rFonts w:ascii="Times New Roman" w:hAnsi="Times New Roman"/>
          <w:sz w:val="24"/>
        </w:rPr>
        <w:t xml:space="preserve">effective treatment </w:t>
      </w:r>
      <w:r w:rsidR="007C1194" w:rsidRPr="00C33339">
        <w:rPr>
          <w:rFonts w:ascii="Times New Roman" w:hAnsi="Times New Roman"/>
          <w:sz w:val="24"/>
        </w:rPr>
        <w:t xml:space="preserve">as </w:t>
      </w:r>
      <w:r w:rsidR="00CB0147" w:rsidRPr="00C33339">
        <w:rPr>
          <w:rFonts w:ascii="Times New Roman" w:hAnsi="Times New Roman"/>
          <w:sz w:val="24"/>
        </w:rPr>
        <w:t>described</w:t>
      </w:r>
      <w:r w:rsidR="00CB0147" w:rsidRPr="00C33339">
        <w:rPr>
          <w:rFonts w:ascii="Times New Roman" w:hAnsi="Times New Roman"/>
          <w:b/>
          <w:sz w:val="24"/>
        </w:rPr>
        <w:t xml:space="preserve"> </w:t>
      </w:r>
      <w:r w:rsidR="0053173E" w:rsidRPr="00C33339">
        <w:rPr>
          <w:rFonts w:ascii="Times New Roman" w:hAnsi="Times New Roman"/>
          <w:sz w:val="24"/>
        </w:rPr>
        <w:t xml:space="preserve">in the addiction process </w:t>
      </w:r>
      <w:r w:rsidR="0081252C">
        <w:rPr>
          <w:rFonts w:ascii="Times New Roman" w:hAnsi="Times New Roman"/>
          <w:sz w:val="24"/>
        </w:rPr>
        <w:t>(Miller &amp; Moyers, 2015)</w:t>
      </w:r>
      <w:r w:rsidR="001B758A" w:rsidRPr="00C33339">
        <w:rPr>
          <w:rFonts w:ascii="Times New Roman" w:hAnsi="Times New Roman"/>
          <w:sz w:val="24"/>
        </w:rPr>
        <w:t xml:space="preserve"> </w:t>
      </w:r>
      <w:r w:rsidR="00BF474E" w:rsidRPr="00C33339">
        <w:rPr>
          <w:rFonts w:ascii="Times New Roman" w:hAnsi="Times New Roman"/>
          <w:sz w:val="24"/>
        </w:rPr>
        <w:t xml:space="preserve">and general </w:t>
      </w:r>
      <w:r w:rsidR="006863C9" w:rsidRPr="00C33339">
        <w:rPr>
          <w:rFonts w:ascii="Times New Roman" w:hAnsi="Times New Roman"/>
          <w:sz w:val="24"/>
        </w:rPr>
        <w:t>psychotherapy</w:t>
      </w:r>
      <w:r w:rsidR="0081252C">
        <w:rPr>
          <w:rFonts w:ascii="Times New Roman" w:hAnsi="Times New Roman"/>
          <w:sz w:val="24"/>
        </w:rPr>
        <w:t xml:space="preserve"> (Frank &amp; Frank, 1991; Wampold &amp; Imel, 2015)</w:t>
      </w:r>
      <w:r w:rsidR="006863C9" w:rsidRPr="00C33339">
        <w:rPr>
          <w:rFonts w:ascii="Times New Roman" w:hAnsi="Times New Roman"/>
          <w:sz w:val="24"/>
        </w:rPr>
        <w:t xml:space="preserve"> </w:t>
      </w:r>
      <w:r w:rsidR="0053173E" w:rsidRPr="00C33339">
        <w:rPr>
          <w:rFonts w:ascii="Times New Roman" w:hAnsi="Times New Roman"/>
          <w:sz w:val="24"/>
        </w:rPr>
        <w:t>literatures</w:t>
      </w:r>
      <w:r w:rsidR="00F26DBD" w:rsidRPr="00C33339">
        <w:rPr>
          <w:rFonts w:ascii="Times New Roman" w:hAnsi="Times New Roman"/>
          <w:sz w:val="24"/>
        </w:rPr>
        <w:t>.</w:t>
      </w:r>
      <w:r w:rsidR="00F26DBD" w:rsidRPr="00C33339">
        <w:rPr>
          <w:rFonts w:ascii="Times New Roman" w:hAnsi="Times New Roman" w:cs="Times New Roman"/>
          <w:sz w:val="24"/>
          <w:szCs w:val="24"/>
          <w:lang w:eastAsia="fr-CH"/>
        </w:rPr>
        <w:t xml:space="preserve"> </w:t>
      </w:r>
      <w:r w:rsidR="001B758A" w:rsidRPr="00C33339">
        <w:rPr>
          <w:rFonts w:ascii="Times New Roman" w:hAnsi="Times New Roman" w:cs="Times New Roman"/>
          <w:sz w:val="24"/>
          <w:szCs w:val="24"/>
          <w:lang w:eastAsia="fr-CH"/>
        </w:rPr>
        <w:t xml:space="preserve">Miller and Moyers </w:t>
      </w:r>
      <w:r w:rsidR="0081252C">
        <w:rPr>
          <w:rFonts w:ascii="Times New Roman" w:hAnsi="Times New Roman" w:cs="Times New Roman"/>
          <w:sz w:val="24"/>
          <w:szCs w:val="24"/>
          <w:lang w:eastAsia="fr-CH"/>
        </w:rPr>
        <w:t>(2015)</w:t>
      </w:r>
      <w:r w:rsidR="001B758A" w:rsidRPr="00C33339">
        <w:rPr>
          <w:rFonts w:ascii="Times New Roman" w:hAnsi="Times New Roman" w:cs="Times New Roman"/>
          <w:sz w:val="24"/>
          <w:szCs w:val="24"/>
          <w:lang w:eastAsia="fr-CH"/>
        </w:rPr>
        <w:t>, whil</w:t>
      </w:r>
      <w:r w:rsidR="007C1194" w:rsidRPr="00C33339">
        <w:rPr>
          <w:rFonts w:ascii="Times New Roman" w:hAnsi="Times New Roman" w:cs="Times New Roman"/>
          <w:sz w:val="24"/>
          <w:szCs w:val="24"/>
          <w:lang w:eastAsia="fr-CH"/>
        </w:rPr>
        <w:t>st</w:t>
      </w:r>
      <w:r w:rsidR="001B758A" w:rsidRPr="00C33339">
        <w:rPr>
          <w:rFonts w:ascii="Times New Roman" w:hAnsi="Times New Roman" w:cs="Times New Roman"/>
          <w:sz w:val="24"/>
          <w:szCs w:val="24"/>
          <w:lang w:eastAsia="fr-CH"/>
        </w:rPr>
        <w:t xml:space="preserve"> </w:t>
      </w:r>
      <w:r w:rsidR="00C11BAA" w:rsidRPr="00C33339">
        <w:rPr>
          <w:rFonts w:ascii="Times New Roman" w:hAnsi="Times New Roman" w:cs="Times New Roman"/>
          <w:sz w:val="24"/>
          <w:szCs w:val="24"/>
          <w:lang w:eastAsia="fr-CH"/>
        </w:rPr>
        <w:t xml:space="preserve">describing evidence for </w:t>
      </w:r>
      <w:r w:rsidR="001B758A" w:rsidRPr="00C33339">
        <w:rPr>
          <w:rFonts w:ascii="Times New Roman" w:hAnsi="Times New Roman" w:cs="Times New Roman"/>
          <w:sz w:val="24"/>
          <w:szCs w:val="24"/>
          <w:lang w:eastAsia="fr-CH"/>
        </w:rPr>
        <w:t xml:space="preserve">the </w:t>
      </w:r>
      <w:r w:rsidR="003963BC" w:rsidRPr="00C33339">
        <w:rPr>
          <w:rFonts w:ascii="Times New Roman" w:hAnsi="Times New Roman" w:cs="Times New Roman"/>
          <w:sz w:val="24"/>
          <w:szCs w:val="24"/>
          <w:lang w:eastAsia="fr-CH"/>
        </w:rPr>
        <w:t xml:space="preserve">large impact </w:t>
      </w:r>
      <w:r w:rsidR="001B758A" w:rsidRPr="00C33339">
        <w:rPr>
          <w:rFonts w:ascii="Times New Roman" w:hAnsi="Times New Roman" w:cs="Times New Roman"/>
          <w:sz w:val="24"/>
          <w:szCs w:val="24"/>
          <w:lang w:eastAsia="fr-CH"/>
        </w:rPr>
        <w:t xml:space="preserve">of relational factors </w:t>
      </w:r>
      <w:r w:rsidR="00C11BAA" w:rsidRPr="00C33339">
        <w:rPr>
          <w:rFonts w:ascii="Times New Roman" w:hAnsi="Times New Roman" w:cs="Times New Roman"/>
          <w:sz w:val="24"/>
          <w:szCs w:val="24"/>
          <w:lang w:eastAsia="fr-CH"/>
        </w:rPr>
        <w:t xml:space="preserve">such as empathy </w:t>
      </w:r>
      <w:r w:rsidR="003963BC" w:rsidRPr="00C33339">
        <w:rPr>
          <w:rFonts w:ascii="Times New Roman" w:hAnsi="Times New Roman" w:cs="Times New Roman"/>
          <w:sz w:val="24"/>
          <w:szCs w:val="24"/>
          <w:lang w:eastAsia="fr-CH"/>
        </w:rPr>
        <w:t>on</w:t>
      </w:r>
      <w:r w:rsidR="001B758A" w:rsidRPr="00C33339">
        <w:rPr>
          <w:rFonts w:ascii="Times New Roman" w:hAnsi="Times New Roman" w:cs="Times New Roman"/>
          <w:sz w:val="24"/>
          <w:szCs w:val="24"/>
          <w:lang w:eastAsia="fr-CH"/>
        </w:rPr>
        <w:t xml:space="preserve"> addiction treatment outcome and their importance </w:t>
      </w:r>
      <w:r w:rsidR="00916ECE" w:rsidRPr="00C33339">
        <w:rPr>
          <w:rFonts w:ascii="Times New Roman" w:hAnsi="Times New Roman" w:cs="Times New Roman"/>
          <w:sz w:val="24"/>
          <w:szCs w:val="24"/>
          <w:lang w:eastAsia="fr-CH"/>
        </w:rPr>
        <w:t xml:space="preserve">for </w:t>
      </w:r>
      <w:r w:rsidR="001B758A" w:rsidRPr="00C33339">
        <w:rPr>
          <w:rFonts w:ascii="Times New Roman" w:hAnsi="Times New Roman" w:cs="Times New Roman"/>
          <w:sz w:val="24"/>
          <w:szCs w:val="24"/>
          <w:lang w:eastAsia="fr-CH"/>
        </w:rPr>
        <w:t>research</w:t>
      </w:r>
      <w:r w:rsidR="00916ECE" w:rsidRPr="00C33339">
        <w:rPr>
          <w:rFonts w:ascii="Times New Roman" w:hAnsi="Times New Roman" w:cs="Times New Roman"/>
          <w:sz w:val="24"/>
          <w:szCs w:val="24"/>
          <w:lang w:eastAsia="fr-CH"/>
        </w:rPr>
        <w:t xml:space="preserve"> progress</w:t>
      </w:r>
      <w:r w:rsidR="001B758A" w:rsidRPr="00C33339">
        <w:rPr>
          <w:rFonts w:ascii="Times New Roman" w:hAnsi="Times New Roman" w:cs="Times New Roman"/>
          <w:sz w:val="24"/>
          <w:szCs w:val="24"/>
          <w:lang w:eastAsia="fr-CH"/>
        </w:rPr>
        <w:t>, point out that such fac</w:t>
      </w:r>
      <w:r w:rsidR="00C11BAA" w:rsidRPr="00C33339">
        <w:rPr>
          <w:rFonts w:ascii="Times New Roman" w:hAnsi="Times New Roman" w:cs="Times New Roman"/>
          <w:sz w:val="24"/>
          <w:szCs w:val="24"/>
          <w:lang w:eastAsia="fr-CH"/>
        </w:rPr>
        <w:t>t</w:t>
      </w:r>
      <w:r w:rsidR="001B758A" w:rsidRPr="00C33339">
        <w:rPr>
          <w:rFonts w:ascii="Times New Roman" w:hAnsi="Times New Roman" w:cs="Times New Roman"/>
          <w:sz w:val="24"/>
          <w:szCs w:val="24"/>
          <w:lang w:eastAsia="fr-CH"/>
        </w:rPr>
        <w:t>ors are not accurately desc</w:t>
      </w:r>
      <w:r w:rsidR="003963BC" w:rsidRPr="00C33339">
        <w:rPr>
          <w:rFonts w:ascii="Times New Roman" w:hAnsi="Times New Roman" w:cs="Times New Roman"/>
          <w:sz w:val="24"/>
          <w:szCs w:val="24"/>
          <w:lang w:eastAsia="fr-CH"/>
        </w:rPr>
        <w:t>r</w:t>
      </w:r>
      <w:r w:rsidR="001B758A" w:rsidRPr="00C33339">
        <w:rPr>
          <w:rFonts w:ascii="Times New Roman" w:hAnsi="Times New Roman" w:cs="Times New Roman"/>
          <w:sz w:val="24"/>
          <w:szCs w:val="24"/>
          <w:lang w:eastAsia="fr-CH"/>
        </w:rPr>
        <w:t xml:space="preserve">ibed as ‘common’ because </w:t>
      </w:r>
      <w:r w:rsidR="00C11BAA" w:rsidRPr="00C33339">
        <w:rPr>
          <w:rFonts w:ascii="Times New Roman" w:hAnsi="Times New Roman" w:cs="Times New Roman"/>
          <w:sz w:val="24"/>
          <w:szCs w:val="24"/>
          <w:lang w:eastAsia="fr-CH"/>
        </w:rPr>
        <w:t xml:space="preserve">they can </w:t>
      </w:r>
      <w:r w:rsidR="007C1194" w:rsidRPr="00C33339">
        <w:rPr>
          <w:rFonts w:ascii="Times New Roman" w:hAnsi="Times New Roman" w:cs="Times New Roman"/>
          <w:sz w:val="24"/>
          <w:szCs w:val="24"/>
          <w:lang w:eastAsia="fr-CH"/>
        </w:rPr>
        <w:t xml:space="preserve">and do </w:t>
      </w:r>
      <w:r w:rsidR="00C11BAA" w:rsidRPr="00C33339">
        <w:rPr>
          <w:rFonts w:ascii="Times New Roman" w:hAnsi="Times New Roman" w:cs="Times New Roman"/>
          <w:sz w:val="24"/>
          <w:szCs w:val="24"/>
          <w:lang w:eastAsia="fr-CH"/>
        </w:rPr>
        <w:t>vary substantially across therapists. Neither should they be called ‘non-specific’ because they can be clearly specified</w:t>
      </w:r>
      <w:r w:rsidR="001B444E">
        <w:rPr>
          <w:rFonts w:ascii="Times New Roman" w:hAnsi="Times New Roman" w:cs="Times New Roman"/>
          <w:sz w:val="24"/>
          <w:szCs w:val="24"/>
          <w:lang w:eastAsia="fr-CH"/>
        </w:rPr>
        <w:t>,</w:t>
      </w:r>
      <w:r w:rsidR="00C11BAA" w:rsidRPr="00C33339">
        <w:rPr>
          <w:rFonts w:ascii="Times New Roman" w:hAnsi="Times New Roman" w:cs="Times New Roman"/>
          <w:sz w:val="24"/>
          <w:szCs w:val="24"/>
          <w:lang w:eastAsia="fr-CH"/>
        </w:rPr>
        <w:t xml:space="preserve"> </w:t>
      </w:r>
      <w:r w:rsidR="007C1194" w:rsidRPr="00C33339">
        <w:rPr>
          <w:rFonts w:ascii="Times New Roman" w:hAnsi="Times New Roman" w:cs="Times New Roman"/>
          <w:sz w:val="24"/>
          <w:szCs w:val="24"/>
          <w:lang w:eastAsia="fr-CH"/>
        </w:rPr>
        <w:t>as done</w:t>
      </w:r>
      <w:r w:rsidR="00916ECE" w:rsidRPr="00C33339">
        <w:rPr>
          <w:rFonts w:ascii="Times New Roman" w:hAnsi="Times New Roman" w:cs="Times New Roman"/>
          <w:sz w:val="24"/>
          <w:szCs w:val="24"/>
          <w:lang w:eastAsia="fr-CH"/>
        </w:rPr>
        <w:t xml:space="preserve"> in </w:t>
      </w:r>
      <w:r w:rsidR="00C11BAA" w:rsidRPr="00C33339">
        <w:rPr>
          <w:rFonts w:ascii="Times New Roman" w:hAnsi="Times New Roman" w:cs="Times New Roman"/>
          <w:sz w:val="24"/>
          <w:szCs w:val="24"/>
          <w:lang w:eastAsia="fr-CH"/>
        </w:rPr>
        <w:t>the present study.</w:t>
      </w:r>
      <w:r w:rsidR="009C3334">
        <w:rPr>
          <w:rFonts w:ascii="Times New Roman" w:hAnsi="Times New Roman" w:cs="Times New Roman"/>
          <w:sz w:val="24"/>
          <w:szCs w:val="24"/>
          <w:lang w:eastAsia="fr-CH"/>
        </w:rPr>
        <w:t xml:space="preserve"> </w:t>
      </w:r>
    </w:p>
    <w:p w14:paraId="1A4DC71F" w14:textId="0D5275C2" w:rsidR="009D12BA" w:rsidRPr="00C33339" w:rsidRDefault="009D12BA" w:rsidP="009D12BA">
      <w:pPr>
        <w:rPr>
          <w:rFonts w:ascii="Times New Roman" w:hAnsi="Times New Roman" w:cs="Times New Roman"/>
          <w:sz w:val="24"/>
          <w:szCs w:val="24"/>
        </w:rPr>
      </w:pPr>
      <w:r w:rsidRPr="00C33339">
        <w:rPr>
          <w:rFonts w:ascii="Times New Roman" w:hAnsi="Times New Roman" w:cs="Times New Roman"/>
          <w:sz w:val="24"/>
          <w:szCs w:val="24"/>
          <w:lang w:eastAsia="fr-CH"/>
        </w:rPr>
        <w:t xml:space="preserve">The present findings would appear to provide support for Orford’s </w:t>
      </w:r>
      <w:r w:rsidR="00B26110">
        <w:rPr>
          <w:rFonts w:ascii="Times New Roman" w:hAnsi="Times New Roman" w:cs="Times New Roman"/>
          <w:sz w:val="24"/>
          <w:szCs w:val="24"/>
          <w:lang w:eastAsia="fr-CH"/>
        </w:rPr>
        <w:t xml:space="preserve">(2008) </w:t>
      </w:r>
      <w:r w:rsidRPr="00C33339">
        <w:rPr>
          <w:rFonts w:ascii="Times New Roman" w:hAnsi="Times New Roman" w:cs="Times New Roman"/>
          <w:sz w:val="24"/>
          <w:szCs w:val="24"/>
          <w:lang w:eastAsia="fr-CH"/>
        </w:rPr>
        <w:t xml:space="preserve">arguments about the limited value of trials comparing </w:t>
      </w:r>
      <w:r w:rsidR="001B444E">
        <w:rPr>
          <w:rFonts w:ascii="Times New Roman" w:hAnsi="Times New Roman" w:cs="Times New Roman"/>
          <w:sz w:val="24"/>
          <w:szCs w:val="24"/>
          <w:lang w:eastAsia="fr-CH"/>
        </w:rPr>
        <w:t xml:space="preserve">different </w:t>
      </w:r>
      <w:r w:rsidRPr="00C33339">
        <w:rPr>
          <w:rFonts w:ascii="Times New Roman" w:hAnsi="Times New Roman" w:cs="Times New Roman"/>
          <w:sz w:val="24"/>
          <w:szCs w:val="24"/>
          <w:lang w:eastAsia="fr-CH"/>
        </w:rPr>
        <w:t xml:space="preserve">treatments when they share important common factors. We suggest they have important implications for the future conduct of alcohol treatment trials. They call for rigorous determination of shared and unique factors within and across treatments as a necessary basis for the design of </w:t>
      </w:r>
      <w:r w:rsidR="002629BF" w:rsidRPr="00C33339">
        <w:rPr>
          <w:rFonts w:ascii="Times New Roman" w:hAnsi="Times New Roman" w:cs="Times New Roman"/>
          <w:sz w:val="24"/>
          <w:szCs w:val="24"/>
          <w:lang w:eastAsia="fr-CH"/>
        </w:rPr>
        <w:t>trials that</w:t>
      </w:r>
      <w:r w:rsidRPr="00C33339">
        <w:rPr>
          <w:rFonts w:ascii="Times New Roman" w:hAnsi="Times New Roman" w:cs="Times New Roman"/>
          <w:sz w:val="24"/>
          <w:szCs w:val="24"/>
          <w:lang w:eastAsia="fr-CH"/>
        </w:rPr>
        <w:t xml:space="preserve"> are not unwittingly biased by </w:t>
      </w:r>
      <w:r w:rsidRPr="00C61F01">
        <w:rPr>
          <w:rFonts w:ascii="Times New Roman" w:hAnsi="Times New Roman" w:cs="Times New Roman"/>
          <w:sz w:val="24"/>
          <w:szCs w:val="24"/>
          <w:lang w:eastAsia="fr-CH"/>
        </w:rPr>
        <w:t>contamination.</w:t>
      </w:r>
      <w:r w:rsidR="00BD6A58" w:rsidRPr="00C61F01">
        <w:rPr>
          <w:rFonts w:ascii="Times New Roman" w:hAnsi="Times New Roman" w:cs="Times New Roman"/>
          <w:sz w:val="24"/>
          <w:szCs w:val="24"/>
          <w:lang w:eastAsia="fr-CH"/>
        </w:rPr>
        <w:t xml:space="preserve"> In UKATT it was specifically </w:t>
      </w:r>
      <w:r w:rsidR="00BD6A58" w:rsidRPr="00C61F01">
        <w:rPr>
          <w:rFonts w:ascii="Times New Roman" w:hAnsi="Times New Roman" w:cs="Times New Roman"/>
          <w:sz w:val="24"/>
          <w:szCs w:val="24"/>
        </w:rPr>
        <w:t xml:space="preserve">required that all </w:t>
      </w:r>
      <w:r w:rsidR="00661654" w:rsidRPr="00C61F01">
        <w:rPr>
          <w:rFonts w:ascii="Times New Roman" w:hAnsi="Times New Roman" w:cs="Times New Roman"/>
          <w:sz w:val="24"/>
          <w:szCs w:val="24"/>
        </w:rPr>
        <w:t>therapists possessed</w:t>
      </w:r>
      <w:r w:rsidR="00BD6A58" w:rsidRPr="00C61F01">
        <w:rPr>
          <w:rFonts w:ascii="Times New Roman" w:hAnsi="Times New Roman" w:cs="Times New Roman"/>
          <w:sz w:val="24"/>
          <w:szCs w:val="24"/>
        </w:rPr>
        <w:t xml:space="preserve"> both basic MI skills and an ability to work with more than one person at a time, thus meaning that the present analysis concerns the ability of subsequent high quality training and supervision packages in each modality to produce differential treatment outcomes</w:t>
      </w:r>
      <w:r w:rsidR="007351FB" w:rsidRPr="00C61F01">
        <w:rPr>
          <w:rFonts w:ascii="Times New Roman" w:hAnsi="Times New Roman" w:cs="Times New Roman"/>
          <w:sz w:val="24"/>
          <w:szCs w:val="24"/>
        </w:rPr>
        <w:t>.</w:t>
      </w:r>
      <w:r w:rsidRPr="00C61F01">
        <w:rPr>
          <w:rFonts w:ascii="Times New Roman" w:hAnsi="Times New Roman" w:cs="Times New Roman"/>
          <w:sz w:val="24"/>
          <w:szCs w:val="24"/>
          <w:lang w:eastAsia="fr-CH"/>
        </w:rPr>
        <w:t xml:space="preserve"> </w:t>
      </w:r>
      <w:r w:rsidR="00C868CD" w:rsidRPr="00C61F01">
        <w:rPr>
          <w:rFonts w:ascii="Times New Roman" w:hAnsi="Times New Roman" w:cs="Times New Roman"/>
          <w:sz w:val="24"/>
          <w:szCs w:val="24"/>
          <w:lang w:eastAsia="fr-CH"/>
        </w:rPr>
        <w:t>F</w:t>
      </w:r>
      <w:r w:rsidRPr="00C61F01">
        <w:rPr>
          <w:rFonts w:ascii="Times New Roman" w:hAnsi="Times New Roman" w:cs="Times New Roman"/>
          <w:sz w:val="24"/>
          <w:szCs w:val="24"/>
          <w:lang w:eastAsia="fr-CH"/>
        </w:rPr>
        <w:t xml:space="preserve">indings also </w:t>
      </w:r>
      <w:r w:rsidR="0090652F" w:rsidRPr="00C61F01">
        <w:rPr>
          <w:rFonts w:ascii="Times New Roman" w:hAnsi="Times New Roman" w:cs="Times New Roman"/>
          <w:sz w:val="24"/>
          <w:szCs w:val="24"/>
          <w:lang w:eastAsia="fr-CH"/>
        </w:rPr>
        <w:t xml:space="preserve">indicate </w:t>
      </w:r>
      <w:r w:rsidRPr="00C61F01">
        <w:rPr>
          <w:rFonts w:ascii="Times New Roman" w:hAnsi="Times New Roman" w:cs="Times New Roman"/>
          <w:sz w:val="24"/>
          <w:szCs w:val="24"/>
          <w:lang w:eastAsia="fr-CH"/>
        </w:rPr>
        <w:t>the need for careful attention</w:t>
      </w:r>
      <w:r w:rsidRPr="00EB5F70">
        <w:rPr>
          <w:rFonts w:ascii="Times New Roman" w:hAnsi="Times New Roman" w:cs="Times New Roman"/>
          <w:sz w:val="24"/>
          <w:szCs w:val="24"/>
          <w:lang w:eastAsia="fr-CH"/>
        </w:rPr>
        <w:t xml:space="preserve"> to therapist selection with regard to pre-existing skill levels, and suggest restrictions on the experimental contrasts possible for motivational interviewing </w:t>
      </w:r>
      <w:r w:rsidR="003667F0" w:rsidRPr="00EB5F70">
        <w:rPr>
          <w:rFonts w:ascii="Times New Roman" w:hAnsi="Times New Roman" w:cs="Times New Roman"/>
          <w:sz w:val="24"/>
          <w:szCs w:val="24"/>
          <w:lang w:eastAsia="fr-CH"/>
        </w:rPr>
        <w:t xml:space="preserve">if key therapist skills in this approach are prevalent among </w:t>
      </w:r>
      <w:r w:rsidR="003667F0" w:rsidRPr="00EB5F70">
        <w:rPr>
          <w:rFonts w:ascii="Times New Roman" w:hAnsi="Times New Roman" w:cs="Times New Roman"/>
          <w:sz w:val="24"/>
          <w:szCs w:val="24"/>
          <w:lang w:eastAsia="fr-CH"/>
        </w:rPr>
        <w:lastRenderedPageBreak/>
        <w:t>candidate therapists to such an extent that they should also be expected to be present in control conditions</w:t>
      </w:r>
      <w:r w:rsidRPr="00EB5F70">
        <w:rPr>
          <w:rFonts w:ascii="Times New Roman" w:hAnsi="Times New Roman" w:cs="Times New Roman"/>
          <w:sz w:val="24"/>
          <w:szCs w:val="24"/>
          <w:lang w:eastAsia="fr-CH"/>
        </w:rPr>
        <w:t>. For example, non-inferiority hypotheses may be more amenable to testing</w:t>
      </w:r>
      <w:r w:rsidRPr="00C33339">
        <w:rPr>
          <w:rFonts w:ascii="Times New Roman" w:hAnsi="Times New Roman" w:cs="Times New Roman"/>
          <w:sz w:val="24"/>
          <w:szCs w:val="24"/>
          <w:lang w:eastAsia="fr-CH"/>
        </w:rPr>
        <w:t xml:space="preserve"> than superiority hypotheses, and dismantling designs may be needed to provide experimental evidence of component effects. In both cases, larger sample sizes are required.</w:t>
      </w:r>
    </w:p>
    <w:p w14:paraId="34DCB220" w14:textId="77777777" w:rsidR="00645A05" w:rsidRPr="00C33339" w:rsidRDefault="00645A05" w:rsidP="00645A05">
      <w:pPr>
        <w:rPr>
          <w:rFonts w:ascii="Times New Roman" w:hAnsi="Times New Roman" w:cs="Times New Roman"/>
          <w:sz w:val="24"/>
          <w:szCs w:val="24"/>
        </w:rPr>
      </w:pPr>
      <w:r w:rsidRPr="00C33339">
        <w:rPr>
          <w:rFonts w:ascii="Times New Roman" w:hAnsi="Times New Roman" w:cs="Times New Roman"/>
          <w:sz w:val="24"/>
          <w:szCs w:val="24"/>
        </w:rPr>
        <w:t xml:space="preserve">In terms of the two possible explanations discussed in the Introduction for lack of significant main effects in UKATT and the more general finding that different </w:t>
      </w:r>
      <w:r w:rsidRPr="00C33339">
        <w:rPr>
          <w:rFonts w:ascii="Times New Roman" w:hAnsi="Times New Roman" w:cs="Times New Roman"/>
          <w:i/>
          <w:sz w:val="24"/>
          <w:szCs w:val="24"/>
        </w:rPr>
        <w:t>bona fide</w:t>
      </w:r>
      <w:r w:rsidRPr="00C33339">
        <w:rPr>
          <w:rFonts w:ascii="Times New Roman" w:hAnsi="Times New Roman" w:cs="Times New Roman"/>
          <w:sz w:val="24"/>
          <w:szCs w:val="24"/>
        </w:rPr>
        <w:t xml:space="preserve"> alcohol treatments yield similar outcomes on average </w:t>
      </w:r>
      <w:r w:rsidR="00B26110">
        <w:rPr>
          <w:rFonts w:ascii="Times New Roman" w:hAnsi="Times New Roman" w:cs="Times New Roman"/>
          <w:sz w:val="24"/>
          <w:szCs w:val="24"/>
        </w:rPr>
        <w:t>(</w:t>
      </w:r>
      <w:r w:rsidR="00B26110" w:rsidRPr="001152E7">
        <w:rPr>
          <w:rFonts w:ascii="Times New Roman" w:hAnsi="Times New Roman" w:cs="Times New Roman"/>
          <w:sz w:val="24"/>
          <w:szCs w:val="24"/>
        </w:rPr>
        <w:t xml:space="preserve">Imel, Wampold, Miller, &amp; Fleming, 2008). </w:t>
      </w:r>
      <w:r w:rsidRPr="00C33339">
        <w:rPr>
          <w:rFonts w:ascii="Times New Roman" w:hAnsi="Times New Roman" w:cs="Times New Roman"/>
          <w:sz w:val="24"/>
          <w:szCs w:val="24"/>
        </w:rPr>
        <w:t>(i.e.</w:t>
      </w:r>
      <w:r w:rsidR="0090652F">
        <w:rPr>
          <w:rFonts w:ascii="Times New Roman" w:hAnsi="Times New Roman" w:cs="Times New Roman"/>
          <w:sz w:val="24"/>
          <w:szCs w:val="24"/>
        </w:rPr>
        <w:t>,</w:t>
      </w:r>
      <w:r w:rsidR="00660432" w:rsidRPr="00C33339">
        <w:rPr>
          <w:rFonts w:ascii="Times New Roman" w:hAnsi="Times New Roman" w:cs="Times New Roman"/>
          <w:sz w:val="24"/>
          <w:szCs w:val="24"/>
        </w:rPr>
        <w:t xml:space="preserve"> </w:t>
      </w:r>
      <w:r w:rsidRPr="00C33339">
        <w:rPr>
          <w:rFonts w:ascii="Times New Roman" w:hAnsi="Times New Roman" w:cs="Times New Roman"/>
          <w:sz w:val="24"/>
          <w:szCs w:val="24"/>
        </w:rPr>
        <w:t xml:space="preserve">that different treatment modalities achieve equivalent outcomes via different mechanisms of change, or that, despite theoretical divergence, different treatments achieve similar outcomes via the same mechanisms of change </w:t>
      </w:r>
      <w:r w:rsidR="00B26110">
        <w:rPr>
          <w:rFonts w:ascii="Times New Roman" w:hAnsi="Times New Roman" w:cs="Times New Roman"/>
          <w:sz w:val="24"/>
          <w:szCs w:val="24"/>
        </w:rPr>
        <w:t>(Longabaugh, 2007</w:t>
      </w:r>
      <w:r w:rsidR="00C22979">
        <w:rPr>
          <w:rFonts w:ascii="Times New Roman" w:hAnsi="Times New Roman" w:cs="Times New Roman"/>
          <w:sz w:val="24"/>
          <w:szCs w:val="24"/>
        </w:rPr>
        <w:t>; Tober, 2002</w:t>
      </w:r>
      <w:r w:rsidR="0090652F">
        <w:rPr>
          <w:rFonts w:ascii="Times New Roman" w:hAnsi="Times New Roman" w:cs="Times New Roman"/>
          <w:sz w:val="24"/>
          <w:szCs w:val="24"/>
        </w:rPr>
        <w:t>)</w:t>
      </w:r>
      <w:r w:rsidRPr="00C33339">
        <w:rPr>
          <w:rFonts w:ascii="Times New Roman" w:hAnsi="Times New Roman" w:cs="Times New Roman"/>
          <w:sz w:val="24"/>
          <w:szCs w:val="24"/>
        </w:rPr>
        <w:t>,</w:t>
      </w:r>
      <w:r w:rsidR="009C3334">
        <w:rPr>
          <w:rFonts w:ascii="Times New Roman" w:hAnsi="Times New Roman" w:cs="Times New Roman"/>
          <w:sz w:val="24"/>
          <w:szCs w:val="24"/>
        </w:rPr>
        <w:t xml:space="preserve"> </w:t>
      </w:r>
      <w:r w:rsidRPr="00C33339">
        <w:rPr>
          <w:rFonts w:ascii="Times New Roman" w:hAnsi="Times New Roman" w:cs="Times New Roman"/>
          <w:sz w:val="24"/>
          <w:szCs w:val="24"/>
        </w:rPr>
        <w:t>our findings offer some support to the second explanation. They can also be seen as explaining, in part at least, the failure to confirm the general matching hypothesis that careful client-treatment matching improves overall effectiveness of treatment for alcohol problems</w:t>
      </w:r>
      <w:r w:rsidR="00B26110">
        <w:rPr>
          <w:rFonts w:ascii="Times New Roman" w:hAnsi="Times New Roman" w:cs="Times New Roman"/>
          <w:sz w:val="24"/>
          <w:szCs w:val="24"/>
        </w:rPr>
        <w:t xml:space="preserve"> (Babor &amp; Del Boca, 2003; Project MA</w:t>
      </w:r>
      <w:r w:rsidR="00C759B7">
        <w:rPr>
          <w:rFonts w:ascii="Times New Roman" w:hAnsi="Times New Roman" w:cs="Times New Roman"/>
          <w:sz w:val="24"/>
          <w:szCs w:val="24"/>
        </w:rPr>
        <w:t>T</w:t>
      </w:r>
      <w:r w:rsidR="00B26110">
        <w:rPr>
          <w:rFonts w:ascii="Times New Roman" w:hAnsi="Times New Roman" w:cs="Times New Roman"/>
          <w:sz w:val="24"/>
          <w:szCs w:val="24"/>
        </w:rPr>
        <w:t>CH Research Group, 1997, 1998; UKATT Research Team, 2008)</w:t>
      </w:r>
      <w:r w:rsidRPr="00C33339">
        <w:rPr>
          <w:rFonts w:ascii="Times New Roman" w:hAnsi="Times New Roman" w:cs="Times New Roman"/>
          <w:sz w:val="24"/>
          <w:szCs w:val="24"/>
        </w:rPr>
        <w:t>.</w:t>
      </w:r>
      <w:r w:rsidR="009C3334">
        <w:rPr>
          <w:rFonts w:ascii="Times New Roman" w:hAnsi="Times New Roman" w:cs="Times New Roman"/>
          <w:sz w:val="24"/>
          <w:szCs w:val="24"/>
        </w:rPr>
        <w:t xml:space="preserve"> </w:t>
      </w:r>
      <w:r w:rsidRPr="00C33339">
        <w:rPr>
          <w:rFonts w:ascii="Times New Roman" w:hAnsi="Times New Roman" w:cs="Times New Roman"/>
          <w:sz w:val="24"/>
          <w:szCs w:val="24"/>
        </w:rPr>
        <w:t xml:space="preserve">Met-q was not, however, a mediator of MET outcomes. We suggest that further studies could disaggregate met-q and address the contribution of </w:t>
      </w:r>
      <w:r w:rsidR="0090652F">
        <w:rPr>
          <w:rFonts w:ascii="Times New Roman" w:hAnsi="Times New Roman" w:cs="Times New Roman"/>
          <w:sz w:val="24"/>
          <w:szCs w:val="24"/>
        </w:rPr>
        <w:t xml:space="preserve">its </w:t>
      </w:r>
      <w:r w:rsidRPr="00C33339">
        <w:rPr>
          <w:rFonts w:ascii="Times New Roman" w:hAnsi="Times New Roman" w:cs="Times New Roman"/>
          <w:sz w:val="24"/>
          <w:szCs w:val="24"/>
        </w:rPr>
        <w:t>components to outcomes. This could be done, for example, by using a control group design allowing any one hypothesi</w:t>
      </w:r>
      <w:r w:rsidR="0090652F">
        <w:rPr>
          <w:rFonts w:ascii="Times New Roman" w:hAnsi="Times New Roman" w:cs="Times New Roman"/>
          <w:sz w:val="24"/>
          <w:szCs w:val="24"/>
        </w:rPr>
        <w:t>z</w:t>
      </w:r>
      <w:r w:rsidRPr="00C33339">
        <w:rPr>
          <w:rFonts w:ascii="Times New Roman" w:hAnsi="Times New Roman" w:cs="Times New Roman"/>
          <w:sz w:val="24"/>
          <w:szCs w:val="24"/>
        </w:rPr>
        <w:t xml:space="preserve">ed mediator to be experimentally manipulated </w:t>
      </w:r>
      <w:r w:rsidR="00256297">
        <w:rPr>
          <w:rFonts w:ascii="Times New Roman" w:hAnsi="Times New Roman" w:cs="Times New Roman"/>
          <w:sz w:val="24"/>
          <w:szCs w:val="24"/>
        </w:rPr>
        <w:t>(</w:t>
      </w:r>
      <w:r w:rsidR="00E846DA">
        <w:rPr>
          <w:rFonts w:ascii="Times New Roman" w:hAnsi="Times New Roman" w:cs="Times New Roman"/>
          <w:sz w:val="24"/>
          <w:szCs w:val="24"/>
        </w:rPr>
        <w:t xml:space="preserve">Longabaugh et al., 2013, </w:t>
      </w:r>
      <w:r w:rsidRPr="00C33339">
        <w:rPr>
          <w:rFonts w:ascii="Times New Roman" w:hAnsi="Times New Roman" w:cs="Times New Roman"/>
          <w:sz w:val="24"/>
          <w:szCs w:val="24"/>
        </w:rPr>
        <w:t>pp.579-</w:t>
      </w:r>
      <w:r w:rsidR="00C759B7">
        <w:rPr>
          <w:rFonts w:ascii="Times New Roman" w:hAnsi="Times New Roman" w:cs="Times New Roman"/>
          <w:sz w:val="24"/>
          <w:szCs w:val="24"/>
        </w:rPr>
        <w:t>5</w:t>
      </w:r>
      <w:r w:rsidRPr="00C33339">
        <w:rPr>
          <w:rFonts w:ascii="Times New Roman" w:hAnsi="Times New Roman" w:cs="Times New Roman"/>
          <w:sz w:val="24"/>
          <w:szCs w:val="24"/>
        </w:rPr>
        <w:t>80</w:t>
      </w:r>
      <w:r w:rsidR="00256297">
        <w:rPr>
          <w:rFonts w:ascii="Times New Roman" w:hAnsi="Times New Roman" w:cs="Times New Roman"/>
          <w:sz w:val="24"/>
          <w:szCs w:val="24"/>
        </w:rPr>
        <w:t>)</w:t>
      </w:r>
      <w:r w:rsidRPr="00C33339">
        <w:rPr>
          <w:rFonts w:ascii="Times New Roman" w:hAnsi="Times New Roman" w:cs="Times New Roman"/>
          <w:sz w:val="24"/>
          <w:szCs w:val="24"/>
        </w:rPr>
        <w:t>.</w:t>
      </w:r>
      <w:r w:rsidR="009C3334">
        <w:rPr>
          <w:rFonts w:ascii="Times New Roman" w:hAnsi="Times New Roman" w:cs="Times New Roman"/>
          <w:sz w:val="24"/>
          <w:szCs w:val="24"/>
        </w:rPr>
        <w:t xml:space="preserve"> </w:t>
      </w:r>
      <w:r w:rsidRPr="00C33339">
        <w:rPr>
          <w:rFonts w:ascii="Times New Roman" w:hAnsi="Times New Roman" w:cs="Times New Roman"/>
          <w:sz w:val="24"/>
          <w:szCs w:val="24"/>
        </w:rPr>
        <w:t xml:space="preserve"> </w:t>
      </w:r>
    </w:p>
    <w:p w14:paraId="11AA4281" w14:textId="77777777" w:rsidR="000C6914" w:rsidRPr="00C33339" w:rsidRDefault="00916ECE" w:rsidP="000C6914">
      <w:pPr>
        <w:rPr>
          <w:rFonts w:ascii="Times New Roman" w:hAnsi="Times New Roman" w:cs="Times New Roman"/>
          <w:sz w:val="24"/>
          <w:szCs w:val="24"/>
          <w:lang w:eastAsia="fr-CH"/>
        </w:rPr>
      </w:pPr>
      <w:r w:rsidRPr="00C33339">
        <w:rPr>
          <w:rFonts w:ascii="Times New Roman" w:hAnsi="Times New Roman" w:cs="Times New Roman"/>
          <w:sz w:val="24"/>
          <w:szCs w:val="24"/>
          <w:lang w:eastAsia="fr-CH"/>
        </w:rPr>
        <w:t xml:space="preserve">The present findings are consistent </w:t>
      </w:r>
      <w:r w:rsidR="00EA13C2" w:rsidRPr="00C33339">
        <w:rPr>
          <w:rFonts w:ascii="Times New Roman" w:hAnsi="Times New Roman" w:cs="Times New Roman"/>
          <w:sz w:val="24"/>
          <w:szCs w:val="24"/>
          <w:lang w:eastAsia="fr-CH"/>
        </w:rPr>
        <w:t xml:space="preserve">with </w:t>
      </w:r>
      <w:r w:rsidR="00334206" w:rsidRPr="00C33339">
        <w:rPr>
          <w:rFonts w:ascii="Times New Roman" w:hAnsi="Times New Roman" w:cs="Times New Roman"/>
          <w:sz w:val="24"/>
          <w:szCs w:val="24"/>
        </w:rPr>
        <w:t xml:space="preserve">evidence that </w:t>
      </w:r>
      <w:r w:rsidR="0088118B" w:rsidRPr="00C33339">
        <w:rPr>
          <w:rFonts w:ascii="Times New Roman" w:hAnsi="Times New Roman" w:cs="Times New Roman"/>
          <w:sz w:val="24"/>
          <w:szCs w:val="24"/>
        </w:rPr>
        <w:t>t</w:t>
      </w:r>
      <w:r w:rsidR="00A603A4" w:rsidRPr="00C33339">
        <w:rPr>
          <w:rFonts w:ascii="Times New Roman" w:hAnsi="Times New Roman" w:cs="Times New Roman"/>
          <w:sz w:val="24"/>
          <w:szCs w:val="24"/>
        </w:rPr>
        <w:t xml:space="preserve">herapist interpersonal skills are associated with better treatment outcomes </w:t>
      </w:r>
      <w:r w:rsidR="00C759B7">
        <w:rPr>
          <w:rFonts w:ascii="Times New Roman" w:hAnsi="Times New Roman" w:cs="Times New Roman"/>
          <w:sz w:val="24"/>
          <w:szCs w:val="24"/>
        </w:rPr>
        <w:t>(Miller &amp; Moyers, 2015)</w:t>
      </w:r>
      <w:r w:rsidR="002076A2" w:rsidRPr="00C33339">
        <w:rPr>
          <w:rFonts w:ascii="Times New Roman" w:hAnsi="Times New Roman" w:cs="Times New Roman"/>
          <w:sz w:val="24"/>
          <w:szCs w:val="24"/>
        </w:rPr>
        <w:t>, and it should be noted in this regard that met-q is specifically a measure of the quality of motivational interviewing skills evidenced in delivery</w:t>
      </w:r>
      <w:r w:rsidR="00A603A4" w:rsidRPr="00C33339">
        <w:rPr>
          <w:rFonts w:ascii="Times New Roman" w:hAnsi="Times New Roman" w:cs="Times New Roman"/>
          <w:sz w:val="24"/>
          <w:szCs w:val="24"/>
        </w:rPr>
        <w:t xml:space="preserve">. </w:t>
      </w:r>
      <w:r w:rsidR="002076A2" w:rsidRPr="00C33339">
        <w:rPr>
          <w:rFonts w:ascii="Times New Roman" w:hAnsi="Times New Roman" w:cs="Times New Roman"/>
          <w:sz w:val="24"/>
          <w:szCs w:val="24"/>
        </w:rPr>
        <w:t>T</w:t>
      </w:r>
      <w:r w:rsidR="00A603A4" w:rsidRPr="00C33339">
        <w:rPr>
          <w:rFonts w:ascii="Times New Roman" w:hAnsi="Times New Roman" w:cs="Times New Roman"/>
          <w:sz w:val="24"/>
          <w:szCs w:val="24"/>
        </w:rPr>
        <w:t xml:space="preserve">herapist empathy predicts </w:t>
      </w:r>
      <w:r w:rsidR="00FA1EB7" w:rsidRPr="00C33339">
        <w:rPr>
          <w:rFonts w:ascii="Times New Roman" w:hAnsi="Times New Roman" w:cs="Times New Roman"/>
          <w:sz w:val="24"/>
          <w:szCs w:val="24"/>
        </w:rPr>
        <w:t xml:space="preserve">reduced </w:t>
      </w:r>
      <w:r w:rsidR="00A603A4" w:rsidRPr="00C33339">
        <w:rPr>
          <w:rFonts w:ascii="Times New Roman" w:hAnsi="Times New Roman" w:cs="Times New Roman"/>
          <w:sz w:val="24"/>
          <w:szCs w:val="24"/>
        </w:rPr>
        <w:t xml:space="preserve">drinking across a wide </w:t>
      </w:r>
      <w:r w:rsidR="00FA1EB7" w:rsidRPr="00C33339">
        <w:rPr>
          <w:rFonts w:ascii="Times New Roman" w:hAnsi="Times New Roman" w:cs="Times New Roman"/>
          <w:sz w:val="24"/>
          <w:szCs w:val="24"/>
        </w:rPr>
        <w:t xml:space="preserve">range </w:t>
      </w:r>
      <w:r w:rsidR="00A603A4" w:rsidRPr="00C33339">
        <w:rPr>
          <w:rFonts w:ascii="Times New Roman" w:hAnsi="Times New Roman" w:cs="Times New Roman"/>
          <w:sz w:val="24"/>
          <w:szCs w:val="24"/>
        </w:rPr>
        <w:t xml:space="preserve">of clients and settings </w:t>
      </w:r>
      <w:r w:rsidR="0055748A">
        <w:rPr>
          <w:rFonts w:ascii="Times New Roman" w:hAnsi="Times New Roman" w:cs="Times New Roman"/>
          <w:sz w:val="24"/>
          <w:szCs w:val="24"/>
        </w:rPr>
        <w:t>(Miller &amp; Baca, 1983; Miller, Taylor &amp; West, 1980; Moyers &amp; Miller, 2013)</w:t>
      </w:r>
      <w:r w:rsidR="0039343C">
        <w:rPr>
          <w:rFonts w:ascii="Times New Roman" w:hAnsi="Times New Roman" w:cs="Times New Roman"/>
          <w:sz w:val="24"/>
          <w:szCs w:val="24"/>
        </w:rPr>
        <w:t>.</w:t>
      </w:r>
      <w:r w:rsidR="00731998" w:rsidRPr="00731998">
        <w:rPr>
          <w:rFonts w:ascii="Times New Roman" w:hAnsi="Times New Roman" w:cs="Times New Roman"/>
          <w:sz w:val="24"/>
          <w:szCs w:val="24"/>
        </w:rPr>
        <w:t xml:space="preserve"> </w:t>
      </w:r>
      <w:r w:rsidR="00F366DD">
        <w:rPr>
          <w:rFonts w:ascii="Times New Roman" w:hAnsi="Times New Roman" w:cs="Times New Roman"/>
          <w:sz w:val="24"/>
          <w:szCs w:val="24"/>
        </w:rPr>
        <w:t>A r</w:t>
      </w:r>
      <w:r w:rsidR="00731998">
        <w:rPr>
          <w:rFonts w:ascii="Times New Roman" w:hAnsi="Times New Roman" w:cs="Times New Roman"/>
          <w:sz w:val="24"/>
          <w:szCs w:val="24"/>
        </w:rPr>
        <w:t xml:space="preserve">ecent </w:t>
      </w:r>
      <w:r w:rsidR="00F366DD">
        <w:rPr>
          <w:rFonts w:ascii="Times New Roman" w:hAnsi="Times New Roman" w:cs="Times New Roman"/>
          <w:sz w:val="24"/>
          <w:szCs w:val="24"/>
        </w:rPr>
        <w:t xml:space="preserve">process </w:t>
      </w:r>
      <w:r w:rsidR="00731998">
        <w:rPr>
          <w:rFonts w:ascii="Times New Roman" w:hAnsi="Times New Roman" w:cs="Times New Roman"/>
          <w:sz w:val="24"/>
          <w:szCs w:val="24"/>
        </w:rPr>
        <w:t>stud</w:t>
      </w:r>
      <w:r w:rsidR="00F366DD">
        <w:rPr>
          <w:rFonts w:ascii="Times New Roman" w:hAnsi="Times New Roman" w:cs="Times New Roman"/>
          <w:sz w:val="24"/>
          <w:szCs w:val="24"/>
        </w:rPr>
        <w:t>y</w:t>
      </w:r>
      <w:r w:rsidR="00731998">
        <w:rPr>
          <w:rFonts w:ascii="Times New Roman" w:hAnsi="Times New Roman" w:cs="Times New Roman"/>
          <w:sz w:val="24"/>
          <w:szCs w:val="24"/>
        </w:rPr>
        <w:t xml:space="preserve"> o</w:t>
      </w:r>
      <w:r w:rsidR="00F366DD">
        <w:rPr>
          <w:rFonts w:ascii="Times New Roman" w:hAnsi="Times New Roman" w:cs="Times New Roman"/>
          <w:sz w:val="24"/>
          <w:szCs w:val="24"/>
        </w:rPr>
        <w:t>f</w:t>
      </w:r>
      <w:r w:rsidR="00731998">
        <w:rPr>
          <w:rFonts w:ascii="Times New Roman" w:hAnsi="Times New Roman" w:cs="Times New Roman"/>
          <w:sz w:val="24"/>
          <w:szCs w:val="24"/>
        </w:rPr>
        <w:t xml:space="preserve"> brief MI </w:t>
      </w:r>
      <w:r w:rsidR="00F366DD">
        <w:rPr>
          <w:rFonts w:ascii="Times New Roman" w:hAnsi="Times New Roman" w:cs="Times New Roman"/>
          <w:sz w:val="24"/>
          <w:szCs w:val="24"/>
        </w:rPr>
        <w:t>intervention has</w:t>
      </w:r>
      <w:r w:rsidR="00731998">
        <w:rPr>
          <w:rFonts w:ascii="Times New Roman" w:hAnsi="Times New Roman" w:cs="Times New Roman"/>
          <w:sz w:val="24"/>
          <w:szCs w:val="24"/>
        </w:rPr>
        <w:t xml:space="preserve"> show</w:t>
      </w:r>
      <w:r w:rsidR="00F366DD">
        <w:rPr>
          <w:rFonts w:ascii="Times New Roman" w:hAnsi="Times New Roman" w:cs="Times New Roman"/>
          <w:sz w:val="24"/>
          <w:szCs w:val="24"/>
        </w:rPr>
        <w:t>n</w:t>
      </w:r>
      <w:r w:rsidR="00731998">
        <w:rPr>
          <w:rFonts w:ascii="Times New Roman" w:hAnsi="Times New Roman" w:cs="Times New Roman"/>
          <w:sz w:val="24"/>
          <w:szCs w:val="24"/>
        </w:rPr>
        <w:t xml:space="preserve"> that counselors </w:t>
      </w:r>
      <w:r w:rsidR="00731998" w:rsidRPr="0039343C">
        <w:rPr>
          <w:rFonts w:ascii="Times New Roman" w:hAnsi="Times New Roman" w:cs="Times New Roman"/>
          <w:sz w:val="24"/>
          <w:szCs w:val="24"/>
          <w:lang w:eastAsia="fr-CH"/>
        </w:rPr>
        <w:t>that were more experienced</w:t>
      </w:r>
      <w:r w:rsidR="00731998">
        <w:rPr>
          <w:rFonts w:ascii="Times New Roman" w:hAnsi="Times New Roman" w:cs="Times New Roman"/>
          <w:sz w:val="24"/>
          <w:szCs w:val="24"/>
          <w:lang w:eastAsia="fr-CH"/>
        </w:rPr>
        <w:t xml:space="preserve"> and</w:t>
      </w:r>
      <w:r w:rsidR="00731998" w:rsidRPr="0039343C">
        <w:rPr>
          <w:rFonts w:ascii="Times New Roman" w:hAnsi="Times New Roman" w:cs="Times New Roman"/>
          <w:sz w:val="24"/>
          <w:szCs w:val="24"/>
          <w:lang w:eastAsia="fr-CH"/>
        </w:rPr>
        <w:t xml:space="preserve"> had higher MI</w:t>
      </w:r>
      <w:r w:rsidR="0090652F">
        <w:rPr>
          <w:rFonts w:ascii="Times New Roman" w:hAnsi="Times New Roman" w:cs="Times New Roman"/>
          <w:sz w:val="24"/>
          <w:szCs w:val="24"/>
          <w:lang w:eastAsia="fr-CH"/>
        </w:rPr>
        <w:t>-</w:t>
      </w:r>
      <w:r w:rsidR="00731998" w:rsidRPr="0039343C">
        <w:rPr>
          <w:rFonts w:ascii="Times New Roman" w:hAnsi="Times New Roman" w:cs="Times New Roman"/>
          <w:sz w:val="24"/>
          <w:szCs w:val="24"/>
          <w:lang w:eastAsia="fr-CH"/>
        </w:rPr>
        <w:t xml:space="preserve"> </w:t>
      </w:r>
      <w:r w:rsidR="00731998">
        <w:rPr>
          <w:rFonts w:ascii="Times New Roman" w:hAnsi="Times New Roman" w:cs="Times New Roman"/>
          <w:sz w:val="24"/>
          <w:szCs w:val="24"/>
          <w:lang w:eastAsia="fr-CH"/>
        </w:rPr>
        <w:t xml:space="preserve">relational </w:t>
      </w:r>
      <w:r w:rsidR="00731998" w:rsidRPr="0039343C">
        <w:rPr>
          <w:rFonts w:ascii="Times New Roman" w:hAnsi="Times New Roman" w:cs="Times New Roman"/>
          <w:sz w:val="24"/>
          <w:szCs w:val="24"/>
          <w:lang w:eastAsia="fr-CH"/>
        </w:rPr>
        <w:t>skills</w:t>
      </w:r>
      <w:r w:rsidR="00F366DD">
        <w:rPr>
          <w:rFonts w:ascii="Times New Roman" w:hAnsi="Times New Roman" w:cs="Times New Roman"/>
          <w:sz w:val="24"/>
          <w:szCs w:val="24"/>
          <w:lang w:eastAsia="fr-CH"/>
        </w:rPr>
        <w:t>,</w:t>
      </w:r>
      <w:r w:rsidR="00731998" w:rsidRPr="0039343C">
        <w:rPr>
          <w:rFonts w:ascii="Times New Roman" w:hAnsi="Times New Roman" w:cs="Times New Roman"/>
          <w:sz w:val="24"/>
          <w:szCs w:val="24"/>
          <w:lang w:eastAsia="fr-CH"/>
        </w:rPr>
        <w:t xml:space="preserve"> had significantly</w:t>
      </w:r>
      <w:r w:rsidR="00731998">
        <w:rPr>
          <w:rFonts w:ascii="Times New Roman" w:hAnsi="Times New Roman" w:cs="Times New Roman"/>
          <w:sz w:val="24"/>
          <w:szCs w:val="24"/>
          <w:lang w:eastAsia="fr-CH"/>
        </w:rPr>
        <w:t xml:space="preserve"> </w:t>
      </w:r>
      <w:r w:rsidR="00731998" w:rsidRPr="0039343C">
        <w:rPr>
          <w:rFonts w:ascii="Times New Roman" w:hAnsi="Times New Roman" w:cs="Times New Roman"/>
          <w:sz w:val="24"/>
          <w:szCs w:val="24"/>
          <w:lang w:eastAsia="fr-CH"/>
        </w:rPr>
        <w:t>better outcomes</w:t>
      </w:r>
      <w:r w:rsidR="00256297">
        <w:rPr>
          <w:rFonts w:ascii="Times New Roman" w:hAnsi="Times New Roman" w:cs="Times New Roman"/>
          <w:sz w:val="24"/>
          <w:szCs w:val="24"/>
          <w:lang w:eastAsia="fr-CH"/>
        </w:rPr>
        <w:t xml:space="preserve"> </w:t>
      </w:r>
      <w:r w:rsidR="00256297">
        <w:rPr>
          <w:rFonts w:ascii="Times New Roman" w:hAnsi="Times New Roman" w:cs="Times New Roman"/>
          <w:sz w:val="24"/>
          <w:szCs w:val="24"/>
          <w:lang w:eastAsia="fr-CH"/>
        </w:rPr>
        <w:lastRenderedPageBreak/>
        <w:t>(Gaume</w:t>
      </w:r>
      <w:r w:rsidR="00203B58">
        <w:rPr>
          <w:rFonts w:ascii="Times New Roman" w:hAnsi="Times New Roman" w:cs="Times New Roman"/>
          <w:sz w:val="24"/>
          <w:szCs w:val="24"/>
          <w:lang w:eastAsia="fr-CH"/>
        </w:rPr>
        <w:t xml:space="preserve"> et al., 2014)</w:t>
      </w:r>
      <w:r w:rsidR="00731998" w:rsidRPr="0039343C">
        <w:rPr>
          <w:rFonts w:ascii="Times New Roman" w:hAnsi="Times New Roman" w:cs="Times New Roman"/>
          <w:sz w:val="24"/>
          <w:szCs w:val="24"/>
          <w:lang w:eastAsia="fr-CH"/>
        </w:rPr>
        <w:t>.</w:t>
      </w:r>
      <w:r w:rsidR="00731998">
        <w:rPr>
          <w:rFonts w:ascii="Times New Roman" w:hAnsi="Times New Roman" w:cs="Times New Roman"/>
          <w:sz w:val="24"/>
          <w:szCs w:val="24"/>
          <w:lang w:eastAsia="fr-CH"/>
        </w:rPr>
        <w:t xml:space="preserve"> Data from th</w:t>
      </w:r>
      <w:r w:rsidR="00F366DD">
        <w:rPr>
          <w:rFonts w:ascii="Times New Roman" w:hAnsi="Times New Roman" w:cs="Times New Roman"/>
          <w:sz w:val="24"/>
          <w:szCs w:val="24"/>
          <w:lang w:eastAsia="fr-CH"/>
        </w:rPr>
        <w:t>is</w:t>
      </w:r>
      <w:r w:rsidR="00731998">
        <w:rPr>
          <w:rFonts w:ascii="Times New Roman" w:hAnsi="Times New Roman" w:cs="Times New Roman"/>
          <w:sz w:val="24"/>
          <w:szCs w:val="24"/>
          <w:lang w:eastAsia="fr-CH"/>
        </w:rPr>
        <w:t xml:space="preserve"> same study also demonstrate</w:t>
      </w:r>
      <w:r w:rsidR="00F366DD">
        <w:rPr>
          <w:rFonts w:ascii="Times New Roman" w:hAnsi="Times New Roman" w:cs="Times New Roman"/>
          <w:sz w:val="24"/>
          <w:szCs w:val="24"/>
          <w:lang w:eastAsia="fr-CH"/>
        </w:rPr>
        <w:t>d</w:t>
      </w:r>
      <w:r w:rsidR="00731998">
        <w:rPr>
          <w:rFonts w:ascii="Times New Roman" w:hAnsi="Times New Roman" w:cs="Times New Roman"/>
          <w:sz w:val="24"/>
          <w:szCs w:val="24"/>
          <w:lang w:eastAsia="fr-CH"/>
        </w:rPr>
        <w:t xml:space="preserve"> that </w:t>
      </w:r>
      <w:r w:rsidR="00F366DD">
        <w:rPr>
          <w:rFonts w:ascii="Times New Roman" w:hAnsi="Times New Roman" w:cs="Times New Roman"/>
          <w:sz w:val="24"/>
          <w:szCs w:val="24"/>
          <w:lang w:eastAsia="fr-CH"/>
        </w:rPr>
        <w:t>a key</w:t>
      </w:r>
      <w:r w:rsidR="00731998">
        <w:rPr>
          <w:rFonts w:ascii="Times New Roman" w:hAnsi="Times New Roman" w:cs="Times New Roman"/>
          <w:sz w:val="24"/>
          <w:szCs w:val="24"/>
          <w:lang w:eastAsia="fr-CH"/>
        </w:rPr>
        <w:t xml:space="preserve"> </w:t>
      </w:r>
      <w:r w:rsidR="00731998" w:rsidRPr="0039343C">
        <w:rPr>
          <w:rFonts w:ascii="Times New Roman" w:hAnsi="Times New Roman" w:cs="Times New Roman"/>
          <w:sz w:val="24"/>
          <w:szCs w:val="24"/>
          <w:lang w:eastAsia="fr-CH"/>
        </w:rPr>
        <w:t xml:space="preserve">mechanism hypothesized by MI theory </w:t>
      </w:r>
      <w:r w:rsidR="00731998">
        <w:rPr>
          <w:rFonts w:ascii="Times New Roman" w:hAnsi="Times New Roman" w:cs="Times New Roman"/>
          <w:sz w:val="24"/>
          <w:szCs w:val="24"/>
          <w:lang w:eastAsia="fr-CH"/>
        </w:rPr>
        <w:t xml:space="preserve">(i.e. strength of change talk) </w:t>
      </w:r>
      <w:r w:rsidR="00731998" w:rsidRPr="0039343C">
        <w:rPr>
          <w:rFonts w:ascii="Times New Roman" w:hAnsi="Times New Roman" w:cs="Times New Roman"/>
          <w:sz w:val="24"/>
          <w:szCs w:val="24"/>
          <w:lang w:eastAsia="fr-CH"/>
        </w:rPr>
        <w:t xml:space="preserve">was operative only </w:t>
      </w:r>
      <w:r w:rsidR="00731998">
        <w:rPr>
          <w:rFonts w:ascii="Times New Roman" w:hAnsi="Times New Roman" w:cs="Times New Roman"/>
          <w:sz w:val="24"/>
          <w:szCs w:val="24"/>
          <w:lang w:eastAsia="fr-CH"/>
        </w:rPr>
        <w:t xml:space="preserve">when counselors were experienced in MI, </w:t>
      </w:r>
      <w:r w:rsidR="00731998" w:rsidRPr="0039343C">
        <w:rPr>
          <w:rFonts w:ascii="Times New Roman" w:hAnsi="Times New Roman" w:cs="Times New Roman"/>
          <w:sz w:val="24"/>
          <w:szCs w:val="24"/>
          <w:lang w:eastAsia="fr-CH"/>
        </w:rPr>
        <w:t>suggest</w:t>
      </w:r>
      <w:r w:rsidR="00731998">
        <w:rPr>
          <w:rFonts w:ascii="Times New Roman" w:hAnsi="Times New Roman" w:cs="Times New Roman"/>
          <w:sz w:val="24"/>
          <w:szCs w:val="24"/>
          <w:lang w:eastAsia="fr-CH"/>
        </w:rPr>
        <w:t xml:space="preserve">ing </w:t>
      </w:r>
      <w:r w:rsidR="00731998" w:rsidRPr="0039343C">
        <w:rPr>
          <w:rFonts w:ascii="Times New Roman" w:hAnsi="Times New Roman" w:cs="Times New Roman"/>
          <w:sz w:val="24"/>
          <w:szCs w:val="24"/>
          <w:lang w:eastAsia="fr-CH"/>
        </w:rPr>
        <w:t>th</w:t>
      </w:r>
      <w:r w:rsidR="00F366DD">
        <w:rPr>
          <w:rFonts w:ascii="Times New Roman" w:hAnsi="Times New Roman" w:cs="Times New Roman"/>
          <w:sz w:val="24"/>
          <w:szCs w:val="24"/>
          <w:lang w:eastAsia="fr-CH"/>
        </w:rPr>
        <w:t xml:space="preserve">e </w:t>
      </w:r>
      <w:r w:rsidR="00F366DD" w:rsidRPr="00EB5F70">
        <w:rPr>
          <w:rFonts w:ascii="Times New Roman" w:hAnsi="Times New Roman" w:cs="Times New Roman"/>
          <w:sz w:val="24"/>
          <w:szCs w:val="24"/>
          <w:lang w:eastAsia="fr-CH"/>
        </w:rPr>
        <w:t>importance of</w:t>
      </w:r>
      <w:r w:rsidR="00731998" w:rsidRPr="00EB5F70">
        <w:rPr>
          <w:rFonts w:ascii="Times New Roman" w:hAnsi="Times New Roman" w:cs="Times New Roman"/>
          <w:sz w:val="24"/>
          <w:szCs w:val="24"/>
          <w:lang w:eastAsia="fr-CH"/>
        </w:rPr>
        <w:t xml:space="preserve"> therapist selection, training, and supervision</w:t>
      </w:r>
      <w:r w:rsidR="00203B58" w:rsidRPr="00EB5F70">
        <w:rPr>
          <w:rFonts w:ascii="Times New Roman" w:hAnsi="Times New Roman" w:cs="Times New Roman"/>
          <w:sz w:val="24"/>
          <w:szCs w:val="24"/>
          <w:lang w:eastAsia="fr-CH"/>
        </w:rPr>
        <w:t xml:space="preserve"> (Gaume et al., 2016)</w:t>
      </w:r>
      <w:r w:rsidR="00731998" w:rsidRPr="00EB5F70">
        <w:rPr>
          <w:rFonts w:ascii="Times New Roman" w:hAnsi="Times New Roman" w:cs="Times New Roman"/>
          <w:sz w:val="24"/>
          <w:szCs w:val="24"/>
          <w:lang w:eastAsia="fr-CH"/>
        </w:rPr>
        <w:t>.</w:t>
      </w:r>
      <w:r w:rsidR="006E102B" w:rsidRPr="00EB5F70">
        <w:rPr>
          <w:rFonts w:ascii="Times New Roman" w:hAnsi="Times New Roman" w:cs="Times New Roman"/>
          <w:sz w:val="24"/>
          <w:szCs w:val="24"/>
          <w:lang w:eastAsia="fr-CH"/>
        </w:rPr>
        <w:t xml:space="preserve"> </w:t>
      </w:r>
      <w:r w:rsidR="00110C8A" w:rsidRPr="00EB5F70">
        <w:rPr>
          <w:rFonts w:ascii="Times New Roman" w:hAnsi="Times New Roman" w:cs="Times New Roman"/>
          <w:sz w:val="24"/>
          <w:szCs w:val="24"/>
          <w:lang w:eastAsia="fr-CH"/>
        </w:rPr>
        <w:t xml:space="preserve">In the present </w:t>
      </w:r>
      <w:r w:rsidR="00C868CD" w:rsidRPr="00EB5F70">
        <w:rPr>
          <w:rFonts w:ascii="Times New Roman" w:hAnsi="Times New Roman" w:cs="Times New Roman"/>
          <w:sz w:val="24"/>
          <w:szCs w:val="24"/>
          <w:lang w:eastAsia="fr-CH"/>
        </w:rPr>
        <w:t xml:space="preserve">analysis </w:t>
      </w:r>
      <w:r w:rsidR="00110C8A" w:rsidRPr="00EB5F70">
        <w:rPr>
          <w:rFonts w:ascii="Times New Roman" w:hAnsi="Times New Roman" w:cs="Times New Roman"/>
          <w:sz w:val="24"/>
          <w:szCs w:val="24"/>
          <w:lang w:eastAsia="fr-CH"/>
        </w:rPr>
        <w:t>it is also interesting that MCA dimension 2, which was associated with treatment outcomes, describes therapist behaviors more likely to evoke change talk</w:t>
      </w:r>
      <w:r w:rsidR="002769AD" w:rsidRPr="00EB5F70">
        <w:rPr>
          <w:rFonts w:ascii="Times New Roman" w:hAnsi="Times New Roman" w:cs="Times New Roman"/>
          <w:sz w:val="24"/>
          <w:szCs w:val="24"/>
          <w:lang w:eastAsia="fr-CH"/>
        </w:rPr>
        <w:t xml:space="preserve"> (e.g. Eliciting commitment</w:t>
      </w:r>
      <w:r w:rsidR="002769AD" w:rsidRPr="002769AD">
        <w:rPr>
          <w:rFonts w:ascii="Times New Roman" w:hAnsi="Times New Roman" w:cs="Times New Roman"/>
          <w:sz w:val="24"/>
          <w:szCs w:val="24"/>
          <w:lang w:eastAsia="fr-CH"/>
        </w:rPr>
        <w:t xml:space="preserve"> to change drinking, Creating internal conflict/enhance discrepancy, and Discussing commitment to drinking goals</w:t>
      </w:r>
      <w:r w:rsidR="002769AD">
        <w:rPr>
          <w:rFonts w:ascii="Times New Roman" w:hAnsi="Times New Roman" w:cs="Times New Roman"/>
          <w:sz w:val="24"/>
          <w:szCs w:val="24"/>
          <w:lang w:eastAsia="fr-CH"/>
        </w:rPr>
        <w:t>)</w:t>
      </w:r>
      <w:r w:rsidR="00110C8A">
        <w:rPr>
          <w:rFonts w:ascii="Times New Roman" w:hAnsi="Times New Roman" w:cs="Times New Roman"/>
          <w:sz w:val="24"/>
          <w:szCs w:val="24"/>
          <w:lang w:eastAsia="fr-CH"/>
        </w:rPr>
        <w:t xml:space="preserve">. </w:t>
      </w:r>
    </w:p>
    <w:p w14:paraId="4BC61046" w14:textId="37C38B6D" w:rsidR="0083356C" w:rsidRDefault="0083356C" w:rsidP="000C6914">
      <w:pPr>
        <w:rPr>
          <w:rFonts w:ascii="Times New Roman" w:hAnsi="Times New Roman" w:cs="Times New Roman"/>
          <w:sz w:val="24"/>
          <w:szCs w:val="24"/>
          <w:lang w:eastAsia="fr-CH"/>
        </w:rPr>
      </w:pPr>
      <w:r w:rsidRPr="00C33339">
        <w:rPr>
          <w:rFonts w:ascii="Times New Roman" w:hAnsi="Times New Roman" w:cs="Times New Roman"/>
          <w:sz w:val="24"/>
          <w:szCs w:val="24"/>
          <w:lang w:eastAsia="fr-CH"/>
        </w:rPr>
        <w:t xml:space="preserve">With regard to the therapeutic relationship, there is good evidence from the alcohol </w:t>
      </w:r>
      <w:r w:rsidR="00233316" w:rsidRPr="00C33339">
        <w:rPr>
          <w:rFonts w:ascii="Times New Roman" w:hAnsi="Times New Roman" w:cs="Times New Roman"/>
          <w:sz w:val="24"/>
          <w:szCs w:val="24"/>
          <w:lang w:eastAsia="fr-CH"/>
        </w:rPr>
        <w:t xml:space="preserve">treatment </w:t>
      </w:r>
      <w:r w:rsidR="009F069F">
        <w:rPr>
          <w:rFonts w:ascii="Times New Roman" w:hAnsi="Times New Roman" w:cs="Times New Roman"/>
          <w:sz w:val="24"/>
          <w:szCs w:val="24"/>
          <w:lang w:eastAsia="fr-CH"/>
        </w:rPr>
        <w:t>(</w:t>
      </w:r>
      <w:r w:rsidR="009F069F" w:rsidRPr="001152E7">
        <w:rPr>
          <w:rFonts w:ascii="Times New Roman" w:hAnsi="Times New Roman" w:cs="Times New Roman"/>
          <w:sz w:val="24"/>
          <w:szCs w:val="24"/>
        </w:rPr>
        <w:t>Connors, Carroll,</w:t>
      </w:r>
      <w:r w:rsidR="009F069F">
        <w:rPr>
          <w:rFonts w:ascii="Times New Roman" w:hAnsi="Times New Roman" w:cs="Times New Roman"/>
          <w:sz w:val="24"/>
          <w:szCs w:val="24"/>
        </w:rPr>
        <w:t xml:space="preserve"> </w:t>
      </w:r>
      <w:r w:rsidR="009F069F" w:rsidRPr="001152E7">
        <w:rPr>
          <w:rFonts w:ascii="Times New Roman" w:hAnsi="Times New Roman" w:cs="Times New Roman"/>
          <w:sz w:val="24"/>
          <w:szCs w:val="24"/>
        </w:rPr>
        <w:t>DiClemente, Longabaugh, &amp; Donovan</w:t>
      </w:r>
      <w:r w:rsidR="009F069F">
        <w:rPr>
          <w:rFonts w:ascii="Times New Roman" w:hAnsi="Times New Roman" w:cs="Times New Roman"/>
          <w:sz w:val="24"/>
          <w:szCs w:val="24"/>
        </w:rPr>
        <w:t>, 1997)</w:t>
      </w:r>
      <w:r w:rsidR="00326924" w:rsidRPr="00C33339">
        <w:rPr>
          <w:rFonts w:ascii="Times New Roman" w:hAnsi="Times New Roman" w:cs="Times New Roman"/>
          <w:sz w:val="24"/>
          <w:szCs w:val="24"/>
          <w:lang w:eastAsia="fr-CH"/>
        </w:rPr>
        <w:t xml:space="preserve"> </w:t>
      </w:r>
      <w:r w:rsidRPr="00C33339">
        <w:rPr>
          <w:rFonts w:ascii="Times New Roman" w:hAnsi="Times New Roman" w:cs="Times New Roman"/>
          <w:sz w:val="24"/>
          <w:szCs w:val="24"/>
          <w:lang w:eastAsia="fr-CH"/>
        </w:rPr>
        <w:t xml:space="preserve">and general </w:t>
      </w:r>
      <w:r w:rsidR="00233316" w:rsidRPr="00C33339">
        <w:rPr>
          <w:rFonts w:ascii="Times New Roman" w:hAnsi="Times New Roman" w:cs="Times New Roman"/>
          <w:sz w:val="24"/>
          <w:szCs w:val="24"/>
          <w:lang w:eastAsia="fr-CH"/>
        </w:rPr>
        <w:t>psychotherapy</w:t>
      </w:r>
      <w:r w:rsidR="00326924" w:rsidRPr="00C33339">
        <w:rPr>
          <w:rFonts w:ascii="Times New Roman" w:hAnsi="Times New Roman" w:cs="Times New Roman"/>
          <w:sz w:val="24"/>
          <w:szCs w:val="24"/>
          <w:lang w:eastAsia="fr-CH"/>
        </w:rPr>
        <w:t xml:space="preserve"> </w:t>
      </w:r>
      <w:r w:rsidR="009F069F">
        <w:rPr>
          <w:rFonts w:ascii="Times New Roman" w:hAnsi="Times New Roman" w:cs="Times New Roman"/>
          <w:sz w:val="24"/>
          <w:szCs w:val="24"/>
          <w:lang w:eastAsia="fr-CH"/>
        </w:rPr>
        <w:t>(</w:t>
      </w:r>
      <w:r w:rsidR="009F069F" w:rsidRPr="001152E7">
        <w:rPr>
          <w:rFonts w:ascii="Times New Roman" w:hAnsi="Times New Roman" w:cs="Times New Roman"/>
          <w:sz w:val="24"/>
          <w:szCs w:val="24"/>
        </w:rPr>
        <w:t>Martin, Garske, &amp; David,</w:t>
      </w:r>
      <w:r w:rsidR="005D71CD">
        <w:rPr>
          <w:rFonts w:ascii="Times New Roman" w:hAnsi="Times New Roman" w:cs="Times New Roman"/>
          <w:sz w:val="24"/>
          <w:szCs w:val="24"/>
        </w:rPr>
        <w:t xml:space="preserve"> </w:t>
      </w:r>
      <w:r w:rsidR="009F069F" w:rsidRPr="001152E7">
        <w:rPr>
          <w:rFonts w:ascii="Times New Roman" w:hAnsi="Times New Roman" w:cs="Times New Roman"/>
          <w:sz w:val="24"/>
          <w:szCs w:val="24"/>
        </w:rPr>
        <w:t>2000)</w:t>
      </w:r>
      <w:r w:rsidR="00233316" w:rsidRPr="00C33339">
        <w:rPr>
          <w:rFonts w:ascii="Times New Roman" w:hAnsi="Times New Roman" w:cs="Times New Roman"/>
          <w:sz w:val="24"/>
          <w:szCs w:val="24"/>
          <w:lang w:eastAsia="fr-CH"/>
        </w:rPr>
        <w:t xml:space="preserve"> </w:t>
      </w:r>
      <w:r w:rsidRPr="00C33339">
        <w:rPr>
          <w:rFonts w:ascii="Times New Roman" w:hAnsi="Times New Roman" w:cs="Times New Roman"/>
          <w:sz w:val="24"/>
          <w:szCs w:val="24"/>
          <w:lang w:eastAsia="fr-CH"/>
        </w:rPr>
        <w:t xml:space="preserve">fields that a strong working alliance is associated with </w:t>
      </w:r>
      <w:r w:rsidR="00326924" w:rsidRPr="00C33339">
        <w:rPr>
          <w:rFonts w:ascii="Times New Roman" w:hAnsi="Times New Roman" w:cs="Times New Roman"/>
          <w:sz w:val="24"/>
          <w:szCs w:val="24"/>
          <w:lang w:eastAsia="fr-CH"/>
        </w:rPr>
        <w:t xml:space="preserve">better </w:t>
      </w:r>
      <w:r w:rsidRPr="00C33339">
        <w:rPr>
          <w:rFonts w:ascii="Times New Roman" w:hAnsi="Times New Roman" w:cs="Times New Roman"/>
          <w:sz w:val="24"/>
          <w:szCs w:val="24"/>
          <w:lang w:eastAsia="fr-CH"/>
        </w:rPr>
        <w:t>outcomes</w:t>
      </w:r>
      <w:r w:rsidR="00326924" w:rsidRPr="00C33339">
        <w:rPr>
          <w:rFonts w:ascii="Times New Roman" w:hAnsi="Times New Roman" w:cs="Times New Roman"/>
          <w:sz w:val="24"/>
          <w:szCs w:val="24"/>
          <w:lang w:eastAsia="fr-CH"/>
        </w:rPr>
        <w:t>.</w:t>
      </w:r>
      <w:r w:rsidRPr="00C33339">
        <w:rPr>
          <w:rFonts w:ascii="Times New Roman" w:hAnsi="Times New Roman" w:cs="Times New Roman"/>
          <w:sz w:val="24"/>
          <w:szCs w:val="24"/>
          <w:lang w:eastAsia="fr-CH"/>
        </w:rPr>
        <w:t xml:space="preserve"> In a previous UKATT paper </w:t>
      </w:r>
      <w:r w:rsidR="005D71CD">
        <w:rPr>
          <w:rFonts w:ascii="Times New Roman" w:hAnsi="Times New Roman" w:cs="Times New Roman"/>
          <w:sz w:val="24"/>
          <w:szCs w:val="24"/>
          <w:lang w:eastAsia="fr-CH"/>
        </w:rPr>
        <w:t>(Cook, Heather &amp; McCambridge</w:t>
      </w:r>
      <w:r w:rsidR="00233316" w:rsidRPr="00C33339">
        <w:rPr>
          <w:rFonts w:ascii="Times New Roman" w:hAnsi="Times New Roman" w:cs="Times New Roman"/>
          <w:sz w:val="24"/>
          <w:szCs w:val="24"/>
          <w:lang w:eastAsia="fr-CH"/>
        </w:rPr>
        <w:t>,</w:t>
      </w:r>
      <w:r w:rsidRPr="00C33339">
        <w:rPr>
          <w:rFonts w:ascii="Times New Roman" w:hAnsi="Times New Roman" w:cs="Times New Roman"/>
          <w:sz w:val="24"/>
          <w:szCs w:val="24"/>
          <w:lang w:eastAsia="fr-CH"/>
        </w:rPr>
        <w:t xml:space="preserve"> </w:t>
      </w:r>
      <w:r w:rsidR="005D71CD">
        <w:rPr>
          <w:rFonts w:ascii="Times New Roman" w:hAnsi="Times New Roman" w:cs="Times New Roman"/>
          <w:sz w:val="24"/>
          <w:szCs w:val="24"/>
          <w:lang w:eastAsia="fr-CH"/>
        </w:rPr>
        <w:t xml:space="preserve">2015a), </w:t>
      </w:r>
      <w:r w:rsidRPr="00C33339">
        <w:rPr>
          <w:rFonts w:ascii="Times New Roman" w:hAnsi="Times New Roman" w:cs="Times New Roman"/>
          <w:sz w:val="24"/>
          <w:szCs w:val="24"/>
          <w:lang w:eastAsia="fr-CH"/>
        </w:rPr>
        <w:t>it was reported that the strength of the client-rated working alliance was associated with drinking during treatment</w:t>
      </w:r>
      <w:r w:rsidR="004F0E79" w:rsidRPr="00C33339">
        <w:rPr>
          <w:rFonts w:ascii="Times New Roman" w:hAnsi="Times New Roman" w:cs="Times New Roman"/>
          <w:sz w:val="24"/>
          <w:szCs w:val="24"/>
          <w:lang w:eastAsia="fr-CH"/>
        </w:rPr>
        <w:t xml:space="preserve"> and </w:t>
      </w:r>
      <w:r w:rsidRPr="00C33339">
        <w:rPr>
          <w:rFonts w:ascii="Times New Roman" w:hAnsi="Times New Roman" w:cs="Times New Roman"/>
          <w:sz w:val="24"/>
          <w:szCs w:val="24"/>
          <w:lang w:eastAsia="fr-CH"/>
        </w:rPr>
        <w:t>post</w:t>
      </w:r>
      <w:r w:rsidR="004F0E79" w:rsidRPr="00C33339">
        <w:rPr>
          <w:rFonts w:ascii="Times New Roman" w:hAnsi="Times New Roman" w:cs="Times New Roman"/>
          <w:sz w:val="24"/>
          <w:szCs w:val="24"/>
          <w:lang w:eastAsia="fr-CH"/>
        </w:rPr>
        <w:t>-</w:t>
      </w:r>
      <w:r w:rsidRPr="00C33339">
        <w:rPr>
          <w:rFonts w:ascii="Times New Roman" w:hAnsi="Times New Roman" w:cs="Times New Roman"/>
          <w:sz w:val="24"/>
          <w:szCs w:val="24"/>
          <w:lang w:eastAsia="fr-CH"/>
        </w:rPr>
        <w:t>treatment motivation to change</w:t>
      </w:r>
      <w:r w:rsidR="004F0E79" w:rsidRPr="00C33339">
        <w:rPr>
          <w:rFonts w:ascii="Times New Roman" w:hAnsi="Times New Roman" w:cs="Times New Roman"/>
          <w:sz w:val="24"/>
          <w:szCs w:val="24"/>
          <w:lang w:eastAsia="fr-CH"/>
        </w:rPr>
        <w:t xml:space="preserve"> for clients in both treatment groups and drinking </w:t>
      </w:r>
      <w:r w:rsidR="00F663EE" w:rsidRPr="00C33339">
        <w:rPr>
          <w:rFonts w:ascii="Times New Roman" w:hAnsi="Times New Roman" w:cs="Times New Roman"/>
          <w:sz w:val="24"/>
          <w:szCs w:val="24"/>
          <w:lang w:eastAsia="fr-CH"/>
        </w:rPr>
        <w:t>behavior</w:t>
      </w:r>
      <w:r w:rsidR="004F0E79" w:rsidRPr="00C33339">
        <w:rPr>
          <w:rFonts w:ascii="Times New Roman" w:hAnsi="Times New Roman" w:cs="Times New Roman"/>
          <w:sz w:val="24"/>
          <w:szCs w:val="24"/>
          <w:lang w:eastAsia="fr-CH"/>
        </w:rPr>
        <w:t xml:space="preserve"> at follow-up in the MET group. It is plausible to </w:t>
      </w:r>
      <w:r w:rsidR="002629BF" w:rsidRPr="00C61F01">
        <w:rPr>
          <w:rFonts w:ascii="Times New Roman" w:hAnsi="Times New Roman" w:cs="Times New Roman"/>
          <w:sz w:val="24"/>
          <w:szCs w:val="24"/>
          <w:lang w:eastAsia="fr-CH"/>
        </w:rPr>
        <w:t>hypothesize</w:t>
      </w:r>
      <w:r w:rsidR="004F0E79" w:rsidRPr="00C61F01">
        <w:rPr>
          <w:rFonts w:ascii="Times New Roman" w:hAnsi="Times New Roman" w:cs="Times New Roman"/>
          <w:sz w:val="24"/>
          <w:szCs w:val="24"/>
          <w:lang w:eastAsia="fr-CH"/>
        </w:rPr>
        <w:t xml:space="preserve"> that met-q has </w:t>
      </w:r>
      <w:r w:rsidR="00233316" w:rsidRPr="00C61F01">
        <w:rPr>
          <w:rFonts w:ascii="Times New Roman" w:hAnsi="Times New Roman" w:cs="Times New Roman"/>
          <w:sz w:val="24"/>
          <w:szCs w:val="24"/>
          <w:lang w:eastAsia="fr-CH"/>
        </w:rPr>
        <w:t xml:space="preserve">the </w:t>
      </w:r>
      <w:r w:rsidR="004F0E79" w:rsidRPr="00C61F01">
        <w:rPr>
          <w:rFonts w:ascii="Times New Roman" w:hAnsi="Times New Roman" w:cs="Times New Roman"/>
          <w:sz w:val="24"/>
          <w:szCs w:val="24"/>
          <w:lang w:eastAsia="fr-CH"/>
        </w:rPr>
        <w:t xml:space="preserve">effect of </w:t>
      </w:r>
      <w:r w:rsidR="00233316" w:rsidRPr="00C61F01">
        <w:rPr>
          <w:rFonts w:ascii="Times New Roman" w:hAnsi="Times New Roman" w:cs="Times New Roman"/>
          <w:sz w:val="24"/>
          <w:szCs w:val="24"/>
          <w:lang w:eastAsia="fr-CH"/>
        </w:rPr>
        <w:t xml:space="preserve">increasing the </w:t>
      </w:r>
      <w:r w:rsidR="004F0E79" w:rsidRPr="00C61F01">
        <w:rPr>
          <w:rFonts w:ascii="Times New Roman" w:hAnsi="Times New Roman" w:cs="Times New Roman"/>
          <w:sz w:val="24"/>
          <w:szCs w:val="24"/>
          <w:lang w:eastAsia="fr-CH"/>
        </w:rPr>
        <w:t xml:space="preserve">strength of the working alliance. </w:t>
      </w:r>
      <w:r w:rsidR="00A8288F" w:rsidRPr="00C61F01">
        <w:rPr>
          <w:rFonts w:ascii="Times New Roman" w:hAnsi="Times New Roman" w:cs="Times New Roman"/>
          <w:sz w:val="24"/>
          <w:szCs w:val="24"/>
          <w:lang w:eastAsia="fr-CH"/>
        </w:rPr>
        <w:t xml:space="preserve">The </w:t>
      </w:r>
      <w:r w:rsidR="00A8288F" w:rsidRPr="00C61F01">
        <w:rPr>
          <w:rFonts w:ascii="Times New Roman" w:eastAsiaTheme="minorHAnsi" w:hAnsi="Times New Roman" w:cs="Times New Roman"/>
          <w:sz w:val="24"/>
          <w:szCs w:val="24"/>
          <w:lang w:val="en-GB" w:eastAsia="fr-CH"/>
        </w:rPr>
        <w:t xml:space="preserve">specific focus on the relationship between quality of delivery and working alliance here is supported by studies causally linking therapist skilfulness and client involvement </w:t>
      </w:r>
      <w:r w:rsidR="007351FB" w:rsidRPr="00C61F01">
        <w:rPr>
          <w:rFonts w:ascii="Times New Roman" w:eastAsiaTheme="minorHAnsi" w:hAnsi="Times New Roman" w:cs="Times New Roman"/>
          <w:sz w:val="24"/>
          <w:szCs w:val="24"/>
          <w:lang w:val="en-GB" w:eastAsia="fr-CH"/>
        </w:rPr>
        <w:t>(</w:t>
      </w:r>
      <w:r w:rsidR="00A8288F" w:rsidRPr="00C61F01">
        <w:rPr>
          <w:rFonts w:ascii="Times New Roman" w:eastAsiaTheme="minorHAnsi" w:hAnsi="Times New Roman" w:cs="Times New Roman"/>
          <w:sz w:val="24"/>
          <w:szCs w:val="24"/>
          <w:lang w:val="en-GB" w:eastAsia="fr-CH"/>
        </w:rPr>
        <w:t xml:space="preserve">e.g. </w:t>
      </w:r>
      <w:r w:rsidR="00A8288F" w:rsidRPr="00C61F01">
        <w:rPr>
          <w:rFonts w:ascii="Times New Roman" w:eastAsiaTheme="minorHAnsi" w:hAnsi="Times New Roman" w:cs="Times New Roman"/>
          <w:sz w:val="24"/>
          <w:szCs w:val="24"/>
          <w:lang w:val="en-GB" w:eastAsia="fr-CH"/>
        </w:rPr>
        <w:fldChar w:fldCharType="begin"/>
      </w:r>
      <w:r w:rsidR="00A8288F" w:rsidRPr="00C61F01">
        <w:rPr>
          <w:rFonts w:ascii="Times New Roman" w:eastAsiaTheme="minorHAnsi" w:hAnsi="Times New Roman" w:cs="Times New Roman"/>
          <w:sz w:val="24"/>
          <w:szCs w:val="24"/>
          <w:lang w:val="en-GB" w:eastAsia="fr-CH"/>
        </w:rPr>
        <w:instrText xml:space="preserve"> ADDIN EN.CITE &lt;EndNote&gt;&lt;Cite&gt;&lt;Author&gt;Moyers&lt;/Author&gt;&lt;Year&gt;2005&lt;/Year&gt;&lt;RecNum&gt;1477&lt;/RecNum&gt;&lt;DisplayText&gt;(Moyers, Miller et al. 2005)&lt;/DisplayText&gt;&lt;record&gt;&lt;rec-number&gt;1477&lt;/rec-number&gt;&lt;foreign-keys&gt;&lt;key app="EN" db-id="d25tdaepypzsxqefpawpprw0x9dvx5a55dar" timestamp="0"&gt;1477&lt;/key&gt;&lt;/foreign-keys&gt;&lt;ref-type name="Journal Article"&gt;17&lt;/ref-type&gt;&lt;contributors&gt;&lt;authors&gt;&lt;author&gt;Moyers, T. B.&lt;/author&gt;&lt;author&gt;Miller, W. R.&lt;/author&gt;&lt;author&gt;Hendrickson, S. M.&lt;/author&gt;&lt;/authors&gt;&lt;/contributors&gt;&lt;auth-address&gt;Center on Alcoholism, Substance Abuse, and Addictions, University of New Mexico, Albuquerque, 87106, USA. tmoyers@unm.edu&lt;/auth-address&gt;&lt;titles&gt;&lt;title&gt;How does motivational interviewing work? Therapist interpersonal skill predicts client involvement within motivational interviewing sessions&lt;/title&gt;&lt;secondary-title&gt;J Consult Clin Psychol&lt;/secondary-title&gt;&lt;/titles&gt;&lt;periodical&gt;&lt;full-title&gt;J Consult Clin Psychol&lt;/full-title&gt;&lt;/periodical&gt;&lt;pages&gt;590-8&lt;/pages&gt;&lt;volume&gt;73&lt;/volume&gt;&lt;number&gt;4&lt;/number&gt;&lt;edition&gt;2005/09/22&lt;/edition&gt;&lt;keywords&gt;&lt;keyword&gt;*Clinical Competence&lt;/keyword&gt;&lt;keyword&gt;*Health Personnel&lt;/keyword&gt;&lt;keyword&gt;Humans&lt;/keyword&gt;&lt;keyword&gt;*Interpersonal Relations&lt;/keyword&gt;&lt;keyword&gt;*Interview, Psychological&lt;/keyword&gt;&lt;keyword&gt;*Motivation&lt;/keyword&gt;&lt;keyword&gt;*Professional-Patient Relations&lt;/keyword&gt;&lt;/keywords&gt;&lt;dates&gt;&lt;year&gt;2005&lt;/year&gt;&lt;pub-dates&gt;&lt;date&gt;Aug&lt;/date&gt;&lt;/pub-dates&gt;&lt;/dates&gt;&lt;isbn&gt;0022-006X (Print)&lt;/isbn&gt;&lt;accession-num&gt;16173846&lt;/accession-num&gt;&lt;urls&gt;&lt;related-urls&gt;&lt;url&gt;http://www.ncbi.nlm.nih.gov/entrez/query.fcgi?cmd=Retrieve&amp;amp;db=PubMed&amp;amp;dopt=Citation&amp;amp;list_uids=16173846&lt;/url&gt;&lt;/related-urls&gt;&lt;/urls&gt;&lt;electronic-resource-num&gt;2005-11147-002 [pii]&amp;#xD;10.1037/0022-006X.73.4.590&lt;/electronic-resource-num&gt;&lt;language&gt;eng&lt;/language&gt;&lt;/record&gt;&lt;/Cite&gt;&lt;/EndNote&gt;</w:instrText>
      </w:r>
      <w:r w:rsidR="00A8288F" w:rsidRPr="00C61F01">
        <w:rPr>
          <w:rFonts w:ascii="Times New Roman" w:eastAsiaTheme="minorHAnsi" w:hAnsi="Times New Roman" w:cs="Times New Roman"/>
          <w:sz w:val="24"/>
          <w:szCs w:val="24"/>
          <w:lang w:val="en-GB" w:eastAsia="fr-CH"/>
        </w:rPr>
        <w:fldChar w:fldCharType="separate"/>
      </w:r>
      <w:r w:rsidR="00A8288F" w:rsidRPr="00C61F01">
        <w:rPr>
          <w:rFonts w:ascii="Times New Roman" w:eastAsiaTheme="minorHAnsi" w:hAnsi="Times New Roman" w:cs="Times New Roman"/>
          <w:noProof/>
          <w:sz w:val="24"/>
          <w:szCs w:val="24"/>
          <w:lang w:val="en-GB" w:eastAsia="fr-CH"/>
        </w:rPr>
        <w:t>Moyers et al., 2005)</w:t>
      </w:r>
      <w:r w:rsidR="00A8288F" w:rsidRPr="00C61F01">
        <w:rPr>
          <w:rFonts w:ascii="Times New Roman" w:eastAsiaTheme="minorHAnsi" w:hAnsi="Times New Roman" w:cs="Times New Roman"/>
          <w:sz w:val="24"/>
          <w:szCs w:val="24"/>
          <w:lang w:val="en-GB" w:eastAsia="fr-CH"/>
        </w:rPr>
        <w:fldChar w:fldCharType="end"/>
      </w:r>
      <w:r w:rsidR="00A8288F" w:rsidRPr="00C61F01">
        <w:rPr>
          <w:rFonts w:ascii="Times New Roman" w:eastAsiaTheme="minorHAnsi" w:hAnsi="Times New Roman" w:cs="Times New Roman"/>
          <w:sz w:val="24"/>
          <w:szCs w:val="24"/>
          <w:lang w:val="en-GB" w:eastAsia="fr-CH"/>
        </w:rPr>
        <w:t xml:space="preserve">. </w:t>
      </w:r>
      <w:r w:rsidR="00326924" w:rsidRPr="00C61F01">
        <w:rPr>
          <w:rFonts w:ascii="Times New Roman" w:hAnsi="Times New Roman" w:cs="Times New Roman"/>
          <w:sz w:val="24"/>
          <w:szCs w:val="24"/>
          <w:lang w:eastAsia="fr-CH"/>
        </w:rPr>
        <w:t>O</w:t>
      </w:r>
      <w:r w:rsidR="004F0E79" w:rsidRPr="00C61F01">
        <w:rPr>
          <w:rFonts w:ascii="Times New Roman" w:hAnsi="Times New Roman" w:cs="Times New Roman"/>
          <w:sz w:val="24"/>
          <w:szCs w:val="24"/>
          <w:lang w:eastAsia="fr-CH"/>
        </w:rPr>
        <w:t xml:space="preserve">ther UKATT </w:t>
      </w:r>
      <w:r w:rsidR="00326924" w:rsidRPr="00C61F01">
        <w:rPr>
          <w:rFonts w:ascii="Times New Roman" w:hAnsi="Times New Roman" w:cs="Times New Roman"/>
          <w:sz w:val="24"/>
          <w:szCs w:val="24"/>
          <w:lang w:eastAsia="fr-CH"/>
        </w:rPr>
        <w:t>research</w:t>
      </w:r>
      <w:r w:rsidR="004F0E79" w:rsidRPr="00C61F01">
        <w:rPr>
          <w:rFonts w:ascii="Times New Roman" w:hAnsi="Times New Roman" w:cs="Times New Roman"/>
          <w:sz w:val="24"/>
          <w:szCs w:val="24"/>
          <w:lang w:eastAsia="fr-CH"/>
        </w:rPr>
        <w:t xml:space="preserve"> </w:t>
      </w:r>
      <w:r w:rsidR="005D71CD" w:rsidRPr="00C61F01">
        <w:rPr>
          <w:rFonts w:ascii="Times New Roman" w:hAnsi="Times New Roman" w:cs="Times New Roman"/>
          <w:sz w:val="24"/>
          <w:szCs w:val="24"/>
          <w:lang w:eastAsia="fr-CH"/>
        </w:rPr>
        <w:t>(Cook, Heather &amp; McCambridge, 2015b; Heather</w:t>
      </w:r>
      <w:r w:rsidR="005D71CD">
        <w:rPr>
          <w:rFonts w:ascii="Times New Roman" w:hAnsi="Times New Roman" w:cs="Times New Roman"/>
          <w:sz w:val="24"/>
          <w:szCs w:val="24"/>
          <w:lang w:eastAsia="fr-CH"/>
        </w:rPr>
        <w:t xml:space="preserve"> &amp; McCambridge, 2013)</w:t>
      </w:r>
      <w:r w:rsidR="004F0E79" w:rsidRPr="00C33339">
        <w:rPr>
          <w:rFonts w:ascii="Times New Roman" w:hAnsi="Times New Roman" w:cs="Times New Roman"/>
          <w:sz w:val="24"/>
          <w:szCs w:val="24"/>
          <w:lang w:eastAsia="fr-CH"/>
        </w:rPr>
        <w:t xml:space="preserve"> showed that cl</w:t>
      </w:r>
      <w:r w:rsidR="00233316" w:rsidRPr="00C33339">
        <w:rPr>
          <w:rFonts w:ascii="Times New Roman" w:hAnsi="Times New Roman" w:cs="Times New Roman"/>
          <w:sz w:val="24"/>
          <w:szCs w:val="24"/>
          <w:lang w:eastAsia="fr-CH"/>
        </w:rPr>
        <w:t>ie</w:t>
      </w:r>
      <w:r w:rsidR="004F0E79" w:rsidRPr="00C33339">
        <w:rPr>
          <w:rFonts w:ascii="Times New Roman" w:hAnsi="Times New Roman" w:cs="Times New Roman"/>
          <w:sz w:val="24"/>
          <w:szCs w:val="24"/>
          <w:lang w:eastAsia="fr-CH"/>
        </w:rPr>
        <w:t xml:space="preserve">nts who </w:t>
      </w:r>
      <w:r w:rsidR="00A15F98" w:rsidRPr="00C33339">
        <w:rPr>
          <w:rFonts w:ascii="Times New Roman" w:hAnsi="Times New Roman" w:cs="Times New Roman"/>
          <w:sz w:val="24"/>
          <w:szCs w:val="24"/>
          <w:lang w:eastAsia="fr-CH"/>
        </w:rPr>
        <w:t xml:space="preserve">were assessed as </w:t>
      </w:r>
      <w:r w:rsidR="004F0E79" w:rsidRPr="00C33339">
        <w:rPr>
          <w:rFonts w:ascii="Times New Roman" w:hAnsi="Times New Roman" w:cs="Times New Roman"/>
          <w:sz w:val="24"/>
          <w:szCs w:val="24"/>
          <w:lang w:eastAsia="fr-CH"/>
        </w:rPr>
        <w:t xml:space="preserve">ready to change drinking at the end of treatment were much more likely to show positive </w:t>
      </w:r>
      <w:r w:rsidR="00233316" w:rsidRPr="00C33339">
        <w:rPr>
          <w:rFonts w:ascii="Times New Roman" w:hAnsi="Times New Roman" w:cs="Times New Roman"/>
          <w:sz w:val="24"/>
          <w:szCs w:val="24"/>
          <w:lang w:eastAsia="fr-CH"/>
        </w:rPr>
        <w:t xml:space="preserve">drinking </w:t>
      </w:r>
      <w:r w:rsidR="004F0E79" w:rsidRPr="00C33339">
        <w:rPr>
          <w:rFonts w:ascii="Times New Roman" w:hAnsi="Times New Roman" w:cs="Times New Roman"/>
          <w:sz w:val="24"/>
          <w:szCs w:val="24"/>
          <w:lang w:eastAsia="fr-CH"/>
        </w:rPr>
        <w:t xml:space="preserve">outcomes 9 months later than those who did not indicate a readiness to change. </w:t>
      </w:r>
      <w:r w:rsidR="00233316" w:rsidRPr="00C33339">
        <w:rPr>
          <w:rFonts w:ascii="Times New Roman" w:hAnsi="Times New Roman" w:cs="Times New Roman"/>
          <w:sz w:val="24"/>
          <w:szCs w:val="24"/>
          <w:lang w:eastAsia="fr-CH"/>
        </w:rPr>
        <w:t>Combining these results with the present finding suggests a hypothe</w:t>
      </w:r>
      <w:r w:rsidR="0080384B" w:rsidRPr="00C33339">
        <w:rPr>
          <w:rFonts w:ascii="Times New Roman" w:hAnsi="Times New Roman" w:cs="Times New Roman"/>
          <w:sz w:val="24"/>
          <w:szCs w:val="24"/>
          <w:lang w:eastAsia="fr-CH"/>
        </w:rPr>
        <w:t xml:space="preserve">tical </w:t>
      </w:r>
      <w:r w:rsidR="00233316" w:rsidRPr="00C33339">
        <w:rPr>
          <w:rFonts w:ascii="Times New Roman" w:hAnsi="Times New Roman" w:cs="Times New Roman"/>
          <w:sz w:val="24"/>
          <w:szCs w:val="24"/>
          <w:lang w:eastAsia="fr-CH"/>
        </w:rPr>
        <w:t>causal chain: higher met-q leads to a</w:t>
      </w:r>
      <w:r w:rsidR="00A15F98" w:rsidRPr="00C33339">
        <w:rPr>
          <w:rFonts w:ascii="Times New Roman" w:hAnsi="Times New Roman" w:cs="Times New Roman"/>
          <w:sz w:val="24"/>
          <w:szCs w:val="24"/>
          <w:lang w:eastAsia="fr-CH"/>
        </w:rPr>
        <w:t xml:space="preserve"> stronger </w:t>
      </w:r>
      <w:r w:rsidR="00233316" w:rsidRPr="00C33339">
        <w:rPr>
          <w:rFonts w:ascii="Times New Roman" w:hAnsi="Times New Roman" w:cs="Times New Roman"/>
          <w:sz w:val="24"/>
          <w:szCs w:val="24"/>
          <w:lang w:eastAsia="fr-CH"/>
        </w:rPr>
        <w:t>working alliance which then leads to greater read</w:t>
      </w:r>
      <w:r w:rsidR="00B83F32" w:rsidRPr="00C33339">
        <w:rPr>
          <w:rFonts w:ascii="Times New Roman" w:hAnsi="Times New Roman" w:cs="Times New Roman"/>
          <w:sz w:val="24"/>
          <w:szCs w:val="24"/>
          <w:lang w:eastAsia="fr-CH"/>
        </w:rPr>
        <w:t>iness</w:t>
      </w:r>
      <w:r w:rsidR="00233316" w:rsidRPr="00C33339">
        <w:rPr>
          <w:rFonts w:ascii="Times New Roman" w:hAnsi="Times New Roman" w:cs="Times New Roman"/>
          <w:sz w:val="24"/>
          <w:szCs w:val="24"/>
          <w:lang w:eastAsia="fr-CH"/>
        </w:rPr>
        <w:t xml:space="preserve"> to change at the conclusion of treatment and hence to </w:t>
      </w:r>
      <w:r w:rsidR="005D69CB" w:rsidRPr="00C33339">
        <w:rPr>
          <w:rFonts w:ascii="Times New Roman" w:hAnsi="Times New Roman" w:cs="Times New Roman"/>
          <w:sz w:val="24"/>
          <w:szCs w:val="24"/>
          <w:lang w:eastAsia="fr-CH"/>
        </w:rPr>
        <w:t xml:space="preserve">improvements </w:t>
      </w:r>
      <w:r w:rsidR="00233316" w:rsidRPr="00C33339">
        <w:rPr>
          <w:rFonts w:ascii="Times New Roman" w:hAnsi="Times New Roman" w:cs="Times New Roman"/>
          <w:sz w:val="24"/>
          <w:szCs w:val="24"/>
          <w:lang w:eastAsia="fr-CH"/>
        </w:rPr>
        <w:t>in drinking</w:t>
      </w:r>
      <w:r w:rsidR="0090218A" w:rsidRPr="00C33339">
        <w:rPr>
          <w:rFonts w:ascii="Times New Roman" w:hAnsi="Times New Roman" w:cs="Times New Roman"/>
          <w:sz w:val="24"/>
          <w:szCs w:val="24"/>
          <w:lang w:eastAsia="fr-CH"/>
        </w:rPr>
        <w:t xml:space="preserve"> and other outcomes</w:t>
      </w:r>
      <w:r w:rsidR="00233316" w:rsidRPr="00C33339">
        <w:rPr>
          <w:rFonts w:ascii="Times New Roman" w:hAnsi="Times New Roman" w:cs="Times New Roman"/>
          <w:sz w:val="24"/>
          <w:szCs w:val="24"/>
          <w:lang w:eastAsia="fr-CH"/>
        </w:rPr>
        <w:t xml:space="preserve"> at follow-up.</w:t>
      </w:r>
      <w:r w:rsidR="0080384B" w:rsidRPr="00C33339">
        <w:rPr>
          <w:rFonts w:ascii="Times New Roman" w:hAnsi="Times New Roman" w:cs="Times New Roman"/>
          <w:sz w:val="24"/>
          <w:szCs w:val="24"/>
          <w:lang w:eastAsia="fr-CH"/>
        </w:rPr>
        <w:t xml:space="preserve"> </w:t>
      </w:r>
      <w:r w:rsidR="00AF21F7">
        <w:rPr>
          <w:rFonts w:ascii="Times New Roman" w:hAnsi="Times New Roman" w:cs="Times New Roman"/>
          <w:sz w:val="24"/>
          <w:szCs w:val="24"/>
          <w:lang w:eastAsia="fr-CH"/>
        </w:rPr>
        <w:t>Future research should be conducted to test th</w:t>
      </w:r>
      <w:r w:rsidR="00DB2CA3">
        <w:rPr>
          <w:rFonts w:ascii="Times New Roman" w:hAnsi="Times New Roman" w:cs="Times New Roman"/>
          <w:sz w:val="24"/>
          <w:szCs w:val="24"/>
          <w:lang w:eastAsia="fr-CH"/>
        </w:rPr>
        <w:t>is</w:t>
      </w:r>
      <w:r w:rsidR="00AF21F7">
        <w:rPr>
          <w:rFonts w:ascii="Times New Roman" w:hAnsi="Times New Roman" w:cs="Times New Roman"/>
          <w:sz w:val="24"/>
          <w:szCs w:val="24"/>
          <w:lang w:eastAsia="fr-CH"/>
        </w:rPr>
        <w:t xml:space="preserve"> hypothes</w:t>
      </w:r>
      <w:r w:rsidR="00DB2CA3">
        <w:rPr>
          <w:rFonts w:ascii="Times New Roman" w:hAnsi="Times New Roman" w:cs="Times New Roman"/>
          <w:sz w:val="24"/>
          <w:szCs w:val="24"/>
          <w:lang w:eastAsia="fr-CH"/>
        </w:rPr>
        <w:t>i</w:t>
      </w:r>
      <w:r w:rsidR="00AF21F7">
        <w:rPr>
          <w:rFonts w:ascii="Times New Roman" w:hAnsi="Times New Roman" w:cs="Times New Roman"/>
          <w:sz w:val="24"/>
          <w:szCs w:val="24"/>
          <w:lang w:eastAsia="fr-CH"/>
        </w:rPr>
        <w:t xml:space="preserve">s. </w:t>
      </w:r>
    </w:p>
    <w:p w14:paraId="086B3D3A" w14:textId="77777777" w:rsidR="004010C6" w:rsidRDefault="004010C6">
      <w:pPr>
        <w:ind w:firstLine="0"/>
        <w:rPr>
          <w:rFonts w:ascii="Times New Roman" w:hAnsi="Times New Roman" w:cs="Times New Roman"/>
          <w:sz w:val="24"/>
          <w:szCs w:val="24"/>
          <w:lang w:eastAsia="fr-CH"/>
        </w:rPr>
      </w:pPr>
    </w:p>
    <w:p w14:paraId="15188DD9" w14:textId="77777777" w:rsidR="004010C6" w:rsidRPr="00EB5F70" w:rsidRDefault="00A067E4">
      <w:pPr>
        <w:ind w:firstLine="0"/>
        <w:rPr>
          <w:rFonts w:ascii="Times New Roman" w:hAnsi="Times New Roman" w:cs="Times New Roman"/>
          <w:b/>
          <w:sz w:val="24"/>
          <w:szCs w:val="24"/>
          <w:lang w:eastAsia="fr-CH"/>
        </w:rPr>
      </w:pPr>
      <w:r w:rsidRPr="00EB5F70">
        <w:rPr>
          <w:rFonts w:ascii="Times New Roman" w:hAnsi="Times New Roman" w:cs="Times New Roman"/>
          <w:b/>
          <w:sz w:val="24"/>
          <w:szCs w:val="24"/>
          <w:lang w:eastAsia="fr-CH"/>
        </w:rPr>
        <w:t>Strengths and limitations</w:t>
      </w:r>
    </w:p>
    <w:p w14:paraId="6A068503" w14:textId="77777777" w:rsidR="00BD6A58" w:rsidRPr="00C61F01" w:rsidRDefault="00274961" w:rsidP="00BD6A58">
      <w:pPr>
        <w:rPr>
          <w:rFonts w:ascii="Times New Roman" w:eastAsiaTheme="minorHAnsi" w:hAnsi="Times New Roman" w:cs="Times New Roman"/>
          <w:sz w:val="24"/>
          <w:szCs w:val="24"/>
          <w:lang w:val="en-GB"/>
        </w:rPr>
      </w:pPr>
      <w:r w:rsidRPr="00EB5F70">
        <w:rPr>
          <w:rFonts w:ascii="Times New Roman" w:hAnsi="Times New Roman" w:cs="Times New Roman"/>
          <w:sz w:val="24"/>
          <w:szCs w:val="24"/>
        </w:rPr>
        <w:t xml:space="preserve">This </w:t>
      </w:r>
      <w:r w:rsidR="00C868CD" w:rsidRPr="00EB5F70">
        <w:rPr>
          <w:rFonts w:ascii="Times New Roman" w:hAnsi="Times New Roman" w:cs="Times New Roman"/>
          <w:sz w:val="24"/>
          <w:szCs w:val="24"/>
        </w:rPr>
        <w:t xml:space="preserve">secondary analysis </w:t>
      </w:r>
      <w:r w:rsidRPr="00EB5F70">
        <w:rPr>
          <w:rFonts w:ascii="Times New Roman" w:hAnsi="Times New Roman" w:cs="Times New Roman"/>
          <w:sz w:val="24"/>
          <w:szCs w:val="24"/>
        </w:rPr>
        <w:t>has a number of strengths</w:t>
      </w:r>
      <w:r w:rsidR="00916E10" w:rsidRPr="00EB5F70">
        <w:rPr>
          <w:rFonts w:ascii="Times New Roman" w:hAnsi="Times New Roman" w:cs="Times New Roman"/>
          <w:sz w:val="24"/>
          <w:szCs w:val="24"/>
        </w:rPr>
        <w:t>,</w:t>
      </w:r>
      <w:r w:rsidRPr="00EB5F70">
        <w:rPr>
          <w:rFonts w:ascii="Times New Roman" w:hAnsi="Times New Roman" w:cs="Times New Roman"/>
          <w:sz w:val="24"/>
          <w:szCs w:val="24"/>
        </w:rPr>
        <w:t xml:space="preserve"> including a large sample size for a treatment process </w:t>
      </w:r>
      <w:r w:rsidR="00C868CD" w:rsidRPr="00EB5F70">
        <w:rPr>
          <w:rFonts w:ascii="Times New Roman" w:hAnsi="Times New Roman" w:cs="Times New Roman"/>
          <w:sz w:val="24"/>
          <w:szCs w:val="24"/>
        </w:rPr>
        <w:t>analysis</w:t>
      </w:r>
      <w:r w:rsidRPr="00EB5F70">
        <w:rPr>
          <w:rFonts w:ascii="Times New Roman" w:hAnsi="Times New Roman" w:cs="Times New Roman"/>
          <w:sz w:val="24"/>
          <w:szCs w:val="24"/>
        </w:rPr>
        <w:t xml:space="preserve">, </w:t>
      </w:r>
      <w:r w:rsidR="007E4E3A" w:rsidRPr="00EB5F70">
        <w:rPr>
          <w:rFonts w:ascii="Times New Roman" w:hAnsi="Times New Roman" w:cs="Times New Roman"/>
          <w:sz w:val="24"/>
          <w:szCs w:val="24"/>
        </w:rPr>
        <w:t xml:space="preserve">which was </w:t>
      </w:r>
      <w:r w:rsidRPr="00EB5F70">
        <w:rPr>
          <w:rFonts w:ascii="Times New Roman" w:hAnsi="Times New Roman" w:cs="Times New Roman"/>
          <w:sz w:val="24"/>
          <w:szCs w:val="24"/>
        </w:rPr>
        <w:t xml:space="preserve">drawn from a large pragmatic trial. Participants included in this </w:t>
      </w:r>
      <w:r w:rsidR="00C868CD" w:rsidRPr="00EB5F70">
        <w:rPr>
          <w:rFonts w:ascii="Times New Roman" w:hAnsi="Times New Roman" w:cs="Times New Roman"/>
          <w:sz w:val="24"/>
          <w:szCs w:val="24"/>
        </w:rPr>
        <w:t xml:space="preserve">analysis </w:t>
      </w:r>
      <w:r w:rsidRPr="00EB5F70">
        <w:rPr>
          <w:rFonts w:ascii="Times New Roman" w:hAnsi="Times New Roman" w:cs="Times New Roman"/>
          <w:sz w:val="24"/>
          <w:szCs w:val="24"/>
        </w:rPr>
        <w:t xml:space="preserve">were broadly representative of the trial population, which in turn reflected the range and </w:t>
      </w:r>
      <w:r w:rsidRPr="00C61F01">
        <w:rPr>
          <w:rFonts w:ascii="Times New Roman" w:hAnsi="Times New Roman" w:cs="Times New Roman"/>
          <w:sz w:val="24"/>
          <w:szCs w:val="24"/>
        </w:rPr>
        <w:t>severity of alcohol problems presenting to UK alcohol treatment services at the time of the study.</w:t>
      </w:r>
      <w:r w:rsidR="00BD6A58" w:rsidRPr="00C61F01">
        <w:rPr>
          <w:rFonts w:ascii="Times New Roman" w:eastAsiaTheme="minorHAnsi" w:hAnsi="Times New Roman" w:cs="Times New Roman"/>
          <w:sz w:val="24"/>
          <w:szCs w:val="24"/>
          <w:lang w:val="en-GB"/>
        </w:rPr>
        <w:t xml:space="preserve"> </w:t>
      </w:r>
      <w:r w:rsidR="00875F5A" w:rsidRPr="00C61F01">
        <w:rPr>
          <w:rFonts w:ascii="Times New Roman" w:eastAsiaTheme="minorHAnsi" w:hAnsi="Times New Roman" w:cs="Times New Roman"/>
          <w:sz w:val="24"/>
          <w:szCs w:val="24"/>
          <w:lang w:val="en-GB"/>
        </w:rPr>
        <w:t>W</w:t>
      </w:r>
      <w:r w:rsidR="00875F5A" w:rsidRPr="00C61F01">
        <w:rPr>
          <w:rFonts w:ascii="Times New Roman" w:eastAsiaTheme="minorHAnsi" w:hAnsi="Times New Roman" w:cs="Times New Roman"/>
          <w:sz w:val="24"/>
          <w:szCs w:val="24"/>
        </w:rPr>
        <w:t>e suggest that study findings are generalizable to similar populations characterized by voluntary participation in treatment</w:t>
      </w:r>
      <w:r w:rsidR="00BD6A58" w:rsidRPr="00C61F01">
        <w:rPr>
          <w:rFonts w:ascii="Times New Roman" w:eastAsiaTheme="minorHAnsi" w:hAnsi="Times New Roman" w:cs="Times New Roman"/>
          <w:sz w:val="24"/>
          <w:szCs w:val="24"/>
          <w:lang w:val="en-GB"/>
        </w:rPr>
        <w:t>.</w:t>
      </w:r>
    </w:p>
    <w:p w14:paraId="1729B35C" w14:textId="5C08CE90" w:rsidR="008B2575" w:rsidRPr="00EB5F70" w:rsidRDefault="00274961" w:rsidP="008C5B74">
      <w:pPr>
        <w:rPr>
          <w:rFonts w:ascii="Times New Roman" w:hAnsi="Times New Roman" w:cs="Times New Roman"/>
          <w:sz w:val="24"/>
          <w:szCs w:val="24"/>
        </w:rPr>
      </w:pPr>
      <w:r w:rsidRPr="00C61F01">
        <w:rPr>
          <w:rFonts w:ascii="Times New Roman" w:hAnsi="Times New Roman" w:cs="Times New Roman"/>
          <w:sz w:val="24"/>
          <w:szCs w:val="24"/>
        </w:rPr>
        <w:t>Although session-level</w:t>
      </w:r>
      <w:r w:rsidRPr="00EB5F70">
        <w:rPr>
          <w:rFonts w:ascii="Times New Roman" w:hAnsi="Times New Roman" w:cs="Times New Roman"/>
          <w:sz w:val="24"/>
          <w:szCs w:val="24"/>
        </w:rPr>
        <w:t xml:space="preserve"> sampling for video recording ensured </w:t>
      </w:r>
      <w:r w:rsidR="00481E04" w:rsidRPr="00EB5F70">
        <w:rPr>
          <w:rFonts w:ascii="Times New Roman" w:hAnsi="Times New Roman" w:cs="Times New Roman"/>
          <w:sz w:val="24"/>
          <w:szCs w:val="24"/>
        </w:rPr>
        <w:t xml:space="preserve">equal distribution </w:t>
      </w:r>
      <w:r w:rsidR="00722716" w:rsidRPr="00EB5F70">
        <w:rPr>
          <w:rFonts w:ascii="Times New Roman" w:hAnsi="Times New Roman" w:cs="Times New Roman"/>
          <w:sz w:val="24"/>
          <w:szCs w:val="24"/>
        </w:rPr>
        <w:t>in</w:t>
      </w:r>
      <w:r w:rsidRPr="00EB5F70">
        <w:rPr>
          <w:rFonts w:ascii="Times New Roman" w:hAnsi="Times New Roman" w:cs="Times New Roman"/>
          <w:sz w:val="24"/>
          <w:szCs w:val="24"/>
        </w:rPr>
        <w:t xml:space="preserve"> session numbers and </w:t>
      </w:r>
      <w:r w:rsidR="00722716" w:rsidRPr="00EB5F70">
        <w:rPr>
          <w:rFonts w:ascii="Times New Roman" w:hAnsi="Times New Roman" w:cs="Times New Roman"/>
          <w:sz w:val="24"/>
          <w:szCs w:val="24"/>
        </w:rPr>
        <w:t xml:space="preserve">treatment </w:t>
      </w:r>
      <w:r w:rsidR="00F663EE" w:rsidRPr="00EB5F70">
        <w:rPr>
          <w:rFonts w:ascii="Times New Roman" w:hAnsi="Times New Roman" w:cs="Times New Roman"/>
          <w:sz w:val="24"/>
          <w:szCs w:val="24"/>
        </w:rPr>
        <w:t>centers</w:t>
      </w:r>
      <w:r w:rsidR="00722716" w:rsidRPr="00EB5F70">
        <w:rPr>
          <w:rFonts w:ascii="Times New Roman" w:hAnsi="Times New Roman" w:cs="Times New Roman"/>
          <w:sz w:val="24"/>
          <w:szCs w:val="24"/>
        </w:rPr>
        <w:t xml:space="preserve">, </w:t>
      </w:r>
      <w:r w:rsidRPr="00EB5F70">
        <w:rPr>
          <w:rFonts w:ascii="Times New Roman" w:hAnsi="Times New Roman" w:cs="Times New Roman"/>
          <w:sz w:val="24"/>
          <w:szCs w:val="24"/>
        </w:rPr>
        <w:t xml:space="preserve">only 1 </w:t>
      </w:r>
      <w:r w:rsidR="00722716" w:rsidRPr="00EB5F70">
        <w:rPr>
          <w:rFonts w:ascii="Times New Roman" w:hAnsi="Times New Roman" w:cs="Times New Roman"/>
          <w:sz w:val="24"/>
          <w:szCs w:val="24"/>
        </w:rPr>
        <w:t xml:space="preserve">session per </w:t>
      </w:r>
      <w:r w:rsidR="001B444E" w:rsidRPr="00EB5F70">
        <w:rPr>
          <w:rFonts w:ascii="Times New Roman" w:hAnsi="Times New Roman" w:cs="Times New Roman"/>
          <w:sz w:val="24"/>
          <w:szCs w:val="24"/>
        </w:rPr>
        <w:t>client</w:t>
      </w:r>
      <w:r w:rsidR="00722716" w:rsidRPr="00EB5F70">
        <w:rPr>
          <w:rFonts w:ascii="Times New Roman" w:hAnsi="Times New Roman" w:cs="Times New Roman"/>
          <w:sz w:val="24"/>
          <w:szCs w:val="24"/>
        </w:rPr>
        <w:t xml:space="preserve"> was coded of</w:t>
      </w:r>
      <w:r w:rsidRPr="00EB5F70">
        <w:rPr>
          <w:rFonts w:ascii="Times New Roman" w:hAnsi="Times New Roman" w:cs="Times New Roman"/>
          <w:sz w:val="24"/>
          <w:szCs w:val="24"/>
        </w:rPr>
        <w:t xml:space="preserve"> the possible 3 MET sessio</w:t>
      </w:r>
      <w:r w:rsidR="00722716" w:rsidRPr="00EB5F70">
        <w:rPr>
          <w:rFonts w:ascii="Times New Roman" w:hAnsi="Times New Roman" w:cs="Times New Roman"/>
          <w:sz w:val="24"/>
          <w:szCs w:val="24"/>
        </w:rPr>
        <w:t xml:space="preserve">ns and 8 SBNT sessions. Thus </w:t>
      </w:r>
      <w:r w:rsidRPr="00EB5F70">
        <w:rPr>
          <w:rFonts w:ascii="Times New Roman" w:hAnsi="Times New Roman" w:cs="Times New Roman"/>
          <w:sz w:val="24"/>
          <w:szCs w:val="24"/>
        </w:rPr>
        <w:t xml:space="preserve">only </w:t>
      </w:r>
      <w:r w:rsidR="00722716" w:rsidRPr="00EB5F70">
        <w:rPr>
          <w:rFonts w:ascii="Times New Roman" w:hAnsi="Times New Roman" w:cs="Times New Roman"/>
          <w:sz w:val="24"/>
          <w:szCs w:val="24"/>
        </w:rPr>
        <w:t>one part</w:t>
      </w:r>
      <w:r w:rsidRPr="00EB5F70">
        <w:rPr>
          <w:rFonts w:ascii="Times New Roman" w:hAnsi="Times New Roman" w:cs="Times New Roman"/>
          <w:sz w:val="24"/>
          <w:szCs w:val="24"/>
        </w:rPr>
        <w:t xml:space="preserve"> of </w:t>
      </w:r>
      <w:r w:rsidR="00481E04" w:rsidRPr="00EB5F70">
        <w:rPr>
          <w:rFonts w:ascii="Times New Roman" w:hAnsi="Times New Roman" w:cs="Times New Roman"/>
          <w:sz w:val="24"/>
          <w:szCs w:val="24"/>
        </w:rPr>
        <w:t>each individual</w:t>
      </w:r>
      <w:r w:rsidRPr="00EB5F70">
        <w:rPr>
          <w:rFonts w:ascii="Times New Roman" w:hAnsi="Times New Roman" w:cs="Times New Roman"/>
          <w:sz w:val="24"/>
          <w:szCs w:val="24"/>
        </w:rPr>
        <w:t xml:space="preserve"> treatment process</w:t>
      </w:r>
      <w:r w:rsidR="00722716" w:rsidRPr="00EB5F70">
        <w:rPr>
          <w:rFonts w:ascii="Times New Roman" w:hAnsi="Times New Roman" w:cs="Times New Roman"/>
          <w:sz w:val="24"/>
          <w:szCs w:val="24"/>
        </w:rPr>
        <w:t xml:space="preserve"> has been </w:t>
      </w:r>
      <w:r w:rsidR="00916E10" w:rsidRPr="00EB5F70">
        <w:rPr>
          <w:rFonts w:ascii="Times New Roman" w:hAnsi="Times New Roman" w:cs="Times New Roman"/>
          <w:sz w:val="24"/>
          <w:szCs w:val="24"/>
        </w:rPr>
        <w:t xml:space="preserve">examined </w:t>
      </w:r>
      <w:r w:rsidR="00722716" w:rsidRPr="00EB5F70">
        <w:rPr>
          <w:rFonts w:ascii="Times New Roman" w:hAnsi="Times New Roman" w:cs="Times New Roman"/>
          <w:sz w:val="24"/>
          <w:szCs w:val="24"/>
        </w:rPr>
        <w:t>here.</w:t>
      </w:r>
      <w:r w:rsidR="008C5B74" w:rsidRPr="00EB5F70">
        <w:rPr>
          <w:rFonts w:ascii="Times New Roman" w:hAnsi="Times New Roman" w:cs="Times New Roman"/>
          <w:sz w:val="24"/>
          <w:szCs w:val="24"/>
        </w:rPr>
        <w:t xml:space="preserve"> </w:t>
      </w:r>
    </w:p>
    <w:p w14:paraId="35D2A026" w14:textId="77777777" w:rsidR="006E102B" w:rsidRPr="00EB5F70" w:rsidRDefault="006E102B" w:rsidP="006E102B">
      <w:pPr>
        <w:rPr>
          <w:rFonts w:ascii="Times New Roman" w:hAnsi="Times New Roman" w:cs="Times New Roman"/>
          <w:sz w:val="24"/>
          <w:szCs w:val="24"/>
        </w:rPr>
      </w:pPr>
      <w:r w:rsidRPr="00EB5F70">
        <w:rPr>
          <w:rFonts w:ascii="Times New Roman" w:hAnsi="Times New Roman" w:cs="Times New Roman"/>
          <w:sz w:val="24"/>
          <w:szCs w:val="24"/>
        </w:rPr>
        <w:t xml:space="preserve">A limitation of the present analysis is that, apart from drinking behavior at follow-up, it says nothing about the effects of treatment on client variables such as affect, cognition or behavior further along the causal path. In other words, we have not identified a mechanism of change, defined as events or processes that occur within the client or a changed relationship between a client and his/her environment (Longabaugh et al., 2013). It is interesting to note, however, that, when at follow-up </w:t>
      </w:r>
      <w:r w:rsidRPr="00EB5F70">
        <w:rPr>
          <w:rFonts w:ascii="Times New Roman" w:hAnsi="Times New Roman" w:cs="Times New Roman"/>
          <w:sz w:val="24"/>
          <w:szCs w:val="24"/>
          <w:lang w:eastAsia="fr-CH"/>
        </w:rPr>
        <w:t xml:space="preserve">UKATT clients were asked about factors to which they attributed positive changes they had made, “characteristics of the therapist and of the client’s relationship with the therapist were the most popular attributions, outnumbering motivational-type attributions for motivational enhancement therapy for (MET) clients and social-type attributions for social behavior and network therapy clients (SBNT)” (Orford, 2008, p. 876; </w:t>
      </w:r>
      <w:r w:rsidRPr="00EB5F70">
        <w:rPr>
          <w:rFonts w:ascii="Times New Roman" w:hAnsi="Times New Roman" w:cs="Times New Roman"/>
          <w:sz w:val="24"/>
          <w:szCs w:val="24"/>
        </w:rPr>
        <w:t>Orford, Hodgson, Copello, Wilton, &amp; Slegg,</w:t>
      </w:r>
      <w:r w:rsidRPr="00EB5F70">
        <w:rPr>
          <w:rFonts w:ascii="Times New Roman" w:hAnsi="Times New Roman" w:cs="Times New Roman"/>
          <w:sz w:val="24"/>
          <w:szCs w:val="24"/>
          <w:lang w:eastAsia="fr-CH"/>
        </w:rPr>
        <w:t xml:space="preserve"> 2009). Nevertheless, the lack of coding of client language is another limitation of this analysis to be borne in mind.</w:t>
      </w:r>
    </w:p>
    <w:p w14:paraId="6C568F78" w14:textId="77777777" w:rsidR="008F0AC6" w:rsidRPr="00EB5F70" w:rsidRDefault="008F0AC6" w:rsidP="008C5B74">
      <w:pPr>
        <w:rPr>
          <w:rFonts w:ascii="Times New Roman" w:hAnsi="Times New Roman" w:cs="Times New Roman"/>
          <w:sz w:val="24"/>
          <w:szCs w:val="24"/>
        </w:rPr>
      </w:pPr>
    </w:p>
    <w:p w14:paraId="4FCADB3D" w14:textId="77777777" w:rsidR="004010C6" w:rsidRPr="00EB5F70" w:rsidRDefault="00A067E4">
      <w:pPr>
        <w:ind w:firstLine="0"/>
        <w:rPr>
          <w:rFonts w:ascii="Times New Roman" w:hAnsi="Times New Roman" w:cs="Times New Roman"/>
          <w:b/>
          <w:sz w:val="24"/>
          <w:szCs w:val="24"/>
        </w:rPr>
      </w:pPr>
      <w:r w:rsidRPr="00EB5F70">
        <w:rPr>
          <w:rFonts w:ascii="Times New Roman" w:hAnsi="Times New Roman" w:cs="Times New Roman"/>
          <w:b/>
          <w:sz w:val="24"/>
          <w:szCs w:val="24"/>
        </w:rPr>
        <w:lastRenderedPageBreak/>
        <w:t>Conclusions</w:t>
      </w:r>
    </w:p>
    <w:p w14:paraId="34499BB0" w14:textId="6A57F476" w:rsidR="00722716" w:rsidRPr="00C33339" w:rsidRDefault="005D69CB" w:rsidP="00FA2ABE">
      <w:pPr>
        <w:rPr>
          <w:rFonts w:ascii="Times New Roman" w:hAnsi="Times New Roman" w:cs="Times New Roman"/>
          <w:sz w:val="24"/>
          <w:szCs w:val="24"/>
        </w:rPr>
      </w:pPr>
      <w:r w:rsidRPr="00EB5F70">
        <w:rPr>
          <w:rFonts w:ascii="Times New Roman" w:hAnsi="Times New Roman" w:cs="Times New Roman"/>
          <w:sz w:val="24"/>
          <w:szCs w:val="24"/>
        </w:rPr>
        <w:t>T</w:t>
      </w:r>
      <w:r w:rsidR="008C5B74" w:rsidRPr="00EB5F70">
        <w:rPr>
          <w:rFonts w:ascii="Times New Roman" w:hAnsi="Times New Roman" w:cs="Times New Roman"/>
          <w:sz w:val="24"/>
          <w:szCs w:val="24"/>
        </w:rPr>
        <w:t xml:space="preserve">he present </w:t>
      </w:r>
      <w:r w:rsidR="00C868CD" w:rsidRPr="00EB5F70">
        <w:rPr>
          <w:rFonts w:ascii="Times New Roman" w:hAnsi="Times New Roman" w:cs="Times New Roman"/>
          <w:sz w:val="24"/>
          <w:szCs w:val="24"/>
        </w:rPr>
        <w:t xml:space="preserve">analysis </w:t>
      </w:r>
      <w:r w:rsidR="00AF3666" w:rsidRPr="00EB5F70">
        <w:rPr>
          <w:rFonts w:ascii="Times New Roman" w:hAnsi="Times New Roman" w:cs="Times New Roman"/>
          <w:sz w:val="24"/>
          <w:szCs w:val="24"/>
        </w:rPr>
        <w:t xml:space="preserve">suggests </w:t>
      </w:r>
      <w:r w:rsidR="007E4E3A" w:rsidRPr="00EB5F70">
        <w:rPr>
          <w:rFonts w:ascii="Times New Roman" w:hAnsi="Times New Roman" w:cs="Times New Roman"/>
          <w:sz w:val="24"/>
          <w:szCs w:val="24"/>
        </w:rPr>
        <w:t xml:space="preserve">that </w:t>
      </w:r>
      <w:r w:rsidR="00110C8A" w:rsidRPr="00EB5F70">
        <w:rPr>
          <w:rFonts w:ascii="Times New Roman" w:hAnsi="Times New Roman" w:cs="Times New Roman"/>
          <w:sz w:val="24"/>
          <w:szCs w:val="24"/>
        </w:rPr>
        <w:t>the quality of the accomplishment of core treatment tasks is</w:t>
      </w:r>
      <w:r w:rsidR="00AF3666" w:rsidRPr="00EB5F70">
        <w:rPr>
          <w:rFonts w:ascii="Times New Roman" w:hAnsi="Times New Roman" w:cs="Times New Roman"/>
          <w:sz w:val="24"/>
          <w:szCs w:val="24"/>
        </w:rPr>
        <w:t xml:space="preserve"> </w:t>
      </w:r>
      <w:r w:rsidR="008C5B74" w:rsidRPr="00EB5F70">
        <w:rPr>
          <w:rFonts w:ascii="Times New Roman" w:hAnsi="Times New Roman" w:cs="Times New Roman"/>
          <w:sz w:val="24"/>
          <w:szCs w:val="24"/>
        </w:rPr>
        <w:t>equivalently impactful</w:t>
      </w:r>
      <w:r w:rsidR="008B2575" w:rsidRPr="00EB5F70">
        <w:rPr>
          <w:rFonts w:ascii="Times New Roman" w:hAnsi="Times New Roman" w:cs="Times New Roman"/>
          <w:sz w:val="24"/>
          <w:szCs w:val="24"/>
        </w:rPr>
        <w:t xml:space="preserve"> on outcomes in two </w:t>
      </w:r>
      <w:r w:rsidR="008C5B74" w:rsidRPr="00EB5F70">
        <w:rPr>
          <w:rFonts w:ascii="Times New Roman" w:hAnsi="Times New Roman" w:cs="Times New Roman"/>
          <w:sz w:val="24"/>
          <w:szCs w:val="24"/>
        </w:rPr>
        <w:t>treatments</w:t>
      </w:r>
      <w:r w:rsidR="008B2575" w:rsidRPr="00EB5F70">
        <w:rPr>
          <w:rFonts w:ascii="Times New Roman" w:hAnsi="Times New Roman" w:cs="Times New Roman"/>
          <w:sz w:val="24"/>
          <w:szCs w:val="24"/>
        </w:rPr>
        <w:t xml:space="preserve"> that were designed to provide a strong contrast</w:t>
      </w:r>
      <w:r w:rsidR="0090652F" w:rsidRPr="00EB5F70">
        <w:rPr>
          <w:rFonts w:ascii="Times New Roman" w:hAnsi="Times New Roman" w:cs="Times New Roman"/>
          <w:sz w:val="24"/>
          <w:szCs w:val="24"/>
        </w:rPr>
        <w:t>,</w:t>
      </w:r>
      <w:r w:rsidR="008C5B74" w:rsidRPr="00EB5F70">
        <w:rPr>
          <w:rFonts w:ascii="Times New Roman" w:hAnsi="Times New Roman" w:cs="Times New Roman"/>
          <w:sz w:val="24"/>
          <w:szCs w:val="24"/>
        </w:rPr>
        <w:t xml:space="preserve"> one of which was social</w:t>
      </w:r>
      <w:r w:rsidR="008C5B74" w:rsidRPr="00C33339">
        <w:rPr>
          <w:rFonts w:ascii="Times New Roman" w:hAnsi="Times New Roman" w:cs="Times New Roman"/>
          <w:sz w:val="24"/>
          <w:szCs w:val="24"/>
        </w:rPr>
        <w:t xml:space="preserve"> network focused and required no more than basic motivational interviewing skills and an ability to work with people other than the client who were present at the session prior to SBNT training. </w:t>
      </w:r>
      <w:r w:rsidRPr="00C33339">
        <w:rPr>
          <w:rFonts w:ascii="Times New Roman" w:hAnsi="Times New Roman" w:cs="Times New Roman"/>
          <w:sz w:val="24"/>
          <w:szCs w:val="24"/>
        </w:rPr>
        <w:t xml:space="preserve">Further research on </w:t>
      </w:r>
      <w:r w:rsidR="00FA2ABE" w:rsidRPr="00C33339">
        <w:rPr>
          <w:rFonts w:ascii="Times New Roman" w:hAnsi="Times New Roman" w:cs="Times New Roman"/>
          <w:sz w:val="24"/>
          <w:szCs w:val="24"/>
        </w:rPr>
        <w:t xml:space="preserve">how </w:t>
      </w:r>
      <w:r w:rsidRPr="00C33339">
        <w:rPr>
          <w:rFonts w:ascii="Times New Roman" w:hAnsi="Times New Roman" w:cs="Times New Roman"/>
          <w:sz w:val="24"/>
          <w:szCs w:val="24"/>
        </w:rPr>
        <w:t xml:space="preserve">treatment </w:t>
      </w:r>
      <w:r w:rsidR="00FA2ABE" w:rsidRPr="00C33339">
        <w:rPr>
          <w:rFonts w:ascii="Times New Roman" w:hAnsi="Times New Roman" w:cs="Times New Roman"/>
          <w:sz w:val="24"/>
          <w:szCs w:val="24"/>
        </w:rPr>
        <w:t>works and why</w:t>
      </w:r>
      <w:r w:rsidRPr="00C33339">
        <w:rPr>
          <w:rFonts w:ascii="Times New Roman" w:hAnsi="Times New Roman" w:cs="Times New Roman"/>
          <w:sz w:val="24"/>
          <w:szCs w:val="24"/>
        </w:rPr>
        <w:t xml:space="preserve"> is needed which pays rigorous attention to therapist skills and </w:t>
      </w:r>
      <w:r w:rsidR="00FA2ABE" w:rsidRPr="00C33339">
        <w:rPr>
          <w:rFonts w:ascii="Times New Roman" w:hAnsi="Times New Roman" w:cs="Times New Roman"/>
          <w:sz w:val="24"/>
          <w:szCs w:val="24"/>
        </w:rPr>
        <w:t xml:space="preserve">the quality of therapist </w:t>
      </w:r>
      <w:r w:rsidR="00F663EE" w:rsidRPr="00C33339">
        <w:rPr>
          <w:rFonts w:ascii="Times New Roman" w:hAnsi="Times New Roman" w:cs="Times New Roman"/>
          <w:sz w:val="24"/>
          <w:szCs w:val="24"/>
        </w:rPr>
        <w:t>behaviors</w:t>
      </w:r>
      <w:r w:rsidRPr="00C33339">
        <w:rPr>
          <w:rFonts w:ascii="Times New Roman" w:hAnsi="Times New Roman" w:cs="Times New Roman"/>
          <w:sz w:val="24"/>
          <w:szCs w:val="24"/>
        </w:rPr>
        <w:t xml:space="preserve"> </w:t>
      </w:r>
      <w:r w:rsidR="00FA2ABE" w:rsidRPr="00C33339">
        <w:rPr>
          <w:rFonts w:ascii="Times New Roman" w:hAnsi="Times New Roman" w:cs="Times New Roman"/>
          <w:sz w:val="24"/>
          <w:szCs w:val="24"/>
        </w:rPr>
        <w:t>within sessions</w:t>
      </w:r>
      <w:r w:rsidRPr="00C33339">
        <w:rPr>
          <w:rFonts w:ascii="Times New Roman" w:hAnsi="Times New Roman" w:cs="Times New Roman"/>
          <w:sz w:val="24"/>
          <w:szCs w:val="24"/>
        </w:rPr>
        <w:t xml:space="preserve">. Such study may benefit from the use of motivational interviewing skills measures </w:t>
      </w:r>
      <w:r w:rsidR="00FA2ABE" w:rsidRPr="00C33339">
        <w:rPr>
          <w:rFonts w:ascii="Times New Roman" w:hAnsi="Times New Roman" w:cs="Times New Roman"/>
          <w:sz w:val="24"/>
          <w:szCs w:val="24"/>
        </w:rPr>
        <w:t xml:space="preserve">such as the PRS </w:t>
      </w:r>
      <w:r w:rsidRPr="00C33339">
        <w:rPr>
          <w:rFonts w:ascii="Times New Roman" w:hAnsi="Times New Roman" w:cs="Times New Roman"/>
          <w:sz w:val="24"/>
          <w:szCs w:val="24"/>
        </w:rPr>
        <w:t>across</w:t>
      </w:r>
      <w:r w:rsidR="00FA2ABE" w:rsidRPr="00C33339">
        <w:rPr>
          <w:rFonts w:ascii="Times New Roman" w:hAnsi="Times New Roman" w:cs="Times New Roman"/>
          <w:sz w:val="24"/>
          <w:szCs w:val="24"/>
        </w:rPr>
        <w:t xml:space="preserve"> treatment modalities as they appear capable of contrib</w:t>
      </w:r>
      <w:r w:rsidR="00EE6C44" w:rsidRPr="00C33339">
        <w:rPr>
          <w:rFonts w:ascii="Times New Roman" w:hAnsi="Times New Roman" w:cs="Times New Roman"/>
          <w:sz w:val="24"/>
          <w:szCs w:val="24"/>
        </w:rPr>
        <w:t>u</w:t>
      </w:r>
      <w:r w:rsidR="00FA2ABE" w:rsidRPr="00C33339">
        <w:rPr>
          <w:rFonts w:ascii="Times New Roman" w:hAnsi="Times New Roman" w:cs="Times New Roman"/>
          <w:sz w:val="24"/>
          <w:szCs w:val="24"/>
        </w:rPr>
        <w:t>ting to our understanding of what is it that therapists do that enhance</w:t>
      </w:r>
      <w:r w:rsidR="007351FB">
        <w:rPr>
          <w:rFonts w:ascii="Times New Roman" w:hAnsi="Times New Roman" w:cs="Times New Roman"/>
          <w:sz w:val="24"/>
          <w:szCs w:val="24"/>
        </w:rPr>
        <w:t>s</w:t>
      </w:r>
      <w:r w:rsidR="00FA2ABE" w:rsidRPr="00C33339">
        <w:rPr>
          <w:rFonts w:ascii="Times New Roman" w:hAnsi="Times New Roman" w:cs="Times New Roman"/>
          <w:sz w:val="24"/>
          <w:szCs w:val="24"/>
        </w:rPr>
        <w:t xml:space="preserve"> outcomes. Further research should also give careful attention to the client, and their interactions with the therapist.</w:t>
      </w:r>
      <w:r w:rsidR="009C3334">
        <w:rPr>
          <w:rFonts w:ascii="Times New Roman" w:hAnsi="Times New Roman" w:cs="Times New Roman"/>
          <w:sz w:val="24"/>
          <w:szCs w:val="24"/>
        </w:rPr>
        <w:t xml:space="preserve"> </w:t>
      </w:r>
      <w:r w:rsidR="00F366DD" w:rsidRPr="00C33339">
        <w:rPr>
          <w:rFonts w:ascii="Times New Roman" w:hAnsi="Times New Roman" w:cs="Times New Roman"/>
          <w:sz w:val="24"/>
          <w:szCs w:val="24"/>
        </w:rPr>
        <w:t>The importance of the quality of delivery of named treatment tasks transcends the impact of delivering treatments with different theoretical underpinnings</w:t>
      </w:r>
      <w:r w:rsidR="00F366DD">
        <w:rPr>
          <w:rFonts w:ascii="Times New Roman" w:hAnsi="Times New Roman" w:cs="Times New Roman"/>
          <w:sz w:val="24"/>
          <w:szCs w:val="24"/>
        </w:rPr>
        <w:t xml:space="preserve"> in UKATT</w:t>
      </w:r>
      <w:r w:rsidR="00F366DD" w:rsidRPr="00C33339">
        <w:rPr>
          <w:rFonts w:ascii="Times New Roman" w:hAnsi="Times New Roman" w:cs="Times New Roman"/>
          <w:sz w:val="24"/>
          <w:szCs w:val="24"/>
        </w:rPr>
        <w:t>.</w:t>
      </w:r>
      <w:r w:rsidR="009C3334">
        <w:rPr>
          <w:rFonts w:ascii="Times New Roman" w:hAnsi="Times New Roman" w:cs="Times New Roman"/>
          <w:sz w:val="24"/>
          <w:szCs w:val="24"/>
        </w:rPr>
        <w:t xml:space="preserve"> </w:t>
      </w:r>
    </w:p>
    <w:p w14:paraId="06E67154" w14:textId="77777777" w:rsidR="00722716" w:rsidRPr="00C33339" w:rsidRDefault="00722716">
      <w:pPr>
        <w:rPr>
          <w:rFonts w:ascii="Times New Roman" w:hAnsi="Times New Roman" w:cs="Times New Roman"/>
          <w:sz w:val="24"/>
          <w:szCs w:val="24"/>
        </w:rPr>
      </w:pPr>
    </w:p>
    <w:p w14:paraId="51965471" w14:textId="77777777" w:rsidR="00774655" w:rsidRPr="00C33339" w:rsidRDefault="00774655" w:rsidP="00BD2320">
      <w:pPr>
        <w:rPr>
          <w:rFonts w:ascii="Times New Roman" w:hAnsi="Times New Roman" w:cs="Times New Roman"/>
          <w:sz w:val="24"/>
          <w:szCs w:val="24"/>
        </w:rPr>
      </w:pPr>
    </w:p>
    <w:p w14:paraId="0F326458" w14:textId="77777777" w:rsidR="00E019FC" w:rsidRPr="00C33339" w:rsidRDefault="00E019FC" w:rsidP="00BD2320">
      <w:pPr>
        <w:rPr>
          <w:rFonts w:ascii="Times New Roman" w:hAnsi="Times New Roman" w:cs="Times New Roman"/>
          <w:sz w:val="24"/>
          <w:szCs w:val="24"/>
        </w:rPr>
      </w:pPr>
    </w:p>
    <w:p w14:paraId="1B405006" w14:textId="77777777" w:rsidR="00E019FC" w:rsidRPr="00C33339" w:rsidRDefault="00E019FC" w:rsidP="00BD2320">
      <w:pPr>
        <w:rPr>
          <w:rFonts w:ascii="Times New Roman" w:hAnsi="Times New Roman" w:cs="Times New Roman"/>
          <w:sz w:val="24"/>
          <w:szCs w:val="24"/>
        </w:rPr>
      </w:pPr>
    </w:p>
    <w:p w14:paraId="0D4AB7AC" w14:textId="77777777" w:rsidR="003F3583" w:rsidRPr="00C33339" w:rsidRDefault="003F3583" w:rsidP="00BD2320">
      <w:pPr>
        <w:rPr>
          <w:rFonts w:ascii="Times New Roman" w:hAnsi="Times New Roman" w:cs="Times New Roman"/>
          <w:sz w:val="24"/>
          <w:szCs w:val="24"/>
        </w:rPr>
      </w:pPr>
      <w:r w:rsidRPr="00C33339">
        <w:rPr>
          <w:rFonts w:ascii="Times New Roman" w:hAnsi="Times New Roman" w:cs="Times New Roman"/>
          <w:sz w:val="24"/>
          <w:szCs w:val="24"/>
        </w:rPr>
        <w:br w:type="page"/>
      </w:r>
    </w:p>
    <w:p w14:paraId="0674EB86" w14:textId="77777777" w:rsidR="004730AB" w:rsidRDefault="0049454C" w:rsidP="00203B58">
      <w:pPr>
        <w:pStyle w:val="Heading2"/>
        <w:rPr>
          <w:lang w:val="es-ES_tradnl"/>
        </w:rPr>
      </w:pPr>
      <w:r w:rsidRPr="0049454C">
        <w:rPr>
          <w:lang w:val="es-ES_tradnl"/>
        </w:rPr>
        <w:lastRenderedPageBreak/>
        <w:t>References</w:t>
      </w:r>
    </w:p>
    <w:p w14:paraId="4E7C2355"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lang w:val="es-ES_tradnl"/>
        </w:rPr>
        <w:t xml:space="preserve">Babor, T. F., &amp; Del Boca, F. K. (Eds.). </w:t>
      </w:r>
      <w:r w:rsidRPr="004E6DD7">
        <w:rPr>
          <w:rFonts w:ascii="Times New Roman" w:hAnsi="Times New Roman" w:cs="Times New Roman"/>
          <w:sz w:val="24"/>
          <w:szCs w:val="24"/>
        </w:rPr>
        <w:t xml:space="preserve">(2003). </w:t>
      </w:r>
      <w:r w:rsidRPr="004E6DD7">
        <w:rPr>
          <w:rFonts w:ascii="Times New Roman" w:hAnsi="Times New Roman" w:cs="Times New Roman"/>
          <w:i/>
          <w:sz w:val="24"/>
          <w:szCs w:val="24"/>
        </w:rPr>
        <w:t>Treatment Matching in Alcoholism</w:t>
      </w:r>
      <w:r w:rsidRPr="004E6DD7">
        <w:rPr>
          <w:rFonts w:ascii="Times New Roman" w:hAnsi="Times New Roman" w:cs="Times New Roman"/>
          <w:sz w:val="24"/>
          <w:szCs w:val="24"/>
        </w:rPr>
        <w:t>. Cambridge UK: Cambridge University Press.</w:t>
      </w:r>
    </w:p>
    <w:p w14:paraId="0B6461CD" w14:textId="77777777" w:rsidR="004E6DD7" w:rsidRPr="004E6DD7" w:rsidRDefault="00A067E4" w:rsidP="004E6DD7">
      <w:pPr>
        <w:rPr>
          <w:rFonts w:ascii="Times New Roman" w:hAnsi="Times New Roman" w:cs="Times New Roman"/>
          <w:sz w:val="24"/>
          <w:szCs w:val="24"/>
        </w:rPr>
      </w:pPr>
      <w:r w:rsidRPr="00EB5F70">
        <w:rPr>
          <w:rFonts w:ascii="Times New Roman" w:hAnsi="Times New Roman" w:cs="Times New Roman"/>
          <w:sz w:val="24"/>
          <w:szCs w:val="24"/>
        </w:rPr>
        <w:t xml:space="preserve">Baron, R. M. &amp; Kenny, D. A. (1986). </w:t>
      </w:r>
      <w:r w:rsidR="004E6DD7" w:rsidRPr="004E6DD7">
        <w:rPr>
          <w:rFonts w:ascii="Times New Roman" w:hAnsi="Times New Roman" w:cs="Times New Roman"/>
          <w:sz w:val="24"/>
          <w:szCs w:val="24"/>
        </w:rPr>
        <w:t xml:space="preserve">The moderator-mediator distinction in social psychological research: conceptual, strategic and statistical considerations. </w:t>
      </w:r>
      <w:r w:rsidR="004E6DD7" w:rsidRPr="004E6DD7">
        <w:rPr>
          <w:rFonts w:ascii="Times New Roman" w:hAnsi="Times New Roman" w:cs="Times New Roman"/>
          <w:i/>
          <w:sz w:val="24"/>
          <w:szCs w:val="24"/>
        </w:rPr>
        <w:t>Journal of Personality &amp; Social Psychology</w:t>
      </w:r>
      <w:r w:rsidR="004E6DD7" w:rsidRPr="004E6DD7">
        <w:rPr>
          <w:rFonts w:ascii="Times New Roman" w:hAnsi="Times New Roman" w:cs="Times New Roman"/>
          <w:sz w:val="24"/>
          <w:szCs w:val="24"/>
        </w:rPr>
        <w:t>, 51, 1173-1182.</w:t>
      </w:r>
    </w:p>
    <w:p w14:paraId="2508BADC"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Connors, G. J., Carroll, K. M., DiClemente, C. C., Longabaugh, R., &amp; Donovan, D. M. (1997). The therapeutic alliance and its relationship to alcoholism treatment participation and outcome. </w:t>
      </w:r>
      <w:r w:rsidRPr="004E6DD7">
        <w:rPr>
          <w:rFonts w:ascii="Times New Roman" w:hAnsi="Times New Roman" w:cs="Times New Roman"/>
          <w:i/>
          <w:sz w:val="24"/>
          <w:szCs w:val="24"/>
        </w:rPr>
        <w:t>Journal of Consulting &amp; Clinical Psychology, 65</w:t>
      </w:r>
      <w:r w:rsidRPr="004E6DD7">
        <w:rPr>
          <w:rFonts w:ascii="Times New Roman" w:hAnsi="Times New Roman" w:cs="Times New Roman"/>
          <w:sz w:val="24"/>
          <w:szCs w:val="24"/>
        </w:rPr>
        <w:t>, 588-598.</w:t>
      </w:r>
    </w:p>
    <w:p w14:paraId="5AF5450A"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Cook, S., Heather, N., &amp; McCambridge, J. on behalf of the UKATT Research Team (2015a). The role of the working alliance in treatment for alcohol problems. </w:t>
      </w:r>
      <w:r w:rsidRPr="004E6DD7">
        <w:rPr>
          <w:rFonts w:ascii="Times New Roman" w:hAnsi="Times New Roman" w:cs="Times New Roman"/>
          <w:i/>
          <w:sz w:val="24"/>
          <w:szCs w:val="24"/>
        </w:rPr>
        <w:t>Psychology of Addictive Behaviors,</w:t>
      </w:r>
      <w:r w:rsidRPr="004E6DD7">
        <w:rPr>
          <w:rFonts w:ascii="Times New Roman" w:hAnsi="Times New Roman" w:cs="Times New Roman"/>
          <w:sz w:val="24"/>
          <w:szCs w:val="24"/>
        </w:rPr>
        <w:t xml:space="preserve"> 29, 371-381.</w:t>
      </w:r>
    </w:p>
    <w:p w14:paraId="0E66768A"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Cook, S., Heather, N., &amp; McCambridge, J. on behalf of the UKATT Research Team (2015b). Posttreatment motivation and alcohol treatment outcome 9 months later: findings from structural equation modeling. Journal of Consulting &amp; Clinical Psychology, 83, 232-237.</w:t>
      </w:r>
    </w:p>
    <w:p w14:paraId="0BDE40D0"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Copello, A., Orford, J., Hodgson, R., &amp; Tober, G. (2009). </w:t>
      </w:r>
      <w:r w:rsidRPr="004E6DD7">
        <w:rPr>
          <w:rFonts w:ascii="Times New Roman" w:hAnsi="Times New Roman" w:cs="Times New Roman"/>
          <w:i/>
          <w:sz w:val="24"/>
          <w:szCs w:val="24"/>
        </w:rPr>
        <w:t>Social Behaviour and Network Therapy for Alcohol Problems</w:t>
      </w:r>
      <w:r w:rsidRPr="004E6DD7">
        <w:rPr>
          <w:rFonts w:ascii="Times New Roman" w:hAnsi="Times New Roman" w:cs="Times New Roman"/>
          <w:sz w:val="24"/>
          <w:szCs w:val="24"/>
        </w:rPr>
        <w:t>. London: Routledge.</w:t>
      </w:r>
    </w:p>
    <w:p w14:paraId="68691346" w14:textId="77777777" w:rsidR="004E6DD7" w:rsidRPr="004E6DD7" w:rsidRDefault="00160C1F" w:rsidP="004E6DD7">
      <w:pPr>
        <w:rPr>
          <w:rFonts w:ascii="Times New Roman" w:hAnsi="Times New Roman" w:cs="Times New Roman"/>
          <w:sz w:val="24"/>
          <w:szCs w:val="24"/>
        </w:rPr>
      </w:pPr>
      <w:r w:rsidRPr="00C61F01">
        <w:rPr>
          <w:rFonts w:ascii="Times New Roman" w:hAnsi="Times New Roman" w:cs="Times New Roman"/>
          <w:sz w:val="24"/>
          <w:szCs w:val="24"/>
        </w:rPr>
        <w:t xml:space="preserve">Frank, J. D, &amp; Frank, J. B. (1991). </w:t>
      </w:r>
      <w:r w:rsidR="004E6DD7" w:rsidRPr="004E6DD7">
        <w:rPr>
          <w:rFonts w:ascii="Times New Roman" w:hAnsi="Times New Roman" w:cs="Times New Roman"/>
          <w:i/>
          <w:sz w:val="24"/>
          <w:szCs w:val="24"/>
        </w:rPr>
        <w:t>Persuasion and Healing</w:t>
      </w:r>
      <w:r w:rsidR="004E6DD7" w:rsidRPr="004E6DD7">
        <w:rPr>
          <w:rFonts w:ascii="Times New Roman" w:hAnsi="Times New Roman" w:cs="Times New Roman"/>
          <w:sz w:val="24"/>
          <w:szCs w:val="24"/>
        </w:rPr>
        <w:t xml:space="preserve"> (3rd ed.). Baltimore MD: John Hopkins University Press.</w:t>
      </w:r>
    </w:p>
    <w:p w14:paraId="2215489C"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Gaume, J., Longabaugh, R., Magill, M., Bertholet, N., Gmel, G., &amp; Daeppen, J. B. (2016). Under what conditions? Therapist and client characteristics moderate the role of change talk in brief motivational intervention. </w:t>
      </w:r>
      <w:r w:rsidRPr="004E6DD7">
        <w:rPr>
          <w:rFonts w:ascii="Times New Roman" w:hAnsi="Times New Roman" w:cs="Times New Roman"/>
          <w:i/>
          <w:sz w:val="24"/>
          <w:szCs w:val="24"/>
        </w:rPr>
        <w:t>Journal of Consulting &amp; Clinical Psychology, 84</w:t>
      </w:r>
      <w:r w:rsidRPr="004E6DD7">
        <w:rPr>
          <w:rFonts w:ascii="Times New Roman" w:hAnsi="Times New Roman" w:cs="Times New Roman"/>
          <w:sz w:val="24"/>
          <w:szCs w:val="24"/>
        </w:rPr>
        <w:t>, 211-220.</w:t>
      </w:r>
    </w:p>
    <w:p w14:paraId="258F5CE5" w14:textId="77777777" w:rsidR="00203B58" w:rsidRPr="00203B58" w:rsidRDefault="00203B58" w:rsidP="00203B58">
      <w:pPr>
        <w:rPr>
          <w:rFonts w:ascii="Times New Roman" w:hAnsi="Times New Roman"/>
          <w:sz w:val="24"/>
        </w:rPr>
      </w:pPr>
      <w:r w:rsidRPr="00203B58">
        <w:rPr>
          <w:rFonts w:ascii="Times New Roman" w:hAnsi="Times New Roman"/>
          <w:sz w:val="24"/>
        </w:rPr>
        <w:t>Gaume</w:t>
      </w:r>
      <w:r>
        <w:rPr>
          <w:rFonts w:ascii="Times New Roman" w:hAnsi="Times New Roman"/>
          <w:sz w:val="24"/>
        </w:rPr>
        <w:t>,</w:t>
      </w:r>
      <w:r w:rsidRPr="00203B58">
        <w:rPr>
          <w:rFonts w:ascii="Times New Roman" w:hAnsi="Times New Roman"/>
          <w:sz w:val="24"/>
        </w:rPr>
        <w:t xml:space="preserve"> J</w:t>
      </w:r>
      <w:r>
        <w:rPr>
          <w:rFonts w:ascii="Times New Roman" w:hAnsi="Times New Roman"/>
          <w:sz w:val="24"/>
        </w:rPr>
        <w:t>.</w:t>
      </w:r>
      <w:r w:rsidRPr="00203B58">
        <w:rPr>
          <w:rFonts w:ascii="Times New Roman" w:hAnsi="Times New Roman"/>
          <w:sz w:val="24"/>
        </w:rPr>
        <w:t>, Magill</w:t>
      </w:r>
      <w:r>
        <w:rPr>
          <w:rFonts w:ascii="Times New Roman" w:hAnsi="Times New Roman"/>
          <w:sz w:val="24"/>
        </w:rPr>
        <w:t>,</w:t>
      </w:r>
      <w:r w:rsidRPr="00203B58">
        <w:rPr>
          <w:rFonts w:ascii="Times New Roman" w:hAnsi="Times New Roman"/>
          <w:sz w:val="24"/>
        </w:rPr>
        <w:t xml:space="preserve"> M</w:t>
      </w:r>
      <w:r>
        <w:rPr>
          <w:rFonts w:ascii="Times New Roman" w:hAnsi="Times New Roman"/>
          <w:sz w:val="24"/>
        </w:rPr>
        <w:t>.</w:t>
      </w:r>
      <w:r w:rsidRPr="00203B58">
        <w:rPr>
          <w:rFonts w:ascii="Times New Roman" w:hAnsi="Times New Roman"/>
          <w:sz w:val="24"/>
        </w:rPr>
        <w:t>, Longabaugh</w:t>
      </w:r>
      <w:r>
        <w:rPr>
          <w:rFonts w:ascii="Times New Roman" w:hAnsi="Times New Roman"/>
          <w:sz w:val="24"/>
        </w:rPr>
        <w:t>,</w:t>
      </w:r>
      <w:r w:rsidRPr="00203B58">
        <w:rPr>
          <w:rFonts w:ascii="Times New Roman" w:hAnsi="Times New Roman"/>
          <w:sz w:val="24"/>
        </w:rPr>
        <w:t xml:space="preserve"> R</w:t>
      </w:r>
      <w:r>
        <w:rPr>
          <w:rFonts w:ascii="Times New Roman" w:hAnsi="Times New Roman"/>
          <w:sz w:val="24"/>
        </w:rPr>
        <w:t>.</w:t>
      </w:r>
      <w:r w:rsidRPr="00203B58">
        <w:rPr>
          <w:rFonts w:ascii="Times New Roman" w:hAnsi="Times New Roman"/>
          <w:sz w:val="24"/>
        </w:rPr>
        <w:t>, Bertholet</w:t>
      </w:r>
      <w:r>
        <w:rPr>
          <w:rFonts w:ascii="Times New Roman" w:hAnsi="Times New Roman"/>
          <w:sz w:val="24"/>
        </w:rPr>
        <w:t>,</w:t>
      </w:r>
      <w:r w:rsidRPr="00203B58">
        <w:rPr>
          <w:rFonts w:ascii="Times New Roman" w:hAnsi="Times New Roman"/>
          <w:sz w:val="24"/>
        </w:rPr>
        <w:t xml:space="preserve"> N</w:t>
      </w:r>
      <w:r>
        <w:rPr>
          <w:rFonts w:ascii="Times New Roman" w:hAnsi="Times New Roman"/>
          <w:sz w:val="24"/>
        </w:rPr>
        <w:t>.</w:t>
      </w:r>
      <w:r w:rsidRPr="00203B58">
        <w:rPr>
          <w:rFonts w:ascii="Times New Roman" w:hAnsi="Times New Roman"/>
          <w:sz w:val="24"/>
        </w:rPr>
        <w:t>, Gmel</w:t>
      </w:r>
      <w:r>
        <w:rPr>
          <w:rFonts w:ascii="Times New Roman" w:hAnsi="Times New Roman"/>
          <w:sz w:val="24"/>
        </w:rPr>
        <w:t>,</w:t>
      </w:r>
      <w:r w:rsidRPr="00203B58">
        <w:rPr>
          <w:rFonts w:ascii="Times New Roman" w:hAnsi="Times New Roman"/>
          <w:sz w:val="24"/>
        </w:rPr>
        <w:t xml:space="preserve"> G</w:t>
      </w:r>
      <w:r>
        <w:rPr>
          <w:rFonts w:ascii="Times New Roman" w:hAnsi="Times New Roman"/>
          <w:sz w:val="24"/>
        </w:rPr>
        <w:t>.</w:t>
      </w:r>
      <w:r w:rsidRPr="00203B58">
        <w:rPr>
          <w:rFonts w:ascii="Times New Roman" w:hAnsi="Times New Roman"/>
          <w:sz w:val="24"/>
        </w:rPr>
        <w:t>, Daeppen</w:t>
      </w:r>
      <w:r>
        <w:rPr>
          <w:rFonts w:ascii="Times New Roman" w:hAnsi="Times New Roman"/>
          <w:sz w:val="24"/>
        </w:rPr>
        <w:t>,</w:t>
      </w:r>
      <w:r w:rsidRPr="00203B58">
        <w:rPr>
          <w:rFonts w:ascii="Times New Roman" w:hAnsi="Times New Roman"/>
          <w:sz w:val="24"/>
        </w:rPr>
        <w:t xml:space="preserve"> J</w:t>
      </w:r>
      <w:r>
        <w:rPr>
          <w:rFonts w:ascii="Times New Roman" w:hAnsi="Times New Roman"/>
          <w:sz w:val="24"/>
        </w:rPr>
        <w:t>.</w:t>
      </w:r>
      <w:r w:rsidR="00CF17EF">
        <w:rPr>
          <w:rFonts w:ascii="Times New Roman" w:hAnsi="Times New Roman"/>
          <w:sz w:val="24"/>
        </w:rPr>
        <w:t xml:space="preserve"> </w:t>
      </w:r>
      <w:r w:rsidRPr="00203B58">
        <w:rPr>
          <w:rFonts w:ascii="Times New Roman" w:hAnsi="Times New Roman"/>
          <w:sz w:val="24"/>
        </w:rPr>
        <w:t>B</w:t>
      </w:r>
      <w:r>
        <w:rPr>
          <w:rFonts w:ascii="Times New Roman" w:hAnsi="Times New Roman"/>
          <w:sz w:val="24"/>
        </w:rPr>
        <w:t>.</w:t>
      </w:r>
      <w:r w:rsidRPr="00203B58">
        <w:rPr>
          <w:rFonts w:ascii="Times New Roman" w:hAnsi="Times New Roman"/>
          <w:sz w:val="24"/>
        </w:rPr>
        <w:t xml:space="preserve"> (2014) Influence of counselor characteristics and behaviors on the effectiveness of a brief </w:t>
      </w:r>
      <w:r w:rsidRPr="00203B58">
        <w:rPr>
          <w:rFonts w:ascii="Times New Roman" w:hAnsi="Times New Roman"/>
          <w:sz w:val="24"/>
        </w:rPr>
        <w:lastRenderedPageBreak/>
        <w:t xml:space="preserve">motivational intervention for heavy drinking in young men - A randomized controlled trial. </w:t>
      </w:r>
      <w:r w:rsidRPr="00203B58">
        <w:rPr>
          <w:rFonts w:ascii="Times New Roman" w:hAnsi="Times New Roman"/>
          <w:i/>
          <w:sz w:val="24"/>
        </w:rPr>
        <w:t>Alcoholism: Clinical and Experimental Research, 38</w:t>
      </w:r>
      <w:r>
        <w:rPr>
          <w:rFonts w:ascii="Times New Roman" w:hAnsi="Times New Roman"/>
          <w:sz w:val="24"/>
        </w:rPr>
        <w:t xml:space="preserve">, </w:t>
      </w:r>
      <w:r w:rsidRPr="00203B58">
        <w:rPr>
          <w:rFonts w:ascii="Times New Roman" w:hAnsi="Times New Roman"/>
          <w:sz w:val="24"/>
        </w:rPr>
        <w:t>2138-</w:t>
      </w:r>
      <w:r>
        <w:rPr>
          <w:rFonts w:ascii="Times New Roman" w:hAnsi="Times New Roman"/>
          <w:sz w:val="24"/>
        </w:rPr>
        <w:t>21</w:t>
      </w:r>
      <w:r w:rsidRPr="00203B58">
        <w:rPr>
          <w:rFonts w:ascii="Times New Roman" w:hAnsi="Times New Roman"/>
          <w:sz w:val="24"/>
        </w:rPr>
        <w:t xml:space="preserve">47. </w:t>
      </w:r>
    </w:p>
    <w:p w14:paraId="07EB76F7" w14:textId="77777777" w:rsidR="001B444E" w:rsidRPr="004E6DD7" w:rsidRDefault="001B444E" w:rsidP="004E6DD7">
      <w:pPr>
        <w:rPr>
          <w:rFonts w:ascii="Times New Roman" w:hAnsi="Times New Roman" w:cs="Times New Roman"/>
          <w:sz w:val="24"/>
          <w:szCs w:val="24"/>
        </w:rPr>
      </w:pPr>
      <w:r w:rsidRPr="001B444E">
        <w:rPr>
          <w:rFonts w:ascii="Times New Roman" w:hAnsi="Times New Roman" w:cs="Times New Roman"/>
          <w:sz w:val="24"/>
          <w:szCs w:val="24"/>
        </w:rPr>
        <w:t>Greenacre, M</w:t>
      </w:r>
      <w:r>
        <w:rPr>
          <w:rFonts w:ascii="Times New Roman" w:hAnsi="Times New Roman" w:cs="Times New Roman"/>
          <w:sz w:val="24"/>
          <w:szCs w:val="24"/>
        </w:rPr>
        <w:t xml:space="preserve">. &amp; </w:t>
      </w:r>
      <w:hyperlink r:id="rId14" w:tooltip="Blasius, Jörg" w:history="1">
        <w:r w:rsidRPr="004D09C5">
          <w:rPr>
            <w:rFonts w:ascii="Times New Roman" w:hAnsi="Times New Roman" w:cs="Times New Roman"/>
            <w:sz w:val="24"/>
            <w:szCs w:val="24"/>
          </w:rPr>
          <w:t>Blasius, J.</w:t>
        </w:r>
        <w:r>
          <w:rPr>
            <w:rStyle w:val="Hyperlink"/>
            <w:rFonts w:ascii="Times New Roman" w:hAnsi="Times New Roman" w:cs="Times New Roman"/>
            <w:sz w:val="24"/>
            <w:szCs w:val="24"/>
          </w:rPr>
          <w:t xml:space="preserve"> </w:t>
        </w:r>
      </w:hyperlink>
      <w:r w:rsidRPr="001B444E">
        <w:rPr>
          <w:rFonts w:ascii="Times New Roman" w:hAnsi="Times New Roman" w:cs="Times New Roman"/>
          <w:sz w:val="24"/>
          <w:szCs w:val="24"/>
        </w:rPr>
        <w:t>(</w:t>
      </w:r>
      <w:r>
        <w:rPr>
          <w:rFonts w:ascii="Times New Roman" w:hAnsi="Times New Roman" w:cs="Times New Roman"/>
          <w:sz w:val="24"/>
          <w:szCs w:val="24"/>
        </w:rPr>
        <w:t>E</w:t>
      </w:r>
      <w:r w:rsidRPr="001B444E">
        <w:rPr>
          <w:rFonts w:ascii="Times New Roman" w:hAnsi="Times New Roman" w:cs="Times New Roman"/>
          <w:sz w:val="24"/>
          <w:szCs w:val="24"/>
        </w:rPr>
        <w:t>d</w:t>
      </w:r>
      <w:r>
        <w:rPr>
          <w:rFonts w:ascii="Times New Roman" w:hAnsi="Times New Roman" w:cs="Times New Roman"/>
          <w:sz w:val="24"/>
          <w:szCs w:val="24"/>
        </w:rPr>
        <w:t>s.)</w:t>
      </w:r>
      <w:r w:rsidRPr="001B444E">
        <w:rPr>
          <w:rFonts w:ascii="Times New Roman" w:hAnsi="Times New Roman" w:cs="Times New Roman"/>
          <w:sz w:val="24"/>
          <w:szCs w:val="24"/>
        </w:rPr>
        <w:t xml:space="preserve"> (2006). </w:t>
      </w:r>
      <w:r w:rsidR="00160C1F" w:rsidRPr="00160C1F">
        <w:rPr>
          <w:rFonts w:ascii="Times New Roman" w:hAnsi="Times New Roman" w:cs="Times New Roman"/>
          <w:i/>
          <w:sz w:val="24"/>
          <w:szCs w:val="24"/>
        </w:rPr>
        <w:t>Multiple Correspondence Analysis and Related Methods</w:t>
      </w:r>
      <w:r w:rsidRPr="001B444E">
        <w:rPr>
          <w:rFonts w:ascii="Times New Roman" w:hAnsi="Times New Roman" w:cs="Times New Roman"/>
          <w:sz w:val="24"/>
          <w:szCs w:val="24"/>
        </w:rPr>
        <w:t>. London: Chapman &amp; Hall/CRC.</w:t>
      </w:r>
    </w:p>
    <w:p w14:paraId="6F3F96ED" w14:textId="77777777" w:rsid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Hayes, A. F. (2013). </w:t>
      </w:r>
      <w:r w:rsidRPr="004E6DD7">
        <w:rPr>
          <w:rFonts w:ascii="Times New Roman" w:hAnsi="Times New Roman" w:cs="Times New Roman"/>
          <w:i/>
          <w:sz w:val="24"/>
          <w:szCs w:val="24"/>
        </w:rPr>
        <w:t>Introduction to Mediation, Moderation and Controlled Process Analysis.</w:t>
      </w:r>
      <w:r w:rsidRPr="004E6DD7">
        <w:rPr>
          <w:rFonts w:ascii="Times New Roman" w:hAnsi="Times New Roman" w:cs="Times New Roman"/>
          <w:sz w:val="24"/>
          <w:szCs w:val="24"/>
        </w:rPr>
        <w:t xml:space="preserve"> New York: Guilford.</w:t>
      </w:r>
    </w:p>
    <w:p w14:paraId="758E00F3" w14:textId="77777777" w:rsidR="00DB2CA3" w:rsidRPr="00DB2CA3" w:rsidRDefault="00DB2CA3" w:rsidP="00DB2CA3">
      <w:pPr>
        <w:rPr>
          <w:rFonts w:ascii="Times New Roman" w:hAnsi="Times New Roman" w:cs="Times New Roman"/>
          <w:sz w:val="24"/>
          <w:szCs w:val="24"/>
          <w:lang w:val="en-GB"/>
        </w:rPr>
      </w:pPr>
      <w:r w:rsidRPr="00DB2CA3">
        <w:rPr>
          <w:rFonts w:ascii="Times New Roman" w:hAnsi="Times New Roman" w:cs="Times New Roman"/>
          <w:sz w:val="24"/>
          <w:szCs w:val="24"/>
          <w:lang w:val="en-GB"/>
        </w:rPr>
        <w:t>Heather, N</w:t>
      </w:r>
      <w:r>
        <w:rPr>
          <w:rFonts w:ascii="Times New Roman" w:hAnsi="Times New Roman" w:cs="Times New Roman"/>
          <w:sz w:val="24"/>
          <w:szCs w:val="24"/>
          <w:lang w:val="en-GB"/>
        </w:rPr>
        <w:t>.</w:t>
      </w:r>
      <w:r w:rsidRPr="00DB2CA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&amp; </w:t>
      </w:r>
      <w:r w:rsidRPr="00DB2CA3">
        <w:rPr>
          <w:rFonts w:ascii="Times New Roman" w:hAnsi="Times New Roman" w:cs="Times New Roman"/>
          <w:sz w:val="24"/>
          <w:szCs w:val="24"/>
          <w:lang w:val="en-GB"/>
        </w:rPr>
        <w:t>McCambridge, J</w:t>
      </w:r>
      <w:r>
        <w:rPr>
          <w:rFonts w:ascii="Times New Roman" w:hAnsi="Times New Roman" w:cs="Times New Roman"/>
          <w:sz w:val="24"/>
          <w:szCs w:val="24"/>
          <w:lang w:val="en-GB"/>
        </w:rPr>
        <w:t>.</w:t>
      </w:r>
      <w:r w:rsidRPr="00DB2CA3">
        <w:rPr>
          <w:rFonts w:ascii="Times New Roman" w:hAnsi="Times New Roman" w:cs="Times New Roman"/>
          <w:sz w:val="24"/>
          <w:szCs w:val="24"/>
          <w:lang w:val="en-GB"/>
        </w:rPr>
        <w:t xml:space="preserve"> on behalf of the UKATT Research Team. (2013). Post-treatment stage of change predicts 12-month outcome of treatment for alcohol problems. </w:t>
      </w:r>
      <w:r w:rsidRPr="00DB2CA3">
        <w:rPr>
          <w:rFonts w:ascii="Times New Roman" w:hAnsi="Times New Roman" w:cs="Times New Roman"/>
          <w:i/>
          <w:iCs/>
          <w:sz w:val="24"/>
          <w:szCs w:val="24"/>
          <w:lang w:val="en-GB"/>
        </w:rPr>
        <w:t>Alcohol &amp; Alcoholism, 48</w:t>
      </w:r>
      <w:r w:rsidRPr="00DB2CA3">
        <w:rPr>
          <w:rFonts w:ascii="Times New Roman" w:hAnsi="Times New Roman" w:cs="Times New Roman"/>
          <w:sz w:val="24"/>
          <w:szCs w:val="24"/>
          <w:lang w:val="en-GB"/>
        </w:rPr>
        <w:t xml:space="preserve">, 329-336. </w:t>
      </w:r>
    </w:p>
    <w:p w14:paraId="63C7580C" w14:textId="77777777" w:rsidR="004E6DD7" w:rsidRPr="004E6DD7" w:rsidRDefault="00160C1F" w:rsidP="004E6DD7">
      <w:pPr>
        <w:rPr>
          <w:rFonts w:ascii="Times New Roman" w:hAnsi="Times New Roman" w:cs="Times New Roman"/>
          <w:sz w:val="24"/>
          <w:szCs w:val="24"/>
        </w:rPr>
      </w:pPr>
      <w:r w:rsidRPr="00EB5F70">
        <w:rPr>
          <w:rFonts w:ascii="Times New Roman" w:hAnsi="Times New Roman" w:cs="Times New Roman"/>
          <w:sz w:val="24"/>
          <w:szCs w:val="24"/>
        </w:rPr>
        <w:t xml:space="preserve">Humphreys, K. &amp; Tucker, J. A. (2002). </w:t>
      </w:r>
      <w:r w:rsidR="004E6DD7" w:rsidRPr="004E6DD7">
        <w:rPr>
          <w:rFonts w:ascii="Times New Roman" w:hAnsi="Times New Roman" w:cs="Times New Roman"/>
          <w:sz w:val="24"/>
          <w:szCs w:val="24"/>
        </w:rPr>
        <w:t xml:space="preserve">Toward more responsive and effective intervention systems for alcohol-related problems (Editorial). </w:t>
      </w:r>
      <w:r w:rsidR="004E6DD7" w:rsidRPr="004E6DD7">
        <w:rPr>
          <w:rFonts w:ascii="Times New Roman" w:hAnsi="Times New Roman" w:cs="Times New Roman"/>
          <w:i/>
          <w:sz w:val="24"/>
          <w:szCs w:val="24"/>
        </w:rPr>
        <w:t>Addiction</w:t>
      </w:r>
      <w:r w:rsidR="004E6DD7" w:rsidRPr="004E6DD7">
        <w:rPr>
          <w:rFonts w:ascii="Times New Roman" w:hAnsi="Times New Roman" w:cs="Times New Roman"/>
          <w:sz w:val="24"/>
          <w:szCs w:val="24"/>
        </w:rPr>
        <w:t>, 97, 126-132.</w:t>
      </w:r>
    </w:p>
    <w:p w14:paraId="7189A23E" w14:textId="77777777" w:rsidR="004E6DD7" w:rsidRPr="004E6DD7" w:rsidRDefault="004E6DD7" w:rsidP="004E6DD7">
      <w:pPr>
        <w:tabs>
          <w:tab w:val="left" w:pos="851"/>
          <w:tab w:val="left" w:pos="1134"/>
        </w:tabs>
        <w:rPr>
          <w:rFonts w:ascii="Times New Roman" w:hAnsi="Times New Roman" w:cs="Times New Roman"/>
          <w:sz w:val="24"/>
          <w:szCs w:val="24"/>
        </w:rPr>
      </w:pPr>
      <w:r w:rsidRPr="004E6DD7">
        <w:rPr>
          <w:rFonts w:ascii="Times New Roman" w:hAnsi="Times New Roman" w:cs="Times New Roman"/>
          <w:sz w:val="24"/>
          <w:szCs w:val="24"/>
        </w:rPr>
        <w:t xml:space="preserve">Imel, Z. E,, Wampold, B.E,, Miller, S.D.,, &amp; Fleming, R.R. (2008). Distinctions without a difference: direct comparisons of psychotherapies for alcohol use disorders. </w:t>
      </w:r>
      <w:r w:rsidRPr="004E6DD7">
        <w:rPr>
          <w:rFonts w:ascii="Times New Roman" w:hAnsi="Times New Roman" w:cs="Times New Roman"/>
          <w:i/>
          <w:sz w:val="24"/>
          <w:szCs w:val="24"/>
        </w:rPr>
        <w:t>Psychology of Addictive Behaviors, 22</w:t>
      </w:r>
      <w:r w:rsidRPr="004E6DD7">
        <w:rPr>
          <w:rFonts w:ascii="Times New Roman" w:hAnsi="Times New Roman" w:cs="Times New Roman"/>
          <w:sz w:val="24"/>
          <w:szCs w:val="24"/>
        </w:rPr>
        <w:t>, 533-543.</w:t>
      </w:r>
    </w:p>
    <w:p w14:paraId="48221537"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Longabaugh, R. (2007). The search for mechanisms of change in behavioral treatments for alcohol use disorders: a commentary. </w:t>
      </w:r>
      <w:r w:rsidRPr="004E6DD7">
        <w:rPr>
          <w:rFonts w:ascii="Times New Roman" w:hAnsi="Times New Roman" w:cs="Times New Roman"/>
          <w:i/>
          <w:sz w:val="24"/>
          <w:szCs w:val="24"/>
        </w:rPr>
        <w:t>Alcoholism: Clinical &amp; Experimental Research, 31</w:t>
      </w:r>
      <w:r w:rsidRPr="004E6DD7">
        <w:rPr>
          <w:rFonts w:ascii="Times New Roman" w:hAnsi="Times New Roman" w:cs="Times New Roman"/>
          <w:sz w:val="24"/>
          <w:szCs w:val="24"/>
        </w:rPr>
        <w:t>, 21S-32S.</w:t>
      </w:r>
    </w:p>
    <w:p w14:paraId="5E94C003"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Longabaugh, R., &amp; Magill, M. (2011). Recent advances in behavioral addiction treatments: focusing on mechanisms of change. </w:t>
      </w:r>
      <w:r w:rsidRPr="004E6DD7">
        <w:rPr>
          <w:rFonts w:ascii="Times New Roman" w:hAnsi="Times New Roman" w:cs="Times New Roman"/>
          <w:i/>
          <w:sz w:val="24"/>
          <w:szCs w:val="24"/>
        </w:rPr>
        <w:t>Current Psychiatry Reports, 13</w:t>
      </w:r>
      <w:r w:rsidRPr="004E6DD7">
        <w:rPr>
          <w:rFonts w:ascii="Times New Roman" w:hAnsi="Times New Roman" w:cs="Times New Roman"/>
          <w:sz w:val="24"/>
          <w:szCs w:val="24"/>
        </w:rPr>
        <w:t>, 382-389.</w:t>
      </w:r>
    </w:p>
    <w:p w14:paraId="0B97158D"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Longabaugh, R., Magill, M., Morgenstern, J., &amp; Huebner, R. (2013). Mechanisms of behavior change in treatment for alcohol and other drug use disorders. In B.S. McCrady, &amp; E.E. Epstein (Eds.), </w:t>
      </w:r>
      <w:r w:rsidRPr="004E6DD7">
        <w:rPr>
          <w:rFonts w:ascii="Times New Roman" w:hAnsi="Times New Roman" w:cs="Times New Roman"/>
          <w:i/>
          <w:sz w:val="24"/>
          <w:szCs w:val="24"/>
        </w:rPr>
        <w:t>Addictions: A Comprehensive Guidebook</w:t>
      </w:r>
      <w:r w:rsidRPr="004E6DD7">
        <w:rPr>
          <w:rFonts w:ascii="Times New Roman" w:hAnsi="Times New Roman" w:cs="Times New Roman"/>
          <w:sz w:val="24"/>
          <w:szCs w:val="24"/>
        </w:rPr>
        <w:t xml:space="preserve"> (2nd ed., pp. 570-596). New York: Oxford University Press.</w:t>
      </w:r>
    </w:p>
    <w:p w14:paraId="3E226943"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lastRenderedPageBreak/>
        <w:t xml:space="preserve">Martin, D. J., Garske, J. P., &amp; David, M. K. (2000). Relation of the therapeutic alliance with outcome and other variables: a meta-analytic review. </w:t>
      </w:r>
      <w:r w:rsidRPr="004E6DD7">
        <w:rPr>
          <w:rFonts w:ascii="Times New Roman" w:hAnsi="Times New Roman" w:cs="Times New Roman"/>
          <w:i/>
          <w:sz w:val="24"/>
          <w:szCs w:val="24"/>
        </w:rPr>
        <w:t>Journal of Consulting &amp; Clinical Psychology, 68,</w:t>
      </w:r>
      <w:r w:rsidRPr="004E6DD7">
        <w:rPr>
          <w:rFonts w:ascii="Times New Roman" w:hAnsi="Times New Roman" w:cs="Times New Roman"/>
          <w:sz w:val="24"/>
          <w:szCs w:val="24"/>
        </w:rPr>
        <w:t xml:space="preserve"> 438-450.</w:t>
      </w:r>
    </w:p>
    <w:p w14:paraId="492CFB2B"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Miller, W. R. (1996). </w:t>
      </w:r>
      <w:r w:rsidRPr="004E6DD7">
        <w:rPr>
          <w:rFonts w:ascii="Times New Roman" w:hAnsi="Times New Roman" w:cs="Times New Roman"/>
          <w:i/>
          <w:sz w:val="24"/>
          <w:szCs w:val="24"/>
        </w:rPr>
        <w:t>Form 90: A Structured Assessment Interview for Drinking and Related Behaviors</w:t>
      </w:r>
      <w:r w:rsidRPr="004E6DD7">
        <w:rPr>
          <w:rFonts w:ascii="Times New Roman" w:hAnsi="Times New Roman" w:cs="Times New Roman"/>
          <w:sz w:val="24"/>
          <w:szCs w:val="24"/>
        </w:rPr>
        <w:t xml:space="preserve"> (Vol. 5). Rockville MD: National Institute on Alcohol Abuse &amp; Alcoholism.</w:t>
      </w:r>
    </w:p>
    <w:p w14:paraId="5DAC7391"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Miller, W. R., &amp; Baca, L. M. (1983). Two-year follow-up of bibliotherapy and therapist-directed controlled drinking training for problem drinkers. </w:t>
      </w:r>
      <w:r w:rsidRPr="004E6DD7">
        <w:rPr>
          <w:rFonts w:ascii="Times New Roman" w:hAnsi="Times New Roman" w:cs="Times New Roman"/>
          <w:i/>
          <w:sz w:val="24"/>
          <w:szCs w:val="24"/>
        </w:rPr>
        <w:t>Behavior Therapy, 14</w:t>
      </w:r>
      <w:r w:rsidRPr="004E6DD7">
        <w:rPr>
          <w:rFonts w:ascii="Times New Roman" w:hAnsi="Times New Roman" w:cs="Times New Roman"/>
          <w:sz w:val="24"/>
          <w:szCs w:val="24"/>
        </w:rPr>
        <w:t>, 441-448.</w:t>
      </w:r>
    </w:p>
    <w:p w14:paraId="3BDA5E70" w14:textId="77777777" w:rsidR="004E6DD7" w:rsidRPr="004E6DD7" w:rsidRDefault="00160C1F" w:rsidP="004E6DD7">
      <w:pPr>
        <w:rPr>
          <w:rFonts w:ascii="Times New Roman" w:hAnsi="Times New Roman" w:cs="Times New Roman"/>
          <w:sz w:val="24"/>
          <w:szCs w:val="24"/>
        </w:rPr>
      </w:pPr>
      <w:r w:rsidRPr="00EB5F70">
        <w:rPr>
          <w:rFonts w:ascii="Times New Roman" w:hAnsi="Times New Roman"/>
          <w:sz w:val="24"/>
        </w:rPr>
        <w:t xml:space="preserve">Miller, W. R, &amp; Moyers, T. B. (2015). </w:t>
      </w:r>
      <w:r w:rsidR="004E6DD7" w:rsidRPr="004E6DD7">
        <w:rPr>
          <w:rFonts w:ascii="Times New Roman" w:hAnsi="Times New Roman" w:cs="Times New Roman"/>
          <w:sz w:val="24"/>
          <w:szCs w:val="24"/>
        </w:rPr>
        <w:t xml:space="preserve">The forest and the trees: relational and specific factors in addiction treatment. </w:t>
      </w:r>
      <w:r w:rsidR="004E6DD7" w:rsidRPr="004E6DD7">
        <w:rPr>
          <w:rFonts w:ascii="Times New Roman" w:hAnsi="Times New Roman" w:cs="Times New Roman"/>
          <w:i/>
          <w:sz w:val="24"/>
          <w:szCs w:val="24"/>
        </w:rPr>
        <w:t>Addiction, 110,</w:t>
      </w:r>
      <w:r w:rsidR="004E6DD7" w:rsidRPr="004E6DD7">
        <w:rPr>
          <w:rFonts w:ascii="Times New Roman" w:hAnsi="Times New Roman" w:cs="Times New Roman"/>
          <w:sz w:val="24"/>
          <w:szCs w:val="24"/>
        </w:rPr>
        <w:t xml:space="preserve"> 401-413.</w:t>
      </w:r>
    </w:p>
    <w:p w14:paraId="4365C395"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Miller, W. R., Taylor, C. A., &amp; West, J. C. (1980). Focused versus broad spectrum behavior therapy for problem drinkers. </w:t>
      </w:r>
      <w:r w:rsidRPr="004E6DD7">
        <w:rPr>
          <w:rFonts w:ascii="Times New Roman" w:hAnsi="Times New Roman" w:cs="Times New Roman"/>
          <w:i/>
          <w:sz w:val="24"/>
          <w:szCs w:val="24"/>
        </w:rPr>
        <w:t>Journal of Consulting &amp; Clinical Psychology, 48</w:t>
      </w:r>
      <w:r w:rsidRPr="004E6DD7">
        <w:rPr>
          <w:rFonts w:ascii="Times New Roman" w:hAnsi="Times New Roman" w:cs="Times New Roman"/>
          <w:sz w:val="24"/>
          <w:szCs w:val="24"/>
        </w:rPr>
        <w:t>, 590-601.</w:t>
      </w:r>
    </w:p>
    <w:p w14:paraId="320CFD40" w14:textId="77777777" w:rsidR="004E6DD7" w:rsidRPr="00C61F01" w:rsidRDefault="00160C1F" w:rsidP="004E6DD7">
      <w:pPr>
        <w:rPr>
          <w:rFonts w:ascii="Times New Roman" w:hAnsi="Times New Roman" w:cs="Times New Roman"/>
          <w:sz w:val="24"/>
          <w:szCs w:val="24"/>
        </w:rPr>
      </w:pPr>
      <w:r w:rsidRPr="00EB5F70">
        <w:rPr>
          <w:rFonts w:ascii="Times New Roman" w:hAnsi="Times New Roman"/>
          <w:sz w:val="24"/>
        </w:rPr>
        <w:t xml:space="preserve">Miller, W. R., Zweben, A., DiClemente, C. C, &amp; Rychtarik, R. G. (1992). </w:t>
      </w:r>
      <w:r w:rsidR="004E6DD7" w:rsidRPr="004E6DD7">
        <w:rPr>
          <w:rFonts w:ascii="Times New Roman" w:hAnsi="Times New Roman" w:cs="Times New Roman"/>
          <w:i/>
          <w:sz w:val="24"/>
          <w:szCs w:val="24"/>
        </w:rPr>
        <w:t>Motivational Enhancement Therapy Manual: A Clinical Guide for Therapists Treating Individuals with Alcohol Abuse and Dependence</w:t>
      </w:r>
      <w:r w:rsidR="004E6DD7" w:rsidRPr="004E6DD7">
        <w:rPr>
          <w:rFonts w:ascii="Times New Roman" w:hAnsi="Times New Roman" w:cs="Times New Roman"/>
          <w:sz w:val="24"/>
          <w:szCs w:val="24"/>
        </w:rPr>
        <w:t xml:space="preserve">. Rockville MD: Alcohol, Drug Abuse &amp; Mental Health Administration, US Department of </w:t>
      </w:r>
      <w:r w:rsidR="004E6DD7" w:rsidRPr="00C61F01">
        <w:rPr>
          <w:rFonts w:ascii="Times New Roman" w:hAnsi="Times New Roman" w:cs="Times New Roman"/>
          <w:sz w:val="24"/>
          <w:szCs w:val="24"/>
        </w:rPr>
        <w:t>Health &amp; Human Services.</w:t>
      </w:r>
    </w:p>
    <w:p w14:paraId="375C5D16" w14:textId="77777777" w:rsidR="00A8288F" w:rsidRPr="00C61F01" w:rsidRDefault="00A8288F" w:rsidP="00A8288F">
      <w:pPr>
        <w:autoSpaceDE w:val="0"/>
        <w:autoSpaceDN w:val="0"/>
        <w:adjustRightInd w:val="0"/>
        <w:rPr>
          <w:rFonts w:ascii="Times New Roman" w:hAnsi="Times New Roman" w:cs="Times New Roman"/>
          <w:sz w:val="24"/>
          <w:szCs w:val="24"/>
          <w:lang w:val="en-GB"/>
        </w:rPr>
      </w:pPr>
      <w:r w:rsidRPr="00C61F01">
        <w:rPr>
          <w:rFonts w:ascii="Times New Roman" w:hAnsi="Times New Roman" w:cs="Times New Roman"/>
          <w:sz w:val="24"/>
          <w:szCs w:val="24"/>
          <w:lang w:val="en-GB"/>
        </w:rPr>
        <w:t xml:space="preserve">Moyers, T.B., Miller, WR, &amp; Hendrickson, SM. (2005). How does motivational interviewing work? Therapist interpersonal skill predicts client involvement within motivational interviewing sessions. </w:t>
      </w:r>
      <w:r w:rsidRPr="00C61F01">
        <w:rPr>
          <w:rFonts w:ascii="Times New Roman" w:hAnsi="Times New Roman" w:cs="Times New Roman"/>
          <w:i/>
          <w:iCs/>
          <w:sz w:val="24"/>
          <w:szCs w:val="24"/>
          <w:lang w:val="en-GB"/>
        </w:rPr>
        <w:t>Journal of Consulting &amp; Clinical Psychology, 73</w:t>
      </w:r>
      <w:r w:rsidRPr="00C61F01">
        <w:rPr>
          <w:rFonts w:ascii="Times New Roman" w:hAnsi="Times New Roman" w:cs="Times New Roman"/>
          <w:sz w:val="24"/>
          <w:szCs w:val="24"/>
          <w:lang w:val="en-GB"/>
        </w:rPr>
        <w:t xml:space="preserve">, 590-598. </w:t>
      </w:r>
    </w:p>
    <w:p w14:paraId="6D6BF0DA" w14:textId="77777777" w:rsidR="004E6DD7" w:rsidRPr="004E6DD7" w:rsidRDefault="00160C1F" w:rsidP="004E6DD7">
      <w:pPr>
        <w:rPr>
          <w:rFonts w:ascii="Times New Roman" w:hAnsi="Times New Roman" w:cs="Times New Roman"/>
          <w:sz w:val="24"/>
          <w:szCs w:val="24"/>
        </w:rPr>
      </w:pPr>
      <w:r w:rsidRPr="00C61F01">
        <w:rPr>
          <w:rFonts w:ascii="Times New Roman" w:hAnsi="Times New Roman"/>
          <w:sz w:val="24"/>
        </w:rPr>
        <w:t>Moyers, T.B., &amp; Miller, W. R. (2013).</w:t>
      </w:r>
      <w:r w:rsidRPr="00EB5F70">
        <w:rPr>
          <w:rFonts w:ascii="Times New Roman" w:hAnsi="Times New Roman"/>
          <w:sz w:val="24"/>
        </w:rPr>
        <w:t xml:space="preserve"> </w:t>
      </w:r>
      <w:r w:rsidR="004E6DD7" w:rsidRPr="004E6DD7">
        <w:rPr>
          <w:rFonts w:ascii="Times New Roman" w:hAnsi="Times New Roman" w:cs="Times New Roman"/>
          <w:sz w:val="24"/>
          <w:szCs w:val="24"/>
        </w:rPr>
        <w:t xml:space="preserve">Is low therapist empathy toxic? </w:t>
      </w:r>
      <w:r w:rsidR="004E6DD7" w:rsidRPr="004E6DD7">
        <w:rPr>
          <w:rFonts w:ascii="Times New Roman" w:hAnsi="Times New Roman" w:cs="Times New Roman"/>
          <w:i/>
          <w:sz w:val="24"/>
          <w:szCs w:val="24"/>
        </w:rPr>
        <w:t xml:space="preserve">Psychology of Addictive Behaviors, </w:t>
      </w:r>
      <w:r w:rsidR="004E6DD7" w:rsidRPr="004E6DD7">
        <w:rPr>
          <w:rFonts w:ascii="Times New Roman" w:hAnsi="Times New Roman" w:cs="Times New Roman"/>
          <w:sz w:val="24"/>
          <w:szCs w:val="24"/>
        </w:rPr>
        <w:t>27, 878-884.</w:t>
      </w:r>
    </w:p>
    <w:p w14:paraId="6103CF8F"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Orford, J. (2008). Asking the right questions in the right way: the need for a shift in research on psychological treatments for addiction. </w:t>
      </w:r>
      <w:r w:rsidRPr="004E6DD7">
        <w:rPr>
          <w:rFonts w:ascii="Times New Roman" w:hAnsi="Times New Roman" w:cs="Times New Roman"/>
          <w:i/>
          <w:sz w:val="24"/>
          <w:szCs w:val="24"/>
        </w:rPr>
        <w:t>Addiction, 103</w:t>
      </w:r>
      <w:r w:rsidRPr="004E6DD7">
        <w:rPr>
          <w:rFonts w:ascii="Times New Roman" w:hAnsi="Times New Roman" w:cs="Times New Roman"/>
          <w:sz w:val="24"/>
          <w:szCs w:val="24"/>
        </w:rPr>
        <w:t>, 875-885.</w:t>
      </w:r>
    </w:p>
    <w:p w14:paraId="6A3E7E3C"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lastRenderedPageBreak/>
        <w:t xml:space="preserve">Orford, J., Hodgson, R., Copello, A., Wilton, S., Slegg, G. P., on behalf of the UKATT Research Team. (2009). To what factors do clients attribute change? Content analysis of follow-up interviews with clients of the UK Alcohol Treatment Trial. </w:t>
      </w:r>
      <w:r w:rsidRPr="004E6DD7">
        <w:rPr>
          <w:rFonts w:ascii="Times New Roman" w:hAnsi="Times New Roman" w:cs="Times New Roman"/>
          <w:i/>
          <w:sz w:val="24"/>
          <w:szCs w:val="24"/>
        </w:rPr>
        <w:t>Journal of Substance Abuse Treatment, 36,</w:t>
      </w:r>
      <w:r w:rsidRPr="004E6DD7">
        <w:rPr>
          <w:rFonts w:ascii="Times New Roman" w:hAnsi="Times New Roman" w:cs="Times New Roman"/>
          <w:sz w:val="24"/>
          <w:szCs w:val="24"/>
        </w:rPr>
        <w:t xml:space="preserve"> 49-58.</w:t>
      </w:r>
    </w:p>
    <w:p w14:paraId="7A7DA31A"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Preacher, K. J., &amp; Hayes, A. F. (2008). Asymptotic and resampling strategies for assessing and comparing indirect effects in multiple mediator models. </w:t>
      </w:r>
      <w:r w:rsidRPr="004E6DD7">
        <w:rPr>
          <w:rFonts w:ascii="Times New Roman" w:hAnsi="Times New Roman" w:cs="Times New Roman"/>
          <w:i/>
          <w:sz w:val="24"/>
          <w:szCs w:val="24"/>
        </w:rPr>
        <w:t>Behavioral Research Methods</w:t>
      </w:r>
      <w:r w:rsidRPr="004E6DD7">
        <w:rPr>
          <w:rFonts w:ascii="Times New Roman" w:hAnsi="Times New Roman" w:cs="Times New Roman"/>
          <w:sz w:val="24"/>
          <w:szCs w:val="24"/>
        </w:rPr>
        <w:t>, 40, 879-891.</w:t>
      </w:r>
    </w:p>
    <w:p w14:paraId="40E71E72"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Project MATCH Research Group (1997). Matching alcoholism treatment to client heterogeneity: Project MATCH posttreatment drinking outcomes. </w:t>
      </w:r>
      <w:r w:rsidRPr="004E6DD7">
        <w:rPr>
          <w:rFonts w:ascii="Times New Roman" w:hAnsi="Times New Roman" w:cs="Times New Roman"/>
          <w:i/>
          <w:sz w:val="24"/>
          <w:szCs w:val="24"/>
        </w:rPr>
        <w:t>Journal of Studies on Alcohol, 58</w:t>
      </w:r>
      <w:r w:rsidRPr="004E6DD7">
        <w:rPr>
          <w:rFonts w:ascii="Times New Roman" w:hAnsi="Times New Roman" w:cs="Times New Roman"/>
          <w:sz w:val="24"/>
          <w:szCs w:val="24"/>
        </w:rPr>
        <w:t>, 7-29.</w:t>
      </w:r>
    </w:p>
    <w:p w14:paraId="7D87DAF2"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Project MATCH Research Group (1998). Matching alcoholism treatments to client heterogeneity: Project MATCH three-year drinking outcomes. </w:t>
      </w:r>
      <w:r w:rsidRPr="004E6DD7">
        <w:rPr>
          <w:rFonts w:ascii="Times New Roman" w:hAnsi="Times New Roman" w:cs="Times New Roman"/>
          <w:i/>
          <w:sz w:val="24"/>
          <w:szCs w:val="24"/>
        </w:rPr>
        <w:t>Alcoholism: Clinical &amp; Experimental Research,</w:t>
      </w:r>
      <w:r w:rsidRPr="004E6DD7">
        <w:rPr>
          <w:rFonts w:ascii="Times New Roman" w:hAnsi="Times New Roman" w:cs="Times New Roman"/>
          <w:sz w:val="24"/>
          <w:szCs w:val="24"/>
        </w:rPr>
        <w:t xml:space="preserve"> 22, 1300-1311.</w:t>
      </w:r>
    </w:p>
    <w:p w14:paraId="5FE76674" w14:textId="77777777" w:rsid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Sobel, M. E. (1982). Asymptotic confidence intervals for indirect effects in structural equation models. In S. Leinhardt (Ed.), </w:t>
      </w:r>
      <w:r w:rsidRPr="004E6DD7">
        <w:rPr>
          <w:rFonts w:ascii="Times New Roman" w:hAnsi="Times New Roman" w:cs="Times New Roman"/>
          <w:i/>
          <w:sz w:val="24"/>
          <w:szCs w:val="24"/>
        </w:rPr>
        <w:t>Sociological Methodology</w:t>
      </w:r>
      <w:r w:rsidRPr="004E6DD7">
        <w:rPr>
          <w:rFonts w:ascii="Times New Roman" w:hAnsi="Times New Roman" w:cs="Times New Roman"/>
          <w:sz w:val="24"/>
          <w:szCs w:val="24"/>
        </w:rPr>
        <w:t xml:space="preserve"> (pp. 290-312). Washington, DC: American Sociological Association.</w:t>
      </w:r>
    </w:p>
    <w:p w14:paraId="4B5269C0" w14:textId="77777777" w:rsidR="001B6852" w:rsidRPr="00203B58" w:rsidRDefault="001B6852" w:rsidP="001B6852">
      <w:pPr>
        <w:rPr>
          <w:rFonts w:ascii="Times New Roman" w:hAnsi="Times New Roman" w:cs="Times New Roman"/>
          <w:sz w:val="24"/>
          <w:szCs w:val="24"/>
        </w:rPr>
      </w:pPr>
      <w:r w:rsidRPr="00203B58">
        <w:rPr>
          <w:rFonts w:ascii="Times New Roman" w:hAnsi="Times New Roman" w:cs="Times New Roman"/>
          <w:sz w:val="24"/>
          <w:szCs w:val="24"/>
        </w:rPr>
        <w:t xml:space="preserve">Tober, G. (2002). Evidence based practice- still a bridge too far for addiction counsellors? </w:t>
      </w:r>
      <w:r w:rsidRPr="00203B58">
        <w:rPr>
          <w:rFonts w:ascii="Times New Roman" w:hAnsi="Times New Roman" w:cs="Times New Roman"/>
          <w:i/>
          <w:sz w:val="24"/>
          <w:szCs w:val="24"/>
        </w:rPr>
        <w:t>Drugs: Education, Prevention and Policy</w:t>
      </w:r>
      <w:r w:rsidR="0049454C" w:rsidRPr="00203B58">
        <w:rPr>
          <w:rFonts w:ascii="Times New Roman" w:hAnsi="Times New Roman" w:cs="Times New Roman"/>
          <w:i/>
          <w:sz w:val="24"/>
          <w:szCs w:val="24"/>
        </w:rPr>
        <w:t>, 9</w:t>
      </w:r>
      <w:r w:rsidRPr="00203B58">
        <w:rPr>
          <w:rFonts w:ascii="Times New Roman" w:hAnsi="Times New Roman" w:cs="Times New Roman"/>
          <w:sz w:val="24"/>
          <w:szCs w:val="24"/>
        </w:rPr>
        <w:t>, 7-9.</w:t>
      </w:r>
    </w:p>
    <w:p w14:paraId="33AFBD06" w14:textId="77777777" w:rsid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Tober, G., Clyne, W., Finnegan, O., Farrin., A. &amp; Russell, I, in collaboration with the UKATT Research Team. (2008). Validation of a scale for rating the delivery of psycho-social treatment for alcohol dependence and misuse: the UKATT Process Rating Scale. </w:t>
      </w:r>
      <w:r w:rsidRPr="004E6DD7">
        <w:rPr>
          <w:rFonts w:ascii="Times New Roman" w:hAnsi="Times New Roman" w:cs="Times New Roman"/>
          <w:i/>
          <w:sz w:val="24"/>
          <w:szCs w:val="24"/>
        </w:rPr>
        <w:t>Alcohol &amp; Alcoholism, 43,</w:t>
      </w:r>
      <w:r w:rsidRPr="004E6DD7">
        <w:rPr>
          <w:rFonts w:ascii="Times New Roman" w:hAnsi="Times New Roman" w:cs="Times New Roman"/>
          <w:sz w:val="24"/>
          <w:szCs w:val="24"/>
        </w:rPr>
        <w:t xml:space="preserve"> 675-682.</w:t>
      </w:r>
    </w:p>
    <w:p w14:paraId="77F35396" w14:textId="77777777" w:rsidR="00780274" w:rsidRPr="00203B58" w:rsidRDefault="00780274" w:rsidP="00780274">
      <w:pPr>
        <w:ind w:left="33"/>
        <w:jc w:val="both"/>
        <w:rPr>
          <w:rFonts w:ascii="Times New Roman" w:hAnsi="Times New Roman" w:cs="Times New Roman"/>
          <w:sz w:val="24"/>
          <w:szCs w:val="24"/>
        </w:rPr>
      </w:pPr>
      <w:r w:rsidRPr="00203B58">
        <w:rPr>
          <w:rFonts w:ascii="Times New Roman" w:hAnsi="Times New Roman" w:cs="Times New Roman"/>
          <w:sz w:val="24"/>
          <w:szCs w:val="24"/>
        </w:rPr>
        <w:t xml:space="preserve">Tober, G., Godfrey, C., Parrott, S., Copello, A., Farrin, A, Hodgson, R., Kenyon, R., Morton, V., Orford, J., Russell, I. and Slegg, G., on behalf of the UKATT Research Team </w:t>
      </w:r>
      <w:r w:rsidRPr="00203B58">
        <w:rPr>
          <w:rFonts w:ascii="Times New Roman" w:hAnsi="Times New Roman" w:cs="Times New Roman"/>
          <w:sz w:val="24"/>
          <w:szCs w:val="24"/>
        </w:rPr>
        <w:lastRenderedPageBreak/>
        <w:t xml:space="preserve">(2005). Setting </w:t>
      </w:r>
      <w:r w:rsidR="001B6852" w:rsidRPr="00203B58">
        <w:rPr>
          <w:rFonts w:ascii="Times New Roman" w:hAnsi="Times New Roman" w:cs="Times New Roman"/>
          <w:sz w:val="24"/>
          <w:szCs w:val="24"/>
        </w:rPr>
        <w:t>s</w:t>
      </w:r>
      <w:r w:rsidRPr="00203B58">
        <w:rPr>
          <w:rFonts w:ascii="Times New Roman" w:hAnsi="Times New Roman" w:cs="Times New Roman"/>
          <w:sz w:val="24"/>
          <w:szCs w:val="24"/>
        </w:rPr>
        <w:t xml:space="preserve">tandards for </w:t>
      </w:r>
      <w:r w:rsidR="001B6852" w:rsidRPr="00203B58">
        <w:rPr>
          <w:rFonts w:ascii="Times New Roman" w:hAnsi="Times New Roman" w:cs="Times New Roman"/>
          <w:sz w:val="24"/>
          <w:szCs w:val="24"/>
        </w:rPr>
        <w:t>t</w:t>
      </w:r>
      <w:r w:rsidRPr="00203B58">
        <w:rPr>
          <w:rFonts w:ascii="Times New Roman" w:hAnsi="Times New Roman" w:cs="Times New Roman"/>
          <w:sz w:val="24"/>
          <w:szCs w:val="24"/>
        </w:rPr>
        <w:t xml:space="preserve">raining and </w:t>
      </w:r>
      <w:r w:rsidR="001B6852" w:rsidRPr="00203B58">
        <w:rPr>
          <w:rFonts w:ascii="Times New Roman" w:hAnsi="Times New Roman" w:cs="Times New Roman"/>
          <w:sz w:val="24"/>
          <w:szCs w:val="24"/>
        </w:rPr>
        <w:t>c</w:t>
      </w:r>
      <w:r w:rsidRPr="00203B58">
        <w:rPr>
          <w:rFonts w:ascii="Times New Roman" w:hAnsi="Times New Roman" w:cs="Times New Roman"/>
          <w:sz w:val="24"/>
          <w:szCs w:val="24"/>
        </w:rPr>
        <w:t>ompetence:</w:t>
      </w:r>
      <w:r w:rsidR="009C3334">
        <w:rPr>
          <w:rFonts w:ascii="Times New Roman" w:hAnsi="Times New Roman" w:cs="Times New Roman"/>
          <w:sz w:val="24"/>
          <w:szCs w:val="24"/>
        </w:rPr>
        <w:t xml:space="preserve"> </w:t>
      </w:r>
      <w:r w:rsidR="001B6852" w:rsidRPr="00203B58">
        <w:rPr>
          <w:rFonts w:ascii="Times New Roman" w:hAnsi="Times New Roman" w:cs="Times New Roman"/>
          <w:sz w:val="24"/>
          <w:szCs w:val="24"/>
        </w:rPr>
        <w:t>t</w:t>
      </w:r>
      <w:r w:rsidRPr="00203B58">
        <w:rPr>
          <w:rFonts w:ascii="Times New Roman" w:hAnsi="Times New Roman" w:cs="Times New Roman"/>
          <w:sz w:val="24"/>
          <w:szCs w:val="24"/>
        </w:rPr>
        <w:t xml:space="preserve">he UK Alcohol Treatment Trial, </w:t>
      </w:r>
      <w:r w:rsidRPr="00203B58">
        <w:rPr>
          <w:rFonts w:ascii="Times New Roman" w:hAnsi="Times New Roman" w:cs="Times New Roman"/>
          <w:i/>
          <w:sz w:val="24"/>
          <w:szCs w:val="24"/>
        </w:rPr>
        <w:t xml:space="preserve">Alcohol and Alcoholism, </w:t>
      </w:r>
      <w:r w:rsidR="0049454C" w:rsidRPr="00203B58">
        <w:rPr>
          <w:rFonts w:ascii="Times New Roman" w:hAnsi="Times New Roman" w:cs="Times New Roman"/>
          <w:i/>
          <w:sz w:val="24"/>
          <w:szCs w:val="24"/>
        </w:rPr>
        <w:t>40</w:t>
      </w:r>
      <w:r w:rsidRPr="00203B58">
        <w:rPr>
          <w:rFonts w:ascii="Times New Roman" w:hAnsi="Times New Roman" w:cs="Times New Roman"/>
          <w:sz w:val="24"/>
          <w:szCs w:val="24"/>
        </w:rPr>
        <w:t>, 413-418</w:t>
      </w:r>
    </w:p>
    <w:p w14:paraId="4CDA9B7A"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UKATT Research Team. (2001). United Kingdom Alcohol Treatment Trial: hypotheses, design and methods. </w:t>
      </w:r>
      <w:r w:rsidRPr="004E6DD7">
        <w:rPr>
          <w:rFonts w:ascii="Times New Roman" w:hAnsi="Times New Roman" w:cs="Times New Roman"/>
          <w:i/>
          <w:sz w:val="24"/>
          <w:szCs w:val="24"/>
        </w:rPr>
        <w:t>Alcohol &amp; Alcoholism, 36</w:t>
      </w:r>
      <w:r w:rsidRPr="004E6DD7">
        <w:rPr>
          <w:rFonts w:ascii="Times New Roman" w:hAnsi="Times New Roman" w:cs="Times New Roman"/>
          <w:sz w:val="24"/>
          <w:szCs w:val="24"/>
        </w:rPr>
        <w:t>, 11-21</w:t>
      </w:r>
    </w:p>
    <w:p w14:paraId="798B6611"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UKATT Research Team (2005). Effectiveness of treatment for alcohol problems: findings of the randomised UK Alcohol Treatment Trial (UKATT). </w:t>
      </w:r>
      <w:r w:rsidRPr="004E6DD7">
        <w:rPr>
          <w:rFonts w:ascii="Times New Roman" w:hAnsi="Times New Roman" w:cs="Times New Roman"/>
          <w:i/>
          <w:sz w:val="24"/>
          <w:szCs w:val="24"/>
        </w:rPr>
        <w:t>British Medical Journal, 351</w:t>
      </w:r>
      <w:r w:rsidRPr="004E6DD7">
        <w:rPr>
          <w:rFonts w:ascii="Times New Roman" w:hAnsi="Times New Roman" w:cs="Times New Roman"/>
          <w:sz w:val="24"/>
          <w:szCs w:val="24"/>
        </w:rPr>
        <w:t>, 541-544.</w:t>
      </w:r>
    </w:p>
    <w:p w14:paraId="73D796B4" w14:textId="77777777" w:rsidR="004E6DD7" w:rsidRPr="004E6DD7" w:rsidRDefault="004E6DD7" w:rsidP="004E6DD7">
      <w:pPr>
        <w:rPr>
          <w:rFonts w:ascii="Times New Roman" w:hAnsi="Times New Roman" w:cs="Times New Roman"/>
          <w:sz w:val="24"/>
          <w:szCs w:val="24"/>
        </w:rPr>
      </w:pPr>
      <w:r w:rsidRPr="004E6DD7">
        <w:rPr>
          <w:rFonts w:ascii="Times New Roman" w:hAnsi="Times New Roman" w:cs="Times New Roman"/>
          <w:sz w:val="24"/>
          <w:szCs w:val="24"/>
        </w:rPr>
        <w:t xml:space="preserve">UKATT Research Team. (2008). UK Alcohol Treatment Trial: client-treatment matching hypotheses. </w:t>
      </w:r>
      <w:r w:rsidRPr="004E6DD7">
        <w:rPr>
          <w:rFonts w:ascii="Times New Roman" w:hAnsi="Times New Roman" w:cs="Times New Roman"/>
          <w:i/>
          <w:sz w:val="24"/>
          <w:szCs w:val="24"/>
        </w:rPr>
        <w:t>Addiction, 103</w:t>
      </w:r>
      <w:r w:rsidRPr="004E6DD7">
        <w:rPr>
          <w:rFonts w:ascii="Times New Roman" w:hAnsi="Times New Roman" w:cs="Times New Roman"/>
          <w:sz w:val="24"/>
          <w:szCs w:val="24"/>
        </w:rPr>
        <w:t>, 228-238.</w:t>
      </w:r>
    </w:p>
    <w:p w14:paraId="30BD7366" w14:textId="77777777" w:rsidR="004E6DD7" w:rsidRPr="004E6DD7" w:rsidRDefault="00160C1F" w:rsidP="004E6DD7">
      <w:pPr>
        <w:rPr>
          <w:rFonts w:ascii="Times New Roman" w:hAnsi="Times New Roman" w:cs="Times New Roman"/>
          <w:sz w:val="24"/>
          <w:szCs w:val="24"/>
        </w:rPr>
      </w:pPr>
      <w:r w:rsidRPr="00EB5F70">
        <w:rPr>
          <w:rFonts w:ascii="Times New Roman" w:hAnsi="Times New Roman" w:cs="Times New Roman"/>
          <w:sz w:val="24"/>
          <w:szCs w:val="24"/>
        </w:rPr>
        <w:t xml:space="preserve">Wampold, B. E, &amp; Imel, Z. E. (2015). </w:t>
      </w:r>
      <w:r w:rsidR="004E6DD7" w:rsidRPr="004E6DD7">
        <w:rPr>
          <w:rFonts w:ascii="Times New Roman" w:hAnsi="Times New Roman" w:cs="Times New Roman"/>
          <w:i/>
          <w:sz w:val="24"/>
          <w:szCs w:val="24"/>
        </w:rPr>
        <w:t>The Great Psychotherapy Debate: Models, Methods and Findings</w:t>
      </w:r>
      <w:r w:rsidR="004E6DD7" w:rsidRPr="004E6DD7">
        <w:rPr>
          <w:rFonts w:ascii="Times New Roman" w:hAnsi="Times New Roman" w:cs="Times New Roman"/>
          <w:sz w:val="24"/>
          <w:szCs w:val="24"/>
        </w:rPr>
        <w:t xml:space="preserve"> (2nd ed.). New York: Routledge.</w:t>
      </w:r>
    </w:p>
    <w:p w14:paraId="6F00DB35" w14:textId="77777777" w:rsidR="004E6DD7" w:rsidRPr="004E6DD7" w:rsidRDefault="004E6DD7" w:rsidP="004E6DD7">
      <w:pPr>
        <w:spacing w:after="200" w:line="276" w:lineRule="auto"/>
        <w:ind w:firstLine="0"/>
        <w:rPr>
          <w:rFonts w:asciiTheme="minorHAnsi" w:eastAsiaTheme="minorHAnsi" w:hAnsiTheme="minorHAnsi" w:cstheme="minorBidi"/>
          <w:sz w:val="22"/>
          <w:szCs w:val="22"/>
        </w:rPr>
      </w:pPr>
    </w:p>
    <w:p w14:paraId="0EE66137" w14:textId="77777777" w:rsidR="00531DE4" w:rsidRPr="00C33339" w:rsidRDefault="00531DE4">
      <w:pPr>
        <w:rPr>
          <w:rFonts w:ascii="Times New Roman" w:hAnsi="Times New Roman" w:cs="Times New Roman"/>
          <w:sz w:val="24"/>
          <w:szCs w:val="24"/>
        </w:rPr>
      </w:pPr>
    </w:p>
    <w:p w14:paraId="372C3041" w14:textId="77777777" w:rsidR="003F3583" w:rsidRPr="00C33339" w:rsidRDefault="003F3583" w:rsidP="00BD2320">
      <w:pPr>
        <w:rPr>
          <w:rFonts w:ascii="Times New Roman" w:hAnsi="Times New Roman" w:cs="Times New Roman"/>
          <w:sz w:val="24"/>
          <w:szCs w:val="24"/>
        </w:rPr>
      </w:pPr>
    </w:p>
    <w:p w14:paraId="35440D13" w14:textId="77777777" w:rsidR="00531DE4" w:rsidRPr="00C33339" w:rsidRDefault="00531DE4" w:rsidP="00BD2320">
      <w:pPr>
        <w:rPr>
          <w:rFonts w:ascii="Times New Roman" w:hAnsi="Times New Roman" w:cs="Times New Roman"/>
          <w:sz w:val="24"/>
          <w:szCs w:val="24"/>
        </w:rPr>
        <w:sectPr w:rsidR="00531DE4" w:rsidRPr="00C33339" w:rsidSect="00C33339">
          <w:footerReference w:type="default" r:id="rId15"/>
          <w:pgSz w:w="11907" w:h="16839" w:code="9"/>
          <w:pgMar w:top="1417" w:right="1417" w:bottom="1417" w:left="1417" w:header="720" w:footer="567" w:gutter="0"/>
          <w:cols w:space="720"/>
          <w:docGrid w:linePitch="360"/>
        </w:sectPr>
      </w:pPr>
    </w:p>
    <w:p w14:paraId="0EB6551E" w14:textId="77777777" w:rsidR="00B762B1" w:rsidRPr="00232E2C" w:rsidRDefault="003877B7" w:rsidP="00232E2C">
      <w:pPr>
        <w:pStyle w:val="Heading4"/>
      </w:pPr>
      <w:r w:rsidRPr="00232E2C">
        <w:lastRenderedPageBreak/>
        <w:t>Table 1</w:t>
      </w:r>
    </w:p>
    <w:p w14:paraId="03EC10C1" w14:textId="77777777" w:rsidR="00662FED" w:rsidRPr="00B762B1" w:rsidRDefault="00662FED" w:rsidP="00232E2C">
      <w:pPr>
        <w:pStyle w:val="Heading4"/>
      </w:pPr>
      <w:r w:rsidRPr="00B762B1">
        <w:t>Sample description</w:t>
      </w:r>
    </w:p>
    <w:tbl>
      <w:tblPr>
        <w:tblW w:w="9762" w:type="dxa"/>
        <w:tblInd w:w="93" w:type="dxa"/>
        <w:tblLayout w:type="fixed"/>
        <w:tblLook w:val="04A0" w:firstRow="1" w:lastRow="0" w:firstColumn="1" w:lastColumn="0" w:noHBand="0" w:noVBand="1"/>
      </w:tblPr>
      <w:tblGrid>
        <w:gridCol w:w="236"/>
        <w:gridCol w:w="63"/>
        <w:gridCol w:w="3260"/>
        <w:gridCol w:w="874"/>
        <w:gridCol w:w="874"/>
        <w:gridCol w:w="874"/>
        <w:gridCol w:w="874"/>
        <w:gridCol w:w="874"/>
        <w:gridCol w:w="875"/>
        <w:gridCol w:w="958"/>
      </w:tblGrid>
      <w:tr w:rsidR="00DB773E" w:rsidRPr="003877B7" w14:paraId="5670102D" w14:textId="77777777" w:rsidTr="00A432C0">
        <w:trPr>
          <w:trHeight w:val="300"/>
        </w:trPr>
        <w:tc>
          <w:tcPr>
            <w:tcW w:w="236" w:type="dxa"/>
            <w:tcBorders>
              <w:top w:val="single" w:sz="4" w:space="0" w:color="auto"/>
              <w:left w:val="nil"/>
              <w:bottom w:val="single" w:sz="4" w:space="0" w:color="auto"/>
              <w:right w:val="nil"/>
            </w:tcBorders>
          </w:tcPr>
          <w:p w14:paraId="124B8014" w14:textId="77777777" w:rsidR="00DB773E" w:rsidRPr="003877B7" w:rsidRDefault="00DB773E" w:rsidP="003877B7">
            <w:pPr>
              <w:pStyle w:val="Table"/>
            </w:pPr>
          </w:p>
        </w:tc>
        <w:tc>
          <w:tcPr>
            <w:tcW w:w="3323" w:type="dxa"/>
            <w:gridSpan w:val="2"/>
            <w:tcBorders>
              <w:top w:val="single" w:sz="4" w:space="0" w:color="auto"/>
              <w:left w:val="nil"/>
              <w:bottom w:val="single" w:sz="4" w:space="0" w:color="auto"/>
              <w:right w:val="nil"/>
            </w:tcBorders>
            <w:shd w:val="clear" w:color="auto" w:fill="auto"/>
            <w:noWrap/>
            <w:vAlign w:val="bottom"/>
            <w:hideMark/>
          </w:tcPr>
          <w:p w14:paraId="757D2913" w14:textId="77777777" w:rsidR="00DB773E" w:rsidRPr="003877B7" w:rsidRDefault="00DB773E" w:rsidP="003877B7">
            <w:pPr>
              <w:pStyle w:val="Table"/>
            </w:pPr>
          </w:p>
        </w:tc>
        <w:tc>
          <w:tcPr>
            <w:tcW w:w="1748" w:type="dxa"/>
            <w:gridSpan w:val="2"/>
            <w:tcBorders>
              <w:top w:val="single" w:sz="4" w:space="0" w:color="auto"/>
              <w:left w:val="nil"/>
              <w:bottom w:val="single" w:sz="4" w:space="0" w:color="auto"/>
              <w:right w:val="nil"/>
            </w:tcBorders>
            <w:shd w:val="clear" w:color="auto" w:fill="auto"/>
            <w:noWrap/>
            <w:vAlign w:val="center"/>
            <w:hideMark/>
          </w:tcPr>
          <w:p w14:paraId="5D9DA560" w14:textId="77777777" w:rsidR="00DB773E" w:rsidRPr="003877B7" w:rsidRDefault="00DB773E" w:rsidP="003877B7">
            <w:pPr>
              <w:pStyle w:val="Table"/>
            </w:pPr>
            <w:r w:rsidRPr="003877B7">
              <w:t>MET</w:t>
            </w:r>
          </w:p>
        </w:tc>
        <w:tc>
          <w:tcPr>
            <w:tcW w:w="1748" w:type="dxa"/>
            <w:gridSpan w:val="2"/>
            <w:tcBorders>
              <w:top w:val="single" w:sz="4" w:space="0" w:color="auto"/>
              <w:left w:val="nil"/>
              <w:bottom w:val="single" w:sz="4" w:space="0" w:color="auto"/>
              <w:right w:val="nil"/>
            </w:tcBorders>
            <w:shd w:val="clear" w:color="auto" w:fill="auto"/>
            <w:noWrap/>
            <w:vAlign w:val="center"/>
            <w:hideMark/>
          </w:tcPr>
          <w:p w14:paraId="03DE4E3D" w14:textId="77777777" w:rsidR="00DB773E" w:rsidRPr="003877B7" w:rsidRDefault="00DB773E" w:rsidP="003877B7">
            <w:pPr>
              <w:pStyle w:val="Table"/>
            </w:pPr>
            <w:r w:rsidRPr="003877B7">
              <w:t>SBNT</w:t>
            </w:r>
          </w:p>
        </w:tc>
        <w:tc>
          <w:tcPr>
            <w:tcW w:w="1749" w:type="dxa"/>
            <w:gridSpan w:val="2"/>
            <w:tcBorders>
              <w:top w:val="single" w:sz="4" w:space="0" w:color="auto"/>
              <w:left w:val="nil"/>
              <w:bottom w:val="single" w:sz="4" w:space="0" w:color="auto"/>
              <w:right w:val="nil"/>
            </w:tcBorders>
            <w:shd w:val="clear" w:color="auto" w:fill="auto"/>
            <w:noWrap/>
            <w:vAlign w:val="center"/>
            <w:hideMark/>
          </w:tcPr>
          <w:p w14:paraId="026C1F07" w14:textId="77777777" w:rsidR="00DB773E" w:rsidRPr="003877B7" w:rsidRDefault="00DB773E" w:rsidP="003877B7">
            <w:pPr>
              <w:pStyle w:val="Table"/>
            </w:pPr>
            <w:r w:rsidRPr="003877B7">
              <w:t>Total</w:t>
            </w:r>
          </w:p>
        </w:tc>
        <w:tc>
          <w:tcPr>
            <w:tcW w:w="958" w:type="dxa"/>
            <w:tcBorders>
              <w:top w:val="single" w:sz="4" w:space="0" w:color="auto"/>
              <w:left w:val="nil"/>
              <w:bottom w:val="single" w:sz="4" w:space="0" w:color="auto"/>
              <w:right w:val="nil"/>
            </w:tcBorders>
          </w:tcPr>
          <w:p w14:paraId="08EF111C" w14:textId="77777777" w:rsidR="00DB773E" w:rsidRPr="003877B7" w:rsidRDefault="00DB773E" w:rsidP="003877B7">
            <w:pPr>
              <w:pStyle w:val="Table"/>
            </w:pPr>
            <w:r w:rsidRPr="003877B7">
              <w:t>p*</w:t>
            </w:r>
          </w:p>
        </w:tc>
      </w:tr>
      <w:tr w:rsidR="00660F05" w:rsidRPr="003877B7" w14:paraId="4D98F861" w14:textId="77777777" w:rsidTr="00A432C0">
        <w:trPr>
          <w:trHeight w:val="300"/>
        </w:trPr>
        <w:tc>
          <w:tcPr>
            <w:tcW w:w="3559" w:type="dxa"/>
            <w:gridSpan w:val="3"/>
            <w:tcBorders>
              <w:top w:val="single" w:sz="4" w:space="0" w:color="auto"/>
              <w:left w:val="nil"/>
              <w:right w:val="nil"/>
            </w:tcBorders>
          </w:tcPr>
          <w:p w14:paraId="2429773D" w14:textId="77777777" w:rsidR="00660F05" w:rsidRPr="003877B7" w:rsidRDefault="00660F05" w:rsidP="003877B7">
            <w:pPr>
              <w:pStyle w:val="Table"/>
            </w:pPr>
          </w:p>
        </w:tc>
        <w:tc>
          <w:tcPr>
            <w:tcW w:w="1748" w:type="dxa"/>
            <w:gridSpan w:val="2"/>
            <w:tcBorders>
              <w:top w:val="single" w:sz="4" w:space="0" w:color="auto"/>
              <w:left w:val="nil"/>
              <w:right w:val="nil"/>
            </w:tcBorders>
            <w:shd w:val="clear" w:color="auto" w:fill="auto"/>
            <w:noWrap/>
            <w:vAlign w:val="center"/>
            <w:hideMark/>
          </w:tcPr>
          <w:p w14:paraId="65D0351A" w14:textId="77777777" w:rsidR="00660F05" w:rsidRPr="003877B7" w:rsidRDefault="00660F05" w:rsidP="003877B7">
            <w:pPr>
              <w:pStyle w:val="Table"/>
            </w:pPr>
            <w:r w:rsidRPr="003877B7">
              <w:t>N=217</w:t>
            </w:r>
          </w:p>
        </w:tc>
        <w:tc>
          <w:tcPr>
            <w:tcW w:w="1748" w:type="dxa"/>
            <w:gridSpan w:val="2"/>
            <w:tcBorders>
              <w:top w:val="single" w:sz="4" w:space="0" w:color="auto"/>
              <w:left w:val="nil"/>
              <w:right w:val="nil"/>
            </w:tcBorders>
            <w:shd w:val="clear" w:color="auto" w:fill="auto"/>
            <w:noWrap/>
            <w:vAlign w:val="center"/>
            <w:hideMark/>
          </w:tcPr>
          <w:p w14:paraId="7F920D65" w14:textId="77777777" w:rsidR="00660F05" w:rsidRPr="003877B7" w:rsidRDefault="00660F05" w:rsidP="003877B7">
            <w:pPr>
              <w:pStyle w:val="Table"/>
            </w:pPr>
            <w:r w:rsidRPr="003877B7">
              <w:t>N=159</w:t>
            </w:r>
          </w:p>
        </w:tc>
        <w:tc>
          <w:tcPr>
            <w:tcW w:w="1749" w:type="dxa"/>
            <w:gridSpan w:val="2"/>
            <w:tcBorders>
              <w:top w:val="single" w:sz="4" w:space="0" w:color="auto"/>
              <w:left w:val="nil"/>
              <w:right w:val="nil"/>
            </w:tcBorders>
            <w:shd w:val="clear" w:color="auto" w:fill="auto"/>
            <w:noWrap/>
            <w:vAlign w:val="center"/>
            <w:hideMark/>
          </w:tcPr>
          <w:p w14:paraId="2118CB90" w14:textId="77777777" w:rsidR="00660F05" w:rsidRPr="003877B7" w:rsidRDefault="00660F05" w:rsidP="003877B7">
            <w:pPr>
              <w:pStyle w:val="Table"/>
            </w:pPr>
            <w:r w:rsidRPr="003877B7">
              <w:t>N=376</w:t>
            </w:r>
          </w:p>
        </w:tc>
        <w:tc>
          <w:tcPr>
            <w:tcW w:w="958" w:type="dxa"/>
            <w:tcBorders>
              <w:top w:val="single" w:sz="4" w:space="0" w:color="auto"/>
              <w:left w:val="nil"/>
              <w:right w:val="nil"/>
            </w:tcBorders>
          </w:tcPr>
          <w:p w14:paraId="4F460E21" w14:textId="77777777" w:rsidR="00660F05" w:rsidRPr="003877B7" w:rsidRDefault="00660F05" w:rsidP="003877B7">
            <w:pPr>
              <w:pStyle w:val="Table"/>
            </w:pPr>
          </w:p>
        </w:tc>
      </w:tr>
      <w:tr w:rsidR="00660F05" w:rsidRPr="003877B7" w14:paraId="0C96D0AF" w14:textId="77777777" w:rsidTr="00E05E35">
        <w:trPr>
          <w:trHeight w:val="300"/>
        </w:trPr>
        <w:tc>
          <w:tcPr>
            <w:tcW w:w="3559" w:type="dxa"/>
            <w:gridSpan w:val="3"/>
            <w:tcBorders>
              <w:left w:val="nil"/>
              <w:bottom w:val="nil"/>
              <w:right w:val="nil"/>
            </w:tcBorders>
          </w:tcPr>
          <w:p w14:paraId="007D8CC4" w14:textId="77777777" w:rsidR="00660F05" w:rsidRPr="003877B7" w:rsidRDefault="00660F05" w:rsidP="003877B7">
            <w:pPr>
              <w:pStyle w:val="Table"/>
            </w:pPr>
            <w:r w:rsidRPr="003877B7">
              <w:t>Baseline</w:t>
            </w:r>
          </w:p>
        </w:tc>
        <w:tc>
          <w:tcPr>
            <w:tcW w:w="874" w:type="dxa"/>
            <w:tcBorders>
              <w:left w:val="nil"/>
              <w:bottom w:val="nil"/>
              <w:right w:val="nil"/>
            </w:tcBorders>
            <w:shd w:val="clear" w:color="auto" w:fill="auto"/>
            <w:noWrap/>
            <w:vAlign w:val="center"/>
            <w:hideMark/>
          </w:tcPr>
          <w:p w14:paraId="6B8DE16A" w14:textId="77777777" w:rsidR="00660F05" w:rsidRPr="003877B7" w:rsidRDefault="00660F05" w:rsidP="003877B7">
            <w:pPr>
              <w:pStyle w:val="Table"/>
            </w:pPr>
          </w:p>
        </w:tc>
        <w:tc>
          <w:tcPr>
            <w:tcW w:w="874" w:type="dxa"/>
            <w:tcBorders>
              <w:left w:val="nil"/>
              <w:bottom w:val="nil"/>
              <w:right w:val="nil"/>
            </w:tcBorders>
            <w:shd w:val="clear" w:color="auto" w:fill="auto"/>
            <w:noWrap/>
            <w:vAlign w:val="center"/>
            <w:hideMark/>
          </w:tcPr>
          <w:p w14:paraId="3D0D91C6" w14:textId="77777777" w:rsidR="00660F05" w:rsidRPr="003877B7" w:rsidRDefault="00660F05" w:rsidP="003877B7">
            <w:pPr>
              <w:pStyle w:val="Table"/>
            </w:pPr>
          </w:p>
        </w:tc>
        <w:tc>
          <w:tcPr>
            <w:tcW w:w="874" w:type="dxa"/>
            <w:tcBorders>
              <w:left w:val="nil"/>
              <w:bottom w:val="nil"/>
              <w:right w:val="nil"/>
            </w:tcBorders>
            <w:shd w:val="clear" w:color="auto" w:fill="auto"/>
            <w:noWrap/>
            <w:vAlign w:val="center"/>
            <w:hideMark/>
          </w:tcPr>
          <w:p w14:paraId="4C9E3E75" w14:textId="77777777" w:rsidR="00660F05" w:rsidRPr="003877B7" w:rsidRDefault="00660F05" w:rsidP="003877B7">
            <w:pPr>
              <w:pStyle w:val="Table"/>
            </w:pPr>
          </w:p>
        </w:tc>
        <w:tc>
          <w:tcPr>
            <w:tcW w:w="874" w:type="dxa"/>
            <w:tcBorders>
              <w:left w:val="nil"/>
              <w:bottom w:val="nil"/>
              <w:right w:val="nil"/>
            </w:tcBorders>
            <w:shd w:val="clear" w:color="auto" w:fill="auto"/>
            <w:noWrap/>
            <w:vAlign w:val="center"/>
            <w:hideMark/>
          </w:tcPr>
          <w:p w14:paraId="6DCEED10" w14:textId="77777777" w:rsidR="00660F05" w:rsidRPr="003877B7" w:rsidRDefault="00660F05" w:rsidP="003877B7">
            <w:pPr>
              <w:pStyle w:val="Table"/>
            </w:pPr>
          </w:p>
        </w:tc>
        <w:tc>
          <w:tcPr>
            <w:tcW w:w="874" w:type="dxa"/>
            <w:tcBorders>
              <w:left w:val="nil"/>
              <w:bottom w:val="nil"/>
              <w:right w:val="nil"/>
            </w:tcBorders>
            <w:shd w:val="clear" w:color="auto" w:fill="auto"/>
            <w:noWrap/>
            <w:vAlign w:val="center"/>
            <w:hideMark/>
          </w:tcPr>
          <w:p w14:paraId="3669617E" w14:textId="77777777" w:rsidR="00660F05" w:rsidRPr="003877B7" w:rsidRDefault="00660F05" w:rsidP="003877B7">
            <w:pPr>
              <w:pStyle w:val="Table"/>
            </w:pPr>
          </w:p>
        </w:tc>
        <w:tc>
          <w:tcPr>
            <w:tcW w:w="875" w:type="dxa"/>
            <w:tcBorders>
              <w:left w:val="nil"/>
              <w:bottom w:val="nil"/>
              <w:right w:val="nil"/>
            </w:tcBorders>
            <w:shd w:val="clear" w:color="auto" w:fill="auto"/>
            <w:noWrap/>
            <w:vAlign w:val="center"/>
            <w:hideMark/>
          </w:tcPr>
          <w:p w14:paraId="03CE0129" w14:textId="77777777" w:rsidR="00660F05" w:rsidRPr="003877B7" w:rsidRDefault="00660F05" w:rsidP="003877B7">
            <w:pPr>
              <w:pStyle w:val="Table"/>
            </w:pPr>
          </w:p>
        </w:tc>
        <w:tc>
          <w:tcPr>
            <w:tcW w:w="958" w:type="dxa"/>
            <w:tcBorders>
              <w:left w:val="nil"/>
              <w:bottom w:val="nil"/>
              <w:right w:val="nil"/>
            </w:tcBorders>
          </w:tcPr>
          <w:p w14:paraId="110F21F8" w14:textId="77777777" w:rsidR="00660F05" w:rsidRPr="003877B7" w:rsidRDefault="00660F05" w:rsidP="003877B7">
            <w:pPr>
              <w:pStyle w:val="Table"/>
            </w:pPr>
          </w:p>
        </w:tc>
      </w:tr>
      <w:tr w:rsidR="00E046E5" w:rsidRPr="003877B7" w14:paraId="337350A6" w14:textId="77777777" w:rsidTr="00D44E4D">
        <w:trPr>
          <w:trHeight w:val="300"/>
        </w:trPr>
        <w:tc>
          <w:tcPr>
            <w:tcW w:w="299" w:type="dxa"/>
            <w:gridSpan w:val="2"/>
            <w:tcBorders>
              <w:left w:val="nil"/>
              <w:bottom w:val="nil"/>
              <w:right w:val="nil"/>
            </w:tcBorders>
            <w:vAlign w:val="bottom"/>
          </w:tcPr>
          <w:p w14:paraId="10D075C9" w14:textId="77777777" w:rsidR="00E046E5" w:rsidRPr="003877B7" w:rsidRDefault="00E046E5" w:rsidP="003877B7">
            <w:pPr>
              <w:pStyle w:val="Table"/>
            </w:pPr>
          </w:p>
        </w:tc>
        <w:tc>
          <w:tcPr>
            <w:tcW w:w="3260" w:type="dxa"/>
            <w:tcBorders>
              <w:left w:val="nil"/>
              <w:bottom w:val="nil"/>
              <w:right w:val="nil"/>
            </w:tcBorders>
            <w:shd w:val="clear" w:color="auto" w:fill="auto"/>
            <w:noWrap/>
            <w:vAlign w:val="bottom"/>
            <w:hideMark/>
          </w:tcPr>
          <w:p w14:paraId="284359F1" w14:textId="77777777" w:rsidR="00E046E5" w:rsidRPr="003877B7" w:rsidRDefault="00E046E5" w:rsidP="003877B7">
            <w:pPr>
              <w:pStyle w:val="Table"/>
            </w:pPr>
            <w:r w:rsidRPr="003877B7">
              <w:t>Age (mean, SD)</w:t>
            </w:r>
          </w:p>
        </w:tc>
        <w:tc>
          <w:tcPr>
            <w:tcW w:w="874" w:type="dxa"/>
            <w:tcBorders>
              <w:left w:val="nil"/>
              <w:bottom w:val="nil"/>
              <w:right w:val="nil"/>
            </w:tcBorders>
            <w:shd w:val="clear" w:color="auto" w:fill="auto"/>
            <w:noWrap/>
            <w:vAlign w:val="center"/>
            <w:hideMark/>
          </w:tcPr>
          <w:p w14:paraId="3ADE35B0" w14:textId="77777777" w:rsidR="00E046E5" w:rsidRPr="003877B7" w:rsidRDefault="00E046E5" w:rsidP="003877B7">
            <w:pPr>
              <w:pStyle w:val="Table"/>
            </w:pPr>
            <w:r w:rsidRPr="003877B7">
              <w:t>42.5</w:t>
            </w:r>
          </w:p>
        </w:tc>
        <w:tc>
          <w:tcPr>
            <w:tcW w:w="874" w:type="dxa"/>
            <w:tcBorders>
              <w:left w:val="nil"/>
              <w:bottom w:val="nil"/>
              <w:right w:val="nil"/>
            </w:tcBorders>
            <w:shd w:val="clear" w:color="auto" w:fill="auto"/>
            <w:noWrap/>
            <w:vAlign w:val="center"/>
            <w:hideMark/>
          </w:tcPr>
          <w:p w14:paraId="79BE712F" w14:textId="77777777" w:rsidR="00E046E5" w:rsidRPr="003877B7" w:rsidRDefault="00E046E5" w:rsidP="003877B7">
            <w:pPr>
              <w:pStyle w:val="Table"/>
            </w:pPr>
            <w:r w:rsidRPr="003877B7">
              <w:t>10.2</w:t>
            </w:r>
          </w:p>
        </w:tc>
        <w:tc>
          <w:tcPr>
            <w:tcW w:w="874" w:type="dxa"/>
            <w:tcBorders>
              <w:left w:val="nil"/>
              <w:bottom w:val="nil"/>
              <w:right w:val="nil"/>
            </w:tcBorders>
            <w:shd w:val="clear" w:color="auto" w:fill="auto"/>
            <w:noWrap/>
            <w:vAlign w:val="center"/>
            <w:hideMark/>
          </w:tcPr>
          <w:p w14:paraId="1A090685" w14:textId="77777777" w:rsidR="00E046E5" w:rsidRPr="003877B7" w:rsidRDefault="00E046E5" w:rsidP="003877B7">
            <w:pPr>
              <w:pStyle w:val="Table"/>
            </w:pPr>
            <w:r w:rsidRPr="003877B7">
              <w:t>42.5</w:t>
            </w:r>
          </w:p>
        </w:tc>
        <w:tc>
          <w:tcPr>
            <w:tcW w:w="874" w:type="dxa"/>
            <w:tcBorders>
              <w:left w:val="nil"/>
              <w:bottom w:val="nil"/>
              <w:right w:val="nil"/>
            </w:tcBorders>
            <w:shd w:val="clear" w:color="auto" w:fill="auto"/>
            <w:noWrap/>
            <w:vAlign w:val="center"/>
            <w:hideMark/>
          </w:tcPr>
          <w:p w14:paraId="674BEC43" w14:textId="77777777" w:rsidR="00E046E5" w:rsidRPr="003877B7" w:rsidRDefault="00E046E5" w:rsidP="003877B7">
            <w:pPr>
              <w:pStyle w:val="Table"/>
            </w:pPr>
            <w:r w:rsidRPr="003877B7">
              <w:t>9.6</w:t>
            </w:r>
          </w:p>
        </w:tc>
        <w:tc>
          <w:tcPr>
            <w:tcW w:w="874" w:type="dxa"/>
            <w:tcBorders>
              <w:left w:val="nil"/>
              <w:bottom w:val="nil"/>
              <w:right w:val="nil"/>
            </w:tcBorders>
            <w:shd w:val="clear" w:color="auto" w:fill="auto"/>
            <w:noWrap/>
            <w:vAlign w:val="center"/>
            <w:hideMark/>
          </w:tcPr>
          <w:p w14:paraId="66B3BF46" w14:textId="77777777" w:rsidR="00E046E5" w:rsidRPr="003877B7" w:rsidRDefault="00E046E5" w:rsidP="003877B7">
            <w:pPr>
              <w:pStyle w:val="Table"/>
            </w:pPr>
            <w:r w:rsidRPr="003877B7">
              <w:t>42.5</w:t>
            </w:r>
          </w:p>
        </w:tc>
        <w:tc>
          <w:tcPr>
            <w:tcW w:w="875" w:type="dxa"/>
            <w:tcBorders>
              <w:left w:val="nil"/>
              <w:bottom w:val="nil"/>
              <w:right w:val="nil"/>
            </w:tcBorders>
            <w:shd w:val="clear" w:color="auto" w:fill="auto"/>
            <w:noWrap/>
            <w:vAlign w:val="center"/>
            <w:hideMark/>
          </w:tcPr>
          <w:p w14:paraId="18BDC0B7" w14:textId="77777777" w:rsidR="00E046E5" w:rsidRPr="003877B7" w:rsidRDefault="00E046E5" w:rsidP="003877B7">
            <w:pPr>
              <w:pStyle w:val="Table"/>
            </w:pPr>
            <w:r w:rsidRPr="003877B7">
              <w:t>9.9</w:t>
            </w:r>
          </w:p>
        </w:tc>
        <w:tc>
          <w:tcPr>
            <w:tcW w:w="958" w:type="dxa"/>
            <w:tcBorders>
              <w:left w:val="nil"/>
              <w:bottom w:val="nil"/>
              <w:right w:val="nil"/>
            </w:tcBorders>
          </w:tcPr>
          <w:p w14:paraId="4296EF9E" w14:textId="77777777" w:rsidR="00E046E5" w:rsidRPr="003877B7" w:rsidRDefault="00E046E5" w:rsidP="003877B7">
            <w:pPr>
              <w:pStyle w:val="Table"/>
            </w:pPr>
            <w:r w:rsidRPr="003877B7">
              <w:t>0.89</w:t>
            </w:r>
          </w:p>
        </w:tc>
      </w:tr>
      <w:tr w:rsidR="00E046E5" w:rsidRPr="003877B7" w14:paraId="0B26B413" w14:textId="77777777" w:rsidTr="00D44E4D">
        <w:trPr>
          <w:trHeight w:val="300"/>
        </w:trPr>
        <w:tc>
          <w:tcPr>
            <w:tcW w:w="299" w:type="dxa"/>
            <w:gridSpan w:val="2"/>
            <w:tcBorders>
              <w:top w:val="nil"/>
              <w:left w:val="nil"/>
              <w:bottom w:val="nil"/>
              <w:right w:val="nil"/>
            </w:tcBorders>
          </w:tcPr>
          <w:p w14:paraId="69E9B862" w14:textId="77777777" w:rsidR="00E046E5" w:rsidRPr="003877B7" w:rsidRDefault="00E046E5" w:rsidP="003877B7">
            <w:pPr>
              <w:pStyle w:val="Table"/>
            </w:pPr>
          </w:p>
        </w:tc>
        <w:tc>
          <w:tcPr>
            <w:tcW w:w="3260" w:type="dxa"/>
            <w:tcBorders>
              <w:top w:val="nil"/>
              <w:left w:val="nil"/>
              <w:bottom w:val="nil"/>
              <w:right w:val="nil"/>
            </w:tcBorders>
            <w:shd w:val="clear" w:color="auto" w:fill="auto"/>
            <w:noWrap/>
            <w:vAlign w:val="bottom"/>
            <w:hideMark/>
          </w:tcPr>
          <w:p w14:paraId="46537DC3" w14:textId="77777777" w:rsidR="00E046E5" w:rsidRPr="003877B7" w:rsidRDefault="00E046E5" w:rsidP="003877B7">
            <w:pPr>
              <w:pStyle w:val="Table"/>
            </w:pPr>
            <w:r w:rsidRPr="003877B7">
              <w:t>Gender (N Male, %)</w:t>
            </w:r>
          </w:p>
        </w:tc>
        <w:tc>
          <w:tcPr>
            <w:tcW w:w="874" w:type="dxa"/>
            <w:tcBorders>
              <w:top w:val="nil"/>
              <w:left w:val="nil"/>
              <w:bottom w:val="nil"/>
              <w:right w:val="nil"/>
            </w:tcBorders>
            <w:shd w:val="clear" w:color="auto" w:fill="auto"/>
            <w:noWrap/>
            <w:vAlign w:val="center"/>
            <w:hideMark/>
          </w:tcPr>
          <w:p w14:paraId="0C0C8CD7" w14:textId="77777777" w:rsidR="00E046E5" w:rsidRPr="003877B7" w:rsidRDefault="00E046E5" w:rsidP="003877B7">
            <w:pPr>
              <w:pStyle w:val="Table"/>
            </w:pPr>
            <w:r w:rsidRPr="003877B7">
              <w:t>159</w:t>
            </w:r>
          </w:p>
        </w:tc>
        <w:tc>
          <w:tcPr>
            <w:tcW w:w="874" w:type="dxa"/>
            <w:tcBorders>
              <w:top w:val="nil"/>
              <w:left w:val="nil"/>
              <w:bottom w:val="nil"/>
              <w:right w:val="nil"/>
            </w:tcBorders>
            <w:shd w:val="clear" w:color="auto" w:fill="auto"/>
            <w:noWrap/>
            <w:vAlign w:val="center"/>
            <w:hideMark/>
          </w:tcPr>
          <w:p w14:paraId="5883D644" w14:textId="77777777" w:rsidR="00E046E5" w:rsidRPr="003877B7" w:rsidRDefault="00E046E5" w:rsidP="003877B7">
            <w:pPr>
              <w:pStyle w:val="Table"/>
            </w:pPr>
            <w:r w:rsidRPr="003877B7">
              <w:t>73.3%</w:t>
            </w:r>
          </w:p>
        </w:tc>
        <w:tc>
          <w:tcPr>
            <w:tcW w:w="874" w:type="dxa"/>
            <w:tcBorders>
              <w:top w:val="nil"/>
              <w:left w:val="nil"/>
              <w:bottom w:val="nil"/>
              <w:right w:val="nil"/>
            </w:tcBorders>
            <w:shd w:val="clear" w:color="auto" w:fill="auto"/>
            <w:noWrap/>
            <w:vAlign w:val="center"/>
            <w:hideMark/>
          </w:tcPr>
          <w:p w14:paraId="54BFD774" w14:textId="77777777" w:rsidR="00E046E5" w:rsidRPr="003877B7" w:rsidRDefault="00E046E5" w:rsidP="003877B7">
            <w:pPr>
              <w:pStyle w:val="Table"/>
            </w:pPr>
            <w:r w:rsidRPr="003877B7">
              <w:t>121</w:t>
            </w:r>
          </w:p>
        </w:tc>
        <w:tc>
          <w:tcPr>
            <w:tcW w:w="874" w:type="dxa"/>
            <w:tcBorders>
              <w:top w:val="nil"/>
              <w:left w:val="nil"/>
              <w:bottom w:val="nil"/>
              <w:right w:val="nil"/>
            </w:tcBorders>
            <w:shd w:val="clear" w:color="auto" w:fill="auto"/>
            <w:noWrap/>
            <w:vAlign w:val="center"/>
            <w:hideMark/>
          </w:tcPr>
          <w:p w14:paraId="5EB9546E" w14:textId="77777777" w:rsidR="00E046E5" w:rsidRPr="003877B7" w:rsidRDefault="00E046E5" w:rsidP="003877B7">
            <w:pPr>
              <w:pStyle w:val="Table"/>
            </w:pPr>
            <w:r w:rsidRPr="003877B7">
              <w:t>76.1%</w:t>
            </w:r>
          </w:p>
        </w:tc>
        <w:tc>
          <w:tcPr>
            <w:tcW w:w="874" w:type="dxa"/>
            <w:tcBorders>
              <w:top w:val="nil"/>
              <w:left w:val="nil"/>
              <w:bottom w:val="nil"/>
              <w:right w:val="nil"/>
            </w:tcBorders>
            <w:shd w:val="clear" w:color="auto" w:fill="auto"/>
            <w:noWrap/>
            <w:vAlign w:val="center"/>
            <w:hideMark/>
          </w:tcPr>
          <w:p w14:paraId="06E8F142" w14:textId="77777777" w:rsidR="00E046E5" w:rsidRPr="003877B7" w:rsidRDefault="00E046E5" w:rsidP="003877B7">
            <w:pPr>
              <w:pStyle w:val="Table"/>
            </w:pPr>
            <w:r w:rsidRPr="003877B7">
              <w:t>280</w:t>
            </w:r>
          </w:p>
        </w:tc>
        <w:tc>
          <w:tcPr>
            <w:tcW w:w="875" w:type="dxa"/>
            <w:tcBorders>
              <w:top w:val="nil"/>
              <w:left w:val="nil"/>
              <w:bottom w:val="nil"/>
              <w:right w:val="nil"/>
            </w:tcBorders>
            <w:shd w:val="clear" w:color="auto" w:fill="auto"/>
            <w:noWrap/>
            <w:vAlign w:val="center"/>
            <w:hideMark/>
          </w:tcPr>
          <w:p w14:paraId="317C16AB" w14:textId="77777777" w:rsidR="00E046E5" w:rsidRPr="003877B7" w:rsidRDefault="00E046E5" w:rsidP="003877B7">
            <w:pPr>
              <w:pStyle w:val="Table"/>
            </w:pPr>
            <w:r w:rsidRPr="003877B7">
              <w:t>74.5%</w:t>
            </w:r>
          </w:p>
        </w:tc>
        <w:tc>
          <w:tcPr>
            <w:tcW w:w="958" w:type="dxa"/>
            <w:tcBorders>
              <w:top w:val="nil"/>
              <w:left w:val="nil"/>
              <w:bottom w:val="nil"/>
              <w:right w:val="nil"/>
            </w:tcBorders>
          </w:tcPr>
          <w:p w14:paraId="007E5F9D" w14:textId="77777777" w:rsidR="00E046E5" w:rsidRPr="003877B7" w:rsidRDefault="00E046E5" w:rsidP="003877B7">
            <w:pPr>
              <w:pStyle w:val="Table"/>
            </w:pPr>
            <w:r w:rsidRPr="003877B7">
              <w:t>0.53</w:t>
            </w:r>
          </w:p>
        </w:tc>
      </w:tr>
      <w:tr w:rsidR="00E046E5" w:rsidRPr="003877B7" w14:paraId="162B1018" w14:textId="77777777" w:rsidTr="00D44E4D">
        <w:trPr>
          <w:trHeight w:val="300"/>
        </w:trPr>
        <w:tc>
          <w:tcPr>
            <w:tcW w:w="299" w:type="dxa"/>
            <w:gridSpan w:val="2"/>
            <w:tcBorders>
              <w:top w:val="nil"/>
              <w:left w:val="nil"/>
              <w:bottom w:val="nil"/>
              <w:right w:val="nil"/>
            </w:tcBorders>
          </w:tcPr>
          <w:p w14:paraId="66D6EC8E" w14:textId="77777777" w:rsidR="00E046E5" w:rsidRPr="003877B7" w:rsidRDefault="00E046E5" w:rsidP="003877B7">
            <w:pPr>
              <w:pStyle w:val="Table"/>
            </w:pPr>
          </w:p>
        </w:tc>
        <w:tc>
          <w:tcPr>
            <w:tcW w:w="3260" w:type="dxa"/>
            <w:tcBorders>
              <w:top w:val="nil"/>
              <w:left w:val="nil"/>
              <w:bottom w:val="nil"/>
              <w:right w:val="nil"/>
            </w:tcBorders>
            <w:shd w:val="clear" w:color="auto" w:fill="auto"/>
            <w:noWrap/>
            <w:vAlign w:val="bottom"/>
            <w:hideMark/>
          </w:tcPr>
          <w:p w14:paraId="5E3DFD01" w14:textId="77777777" w:rsidR="00E046E5" w:rsidRPr="003877B7" w:rsidRDefault="00E046E5" w:rsidP="003877B7">
            <w:pPr>
              <w:pStyle w:val="Table"/>
            </w:pPr>
            <w:r w:rsidRPr="003877B7">
              <w:t>PDA (mean, SD)</w:t>
            </w:r>
          </w:p>
        </w:tc>
        <w:tc>
          <w:tcPr>
            <w:tcW w:w="874" w:type="dxa"/>
            <w:tcBorders>
              <w:top w:val="nil"/>
              <w:left w:val="nil"/>
              <w:bottom w:val="nil"/>
              <w:right w:val="nil"/>
            </w:tcBorders>
            <w:shd w:val="clear" w:color="auto" w:fill="auto"/>
            <w:noWrap/>
            <w:vAlign w:val="center"/>
            <w:hideMark/>
          </w:tcPr>
          <w:p w14:paraId="0B2009CD" w14:textId="77777777" w:rsidR="00E046E5" w:rsidRPr="003877B7" w:rsidRDefault="00E046E5" w:rsidP="003877B7">
            <w:pPr>
              <w:pStyle w:val="Table"/>
            </w:pPr>
            <w:r w:rsidRPr="003877B7">
              <w:t>29.9</w:t>
            </w:r>
          </w:p>
        </w:tc>
        <w:tc>
          <w:tcPr>
            <w:tcW w:w="874" w:type="dxa"/>
            <w:tcBorders>
              <w:top w:val="nil"/>
              <w:left w:val="nil"/>
              <w:bottom w:val="nil"/>
              <w:right w:val="nil"/>
            </w:tcBorders>
            <w:shd w:val="clear" w:color="auto" w:fill="auto"/>
            <w:noWrap/>
            <w:vAlign w:val="center"/>
            <w:hideMark/>
          </w:tcPr>
          <w:p w14:paraId="6724A94E" w14:textId="77777777" w:rsidR="00E046E5" w:rsidRPr="003877B7" w:rsidRDefault="00E046E5" w:rsidP="003877B7">
            <w:pPr>
              <w:pStyle w:val="Table"/>
            </w:pPr>
            <w:r w:rsidRPr="003877B7">
              <w:t>26.8</w:t>
            </w:r>
          </w:p>
        </w:tc>
        <w:tc>
          <w:tcPr>
            <w:tcW w:w="874" w:type="dxa"/>
            <w:tcBorders>
              <w:top w:val="nil"/>
              <w:left w:val="nil"/>
              <w:bottom w:val="nil"/>
              <w:right w:val="nil"/>
            </w:tcBorders>
            <w:shd w:val="clear" w:color="auto" w:fill="auto"/>
            <w:noWrap/>
            <w:vAlign w:val="center"/>
            <w:hideMark/>
          </w:tcPr>
          <w:p w14:paraId="047FF925" w14:textId="77777777" w:rsidR="00E046E5" w:rsidRPr="003877B7" w:rsidRDefault="00E046E5" w:rsidP="003877B7">
            <w:pPr>
              <w:pStyle w:val="Table"/>
            </w:pPr>
            <w:r w:rsidRPr="003877B7">
              <w:t>25.1</w:t>
            </w:r>
          </w:p>
        </w:tc>
        <w:tc>
          <w:tcPr>
            <w:tcW w:w="874" w:type="dxa"/>
            <w:tcBorders>
              <w:top w:val="nil"/>
              <w:left w:val="nil"/>
              <w:bottom w:val="nil"/>
              <w:right w:val="nil"/>
            </w:tcBorders>
            <w:shd w:val="clear" w:color="auto" w:fill="auto"/>
            <w:noWrap/>
            <w:vAlign w:val="center"/>
            <w:hideMark/>
          </w:tcPr>
          <w:p w14:paraId="3C85B1D2" w14:textId="77777777" w:rsidR="00E046E5" w:rsidRPr="003877B7" w:rsidRDefault="00E046E5" w:rsidP="003877B7">
            <w:pPr>
              <w:pStyle w:val="Table"/>
            </w:pPr>
            <w:r w:rsidRPr="003877B7">
              <w:t>24.9</w:t>
            </w:r>
          </w:p>
        </w:tc>
        <w:tc>
          <w:tcPr>
            <w:tcW w:w="874" w:type="dxa"/>
            <w:tcBorders>
              <w:top w:val="nil"/>
              <w:left w:val="nil"/>
              <w:bottom w:val="nil"/>
              <w:right w:val="nil"/>
            </w:tcBorders>
            <w:shd w:val="clear" w:color="auto" w:fill="auto"/>
            <w:noWrap/>
            <w:vAlign w:val="center"/>
            <w:hideMark/>
          </w:tcPr>
          <w:p w14:paraId="700393A9" w14:textId="77777777" w:rsidR="00E046E5" w:rsidRPr="003877B7" w:rsidRDefault="00E046E5" w:rsidP="003877B7">
            <w:pPr>
              <w:pStyle w:val="Table"/>
            </w:pPr>
            <w:r w:rsidRPr="003877B7">
              <w:t>27.9</w:t>
            </w:r>
          </w:p>
        </w:tc>
        <w:tc>
          <w:tcPr>
            <w:tcW w:w="875" w:type="dxa"/>
            <w:tcBorders>
              <w:top w:val="nil"/>
              <w:left w:val="nil"/>
              <w:bottom w:val="nil"/>
              <w:right w:val="nil"/>
            </w:tcBorders>
            <w:shd w:val="clear" w:color="auto" w:fill="auto"/>
            <w:noWrap/>
            <w:vAlign w:val="center"/>
            <w:hideMark/>
          </w:tcPr>
          <w:p w14:paraId="5444BA72" w14:textId="77777777" w:rsidR="00E046E5" w:rsidRPr="003877B7" w:rsidRDefault="00E046E5" w:rsidP="003877B7">
            <w:pPr>
              <w:pStyle w:val="Table"/>
            </w:pPr>
            <w:r w:rsidRPr="003877B7">
              <w:t>26.1</w:t>
            </w:r>
          </w:p>
        </w:tc>
        <w:tc>
          <w:tcPr>
            <w:tcW w:w="958" w:type="dxa"/>
            <w:tcBorders>
              <w:top w:val="nil"/>
              <w:left w:val="nil"/>
              <w:bottom w:val="nil"/>
              <w:right w:val="nil"/>
            </w:tcBorders>
          </w:tcPr>
          <w:p w14:paraId="6BB19196" w14:textId="77777777" w:rsidR="00E046E5" w:rsidRPr="003877B7" w:rsidRDefault="00E046E5" w:rsidP="003877B7">
            <w:pPr>
              <w:pStyle w:val="Table"/>
            </w:pPr>
            <w:r w:rsidRPr="003877B7">
              <w:t>0.10</w:t>
            </w:r>
          </w:p>
        </w:tc>
      </w:tr>
      <w:tr w:rsidR="00E046E5" w:rsidRPr="003877B7" w14:paraId="12AB1AE0" w14:textId="77777777" w:rsidTr="00D44E4D">
        <w:trPr>
          <w:trHeight w:val="300"/>
        </w:trPr>
        <w:tc>
          <w:tcPr>
            <w:tcW w:w="299" w:type="dxa"/>
            <w:gridSpan w:val="2"/>
            <w:tcBorders>
              <w:top w:val="nil"/>
              <w:left w:val="nil"/>
              <w:bottom w:val="nil"/>
              <w:right w:val="nil"/>
            </w:tcBorders>
          </w:tcPr>
          <w:p w14:paraId="0D153214" w14:textId="77777777" w:rsidR="00E046E5" w:rsidRPr="003877B7" w:rsidRDefault="00E046E5" w:rsidP="003877B7">
            <w:pPr>
              <w:pStyle w:val="Table"/>
            </w:pPr>
          </w:p>
        </w:tc>
        <w:tc>
          <w:tcPr>
            <w:tcW w:w="3260" w:type="dxa"/>
            <w:tcBorders>
              <w:top w:val="nil"/>
              <w:left w:val="nil"/>
              <w:bottom w:val="nil"/>
              <w:right w:val="nil"/>
            </w:tcBorders>
            <w:shd w:val="clear" w:color="auto" w:fill="auto"/>
            <w:noWrap/>
            <w:vAlign w:val="bottom"/>
            <w:hideMark/>
          </w:tcPr>
          <w:p w14:paraId="012ED614" w14:textId="77777777" w:rsidR="00E046E5" w:rsidRPr="003877B7" w:rsidRDefault="00E046E5" w:rsidP="003877B7">
            <w:pPr>
              <w:pStyle w:val="Table"/>
            </w:pPr>
            <w:r w:rsidRPr="003877B7">
              <w:t>DDD (mean, SD)</w:t>
            </w:r>
          </w:p>
        </w:tc>
        <w:tc>
          <w:tcPr>
            <w:tcW w:w="874" w:type="dxa"/>
            <w:tcBorders>
              <w:top w:val="nil"/>
              <w:left w:val="nil"/>
              <w:bottom w:val="nil"/>
              <w:right w:val="nil"/>
            </w:tcBorders>
            <w:shd w:val="clear" w:color="auto" w:fill="auto"/>
            <w:noWrap/>
            <w:vAlign w:val="center"/>
            <w:hideMark/>
          </w:tcPr>
          <w:p w14:paraId="7CD76234" w14:textId="77777777" w:rsidR="00E046E5" w:rsidRPr="003877B7" w:rsidRDefault="00E046E5" w:rsidP="003877B7">
            <w:pPr>
              <w:pStyle w:val="Table"/>
            </w:pPr>
            <w:r w:rsidRPr="003877B7">
              <w:t>23.0</w:t>
            </w:r>
          </w:p>
        </w:tc>
        <w:tc>
          <w:tcPr>
            <w:tcW w:w="874" w:type="dxa"/>
            <w:tcBorders>
              <w:top w:val="nil"/>
              <w:left w:val="nil"/>
              <w:bottom w:val="nil"/>
              <w:right w:val="nil"/>
            </w:tcBorders>
            <w:shd w:val="clear" w:color="auto" w:fill="auto"/>
            <w:noWrap/>
            <w:vAlign w:val="center"/>
            <w:hideMark/>
          </w:tcPr>
          <w:p w14:paraId="6DDF53C8" w14:textId="77777777" w:rsidR="00E046E5" w:rsidRPr="003877B7" w:rsidRDefault="00E046E5" w:rsidP="003877B7">
            <w:pPr>
              <w:pStyle w:val="Table"/>
            </w:pPr>
            <w:r w:rsidRPr="003877B7">
              <w:t>12.5</w:t>
            </w:r>
          </w:p>
        </w:tc>
        <w:tc>
          <w:tcPr>
            <w:tcW w:w="874" w:type="dxa"/>
            <w:tcBorders>
              <w:top w:val="nil"/>
              <w:left w:val="nil"/>
              <w:bottom w:val="nil"/>
              <w:right w:val="nil"/>
            </w:tcBorders>
            <w:shd w:val="clear" w:color="auto" w:fill="auto"/>
            <w:noWrap/>
            <w:vAlign w:val="center"/>
            <w:hideMark/>
          </w:tcPr>
          <w:p w14:paraId="2B9E24CE" w14:textId="77777777" w:rsidR="00E046E5" w:rsidRPr="003877B7" w:rsidRDefault="00E046E5" w:rsidP="003877B7">
            <w:pPr>
              <w:pStyle w:val="Table"/>
            </w:pPr>
            <w:r w:rsidRPr="003877B7">
              <w:t>25.0</w:t>
            </w:r>
          </w:p>
        </w:tc>
        <w:tc>
          <w:tcPr>
            <w:tcW w:w="874" w:type="dxa"/>
            <w:tcBorders>
              <w:top w:val="nil"/>
              <w:left w:val="nil"/>
              <w:bottom w:val="nil"/>
              <w:right w:val="nil"/>
            </w:tcBorders>
            <w:shd w:val="clear" w:color="auto" w:fill="auto"/>
            <w:noWrap/>
            <w:vAlign w:val="center"/>
            <w:hideMark/>
          </w:tcPr>
          <w:p w14:paraId="6CF6C421" w14:textId="77777777" w:rsidR="00E046E5" w:rsidRPr="003877B7" w:rsidRDefault="00E046E5" w:rsidP="003877B7">
            <w:pPr>
              <w:pStyle w:val="Table"/>
            </w:pPr>
            <w:r w:rsidRPr="003877B7">
              <w:t>15.6</w:t>
            </w:r>
          </w:p>
        </w:tc>
        <w:tc>
          <w:tcPr>
            <w:tcW w:w="874" w:type="dxa"/>
            <w:tcBorders>
              <w:top w:val="nil"/>
              <w:left w:val="nil"/>
              <w:bottom w:val="nil"/>
              <w:right w:val="nil"/>
            </w:tcBorders>
            <w:shd w:val="clear" w:color="auto" w:fill="auto"/>
            <w:noWrap/>
            <w:vAlign w:val="center"/>
            <w:hideMark/>
          </w:tcPr>
          <w:p w14:paraId="51CF2943" w14:textId="77777777" w:rsidR="00E046E5" w:rsidRPr="003877B7" w:rsidRDefault="00E046E5" w:rsidP="003877B7">
            <w:pPr>
              <w:pStyle w:val="Table"/>
            </w:pPr>
            <w:r w:rsidRPr="003877B7">
              <w:t>23.8</w:t>
            </w:r>
          </w:p>
        </w:tc>
        <w:tc>
          <w:tcPr>
            <w:tcW w:w="875" w:type="dxa"/>
            <w:tcBorders>
              <w:top w:val="nil"/>
              <w:left w:val="nil"/>
              <w:bottom w:val="nil"/>
              <w:right w:val="nil"/>
            </w:tcBorders>
            <w:shd w:val="clear" w:color="auto" w:fill="auto"/>
            <w:noWrap/>
            <w:vAlign w:val="center"/>
            <w:hideMark/>
          </w:tcPr>
          <w:p w14:paraId="136ED22C" w14:textId="77777777" w:rsidR="00E046E5" w:rsidRPr="003877B7" w:rsidRDefault="00E046E5" w:rsidP="003877B7">
            <w:pPr>
              <w:pStyle w:val="Table"/>
            </w:pPr>
            <w:r w:rsidRPr="003877B7">
              <w:t>13.9</w:t>
            </w:r>
          </w:p>
        </w:tc>
        <w:tc>
          <w:tcPr>
            <w:tcW w:w="958" w:type="dxa"/>
            <w:tcBorders>
              <w:top w:val="nil"/>
              <w:left w:val="nil"/>
              <w:bottom w:val="nil"/>
              <w:right w:val="nil"/>
            </w:tcBorders>
          </w:tcPr>
          <w:p w14:paraId="1D81ABDE" w14:textId="77777777" w:rsidR="00E046E5" w:rsidRPr="003877B7" w:rsidRDefault="00E046E5" w:rsidP="003877B7">
            <w:pPr>
              <w:pStyle w:val="Table"/>
            </w:pPr>
            <w:r w:rsidRPr="003877B7">
              <w:t>0.45</w:t>
            </w:r>
          </w:p>
        </w:tc>
      </w:tr>
      <w:tr w:rsidR="00E046E5" w:rsidRPr="003877B7" w14:paraId="58B18F12" w14:textId="77777777" w:rsidTr="00E05E35">
        <w:trPr>
          <w:trHeight w:val="300"/>
        </w:trPr>
        <w:tc>
          <w:tcPr>
            <w:tcW w:w="3559" w:type="dxa"/>
            <w:gridSpan w:val="3"/>
            <w:tcBorders>
              <w:top w:val="nil"/>
              <w:left w:val="nil"/>
              <w:bottom w:val="nil"/>
              <w:right w:val="nil"/>
            </w:tcBorders>
          </w:tcPr>
          <w:p w14:paraId="4932B1D5" w14:textId="77777777" w:rsidR="00E046E5" w:rsidRPr="003877B7" w:rsidRDefault="00E046E5" w:rsidP="003877B7">
            <w:pPr>
              <w:pStyle w:val="Table"/>
            </w:pPr>
            <w:r w:rsidRPr="003877B7">
              <w:t>Session-level process measures</w:t>
            </w:r>
          </w:p>
        </w:tc>
        <w:tc>
          <w:tcPr>
            <w:tcW w:w="874" w:type="dxa"/>
            <w:tcBorders>
              <w:top w:val="nil"/>
              <w:left w:val="nil"/>
              <w:bottom w:val="nil"/>
              <w:right w:val="nil"/>
            </w:tcBorders>
            <w:shd w:val="clear" w:color="auto" w:fill="auto"/>
            <w:noWrap/>
            <w:vAlign w:val="center"/>
          </w:tcPr>
          <w:p w14:paraId="38DD0388" w14:textId="77777777" w:rsidR="00E046E5" w:rsidRPr="003877B7" w:rsidRDefault="00E046E5" w:rsidP="003877B7">
            <w:pPr>
              <w:pStyle w:val="Table"/>
            </w:pPr>
          </w:p>
        </w:tc>
        <w:tc>
          <w:tcPr>
            <w:tcW w:w="874" w:type="dxa"/>
            <w:tcBorders>
              <w:top w:val="nil"/>
              <w:left w:val="nil"/>
              <w:bottom w:val="nil"/>
              <w:right w:val="nil"/>
            </w:tcBorders>
            <w:shd w:val="clear" w:color="auto" w:fill="auto"/>
            <w:noWrap/>
            <w:vAlign w:val="center"/>
          </w:tcPr>
          <w:p w14:paraId="11DD595E" w14:textId="77777777" w:rsidR="00E046E5" w:rsidRPr="003877B7" w:rsidRDefault="00E046E5" w:rsidP="003877B7">
            <w:pPr>
              <w:pStyle w:val="Table"/>
            </w:pPr>
          </w:p>
        </w:tc>
        <w:tc>
          <w:tcPr>
            <w:tcW w:w="874" w:type="dxa"/>
            <w:tcBorders>
              <w:top w:val="nil"/>
              <w:left w:val="nil"/>
              <w:bottom w:val="nil"/>
              <w:right w:val="nil"/>
            </w:tcBorders>
            <w:shd w:val="clear" w:color="auto" w:fill="auto"/>
            <w:noWrap/>
            <w:vAlign w:val="center"/>
          </w:tcPr>
          <w:p w14:paraId="73BA2045" w14:textId="77777777" w:rsidR="00E046E5" w:rsidRPr="003877B7" w:rsidRDefault="00E046E5" w:rsidP="003877B7">
            <w:pPr>
              <w:pStyle w:val="Table"/>
            </w:pPr>
          </w:p>
        </w:tc>
        <w:tc>
          <w:tcPr>
            <w:tcW w:w="874" w:type="dxa"/>
            <w:tcBorders>
              <w:top w:val="nil"/>
              <w:left w:val="nil"/>
              <w:bottom w:val="nil"/>
              <w:right w:val="nil"/>
            </w:tcBorders>
            <w:shd w:val="clear" w:color="auto" w:fill="auto"/>
            <w:noWrap/>
            <w:vAlign w:val="center"/>
          </w:tcPr>
          <w:p w14:paraId="4674EEF4" w14:textId="77777777" w:rsidR="00E046E5" w:rsidRPr="003877B7" w:rsidRDefault="00E046E5" w:rsidP="003877B7">
            <w:pPr>
              <w:pStyle w:val="Table"/>
            </w:pPr>
          </w:p>
        </w:tc>
        <w:tc>
          <w:tcPr>
            <w:tcW w:w="874" w:type="dxa"/>
            <w:tcBorders>
              <w:top w:val="nil"/>
              <w:left w:val="nil"/>
              <w:bottom w:val="nil"/>
              <w:right w:val="nil"/>
            </w:tcBorders>
            <w:shd w:val="clear" w:color="auto" w:fill="auto"/>
            <w:noWrap/>
            <w:vAlign w:val="center"/>
          </w:tcPr>
          <w:p w14:paraId="0EFFD219" w14:textId="77777777" w:rsidR="00E046E5" w:rsidRPr="003877B7" w:rsidRDefault="00E046E5" w:rsidP="003877B7">
            <w:pPr>
              <w:pStyle w:val="Table"/>
            </w:pPr>
          </w:p>
        </w:tc>
        <w:tc>
          <w:tcPr>
            <w:tcW w:w="875" w:type="dxa"/>
            <w:tcBorders>
              <w:top w:val="nil"/>
              <w:left w:val="nil"/>
              <w:bottom w:val="nil"/>
              <w:right w:val="nil"/>
            </w:tcBorders>
            <w:shd w:val="clear" w:color="auto" w:fill="auto"/>
            <w:noWrap/>
            <w:vAlign w:val="center"/>
          </w:tcPr>
          <w:p w14:paraId="072BB931" w14:textId="77777777" w:rsidR="00E046E5" w:rsidRPr="003877B7" w:rsidRDefault="00E046E5" w:rsidP="003877B7">
            <w:pPr>
              <w:pStyle w:val="Table"/>
            </w:pPr>
          </w:p>
        </w:tc>
        <w:tc>
          <w:tcPr>
            <w:tcW w:w="958" w:type="dxa"/>
            <w:tcBorders>
              <w:top w:val="nil"/>
              <w:left w:val="nil"/>
              <w:bottom w:val="nil"/>
              <w:right w:val="nil"/>
            </w:tcBorders>
            <w:vAlign w:val="center"/>
          </w:tcPr>
          <w:p w14:paraId="336C3171" w14:textId="77777777" w:rsidR="00E046E5" w:rsidRPr="003877B7" w:rsidRDefault="00E046E5" w:rsidP="003877B7">
            <w:pPr>
              <w:pStyle w:val="Table"/>
            </w:pPr>
          </w:p>
        </w:tc>
      </w:tr>
      <w:tr w:rsidR="00E046E5" w:rsidRPr="003877B7" w14:paraId="4FBF9817" w14:textId="77777777" w:rsidTr="00D44E4D">
        <w:trPr>
          <w:trHeight w:val="300"/>
        </w:trPr>
        <w:tc>
          <w:tcPr>
            <w:tcW w:w="299" w:type="dxa"/>
            <w:gridSpan w:val="2"/>
            <w:tcBorders>
              <w:top w:val="nil"/>
              <w:left w:val="nil"/>
              <w:bottom w:val="nil"/>
              <w:right w:val="nil"/>
            </w:tcBorders>
          </w:tcPr>
          <w:p w14:paraId="2ECA8945" w14:textId="77777777" w:rsidR="00E046E5" w:rsidRPr="003877B7" w:rsidRDefault="00E046E5" w:rsidP="003877B7">
            <w:pPr>
              <w:pStyle w:val="Table"/>
            </w:pPr>
          </w:p>
        </w:tc>
        <w:tc>
          <w:tcPr>
            <w:tcW w:w="3260" w:type="dxa"/>
            <w:tcBorders>
              <w:top w:val="nil"/>
              <w:left w:val="nil"/>
              <w:bottom w:val="nil"/>
              <w:right w:val="nil"/>
            </w:tcBorders>
            <w:shd w:val="clear" w:color="auto" w:fill="auto"/>
            <w:noWrap/>
            <w:vAlign w:val="bottom"/>
          </w:tcPr>
          <w:p w14:paraId="2B00ECD7" w14:textId="77777777" w:rsidR="00E046E5" w:rsidRPr="003877B7" w:rsidRDefault="00E046E5" w:rsidP="003877B7">
            <w:pPr>
              <w:pStyle w:val="Table"/>
            </w:pPr>
            <w:r w:rsidRPr="003877B7">
              <w:t>Days from baseline (mean, SD)</w:t>
            </w:r>
          </w:p>
        </w:tc>
        <w:tc>
          <w:tcPr>
            <w:tcW w:w="874" w:type="dxa"/>
            <w:tcBorders>
              <w:top w:val="nil"/>
              <w:left w:val="nil"/>
              <w:bottom w:val="nil"/>
              <w:right w:val="nil"/>
            </w:tcBorders>
            <w:shd w:val="clear" w:color="auto" w:fill="auto"/>
            <w:noWrap/>
            <w:vAlign w:val="center"/>
          </w:tcPr>
          <w:p w14:paraId="5D8AC69A" w14:textId="77777777" w:rsidR="00E046E5" w:rsidRPr="003877B7" w:rsidRDefault="00E046E5" w:rsidP="003877B7">
            <w:pPr>
              <w:pStyle w:val="Table"/>
            </w:pPr>
            <w:r w:rsidRPr="003877B7">
              <w:t>41.8</w:t>
            </w:r>
          </w:p>
        </w:tc>
        <w:tc>
          <w:tcPr>
            <w:tcW w:w="874" w:type="dxa"/>
            <w:tcBorders>
              <w:top w:val="nil"/>
              <w:left w:val="nil"/>
              <w:bottom w:val="nil"/>
              <w:right w:val="nil"/>
            </w:tcBorders>
            <w:shd w:val="clear" w:color="auto" w:fill="auto"/>
            <w:noWrap/>
            <w:vAlign w:val="center"/>
          </w:tcPr>
          <w:p w14:paraId="2FF1DB43" w14:textId="77777777" w:rsidR="00E046E5" w:rsidRPr="003877B7" w:rsidRDefault="00E046E5" w:rsidP="003877B7">
            <w:pPr>
              <w:pStyle w:val="Table"/>
            </w:pPr>
            <w:r w:rsidRPr="003877B7">
              <w:t>27.3</w:t>
            </w:r>
          </w:p>
        </w:tc>
        <w:tc>
          <w:tcPr>
            <w:tcW w:w="874" w:type="dxa"/>
            <w:tcBorders>
              <w:top w:val="nil"/>
              <w:left w:val="nil"/>
              <w:bottom w:val="nil"/>
              <w:right w:val="nil"/>
            </w:tcBorders>
            <w:shd w:val="clear" w:color="auto" w:fill="auto"/>
            <w:noWrap/>
            <w:vAlign w:val="center"/>
          </w:tcPr>
          <w:p w14:paraId="6C756098" w14:textId="77777777" w:rsidR="00E046E5" w:rsidRPr="003877B7" w:rsidRDefault="00E046E5" w:rsidP="003877B7">
            <w:pPr>
              <w:pStyle w:val="Table"/>
            </w:pPr>
            <w:r w:rsidRPr="003877B7">
              <w:t>46.7</w:t>
            </w:r>
          </w:p>
        </w:tc>
        <w:tc>
          <w:tcPr>
            <w:tcW w:w="874" w:type="dxa"/>
            <w:tcBorders>
              <w:top w:val="nil"/>
              <w:left w:val="nil"/>
              <w:bottom w:val="nil"/>
              <w:right w:val="nil"/>
            </w:tcBorders>
            <w:shd w:val="clear" w:color="auto" w:fill="auto"/>
            <w:noWrap/>
            <w:vAlign w:val="center"/>
          </w:tcPr>
          <w:p w14:paraId="6E079D74" w14:textId="77777777" w:rsidR="00E046E5" w:rsidRPr="003877B7" w:rsidRDefault="00E046E5" w:rsidP="003877B7">
            <w:pPr>
              <w:pStyle w:val="Table"/>
            </w:pPr>
            <w:r w:rsidRPr="003877B7">
              <w:t>24.9</w:t>
            </w:r>
          </w:p>
        </w:tc>
        <w:tc>
          <w:tcPr>
            <w:tcW w:w="874" w:type="dxa"/>
            <w:tcBorders>
              <w:top w:val="nil"/>
              <w:left w:val="nil"/>
              <w:bottom w:val="nil"/>
              <w:right w:val="nil"/>
            </w:tcBorders>
            <w:shd w:val="clear" w:color="auto" w:fill="auto"/>
            <w:noWrap/>
            <w:vAlign w:val="center"/>
          </w:tcPr>
          <w:p w14:paraId="35305D42" w14:textId="77777777" w:rsidR="00E046E5" w:rsidRPr="003877B7" w:rsidRDefault="00E046E5" w:rsidP="003877B7">
            <w:pPr>
              <w:pStyle w:val="Table"/>
            </w:pPr>
            <w:r w:rsidRPr="003877B7">
              <w:t>43.9</w:t>
            </w:r>
          </w:p>
        </w:tc>
        <w:tc>
          <w:tcPr>
            <w:tcW w:w="875" w:type="dxa"/>
            <w:tcBorders>
              <w:top w:val="nil"/>
              <w:left w:val="nil"/>
              <w:bottom w:val="nil"/>
              <w:right w:val="nil"/>
            </w:tcBorders>
            <w:shd w:val="clear" w:color="auto" w:fill="auto"/>
            <w:noWrap/>
            <w:vAlign w:val="center"/>
          </w:tcPr>
          <w:p w14:paraId="1B767908" w14:textId="77777777" w:rsidR="00E046E5" w:rsidRPr="003877B7" w:rsidRDefault="00E046E5" w:rsidP="003877B7">
            <w:pPr>
              <w:pStyle w:val="Table"/>
            </w:pPr>
            <w:r w:rsidRPr="003877B7">
              <w:t>26.4</w:t>
            </w:r>
          </w:p>
        </w:tc>
        <w:tc>
          <w:tcPr>
            <w:tcW w:w="958" w:type="dxa"/>
            <w:tcBorders>
              <w:top w:val="nil"/>
              <w:left w:val="nil"/>
              <w:bottom w:val="nil"/>
              <w:right w:val="nil"/>
            </w:tcBorders>
          </w:tcPr>
          <w:p w14:paraId="2B0DE965" w14:textId="77777777" w:rsidR="00E046E5" w:rsidRPr="003877B7" w:rsidRDefault="00E046E5" w:rsidP="003877B7">
            <w:pPr>
              <w:pStyle w:val="Table"/>
            </w:pPr>
            <w:r w:rsidRPr="003877B7">
              <w:t>0.04</w:t>
            </w:r>
          </w:p>
        </w:tc>
      </w:tr>
      <w:tr w:rsidR="00E046E5" w:rsidRPr="003877B7" w14:paraId="167117D4" w14:textId="77777777" w:rsidTr="00D44E4D">
        <w:trPr>
          <w:trHeight w:val="300"/>
        </w:trPr>
        <w:tc>
          <w:tcPr>
            <w:tcW w:w="299" w:type="dxa"/>
            <w:gridSpan w:val="2"/>
            <w:tcBorders>
              <w:top w:val="nil"/>
              <w:left w:val="nil"/>
              <w:bottom w:val="nil"/>
              <w:right w:val="nil"/>
            </w:tcBorders>
          </w:tcPr>
          <w:p w14:paraId="043A8061" w14:textId="77777777" w:rsidR="00E046E5" w:rsidRPr="003877B7" w:rsidRDefault="00E046E5" w:rsidP="003877B7">
            <w:pPr>
              <w:pStyle w:val="Table"/>
            </w:pPr>
          </w:p>
        </w:tc>
        <w:tc>
          <w:tcPr>
            <w:tcW w:w="3260" w:type="dxa"/>
            <w:tcBorders>
              <w:top w:val="nil"/>
              <w:left w:val="nil"/>
              <w:bottom w:val="nil"/>
              <w:right w:val="nil"/>
            </w:tcBorders>
            <w:shd w:val="clear" w:color="auto" w:fill="auto"/>
            <w:noWrap/>
            <w:vAlign w:val="bottom"/>
            <w:hideMark/>
          </w:tcPr>
          <w:p w14:paraId="535BAA6E" w14:textId="77777777" w:rsidR="00E046E5" w:rsidRPr="003877B7" w:rsidRDefault="00E046E5" w:rsidP="003877B7">
            <w:pPr>
              <w:pStyle w:val="Table"/>
            </w:pPr>
            <w:r w:rsidRPr="003877B7">
              <w:t>met-f (mean, SD)</w:t>
            </w:r>
          </w:p>
        </w:tc>
        <w:tc>
          <w:tcPr>
            <w:tcW w:w="874" w:type="dxa"/>
            <w:tcBorders>
              <w:top w:val="nil"/>
              <w:left w:val="nil"/>
              <w:bottom w:val="nil"/>
              <w:right w:val="nil"/>
            </w:tcBorders>
            <w:shd w:val="clear" w:color="auto" w:fill="auto"/>
            <w:noWrap/>
            <w:vAlign w:val="center"/>
            <w:hideMark/>
          </w:tcPr>
          <w:p w14:paraId="7EA629B4" w14:textId="77777777" w:rsidR="00E046E5" w:rsidRPr="003877B7" w:rsidRDefault="00E046E5" w:rsidP="003877B7">
            <w:pPr>
              <w:pStyle w:val="Table"/>
            </w:pPr>
            <w:r w:rsidRPr="003877B7">
              <w:t>1.3</w:t>
            </w:r>
          </w:p>
        </w:tc>
        <w:tc>
          <w:tcPr>
            <w:tcW w:w="874" w:type="dxa"/>
            <w:tcBorders>
              <w:top w:val="nil"/>
              <w:left w:val="nil"/>
              <w:bottom w:val="nil"/>
              <w:right w:val="nil"/>
            </w:tcBorders>
            <w:shd w:val="clear" w:color="auto" w:fill="auto"/>
            <w:noWrap/>
            <w:vAlign w:val="center"/>
            <w:hideMark/>
          </w:tcPr>
          <w:p w14:paraId="479AE63C" w14:textId="77777777" w:rsidR="00E046E5" w:rsidRPr="003877B7" w:rsidRDefault="00E046E5" w:rsidP="003877B7">
            <w:pPr>
              <w:pStyle w:val="Table"/>
            </w:pPr>
            <w:r w:rsidRPr="003877B7">
              <w:t>0.4</w:t>
            </w:r>
          </w:p>
        </w:tc>
        <w:tc>
          <w:tcPr>
            <w:tcW w:w="874" w:type="dxa"/>
            <w:tcBorders>
              <w:top w:val="nil"/>
              <w:left w:val="nil"/>
              <w:bottom w:val="nil"/>
              <w:right w:val="nil"/>
            </w:tcBorders>
            <w:shd w:val="clear" w:color="auto" w:fill="auto"/>
            <w:noWrap/>
            <w:vAlign w:val="center"/>
            <w:hideMark/>
          </w:tcPr>
          <w:p w14:paraId="1C7F71C7" w14:textId="77777777" w:rsidR="00E046E5" w:rsidRPr="003877B7" w:rsidRDefault="00E046E5" w:rsidP="003877B7">
            <w:pPr>
              <w:pStyle w:val="Table"/>
            </w:pPr>
            <w:r w:rsidRPr="003877B7">
              <w:t>0.5</w:t>
            </w:r>
          </w:p>
        </w:tc>
        <w:tc>
          <w:tcPr>
            <w:tcW w:w="874" w:type="dxa"/>
            <w:tcBorders>
              <w:top w:val="nil"/>
              <w:left w:val="nil"/>
              <w:bottom w:val="nil"/>
              <w:right w:val="nil"/>
            </w:tcBorders>
            <w:shd w:val="clear" w:color="auto" w:fill="auto"/>
            <w:noWrap/>
            <w:vAlign w:val="center"/>
            <w:hideMark/>
          </w:tcPr>
          <w:p w14:paraId="603C9AEF" w14:textId="77777777" w:rsidR="00E046E5" w:rsidRPr="003877B7" w:rsidRDefault="00E046E5" w:rsidP="003877B7">
            <w:pPr>
              <w:pStyle w:val="Table"/>
            </w:pPr>
            <w:r w:rsidRPr="003877B7">
              <w:t>0.2</w:t>
            </w:r>
          </w:p>
        </w:tc>
        <w:tc>
          <w:tcPr>
            <w:tcW w:w="874" w:type="dxa"/>
            <w:tcBorders>
              <w:top w:val="nil"/>
              <w:left w:val="nil"/>
              <w:bottom w:val="nil"/>
              <w:right w:val="nil"/>
            </w:tcBorders>
            <w:shd w:val="clear" w:color="auto" w:fill="auto"/>
            <w:noWrap/>
            <w:vAlign w:val="center"/>
            <w:hideMark/>
          </w:tcPr>
          <w:p w14:paraId="1010B325" w14:textId="77777777" w:rsidR="00E046E5" w:rsidRPr="003877B7" w:rsidRDefault="00E046E5" w:rsidP="003877B7">
            <w:pPr>
              <w:pStyle w:val="Table"/>
            </w:pPr>
            <w:r w:rsidRPr="003877B7">
              <w:t>0.9</w:t>
            </w:r>
          </w:p>
        </w:tc>
        <w:tc>
          <w:tcPr>
            <w:tcW w:w="875" w:type="dxa"/>
            <w:tcBorders>
              <w:top w:val="nil"/>
              <w:left w:val="nil"/>
              <w:bottom w:val="nil"/>
              <w:right w:val="nil"/>
            </w:tcBorders>
            <w:shd w:val="clear" w:color="auto" w:fill="auto"/>
            <w:noWrap/>
            <w:vAlign w:val="center"/>
            <w:hideMark/>
          </w:tcPr>
          <w:p w14:paraId="6BB550A1" w14:textId="77777777" w:rsidR="00E046E5" w:rsidRPr="003877B7" w:rsidRDefault="00E046E5" w:rsidP="003877B7">
            <w:pPr>
              <w:pStyle w:val="Table"/>
            </w:pPr>
            <w:r w:rsidRPr="003877B7">
              <w:t>.05</w:t>
            </w:r>
          </w:p>
        </w:tc>
        <w:tc>
          <w:tcPr>
            <w:tcW w:w="958" w:type="dxa"/>
            <w:tcBorders>
              <w:top w:val="nil"/>
              <w:left w:val="nil"/>
              <w:bottom w:val="nil"/>
              <w:right w:val="nil"/>
            </w:tcBorders>
          </w:tcPr>
          <w:p w14:paraId="25E3278D" w14:textId="77777777" w:rsidR="00E046E5" w:rsidRPr="003877B7" w:rsidRDefault="00E046E5" w:rsidP="003877B7">
            <w:pPr>
              <w:pStyle w:val="Table"/>
            </w:pPr>
            <w:r w:rsidRPr="003877B7">
              <w:t>&lt;0.001</w:t>
            </w:r>
          </w:p>
        </w:tc>
      </w:tr>
      <w:tr w:rsidR="00E046E5" w:rsidRPr="003877B7" w14:paraId="5B26A232" w14:textId="77777777" w:rsidTr="00D44E4D">
        <w:trPr>
          <w:trHeight w:val="300"/>
        </w:trPr>
        <w:tc>
          <w:tcPr>
            <w:tcW w:w="299" w:type="dxa"/>
            <w:gridSpan w:val="2"/>
            <w:tcBorders>
              <w:top w:val="nil"/>
              <w:left w:val="nil"/>
              <w:bottom w:val="nil"/>
              <w:right w:val="nil"/>
            </w:tcBorders>
          </w:tcPr>
          <w:p w14:paraId="0BABDE0F" w14:textId="77777777" w:rsidR="00E046E5" w:rsidRPr="003877B7" w:rsidRDefault="00E046E5" w:rsidP="003877B7">
            <w:pPr>
              <w:pStyle w:val="Table"/>
            </w:pPr>
          </w:p>
        </w:tc>
        <w:tc>
          <w:tcPr>
            <w:tcW w:w="3260" w:type="dxa"/>
            <w:tcBorders>
              <w:top w:val="nil"/>
              <w:left w:val="nil"/>
              <w:bottom w:val="nil"/>
              <w:right w:val="nil"/>
            </w:tcBorders>
            <w:shd w:val="clear" w:color="auto" w:fill="auto"/>
            <w:noWrap/>
            <w:vAlign w:val="bottom"/>
            <w:hideMark/>
          </w:tcPr>
          <w:p w14:paraId="5B72A835" w14:textId="77777777" w:rsidR="00E046E5" w:rsidRPr="003877B7" w:rsidRDefault="00E046E5" w:rsidP="003877B7">
            <w:pPr>
              <w:pStyle w:val="Table"/>
            </w:pPr>
            <w:r w:rsidRPr="003877B7">
              <w:t>met-q (mean, SD)</w:t>
            </w:r>
          </w:p>
        </w:tc>
        <w:tc>
          <w:tcPr>
            <w:tcW w:w="874" w:type="dxa"/>
            <w:tcBorders>
              <w:top w:val="nil"/>
              <w:left w:val="nil"/>
              <w:bottom w:val="nil"/>
              <w:right w:val="nil"/>
            </w:tcBorders>
            <w:shd w:val="clear" w:color="auto" w:fill="auto"/>
            <w:noWrap/>
            <w:vAlign w:val="center"/>
            <w:hideMark/>
          </w:tcPr>
          <w:p w14:paraId="58ABF363" w14:textId="77777777" w:rsidR="00E046E5" w:rsidRPr="003877B7" w:rsidRDefault="00E046E5" w:rsidP="003877B7">
            <w:pPr>
              <w:pStyle w:val="Table"/>
            </w:pPr>
            <w:r w:rsidRPr="003877B7">
              <w:t>2.5</w:t>
            </w:r>
          </w:p>
        </w:tc>
        <w:tc>
          <w:tcPr>
            <w:tcW w:w="874" w:type="dxa"/>
            <w:tcBorders>
              <w:top w:val="nil"/>
              <w:left w:val="nil"/>
              <w:bottom w:val="nil"/>
              <w:right w:val="nil"/>
            </w:tcBorders>
            <w:shd w:val="clear" w:color="auto" w:fill="auto"/>
            <w:noWrap/>
            <w:vAlign w:val="center"/>
            <w:hideMark/>
          </w:tcPr>
          <w:p w14:paraId="57A4F9A6" w14:textId="77777777" w:rsidR="00E046E5" w:rsidRPr="003877B7" w:rsidRDefault="00E046E5" w:rsidP="003877B7">
            <w:pPr>
              <w:pStyle w:val="Table"/>
            </w:pPr>
            <w:r w:rsidRPr="003877B7">
              <w:t>0.5</w:t>
            </w:r>
          </w:p>
        </w:tc>
        <w:tc>
          <w:tcPr>
            <w:tcW w:w="874" w:type="dxa"/>
            <w:tcBorders>
              <w:top w:val="nil"/>
              <w:left w:val="nil"/>
              <w:bottom w:val="nil"/>
              <w:right w:val="nil"/>
            </w:tcBorders>
            <w:shd w:val="clear" w:color="auto" w:fill="auto"/>
            <w:noWrap/>
            <w:vAlign w:val="center"/>
            <w:hideMark/>
          </w:tcPr>
          <w:p w14:paraId="6F0A4997" w14:textId="77777777" w:rsidR="00E046E5" w:rsidRPr="003877B7" w:rsidRDefault="00E046E5" w:rsidP="003877B7">
            <w:pPr>
              <w:pStyle w:val="Table"/>
            </w:pPr>
            <w:r w:rsidRPr="003877B7">
              <w:t>2.4</w:t>
            </w:r>
          </w:p>
        </w:tc>
        <w:tc>
          <w:tcPr>
            <w:tcW w:w="874" w:type="dxa"/>
            <w:tcBorders>
              <w:top w:val="nil"/>
              <w:left w:val="nil"/>
              <w:bottom w:val="nil"/>
              <w:right w:val="nil"/>
            </w:tcBorders>
            <w:shd w:val="clear" w:color="auto" w:fill="auto"/>
            <w:noWrap/>
            <w:vAlign w:val="center"/>
            <w:hideMark/>
          </w:tcPr>
          <w:p w14:paraId="78B62275" w14:textId="77777777" w:rsidR="00E046E5" w:rsidRPr="003877B7" w:rsidRDefault="00E046E5" w:rsidP="003877B7">
            <w:pPr>
              <w:pStyle w:val="Table"/>
            </w:pPr>
            <w:r w:rsidRPr="003877B7">
              <w:t>0.7</w:t>
            </w:r>
          </w:p>
        </w:tc>
        <w:tc>
          <w:tcPr>
            <w:tcW w:w="874" w:type="dxa"/>
            <w:tcBorders>
              <w:top w:val="nil"/>
              <w:left w:val="nil"/>
              <w:bottom w:val="nil"/>
              <w:right w:val="nil"/>
            </w:tcBorders>
            <w:shd w:val="clear" w:color="auto" w:fill="auto"/>
            <w:noWrap/>
            <w:vAlign w:val="center"/>
            <w:hideMark/>
          </w:tcPr>
          <w:p w14:paraId="7E54E566" w14:textId="77777777" w:rsidR="00E046E5" w:rsidRPr="003877B7" w:rsidRDefault="00E046E5" w:rsidP="003877B7">
            <w:pPr>
              <w:pStyle w:val="Table"/>
            </w:pPr>
            <w:r w:rsidRPr="003877B7">
              <w:t>2.4</w:t>
            </w:r>
          </w:p>
        </w:tc>
        <w:tc>
          <w:tcPr>
            <w:tcW w:w="875" w:type="dxa"/>
            <w:tcBorders>
              <w:top w:val="nil"/>
              <w:left w:val="nil"/>
              <w:bottom w:val="nil"/>
              <w:right w:val="nil"/>
            </w:tcBorders>
            <w:shd w:val="clear" w:color="auto" w:fill="auto"/>
            <w:noWrap/>
            <w:vAlign w:val="center"/>
            <w:hideMark/>
          </w:tcPr>
          <w:p w14:paraId="19F186D9" w14:textId="77777777" w:rsidR="00E046E5" w:rsidRPr="003877B7" w:rsidRDefault="00E046E5" w:rsidP="003877B7">
            <w:pPr>
              <w:pStyle w:val="Table"/>
            </w:pPr>
            <w:r w:rsidRPr="003877B7">
              <w:t>0.6</w:t>
            </w:r>
          </w:p>
        </w:tc>
        <w:tc>
          <w:tcPr>
            <w:tcW w:w="958" w:type="dxa"/>
            <w:tcBorders>
              <w:top w:val="nil"/>
              <w:left w:val="nil"/>
              <w:bottom w:val="nil"/>
              <w:right w:val="nil"/>
            </w:tcBorders>
          </w:tcPr>
          <w:p w14:paraId="61CEF1FF" w14:textId="77777777" w:rsidR="00E046E5" w:rsidRPr="003877B7" w:rsidRDefault="00E046E5" w:rsidP="003877B7">
            <w:pPr>
              <w:pStyle w:val="Table"/>
            </w:pPr>
            <w:r w:rsidRPr="003877B7">
              <w:t>0.08</w:t>
            </w:r>
          </w:p>
        </w:tc>
      </w:tr>
      <w:tr w:rsidR="00E046E5" w:rsidRPr="003877B7" w14:paraId="4168BE9F" w14:textId="77777777" w:rsidTr="00D44E4D">
        <w:trPr>
          <w:trHeight w:val="300"/>
        </w:trPr>
        <w:tc>
          <w:tcPr>
            <w:tcW w:w="299" w:type="dxa"/>
            <w:gridSpan w:val="2"/>
            <w:tcBorders>
              <w:top w:val="nil"/>
              <w:left w:val="nil"/>
              <w:right w:val="nil"/>
            </w:tcBorders>
          </w:tcPr>
          <w:p w14:paraId="74293AD7" w14:textId="77777777" w:rsidR="00E046E5" w:rsidRPr="003877B7" w:rsidRDefault="00E046E5" w:rsidP="003877B7">
            <w:pPr>
              <w:pStyle w:val="Table"/>
            </w:pPr>
          </w:p>
        </w:tc>
        <w:tc>
          <w:tcPr>
            <w:tcW w:w="3260" w:type="dxa"/>
            <w:tcBorders>
              <w:top w:val="nil"/>
              <w:left w:val="nil"/>
              <w:right w:val="nil"/>
            </w:tcBorders>
            <w:shd w:val="clear" w:color="auto" w:fill="auto"/>
            <w:noWrap/>
            <w:vAlign w:val="bottom"/>
            <w:hideMark/>
          </w:tcPr>
          <w:p w14:paraId="6CC352C6" w14:textId="77777777" w:rsidR="00E046E5" w:rsidRPr="003877B7" w:rsidRDefault="00E046E5" w:rsidP="003877B7">
            <w:pPr>
              <w:pStyle w:val="Table"/>
            </w:pPr>
            <w:r w:rsidRPr="003877B7">
              <w:t>sbnt-f (mean, SD)</w:t>
            </w:r>
          </w:p>
        </w:tc>
        <w:tc>
          <w:tcPr>
            <w:tcW w:w="874" w:type="dxa"/>
            <w:tcBorders>
              <w:top w:val="nil"/>
              <w:left w:val="nil"/>
              <w:right w:val="nil"/>
            </w:tcBorders>
            <w:shd w:val="clear" w:color="auto" w:fill="auto"/>
            <w:noWrap/>
            <w:vAlign w:val="center"/>
            <w:hideMark/>
          </w:tcPr>
          <w:p w14:paraId="1C4B5BC2" w14:textId="77777777" w:rsidR="00E046E5" w:rsidRPr="003877B7" w:rsidRDefault="00E046E5" w:rsidP="003877B7">
            <w:pPr>
              <w:pStyle w:val="Table"/>
            </w:pPr>
            <w:r w:rsidRPr="003877B7">
              <w:t>0.4</w:t>
            </w:r>
          </w:p>
        </w:tc>
        <w:tc>
          <w:tcPr>
            <w:tcW w:w="874" w:type="dxa"/>
            <w:tcBorders>
              <w:top w:val="nil"/>
              <w:left w:val="nil"/>
              <w:right w:val="nil"/>
            </w:tcBorders>
            <w:shd w:val="clear" w:color="auto" w:fill="auto"/>
            <w:noWrap/>
            <w:vAlign w:val="center"/>
            <w:hideMark/>
          </w:tcPr>
          <w:p w14:paraId="120BF5A0" w14:textId="77777777" w:rsidR="00E046E5" w:rsidRPr="003877B7" w:rsidRDefault="00E046E5" w:rsidP="003877B7">
            <w:pPr>
              <w:pStyle w:val="Table"/>
            </w:pPr>
            <w:r w:rsidRPr="003877B7">
              <w:t>0.3</w:t>
            </w:r>
          </w:p>
        </w:tc>
        <w:tc>
          <w:tcPr>
            <w:tcW w:w="874" w:type="dxa"/>
            <w:tcBorders>
              <w:top w:val="nil"/>
              <w:left w:val="nil"/>
              <w:right w:val="nil"/>
            </w:tcBorders>
            <w:shd w:val="clear" w:color="auto" w:fill="auto"/>
            <w:noWrap/>
            <w:vAlign w:val="center"/>
            <w:hideMark/>
          </w:tcPr>
          <w:p w14:paraId="6FDAADEC" w14:textId="77777777" w:rsidR="00E046E5" w:rsidRPr="003877B7" w:rsidRDefault="00E046E5" w:rsidP="003877B7">
            <w:pPr>
              <w:pStyle w:val="Table"/>
            </w:pPr>
            <w:r w:rsidRPr="003877B7">
              <w:t>1.4</w:t>
            </w:r>
          </w:p>
        </w:tc>
        <w:tc>
          <w:tcPr>
            <w:tcW w:w="874" w:type="dxa"/>
            <w:tcBorders>
              <w:top w:val="nil"/>
              <w:left w:val="nil"/>
              <w:right w:val="nil"/>
            </w:tcBorders>
            <w:shd w:val="clear" w:color="auto" w:fill="auto"/>
            <w:noWrap/>
            <w:vAlign w:val="center"/>
            <w:hideMark/>
          </w:tcPr>
          <w:p w14:paraId="334F3CC8" w14:textId="77777777" w:rsidR="00E046E5" w:rsidRPr="003877B7" w:rsidRDefault="00E046E5" w:rsidP="003877B7">
            <w:pPr>
              <w:pStyle w:val="Table"/>
            </w:pPr>
            <w:r w:rsidRPr="003877B7">
              <w:t>0.5</w:t>
            </w:r>
          </w:p>
        </w:tc>
        <w:tc>
          <w:tcPr>
            <w:tcW w:w="874" w:type="dxa"/>
            <w:tcBorders>
              <w:top w:val="nil"/>
              <w:left w:val="nil"/>
              <w:right w:val="nil"/>
            </w:tcBorders>
            <w:shd w:val="clear" w:color="auto" w:fill="auto"/>
            <w:noWrap/>
            <w:vAlign w:val="center"/>
            <w:hideMark/>
          </w:tcPr>
          <w:p w14:paraId="01DB9CDA" w14:textId="77777777" w:rsidR="00E046E5" w:rsidRPr="003877B7" w:rsidRDefault="00E046E5" w:rsidP="003877B7">
            <w:pPr>
              <w:pStyle w:val="Table"/>
            </w:pPr>
            <w:r w:rsidRPr="003877B7">
              <w:t>0.8</w:t>
            </w:r>
          </w:p>
        </w:tc>
        <w:tc>
          <w:tcPr>
            <w:tcW w:w="875" w:type="dxa"/>
            <w:tcBorders>
              <w:top w:val="nil"/>
              <w:left w:val="nil"/>
              <w:right w:val="nil"/>
            </w:tcBorders>
            <w:shd w:val="clear" w:color="auto" w:fill="auto"/>
            <w:noWrap/>
            <w:vAlign w:val="center"/>
            <w:hideMark/>
          </w:tcPr>
          <w:p w14:paraId="611D02A7" w14:textId="77777777" w:rsidR="00E046E5" w:rsidRPr="003877B7" w:rsidRDefault="00E046E5" w:rsidP="003877B7">
            <w:pPr>
              <w:pStyle w:val="Table"/>
            </w:pPr>
            <w:r w:rsidRPr="003877B7">
              <w:t>0.6</w:t>
            </w:r>
          </w:p>
        </w:tc>
        <w:tc>
          <w:tcPr>
            <w:tcW w:w="958" w:type="dxa"/>
            <w:tcBorders>
              <w:top w:val="nil"/>
              <w:left w:val="nil"/>
              <w:right w:val="nil"/>
            </w:tcBorders>
          </w:tcPr>
          <w:p w14:paraId="30FBA7FF" w14:textId="77777777" w:rsidR="00E046E5" w:rsidRPr="003877B7" w:rsidRDefault="00E046E5" w:rsidP="003877B7">
            <w:pPr>
              <w:pStyle w:val="Table"/>
            </w:pPr>
            <w:r w:rsidRPr="003877B7">
              <w:t>&lt;0.001</w:t>
            </w:r>
          </w:p>
        </w:tc>
      </w:tr>
      <w:tr w:rsidR="00E046E5" w:rsidRPr="003877B7" w14:paraId="6BF66BEA" w14:textId="77777777" w:rsidTr="00D44E4D">
        <w:trPr>
          <w:trHeight w:val="300"/>
        </w:trPr>
        <w:tc>
          <w:tcPr>
            <w:tcW w:w="299" w:type="dxa"/>
            <w:gridSpan w:val="2"/>
            <w:tcBorders>
              <w:top w:val="nil"/>
              <w:left w:val="nil"/>
              <w:right w:val="nil"/>
            </w:tcBorders>
          </w:tcPr>
          <w:p w14:paraId="6A65C38F" w14:textId="77777777" w:rsidR="00E046E5" w:rsidRPr="003877B7" w:rsidRDefault="00E046E5" w:rsidP="003877B7">
            <w:pPr>
              <w:pStyle w:val="Table"/>
            </w:pPr>
          </w:p>
        </w:tc>
        <w:tc>
          <w:tcPr>
            <w:tcW w:w="3260" w:type="dxa"/>
            <w:tcBorders>
              <w:top w:val="nil"/>
              <w:left w:val="nil"/>
              <w:right w:val="nil"/>
            </w:tcBorders>
            <w:shd w:val="clear" w:color="auto" w:fill="auto"/>
            <w:noWrap/>
            <w:vAlign w:val="bottom"/>
            <w:hideMark/>
          </w:tcPr>
          <w:p w14:paraId="5D0C3112" w14:textId="77777777" w:rsidR="00E046E5" w:rsidRPr="003877B7" w:rsidRDefault="00E046E5" w:rsidP="003877B7">
            <w:pPr>
              <w:pStyle w:val="Table"/>
            </w:pPr>
            <w:r w:rsidRPr="003877B7">
              <w:t>sbnt-q (mean, SD)</w:t>
            </w:r>
          </w:p>
        </w:tc>
        <w:tc>
          <w:tcPr>
            <w:tcW w:w="874" w:type="dxa"/>
            <w:tcBorders>
              <w:top w:val="nil"/>
              <w:left w:val="nil"/>
              <w:right w:val="nil"/>
            </w:tcBorders>
            <w:shd w:val="clear" w:color="auto" w:fill="auto"/>
            <w:noWrap/>
            <w:vAlign w:val="center"/>
            <w:hideMark/>
          </w:tcPr>
          <w:p w14:paraId="37C35D80" w14:textId="77777777" w:rsidR="00E046E5" w:rsidRPr="003877B7" w:rsidRDefault="00E046E5" w:rsidP="003877B7">
            <w:pPr>
              <w:pStyle w:val="Table"/>
            </w:pPr>
            <w:r w:rsidRPr="003877B7">
              <w:t>1.9</w:t>
            </w:r>
          </w:p>
        </w:tc>
        <w:tc>
          <w:tcPr>
            <w:tcW w:w="874" w:type="dxa"/>
            <w:tcBorders>
              <w:top w:val="nil"/>
              <w:left w:val="nil"/>
              <w:right w:val="nil"/>
            </w:tcBorders>
            <w:shd w:val="clear" w:color="auto" w:fill="auto"/>
            <w:noWrap/>
            <w:vAlign w:val="center"/>
            <w:hideMark/>
          </w:tcPr>
          <w:p w14:paraId="5CE6C8CC" w14:textId="77777777" w:rsidR="00E046E5" w:rsidRPr="003877B7" w:rsidRDefault="00E046E5" w:rsidP="003877B7">
            <w:pPr>
              <w:pStyle w:val="Table"/>
            </w:pPr>
            <w:r w:rsidRPr="003877B7">
              <w:t>0.8</w:t>
            </w:r>
          </w:p>
        </w:tc>
        <w:tc>
          <w:tcPr>
            <w:tcW w:w="874" w:type="dxa"/>
            <w:tcBorders>
              <w:top w:val="nil"/>
              <w:left w:val="nil"/>
              <w:right w:val="nil"/>
            </w:tcBorders>
            <w:shd w:val="clear" w:color="auto" w:fill="auto"/>
            <w:noWrap/>
            <w:vAlign w:val="center"/>
            <w:hideMark/>
          </w:tcPr>
          <w:p w14:paraId="1CB21706" w14:textId="77777777" w:rsidR="00E046E5" w:rsidRPr="003877B7" w:rsidRDefault="00E046E5" w:rsidP="003877B7">
            <w:pPr>
              <w:pStyle w:val="Table"/>
            </w:pPr>
            <w:r w:rsidRPr="003877B7">
              <w:t>2.3</w:t>
            </w:r>
          </w:p>
        </w:tc>
        <w:tc>
          <w:tcPr>
            <w:tcW w:w="874" w:type="dxa"/>
            <w:tcBorders>
              <w:top w:val="nil"/>
              <w:left w:val="nil"/>
              <w:right w:val="nil"/>
            </w:tcBorders>
            <w:shd w:val="clear" w:color="auto" w:fill="auto"/>
            <w:noWrap/>
            <w:vAlign w:val="center"/>
            <w:hideMark/>
          </w:tcPr>
          <w:p w14:paraId="7729FDA5" w14:textId="77777777" w:rsidR="00E046E5" w:rsidRPr="003877B7" w:rsidRDefault="00E046E5" w:rsidP="003877B7">
            <w:pPr>
              <w:pStyle w:val="Table"/>
            </w:pPr>
            <w:r w:rsidRPr="003877B7">
              <w:t>0.7</w:t>
            </w:r>
          </w:p>
        </w:tc>
        <w:tc>
          <w:tcPr>
            <w:tcW w:w="874" w:type="dxa"/>
            <w:tcBorders>
              <w:top w:val="nil"/>
              <w:left w:val="nil"/>
              <w:right w:val="nil"/>
            </w:tcBorders>
            <w:shd w:val="clear" w:color="auto" w:fill="auto"/>
            <w:noWrap/>
            <w:vAlign w:val="center"/>
            <w:hideMark/>
          </w:tcPr>
          <w:p w14:paraId="20F49330" w14:textId="77777777" w:rsidR="00E046E5" w:rsidRPr="003877B7" w:rsidRDefault="00E046E5" w:rsidP="003877B7">
            <w:pPr>
              <w:pStyle w:val="Table"/>
            </w:pPr>
            <w:r w:rsidRPr="003877B7">
              <w:t>2.1</w:t>
            </w:r>
          </w:p>
        </w:tc>
        <w:tc>
          <w:tcPr>
            <w:tcW w:w="875" w:type="dxa"/>
            <w:tcBorders>
              <w:top w:val="nil"/>
              <w:left w:val="nil"/>
              <w:right w:val="nil"/>
            </w:tcBorders>
            <w:shd w:val="clear" w:color="auto" w:fill="auto"/>
            <w:noWrap/>
            <w:vAlign w:val="center"/>
            <w:hideMark/>
          </w:tcPr>
          <w:p w14:paraId="61BF4FCF" w14:textId="77777777" w:rsidR="00E046E5" w:rsidRPr="003877B7" w:rsidRDefault="00E046E5" w:rsidP="003877B7">
            <w:pPr>
              <w:pStyle w:val="Table"/>
            </w:pPr>
            <w:r w:rsidRPr="003877B7">
              <w:t>0.8</w:t>
            </w:r>
          </w:p>
        </w:tc>
        <w:tc>
          <w:tcPr>
            <w:tcW w:w="958" w:type="dxa"/>
            <w:tcBorders>
              <w:top w:val="nil"/>
              <w:left w:val="nil"/>
              <w:right w:val="nil"/>
            </w:tcBorders>
          </w:tcPr>
          <w:p w14:paraId="03659AF5" w14:textId="77777777" w:rsidR="00E046E5" w:rsidRPr="003877B7" w:rsidRDefault="00E046E5" w:rsidP="003877B7">
            <w:pPr>
              <w:pStyle w:val="Table"/>
            </w:pPr>
            <w:r w:rsidRPr="003877B7">
              <w:t>&lt;0.001</w:t>
            </w:r>
          </w:p>
        </w:tc>
      </w:tr>
      <w:tr w:rsidR="00E046E5" w:rsidRPr="003877B7" w14:paraId="7C9FA012" w14:textId="77777777" w:rsidTr="00E05E35">
        <w:trPr>
          <w:trHeight w:val="300"/>
        </w:trPr>
        <w:tc>
          <w:tcPr>
            <w:tcW w:w="3559" w:type="dxa"/>
            <w:gridSpan w:val="3"/>
            <w:tcBorders>
              <w:top w:val="single" w:sz="4" w:space="0" w:color="auto"/>
              <w:left w:val="nil"/>
              <w:right w:val="nil"/>
            </w:tcBorders>
          </w:tcPr>
          <w:p w14:paraId="6796D1B6" w14:textId="77777777" w:rsidR="00E046E5" w:rsidRPr="003877B7" w:rsidRDefault="00E046E5" w:rsidP="003877B7">
            <w:pPr>
              <w:pStyle w:val="Table"/>
            </w:pPr>
            <w:r w:rsidRPr="003877B7">
              <w:t>12-month follow-up</w:t>
            </w:r>
          </w:p>
        </w:tc>
        <w:tc>
          <w:tcPr>
            <w:tcW w:w="1748" w:type="dxa"/>
            <w:gridSpan w:val="2"/>
            <w:tcBorders>
              <w:top w:val="single" w:sz="4" w:space="0" w:color="auto"/>
              <w:left w:val="nil"/>
              <w:right w:val="nil"/>
            </w:tcBorders>
            <w:shd w:val="clear" w:color="auto" w:fill="auto"/>
            <w:noWrap/>
            <w:vAlign w:val="center"/>
            <w:hideMark/>
          </w:tcPr>
          <w:p w14:paraId="1FF82DED" w14:textId="77777777" w:rsidR="00E046E5" w:rsidRPr="003877B7" w:rsidRDefault="00E046E5" w:rsidP="003877B7">
            <w:pPr>
              <w:pStyle w:val="Table"/>
            </w:pPr>
          </w:p>
        </w:tc>
        <w:tc>
          <w:tcPr>
            <w:tcW w:w="1748" w:type="dxa"/>
            <w:gridSpan w:val="2"/>
            <w:tcBorders>
              <w:top w:val="single" w:sz="4" w:space="0" w:color="auto"/>
              <w:left w:val="nil"/>
              <w:right w:val="nil"/>
            </w:tcBorders>
            <w:shd w:val="clear" w:color="auto" w:fill="auto"/>
            <w:noWrap/>
            <w:vAlign w:val="center"/>
            <w:hideMark/>
          </w:tcPr>
          <w:p w14:paraId="0F06ABC7" w14:textId="77777777" w:rsidR="00E046E5" w:rsidRPr="003877B7" w:rsidRDefault="00E046E5" w:rsidP="003877B7">
            <w:pPr>
              <w:pStyle w:val="Table"/>
            </w:pPr>
          </w:p>
        </w:tc>
        <w:tc>
          <w:tcPr>
            <w:tcW w:w="1749" w:type="dxa"/>
            <w:gridSpan w:val="2"/>
            <w:tcBorders>
              <w:top w:val="single" w:sz="4" w:space="0" w:color="auto"/>
              <w:left w:val="nil"/>
              <w:right w:val="nil"/>
            </w:tcBorders>
            <w:shd w:val="clear" w:color="auto" w:fill="auto"/>
            <w:noWrap/>
            <w:vAlign w:val="center"/>
            <w:hideMark/>
          </w:tcPr>
          <w:p w14:paraId="0DF89A22" w14:textId="77777777" w:rsidR="00E046E5" w:rsidRPr="003877B7" w:rsidRDefault="00E046E5" w:rsidP="003877B7">
            <w:pPr>
              <w:pStyle w:val="Table"/>
            </w:pPr>
          </w:p>
        </w:tc>
        <w:tc>
          <w:tcPr>
            <w:tcW w:w="958" w:type="dxa"/>
            <w:tcBorders>
              <w:top w:val="single" w:sz="4" w:space="0" w:color="auto"/>
              <w:left w:val="nil"/>
              <w:right w:val="nil"/>
            </w:tcBorders>
            <w:vAlign w:val="center"/>
          </w:tcPr>
          <w:p w14:paraId="153DBD9B" w14:textId="77777777" w:rsidR="00E046E5" w:rsidRPr="003877B7" w:rsidRDefault="00E046E5" w:rsidP="003877B7">
            <w:pPr>
              <w:pStyle w:val="Table"/>
            </w:pPr>
          </w:p>
        </w:tc>
      </w:tr>
      <w:tr w:rsidR="00E046E5" w:rsidRPr="003877B7" w14:paraId="5A29D6A2" w14:textId="77777777" w:rsidTr="00D44E4D">
        <w:trPr>
          <w:trHeight w:val="300"/>
        </w:trPr>
        <w:tc>
          <w:tcPr>
            <w:tcW w:w="299" w:type="dxa"/>
            <w:gridSpan w:val="2"/>
            <w:tcBorders>
              <w:left w:val="nil"/>
              <w:right w:val="nil"/>
            </w:tcBorders>
          </w:tcPr>
          <w:p w14:paraId="12CCDEA8" w14:textId="77777777" w:rsidR="00E046E5" w:rsidRPr="003877B7" w:rsidRDefault="00E046E5" w:rsidP="003877B7">
            <w:pPr>
              <w:pStyle w:val="Table"/>
            </w:pPr>
          </w:p>
        </w:tc>
        <w:tc>
          <w:tcPr>
            <w:tcW w:w="3260" w:type="dxa"/>
            <w:tcBorders>
              <w:left w:val="nil"/>
              <w:right w:val="nil"/>
            </w:tcBorders>
            <w:shd w:val="clear" w:color="auto" w:fill="auto"/>
            <w:noWrap/>
            <w:vAlign w:val="bottom"/>
            <w:hideMark/>
          </w:tcPr>
          <w:p w14:paraId="5886A048" w14:textId="77777777" w:rsidR="00E046E5" w:rsidRPr="003877B7" w:rsidRDefault="00E046E5" w:rsidP="003877B7">
            <w:pPr>
              <w:pStyle w:val="Table"/>
            </w:pPr>
            <w:r w:rsidRPr="003877B7">
              <w:t>PDA (mean, SD)</w:t>
            </w:r>
          </w:p>
        </w:tc>
        <w:tc>
          <w:tcPr>
            <w:tcW w:w="874" w:type="dxa"/>
            <w:tcBorders>
              <w:left w:val="nil"/>
              <w:right w:val="nil"/>
            </w:tcBorders>
            <w:shd w:val="clear" w:color="auto" w:fill="auto"/>
            <w:noWrap/>
            <w:vAlign w:val="center"/>
            <w:hideMark/>
          </w:tcPr>
          <w:p w14:paraId="3FBFCE69" w14:textId="77777777" w:rsidR="00E046E5" w:rsidRPr="003877B7" w:rsidRDefault="00E046E5" w:rsidP="003877B7">
            <w:pPr>
              <w:pStyle w:val="Table"/>
            </w:pPr>
            <w:r w:rsidRPr="003877B7">
              <w:t>51.5</w:t>
            </w:r>
          </w:p>
        </w:tc>
        <w:tc>
          <w:tcPr>
            <w:tcW w:w="874" w:type="dxa"/>
            <w:tcBorders>
              <w:left w:val="nil"/>
              <w:right w:val="nil"/>
            </w:tcBorders>
            <w:shd w:val="clear" w:color="auto" w:fill="auto"/>
            <w:noWrap/>
            <w:vAlign w:val="center"/>
            <w:hideMark/>
          </w:tcPr>
          <w:p w14:paraId="3C5E6D55" w14:textId="77777777" w:rsidR="00E046E5" w:rsidRPr="003877B7" w:rsidRDefault="00E046E5" w:rsidP="003877B7">
            <w:pPr>
              <w:pStyle w:val="Table"/>
            </w:pPr>
            <w:r w:rsidRPr="003877B7">
              <w:t>38.2</w:t>
            </w:r>
          </w:p>
        </w:tc>
        <w:tc>
          <w:tcPr>
            <w:tcW w:w="874" w:type="dxa"/>
            <w:tcBorders>
              <w:left w:val="nil"/>
              <w:right w:val="nil"/>
            </w:tcBorders>
            <w:shd w:val="clear" w:color="auto" w:fill="auto"/>
            <w:noWrap/>
            <w:vAlign w:val="center"/>
            <w:hideMark/>
          </w:tcPr>
          <w:p w14:paraId="0D9531E5" w14:textId="77777777" w:rsidR="00E046E5" w:rsidRPr="003877B7" w:rsidRDefault="00E046E5" w:rsidP="003877B7">
            <w:pPr>
              <w:pStyle w:val="Table"/>
            </w:pPr>
            <w:r w:rsidRPr="003877B7">
              <w:t>51.0</w:t>
            </w:r>
          </w:p>
        </w:tc>
        <w:tc>
          <w:tcPr>
            <w:tcW w:w="874" w:type="dxa"/>
            <w:tcBorders>
              <w:left w:val="nil"/>
              <w:right w:val="nil"/>
            </w:tcBorders>
            <w:shd w:val="clear" w:color="auto" w:fill="auto"/>
            <w:noWrap/>
            <w:vAlign w:val="center"/>
            <w:hideMark/>
          </w:tcPr>
          <w:p w14:paraId="2FA7D3C4" w14:textId="77777777" w:rsidR="00E046E5" w:rsidRPr="003877B7" w:rsidRDefault="00E046E5" w:rsidP="003877B7">
            <w:pPr>
              <w:pStyle w:val="Table"/>
            </w:pPr>
            <w:r w:rsidRPr="003877B7">
              <w:t>36.1</w:t>
            </w:r>
          </w:p>
        </w:tc>
        <w:tc>
          <w:tcPr>
            <w:tcW w:w="874" w:type="dxa"/>
            <w:tcBorders>
              <w:left w:val="nil"/>
              <w:right w:val="nil"/>
            </w:tcBorders>
            <w:shd w:val="clear" w:color="auto" w:fill="auto"/>
            <w:noWrap/>
            <w:vAlign w:val="center"/>
            <w:hideMark/>
          </w:tcPr>
          <w:p w14:paraId="5473DB2C" w14:textId="77777777" w:rsidR="00E046E5" w:rsidRPr="003877B7" w:rsidRDefault="00E046E5" w:rsidP="003877B7">
            <w:pPr>
              <w:pStyle w:val="Table"/>
            </w:pPr>
            <w:r w:rsidRPr="003877B7">
              <w:t>51.2</w:t>
            </w:r>
          </w:p>
        </w:tc>
        <w:tc>
          <w:tcPr>
            <w:tcW w:w="875" w:type="dxa"/>
            <w:tcBorders>
              <w:left w:val="nil"/>
              <w:right w:val="nil"/>
            </w:tcBorders>
            <w:shd w:val="clear" w:color="auto" w:fill="auto"/>
            <w:noWrap/>
            <w:vAlign w:val="center"/>
            <w:hideMark/>
          </w:tcPr>
          <w:p w14:paraId="7BAC0012" w14:textId="77777777" w:rsidR="00E046E5" w:rsidRPr="003877B7" w:rsidRDefault="00E046E5" w:rsidP="003877B7">
            <w:pPr>
              <w:pStyle w:val="Table"/>
            </w:pPr>
            <w:r w:rsidRPr="003877B7">
              <w:t>37.3</w:t>
            </w:r>
          </w:p>
        </w:tc>
        <w:tc>
          <w:tcPr>
            <w:tcW w:w="958" w:type="dxa"/>
            <w:tcBorders>
              <w:left w:val="nil"/>
              <w:right w:val="nil"/>
            </w:tcBorders>
          </w:tcPr>
          <w:p w14:paraId="108BB19F" w14:textId="77777777" w:rsidR="00E046E5" w:rsidRPr="003877B7" w:rsidRDefault="00E046E5" w:rsidP="003877B7">
            <w:pPr>
              <w:pStyle w:val="Table"/>
            </w:pPr>
            <w:r w:rsidRPr="003877B7">
              <w:t>0.83</w:t>
            </w:r>
          </w:p>
        </w:tc>
      </w:tr>
      <w:tr w:rsidR="00E046E5" w:rsidRPr="003877B7" w14:paraId="5A4AA1F5" w14:textId="77777777" w:rsidTr="00D44E4D">
        <w:trPr>
          <w:trHeight w:val="300"/>
        </w:trPr>
        <w:tc>
          <w:tcPr>
            <w:tcW w:w="299" w:type="dxa"/>
            <w:gridSpan w:val="2"/>
            <w:tcBorders>
              <w:left w:val="nil"/>
              <w:bottom w:val="single" w:sz="4" w:space="0" w:color="auto"/>
              <w:right w:val="nil"/>
            </w:tcBorders>
          </w:tcPr>
          <w:p w14:paraId="121BF5B2" w14:textId="77777777" w:rsidR="00E046E5" w:rsidRPr="003877B7" w:rsidRDefault="00E046E5" w:rsidP="003877B7">
            <w:pPr>
              <w:pStyle w:val="Table"/>
            </w:pPr>
          </w:p>
        </w:tc>
        <w:tc>
          <w:tcPr>
            <w:tcW w:w="3260" w:type="dxa"/>
            <w:tcBorders>
              <w:left w:val="nil"/>
              <w:bottom w:val="single" w:sz="4" w:space="0" w:color="auto"/>
              <w:right w:val="nil"/>
            </w:tcBorders>
            <w:shd w:val="clear" w:color="auto" w:fill="auto"/>
            <w:noWrap/>
            <w:vAlign w:val="bottom"/>
            <w:hideMark/>
          </w:tcPr>
          <w:p w14:paraId="55AD7645" w14:textId="77777777" w:rsidR="00E046E5" w:rsidRPr="003877B7" w:rsidRDefault="00E046E5" w:rsidP="003877B7">
            <w:pPr>
              <w:pStyle w:val="Table"/>
            </w:pPr>
            <w:r w:rsidRPr="003877B7">
              <w:t>DDD (mean, SD)</w:t>
            </w:r>
          </w:p>
        </w:tc>
        <w:tc>
          <w:tcPr>
            <w:tcW w:w="874" w:type="dxa"/>
            <w:tcBorders>
              <w:left w:val="nil"/>
              <w:bottom w:val="single" w:sz="4" w:space="0" w:color="auto"/>
              <w:right w:val="nil"/>
            </w:tcBorders>
            <w:shd w:val="clear" w:color="auto" w:fill="auto"/>
            <w:noWrap/>
            <w:vAlign w:val="center"/>
            <w:hideMark/>
          </w:tcPr>
          <w:p w14:paraId="7A9F0F47" w14:textId="77777777" w:rsidR="00E046E5" w:rsidRPr="003877B7" w:rsidRDefault="00E046E5" w:rsidP="003877B7">
            <w:pPr>
              <w:pStyle w:val="Table"/>
            </w:pPr>
            <w:r w:rsidRPr="003877B7">
              <w:t>14.6</w:t>
            </w:r>
          </w:p>
        </w:tc>
        <w:tc>
          <w:tcPr>
            <w:tcW w:w="874" w:type="dxa"/>
            <w:tcBorders>
              <w:left w:val="nil"/>
              <w:bottom w:val="single" w:sz="4" w:space="0" w:color="auto"/>
              <w:right w:val="nil"/>
            </w:tcBorders>
            <w:shd w:val="clear" w:color="auto" w:fill="auto"/>
            <w:noWrap/>
            <w:vAlign w:val="center"/>
            <w:hideMark/>
          </w:tcPr>
          <w:p w14:paraId="431A0B4E" w14:textId="77777777" w:rsidR="00E046E5" w:rsidRPr="003877B7" w:rsidRDefault="00E046E5" w:rsidP="003877B7">
            <w:pPr>
              <w:pStyle w:val="Table"/>
            </w:pPr>
            <w:r w:rsidRPr="003877B7">
              <w:t>13.1</w:t>
            </w:r>
          </w:p>
        </w:tc>
        <w:tc>
          <w:tcPr>
            <w:tcW w:w="874" w:type="dxa"/>
            <w:tcBorders>
              <w:left w:val="nil"/>
              <w:bottom w:val="single" w:sz="4" w:space="0" w:color="auto"/>
              <w:right w:val="nil"/>
            </w:tcBorders>
            <w:shd w:val="clear" w:color="auto" w:fill="auto"/>
            <w:noWrap/>
            <w:vAlign w:val="center"/>
            <w:hideMark/>
          </w:tcPr>
          <w:p w14:paraId="59309A8F" w14:textId="77777777" w:rsidR="00E046E5" w:rsidRPr="003877B7" w:rsidRDefault="00E046E5" w:rsidP="003877B7">
            <w:pPr>
              <w:pStyle w:val="Table"/>
            </w:pPr>
            <w:r w:rsidRPr="003877B7">
              <w:t>15.6</w:t>
            </w:r>
          </w:p>
        </w:tc>
        <w:tc>
          <w:tcPr>
            <w:tcW w:w="874" w:type="dxa"/>
            <w:tcBorders>
              <w:left w:val="nil"/>
              <w:bottom w:val="single" w:sz="4" w:space="0" w:color="auto"/>
              <w:right w:val="nil"/>
            </w:tcBorders>
            <w:shd w:val="clear" w:color="auto" w:fill="auto"/>
            <w:noWrap/>
            <w:vAlign w:val="center"/>
            <w:hideMark/>
          </w:tcPr>
          <w:p w14:paraId="38A63704" w14:textId="77777777" w:rsidR="00E046E5" w:rsidRPr="003877B7" w:rsidRDefault="00E046E5" w:rsidP="003877B7">
            <w:pPr>
              <w:pStyle w:val="Table"/>
            </w:pPr>
            <w:r w:rsidRPr="003877B7">
              <w:t>15.4</w:t>
            </w:r>
          </w:p>
        </w:tc>
        <w:tc>
          <w:tcPr>
            <w:tcW w:w="874" w:type="dxa"/>
            <w:tcBorders>
              <w:left w:val="nil"/>
              <w:bottom w:val="single" w:sz="4" w:space="0" w:color="auto"/>
              <w:right w:val="nil"/>
            </w:tcBorders>
            <w:shd w:val="clear" w:color="auto" w:fill="auto"/>
            <w:noWrap/>
            <w:vAlign w:val="center"/>
            <w:hideMark/>
          </w:tcPr>
          <w:p w14:paraId="5B9970D7" w14:textId="77777777" w:rsidR="00E046E5" w:rsidRPr="003877B7" w:rsidRDefault="00E046E5" w:rsidP="003877B7">
            <w:pPr>
              <w:pStyle w:val="Table"/>
            </w:pPr>
            <w:r w:rsidRPr="003877B7">
              <w:t>15.0</w:t>
            </w:r>
          </w:p>
        </w:tc>
        <w:tc>
          <w:tcPr>
            <w:tcW w:w="875" w:type="dxa"/>
            <w:tcBorders>
              <w:left w:val="nil"/>
              <w:bottom w:val="single" w:sz="4" w:space="0" w:color="auto"/>
              <w:right w:val="nil"/>
            </w:tcBorders>
            <w:shd w:val="clear" w:color="auto" w:fill="auto"/>
            <w:noWrap/>
            <w:vAlign w:val="center"/>
            <w:hideMark/>
          </w:tcPr>
          <w:p w14:paraId="288AC086" w14:textId="77777777" w:rsidR="00E046E5" w:rsidRPr="003877B7" w:rsidRDefault="00E046E5" w:rsidP="003877B7">
            <w:pPr>
              <w:pStyle w:val="Table"/>
            </w:pPr>
            <w:r w:rsidRPr="003877B7">
              <w:t>14.1</w:t>
            </w:r>
          </w:p>
        </w:tc>
        <w:tc>
          <w:tcPr>
            <w:tcW w:w="958" w:type="dxa"/>
            <w:tcBorders>
              <w:left w:val="nil"/>
              <w:bottom w:val="single" w:sz="4" w:space="0" w:color="auto"/>
              <w:right w:val="nil"/>
            </w:tcBorders>
          </w:tcPr>
          <w:p w14:paraId="6E08950A" w14:textId="77777777" w:rsidR="00E046E5" w:rsidRPr="003877B7" w:rsidRDefault="00E046E5" w:rsidP="003877B7">
            <w:pPr>
              <w:pStyle w:val="Table"/>
            </w:pPr>
            <w:r w:rsidRPr="003877B7">
              <w:t>0.83</w:t>
            </w:r>
          </w:p>
        </w:tc>
      </w:tr>
    </w:tbl>
    <w:p w14:paraId="7C34219F" w14:textId="77777777" w:rsidR="0089355A" w:rsidRDefault="0089355A" w:rsidP="003877B7">
      <w:pPr>
        <w:pStyle w:val="Table"/>
      </w:pPr>
    </w:p>
    <w:p w14:paraId="76FAC6FF" w14:textId="77777777" w:rsidR="00662FED" w:rsidRPr="00C33339" w:rsidRDefault="0015172E" w:rsidP="003877B7">
      <w:pPr>
        <w:pStyle w:val="Table"/>
      </w:pPr>
      <w:r w:rsidRPr="003877B7">
        <w:rPr>
          <w:i/>
        </w:rPr>
        <w:t>Note</w:t>
      </w:r>
      <w:r w:rsidRPr="00C33339">
        <w:t>.</w:t>
      </w:r>
      <w:r w:rsidR="001B4CAD" w:rsidRPr="00C33339">
        <w:t xml:space="preserve"> </w:t>
      </w:r>
      <w:r w:rsidR="00662FED" w:rsidRPr="00C33339">
        <w:t>MET</w:t>
      </w:r>
      <w:r w:rsidR="003877B7">
        <w:t>=</w:t>
      </w:r>
      <w:r w:rsidR="00662FED" w:rsidRPr="00C33339">
        <w:t>motivational enhancement therapy; SBNT</w:t>
      </w:r>
      <w:r w:rsidR="003877B7">
        <w:t>=</w:t>
      </w:r>
      <w:r w:rsidR="00662FED" w:rsidRPr="00C33339">
        <w:t xml:space="preserve">social </w:t>
      </w:r>
      <w:r w:rsidR="00F663EE" w:rsidRPr="00C33339">
        <w:t>behavior</w:t>
      </w:r>
      <w:r w:rsidR="00662FED" w:rsidRPr="00C33339">
        <w:t xml:space="preserve"> and network therapy</w:t>
      </w:r>
      <w:r w:rsidR="00563FC3" w:rsidRPr="00C33339">
        <w:t>; SD</w:t>
      </w:r>
      <w:r w:rsidR="003877B7">
        <w:t>=</w:t>
      </w:r>
      <w:r w:rsidR="00563FC3" w:rsidRPr="00C33339">
        <w:t>standard deviation; DDD</w:t>
      </w:r>
      <w:r w:rsidR="003877B7">
        <w:t>=</w:t>
      </w:r>
      <w:r w:rsidR="00563FC3" w:rsidRPr="00C33339">
        <w:t>drinks per drinking days; PDA</w:t>
      </w:r>
      <w:r w:rsidR="003877B7">
        <w:t>=</w:t>
      </w:r>
      <w:r w:rsidR="00563FC3" w:rsidRPr="00C33339">
        <w:t xml:space="preserve">percent days abstinent; </w:t>
      </w:r>
      <w:r w:rsidR="00662FED" w:rsidRPr="00C33339">
        <w:t>met-f</w:t>
      </w:r>
      <w:r w:rsidR="003877B7">
        <w:t>=</w:t>
      </w:r>
      <w:r w:rsidR="00662FED" w:rsidRPr="00C33339">
        <w:t xml:space="preserve">frequency of MET </w:t>
      </w:r>
      <w:r w:rsidR="00F663EE" w:rsidRPr="00C33339">
        <w:t>behaviors</w:t>
      </w:r>
      <w:r w:rsidR="00662FED" w:rsidRPr="00C33339">
        <w:t>; met-q</w:t>
      </w:r>
      <w:r w:rsidR="003877B7">
        <w:t>=</w:t>
      </w:r>
      <w:r w:rsidR="00662FED" w:rsidRPr="00C33339">
        <w:t xml:space="preserve">quality of MET </w:t>
      </w:r>
      <w:r w:rsidR="00F663EE" w:rsidRPr="00C33339">
        <w:t>behaviors</w:t>
      </w:r>
      <w:r w:rsidR="00662FED" w:rsidRPr="00C33339">
        <w:t>;</w:t>
      </w:r>
      <w:r w:rsidR="00BD2320" w:rsidRPr="00C33339">
        <w:t xml:space="preserve"> </w:t>
      </w:r>
      <w:r w:rsidR="00662FED" w:rsidRPr="00C33339">
        <w:t>sbnt-f</w:t>
      </w:r>
      <w:r w:rsidR="003877B7">
        <w:t>=</w:t>
      </w:r>
      <w:r w:rsidR="00662FED" w:rsidRPr="00C33339">
        <w:t xml:space="preserve">frequency of SBNT </w:t>
      </w:r>
      <w:r w:rsidR="00F663EE" w:rsidRPr="00C33339">
        <w:t>behaviors</w:t>
      </w:r>
      <w:r w:rsidR="00662FED" w:rsidRPr="00C33339">
        <w:t>; sbnt-q</w:t>
      </w:r>
      <w:r w:rsidR="003877B7">
        <w:t>=</w:t>
      </w:r>
      <w:r w:rsidR="00662FED" w:rsidRPr="00C33339">
        <w:t xml:space="preserve">quality of SBNT </w:t>
      </w:r>
      <w:r w:rsidR="00F663EE" w:rsidRPr="00C33339">
        <w:t>behaviors</w:t>
      </w:r>
      <w:r w:rsidR="00662FED" w:rsidRPr="00C33339">
        <w:t>.</w:t>
      </w:r>
    </w:p>
    <w:p w14:paraId="0DB116C2" w14:textId="77777777" w:rsidR="00662FED" w:rsidRPr="00C33339" w:rsidRDefault="00DB773E" w:rsidP="00232E2C">
      <w:pPr>
        <w:pStyle w:val="Table"/>
      </w:pPr>
      <w:r w:rsidRPr="00C33339">
        <w:t>* p value based on Chi</w:t>
      </w:r>
      <w:r w:rsidR="00AD09EA" w:rsidRPr="00C33339">
        <w:t>-</w:t>
      </w:r>
      <w:r w:rsidRPr="00C33339">
        <w:t>squared test for categorical variable and Wilcoxon rank-sum test for continuous variables.</w:t>
      </w:r>
    </w:p>
    <w:p w14:paraId="5DC2B62A" w14:textId="77777777" w:rsidR="00662FED" w:rsidRPr="00C33339" w:rsidRDefault="00662FED" w:rsidP="00BD2320">
      <w:pPr>
        <w:rPr>
          <w:rFonts w:ascii="Times New Roman" w:hAnsi="Times New Roman" w:cs="Times New Roman"/>
          <w:sz w:val="24"/>
          <w:szCs w:val="24"/>
        </w:rPr>
        <w:sectPr w:rsidR="00662FED" w:rsidRPr="00C33339" w:rsidSect="00A432C0">
          <w:pgSz w:w="11907" w:h="16839" w:code="9"/>
          <w:pgMar w:top="1134" w:right="1134" w:bottom="1134" w:left="1134" w:header="720" w:footer="567" w:gutter="0"/>
          <w:cols w:space="720"/>
          <w:docGrid w:linePitch="360"/>
        </w:sectPr>
      </w:pPr>
    </w:p>
    <w:p w14:paraId="11D3511D" w14:textId="77777777" w:rsidR="003877B7" w:rsidRDefault="00531DE4" w:rsidP="00232E2C">
      <w:pPr>
        <w:pStyle w:val="Heading4"/>
      </w:pPr>
      <w:r w:rsidRPr="00C33339">
        <w:lastRenderedPageBreak/>
        <w:t xml:space="preserve">Table </w:t>
      </w:r>
      <w:r w:rsidR="00662FED" w:rsidRPr="00C33339">
        <w:t>2</w:t>
      </w:r>
    </w:p>
    <w:p w14:paraId="72DB6F91" w14:textId="77777777" w:rsidR="00531DE4" w:rsidRPr="003877B7" w:rsidRDefault="00531DE4" w:rsidP="00232E2C">
      <w:pPr>
        <w:pStyle w:val="Heading4"/>
      </w:pPr>
      <w:r w:rsidRPr="003877B7">
        <w:t>Mediation analysis</w:t>
      </w:r>
      <w:r w:rsidR="00BD2320" w:rsidRPr="003877B7">
        <w:t xml:space="preserve"> </w:t>
      </w:r>
      <w:r w:rsidR="00662FED" w:rsidRPr="003877B7">
        <w:t>(</w:t>
      </w:r>
      <w:r w:rsidRPr="003877B7">
        <w:t>N=374)</w:t>
      </w:r>
    </w:p>
    <w:tbl>
      <w:tblPr>
        <w:tblW w:w="14332" w:type="dxa"/>
        <w:tblInd w:w="93" w:type="dxa"/>
        <w:tblLayout w:type="fixed"/>
        <w:tblLook w:val="04A0" w:firstRow="1" w:lastRow="0" w:firstColumn="1" w:lastColumn="0" w:noHBand="0" w:noVBand="1"/>
      </w:tblPr>
      <w:tblGrid>
        <w:gridCol w:w="853"/>
        <w:gridCol w:w="853"/>
        <w:gridCol w:w="806"/>
        <w:gridCol w:w="807"/>
        <w:gridCol w:w="807"/>
        <w:gridCol w:w="992"/>
        <w:gridCol w:w="284"/>
        <w:gridCol w:w="850"/>
        <w:gridCol w:w="851"/>
        <w:gridCol w:w="803"/>
        <w:gridCol w:w="803"/>
        <w:gridCol w:w="804"/>
        <w:gridCol w:w="992"/>
        <w:gridCol w:w="283"/>
        <w:gridCol w:w="886"/>
        <w:gridCol w:w="886"/>
        <w:gridCol w:w="886"/>
        <w:gridCol w:w="886"/>
      </w:tblGrid>
      <w:tr w:rsidR="00005397" w:rsidRPr="00C33339" w14:paraId="63ECB613" w14:textId="77777777" w:rsidTr="007A123D">
        <w:trPr>
          <w:trHeight w:val="454"/>
        </w:trPr>
        <w:tc>
          <w:tcPr>
            <w:tcW w:w="5118" w:type="dxa"/>
            <w:gridSpan w:val="6"/>
            <w:tcBorders>
              <w:top w:val="single" w:sz="4" w:space="0" w:color="auto"/>
              <w:left w:val="nil"/>
              <w:bottom w:val="single" w:sz="4" w:space="0" w:color="auto"/>
              <w:right w:val="nil"/>
            </w:tcBorders>
            <w:shd w:val="clear" w:color="auto" w:fill="auto"/>
            <w:vAlign w:val="center"/>
          </w:tcPr>
          <w:p w14:paraId="67540A0E" w14:textId="77777777" w:rsidR="00005397" w:rsidRPr="00C33339" w:rsidRDefault="00005397" w:rsidP="003877B7">
            <w:pPr>
              <w:pStyle w:val="Table"/>
            </w:pPr>
            <w:r w:rsidRPr="00C33339">
              <w:t>a path</w:t>
            </w:r>
            <w:r w:rsidR="00BD2320" w:rsidRPr="00C33339">
              <w:t xml:space="preserve"> </w:t>
            </w:r>
            <w:r w:rsidR="00662FED" w:rsidRPr="00C33339">
              <w:t>(</w:t>
            </w:r>
            <w:r w:rsidRPr="00C33339">
              <w:t>X</w:t>
            </w:r>
            <w:r w:rsidRPr="00C33339">
              <w:sym w:font="Wingdings" w:char="F0E0"/>
            </w:r>
            <w:r w:rsidRPr="00C33339">
              <w:t>M)</w:t>
            </w:r>
          </w:p>
        </w:tc>
        <w:tc>
          <w:tcPr>
            <w:tcW w:w="284" w:type="dxa"/>
            <w:tcBorders>
              <w:left w:val="nil"/>
              <w:right w:val="nil"/>
            </w:tcBorders>
            <w:shd w:val="clear" w:color="auto" w:fill="auto"/>
            <w:noWrap/>
            <w:vAlign w:val="center"/>
            <w:hideMark/>
          </w:tcPr>
          <w:p w14:paraId="1E12A902" w14:textId="77777777" w:rsidR="00005397" w:rsidRPr="00C33339" w:rsidRDefault="00005397" w:rsidP="003877B7">
            <w:pPr>
              <w:pStyle w:val="Table"/>
            </w:pPr>
          </w:p>
        </w:tc>
        <w:tc>
          <w:tcPr>
            <w:tcW w:w="5103" w:type="dxa"/>
            <w:gridSpan w:val="6"/>
            <w:tcBorders>
              <w:top w:val="single" w:sz="4" w:space="0" w:color="auto"/>
              <w:left w:val="nil"/>
              <w:bottom w:val="single" w:sz="4" w:space="0" w:color="auto"/>
              <w:right w:val="nil"/>
            </w:tcBorders>
            <w:shd w:val="clear" w:color="auto" w:fill="auto"/>
            <w:vAlign w:val="center"/>
          </w:tcPr>
          <w:p w14:paraId="4CEA771C" w14:textId="77777777" w:rsidR="00005397" w:rsidRPr="00C33339" w:rsidRDefault="00005397" w:rsidP="003877B7">
            <w:pPr>
              <w:pStyle w:val="Table"/>
            </w:pPr>
            <w:r w:rsidRPr="00C33339">
              <w:t>b path</w:t>
            </w:r>
            <w:r w:rsidR="00BD2320" w:rsidRPr="00C33339">
              <w:t xml:space="preserve"> </w:t>
            </w:r>
            <w:r w:rsidR="00662FED" w:rsidRPr="00C33339">
              <w:t>(</w:t>
            </w:r>
            <w:r w:rsidRPr="00C33339">
              <w:t>M</w:t>
            </w:r>
            <w:r w:rsidRPr="00C33339">
              <w:sym w:font="Wingdings" w:char="F0E0"/>
            </w:r>
            <w:r w:rsidRPr="00C33339">
              <w:t>Y</w:t>
            </w:r>
            <w:r w:rsidR="006F0715" w:rsidRPr="00C33339">
              <w:t>, controlling for X</w:t>
            </w:r>
            <w:r w:rsidRPr="00C33339">
              <w:t>)</w:t>
            </w:r>
          </w:p>
        </w:tc>
        <w:tc>
          <w:tcPr>
            <w:tcW w:w="283" w:type="dxa"/>
            <w:tcBorders>
              <w:left w:val="nil"/>
              <w:right w:val="nil"/>
            </w:tcBorders>
            <w:shd w:val="clear" w:color="auto" w:fill="auto"/>
            <w:noWrap/>
            <w:vAlign w:val="center"/>
            <w:hideMark/>
          </w:tcPr>
          <w:p w14:paraId="59E84EA7" w14:textId="77777777" w:rsidR="00005397" w:rsidRPr="00C33339" w:rsidRDefault="00005397" w:rsidP="003877B7">
            <w:pPr>
              <w:pStyle w:val="Table"/>
            </w:pPr>
          </w:p>
        </w:tc>
        <w:tc>
          <w:tcPr>
            <w:tcW w:w="3544" w:type="dxa"/>
            <w:gridSpan w:val="4"/>
            <w:tcBorders>
              <w:top w:val="single" w:sz="4" w:space="0" w:color="auto"/>
              <w:left w:val="nil"/>
              <w:bottom w:val="single" w:sz="4" w:space="0" w:color="auto"/>
              <w:right w:val="nil"/>
            </w:tcBorders>
            <w:shd w:val="clear" w:color="auto" w:fill="auto"/>
            <w:vAlign w:val="center"/>
          </w:tcPr>
          <w:p w14:paraId="401E4292" w14:textId="77777777" w:rsidR="00005397" w:rsidRPr="00C33339" w:rsidRDefault="00005397" w:rsidP="003877B7">
            <w:pPr>
              <w:pStyle w:val="Table"/>
            </w:pPr>
            <w:r w:rsidRPr="00C33339">
              <w:t>Indirect effect</w:t>
            </w:r>
            <w:r w:rsidR="002F552E" w:rsidRPr="00C33339">
              <w:t xml:space="preserve"> </w:t>
            </w:r>
          </w:p>
        </w:tc>
      </w:tr>
      <w:tr w:rsidR="007A123D" w:rsidRPr="00C33339" w14:paraId="382E389A" w14:textId="77777777" w:rsidTr="00D44E4D">
        <w:trPr>
          <w:trHeight w:val="454"/>
        </w:trPr>
        <w:tc>
          <w:tcPr>
            <w:tcW w:w="853" w:type="dxa"/>
            <w:tcBorders>
              <w:top w:val="single" w:sz="4" w:space="0" w:color="auto"/>
              <w:left w:val="nil"/>
              <w:bottom w:val="nil"/>
              <w:right w:val="nil"/>
            </w:tcBorders>
            <w:shd w:val="clear" w:color="auto" w:fill="auto"/>
            <w:vAlign w:val="center"/>
          </w:tcPr>
          <w:p w14:paraId="0B11EB58" w14:textId="77777777" w:rsidR="00005397" w:rsidRPr="00C33339" w:rsidRDefault="00005397" w:rsidP="003877B7">
            <w:pPr>
              <w:pStyle w:val="Table"/>
            </w:pPr>
            <w:r w:rsidRPr="00C33339">
              <w:t>X</w:t>
            </w:r>
          </w:p>
        </w:tc>
        <w:tc>
          <w:tcPr>
            <w:tcW w:w="853" w:type="dxa"/>
            <w:tcBorders>
              <w:top w:val="single" w:sz="4" w:space="0" w:color="auto"/>
              <w:left w:val="nil"/>
              <w:bottom w:val="nil"/>
              <w:right w:val="nil"/>
            </w:tcBorders>
            <w:shd w:val="clear" w:color="auto" w:fill="auto"/>
            <w:noWrap/>
            <w:vAlign w:val="center"/>
            <w:hideMark/>
          </w:tcPr>
          <w:p w14:paraId="497E4CC9" w14:textId="77777777" w:rsidR="00005397" w:rsidRPr="00C33339" w:rsidRDefault="00005397" w:rsidP="003877B7">
            <w:pPr>
              <w:pStyle w:val="Table"/>
            </w:pPr>
            <w:r w:rsidRPr="00C33339">
              <w:t>M</w:t>
            </w:r>
          </w:p>
        </w:tc>
        <w:tc>
          <w:tcPr>
            <w:tcW w:w="806" w:type="dxa"/>
            <w:tcBorders>
              <w:top w:val="single" w:sz="4" w:space="0" w:color="auto"/>
              <w:left w:val="nil"/>
              <w:bottom w:val="nil"/>
              <w:right w:val="nil"/>
            </w:tcBorders>
            <w:shd w:val="clear" w:color="auto" w:fill="auto"/>
            <w:noWrap/>
            <w:vAlign w:val="center"/>
            <w:hideMark/>
          </w:tcPr>
          <w:p w14:paraId="0D548F3E" w14:textId="77777777" w:rsidR="00005397" w:rsidRPr="00C33339" w:rsidRDefault="00005397" w:rsidP="003877B7">
            <w:pPr>
              <w:pStyle w:val="Table"/>
            </w:pPr>
          </w:p>
        </w:tc>
        <w:tc>
          <w:tcPr>
            <w:tcW w:w="807" w:type="dxa"/>
            <w:tcBorders>
              <w:top w:val="single" w:sz="4" w:space="0" w:color="auto"/>
              <w:left w:val="nil"/>
              <w:bottom w:val="nil"/>
              <w:right w:val="nil"/>
            </w:tcBorders>
            <w:shd w:val="clear" w:color="auto" w:fill="auto"/>
            <w:noWrap/>
            <w:vAlign w:val="center"/>
            <w:hideMark/>
          </w:tcPr>
          <w:p w14:paraId="0007F74C" w14:textId="77777777" w:rsidR="00005397" w:rsidRPr="00C33339" w:rsidRDefault="00005397" w:rsidP="003877B7">
            <w:pPr>
              <w:pStyle w:val="Table"/>
            </w:pPr>
          </w:p>
        </w:tc>
        <w:tc>
          <w:tcPr>
            <w:tcW w:w="807" w:type="dxa"/>
            <w:tcBorders>
              <w:top w:val="single" w:sz="4" w:space="0" w:color="auto"/>
              <w:left w:val="nil"/>
              <w:bottom w:val="nil"/>
              <w:right w:val="nil"/>
            </w:tcBorders>
            <w:shd w:val="clear" w:color="auto" w:fill="auto"/>
            <w:noWrap/>
            <w:vAlign w:val="center"/>
            <w:hideMark/>
          </w:tcPr>
          <w:p w14:paraId="4CA6D3CF" w14:textId="77777777" w:rsidR="00005397" w:rsidRPr="00C33339" w:rsidRDefault="00005397" w:rsidP="003877B7">
            <w:pPr>
              <w:pStyle w:val="Table"/>
            </w:pPr>
          </w:p>
        </w:tc>
        <w:tc>
          <w:tcPr>
            <w:tcW w:w="992" w:type="dxa"/>
            <w:tcBorders>
              <w:top w:val="single" w:sz="4" w:space="0" w:color="auto"/>
              <w:left w:val="nil"/>
              <w:bottom w:val="nil"/>
              <w:right w:val="nil"/>
            </w:tcBorders>
            <w:shd w:val="clear" w:color="auto" w:fill="auto"/>
            <w:noWrap/>
            <w:vAlign w:val="center"/>
            <w:hideMark/>
          </w:tcPr>
          <w:p w14:paraId="371884B1" w14:textId="77777777" w:rsidR="00005397" w:rsidRPr="00C33339" w:rsidRDefault="00005397" w:rsidP="003877B7">
            <w:pPr>
              <w:pStyle w:val="Table"/>
            </w:pPr>
          </w:p>
        </w:tc>
        <w:tc>
          <w:tcPr>
            <w:tcW w:w="284" w:type="dxa"/>
            <w:tcBorders>
              <w:left w:val="nil"/>
              <w:bottom w:val="nil"/>
              <w:right w:val="nil"/>
            </w:tcBorders>
            <w:shd w:val="clear" w:color="auto" w:fill="auto"/>
            <w:noWrap/>
            <w:vAlign w:val="center"/>
            <w:hideMark/>
          </w:tcPr>
          <w:p w14:paraId="42A74F45" w14:textId="77777777" w:rsidR="00005397" w:rsidRPr="00C33339" w:rsidRDefault="00005397" w:rsidP="003877B7">
            <w:pPr>
              <w:pStyle w:val="Table"/>
            </w:pPr>
          </w:p>
        </w:tc>
        <w:tc>
          <w:tcPr>
            <w:tcW w:w="850" w:type="dxa"/>
            <w:tcBorders>
              <w:top w:val="single" w:sz="4" w:space="0" w:color="auto"/>
              <w:left w:val="nil"/>
              <w:bottom w:val="nil"/>
              <w:right w:val="nil"/>
            </w:tcBorders>
            <w:shd w:val="clear" w:color="auto" w:fill="auto"/>
            <w:vAlign w:val="center"/>
          </w:tcPr>
          <w:p w14:paraId="2798E328" w14:textId="77777777" w:rsidR="00005397" w:rsidRPr="00C33339" w:rsidRDefault="00005397" w:rsidP="003877B7">
            <w:pPr>
              <w:pStyle w:val="Table"/>
            </w:pPr>
            <w:r w:rsidRPr="00C33339">
              <w:t>M</w:t>
            </w:r>
          </w:p>
        </w:tc>
        <w:tc>
          <w:tcPr>
            <w:tcW w:w="851" w:type="dxa"/>
            <w:tcBorders>
              <w:top w:val="single" w:sz="4" w:space="0" w:color="auto"/>
              <w:left w:val="nil"/>
              <w:bottom w:val="nil"/>
              <w:right w:val="nil"/>
            </w:tcBorders>
            <w:shd w:val="clear" w:color="auto" w:fill="auto"/>
            <w:noWrap/>
            <w:vAlign w:val="center"/>
            <w:hideMark/>
          </w:tcPr>
          <w:p w14:paraId="2F4F4E3F" w14:textId="77777777" w:rsidR="00005397" w:rsidRPr="00C33339" w:rsidRDefault="00005397" w:rsidP="003877B7">
            <w:pPr>
              <w:pStyle w:val="Table"/>
            </w:pPr>
            <w:r w:rsidRPr="00C33339">
              <w:t>Y</w:t>
            </w:r>
          </w:p>
        </w:tc>
        <w:tc>
          <w:tcPr>
            <w:tcW w:w="803" w:type="dxa"/>
            <w:tcBorders>
              <w:top w:val="single" w:sz="4" w:space="0" w:color="auto"/>
              <w:left w:val="nil"/>
              <w:bottom w:val="nil"/>
              <w:right w:val="nil"/>
            </w:tcBorders>
            <w:shd w:val="clear" w:color="auto" w:fill="auto"/>
            <w:noWrap/>
            <w:vAlign w:val="center"/>
            <w:hideMark/>
          </w:tcPr>
          <w:p w14:paraId="1079A320" w14:textId="77777777" w:rsidR="00005397" w:rsidRPr="00C33339" w:rsidRDefault="00005397" w:rsidP="003877B7">
            <w:pPr>
              <w:pStyle w:val="Table"/>
            </w:pPr>
          </w:p>
        </w:tc>
        <w:tc>
          <w:tcPr>
            <w:tcW w:w="803" w:type="dxa"/>
            <w:tcBorders>
              <w:top w:val="single" w:sz="4" w:space="0" w:color="auto"/>
              <w:left w:val="nil"/>
              <w:bottom w:val="nil"/>
              <w:right w:val="nil"/>
            </w:tcBorders>
            <w:shd w:val="clear" w:color="auto" w:fill="auto"/>
            <w:noWrap/>
            <w:vAlign w:val="center"/>
            <w:hideMark/>
          </w:tcPr>
          <w:p w14:paraId="2573CD1B" w14:textId="77777777" w:rsidR="00005397" w:rsidRPr="00C33339" w:rsidRDefault="00005397" w:rsidP="003877B7">
            <w:pPr>
              <w:pStyle w:val="Table"/>
            </w:pPr>
          </w:p>
        </w:tc>
        <w:tc>
          <w:tcPr>
            <w:tcW w:w="804" w:type="dxa"/>
            <w:tcBorders>
              <w:top w:val="single" w:sz="4" w:space="0" w:color="auto"/>
              <w:left w:val="nil"/>
              <w:bottom w:val="nil"/>
              <w:right w:val="nil"/>
            </w:tcBorders>
            <w:shd w:val="clear" w:color="auto" w:fill="auto"/>
            <w:noWrap/>
            <w:vAlign w:val="center"/>
            <w:hideMark/>
          </w:tcPr>
          <w:p w14:paraId="66904D69" w14:textId="77777777" w:rsidR="00005397" w:rsidRPr="00C33339" w:rsidRDefault="00005397" w:rsidP="003877B7">
            <w:pPr>
              <w:pStyle w:val="Table"/>
            </w:pPr>
          </w:p>
        </w:tc>
        <w:tc>
          <w:tcPr>
            <w:tcW w:w="992" w:type="dxa"/>
            <w:tcBorders>
              <w:top w:val="single" w:sz="4" w:space="0" w:color="auto"/>
              <w:left w:val="nil"/>
              <w:bottom w:val="nil"/>
              <w:right w:val="nil"/>
            </w:tcBorders>
            <w:shd w:val="clear" w:color="auto" w:fill="auto"/>
            <w:noWrap/>
            <w:vAlign w:val="center"/>
            <w:hideMark/>
          </w:tcPr>
          <w:p w14:paraId="48F6B5B9" w14:textId="77777777" w:rsidR="00005397" w:rsidRPr="00C33339" w:rsidRDefault="00005397" w:rsidP="003877B7">
            <w:pPr>
              <w:pStyle w:val="Table"/>
            </w:pPr>
          </w:p>
        </w:tc>
        <w:tc>
          <w:tcPr>
            <w:tcW w:w="283" w:type="dxa"/>
            <w:tcBorders>
              <w:left w:val="nil"/>
              <w:bottom w:val="nil"/>
              <w:right w:val="nil"/>
            </w:tcBorders>
            <w:shd w:val="clear" w:color="auto" w:fill="auto"/>
            <w:noWrap/>
            <w:vAlign w:val="center"/>
            <w:hideMark/>
          </w:tcPr>
          <w:p w14:paraId="3BA6485C" w14:textId="77777777" w:rsidR="00005397" w:rsidRPr="00C33339" w:rsidRDefault="00005397" w:rsidP="003877B7">
            <w:pPr>
              <w:pStyle w:val="Table"/>
            </w:pPr>
          </w:p>
        </w:tc>
        <w:tc>
          <w:tcPr>
            <w:tcW w:w="886" w:type="dxa"/>
            <w:tcBorders>
              <w:top w:val="single" w:sz="4" w:space="0" w:color="auto"/>
              <w:left w:val="nil"/>
              <w:bottom w:val="nil"/>
              <w:right w:val="nil"/>
            </w:tcBorders>
            <w:shd w:val="clear" w:color="auto" w:fill="auto"/>
            <w:noWrap/>
            <w:vAlign w:val="center"/>
            <w:hideMark/>
          </w:tcPr>
          <w:p w14:paraId="7532B634" w14:textId="77777777" w:rsidR="00005397" w:rsidRPr="00C33339" w:rsidRDefault="00005397" w:rsidP="003877B7">
            <w:pPr>
              <w:pStyle w:val="Table"/>
            </w:pPr>
          </w:p>
        </w:tc>
        <w:tc>
          <w:tcPr>
            <w:tcW w:w="886" w:type="dxa"/>
            <w:tcBorders>
              <w:top w:val="single" w:sz="4" w:space="0" w:color="auto"/>
              <w:left w:val="nil"/>
              <w:bottom w:val="nil"/>
              <w:right w:val="nil"/>
            </w:tcBorders>
            <w:shd w:val="clear" w:color="auto" w:fill="auto"/>
            <w:noWrap/>
            <w:vAlign w:val="center"/>
            <w:hideMark/>
          </w:tcPr>
          <w:p w14:paraId="3584DF5A" w14:textId="77777777" w:rsidR="00005397" w:rsidRPr="00C33339" w:rsidRDefault="00005397" w:rsidP="003877B7">
            <w:pPr>
              <w:pStyle w:val="Table"/>
            </w:pPr>
          </w:p>
        </w:tc>
        <w:tc>
          <w:tcPr>
            <w:tcW w:w="886" w:type="dxa"/>
            <w:tcBorders>
              <w:top w:val="single" w:sz="4" w:space="0" w:color="auto"/>
              <w:left w:val="nil"/>
              <w:bottom w:val="nil"/>
              <w:right w:val="nil"/>
            </w:tcBorders>
            <w:shd w:val="clear" w:color="auto" w:fill="auto"/>
            <w:noWrap/>
            <w:vAlign w:val="center"/>
            <w:hideMark/>
          </w:tcPr>
          <w:p w14:paraId="45796047" w14:textId="77777777" w:rsidR="00005397" w:rsidRPr="00C33339" w:rsidRDefault="00005397" w:rsidP="003877B7">
            <w:pPr>
              <w:pStyle w:val="Table"/>
            </w:pPr>
          </w:p>
        </w:tc>
        <w:tc>
          <w:tcPr>
            <w:tcW w:w="886" w:type="dxa"/>
            <w:tcBorders>
              <w:top w:val="single" w:sz="4" w:space="0" w:color="auto"/>
              <w:left w:val="nil"/>
              <w:bottom w:val="nil"/>
              <w:right w:val="nil"/>
            </w:tcBorders>
            <w:shd w:val="clear" w:color="auto" w:fill="auto"/>
            <w:noWrap/>
            <w:vAlign w:val="center"/>
            <w:hideMark/>
          </w:tcPr>
          <w:p w14:paraId="5C6F62CD" w14:textId="77777777" w:rsidR="00005397" w:rsidRPr="00C33339" w:rsidRDefault="00005397" w:rsidP="003877B7">
            <w:pPr>
              <w:pStyle w:val="Table"/>
            </w:pPr>
          </w:p>
        </w:tc>
      </w:tr>
      <w:tr w:rsidR="007A123D" w:rsidRPr="00C33339" w14:paraId="32D41045"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603E3586" w14:textId="77777777" w:rsidR="00005397" w:rsidRPr="00C33339" w:rsidRDefault="00005397" w:rsidP="003877B7">
            <w:pPr>
              <w:pStyle w:val="Table"/>
            </w:pPr>
          </w:p>
        </w:tc>
        <w:tc>
          <w:tcPr>
            <w:tcW w:w="853" w:type="dxa"/>
            <w:tcBorders>
              <w:top w:val="single" w:sz="4" w:space="0" w:color="auto"/>
              <w:left w:val="nil"/>
              <w:bottom w:val="single" w:sz="4" w:space="0" w:color="auto"/>
              <w:right w:val="nil"/>
            </w:tcBorders>
            <w:shd w:val="clear" w:color="auto" w:fill="auto"/>
            <w:noWrap/>
            <w:vAlign w:val="center"/>
            <w:hideMark/>
          </w:tcPr>
          <w:p w14:paraId="4D983DC1" w14:textId="77777777" w:rsidR="00005397" w:rsidRPr="00C33339" w:rsidRDefault="00005397" w:rsidP="003877B7">
            <w:pPr>
              <w:pStyle w:val="Table"/>
            </w:pPr>
          </w:p>
        </w:tc>
        <w:tc>
          <w:tcPr>
            <w:tcW w:w="806" w:type="dxa"/>
            <w:tcBorders>
              <w:top w:val="single" w:sz="4" w:space="0" w:color="auto"/>
              <w:left w:val="nil"/>
              <w:bottom w:val="single" w:sz="4" w:space="0" w:color="auto"/>
              <w:right w:val="nil"/>
            </w:tcBorders>
            <w:shd w:val="clear" w:color="auto" w:fill="auto"/>
            <w:noWrap/>
            <w:vAlign w:val="center"/>
            <w:hideMark/>
          </w:tcPr>
          <w:p w14:paraId="6485FA6A" w14:textId="77777777" w:rsidR="00005397" w:rsidRPr="00C33339" w:rsidRDefault="00005397" w:rsidP="003877B7">
            <w:pPr>
              <w:pStyle w:val="Table"/>
            </w:pPr>
            <w:r w:rsidRPr="00C33339">
              <w:t>B</w:t>
            </w:r>
          </w:p>
        </w:tc>
        <w:tc>
          <w:tcPr>
            <w:tcW w:w="807" w:type="dxa"/>
            <w:tcBorders>
              <w:top w:val="single" w:sz="4" w:space="0" w:color="auto"/>
              <w:left w:val="nil"/>
              <w:bottom w:val="single" w:sz="4" w:space="0" w:color="auto"/>
              <w:right w:val="nil"/>
            </w:tcBorders>
            <w:shd w:val="clear" w:color="auto" w:fill="auto"/>
            <w:noWrap/>
            <w:vAlign w:val="center"/>
            <w:hideMark/>
          </w:tcPr>
          <w:p w14:paraId="02E4A488" w14:textId="77777777" w:rsidR="00005397" w:rsidRPr="00C33339" w:rsidRDefault="00005397" w:rsidP="003877B7">
            <w:pPr>
              <w:pStyle w:val="Table"/>
            </w:pPr>
            <w:r w:rsidRPr="00C33339">
              <w:t>SE</w:t>
            </w:r>
          </w:p>
        </w:tc>
        <w:tc>
          <w:tcPr>
            <w:tcW w:w="807" w:type="dxa"/>
            <w:tcBorders>
              <w:top w:val="single" w:sz="4" w:space="0" w:color="auto"/>
              <w:left w:val="nil"/>
              <w:bottom w:val="single" w:sz="4" w:space="0" w:color="auto"/>
              <w:right w:val="nil"/>
            </w:tcBorders>
            <w:shd w:val="clear" w:color="auto" w:fill="auto"/>
            <w:noWrap/>
            <w:vAlign w:val="center"/>
            <w:hideMark/>
          </w:tcPr>
          <w:p w14:paraId="188897BA" w14:textId="77777777" w:rsidR="00005397" w:rsidRPr="00C33339" w:rsidRDefault="00005397" w:rsidP="003877B7">
            <w:pPr>
              <w:pStyle w:val="Table"/>
            </w:pPr>
            <w:r w:rsidRPr="00C33339">
              <w:t>t</w:t>
            </w:r>
          </w:p>
        </w:tc>
        <w:tc>
          <w:tcPr>
            <w:tcW w:w="992" w:type="dxa"/>
            <w:tcBorders>
              <w:top w:val="single" w:sz="4" w:space="0" w:color="auto"/>
              <w:left w:val="nil"/>
              <w:bottom w:val="single" w:sz="4" w:space="0" w:color="auto"/>
              <w:right w:val="nil"/>
            </w:tcBorders>
            <w:shd w:val="clear" w:color="auto" w:fill="auto"/>
            <w:noWrap/>
            <w:vAlign w:val="center"/>
            <w:hideMark/>
          </w:tcPr>
          <w:p w14:paraId="4B317564" w14:textId="77777777" w:rsidR="00005397" w:rsidRPr="00C33339" w:rsidRDefault="00005397" w:rsidP="003877B7">
            <w:pPr>
              <w:pStyle w:val="Table"/>
            </w:pPr>
            <w:r w:rsidRPr="00C33339">
              <w:t>p</w:t>
            </w:r>
          </w:p>
        </w:tc>
        <w:tc>
          <w:tcPr>
            <w:tcW w:w="284" w:type="dxa"/>
            <w:tcBorders>
              <w:left w:val="nil"/>
              <w:bottom w:val="nil"/>
              <w:right w:val="nil"/>
            </w:tcBorders>
            <w:shd w:val="clear" w:color="auto" w:fill="auto"/>
            <w:noWrap/>
            <w:vAlign w:val="center"/>
            <w:hideMark/>
          </w:tcPr>
          <w:p w14:paraId="43715E5C" w14:textId="77777777" w:rsidR="00005397" w:rsidRPr="00C33339" w:rsidRDefault="00005397"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6F3DD1E0" w14:textId="77777777" w:rsidR="00005397" w:rsidRPr="00C33339" w:rsidRDefault="00005397" w:rsidP="003877B7">
            <w:pPr>
              <w:pStyle w:val="Table"/>
            </w:pPr>
          </w:p>
        </w:tc>
        <w:tc>
          <w:tcPr>
            <w:tcW w:w="851" w:type="dxa"/>
            <w:tcBorders>
              <w:top w:val="single" w:sz="4" w:space="0" w:color="auto"/>
              <w:left w:val="nil"/>
              <w:bottom w:val="single" w:sz="4" w:space="0" w:color="auto"/>
              <w:right w:val="nil"/>
            </w:tcBorders>
            <w:shd w:val="clear" w:color="auto" w:fill="auto"/>
            <w:noWrap/>
            <w:vAlign w:val="center"/>
            <w:hideMark/>
          </w:tcPr>
          <w:p w14:paraId="31A97224" w14:textId="77777777" w:rsidR="00005397" w:rsidRPr="00C33339" w:rsidRDefault="00005397" w:rsidP="003877B7">
            <w:pPr>
              <w:pStyle w:val="Table"/>
            </w:pPr>
          </w:p>
        </w:tc>
        <w:tc>
          <w:tcPr>
            <w:tcW w:w="803" w:type="dxa"/>
            <w:tcBorders>
              <w:top w:val="single" w:sz="4" w:space="0" w:color="auto"/>
              <w:left w:val="nil"/>
              <w:bottom w:val="single" w:sz="4" w:space="0" w:color="auto"/>
              <w:right w:val="nil"/>
            </w:tcBorders>
            <w:shd w:val="clear" w:color="auto" w:fill="auto"/>
            <w:noWrap/>
            <w:vAlign w:val="center"/>
            <w:hideMark/>
          </w:tcPr>
          <w:p w14:paraId="4C8C9AFB" w14:textId="77777777" w:rsidR="00005397" w:rsidRPr="00C33339" w:rsidRDefault="00005397" w:rsidP="003877B7">
            <w:pPr>
              <w:pStyle w:val="Table"/>
            </w:pPr>
            <w:r w:rsidRPr="00C33339">
              <w:t>B</w:t>
            </w:r>
          </w:p>
        </w:tc>
        <w:tc>
          <w:tcPr>
            <w:tcW w:w="803" w:type="dxa"/>
            <w:tcBorders>
              <w:top w:val="single" w:sz="4" w:space="0" w:color="auto"/>
              <w:left w:val="nil"/>
              <w:bottom w:val="single" w:sz="4" w:space="0" w:color="auto"/>
              <w:right w:val="nil"/>
            </w:tcBorders>
            <w:shd w:val="clear" w:color="auto" w:fill="auto"/>
            <w:noWrap/>
            <w:vAlign w:val="center"/>
            <w:hideMark/>
          </w:tcPr>
          <w:p w14:paraId="49226919" w14:textId="77777777" w:rsidR="00005397" w:rsidRPr="00C33339" w:rsidRDefault="00005397" w:rsidP="003877B7">
            <w:pPr>
              <w:pStyle w:val="Table"/>
            </w:pPr>
            <w:r w:rsidRPr="00C33339">
              <w:t>SE</w:t>
            </w:r>
          </w:p>
        </w:tc>
        <w:tc>
          <w:tcPr>
            <w:tcW w:w="804" w:type="dxa"/>
            <w:tcBorders>
              <w:top w:val="single" w:sz="4" w:space="0" w:color="auto"/>
              <w:left w:val="nil"/>
              <w:bottom w:val="single" w:sz="4" w:space="0" w:color="auto"/>
              <w:right w:val="nil"/>
            </w:tcBorders>
            <w:shd w:val="clear" w:color="auto" w:fill="auto"/>
            <w:noWrap/>
            <w:vAlign w:val="center"/>
            <w:hideMark/>
          </w:tcPr>
          <w:p w14:paraId="4826BCB9" w14:textId="77777777" w:rsidR="00005397" w:rsidRPr="00C33339" w:rsidRDefault="00005397" w:rsidP="003877B7">
            <w:pPr>
              <w:pStyle w:val="Table"/>
            </w:pPr>
            <w:r w:rsidRPr="00C33339">
              <w:t>t</w:t>
            </w:r>
          </w:p>
        </w:tc>
        <w:tc>
          <w:tcPr>
            <w:tcW w:w="992" w:type="dxa"/>
            <w:tcBorders>
              <w:top w:val="single" w:sz="4" w:space="0" w:color="auto"/>
              <w:left w:val="nil"/>
              <w:bottom w:val="single" w:sz="4" w:space="0" w:color="auto"/>
              <w:right w:val="nil"/>
            </w:tcBorders>
            <w:shd w:val="clear" w:color="auto" w:fill="auto"/>
            <w:noWrap/>
            <w:vAlign w:val="center"/>
            <w:hideMark/>
          </w:tcPr>
          <w:p w14:paraId="1122DA7B" w14:textId="77777777" w:rsidR="00005397" w:rsidRPr="00C33339" w:rsidRDefault="00005397" w:rsidP="003877B7">
            <w:pPr>
              <w:pStyle w:val="Table"/>
            </w:pPr>
            <w:r w:rsidRPr="00C33339">
              <w:t>p</w:t>
            </w:r>
          </w:p>
        </w:tc>
        <w:tc>
          <w:tcPr>
            <w:tcW w:w="283" w:type="dxa"/>
            <w:tcBorders>
              <w:left w:val="nil"/>
              <w:bottom w:val="nil"/>
              <w:right w:val="nil"/>
            </w:tcBorders>
            <w:shd w:val="clear" w:color="auto" w:fill="auto"/>
            <w:noWrap/>
            <w:vAlign w:val="center"/>
            <w:hideMark/>
          </w:tcPr>
          <w:p w14:paraId="012448ED" w14:textId="77777777" w:rsidR="00005397" w:rsidRPr="00C33339" w:rsidRDefault="00005397"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680E4DF7" w14:textId="77777777" w:rsidR="00005397" w:rsidRPr="00C33339" w:rsidRDefault="006F0715" w:rsidP="003877B7">
            <w:pPr>
              <w:pStyle w:val="Table"/>
            </w:pPr>
            <w:r w:rsidRPr="00C33339">
              <w:t>Effect</w:t>
            </w:r>
          </w:p>
        </w:tc>
        <w:tc>
          <w:tcPr>
            <w:tcW w:w="886" w:type="dxa"/>
            <w:tcBorders>
              <w:top w:val="single" w:sz="4" w:space="0" w:color="auto"/>
              <w:left w:val="nil"/>
              <w:bottom w:val="single" w:sz="4" w:space="0" w:color="auto"/>
              <w:right w:val="nil"/>
            </w:tcBorders>
            <w:shd w:val="clear" w:color="auto" w:fill="auto"/>
            <w:noWrap/>
            <w:vAlign w:val="center"/>
            <w:hideMark/>
          </w:tcPr>
          <w:p w14:paraId="07D1DA78" w14:textId="77777777" w:rsidR="00005397" w:rsidRPr="00C33339" w:rsidRDefault="00005397" w:rsidP="003877B7">
            <w:pPr>
              <w:pStyle w:val="Table"/>
            </w:pPr>
            <w:r w:rsidRPr="00C33339">
              <w:t>SE</w:t>
            </w:r>
            <w:r w:rsidR="006F0715" w:rsidRPr="00C33339">
              <w:t xml:space="preserve"> *</w:t>
            </w:r>
          </w:p>
        </w:tc>
        <w:tc>
          <w:tcPr>
            <w:tcW w:w="886" w:type="dxa"/>
            <w:tcBorders>
              <w:top w:val="single" w:sz="4" w:space="0" w:color="auto"/>
              <w:left w:val="nil"/>
              <w:bottom w:val="single" w:sz="4" w:space="0" w:color="auto"/>
              <w:right w:val="nil"/>
            </w:tcBorders>
            <w:shd w:val="clear" w:color="auto" w:fill="auto"/>
            <w:noWrap/>
            <w:vAlign w:val="center"/>
            <w:hideMark/>
          </w:tcPr>
          <w:p w14:paraId="18B6F574" w14:textId="77777777" w:rsidR="00005397" w:rsidRPr="00C33339" w:rsidRDefault="00005397" w:rsidP="003877B7">
            <w:pPr>
              <w:pStyle w:val="Table"/>
            </w:pPr>
            <w:r w:rsidRPr="00C33339">
              <w:t>95%</w:t>
            </w:r>
            <w:r w:rsidR="006F0715" w:rsidRPr="00C33339">
              <w:t xml:space="preserve"> *</w:t>
            </w:r>
          </w:p>
        </w:tc>
        <w:tc>
          <w:tcPr>
            <w:tcW w:w="886" w:type="dxa"/>
            <w:tcBorders>
              <w:top w:val="single" w:sz="4" w:space="0" w:color="auto"/>
              <w:left w:val="nil"/>
              <w:bottom w:val="single" w:sz="4" w:space="0" w:color="auto"/>
              <w:right w:val="nil"/>
            </w:tcBorders>
            <w:shd w:val="clear" w:color="auto" w:fill="auto"/>
            <w:noWrap/>
            <w:vAlign w:val="center"/>
            <w:hideMark/>
          </w:tcPr>
          <w:p w14:paraId="3DF31E09" w14:textId="77777777" w:rsidR="00005397" w:rsidRPr="00C33339" w:rsidRDefault="00005397" w:rsidP="003877B7">
            <w:pPr>
              <w:pStyle w:val="Table"/>
            </w:pPr>
            <w:r w:rsidRPr="00C33339">
              <w:t>CI</w:t>
            </w:r>
            <w:r w:rsidR="006F0715" w:rsidRPr="00C33339">
              <w:t xml:space="preserve"> *</w:t>
            </w:r>
          </w:p>
        </w:tc>
      </w:tr>
      <w:tr w:rsidR="007A123D" w:rsidRPr="00C33339" w14:paraId="248E7D43"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0C80E81C" w14:textId="77777777" w:rsidR="003A4981" w:rsidRPr="00C33339" w:rsidRDefault="003A4981" w:rsidP="003877B7">
            <w:pPr>
              <w:pStyle w:val="Table"/>
            </w:pPr>
            <w:r w:rsidRPr="00C33339">
              <w:t>MET</w:t>
            </w:r>
          </w:p>
        </w:tc>
        <w:tc>
          <w:tcPr>
            <w:tcW w:w="853" w:type="dxa"/>
            <w:tcBorders>
              <w:top w:val="single" w:sz="4" w:space="0" w:color="auto"/>
              <w:left w:val="nil"/>
              <w:bottom w:val="single" w:sz="4" w:space="0" w:color="auto"/>
              <w:right w:val="nil"/>
            </w:tcBorders>
            <w:shd w:val="clear" w:color="auto" w:fill="auto"/>
            <w:noWrap/>
            <w:vAlign w:val="center"/>
            <w:hideMark/>
          </w:tcPr>
          <w:p w14:paraId="485520C3" w14:textId="77777777" w:rsidR="003A4981" w:rsidRPr="00C33339" w:rsidRDefault="003A4981" w:rsidP="003877B7">
            <w:pPr>
              <w:pStyle w:val="Table"/>
            </w:pPr>
            <w:r w:rsidRPr="00C33339">
              <w:t>met-f</w:t>
            </w:r>
          </w:p>
        </w:tc>
        <w:tc>
          <w:tcPr>
            <w:tcW w:w="806" w:type="dxa"/>
            <w:tcBorders>
              <w:top w:val="single" w:sz="4" w:space="0" w:color="auto"/>
              <w:left w:val="nil"/>
              <w:bottom w:val="single" w:sz="4" w:space="0" w:color="auto"/>
              <w:right w:val="nil"/>
            </w:tcBorders>
            <w:shd w:val="clear" w:color="auto" w:fill="auto"/>
            <w:noWrap/>
            <w:vAlign w:val="center"/>
            <w:hideMark/>
          </w:tcPr>
          <w:p w14:paraId="04D6A139" w14:textId="77777777" w:rsidR="003A4981" w:rsidRPr="00C33339" w:rsidRDefault="003A4981" w:rsidP="003877B7">
            <w:pPr>
              <w:pStyle w:val="Table"/>
            </w:pPr>
            <w:r w:rsidRPr="00C33339">
              <w:t>0.83</w:t>
            </w:r>
          </w:p>
        </w:tc>
        <w:tc>
          <w:tcPr>
            <w:tcW w:w="807" w:type="dxa"/>
            <w:tcBorders>
              <w:top w:val="single" w:sz="4" w:space="0" w:color="auto"/>
              <w:left w:val="nil"/>
              <w:bottom w:val="single" w:sz="4" w:space="0" w:color="auto"/>
              <w:right w:val="nil"/>
            </w:tcBorders>
            <w:shd w:val="clear" w:color="auto" w:fill="auto"/>
            <w:noWrap/>
            <w:vAlign w:val="center"/>
            <w:hideMark/>
          </w:tcPr>
          <w:p w14:paraId="38F3CD04" w14:textId="77777777" w:rsidR="003A4981" w:rsidRPr="00C33339" w:rsidRDefault="003A4981" w:rsidP="003877B7">
            <w:pPr>
              <w:pStyle w:val="Table"/>
            </w:pPr>
            <w:r w:rsidRPr="00C33339">
              <w:t>0.03</w:t>
            </w:r>
          </w:p>
        </w:tc>
        <w:tc>
          <w:tcPr>
            <w:tcW w:w="807" w:type="dxa"/>
            <w:tcBorders>
              <w:top w:val="single" w:sz="4" w:space="0" w:color="auto"/>
              <w:left w:val="nil"/>
              <w:bottom w:val="single" w:sz="4" w:space="0" w:color="auto"/>
              <w:right w:val="nil"/>
            </w:tcBorders>
            <w:shd w:val="clear" w:color="auto" w:fill="auto"/>
            <w:noWrap/>
            <w:vAlign w:val="center"/>
            <w:hideMark/>
          </w:tcPr>
          <w:p w14:paraId="7C0CECF7" w14:textId="77777777" w:rsidR="003A4981" w:rsidRPr="00C33339" w:rsidRDefault="003A4981" w:rsidP="003877B7">
            <w:pPr>
              <w:pStyle w:val="Table"/>
            </w:pPr>
            <w:r w:rsidRPr="00C33339">
              <w:t>24.61</w:t>
            </w:r>
          </w:p>
        </w:tc>
        <w:tc>
          <w:tcPr>
            <w:tcW w:w="992" w:type="dxa"/>
            <w:tcBorders>
              <w:top w:val="single" w:sz="4" w:space="0" w:color="auto"/>
              <w:left w:val="nil"/>
              <w:bottom w:val="single" w:sz="4" w:space="0" w:color="auto"/>
              <w:right w:val="nil"/>
            </w:tcBorders>
            <w:shd w:val="clear" w:color="auto" w:fill="auto"/>
            <w:noWrap/>
            <w:vAlign w:val="center"/>
            <w:hideMark/>
          </w:tcPr>
          <w:p w14:paraId="16EBA9C2" w14:textId="77777777" w:rsidR="003A4981" w:rsidRPr="00C33339" w:rsidRDefault="003A4981" w:rsidP="003877B7">
            <w:pPr>
              <w:pStyle w:val="Table"/>
            </w:pPr>
            <w:r w:rsidRPr="00C33339">
              <w:t>&lt;0.001</w:t>
            </w:r>
          </w:p>
        </w:tc>
        <w:tc>
          <w:tcPr>
            <w:tcW w:w="284" w:type="dxa"/>
            <w:tcBorders>
              <w:left w:val="nil"/>
              <w:right w:val="nil"/>
            </w:tcBorders>
            <w:shd w:val="clear" w:color="auto" w:fill="auto"/>
            <w:noWrap/>
            <w:vAlign w:val="center"/>
            <w:hideMark/>
          </w:tcPr>
          <w:p w14:paraId="69DC2BD9" w14:textId="77777777" w:rsidR="003A4981" w:rsidRPr="00C33339" w:rsidRDefault="003A4981"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3E8B22C3" w14:textId="77777777" w:rsidR="003A4981" w:rsidRPr="00C33339" w:rsidRDefault="003A4981" w:rsidP="003877B7">
            <w:pPr>
              <w:pStyle w:val="Table"/>
            </w:pPr>
            <w:r w:rsidRPr="00C33339">
              <w:t>met-f</w:t>
            </w:r>
          </w:p>
        </w:tc>
        <w:tc>
          <w:tcPr>
            <w:tcW w:w="851" w:type="dxa"/>
            <w:tcBorders>
              <w:top w:val="single" w:sz="4" w:space="0" w:color="auto"/>
              <w:left w:val="nil"/>
              <w:bottom w:val="single" w:sz="4" w:space="0" w:color="auto"/>
              <w:right w:val="nil"/>
            </w:tcBorders>
            <w:shd w:val="clear" w:color="auto" w:fill="auto"/>
            <w:noWrap/>
            <w:vAlign w:val="center"/>
          </w:tcPr>
          <w:p w14:paraId="7AC16123" w14:textId="77777777" w:rsidR="003A4981" w:rsidRPr="00C33339" w:rsidRDefault="003A4981" w:rsidP="003877B7">
            <w:pPr>
              <w:pStyle w:val="Table"/>
            </w:pPr>
            <w:r w:rsidRPr="00C33339">
              <w:t>PDA</w:t>
            </w:r>
          </w:p>
        </w:tc>
        <w:tc>
          <w:tcPr>
            <w:tcW w:w="803" w:type="dxa"/>
            <w:tcBorders>
              <w:top w:val="single" w:sz="4" w:space="0" w:color="auto"/>
              <w:left w:val="nil"/>
              <w:bottom w:val="single" w:sz="4" w:space="0" w:color="auto"/>
              <w:right w:val="nil"/>
            </w:tcBorders>
            <w:shd w:val="clear" w:color="auto" w:fill="auto"/>
            <w:noWrap/>
            <w:vAlign w:val="center"/>
            <w:hideMark/>
          </w:tcPr>
          <w:p w14:paraId="67B874CC" w14:textId="77777777" w:rsidR="003A4981" w:rsidRPr="00C33339" w:rsidRDefault="003A4981" w:rsidP="003877B7">
            <w:pPr>
              <w:pStyle w:val="Table"/>
            </w:pPr>
            <w:r w:rsidRPr="00C33339">
              <w:t>11.00</w:t>
            </w:r>
          </w:p>
        </w:tc>
        <w:tc>
          <w:tcPr>
            <w:tcW w:w="803" w:type="dxa"/>
            <w:tcBorders>
              <w:top w:val="single" w:sz="4" w:space="0" w:color="auto"/>
              <w:left w:val="nil"/>
              <w:bottom w:val="single" w:sz="4" w:space="0" w:color="auto"/>
              <w:right w:val="nil"/>
            </w:tcBorders>
            <w:shd w:val="clear" w:color="auto" w:fill="auto"/>
            <w:noWrap/>
            <w:vAlign w:val="center"/>
            <w:hideMark/>
          </w:tcPr>
          <w:p w14:paraId="2A65A455" w14:textId="77777777" w:rsidR="003A4981" w:rsidRPr="00C33339" w:rsidRDefault="003A4981" w:rsidP="003877B7">
            <w:pPr>
              <w:pStyle w:val="Table"/>
            </w:pPr>
            <w:r w:rsidRPr="00C33339">
              <w:t>5.70</w:t>
            </w:r>
          </w:p>
        </w:tc>
        <w:tc>
          <w:tcPr>
            <w:tcW w:w="804" w:type="dxa"/>
            <w:tcBorders>
              <w:top w:val="single" w:sz="4" w:space="0" w:color="auto"/>
              <w:left w:val="nil"/>
              <w:bottom w:val="single" w:sz="4" w:space="0" w:color="auto"/>
              <w:right w:val="nil"/>
            </w:tcBorders>
            <w:shd w:val="clear" w:color="auto" w:fill="auto"/>
            <w:noWrap/>
            <w:vAlign w:val="center"/>
            <w:hideMark/>
          </w:tcPr>
          <w:p w14:paraId="185E0BC6" w14:textId="77777777" w:rsidR="003A4981" w:rsidRPr="00C33339" w:rsidRDefault="003A4981" w:rsidP="003877B7">
            <w:pPr>
              <w:pStyle w:val="Table"/>
            </w:pPr>
            <w:r w:rsidRPr="00C33339">
              <w:t>1.93</w:t>
            </w:r>
          </w:p>
        </w:tc>
        <w:tc>
          <w:tcPr>
            <w:tcW w:w="992" w:type="dxa"/>
            <w:tcBorders>
              <w:top w:val="single" w:sz="4" w:space="0" w:color="auto"/>
              <w:left w:val="nil"/>
              <w:bottom w:val="single" w:sz="4" w:space="0" w:color="auto"/>
              <w:right w:val="nil"/>
            </w:tcBorders>
            <w:shd w:val="clear" w:color="auto" w:fill="auto"/>
            <w:noWrap/>
            <w:vAlign w:val="center"/>
            <w:hideMark/>
          </w:tcPr>
          <w:p w14:paraId="6AF67BED" w14:textId="77777777" w:rsidR="003A4981" w:rsidRPr="00C33339" w:rsidRDefault="003A4981" w:rsidP="003877B7">
            <w:pPr>
              <w:pStyle w:val="Table"/>
            </w:pPr>
            <w:r w:rsidRPr="00C33339">
              <w:t>0.054</w:t>
            </w:r>
          </w:p>
        </w:tc>
        <w:tc>
          <w:tcPr>
            <w:tcW w:w="283" w:type="dxa"/>
            <w:tcBorders>
              <w:left w:val="nil"/>
              <w:right w:val="nil"/>
            </w:tcBorders>
            <w:shd w:val="clear" w:color="auto" w:fill="auto"/>
            <w:noWrap/>
            <w:vAlign w:val="center"/>
            <w:hideMark/>
          </w:tcPr>
          <w:p w14:paraId="0CFD1A81" w14:textId="77777777" w:rsidR="003A4981" w:rsidRPr="00C33339" w:rsidRDefault="003A4981"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64EE6D73" w14:textId="77777777" w:rsidR="003A4981" w:rsidRPr="00C33339" w:rsidRDefault="003A4981" w:rsidP="003877B7">
            <w:pPr>
              <w:pStyle w:val="Table"/>
            </w:pPr>
            <w:r w:rsidRPr="00C33339">
              <w:t>9.14</w:t>
            </w:r>
          </w:p>
        </w:tc>
        <w:tc>
          <w:tcPr>
            <w:tcW w:w="886" w:type="dxa"/>
            <w:tcBorders>
              <w:top w:val="single" w:sz="4" w:space="0" w:color="auto"/>
              <w:left w:val="nil"/>
              <w:bottom w:val="single" w:sz="4" w:space="0" w:color="auto"/>
              <w:right w:val="nil"/>
            </w:tcBorders>
            <w:shd w:val="clear" w:color="auto" w:fill="auto"/>
            <w:noWrap/>
            <w:vAlign w:val="center"/>
            <w:hideMark/>
          </w:tcPr>
          <w:p w14:paraId="29E9C386" w14:textId="77777777" w:rsidR="003A4981" w:rsidRPr="00C33339" w:rsidRDefault="003A4981" w:rsidP="003877B7">
            <w:pPr>
              <w:pStyle w:val="Table"/>
            </w:pPr>
            <w:r w:rsidRPr="00C33339">
              <w:t>4.71</w:t>
            </w:r>
          </w:p>
        </w:tc>
        <w:tc>
          <w:tcPr>
            <w:tcW w:w="886" w:type="dxa"/>
            <w:tcBorders>
              <w:top w:val="single" w:sz="4" w:space="0" w:color="auto"/>
              <w:left w:val="nil"/>
              <w:bottom w:val="single" w:sz="4" w:space="0" w:color="auto"/>
              <w:right w:val="nil"/>
            </w:tcBorders>
            <w:shd w:val="clear" w:color="auto" w:fill="auto"/>
            <w:noWrap/>
            <w:vAlign w:val="center"/>
            <w:hideMark/>
          </w:tcPr>
          <w:p w14:paraId="07FEB0FE" w14:textId="77777777" w:rsidR="003A4981" w:rsidRPr="00C33339" w:rsidRDefault="003A4981" w:rsidP="003877B7">
            <w:pPr>
              <w:pStyle w:val="Table"/>
            </w:pPr>
            <w:r w:rsidRPr="00C33339">
              <w:t>-0.38</w:t>
            </w:r>
          </w:p>
        </w:tc>
        <w:tc>
          <w:tcPr>
            <w:tcW w:w="886" w:type="dxa"/>
            <w:tcBorders>
              <w:top w:val="single" w:sz="4" w:space="0" w:color="auto"/>
              <w:left w:val="nil"/>
              <w:bottom w:val="single" w:sz="4" w:space="0" w:color="auto"/>
              <w:right w:val="nil"/>
            </w:tcBorders>
            <w:shd w:val="clear" w:color="auto" w:fill="auto"/>
            <w:noWrap/>
            <w:vAlign w:val="center"/>
            <w:hideMark/>
          </w:tcPr>
          <w:p w14:paraId="50D8B46C" w14:textId="77777777" w:rsidR="003A4981" w:rsidRPr="00C33339" w:rsidRDefault="003A4981" w:rsidP="003877B7">
            <w:pPr>
              <w:pStyle w:val="Table"/>
            </w:pPr>
            <w:r w:rsidRPr="00C33339">
              <w:t>18.30</w:t>
            </w:r>
          </w:p>
        </w:tc>
      </w:tr>
      <w:tr w:rsidR="007A123D" w:rsidRPr="00C33339" w14:paraId="24B8B823"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096827A5" w14:textId="77777777" w:rsidR="003A4981" w:rsidRPr="00C33339" w:rsidRDefault="003A4981" w:rsidP="003877B7">
            <w:pPr>
              <w:pStyle w:val="Table"/>
            </w:pPr>
            <w:r w:rsidRPr="00C33339">
              <w:t>MET</w:t>
            </w:r>
          </w:p>
        </w:tc>
        <w:tc>
          <w:tcPr>
            <w:tcW w:w="853" w:type="dxa"/>
            <w:tcBorders>
              <w:top w:val="single" w:sz="4" w:space="0" w:color="auto"/>
              <w:left w:val="nil"/>
              <w:bottom w:val="single" w:sz="4" w:space="0" w:color="auto"/>
              <w:right w:val="nil"/>
            </w:tcBorders>
            <w:shd w:val="clear" w:color="auto" w:fill="auto"/>
            <w:noWrap/>
            <w:vAlign w:val="center"/>
            <w:hideMark/>
          </w:tcPr>
          <w:p w14:paraId="7BC5902C" w14:textId="77777777" w:rsidR="003A4981" w:rsidRPr="00C33339" w:rsidRDefault="003A4981" w:rsidP="003877B7">
            <w:pPr>
              <w:pStyle w:val="Table"/>
            </w:pPr>
            <w:r w:rsidRPr="00C33339">
              <w:t>met-q</w:t>
            </w:r>
          </w:p>
        </w:tc>
        <w:tc>
          <w:tcPr>
            <w:tcW w:w="806" w:type="dxa"/>
            <w:tcBorders>
              <w:top w:val="single" w:sz="4" w:space="0" w:color="auto"/>
              <w:left w:val="nil"/>
              <w:bottom w:val="single" w:sz="4" w:space="0" w:color="auto"/>
              <w:right w:val="nil"/>
            </w:tcBorders>
            <w:shd w:val="clear" w:color="auto" w:fill="auto"/>
            <w:noWrap/>
            <w:vAlign w:val="center"/>
            <w:hideMark/>
          </w:tcPr>
          <w:p w14:paraId="6538E0C4" w14:textId="77777777" w:rsidR="003A4981" w:rsidRPr="00C33339" w:rsidRDefault="003A4981" w:rsidP="003877B7">
            <w:pPr>
              <w:pStyle w:val="Table"/>
            </w:pPr>
            <w:r w:rsidRPr="00C33339">
              <w:t>0.09</w:t>
            </w:r>
          </w:p>
        </w:tc>
        <w:tc>
          <w:tcPr>
            <w:tcW w:w="807" w:type="dxa"/>
            <w:tcBorders>
              <w:top w:val="single" w:sz="4" w:space="0" w:color="auto"/>
              <w:left w:val="nil"/>
              <w:bottom w:val="single" w:sz="4" w:space="0" w:color="auto"/>
              <w:right w:val="nil"/>
            </w:tcBorders>
            <w:shd w:val="clear" w:color="auto" w:fill="auto"/>
            <w:noWrap/>
            <w:vAlign w:val="center"/>
            <w:hideMark/>
          </w:tcPr>
          <w:p w14:paraId="5213B7E9" w14:textId="77777777" w:rsidR="003A4981" w:rsidRPr="00C33339" w:rsidRDefault="003A4981" w:rsidP="003877B7">
            <w:pPr>
              <w:pStyle w:val="Table"/>
            </w:pPr>
            <w:r w:rsidRPr="00C33339">
              <w:t>0.07</w:t>
            </w:r>
          </w:p>
        </w:tc>
        <w:tc>
          <w:tcPr>
            <w:tcW w:w="807" w:type="dxa"/>
            <w:tcBorders>
              <w:top w:val="single" w:sz="4" w:space="0" w:color="auto"/>
              <w:left w:val="nil"/>
              <w:bottom w:val="single" w:sz="4" w:space="0" w:color="auto"/>
              <w:right w:val="nil"/>
            </w:tcBorders>
            <w:shd w:val="clear" w:color="auto" w:fill="auto"/>
            <w:noWrap/>
            <w:vAlign w:val="center"/>
            <w:hideMark/>
          </w:tcPr>
          <w:p w14:paraId="59835762" w14:textId="77777777" w:rsidR="003A4981" w:rsidRPr="00C33339" w:rsidRDefault="003A4981" w:rsidP="003877B7">
            <w:pPr>
              <w:pStyle w:val="Table"/>
            </w:pPr>
            <w:r w:rsidRPr="00C33339">
              <w:t>1.42</w:t>
            </w:r>
          </w:p>
        </w:tc>
        <w:tc>
          <w:tcPr>
            <w:tcW w:w="992" w:type="dxa"/>
            <w:tcBorders>
              <w:top w:val="single" w:sz="4" w:space="0" w:color="auto"/>
              <w:left w:val="nil"/>
              <w:bottom w:val="single" w:sz="4" w:space="0" w:color="auto"/>
              <w:right w:val="nil"/>
            </w:tcBorders>
            <w:shd w:val="clear" w:color="auto" w:fill="auto"/>
            <w:noWrap/>
            <w:vAlign w:val="center"/>
            <w:hideMark/>
          </w:tcPr>
          <w:p w14:paraId="1EBC4077" w14:textId="77777777" w:rsidR="003A4981" w:rsidRPr="00C33339" w:rsidRDefault="003A4981" w:rsidP="003877B7">
            <w:pPr>
              <w:pStyle w:val="Table"/>
            </w:pPr>
            <w:r w:rsidRPr="00C33339">
              <w:t>0.16</w:t>
            </w:r>
          </w:p>
        </w:tc>
        <w:tc>
          <w:tcPr>
            <w:tcW w:w="284" w:type="dxa"/>
            <w:tcBorders>
              <w:left w:val="nil"/>
              <w:right w:val="nil"/>
            </w:tcBorders>
            <w:shd w:val="clear" w:color="auto" w:fill="auto"/>
            <w:noWrap/>
            <w:vAlign w:val="center"/>
            <w:hideMark/>
          </w:tcPr>
          <w:p w14:paraId="3701E45B" w14:textId="77777777" w:rsidR="003A4981" w:rsidRPr="00C33339" w:rsidRDefault="003A4981"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5EA249B4" w14:textId="77777777" w:rsidR="003A4981" w:rsidRPr="00C33339" w:rsidRDefault="003A4981" w:rsidP="003877B7">
            <w:pPr>
              <w:pStyle w:val="Table"/>
            </w:pPr>
            <w:r w:rsidRPr="00C33339">
              <w:t>met-q</w:t>
            </w:r>
          </w:p>
        </w:tc>
        <w:tc>
          <w:tcPr>
            <w:tcW w:w="851" w:type="dxa"/>
            <w:tcBorders>
              <w:top w:val="single" w:sz="4" w:space="0" w:color="auto"/>
              <w:left w:val="nil"/>
              <w:bottom w:val="single" w:sz="4" w:space="0" w:color="auto"/>
              <w:right w:val="nil"/>
            </w:tcBorders>
            <w:shd w:val="clear" w:color="auto" w:fill="auto"/>
            <w:noWrap/>
            <w:vAlign w:val="center"/>
          </w:tcPr>
          <w:p w14:paraId="12F265A5" w14:textId="77777777" w:rsidR="003A4981" w:rsidRPr="00C33339" w:rsidRDefault="003A4981" w:rsidP="003877B7">
            <w:pPr>
              <w:pStyle w:val="Table"/>
            </w:pPr>
            <w:r w:rsidRPr="00C33339">
              <w:t>PDA</w:t>
            </w:r>
          </w:p>
        </w:tc>
        <w:tc>
          <w:tcPr>
            <w:tcW w:w="803" w:type="dxa"/>
            <w:tcBorders>
              <w:top w:val="single" w:sz="4" w:space="0" w:color="auto"/>
              <w:left w:val="nil"/>
              <w:bottom w:val="single" w:sz="4" w:space="0" w:color="auto"/>
              <w:right w:val="nil"/>
            </w:tcBorders>
            <w:shd w:val="clear" w:color="auto" w:fill="auto"/>
            <w:noWrap/>
            <w:vAlign w:val="center"/>
            <w:hideMark/>
          </w:tcPr>
          <w:p w14:paraId="783229F4" w14:textId="77777777" w:rsidR="003A4981" w:rsidRPr="00C33339" w:rsidRDefault="003A4981" w:rsidP="003877B7">
            <w:pPr>
              <w:pStyle w:val="Table"/>
            </w:pPr>
            <w:r w:rsidRPr="00C33339">
              <w:t>7.65</w:t>
            </w:r>
          </w:p>
        </w:tc>
        <w:tc>
          <w:tcPr>
            <w:tcW w:w="803" w:type="dxa"/>
            <w:tcBorders>
              <w:top w:val="single" w:sz="4" w:space="0" w:color="auto"/>
              <w:left w:val="nil"/>
              <w:bottom w:val="single" w:sz="4" w:space="0" w:color="auto"/>
              <w:right w:val="nil"/>
            </w:tcBorders>
            <w:shd w:val="clear" w:color="auto" w:fill="auto"/>
            <w:noWrap/>
            <w:vAlign w:val="center"/>
            <w:hideMark/>
          </w:tcPr>
          <w:p w14:paraId="37806CA1" w14:textId="77777777" w:rsidR="003A4981" w:rsidRPr="00C33339" w:rsidRDefault="003A4981" w:rsidP="003877B7">
            <w:pPr>
              <w:pStyle w:val="Table"/>
            </w:pPr>
            <w:r w:rsidRPr="00C33339">
              <w:t>2.88</w:t>
            </w:r>
          </w:p>
        </w:tc>
        <w:tc>
          <w:tcPr>
            <w:tcW w:w="804" w:type="dxa"/>
            <w:tcBorders>
              <w:top w:val="single" w:sz="4" w:space="0" w:color="auto"/>
              <w:left w:val="nil"/>
              <w:bottom w:val="single" w:sz="4" w:space="0" w:color="auto"/>
              <w:right w:val="nil"/>
            </w:tcBorders>
            <w:shd w:val="clear" w:color="auto" w:fill="auto"/>
            <w:noWrap/>
            <w:vAlign w:val="center"/>
            <w:hideMark/>
          </w:tcPr>
          <w:p w14:paraId="54D4210C" w14:textId="77777777" w:rsidR="003A4981" w:rsidRPr="00C33339" w:rsidRDefault="003A4981" w:rsidP="003877B7">
            <w:pPr>
              <w:pStyle w:val="Table"/>
            </w:pPr>
            <w:r w:rsidRPr="00C33339">
              <w:t>2.66</w:t>
            </w:r>
          </w:p>
        </w:tc>
        <w:tc>
          <w:tcPr>
            <w:tcW w:w="992" w:type="dxa"/>
            <w:tcBorders>
              <w:top w:val="single" w:sz="4" w:space="0" w:color="auto"/>
              <w:left w:val="nil"/>
              <w:bottom w:val="single" w:sz="4" w:space="0" w:color="auto"/>
              <w:right w:val="nil"/>
            </w:tcBorders>
            <w:shd w:val="clear" w:color="auto" w:fill="auto"/>
            <w:noWrap/>
            <w:vAlign w:val="center"/>
            <w:hideMark/>
          </w:tcPr>
          <w:p w14:paraId="6904AAEA" w14:textId="77777777" w:rsidR="003A4981" w:rsidRPr="00C33339" w:rsidRDefault="003A4981" w:rsidP="003877B7">
            <w:pPr>
              <w:pStyle w:val="Table"/>
            </w:pPr>
            <w:r w:rsidRPr="00C33339">
              <w:t>0.008</w:t>
            </w:r>
          </w:p>
        </w:tc>
        <w:tc>
          <w:tcPr>
            <w:tcW w:w="283" w:type="dxa"/>
            <w:tcBorders>
              <w:left w:val="nil"/>
              <w:right w:val="nil"/>
            </w:tcBorders>
            <w:shd w:val="clear" w:color="auto" w:fill="auto"/>
            <w:noWrap/>
            <w:vAlign w:val="center"/>
            <w:hideMark/>
          </w:tcPr>
          <w:p w14:paraId="731DBFE0" w14:textId="77777777" w:rsidR="003A4981" w:rsidRPr="00C33339" w:rsidRDefault="003A4981"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5756F1A7" w14:textId="77777777" w:rsidR="003A4981" w:rsidRPr="00C33339" w:rsidRDefault="003A4981" w:rsidP="003877B7">
            <w:pPr>
              <w:pStyle w:val="Table"/>
            </w:pPr>
            <w:r w:rsidRPr="00C33339">
              <w:t>0.73</w:t>
            </w:r>
          </w:p>
        </w:tc>
        <w:tc>
          <w:tcPr>
            <w:tcW w:w="886" w:type="dxa"/>
            <w:tcBorders>
              <w:top w:val="single" w:sz="4" w:space="0" w:color="auto"/>
              <w:left w:val="nil"/>
              <w:bottom w:val="single" w:sz="4" w:space="0" w:color="auto"/>
              <w:right w:val="nil"/>
            </w:tcBorders>
            <w:shd w:val="clear" w:color="auto" w:fill="auto"/>
            <w:noWrap/>
            <w:vAlign w:val="center"/>
            <w:hideMark/>
          </w:tcPr>
          <w:p w14:paraId="3D81887B" w14:textId="77777777" w:rsidR="003A4981" w:rsidRPr="00C33339" w:rsidRDefault="003A4981" w:rsidP="003877B7">
            <w:pPr>
              <w:pStyle w:val="Table"/>
            </w:pPr>
            <w:r w:rsidRPr="00C33339">
              <w:t>0.65</w:t>
            </w:r>
          </w:p>
        </w:tc>
        <w:tc>
          <w:tcPr>
            <w:tcW w:w="886" w:type="dxa"/>
            <w:tcBorders>
              <w:top w:val="single" w:sz="4" w:space="0" w:color="auto"/>
              <w:left w:val="nil"/>
              <w:bottom w:val="single" w:sz="4" w:space="0" w:color="auto"/>
              <w:right w:val="nil"/>
            </w:tcBorders>
            <w:shd w:val="clear" w:color="auto" w:fill="auto"/>
            <w:noWrap/>
            <w:vAlign w:val="center"/>
            <w:hideMark/>
          </w:tcPr>
          <w:p w14:paraId="2D5DB758" w14:textId="77777777" w:rsidR="003A4981" w:rsidRPr="00C33339" w:rsidRDefault="003A4981" w:rsidP="003877B7">
            <w:pPr>
              <w:pStyle w:val="Table"/>
            </w:pPr>
            <w:r w:rsidRPr="00C33339">
              <w:t>-0.18</w:t>
            </w:r>
          </w:p>
        </w:tc>
        <w:tc>
          <w:tcPr>
            <w:tcW w:w="886" w:type="dxa"/>
            <w:tcBorders>
              <w:top w:val="single" w:sz="4" w:space="0" w:color="auto"/>
              <w:left w:val="nil"/>
              <w:bottom w:val="single" w:sz="4" w:space="0" w:color="auto"/>
              <w:right w:val="nil"/>
            </w:tcBorders>
            <w:shd w:val="clear" w:color="auto" w:fill="auto"/>
            <w:noWrap/>
            <w:vAlign w:val="center"/>
            <w:hideMark/>
          </w:tcPr>
          <w:p w14:paraId="7F4F6A94" w14:textId="77777777" w:rsidR="003A4981" w:rsidRPr="00C33339" w:rsidRDefault="003A4981" w:rsidP="003877B7">
            <w:pPr>
              <w:pStyle w:val="Table"/>
            </w:pPr>
            <w:r w:rsidRPr="00C33339">
              <w:t>2.44</w:t>
            </w:r>
          </w:p>
        </w:tc>
      </w:tr>
      <w:tr w:rsidR="007A123D" w:rsidRPr="00C33339" w14:paraId="3AC42606"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5D7CE0AB" w14:textId="77777777" w:rsidR="003A4981" w:rsidRPr="00C33339" w:rsidRDefault="003A4981" w:rsidP="003877B7">
            <w:pPr>
              <w:pStyle w:val="Table"/>
            </w:pPr>
            <w:r w:rsidRPr="00C33339">
              <w:t>SBNT</w:t>
            </w:r>
          </w:p>
        </w:tc>
        <w:tc>
          <w:tcPr>
            <w:tcW w:w="853" w:type="dxa"/>
            <w:tcBorders>
              <w:top w:val="single" w:sz="4" w:space="0" w:color="auto"/>
              <w:left w:val="nil"/>
              <w:bottom w:val="single" w:sz="4" w:space="0" w:color="auto"/>
              <w:right w:val="nil"/>
            </w:tcBorders>
            <w:shd w:val="clear" w:color="auto" w:fill="auto"/>
            <w:noWrap/>
            <w:vAlign w:val="center"/>
            <w:hideMark/>
          </w:tcPr>
          <w:p w14:paraId="1AC3E4AD" w14:textId="77777777" w:rsidR="003A4981" w:rsidRPr="00C33339" w:rsidRDefault="003A4981" w:rsidP="003877B7">
            <w:pPr>
              <w:pStyle w:val="Table"/>
            </w:pPr>
            <w:r w:rsidRPr="00C33339">
              <w:t>sbnt-f</w:t>
            </w:r>
          </w:p>
        </w:tc>
        <w:tc>
          <w:tcPr>
            <w:tcW w:w="806" w:type="dxa"/>
            <w:tcBorders>
              <w:top w:val="single" w:sz="4" w:space="0" w:color="auto"/>
              <w:left w:val="nil"/>
              <w:bottom w:val="single" w:sz="4" w:space="0" w:color="auto"/>
              <w:right w:val="nil"/>
            </w:tcBorders>
            <w:shd w:val="clear" w:color="auto" w:fill="auto"/>
            <w:noWrap/>
            <w:vAlign w:val="center"/>
            <w:hideMark/>
          </w:tcPr>
          <w:p w14:paraId="6828918B" w14:textId="77777777" w:rsidR="003A4981" w:rsidRPr="00C33339" w:rsidRDefault="003A4981" w:rsidP="003877B7">
            <w:pPr>
              <w:pStyle w:val="Table"/>
            </w:pPr>
            <w:r w:rsidRPr="00C33339">
              <w:t>0.97</w:t>
            </w:r>
          </w:p>
        </w:tc>
        <w:tc>
          <w:tcPr>
            <w:tcW w:w="807" w:type="dxa"/>
            <w:tcBorders>
              <w:top w:val="single" w:sz="4" w:space="0" w:color="auto"/>
              <w:left w:val="nil"/>
              <w:bottom w:val="single" w:sz="4" w:space="0" w:color="auto"/>
              <w:right w:val="nil"/>
            </w:tcBorders>
            <w:shd w:val="clear" w:color="auto" w:fill="auto"/>
            <w:noWrap/>
            <w:vAlign w:val="center"/>
            <w:hideMark/>
          </w:tcPr>
          <w:p w14:paraId="77647362" w14:textId="77777777" w:rsidR="003A4981" w:rsidRPr="00C33339" w:rsidRDefault="003A4981" w:rsidP="003877B7">
            <w:pPr>
              <w:pStyle w:val="Table"/>
            </w:pPr>
            <w:r w:rsidRPr="00C33339">
              <w:t>0.04</w:t>
            </w:r>
          </w:p>
        </w:tc>
        <w:tc>
          <w:tcPr>
            <w:tcW w:w="807" w:type="dxa"/>
            <w:tcBorders>
              <w:top w:val="single" w:sz="4" w:space="0" w:color="auto"/>
              <w:left w:val="nil"/>
              <w:bottom w:val="single" w:sz="4" w:space="0" w:color="auto"/>
              <w:right w:val="nil"/>
            </w:tcBorders>
            <w:shd w:val="clear" w:color="auto" w:fill="auto"/>
            <w:noWrap/>
            <w:vAlign w:val="center"/>
            <w:hideMark/>
          </w:tcPr>
          <w:p w14:paraId="63AB7A66" w14:textId="77777777" w:rsidR="003A4981" w:rsidRPr="00C33339" w:rsidRDefault="003A4981" w:rsidP="003877B7">
            <w:pPr>
              <w:pStyle w:val="Table"/>
            </w:pPr>
            <w:r w:rsidRPr="00C33339">
              <w:t>23.46</w:t>
            </w:r>
          </w:p>
        </w:tc>
        <w:tc>
          <w:tcPr>
            <w:tcW w:w="992" w:type="dxa"/>
            <w:tcBorders>
              <w:top w:val="single" w:sz="4" w:space="0" w:color="auto"/>
              <w:left w:val="nil"/>
              <w:bottom w:val="single" w:sz="4" w:space="0" w:color="auto"/>
              <w:right w:val="nil"/>
            </w:tcBorders>
            <w:shd w:val="clear" w:color="auto" w:fill="auto"/>
            <w:noWrap/>
            <w:vAlign w:val="center"/>
            <w:hideMark/>
          </w:tcPr>
          <w:p w14:paraId="44838860" w14:textId="77777777" w:rsidR="003A4981" w:rsidRPr="00C33339" w:rsidRDefault="003A4981" w:rsidP="003877B7">
            <w:pPr>
              <w:pStyle w:val="Table"/>
            </w:pPr>
            <w:r w:rsidRPr="00C33339">
              <w:t>&lt;0.001</w:t>
            </w:r>
          </w:p>
        </w:tc>
        <w:tc>
          <w:tcPr>
            <w:tcW w:w="284" w:type="dxa"/>
            <w:tcBorders>
              <w:left w:val="nil"/>
              <w:right w:val="nil"/>
            </w:tcBorders>
            <w:shd w:val="clear" w:color="auto" w:fill="auto"/>
            <w:noWrap/>
            <w:vAlign w:val="center"/>
            <w:hideMark/>
          </w:tcPr>
          <w:p w14:paraId="0513A53E" w14:textId="77777777" w:rsidR="003A4981" w:rsidRPr="00C33339" w:rsidRDefault="003A4981"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5DB6F13F" w14:textId="77777777" w:rsidR="003A4981" w:rsidRPr="00C33339" w:rsidRDefault="003A4981" w:rsidP="003877B7">
            <w:pPr>
              <w:pStyle w:val="Table"/>
            </w:pPr>
            <w:r w:rsidRPr="00C33339">
              <w:t>sbnt-f</w:t>
            </w:r>
          </w:p>
        </w:tc>
        <w:tc>
          <w:tcPr>
            <w:tcW w:w="851" w:type="dxa"/>
            <w:tcBorders>
              <w:top w:val="single" w:sz="4" w:space="0" w:color="auto"/>
              <w:left w:val="nil"/>
              <w:bottom w:val="single" w:sz="4" w:space="0" w:color="auto"/>
              <w:right w:val="nil"/>
            </w:tcBorders>
            <w:shd w:val="clear" w:color="auto" w:fill="auto"/>
            <w:noWrap/>
            <w:vAlign w:val="center"/>
          </w:tcPr>
          <w:p w14:paraId="4E51E0CB" w14:textId="77777777" w:rsidR="003A4981" w:rsidRPr="00C33339" w:rsidRDefault="003A4981" w:rsidP="003877B7">
            <w:pPr>
              <w:pStyle w:val="Table"/>
            </w:pPr>
            <w:r w:rsidRPr="00C33339">
              <w:t>PDA</w:t>
            </w:r>
          </w:p>
        </w:tc>
        <w:tc>
          <w:tcPr>
            <w:tcW w:w="803" w:type="dxa"/>
            <w:tcBorders>
              <w:top w:val="single" w:sz="4" w:space="0" w:color="auto"/>
              <w:left w:val="nil"/>
              <w:bottom w:val="single" w:sz="4" w:space="0" w:color="auto"/>
              <w:right w:val="nil"/>
            </w:tcBorders>
            <w:shd w:val="clear" w:color="auto" w:fill="auto"/>
            <w:noWrap/>
            <w:vAlign w:val="center"/>
            <w:hideMark/>
          </w:tcPr>
          <w:p w14:paraId="36299C98" w14:textId="77777777" w:rsidR="003A4981" w:rsidRPr="00C33339" w:rsidRDefault="003A4981" w:rsidP="003877B7">
            <w:pPr>
              <w:pStyle w:val="Table"/>
            </w:pPr>
            <w:r w:rsidRPr="00C33339">
              <w:t>3.41</w:t>
            </w:r>
          </w:p>
        </w:tc>
        <w:tc>
          <w:tcPr>
            <w:tcW w:w="803" w:type="dxa"/>
            <w:tcBorders>
              <w:top w:val="single" w:sz="4" w:space="0" w:color="auto"/>
              <w:left w:val="nil"/>
              <w:bottom w:val="single" w:sz="4" w:space="0" w:color="auto"/>
              <w:right w:val="nil"/>
            </w:tcBorders>
            <w:shd w:val="clear" w:color="auto" w:fill="auto"/>
            <w:noWrap/>
            <w:vAlign w:val="center"/>
            <w:hideMark/>
          </w:tcPr>
          <w:p w14:paraId="75694CAE" w14:textId="77777777" w:rsidR="003A4981" w:rsidRPr="00C33339" w:rsidRDefault="003A4981" w:rsidP="003877B7">
            <w:pPr>
              <w:pStyle w:val="Table"/>
            </w:pPr>
            <w:r w:rsidRPr="00C33339">
              <w:t>4.66</w:t>
            </w:r>
          </w:p>
        </w:tc>
        <w:tc>
          <w:tcPr>
            <w:tcW w:w="804" w:type="dxa"/>
            <w:tcBorders>
              <w:top w:val="single" w:sz="4" w:space="0" w:color="auto"/>
              <w:left w:val="nil"/>
              <w:bottom w:val="single" w:sz="4" w:space="0" w:color="auto"/>
              <w:right w:val="nil"/>
            </w:tcBorders>
            <w:shd w:val="clear" w:color="auto" w:fill="auto"/>
            <w:noWrap/>
            <w:vAlign w:val="center"/>
            <w:hideMark/>
          </w:tcPr>
          <w:p w14:paraId="63AFAAC4" w14:textId="77777777" w:rsidR="003A4981" w:rsidRPr="00C33339" w:rsidRDefault="003A4981" w:rsidP="003877B7">
            <w:pPr>
              <w:pStyle w:val="Table"/>
            </w:pPr>
            <w:r w:rsidRPr="00C33339">
              <w:t>0.73</w:t>
            </w:r>
          </w:p>
        </w:tc>
        <w:tc>
          <w:tcPr>
            <w:tcW w:w="992" w:type="dxa"/>
            <w:tcBorders>
              <w:top w:val="single" w:sz="4" w:space="0" w:color="auto"/>
              <w:left w:val="nil"/>
              <w:bottom w:val="single" w:sz="4" w:space="0" w:color="auto"/>
              <w:right w:val="nil"/>
            </w:tcBorders>
            <w:shd w:val="clear" w:color="auto" w:fill="auto"/>
            <w:noWrap/>
            <w:vAlign w:val="center"/>
            <w:hideMark/>
          </w:tcPr>
          <w:p w14:paraId="65370F45" w14:textId="77777777" w:rsidR="003A4981" w:rsidRPr="00C33339" w:rsidRDefault="003A4981" w:rsidP="003877B7">
            <w:pPr>
              <w:pStyle w:val="Table"/>
            </w:pPr>
            <w:r w:rsidRPr="00C33339">
              <w:t>0.47</w:t>
            </w:r>
          </w:p>
        </w:tc>
        <w:tc>
          <w:tcPr>
            <w:tcW w:w="283" w:type="dxa"/>
            <w:tcBorders>
              <w:left w:val="nil"/>
              <w:right w:val="nil"/>
            </w:tcBorders>
            <w:shd w:val="clear" w:color="auto" w:fill="auto"/>
            <w:noWrap/>
            <w:vAlign w:val="center"/>
            <w:hideMark/>
          </w:tcPr>
          <w:p w14:paraId="0C51C3C1" w14:textId="77777777" w:rsidR="003A4981" w:rsidRPr="00C33339" w:rsidRDefault="003A4981"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37CF75FE" w14:textId="77777777" w:rsidR="003A4981" w:rsidRPr="00C33339" w:rsidRDefault="003A4981" w:rsidP="003877B7">
            <w:pPr>
              <w:pStyle w:val="Table"/>
            </w:pPr>
            <w:r w:rsidRPr="00C33339">
              <w:t>3.32</w:t>
            </w:r>
          </w:p>
        </w:tc>
        <w:tc>
          <w:tcPr>
            <w:tcW w:w="886" w:type="dxa"/>
            <w:tcBorders>
              <w:top w:val="single" w:sz="4" w:space="0" w:color="auto"/>
              <w:left w:val="nil"/>
              <w:bottom w:val="single" w:sz="4" w:space="0" w:color="auto"/>
              <w:right w:val="nil"/>
            </w:tcBorders>
            <w:shd w:val="clear" w:color="auto" w:fill="auto"/>
            <w:noWrap/>
            <w:vAlign w:val="center"/>
            <w:hideMark/>
          </w:tcPr>
          <w:p w14:paraId="2CEE5190" w14:textId="77777777" w:rsidR="003A4981" w:rsidRPr="00C33339" w:rsidRDefault="003A4981" w:rsidP="003877B7">
            <w:pPr>
              <w:pStyle w:val="Table"/>
            </w:pPr>
            <w:r w:rsidRPr="00C33339">
              <w:t>4.52</w:t>
            </w:r>
          </w:p>
        </w:tc>
        <w:tc>
          <w:tcPr>
            <w:tcW w:w="886" w:type="dxa"/>
            <w:tcBorders>
              <w:top w:val="single" w:sz="4" w:space="0" w:color="auto"/>
              <w:left w:val="nil"/>
              <w:bottom w:val="single" w:sz="4" w:space="0" w:color="auto"/>
              <w:right w:val="nil"/>
            </w:tcBorders>
            <w:shd w:val="clear" w:color="auto" w:fill="auto"/>
            <w:noWrap/>
            <w:vAlign w:val="center"/>
            <w:hideMark/>
          </w:tcPr>
          <w:p w14:paraId="4DBBD54E" w14:textId="77777777" w:rsidR="003A4981" w:rsidRPr="00C33339" w:rsidRDefault="003A4981" w:rsidP="003877B7">
            <w:pPr>
              <w:pStyle w:val="Table"/>
            </w:pPr>
            <w:r w:rsidRPr="00C33339">
              <w:t>-5.41</w:t>
            </w:r>
          </w:p>
        </w:tc>
        <w:tc>
          <w:tcPr>
            <w:tcW w:w="886" w:type="dxa"/>
            <w:tcBorders>
              <w:top w:val="single" w:sz="4" w:space="0" w:color="auto"/>
              <w:left w:val="nil"/>
              <w:bottom w:val="single" w:sz="4" w:space="0" w:color="auto"/>
              <w:right w:val="nil"/>
            </w:tcBorders>
            <w:shd w:val="clear" w:color="auto" w:fill="auto"/>
            <w:noWrap/>
            <w:vAlign w:val="center"/>
            <w:hideMark/>
          </w:tcPr>
          <w:p w14:paraId="39F302EE" w14:textId="77777777" w:rsidR="003A4981" w:rsidRPr="00C33339" w:rsidRDefault="003A4981" w:rsidP="003877B7">
            <w:pPr>
              <w:pStyle w:val="Table"/>
            </w:pPr>
            <w:r w:rsidRPr="00C33339">
              <w:t>12.13</w:t>
            </w:r>
          </w:p>
        </w:tc>
      </w:tr>
      <w:tr w:rsidR="007A123D" w:rsidRPr="00C33339" w14:paraId="022928A6"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11F38B8D" w14:textId="77777777" w:rsidR="003A4981" w:rsidRPr="00C33339" w:rsidRDefault="003A4981" w:rsidP="003877B7">
            <w:pPr>
              <w:pStyle w:val="Table"/>
            </w:pPr>
            <w:r w:rsidRPr="00C33339">
              <w:t>SBNT</w:t>
            </w:r>
          </w:p>
        </w:tc>
        <w:tc>
          <w:tcPr>
            <w:tcW w:w="853" w:type="dxa"/>
            <w:tcBorders>
              <w:top w:val="single" w:sz="4" w:space="0" w:color="auto"/>
              <w:left w:val="nil"/>
              <w:bottom w:val="single" w:sz="4" w:space="0" w:color="auto"/>
              <w:right w:val="nil"/>
            </w:tcBorders>
            <w:shd w:val="clear" w:color="auto" w:fill="auto"/>
            <w:noWrap/>
            <w:vAlign w:val="center"/>
            <w:hideMark/>
          </w:tcPr>
          <w:p w14:paraId="473D4BC2" w14:textId="77777777" w:rsidR="003A4981" w:rsidRPr="00C33339" w:rsidRDefault="003A4981" w:rsidP="003877B7">
            <w:pPr>
              <w:pStyle w:val="Table"/>
            </w:pPr>
            <w:r w:rsidRPr="00C33339">
              <w:t>sbnt-q</w:t>
            </w:r>
          </w:p>
        </w:tc>
        <w:tc>
          <w:tcPr>
            <w:tcW w:w="806" w:type="dxa"/>
            <w:tcBorders>
              <w:top w:val="single" w:sz="4" w:space="0" w:color="auto"/>
              <w:left w:val="nil"/>
              <w:bottom w:val="single" w:sz="4" w:space="0" w:color="auto"/>
              <w:right w:val="nil"/>
            </w:tcBorders>
            <w:shd w:val="clear" w:color="auto" w:fill="auto"/>
            <w:noWrap/>
            <w:vAlign w:val="center"/>
            <w:hideMark/>
          </w:tcPr>
          <w:p w14:paraId="15901969" w14:textId="77777777" w:rsidR="003A4981" w:rsidRPr="00C33339" w:rsidRDefault="003A4981" w:rsidP="003877B7">
            <w:pPr>
              <w:pStyle w:val="Table"/>
            </w:pPr>
            <w:r w:rsidRPr="00C33339">
              <w:t>0.38</w:t>
            </w:r>
          </w:p>
        </w:tc>
        <w:tc>
          <w:tcPr>
            <w:tcW w:w="807" w:type="dxa"/>
            <w:tcBorders>
              <w:top w:val="single" w:sz="4" w:space="0" w:color="auto"/>
              <w:left w:val="nil"/>
              <w:bottom w:val="single" w:sz="4" w:space="0" w:color="auto"/>
              <w:right w:val="nil"/>
            </w:tcBorders>
            <w:shd w:val="clear" w:color="auto" w:fill="auto"/>
            <w:noWrap/>
            <w:vAlign w:val="center"/>
            <w:hideMark/>
          </w:tcPr>
          <w:p w14:paraId="542B9301" w14:textId="77777777" w:rsidR="003A4981" w:rsidRPr="00C33339" w:rsidRDefault="003A4981" w:rsidP="003877B7">
            <w:pPr>
              <w:pStyle w:val="Table"/>
            </w:pPr>
            <w:r w:rsidRPr="00C33339">
              <w:t>0.08</w:t>
            </w:r>
          </w:p>
        </w:tc>
        <w:tc>
          <w:tcPr>
            <w:tcW w:w="807" w:type="dxa"/>
            <w:tcBorders>
              <w:top w:val="single" w:sz="4" w:space="0" w:color="auto"/>
              <w:left w:val="nil"/>
              <w:bottom w:val="single" w:sz="4" w:space="0" w:color="auto"/>
              <w:right w:val="nil"/>
            </w:tcBorders>
            <w:shd w:val="clear" w:color="auto" w:fill="auto"/>
            <w:noWrap/>
            <w:vAlign w:val="center"/>
            <w:hideMark/>
          </w:tcPr>
          <w:p w14:paraId="26B3809B" w14:textId="77777777" w:rsidR="003A4981" w:rsidRPr="00C33339" w:rsidRDefault="003A4981" w:rsidP="003877B7">
            <w:pPr>
              <w:pStyle w:val="Table"/>
            </w:pPr>
            <w:r w:rsidRPr="00C33339">
              <w:t>4.79</w:t>
            </w:r>
          </w:p>
        </w:tc>
        <w:tc>
          <w:tcPr>
            <w:tcW w:w="992" w:type="dxa"/>
            <w:tcBorders>
              <w:top w:val="single" w:sz="4" w:space="0" w:color="auto"/>
              <w:left w:val="nil"/>
              <w:bottom w:val="single" w:sz="4" w:space="0" w:color="auto"/>
              <w:right w:val="nil"/>
            </w:tcBorders>
            <w:shd w:val="clear" w:color="auto" w:fill="auto"/>
            <w:noWrap/>
            <w:vAlign w:val="center"/>
            <w:hideMark/>
          </w:tcPr>
          <w:p w14:paraId="4F597BB8" w14:textId="77777777" w:rsidR="003A4981" w:rsidRPr="00C33339" w:rsidRDefault="003A4981" w:rsidP="003877B7">
            <w:pPr>
              <w:pStyle w:val="Table"/>
            </w:pPr>
            <w:r w:rsidRPr="00C33339">
              <w:t>&lt;0.001</w:t>
            </w:r>
          </w:p>
        </w:tc>
        <w:tc>
          <w:tcPr>
            <w:tcW w:w="284" w:type="dxa"/>
            <w:tcBorders>
              <w:left w:val="nil"/>
              <w:right w:val="nil"/>
            </w:tcBorders>
            <w:shd w:val="clear" w:color="auto" w:fill="auto"/>
            <w:noWrap/>
            <w:vAlign w:val="center"/>
            <w:hideMark/>
          </w:tcPr>
          <w:p w14:paraId="36EC31A3" w14:textId="77777777" w:rsidR="003A4981" w:rsidRPr="00C33339" w:rsidRDefault="003A4981"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1E39145B" w14:textId="77777777" w:rsidR="003A4981" w:rsidRPr="00C33339" w:rsidRDefault="003A4981" w:rsidP="003877B7">
            <w:pPr>
              <w:pStyle w:val="Table"/>
            </w:pPr>
            <w:r w:rsidRPr="00C33339">
              <w:t>sbnt-q</w:t>
            </w:r>
          </w:p>
        </w:tc>
        <w:tc>
          <w:tcPr>
            <w:tcW w:w="851" w:type="dxa"/>
            <w:tcBorders>
              <w:top w:val="single" w:sz="4" w:space="0" w:color="auto"/>
              <w:left w:val="nil"/>
              <w:bottom w:val="single" w:sz="4" w:space="0" w:color="auto"/>
              <w:right w:val="nil"/>
            </w:tcBorders>
            <w:shd w:val="clear" w:color="auto" w:fill="auto"/>
            <w:noWrap/>
            <w:vAlign w:val="center"/>
          </w:tcPr>
          <w:p w14:paraId="0ECEAE3E" w14:textId="77777777" w:rsidR="003A4981" w:rsidRPr="00C33339" w:rsidRDefault="003A4981" w:rsidP="003877B7">
            <w:pPr>
              <w:pStyle w:val="Table"/>
            </w:pPr>
            <w:r w:rsidRPr="00C33339">
              <w:t>PDA</w:t>
            </w:r>
          </w:p>
        </w:tc>
        <w:tc>
          <w:tcPr>
            <w:tcW w:w="803" w:type="dxa"/>
            <w:tcBorders>
              <w:top w:val="single" w:sz="4" w:space="0" w:color="auto"/>
              <w:left w:val="nil"/>
              <w:bottom w:val="single" w:sz="4" w:space="0" w:color="auto"/>
              <w:right w:val="nil"/>
            </w:tcBorders>
            <w:shd w:val="clear" w:color="auto" w:fill="auto"/>
            <w:noWrap/>
            <w:vAlign w:val="center"/>
            <w:hideMark/>
          </w:tcPr>
          <w:p w14:paraId="29FF496E" w14:textId="77777777" w:rsidR="003A4981" w:rsidRPr="00C33339" w:rsidRDefault="003A4981" w:rsidP="003877B7">
            <w:pPr>
              <w:pStyle w:val="Table"/>
            </w:pPr>
            <w:r w:rsidRPr="00C33339">
              <w:t>4.17</w:t>
            </w:r>
          </w:p>
        </w:tc>
        <w:tc>
          <w:tcPr>
            <w:tcW w:w="803" w:type="dxa"/>
            <w:tcBorders>
              <w:top w:val="single" w:sz="4" w:space="0" w:color="auto"/>
              <w:left w:val="nil"/>
              <w:bottom w:val="single" w:sz="4" w:space="0" w:color="auto"/>
              <w:right w:val="nil"/>
            </w:tcBorders>
            <w:shd w:val="clear" w:color="auto" w:fill="auto"/>
            <w:noWrap/>
            <w:vAlign w:val="center"/>
            <w:hideMark/>
          </w:tcPr>
          <w:p w14:paraId="41B0D0AF" w14:textId="77777777" w:rsidR="003A4981" w:rsidRPr="00C33339" w:rsidRDefault="003A4981" w:rsidP="003877B7">
            <w:pPr>
              <w:pStyle w:val="Table"/>
            </w:pPr>
            <w:r w:rsidRPr="00C33339">
              <w:t>2.50</w:t>
            </w:r>
          </w:p>
        </w:tc>
        <w:tc>
          <w:tcPr>
            <w:tcW w:w="804" w:type="dxa"/>
            <w:tcBorders>
              <w:top w:val="single" w:sz="4" w:space="0" w:color="auto"/>
              <w:left w:val="nil"/>
              <w:bottom w:val="single" w:sz="4" w:space="0" w:color="auto"/>
              <w:right w:val="nil"/>
            </w:tcBorders>
            <w:shd w:val="clear" w:color="auto" w:fill="auto"/>
            <w:noWrap/>
            <w:vAlign w:val="center"/>
            <w:hideMark/>
          </w:tcPr>
          <w:p w14:paraId="3742AD9B" w14:textId="77777777" w:rsidR="003A4981" w:rsidRPr="00C33339" w:rsidRDefault="003A4981" w:rsidP="003877B7">
            <w:pPr>
              <w:pStyle w:val="Table"/>
            </w:pPr>
            <w:r w:rsidRPr="00C33339">
              <w:t>1.67</w:t>
            </w:r>
          </w:p>
        </w:tc>
        <w:tc>
          <w:tcPr>
            <w:tcW w:w="992" w:type="dxa"/>
            <w:tcBorders>
              <w:top w:val="single" w:sz="4" w:space="0" w:color="auto"/>
              <w:left w:val="nil"/>
              <w:bottom w:val="single" w:sz="4" w:space="0" w:color="auto"/>
              <w:right w:val="nil"/>
            </w:tcBorders>
            <w:shd w:val="clear" w:color="auto" w:fill="auto"/>
            <w:noWrap/>
            <w:vAlign w:val="center"/>
            <w:hideMark/>
          </w:tcPr>
          <w:p w14:paraId="140AD998" w14:textId="77777777" w:rsidR="003A4981" w:rsidRPr="00C33339" w:rsidRDefault="003A4981" w:rsidP="003877B7">
            <w:pPr>
              <w:pStyle w:val="Table"/>
            </w:pPr>
            <w:r w:rsidRPr="00C33339">
              <w:t>0.</w:t>
            </w:r>
            <w:r w:rsidR="008E524E" w:rsidRPr="00C33339">
              <w:t>10</w:t>
            </w:r>
          </w:p>
        </w:tc>
        <w:tc>
          <w:tcPr>
            <w:tcW w:w="283" w:type="dxa"/>
            <w:tcBorders>
              <w:left w:val="nil"/>
              <w:right w:val="nil"/>
            </w:tcBorders>
            <w:shd w:val="clear" w:color="auto" w:fill="auto"/>
            <w:noWrap/>
            <w:vAlign w:val="center"/>
            <w:hideMark/>
          </w:tcPr>
          <w:p w14:paraId="7F4A5E3A" w14:textId="77777777" w:rsidR="003A4981" w:rsidRPr="00C33339" w:rsidRDefault="003A4981"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630DD83F" w14:textId="77777777" w:rsidR="003A4981" w:rsidRPr="00C33339" w:rsidRDefault="003A4981" w:rsidP="003877B7">
            <w:pPr>
              <w:pStyle w:val="Table"/>
            </w:pPr>
            <w:r w:rsidRPr="00C33339">
              <w:t>1.58</w:t>
            </w:r>
          </w:p>
        </w:tc>
        <w:tc>
          <w:tcPr>
            <w:tcW w:w="886" w:type="dxa"/>
            <w:tcBorders>
              <w:top w:val="single" w:sz="4" w:space="0" w:color="auto"/>
              <w:left w:val="nil"/>
              <w:bottom w:val="single" w:sz="4" w:space="0" w:color="auto"/>
              <w:right w:val="nil"/>
            </w:tcBorders>
            <w:shd w:val="clear" w:color="auto" w:fill="auto"/>
            <w:noWrap/>
            <w:vAlign w:val="center"/>
            <w:hideMark/>
          </w:tcPr>
          <w:p w14:paraId="252DC86C" w14:textId="77777777" w:rsidR="003A4981" w:rsidRPr="00C33339" w:rsidRDefault="003A4981" w:rsidP="003877B7">
            <w:pPr>
              <w:pStyle w:val="Table"/>
            </w:pPr>
            <w:r w:rsidRPr="00C33339">
              <w:t>0.99</w:t>
            </w:r>
          </w:p>
        </w:tc>
        <w:tc>
          <w:tcPr>
            <w:tcW w:w="886" w:type="dxa"/>
            <w:tcBorders>
              <w:top w:val="single" w:sz="4" w:space="0" w:color="auto"/>
              <w:left w:val="nil"/>
              <w:bottom w:val="single" w:sz="4" w:space="0" w:color="auto"/>
              <w:right w:val="nil"/>
            </w:tcBorders>
            <w:shd w:val="clear" w:color="auto" w:fill="auto"/>
            <w:noWrap/>
            <w:vAlign w:val="center"/>
            <w:hideMark/>
          </w:tcPr>
          <w:p w14:paraId="686EA169" w14:textId="77777777" w:rsidR="003A4981" w:rsidRPr="00C33339" w:rsidRDefault="003A4981" w:rsidP="003877B7">
            <w:pPr>
              <w:pStyle w:val="Table"/>
            </w:pPr>
            <w:r w:rsidRPr="00C33339">
              <w:t>-0.07</w:t>
            </w:r>
          </w:p>
        </w:tc>
        <w:tc>
          <w:tcPr>
            <w:tcW w:w="886" w:type="dxa"/>
            <w:tcBorders>
              <w:top w:val="single" w:sz="4" w:space="0" w:color="auto"/>
              <w:left w:val="nil"/>
              <w:bottom w:val="single" w:sz="4" w:space="0" w:color="auto"/>
              <w:right w:val="nil"/>
            </w:tcBorders>
            <w:shd w:val="clear" w:color="auto" w:fill="auto"/>
            <w:noWrap/>
            <w:vAlign w:val="center"/>
            <w:hideMark/>
          </w:tcPr>
          <w:p w14:paraId="7733329A" w14:textId="77777777" w:rsidR="003A4981" w:rsidRPr="00C33339" w:rsidRDefault="003A4981" w:rsidP="003877B7">
            <w:pPr>
              <w:pStyle w:val="Table"/>
            </w:pPr>
            <w:r w:rsidRPr="00C33339">
              <w:t>3.86</w:t>
            </w:r>
          </w:p>
        </w:tc>
      </w:tr>
      <w:tr w:rsidR="007A123D" w:rsidRPr="00C33339" w14:paraId="6E02670D"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00090E99" w14:textId="77777777" w:rsidR="003A4981" w:rsidRPr="00C33339" w:rsidRDefault="003A4981" w:rsidP="003877B7">
            <w:pPr>
              <w:pStyle w:val="Table"/>
            </w:pPr>
          </w:p>
        </w:tc>
        <w:tc>
          <w:tcPr>
            <w:tcW w:w="853" w:type="dxa"/>
            <w:tcBorders>
              <w:top w:val="single" w:sz="4" w:space="0" w:color="auto"/>
              <w:left w:val="nil"/>
              <w:bottom w:val="single" w:sz="4" w:space="0" w:color="auto"/>
              <w:right w:val="nil"/>
            </w:tcBorders>
            <w:shd w:val="clear" w:color="auto" w:fill="auto"/>
            <w:noWrap/>
            <w:vAlign w:val="center"/>
            <w:hideMark/>
          </w:tcPr>
          <w:p w14:paraId="7681B017" w14:textId="77777777" w:rsidR="003A4981" w:rsidRPr="00C33339" w:rsidRDefault="003A4981" w:rsidP="003877B7">
            <w:pPr>
              <w:pStyle w:val="Table"/>
            </w:pPr>
          </w:p>
        </w:tc>
        <w:tc>
          <w:tcPr>
            <w:tcW w:w="806" w:type="dxa"/>
            <w:tcBorders>
              <w:top w:val="single" w:sz="4" w:space="0" w:color="auto"/>
              <w:left w:val="nil"/>
              <w:bottom w:val="single" w:sz="4" w:space="0" w:color="auto"/>
              <w:right w:val="nil"/>
            </w:tcBorders>
            <w:shd w:val="clear" w:color="auto" w:fill="auto"/>
            <w:noWrap/>
            <w:vAlign w:val="center"/>
            <w:hideMark/>
          </w:tcPr>
          <w:p w14:paraId="684D4F25" w14:textId="77777777" w:rsidR="003A4981" w:rsidRPr="00C33339" w:rsidRDefault="003A4981" w:rsidP="003877B7">
            <w:pPr>
              <w:pStyle w:val="Table"/>
            </w:pPr>
          </w:p>
        </w:tc>
        <w:tc>
          <w:tcPr>
            <w:tcW w:w="807" w:type="dxa"/>
            <w:tcBorders>
              <w:top w:val="single" w:sz="4" w:space="0" w:color="auto"/>
              <w:left w:val="nil"/>
              <w:bottom w:val="single" w:sz="4" w:space="0" w:color="auto"/>
              <w:right w:val="nil"/>
            </w:tcBorders>
            <w:shd w:val="clear" w:color="auto" w:fill="auto"/>
            <w:noWrap/>
            <w:vAlign w:val="center"/>
            <w:hideMark/>
          </w:tcPr>
          <w:p w14:paraId="78E223D1" w14:textId="77777777" w:rsidR="003A4981" w:rsidRPr="00C33339" w:rsidRDefault="003A4981" w:rsidP="003877B7">
            <w:pPr>
              <w:pStyle w:val="Table"/>
            </w:pPr>
          </w:p>
        </w:tc>
        <w:tc>
          <w:tcPr>
            <w:tcW w:w="807" w:type="dxa"/>
            <w:tcBorders>
              <w:top w:val="single" w:sz="4" w:space="0" w:color="auto"/>
              <w:left w:val="nil"/>
              <w:bottom w:val="single" w:sz="4" w:space="0" w:color="auto"/>
              <w:right w:val="nil"/>
            </w:tcBorders>
            <w:shd w:val="clear" w:color="auto" w:fill="auto"/>
            <w:noWrap/>
            <w:vAlign w:val="center"/>
            <w:hideMark/>
          </w:tcPr>
          <w:p w14:paraId="1684FFEA" w14:textId="77777777" w:rsidR="003A4981" w:rsidRPr="00C33339" w:rsidRDefault="003A4981" w:rsidP="003877B7">
            <w:pPr>
              <w:pStyle w:val="Table"/>
            </w:pPr>
          </w:p>
        </w:tc>
        <w:tc>
          <w:tcPr>
            <w:tcW w:w="992" w:type="dxa"/>
            <w:tcBorders>
              <w:top w:val="single" w:sz="4" w:space="0" w:color="auto"/>
              <w:left w:val="nil"/>
              <w:bottom w:val="single" w:sz="4" w:space="0" w:color="auto"/>
              <w:right w:val="nil"/>
            </w:tcBorders>
            <w:shd w:val="clear" w:color="auto" w:fill="auto"/>
            <w:noWrap/>
            <w:vAlign w:val="center"/>
            <w:hideMark/>
          </w:tcPr>
          <w:p w14:paraId="075A7892" w14:textId="77777777" w:rsidR="003A4981" w:rsidRPr="00C33339" w:rsidRDefault="003A4981" w:rsidP="003877B7">
            <w:pPr>
              <w:pStyle w:val="Table"/>
            </w:pPr>
          </w:p>
        </w:tc>
        <w:tc>
          <w:tcPr>
            <w:tcW w:w="284" w:type="dxa"/>
            <w:tcBorders>
              <w:left w:val="nil"/>
              <w:right w:val="nil"/>
            </w:tcBorders>
            <w:shd w:val="clear" w:color="auto" w:fill="auto"/>
            <w:noWrap/>
            <w:vAlign w:val="center"/>
            <w:hideMark/>
          </w:tcPr>
          <w:p w14:paraId="34D0343C" w14:textId="77777777" w:rsidR="003A4981" w:rsidRPr="00C33339" w:rsidRDefault="003A4981"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3270A84E" w14:textId="77777777" w:rsidR="003A4981" w:rsidRPr="00C33339" w:rsidRDefault="003A4981" w:rsidP="003877B7">
            <w:pPr>
              <w:pStyle w:val="Table"/>
            </w:pPr>
          </w:p>
        </w:tc>
        <w:tc>
          <w:tcPr>
            <w:tcW w:w="851" w:type="dxa"/>
            <w:tcBorders>
              <w:top w:val="single" w:sz="4" w:space="0" w:color="auto"/>
              <w:left w:val="nil"/>
              <w:bottom w:val="single" w:sz="4" w:space="0" w:color="auto"/>
              <w:right w:val="nil"/>
            </w:tcBorders>
            <w:shd w:val="clear" w:color="auto" w:fill="auto"/>
            <w:noWrap/>
            <w:vAlign w:val="center"/>
            <w:hideMark/>
          </w:tcPr>
          <w:p w14:paraId="26F58F41" w14:textId="77777777" w:rsidR="003A4981" w:rsidRPr="00C33339" w:rsidRDefault="003A4981" w:rsidP="003877B7">
            <w:pPr>
              <w:pStyle w:val="Table"/>
            </w:pPr>
          </w:p>
        </w:tc>
        <w:tc>
          <w:tcPr>
            <w:tcW w:w="803" w:type="dxa"/>
            <w:tcBorders>
              <w:top w:val="single" w:sz="4" w:space="0" w:color="auto"/>
              <w:left w:val="nil"/>
              <w:bottom w:val="single" w:sz="4" w:space="0" w:color="auto"/>
              <w:right w:val="nil"/>
            </w:tcBorders>
            <w:shd w:val="clear" w:color="auto" w:fill="auto"/>
            <w:noWrap/>
            <w:vAlign w:val="center"/>
            <w:hideMark/>
          </w:tcPr>
          <w:p w14:paraId="35857F10" w14:textId="77777777" w:rsidR="003A4981" w:rsidRPr="00C33339" w:rsidRDefault="003A4981" w:rsidP="003877B7">
            <w:pPr>
              <w:pStyle w:val="Table"/>
            </w:pPr>
          </w:p>
        </w:tc>
        <w:tc>
          <w:tcPr>
            <w:tcW w:w="803" w:type="dxa"/>
            <w:tcBorders>
              <w:top w:val="single" w:sz="4" w:space="0" w:color="auto"/>
              <w:left w:val="nil"/>
              <w:bottom w:val="single" w:sz="4" w:space="0" w:color="auto"/>
              <w:right w:val="nil"/>
            </w:tcBorders>
            <w:shd w:val="clear" w:color="auto" w:fill="auto"/>
            <w:noWrap/>
            <w:vAlign w:val="center"/>
            <w:hideMark/>
          </w:tcPr>
          <w:p w14:paraId="5D686978" w14:textId="77777777" w:rsidR="003A4981" w:rsidRPr="00C33339" w:rsidRDefault="003A4981" w:rsidP="003877B7">
            <w:pPr>
              <w:pStyle w:val="Table"/>
            </w:pPr>
          </w:p>
        </w:tc>
        <w:tc>
          <w:tcPr>
            <w:tcW w:w="804" w:type="dxa"/>
            <w:tcBorders>
              <w:top w:val="single" w:sz="4" w:space="0" w:color="auto"/>
              <w:left w:val="nil"/>
              <w:bottom w:val="single" w:sz="4" w:space="0" w:color="auto"/>
              <w:right w:val="nil"/>
            </w:tcBorders>
            <w:shd w:val="clear" w:color="auto" w:fill="auto"/>
            <w:noWrap/>
            <w:vAlign w:val="center"/>
            <w:hideMark/>
          </w:tcPr>
          <w:p w14:paraId="09A30693" w14:textId="77777777" w:rsidR="003A4981" w:rsidRPr="00C33339" w:rsidRDefault="003A4981" w:rsidP="003877B7">
            <w:pPr>
              <w:pStyle w:val="Table"/>
            </w:pPr>
          </w:p>
        </w:tc>
        <w:tc>
          <w:tcPr>
            <w:tcW w:w="992" w:type="dxa"/>
            <w:tcBorders>
              <w:top w:val="single" w:sz="4" w:space="0" w:color="auto"/>
              <w:left w:val="nil"/>
              <w:bottom w:val="single" w:sz="4" w:space="0" w:color="auto"/>
              <w:right w:val="nil"/>
            </w:tcBorders>
            <w:shd w:val="clear" w:color="auto" w:fill="auto"/>
            <w:noWrap/>
            <w:vAlign w:val="center"/>
            <w:hideMark/>
          </w:tcPr>
          <w:p w14:paraId="4E3FF10B" w14:textId="77777777" w:rsidR="003A4981" w:rsidRPr="00C33339" w:rsidRDefault="003A4981" w:rsidP="003877B7">
            <w:pPr>
              <w:pStyle w:val="Table"/>
            </w:pPr>
          </w:p>
        </w:tc>
        <w:tc>
          <w:tcPr>
            <w:tcW w:w="283" w:type="dxa"/>
            <w:tcBorders>
              <w:left w:val="nil"/>
              <w:right w:val="nil"/>
            </w:tcBorders>
            <w:shd w:val="clear" w:color="auto" w:fill="auto"/>
            <w:noWrap/>
            <w:vAlign w:val="center"/>
            <w:hideMark/>
          </w:tcPr>
          <w:p w14:paraId="060F2351" w14:textId="77777777" w:rsidR="003A4981" w:rsidRPr="00C33339" w:rsidRDefault="003A4981"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0DCA989F" w14:textId="77777777" w:rsidR="003A4981" w:rsidRPr="00C33339" w:rsidRDefault="003A4981"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304DB619" w14:textId="77777777" w:rsidR="003A4981" w:rsidRPr="00C33339" w:rsidRDefault="003A4981"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304FA89C" w14:textId="77777777" w:rsidR="003A4981" w:rsidRPr="00C33339" w:rsidRDefault="003A4981"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7B04461B" w14:textId="77777777" w:rsidR="003A4981" w:rsidRPr="00C33339" w:rsidRDefault="003A4981" w:rsidP="003877B7">
            <w:pPr>
              <w:pStyle w:val="Table"/>
            </w:pPr>
          </w:p>
        </w:tc>
      </w:tr>
      <w:tr w:rsidR="007A123D" w:rsidRPr="00C33339" w14:paraId="0BFD0043"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6D3857A1" w14:textId="77777777" w:rsidR="00005397" w:rsidRPr="00C33339" w:rsidRDefault="00005397" w:rsidP="003877B7">
            <w:pPr>
              <w:pStyle w:val="Table"/>
            </w:pPr>
            <w:r w:rsidRPr="00C33339">
              <w:t>MET</w:t>
            </w:r>
          </w:p>
        </w:tc>
        <w:tc>
          <w:tcPr>
            <w:tcW w:w="853" w:type="dxa"/>
            <w:tcBorders>
              <w:top w:val="single" w:sz="4" w:space="0" w:color="auto"/>
              <w:left w:val="nil"/>
              <w:bottom w:val="single" w:sz="4" w:space="0" w:color="auto"/>
              <w:right w:val="nil"/>
            </w:tcBorders>
            <w:shd w:val="clear" w:color="auto" w:fill="auto"/>
            <w:noWrap/>
            <w:vAlign w:val="center"/>
            <w:hideMark/>
          </w:tcPr>
          <w:p w14:paraId="2586A9B6" w14:textId="77777777" w:rsidR="00005397" w:rsidRPr="00C33339" w:rsidRDefault="00005397" w:rsidP="003877B7">
            <w:pPr>
              <w:pStyle w:val="Table"/>
            </w:pPr>
            <w:r w:rsidRPr="00C33339">
              <w:t>met-f</w:t>
            </w:r>
          </w:p>
        </w:tc>
        <w:tc>
          <w:tcPr>
            <w:tcW w:w="806" w:type="dxa"/>
            <w:tcBorders>
              <w:top w:val="single" w:sz="4" w:space="0" w:color="auto"/>
              <w:left w:val="nil"/>
              <w:bottom w:val="single" w:sz="4" w:space="0" w:color="auto"/>
              <w:right w:val="nil"/>
            </w:tcBorders>
            <w:shd w:val="clear" w:color="auto" w:fill="auto"/>
            <w:noWrap/>
            <w:vAlign w:val="center"/>
            <w:hideMark/>
          </w:tcPr>
          <w:p w14:paraId="3A296616" w14:textId="77777777" w:rsidR="00005397" w:rsidRPr="00C33339" w:rsidRDefault="00005397" w:rsidP="003877B7">
            <w:pPr>
              <w:pStyle w:val="Table"/>
            </w:pPr>
            <w:r w:rsidRPr="00C33339">
              <w:t>0.83</w:t>
            </w:r>
          </w:p>
        </w:tc>
        <w:tc>
          <w:tcPr>
            <w:tcW w:w="807" w:type="dxa"/>
            <w:tcBorders>
              <w:top w:val="single" w:sz="4" w:space="0" w:color="auto"/>
              <w:left w:val="nil"/>
              <w:bottom w:val="single" w:sz="4" w:space="0" w:color="auto"/>
              <w:right w:val="nil"/>
            </w:tcBorders>
            <w:shd w:val="clear" w:color="auto" w:fill="auto"/>
            <w:noWrap/>
            <w:vAlign w:val="center"/>
            <w:hideMark/>
          </w:tcPr>
          <w:p w14:paraId="613E31F5" w14:textId="77777777" w:rsidR="00005397" w:rsidRPr="00C33339" w:rsidRDefault="00005397" w:rsidP="003877B7">
            <w:pPr>
              <w:pStyle w:val="Table"/>
            </w:pPr>
            <w:r w:rsidRPr="00C33339">
              <w:t>0.03</w:t>
            </w:r>
          </w:p>
        </w:tc>
        <w:tc>
          <w:tcPr>
            <w:tcW w:w="807" w:type="dxa"/>
            <w:tcBorders>
              <w:top w:val="single" w:sz="4" w:space="0" w:color="auto"/>
              <w:left w:val="nil"/>
              <w:bottom w:val="single" w:sz="4" w:space="0" w:color="auto"/>
              <w:right w:val="nil"/>
            </w:tcBorders>
            <w:shd w:val="clear" w:color="auto" w:fill="auto"/>
            <w:noWrap/>
            <w:vAlign w:val="center"/>
            <w:hideMark/>
          </w:tcPr>
          <w:p w14:paraId="2A0F6749" w14:textId="77777777" w:rsidR="00005397" w:rsidRPr="00C33339" w:rsidRDefault="00005397" w:rsidP="003877B7">
            <w:pPr>
              <w:pStyle w:val="Table"/>
            </w:pPr>
            <w:r w:rsidRPr="00C33339">
              <w:t>24.55</w:t>
            </w:r>
          </w:p>
        </w:tc>
        <w:tc>
          <w:tcPr>
            <w:tcW w:w="992" w:type="dxa"/>
            <w:tcBorders>
              <w:top w:val="single" w:sz="4" w:space="0" w:color="auto"/>
              <w:left w:val="nil"/>
              <w:bottom w:val="single" w:sz="4" w:space="0" w:color="auto"/>
              <w:right w:val="nil"/>
            </w:tcBorders>
            <w:shd w:val="clear" w:color="auto" w:fill="auto"/>
            <w:noWrap/>
            <w:vAlign w:val="center"/>
            <w:hideMark/>
          </w:tcPr>
          <w:p w14:paraId="2BFA28D9" w14:textId="77777777" w:rsidR="00005397" w:rsidRPr="00C33339" w:rsidRDefault="00005397" w:rsidP="003877B7">
            <w:pPr>
              <w:pStyle w:val="Table"/>
            </w:pPr>
            <w:r w:rsidRPr="00C33339">
              <w:t>&lt;0.001</w:t>
            </w:r>
          </w:p>
        </w:tc>
        <w:tc>
          <w:tcPr>
            <w:tcW w:w="284" w:type="dxa"/>
            <w:tcBorders>
              <w:left w:val="nil"/>
              <w:right w:val="nil"/>
            </w:tcBorders>
            <w:shd w:val="clear" w:color="auto" w:fill="auto"/>
            <w:noWrap/>
            <w:vAlign w:val="center"/>
            <w:hideMark/>
          </w:tcPr>
          <w:p w14:paraId="36FDD1B1" w14:textId="77777777" w:rsidR="00005397" w:rsidRPr="00C33339" w:rsidRDefault="00005397"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42624A5E" w14:textId="77777777" w:rsidR="00005397" w:rsidRPr="00C33339" w:rsidRDefault="00005397" w:rsidP="003877B7">
            <w:pPr>
              <w:pStyle w:val="Table"/>
            </w:pPr>
            <w:r w:rsidRPr="00C33339">
              <w:t>met-f</w:t>
            </w:r>
          </w:p>
        </w:tc>
        <w:tc>
          <w:tcPr>
            <w:tcW w:w="851" w:type="dxa"/>
            <w:tcBorders>
              <w:top w:val="single" w:sz="4" w:space="0" w:color="auto"/>
              <w:left w:val="nil"/>
              <w:bottom w:val="single" w:sz="4" w:space="0" w:color="auto"/>
              <w:right w:val="nil"/>
            </w:tcBorders>
            <w:shd w:val="clear" w:color="auto" w:fill="auto"/>
            <w:noWrap/>
            <w:vAlign w:val="center"/>
            <w:hideMark/>
          </w:tcPr>
          <w:p w14:paraId="4FCBD489" w14:textId="77777777" w:rsidR="00005397" w:rsidRPr="00C33339" w:rsidRDefault="00005397" w:rsidP="003877B7">
            <w:pPr>
              <w:pStyle w:val="Table"/>
            </w:pPr>
            <w:r w:rsidRPr="00C33339">
              <w:t>DDD</w:t>
            </w:r>
          </w:p>
        </w:tc>
        <w:tc>
          <w:tcPr>
            <w:tcW w:w="803" w:type="dxa"/>
            <w:tcBorders>
              <w:top w:val="single" w:sz="4" w:space="0" w:color="auto"/>
              <w:left w:val="nil"/>
              <w:bottom w:val="single" w:sz="4" w:space="0" w:color="auto"/>
              <w:right w:val="nil"/>
            </w:tcBorders>
            <w:shd w:val="clear" w:color="auto" w:fill="auto"/>
            <w:noWrap/>
            <w:vAlign w:val="center"/>
            <w:hideMark/>
          </w:tcPr>
          <w:p w14:paraId="59A5642F" w14:textId="77777777" w:rsidR="00005397" w:rsidRPr="00C33339" w:rsidRDefault="00005397" w:rsidP="003877B7">
            <w:pPr>
              <w:pStyle w:val="Table"/>
            </w:pPr>
            <w:r w:rsidRPr="00C33339">
              <w:t>-0.34</w:t>
            </w:r>
          </w:p>
        </w:tc>
        <w:tc>
          <w:tcPr>
            <w:tcW w:w="803" w:type="dxa"/>
            <w:tcBorders>
              <w:top w:val="single" w:sz="4" w:space="0" w:color="auto"/>
              <w:left w:val="nil"/>
              <w:bottom w:val="single" w:sz="4" w:space="0" w:color="auto"/>
              <w:right w:val="nil"/>
            </w:tcBorders>
            <w:shd w:val="clear" w:color="auto" w:fill="auto"/>
            <w:noWrap/>
            <w:vAlign w:val="center"/>
            <w:hideMark/>
          </w:tcPr>
          <w:p w14:paraId="390145CD" w14:textId="77777777" w:rsidR="00005397" w:rsidRPr="00C33339" w:rsidRDefault="00005397" w:rsidP="003877B7">
            <w:pPr>
              <w:pStyle w:val="Table"/>
            </w:pPr>
            <w:r w:rsidRPr="00C33339">
              <w:t>2.00</w:t>
            </w:r>
          </w:p>
        </w:tc>
        <w:tc>
          <w:tcPr>
            <w:tcW w:w="804" w:type="dxa"/>
            <w:tcBorders>
              <w:top w:val="single" w:sz="4" w:space="0" w:color="auto"/>
              <w:left w:val="nil"/>
              <w:bottom w:val="single" w:sz="4" w:space="0" w:color="auto"/>
              <w:right w:val="nil"/>
            </w:tcBorders>
            <w:shd w:val="clear" w:color="auto" w:fill="auto"/>
            <w:noWrap/>
            <w:vAlign w:val="center"/>
            <w:hideMark/>
          </w:tcPr>
          <w:p w14:paraId="00DFA471" w14:textId="77777777" w:rsidR="00005397" w:rsidRPr="00C33339" w:rsidRDefault="00005397" w:rsidP="003877B7">
            <w:pPr>
              <w:pStyle w:val="Table"/>
            </w:pPr>
            <w:r w:rsidRPr="00C33339">
              <w:t>-0.17</w:t>
            </w:r>
          </w:p>
        </w:tc>
        <w:tc>
          <w:tcPr>
            <w:tcW w:w="992" w:type="dxa"/>
            <w:tcBorders>
              <w:top w:val="single" w:sz="4" w:space="0" w:color="auto"/>
              <w:left w:val="nil"/>
              <w:bottom w:val="single" w:sz="4" w:space="0" w:color="auto"/>
              <w:right w:val="nil"/>
            </w:tcBorders>
            <w:shd w:val="clear" w:color="auto" w:fill="auto"/>
            <w:noWrap/>
            <w:vAlign w:val="center"/>
            <w:hideMark/>
          </w:tcPr>
          <w:p w14:paraId="1EB423CC" w14:textId="77777777" w:rsidR="00005397" w:rsidRPr="00C33339" w:rsidRDefault="00005397" w:rsidP="003877B7">
            <w:pPr>
              <w:pStyle w:val="Table"/>
            </w:pPr>
            <w:r w:rsidRPr="00C33339">
              <w:t>0.86</w:t>
            </w:r>
          </w:p>
        </w:tc>
        <w:tc>
          <w:tcPr>
            <w:tcW w:w="283" w:type="dxa"/>
            <w:tcBorders>
              <w:left w:val="nil"/>
              <w:right w:val="nil"/>
            </w:tcBorders>
            <w:shd w:val="clear" w:color="auto" w:fill="auto"/>
            <w:noWrap/>
            <w:vAlign w:val="center"/>
            <w:hideMark/>
          </w:tcPr>
          <w:p w14:paraId="7FCE0B0B" w14:textId="77777777" w:rsidR="00005397" w:rsidRPr="00C33339" w:rsidRDefault="00005397"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1E8AAAB5" w14:textId="77777777" w:rsidR="00005397" w:rsidRPr="00C33339" w:rsidRDefault="00005397" w:rsidP="003877B7">
            <w:pPr>
              <w:pStyle w:val="Table"/>
            </w:pPr>
            <w:r w:rsidRPr="00C33339">
              <w:t>-0.29</w:t>
            </w:r>
          </w:p>
        </w:tc>
        <w:tc>
          <w:tcPr>
            <w:tcW w:w="886" w:type="dxa"/>
            <w:tcBorders>
              <w:top w:val="single" w:sz="4" w:space="0" w:color="auto"/>
              <w:left w:val="nil"/>
              <w:bottom w:val="single" w:sz="4" w:space="0" w:color="auto"/>
              <w:right w:val="nil"/>
            </w:tcBorders>
            <w:shd w:val="clear" w:color="auto" w:fill="auto"/>
            <w:noWrap/>
            <w:vAlign w:val="center"/>
            <w:hideMark/>
          </w:tcPr>
          <w:p w14:paraId="48C3ADCE" w14:textId="77777777" w:rsidR="00005397" w:rsidRPr="00C33339" w:rsidRDefault="00005397" w:rsidP="003877B7">
            <w:pPr>
              <w:pStyle w:val="Table"/>
            </w:pPr>
            <w:r w:rsidRPr="00C33339">
              <w:t>1.71</w:t>
            </w:r>
          </w:p>
        </w:tc>
        <w:tc>
          <w:tcPr>
            <w:tcW w:w="886" w:type="dxa"/>
            <w:tcBorders>
              <w:top w:val="single" w:sz="4" w:space="0" w:color="auto"/>
              <w:left w:val="nil"/>
              <w:bottom w:val="single" w:sz="4" w:space="0" w:color="auto"/>
              <w:right w:val="nil"/>
            </w:tcBorders>
            <w:shd w:val="clear" w:color="auto" w:fill="auto"/>
            <w:noWrap/>
            <w:vAlign w:val="center"/>
            <w:hideMark/>
          </w:tcPr>
          <w:p w14:paraId="15EF9FB0" w14:textId="77777777" w:rsidR="00005397" w:rsidRPr="00C33339" w:rsidRDefault="00005397" w:rsidP="003877B7">
            <w:pPr>
              <w:pStyle w:val="Table"/>
            </w:pPr>
            <w:r w:rsidRPr="00C33339">
              <w:t>-3.59</w:t>
            </w:r>
          </w:p>
        </w:tc>
        <w:tc>
          <w:tcPr>
            <w:tcW w:w="886" w:type="dxa"/>
            <w:tcBorders>
              <w:top w:val="single" w:sz="4" w:space="0" w:color="auto"/>
              <w:left w:val="nil"/>
              <w:bottom w:val="single" w:sz="4" w:space="0" w:color="auto"/>
              <w:right w:val="nil"/>
            </w:tcBorders>
            <w:shd w:val="clear" w:color="auto" w:fill="auto"/>
            <w:noWrap/>
            <w:vAlign w:val="center"/>
            <w:hideMark/>
          </w:tcPr>
          <w:p w14:paraId="24CDF356" w14:textId="77777777" w:rsidR="00005397" w:rsidRPr="00C33339" w:rsidRDefault="00005397" w:rsidP="003877B7">
            <w:pPr>
              <w:pStyle w:val="Table"/>
            </w:pPr>
            <w:r w:rsidRPr="00C33339">
              <w:t>3.03</w:t>
            </w:r>
          </w:p>
        </w:tc>
      </w:tr>
      <w:tr w:rsidR="007A123D" w:rsidRPr="00C33339" w14:paraId="5ACB0E76"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03FFD1E6" w14:textId="77777777" w:rsidR="00005397" w:rsidRPr="00C33339" w:rsidRDefault="00005397" w:rsidP="003877B7">
            <w:pPr>
              <w:pStyle w:val="Table"/>
            </w:pPr>
            <w:r w:rsidRPr="00C33339">
              <w:t>MET</w:t>
            </w:r>
          </w:p>
        </w:tc>
        <w:tc>
          <w:tcPr>
            <w:tcW w:w="853" w:type="dxa"/>
            <w:tcBorders>
              <w:top w:val="single" w:sz="4" w:space="0" w:color="auto"/>
              <w:left w:val="nil"/>
              <w:bottom w:val="single" w:sz="4" w:space="0" w:color="auto"/>
              <w:right w:val="nil"/>
            </w:tcBorders>
            <w:shd w:val="clear" w:color="auto" w:fill="auto"/>
            <w:noWrap/>
            <w:vAlign w:val="center"/>
            <w:hideMark/>
          </w:tcPr>
          <w:p w14:paraId="082429F1" w14:textId="77777777" w:rsidR="00005397" w:rsidRPr="00C33339" w:rsidRDefault="00005397" w:rsidP="003877B7">
            <w:pPr>
              <w:pStyle w:val="Table"/>
            </w:pPr>
            <w:r w:rsidRPr="00C33339">
              <w:t>met-q</w:t>
            </w:r>
          </w:p>
        </w:tc>
        <w:tc>
          <w:tcPr>
            <w:tcW w:w="806" w:type="dxa"/>
            <w:tcBorders>
              <w:top w:val="single" w:sz="4" w:space="0" w:color="auto"/>
              <w:left w:val="nil"/>
              <w:bottom w:val="single" w:sz="4" w:space="0" w:color="auto"/>
              <w:right w:val="nil"/>
            </w:tcBorders>
            <w:shd w:val="clear" w:color="auto" w:fill="auto"/>
            <w:noWrap/>
            <w:vAlign w:val="center"/>
            <w:hideMark/>
          </w:tcPr>
          <w:p w14:paraId="6E69BDAB" w14:textId="77777777" w:rsidR="00005397" w:rsidRPr="00C33339" w:rsidRDefault="00005397" w:rsidP="003877B7">
            <w:pPr>
              <w:pStyle w:val="Table"/>
            </w:pPr>
            <w:r w:rsidRPr="00C33339">
              <w:t>0.11</w:t>
            </w:r>
          </w:p>
        </w:tc>
        <w:tc>
          <w:tcPr>
            <w:tcW w:w="807" w:type="dxa"/>
            <w:tcBorders>
              <w:top w:val="single" w:sz="4" w:space="0" w:color="auto"/>
              <w:left w:val="nil"/>
              <w:bottom w:val="single" w:sz="4" w:space="0" w:color="auto"/>
              <w:right w:val="nil"/>
            </w:tcBorders>
            <w:shd w:val="clear" w:color="auto" w:fill="auto"/>
            <w:noWrap/>
            <w:vAlign w:val="center"/>
            <w:hideMark/>
          </w:tcPr>
          <w:p w14:paraId="699E2F05" w14:textId="77777777" w:rsidR="00005397" w:rsidRPr="00C33339" w:rsidRDefault="00005397" w:rsidP="003877B7">
            <w:pPr>
              <w:pStyle w:val="Table"/>
            </w:pPr>
            <w:r w:rsidRPr="00C33339">
              <w:t>0.07</w:t>
            </w:r>
          </w:p>
        </w:tc>
        <w:tc>
          <w:tcPr>
            <w:tcW w:w="807" w:type="dxa"/>
            <w:tcBorders>
              <w:top w:val="single" w:sz="4" w:space="0" w:color="auto"/>
              <w:left w:val="nil"/>
              <w:bottom w:val="single" w:sz="4" w:space="0" w:color="auto"/>
              <w:right w:val="nil"/>
            </w:tcBorders>
            <w:shd w:val="clear" w:color="auto" w:fill="auto"/>
            <w:noWrap/>
            <w:vAlign w:val="center"/>
            <w:hideMark/>
          </w:tcPr>
          <w:p w14:paraId="747ED437" w14:textId="77777777" w:rsidR="00005397" w:rsidRPr="00C33339" w:rsidRDefault="00005397" w:rsidP="003877B7">
            <w:pPr>
              <w:pStyle w:val="Table"/>
            </w:pPr>
            <w:r w:rsidRPr="00C33339">
              <w:t>1.58</w:t>
            </w:r>
          </w:p>
        </w:tc>
        <w:tc>
          <w:tcPr>
            <w:tcW w:w="992" w:type="dxa"/>
            <w:tcBorders>
              <w:top w:val="single" w:sz="4" w:space="0" w:color="auto"/>
              <w:left w:val="nil"/>
              <w:bottom w:val="single" w:sz="4" w:space="0" w:color="auto"/>
              <w:right w:val="nil"/>
            </w:tcBorders>
            <w:shd w:val="clear" w:color="auto" w:fill="auto"/>
            <w:noWrap/>
            <w:vAlign w:val="center"/>
            <w:hideMark/>
          </w:tcPr>
          <w:p w14:paraId="40A0366B" w14:textId="77777777" w:rsidR="00005397" w:rsidRPr="00C33339" w:rsidRDefault="00005397" w:rsidP="003877B7">
            <w:pPr>
              <w:pStyle w:val="Table"/>
            </w:pPr>
            <w:r w:rsidRPr="00C33339">
              <w:t>0.11</w:t>
            </w:r>
          </w:p>
        </w:tc>
        <w:tc>
          <w:tcPr>
            <w:tcW w:w="284" w:type="dxa"/>
            <w:tcBorders>
              <w:left w:val="nil"/>
              <w:right w:val="nil"/>
            </w:tcBorders>
            <w:shd w:val="clear" w:color="auto" w:fill="auto"/>
            <w:noWrap/>
            <w:vAlign w:val="center"/>
            <w:hideMark/>
          </w:tcPr>
          <w:p w14:paraId="5D548B33" w14:textId="77777777" w:rsidR="00005397" w:rsidRPr="00C33339" w:rsidRDefault="00005397"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0F6D05B0" w14:textId="77777777" w:rsidR="00005397" w:rsidRPr="00C33339" w:rsidRDefault="00005397" w:rsidP="003877B7">
            <w:pPr>
              <w:pStyle w:val="Table"/>
            </w:pPr>
            <w:r w:rsidRPr="00C33339">
              <w:t>met-q</w:t>
            </w:r>
          </w:p>
        </w:tc>
        <w:tc>
          <w:tcPr>
            <w:tcW w:w="851" w:type="dxa"/>
            <w:tcBorders>
              <w:top w:val="single" w:sz="4" w:space="0" w:color="auto"/>
              <w:left w:val="nil"/>
              <w:bottom w:val="single" w:sz="4" w:space="0" w:color="auto"/>
              <w:right w:val="nil"/>
            </w:tcBorders>
            <w:shd w:val="clear" w:color="auto" w:fill="auto"/>
            <w:noWrap/>
            <w:vAlign w:val="center"/>
            <w:hideMark/>
          </w:tcPr>
          <w:p w14:paraId="647FE277" w14:textId="77777777" w:rsidR="00005397" w:rsidRPr="00C33339" w:rsidRDefault="00005397" w:rsidP="003877B7">
            <w:pPr>
              <w:pStyle w:val="Table"/>
            </w:pPr>
            <w:r w:rsidRPr="00C33339">
              <w:t>DDD</w:t>
            </w:r>
          </w:p>
        </w:tc>
        <w:tc>
          <w:tcPr>
            <w:tcW w:w="803" w:type="dxa"/>
            <w:tcBorders>
              <w:top w:val="single" w:sz="4" w:space="0" w:color="auto"/>
              <w:left w:val="nil"/>
              <w:bottom w:val="single" w:sz="4" w:space="0" w:color="auto"/>
              <w:right w:val="nil"/>
            </w:tcBorders>
            <w:shd w:val="clear" w:color="auto" w:fill="auto"/>
            <w:noWrap/>
            <w:vAlign w:val="center"/>
            <w:hideMark/>
          </w:tcPr>
          <w:p w14:paraId="191FCB8B" w14:textId="77777777" w:rsidR="00005397" w:rsidRPr="00C33339" w:rsidRDefault="00005397" w:rsidP="003877B7">
            <w:pPr>
              <w:pStyle w:val="Table"/>
            </w:pPr>
            <w:r w:rsidRPr="00C33339">
              <w:t>-3.84</w:t>
            </w:r>
          </w:p>
        </w:tc>
        <w:tc>
          <w:tcPr>
            <w:tcW w:w="803" w:type="dxa"/>
            <w:tcBorders>
              <w:top w:val="single" w:sz="4" w:space="0" w:color="auto"/>
              <w:left w:val="nil"/>
              <w:bottom w:val="single" w:sz="4" w:space="0" w:color="auto"/>
              <w:right w:val="nil"/>
            </w:tcBorders>
            <w:shd w:val="clear" w:color="auto" w:fill="auto"/>
            <w:noWrap/>
            <w:vAlign w:val="center"/>
            <w:hideMark/>
          </w:tcPr>
          <w:p w14:paraId="73D064F1" w14:textId="77777777" w:rsidR="00005397" w:rsidRPr="00C33339" w:rsidRDefault="00005397" w:rsidP="003877B7">
            <w:pPr>
              <w:pStyle w:val="Table"/>
            </w:pPr>
            <w:r w:rsidRPr="00C33339">
              <w:t>1.00</w:t>
            </w:r>
          </w:p>
        </w:tc>
        <w:tc>
          <w:tcPr>
            <w:tcW w:w="804" w:type="dxa"/>
            <w:tcBorders>
              <w:top w:val="single" w:sz="4" w:space="0" w:color="auto"/>
              <w:left w:val="nil"/>
              <w:bottom w:val="single" w:sz="4" w:space="0" w:color="auto"/>
              <w:right w:val="nil"/>
            </w:tcBorders>
            <w:shd w:val="clear" w:color="auto" w:fill="auto"/>
            <w:noWrap/>
            <w:vAlign w:val="center"/>
            <w:hideMark/>
          </w:tcPr>
          <w:p w14:paraId="1CBD5C67" w14:textId="77777777" w:rsidR="00005397" w:rsidRPr="00C33339" w:rsidRDefault="00005397" w:rsidP="003877B7">
            <w:pPr>
              <w:pStyle w:val="Table"/>
            </w:pPr>
            <w:r w:rsidRPr="00C33339">
              <w:t>-3.86</w:t>
            </w:r>
          </w:p>
        </w:tc>
        <w:tc>
          <w:tcPr>
            <w:tcW w:w="992" w:type="dxa"/>
            <w:tcBorders>
              <w:top w:val="single" w:sz="4" w:space="0" w:color="auto"/>
              <w:left w:val="nil"/>
              <w:bottom w:val="single" w:sz="4" w:space="0" w:color="auto"/>
              <w:right w:val="nil"/>
            </w:tcBorders>
            <w:shd w:val="clear" w:color="auto" w:fill="auto"/>
            <w:noWrap/>
            <w:vAlign w:val="center"/>
            <w:hideMark/>
          </w:tcPr>
          <w:p w14:paraId="278E8FCB" w14:textId="77777777" w:rsidR="00005397" w:rsidRPr="00C33339" w:rsidRDefault="00005397" w:rsidP="003877B7">
            <w:pPr>
              <w:pStyle w:val="Table"/>
            </w:pPr>
            <w:r w:rsidRPr="00C33339">
              <w:t>&lt;0.001</w:t>
            </w:r>
          </w:p>
        </w:tc>
        <w:tc>
          <w:tcPr>
            <w:tcW w:w="283" w:type="dxa"/>
            <w:tcBorders>
              <w:left w:val="nil"/>
              <w:right w:val="nil"/>
            </w:tcBorders>
            <w:shd w:val="clear" w:color="auto" w:fill="auto"/>
            <w:noWrap/>
            <w:vAlign w:val="center"/>
            <w:hideMark/>
          </w:tcPr>
          <w:p w14:paraId="232F3750" w14:textId="77777777" w:rsidR="00005397" w:rsidRPr="00C33339" w:rsidRDefault="00005397"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6569C65C" w14:textId="77777777" w:rsidR="00005397" w:rsidRPr="00C33339" w:rsidRDefault="00005397" w:rsidP="003877B7">
            <w:pPr>
              <w:pStyle w:val="Table"/>
            </w:pPr>
            <w:r w:rsidRPr="00C33339">
              <w:t>-0.41</w:t>
            </w:r>
          </w:p>
        </w:tc>
        <w:tc>
          <w:tcPr>
            <w:tcW w:w="886" w:type="dxa"/>
            <w:tcBorders>
              <w:top w:val="single" w:sz="4" w:space="0" w:color="auto"/>
              <w:left w:val="nil"/>
              <w:bottom w:val="single" w:sz="4" w:space="0" w:color="auto"/>
              <w:right w:val="nil"/>
            </w:tcBorders>
            <w:shd w:val="clear" w:color="auto" w:fill="auto"/>
            <w:noWrap/>
            <w:vAlign w:val="center"/>
            <w:hideMark/>
          </w:tcPr>
          <w:p w14:paraId="25EBB082" w14:textId="77777777" w:rsidR="00005397" w:rsidRPr="00C33339" w:rsidRDefault="00005397" w:rsidP="003877B7">
            <w:pPr>
              <w:pStyle w:val="Table"/>
            </w:pPr>
            <w:r w:rsidRPr="00C33339">
              <w:t>0.31</w:t>
            </w:r>
          </w:p>
        </w:tc>
        <w:tc>
          <w:tcPr>
            <w:tcW w:w="886" w:type="dxa"/>
            <w:tcBorders>
              <w:top w:val="single" w:sz="4" w:space="0" w:color="auto"/>
              <w:left w:val="nil"/>
              <w:bottom w:val="single" w:sz="4" w:space="0" w:color="auto"/>
              <w:right w:val="nil"/>
            </w:tcBorders>
            <w:shd w:val="clear" w:color="auto" w:fill="auto"/>
            <w:noWrap/>
            <w:vAlign w:val="center"/>
            <w:hideMark/>
          </w:tcPr>
          <w:p w14:paraId="5DDF3315" w14:textId="77777777" w:rsidR="00005397" w:rsidRPr="00C33339" w:rsidRDefault="00005397" w:rsidP="003877B7">
            <w:pPr>
              <w:pStyle w:val="Table"/>
            </w:pPr>
            <w:r w:rsidRPr="00C33339">
              <w:t>-1.16</w:t>
            </w:r>
          </w:p>
        </w:tc>
        <w:tc>
          <w:tcPr>
            <w:tcW w:w="886" w:type="dxa"/>
            <w:tcBorders>
              <w:top w:val="single" w:sz="4" w:space="0" w:color="auto"/>
              <w:left w:val="nil"/>
              <w:bottom w:val="single" w:sz="4" w:space="0" w:color="auto"/>
              <w:right w:val="nil"/>
            </w:tcBorders>
            <w:shd w:val="clear" w:color="auto" w:fill="auto"/>
            <w:noWrap/>
            <w:vAlign w:val="center"/>
            <w:hideMark/>
          </w:tcPr>
          <w:p w14:paraId="56B78DE3" w14:textId="77777777" w:rsidR="00005397" w:rsidRPr="00C33339" w:rsidRDefault="00005397" w:rsidP="003877B7">
            <w:pPr>
              <w:pStyle w:val="Table"/>
            </w:pPr>
            <w:r w:rsidRPr="00C33339">
              <w:t>0.09</w:t>
            </w:r>
          </w:p>
        </w:tc>
      </w:tr>
      <w:tr w:rsidR="007A123D" w:rsidRPr="00C33339" w14:paraId="703BABFE"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3AF6AC45" w14:textId="77777777" w:rsidR="00005397" w:rsidRPr="00C33339" w:rsidRDefault="00005397" w:rsidP="003877B7">
            <w:pPr>
              <w:pStyle w:val="Table"/>
            </w:pPr>
            <w:r w:rsidRPr="00C33339">
              <w:t>SBNT</w:t>
            </w:r>
          </w:p>
        </w:tc>
        <w:tc>
          <w:tcPr>
            <w:tcW w:w="853" w:type="dxa"/>
            <w:tcBorders>
              <w:top w:val="single" w:sz="4" w:space="0" w:color="auto"/>
              <w:left w:val="nil"/>
              <w:bottom w:val="single" w:sz="4" w:space="0" w:color="auto"/>
              <w:right w:val="nil"/>
            </w:tcBorders>
            <w:shd w:val="clear" w:color="auto" w:fill="auto"/>
            <w:noWrap/>
            <w:vAlign w:val="center"/>
            <w:hideMark/>
          </w:tcPr>
          <w:p w14:paraId="243BA005" w14:textId="77777777" w:rsidR="00005397" w:rsidRPr="00C33339" w:rsidRDefault="00005397" w:rsidP="003877B7">
            <w:pPr>
              <w:pStyle w:val="Table"/>
            </w:pPr>
            <w:r w:rsidRPr="00C33339">
              <w:t>sbnt-f</w:t>
            </w:r>
          </w:p>
        </w:tc>
        <w:tc>
          <w:tcPr>
            <w:tcW w:w="806" w:type="dxa"/>
            <w:tcBorders>
              <w:top w:val="single" w:sz="4" w:space="0" w:color="auto"/>
              <w:left w:val="nil"/>
              <w:bottom w:val="single" w:sz="4" w:space="0" w:color="auto"/>
              <w:right w:val="nil"/>
            </w:tcBorders>
            <w:shd w:val="clear" w:color="auto" w:fill="auto"/>
            <w:noWrap/>
            <w:vAlign w:val="center"/>
            <w:hideMark/>
          </w:tcPr>
          <w:p w14:paraId="1E76A833" w14:textId="77777777" w:rsidR="00005397" w:rsidRPr="00C33339" w:rsidRDefault="00005397" w:rsidP="003877B7">
            <w:pPr>
              <w:pStyle w:val="Table"/>
            </w:pPr>
            <w:r w:rsidRPr="00C33339">
              <w:t>0.97</w:t>
            </w:r>
          </w:p>
        </w:tc>
        <w:tc>
          <w:tcPr>
            <w:tcW w:w="807" w:type="dxa"/>
            <w:tcBorders>
              <w:top w:val="single" w:sz="4" w:space="0" w:color="auto"/>
              <w:left w:val="nil"/>
              <w:bottom w:val="single" w:sz="4" w:space="0" w:color="auto"/>
              <w:right w:val="nil"/>
            </w:tcBorders>
            <w:shd w:val="clear" w:color="auto" w:fill="auto"/>
            <w:noWrap/>
            <w:vAlign w:val="center"/>
            <w:hideMark/>
          </w:tcPr>
          <w:p w14:paraId="491F71D6" w14:textId="77777777" w:rsidR="00005397" w:rsidRPr="00C33339" w:rsidRDefault="00005397" w:rsidP="003877B7">
            <w:pPr>
              <w:pStyle w:val="Table"/>
            </w:pPr>
            <w:r w:rsidRPr="00C33339">
              <w:t>0.04</w:t>
            </w:r>
          </w:p>
        </w:tc>
        <w:tc>
          <w:tcPr>
            <w:tcW w:w="807" w:type="dxa"/>
            <w:tcBorders>
              <w:top w:val="single" w:sz="4" w:space="0" w:color="auto"/>
              <w:left w:val="nil"/>
              <w:bottom w:val="single" w:sz="4" w:space="0" w:color="auto"/>
              <w:right w:val="nil"/>
            </w:tcBorders>
            <w:shd w:val="clear" w:color="auto" w:fill="auto"/>
            <w:noWrap/>
            <w:vAlign w:val="center"/>
            <w:hideMark/>
          </w:tcPr>
          <w:p w14:paraId="565EF941" w14:textId="77777777" w:rsidR="00005397" w:rsidRPr="00C33339" w:rsidRDefault="00005397" w:rsidP="003877B7">
            <w:pPr>
              <w:pStyle w:val="Table"/>
            </w:pPr>
            <w:r w:rsidRPr="00C33339">
              <w:t>23.47</w:t>
            </w:r>
          </w:p>
        </w:tc>
        <w:tc>
          <w:tcPr>
            <w:tcW w:w="992" w:type="dxa"/>
            <w:tcBorders>
              <w:top w:val="single" w:sz="4" w:space="0" w:color="auto"/>
              <w:left w:val="nil"/>
              <w:bottom w:val="single" w:sz="4" w:space="0" w:color="auto"/>
              <w:right w:val="nil"/>
            </w:tcBorders>
            <w:shd w:val="clear" w:color="auto" w:fill="auto"/>
            <w:noWrap/>
            <w:vAlign w:val="center"/>
            <w:hideMark/>
          </w:tcPr>
          <w:p w14:paraId="148D1CA4" w14:textId="77777777" w:rsidR="00005397" w:rsidRPr="00C33339" w:rsidRDefault="00005397" w:rsidP="003877B7">
            <w:pPr>
              <w:pStyle w:val="Table"/>
            </w:pPr>
            <w:r w:rsidRPr="00C33339">
              <w:t>&lt;0.001</w:t>
            </w:r>
          </w:p>
        </w:tc>
        <w:tc>
          <w:tcPr>
            <w:tcW w:w="284" w:type="dxa"/>
            <w:tcBorders>
              <w:left w:val="nil"/>
              <w:right w:val="nil"/>
            </w:tcBorders>
            <w:shd w:val="clear" w:color="auto" w:fill="auto"/>
            <w:noWrap/>
            <w:vAlign w:val="center"/>
            <w:hideMark/>
          </w:tcPr>
          <w:p w14:paraId="049073E2" w14:textId="77777777" w:rsidR="00005397" w:rsidRPr="00C33339" w:rsidRDefault="00005397"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34BA5056" w14:textId="77777777" w:rsidR="00005397" w:rsidRPr="00C33339" w:rsidRDefault="00005397" w:rsidP="003877B7">
            <w:pPr>
              <w:pStyle w:val="Table"/>
            </w:pPr>
            <w:r w:rsidRPr="00C33339">
              <w:t>sbnt-f</w:t>
            </w:r>
          </w:p>
        </w:tc>
        <w:tc>
          <w:tcPr>
            <w:tcW w:w="851" w:type="dxa"/>
            <w:tcBorders>
              <w:top w:val="single" w:sz="4" w:space="0" w:color="auto"/>
              <w:left w:val="nil"/>
              <w:bottom w:val="single" w:sz="4" w:space="0" w:color="auto"/>
              <w:right w:val="nil"/>
            </w:tcBorders>
            <w:shd w:val="clear" w:color="auto" w:fill="auto"/>
            <w:noWrap/>
            <w:vAlign w:val="center"/>
            <w:hideMark/>
          </w:tcPr>
          <w:p w14:paraId="6AA8C5A9" w14:textId="77777777" w:rsidR="00005397" w:rsidRPr="00C33339" w:rsidRDefault="00005397" w:rsidP="003877B7">
            <w:pPr>
              <w:pStyle w:val="Table"/>
            </w:pPr>
            <w:r w:rsidRPr="00C33339">
              <w:t>DDD</w:t>
            </w:r>
          </w:p>
        </w:tc>
        <w:tc>
          <w:tcPr>
            <w:tcW w:w="803" w:type="dxa"/>
            <w:tcBorders>
              <w:top w:val="single" w:sz="4" w:space="0" w:color="auto"/>
              <w:left w:val="nil"/>
              <w:bottom w:val="single" w:sz="4" w:space="0" w:color="auto"/>
              <w:right w:val="nil"/>
            </w:tcBorders>
            <w:shd w:val="clear" w:color="auto" w:fill="auto"/>
            <w:noWrap/>
            <w:vAlign w:val="center"/>
            <w:hideMark/>
          </w:tcPr>
          <w:p w14:paraId="67B3DD1A" w14:textId="77777777" w:rsidR="00005397" w:rsidRPr="00C33339" w:rsidRDefault="00005397" w:rsidP="003877B7">
            <w:pPr>
              <w:pStyle w:val="Table"/>
            </w:pPr>
            <w:r w:rsidRPr="00C33339">
              <w:t>-0.47</w:t>
            </w:r>
          </w:p>
        </w:tc>
        <w:tc>
          <w:tcPr>
            <w:tcW w:w="803" w:type="dxa"/>
            <w:tcBorders>
              <w:top w:val="single" w:sz="4" w:space="0" w:color="auto"/>
              <w:left w:val="nil"/>
              <w:bottom w:val="single" w:sz="4" w:space="0" w:color="auto"/>
              <w:right w:val="nil"/>
            </w:tcBorders>
            <w:shd w:val="clear" w:color="auto" w:fill="auto"/>
            <w:noWrap/>
            <w:vAlign w:val="center"/>
            <w:hideMark/>
          </w:tcPr>
          <w:p w14:paraId="7A36202F" w14:textId="77777777" w:rsidR="00005397" w:rsidRPr="00C33339" w:rsidRDefault="00005397" w:rsidP="003877B7">
            <w:pPr>
              <w:pStyle w:val="Table"/>
            </w:pPr>
            <w:r w:rsidRPr="00C33339">
              <w:t>1.63</w:t>
            </w:r>
          </w:p>
        </w:tc>
        <w:tc>
          <w:tcPr>
            <w:tcW w:w="804" w:type="dxa"/>
            <w:tcBorders>
              <w:top w:val="single" w:sz="4" w:space="0" w:color="auto"/>
              <w:left w:val="nil"/>
              <w:bottom w:val="single" w:sz="4" w:space="0" w:color="auto"/>
              <w:right w:val="nil"/>
            </w:tcBorders>
            <w:shd w:val="clear" w:color="auto" w:fill="auto"/>
            <w:noWrap/>
            <w:vAlign w:val="center"/>
            <w:hideMark/>
          </w:tcPr>
          <w:p w14:paraId="097DA0F1" w14:textId="77777777" w:rsidR="00005397" w:rsidRPr="00C33339" w:rsidRDefault="00005397" w:rsidP="003877B7">
            <w:pPr>
              <w:pStyle w:val="Table"/>
            </w:pPr>
            <w:r w:rsidRPr="00C33339">
              <w:t>-0.29</w:t>
            </w:r>
          </w:p>
        </w:tc>
        <w:tc>
          <w:tcPr>
            <w:tcW w:w="992" w:type="dxa"/>
            <w:tcBorders>
              <w:top w:val="single" w:sz="4" w:space="0" w:color="auto"/>
              <w:left w:val="nil"/>
              <w:bottom w:val="single" w:sz="4" w:space="0" w:color="auto"/>
              <w:right w:val="nil"/>
            </w:tcBorders>
            <w:shd w:val="clear" w:color="auto" w:fill="auto"/>
            <w:noWrap/>
            <w:vAlign w:val="center"/>
            <w:hideMark/>
          </w:tcPr>
          <w:p w14:paraId="3393E663" w14:textId="77777777" w:rsidR="00005397" w:rsidRPr="00C33339" w:rsidRDefault="00005397" w:rsidP="003877B7">
            <w:pPr>
              <w:pStyle w:val="Table"/>
            </w:pPr>
            <w:r w:rsidRPr="00C33339">
              <w:t>0.77</w:t>
            </w:r>
          </w:p>
        </w:tc>
        <w:tc>
          <w:tcPr>
            <w:tcW w:w="283" w:type="dxa"/>
            <w:tcBorders>
              <w:left w:val="nil"/>
              <w:right w:val="nil"/>
            </w:tcBorders>
            <w:shd w:val="clear" w:color="auto" w:fill="auto"/>
            <w:noWrap/>
            <w:vAlign w:val="center"/>
            <w:hideMark/>
          </w:tcPr>
          <w:p w14:paraId="4BFA3D94" w14:textId="77777777" w:rsidR="00005397" w:rsidRPr="00C33339" w:rsidRDefault="00005397"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5A1939E5" w14:textId="77777777" w:rsidR="00005397" w:rsidRPr="00C33339" w:rsidRDefault="00005397" w:rsidP="003877B7">
            <w:pPr>
              <w:pStyle w:val="Table"/>
            </w:pPr>
            <w:r w:rsidRPr="00C33339">
              <w:t>-0.46</w:t>
            </w:r>
          </w:p>
        </w:tc>
        <w:tc>
          <w:tcPr>
            <w:tcW w:w="886" w:type="dxa"/>
            <w:tcBorders>
              <w:top w:val="single" w:sz="4" w:space="0" w:color="auto"/>
              <w:left w:val="nil"/>
              <w:bottom w:val="single" w:sz="4" w:space="0" w:color="auto"/>
              <w:right w:val="nil"/>
            </w:tcBorders>
            <w:shd w:val="clear" w:color="auto" w:fill="auto"/>
            <w:noWrap/>
            <w:vAlign w:val="center"/>
            <w:hideMark/>
          </w:tcPr>
          <w:p w14:paraId="14CEEBF2" w14:textId="77777777" w:rsidR="00005397" w:rsidRPr="00C33339" w:rsidRDefault="00005397" w:rsidP="003877B7">
            <w:pPr>
              <w:pStyle w:val="Table"/>
            </w:pPr>
            <w:r w:rsidRPr="00C33339">
              <w:t>1.57</w:t>
            </w:r>
          </w:p>
        </w:tc>
        <w:tc>
          <w:tcPr>
            <w:tcW w:w="886" w:type="dxa"/>
            <w:tcBorders>
              <w:top w:val="single" w:sz="4" w:space="0" w:color="auto"/>
              <w:left w:val="nil"/>
              <w:bottom w:val="single" w:sz="4" w:space="0" w:color="auto"/>
              <w:right w:val="nil"/>
            </w:tcBorders>
            <w:shd w:val="clear" w:color="auto" w:fill="auto"/>
            <w:noWrap/>
            <w:vAlign w:val="center"/>
            <w:hideMark/>
          </w:tcPr>
          <w:p w14:paraId="613E7003" w14:textId="77777777" w:rsidR="00005397" w:rsidRPr="00C33339" w:rsidRDefault="00005397" w:rsidP="003877B7">
            <w:pPr>
              <w:pStyle w:val="Table"/>
            </w:pPr>
            <w:r w:rsidRPr="00C33339">
              <w:t>-3.45</w:t>
            </w:r>
          </w:p>
        </w:tc>
        <w:tc>
          <w:tcPr>
            <w:tcW w:w="886" w:type="dxa"/>
            <w:tcBorders>
              <w:top w:val="single" w:sz="4" w:space="0" w:color="auto"/>
              <w:left w:val="nil"/>
              <w:bottom w:val="single" w:sz="4" w:space="0" w:color="auto"/>
              <w:right w:val="nil"/>
            </w:tcBorders>
            <w:shd w:val="clear" w:color="auto" w:fill="auto"/>
            <w:noWrap/>
            <w:vAlign w:val="center"/>
            <w:hideMark/>
          </w:tcPr>
          <w:p w14:paraId="335C1FC6" w14:textId="77777777" w:rsidR="00005397" w:rsidRPr="00C33339" w:rsidRDefault="00005397" w:rsidP="003877B7">
            <w:pPr>
              <w:pStyle w:val="Table"/>
            </w:pPr>
            <w:r w:rsidRPr="00C33339">
              <w:t>2.67</w:t>
            </w:r>
          </w:p>
        </w:tc>
      </w:tr>
      <w:tr w:rsidR="007A123D" w:rsidRPr="00C33339" w14:paraId="1D6C3748" w14:textId="77777777" w:rsidTr="00D44E4D">
        <w:trPr>
          <w:trHeight w:val="454"/>
        </w:trPr>
        <w:tc>
          <w:tcPr>
            <w:tcW w:w="853" w:type="dxa"/>
            <w:tcBorders>
              <w:top w:val="single" w:sz="4" w:space="0" w:color="auto"/>
              <w:left w:val="nil"/>
              <w:bottom w:val="single" w:sz="4" w:space="0" w:color="auto"/>
              <w:right w:val="nil"/>
            </w:tcBorders>
            <w:shd w:val="clear" w:color="auto" w:fill="auto"/>
            <w:vAlign w:val="center"/>
          </w:tcPr>
          <w:p w14:paraId="3C4230E6" w14:textId="77777777" w:rsidR="00005397" w:rsidRPr="00C33339" w:rsidRDefault="00005397" w:rsidP="003877B7">
            <w:pPr>
              <w:pStyle w:val="Table"/>
            </w:pPr>
            <w:r w:rsidRPr="00C33339">
              <w:t>SBNT</w:t>
            </w:r>
          </w:p>
        </w:tc>
        <w:tc>
          <w:tcPr>
            <w:tcW w:w="853" w:type="dxa"/>
            <w:tcBorders>
              <w:top w:val="single" w:sz="4" w:space="0" w:color="auto"/>
              <w:left w:val="nil"/>
              <w:bottom w:val="single" w:sz="4" w:space="0" w:color="auto"/>
              <w:right w:val="nil"/>
            </w:tcBorders>
            <w:shd w:val="clear" w:color="auto" w:fill="auto"/>
            <w:noWrap/>
            <w:vAlign w:val="center"/>
            <w:hideMark/>
          </w:tcPr>
          <w:p w14:paraId="525ACAAF" w14:textId="77777777" w:rsidR="00005397" w:rsidRPr="00C33339" w:rsidRDefault="00005397" w:rsidP="003877B7">
            <w:pPr>
              <w:pStyle w:val="Table"/>
            </w:pPr>
            <w:r w:rsidRPr="00C33339">
              <w:t>sbnt-q</w:t>
            </w:r>
          </w:p>
        </w:tc>
        <w:tc>
          <w:tcPr>
            <w:tcW w:w="806" w:type="dxa"/>
            <w:tcBorders>
              <w:top w:val="single" w:sz="4" w:space="0" w:color="auto"/>
              <w:left w:val="nil"/>
              <w:bottom w:val="single" w:sz="4" w:space="0" w:color="auto"/>
              <w:right w:val="nil"/>
            </w:tcBorders>
            <w:shd w:val="clear" w:color="auto" w:fill="auto"/>
            <w:noWrap/>
            <w:vAlign w:val="center"/>
            <w:hideMark/>
          </w:tcPr>
          <w:p w14:paraId="001E8155" w14:textId="77777777" w:rsidR="00005397" w:rsidRPr="00C33339" w:rsidRDefault="00005397" w:rsidP="003877B7">
            <w:pPr>
              <w:pStyle w:val="Table"/>
            </w:pPr>
            <w:r w:rsidRPr="00C33339">
              <w:t>0.36</w:t>
            </w:r>
          </w:p>
        </w:tc>
        <w:tc>
          <w:tcPr>
            <w:tcW w:w="807" w:type="dxa"/>
            <w:tcBorders>
              <w:top w:val="single" w:sz="4" w:space="0" w:color="auto"/>
              <w:left w:val="nil"/>
              <w:bottom w:val="single" w:sz="4" w:space="0" w:color="auto"/>
              <w:right w:val="nil"/>
            </w:tcBorders>
            <w:shd w:val="clear" w:color="auto" w:fill="auto"/>
            <w:noWrap/>
            <w:vAlign w:val="center"/>
            <w:hideMark/>
          </w:tcPr>
          <w:p w14:paraId="2D54409E" w14:textId="77777777" w:rsidR="00005397" w:rsidRPr="00C33339" w:rsidRDefault="00005397" w:rsidP="003877B7">
            <w:pPr>
              <w:pStyle w:val="Table"/>
            </w:pPr>
            <w:r w:rsidRPr="00C33339">
              <w:t>0.08</w:t>
            </w:r>
          </w:p>
        </w:tc>
        <w:tc>
          <w:tcPr>
            <w:tcW w:w="807" w:type="dxa"/>
            <w:tcBorders>
              <w:top w:val="single" w:sz="4" w:space="0" w:color="auto"/>
              <w:left w:val="nil"/>
              <w:bottom w:val="single" w:sz="4" w:space="0" w:color="auto"/>
              <w:right w:val="nil"/>
            </w:tcBorders>
            <w:shd w:val="clear" w:color="auto" w:fill="auto"/>
            <w:noWrap/>
            <w:vAlign w:val="center"/>
            <w:hideMark/>
          </w:tcPr>
          <w:p w14:paraId="143FC3B8" w14:textId="77777777" w:rsidR="00005397" w:rsidRPr="00C33339" w:rsidRDefault="00005397" w:rsidP="003877B7">
            <w:pPr>
              <w:pStyle w:val="Table"/>
            </w:pPr>
            <w:r w:rsidRPr="00C33339">
              <w:t>4.58</w:t>
            </w:r>
          </w:p>
        </w:tc>
        <w:tc>
          <w:tcPr>
            <w:tcW w:w="992" w:type="dxa"/>
            <w:tcBorders>
              <w:top w:val="single" w:sz="4" w:space="0" w:color="auto"/>
              <w:left w:val="nil"/>
              <w:bottom w:val="single" w:sz="4" w:space="0" w:color="auto"/>
              <w:right w:val="nil"/>
            </w:tcBorders>
            <w:shd w:val="clear" w:color="auto" w:fill="auto"/>
            <w:noWrap/>
            <w:vAlign w:val="center"/>
            <w:hideMark/>
          </w:tcPr>
          <w:p w14:paraId="6D44354B" w14:textId="77777777" w:rsidR="00005397" w:rsidRPr="00C33339" w:rsidRDefault="00005397" w:rsidP="003877B7">
            <w:pPr>
              <w:pStyle w:val="Table"/>
            </w:pPr>
            <w:r w:rsidRPr="00C33339">
              <w:t>&lt;0.001</w:t>
            </w:r>
          </w:p>
        </w:tc>
        <w:tc>
          <w:tcPr>
            <w:tcW w:w="284" w:type="dxa"/>
            <w:tcBorders>
              <w:left w:val="nil"/>
              <w:right w:val="nil"/>
            </w:tcBorders>
            <w:shd w:val="clear" w:color="auto" w:fill="auto"/>
            <w:noWrap/>
            <w:vAlign w:val="center"/>
            <w:hideMark/>
          </w:tcPr>
          <w:p w14:paraId="6CBD7B13" w14:textId="77777777" w:rsidR="00005397" w:rsidRPr="00C33339" w:rsidRDefault="00005397" w:rsidP="003877B7">
            <w:pPr>
              <w:pStyle w:val="Table"/>
            </w:pPr>
          </w:p>
        </w:tc>
        <w:tc>
          <w:tcPr>
            <w:tcW w:w="850" w:type="dxa"/>
            <w:tcBorders>
              <w:top w:val="single" w:sz="4" w:space="0" w:color="auto"/>
              <w:left w:val="nil"/>
              <w:bottom w:val="single" w:sz="4" w:space="0" w:color="auto"/>
              <w:right w:val="nil"/>
            </w:tcBorders>
            <w:shd w:val="clear" w:color="auto" w:fill="auto"/>
            <w:vAlign w:val="center"/>
          </w:tcPr>
          <w:p w14:paraId="3C27796B" w14:textId="77777777" w:rsidR="00005397" w:rsidRPr="00C33339" w:rsidRDefault="00005397" w:rsidP="003877B7">
            <w:pPr>
              <w:pStyle w:val="Table"/>
            </w:pPr>
            <w:r w:rsidRPr="00C33339">
              <w:t>sbnt-q</w:t>
            </w:r>
          </w:p>
        </w:tc>
        <w:tc>
          <w:tcPr>
            <w:tcW w:w="851" w:type="dxa"/>
            <w:tcBorders>
              <w:top w:val="single" w:sz="4" w:space="0" w:color="auto"/>
              <w:left w:val="nil"/>
              <w:bottom w:val="single" w:sz="4" w:space="0" w:color="auto"/>
              <w:right w:val="nil"/>
            </w:tcBorders>
            <w:shd w:val="clear" w:color="auto" w:fill="auto"/>
            <w:noWrap/>
            <w:vAlign w:val="center"/>
            <w:hideMark/>
          </w:tcPr>
          <w:p w14:paraId="5169DEE7" w14:textId="77777777" w:rsidR="00005397" w:rsidRPr="00C33339" w:rsidRDefault="00005397" w:rsidP="003877B7">
            <w:pPr>
              <w:pStyle w:val="Table"/>
            </w:pPr>
            <w:r w:rsidRPr="00C33339">
              <w:t>DDD</w:t>
            </w:r>
          </w:p>
        </w:tc>
        <w:tc>
          <w:tcPr>
            <w:tcW w:w="803" w:type="dxa"/>
            <w:tcBorders>
              <w:top w:val="single" w:sz="4" w:space="0" w:color="auto"/>
              <w:left w:val="nil"/>
              <w:bottom w:val="single" w:sz="4" w:space="0" w:color="auto"/>
              <w:right w:val="nil"/>
            </w:tcBorders>
            <w:shd w:val="clear" w:color="auto" w:fill="auto"/>
            <w:noWrap/>
            <w:vAlign w:val="center"/>
            <w:hideMark/>
          </w:tcPr>
          <w:p w14:paraId="6599265F" w14:textId="77777777" w:rsidR="00005397" w:rsidRPr="00C33339" w:rsidRDefault="00005397" w:rsidP="003877B7">
            <w:pPr>
              <w:pStyle w:val="Table"/>
            </w:pPr>
            <w:r w:rsidRPr="00C33339">
              <w:t>-0.84</w:t>
            </w:r>
          </w:p>
        </w:tc>
        <w:tc>
          <w:tcPr>
            <w:tcW w:w="803" w:type="dxa"/>
            <w:tcBorders>
              <w:top w:val="single" w:sz="4" w:space="0" w:color="auto"/>
              <w:left w:val="nil"/>
              <w:bottom w:val="single" w:sz="4" w:space="0" w:color="auto"/>
              <w:right w:val="nil"/>
            </w:tcBorders>
            <w:shd w:val="clear" w:color="auto" w:fill="auto"/>
            <w:noWrap/>
            <w:vAlign w:val="center"/>
            <w:hideMark/>
          </w:tcPr>
          <w:p w14:paraId="3F61FE47" w14:textId="77777777" w:rsidR="00005397" w:rsidRPr="00C33339" w:rsidRDefault="00005397" w:rsidP="003877B7">
            <w:pPr>
              <w:pStyle w:val="Table"/>
            </w:pPr>
            <w:r w:rsidRPr="00C33339">
              <w:t>0.88</w:t>
            </w:r>
          </w:p>
        </w:tc>
        <w:tc>
          <w:tcPr>
            <w:tcW w:w="804" w:type="dxa"/>
            <w:tcBorders>
              <w:top w:val="single" w:sz="4" w:space="0" w:color="auto"/>
              <w:left w:val="nil"/>
              <w:bottom w:val="single" w:sz="4" w:space="0" w:color="auto"/>
              <w:right w:val="nil"/>
            </w:tcBorders>
            <w:shd w:val="clear" w:color="auto" w:fill="auto"/>
            <w:noWrap/>
            <w:vAlign w:val="center"/>
            <w:hideMark/>
          </w:tcPr>
          <w:p w14:paraId="2D64B59F" w14:textId="77777777" w:rsidR="00005397" w:rsidRPr="00C33339" w:rsidRDefault="00005397" w:rsidP="003877B7">
            <w:pPr>
              <w:pStyle w:val="Table"/>
            </w:pPr>
            <w:r w:rsidRPr="00C33339">
              <w:t>-0.95</w:t>
            </w:r>
          </w:p>
        </w:tc>
        <w:tc>
          <w:tcPr>
            <w:tcW w:w="992" w:type="dxa"/>
            <w:tcBorders>
              <w:top w:val="single" w:sz="4" w:space="0" w:color="auto"/>
              <w:left w:val="nil"/>
              <w:bottom w:val="single" w:sz="4" w:space="0" w:color="auto"/>
              <w:right w:val="nil"/>
            </w:tcBorders>
            <w:shd w:val="clear" w:color="auto" w:fill="auto"/>
            <w:noWrap/>
            <w:vAlign w:val="center"/>
            <w:hideMark/>
          </w:tcPr>
          <w:p w14:paraId="0B9867B6" w14:textId="77777777" w:rsidR="00005397" w:rsidRPr="00C33339" w:rsidRDefault="00005397" w:rsidP="003877B7">
            <w:pPr>
              <w:pStyle w:val="Table"/>
            </w:pPr>
            <w:r w:rsidRPr="00C33339">
              <w:t>0.34</w:t>
            </w:r>
          </w:p>
        </w:tc>
        <w:tc>
          <w:tcPr>
            <w:tcW w:w="283" w:type="dxa"/>
            <w:tcBorders>
              <w:left w:val="nil"/>
              <w:right w:val="nil"/>
            </w:tcBorders>
            <w:shd w:val="clear" w:color="auto" w:fill="auto"/>
            <w:noWrap/>
            <w:vAlign w:val="center"/>
            <w:hideMark/>
          </w:tcPr>
          <w:p w14:paraId="70CF6783" w14:textId="77777777" w:rsidR="00005397" w:rsidRPr="00C33339" w:rsidRDefault="00005397" w:rsidP="003877B7">
            <w:pPr>
              <w:pStyle w:val="Table"/>
            </w:pPr>
          </w:p>
        </w:tc>
        <w:tc>
          <w:tcPr>
            <w:tcW w:w="886" w:type="dxa"/>
            <w:tcBorders>
              <w:top w:val="single" w:sz="4" w:space="0" w:color="auto"/>
              <w:left w:val="nil"/>
              <w:bottom w:val="single" w:sz="4" w:space="0" w:color="auto"/>
              <w:right w:val="nil"/>
            </w:tcBorders>
            <w:shd w:val="clear" w:color="auto" w:fill="auto"/>
            <w:noWrap/>
            <w:vAlign w:val="center"/>
            <w:hideMark/>
          </w:tcPr>
          <w:p w14:paraId="5FC307D8" w14:textId="77777777" w:rsidR="00005397" w:rsidRPr="00C33339" w:rsidRDefault="00005397" w:rsidP="003877B7">
            <w:pPr>
              <w:pStyle w:val="Table"/>
            </w:pPr>
            <w:r w:rsidRPr="00C33339">
              <w:t>-0.30</w:t>
            </w:r>
          </w:p>
        </w:tc>
        <w:tc>
          <w:tcPr>
            <w:tcW w:w="886" w:type="dxa"/>
            <w:tcBorders>
              <w:top w:val="single" w:sz="4" w:space="0" w:color="auto"/>
              <w:left w:val="nil"/>
              <w:bottom w:val="single" w:sz="4" w:space="0" w:color="auto"/>
              <w:right w:val="nil"/>
            </w:tcBorders>
            <w:shd w:val="clear" w:color="auto" w:fill="auto"/>
            <w:noWrap/>
            <w:vAlign w:val="center"/>
            <w:hideMark/>
          </w:tcPr>
          <w:p w14:paraId="5810E207" w14:textId="77777777" w:rsidR="00005397" w:rsidRPr="00C33339" w:rsidRDefault="00005397" w:rsidP="003877B7">
            <w:pPr>
              <w:pStyle w:val="Table"/>
            </w:pPr>
            <w:r w:rsidRPr="00C33339">
              <w:t>0.34</w:t>
            </w:r>
          </w:p>
        </w:tc>
        <w:tc>
          <w:tcPr>
            <w:tcW w:w="886" w:type="dxa"/>
            <w:tcBorders>
              <w:top w:val="single" w:sz="4" w:space="0" w:color="auto"/>
              <w:left w:val="nil"/>
              <w:bottom w:val="single" w:sz="4" w:space="0" w:color="auto"/>
              <w:right w:val="nil"/>
            </w:tcBorders>
            <w:shd w:val="clear" w:color="auto" w:fill="auto"/>
            <w:noWrap/>
            <w:vAlign w:val="center"/>
            <w:hideMark/>
          </w:tcPr>
          <w:p w14:paraId="1ABC0A5A" w14:textId="77777777" w:rsidR="00005397" w:rsidRPr="00C33339" w:rsidRDefault="00005397" w:rsidP="003877B7">
            <w:pPr>
              <w:pStyle w:val="Table"/>
            </w:pPr>
            <w:r w:rsidRPr="00C33339">
              <w:t>-1.08</w:t>
            </w:r>
          </w:p>
        </w:tc>
        <w:tc>
          <w:tcPr>
            <w:tcW w:w="886" w:type="dxa"/>
            <w:tcBorders>
              <w:top w:val="single" w:sz="4" w:space="0" w:color="auto"/>
              <w:left w:val="nil"/>
              <w:bottom w:val="single" w:sz="4" w:space="0" w:color="auto"/>
              <w:right w:val="nil"/>
            </w:tcBorders>
            <w:shd w:val="clear" w:color="auto" w:fill="auto"/>
            <w:noWrap/>
            <w:vAlign w:val="center"/>
            <w:hideMark/>
          </w:tcPr>
          <w:p w14:paraId="3AE5D013" w14:textId="77777777" w:rsidR="00005397" w:rsidRPr="00C33339" w:rsidRDefault="00005397" w:rsidP="003877B7">
            <w:pPr>
              <w:pStyle w:val="Table"/>
            </w:pPr>
            <w:r w:rsidRPr="00C33339">
              <w:t>0.30</w:t>
            </w:r>
          </w:p>
        </w:tc>
      </w:tr>
    </w:tbl>
    <w:p w14:paraId="5B91787B" w14:textId="77777777" w:rsidR="003877B7" w:rsidRDefault="003877B7" w:rsidP="003877B7">
      <w:pPr>
        <w:pStyle w:val="Table"/>
      </w:pPr>
    </w:p>
    <w:p w14:paraId="76C7F0C7" w14:textId="77777777" w:rsidR="00005397" w:rsidRPr="00C33339" w:rsidRDefault="0015172E" w:rsidP="003877B7">
      <w:pPr>
        <w:pStyle w:val="Table"/>
      </w:pPr>
      <w:r w:rsidRPr="003877B7">
        <w:rPr>
          <w:i/>
        </w:rPr>
        <w:t>Note</w:t>
      </w:r>
      <w:r w:rsidRPr="00C33339">
        <w:t>.</w:t>
      </w:r>
      <w:r w:rsidR="003877B7">
        <w:t xml:space="preserve"> </w:t>
      </w:r>
      <w:r w:rsidR="00005397" w:rsidRPr="00C33339">
        <w:t>X</w:t>
      </w:r>
      <w:r w:rsidR="003877B7">
        <w:t>=</w:t>
      </w:r>
      <w:r w:rsidR="00005397" w:rsidRPr="00C33339">
        <w:t>independent variable</w:t>
      </w:r>
      <w:r w:rsidR="00BD2320" w:rsidRPr="00C33339">
        <w:t xml:space="preserve"> </w:t>
      </w:r>
      <w:r w:rsidR="00662FED" w:rsidRPr="00C33339">
        <w:t>(</w:t>
      </w:r>
      <w:r w:rsidR="00005397" w:rsidRPr="00C33339">
        <w:t>treatment</w:t>
      </w:r>
      <w:r w:rsidR="002F552E" w:rsidRPr="00C33339">
        <w:t xml:space="preserve"> allocated in the </w:t>
      </w:r>
      <w:r w:rsidR="002F552E" w:rsidRPr="00EB5F70">
        <w:t xml:space="preserve">present </w:t>
      </w:r>
      <w:r w:rsidR="00105977" w:rsidRPr="00EB5F70">
        <w:t>analysis</w:t>
      </w:r>
      <w:r w:rsidR="006909B8" w:rsidRPr="00EB5F70">
        <w:t>:</w:t>
      </w:r>
      <w:r w:rsidR="002F552E" w:rsidRPr="00EB5F70">
        <w:t xml:space="preserve"> </w:t>
      </w:r>
      <w:r w:rsidR="00005397" w:rsidRPr="00EB5F70">
        <w:t xml:space="preserve">MET, motivational enhancement therapy; SBNT, social </w:t>
      </w:r>
      <w:r w:rsidR="00F663EE" w:rsidRPr="00EB5F70">
        <w:t>behavior</w:t>
      </w:r>
      <w:r w:rsidR="00005397" w:rsidRPr="00EB5F70">
        <w:t xml:space="preserve"> and network therapy)</w:t>
      </w:r>
      <w:r w:rsidR="002F552E" w:rsidRPr="00EB5F70">
        <w:t>.</w:t>
      </w:r>
      <w:r w:rsidR="003877B7" w:rsidRPr="00EB5F70">
        <w:t xml:space="preserve"> </w:t>
      </w:r>
      <w:r w:rsidR="00005397" w:rsidRPr="00EB5F70">
        <w:t>M</w:t>
      </w:r>
      <w:r w:rsidR="003877B7" w:rsidRPr="00EB5F70">
        <w:t>=</w:t>
      </w:r>
      <w:r w:rsidR="00005397" w:rsidRPr="00EB5F70">
        <w:t>mediator</w:t>
      </w:r>
      <w:r w:rsidR="00BD2320" w:rsidRPr="00EB5F70">
        <w:t xml:space="preserve"> </w:t>
      </w:r>
      <w:r w:rsidR="00662FED" w:rsidRPr="00EB5F70">
        <w:t>(</w:t>
      </w:r>
      <w:r w:rsidR="002F552E" w:rsidRPr="00EB5F70">
        <w:t>Process Rating Scale summary</w:t>
      </w:r>
      <w:r w:rsidR="002F552E" w:rsidRPr="00C33339">
        <w:t xml:space="preserve"> scores in the present study</w:t>
      </w:r>
      <w:r w:rsidR="006909B8" w:rsidRPr="00C33339">
        <w:t>:</w:t>
      </w:r>
      <w:r w:rsidR="002F552E" w:rsidRPr="00C33339">
        <w:t xml:space="preserve"> met-f, frequency of MET </w:t>
      </w:r>
      <w:r w:rsidR="00F663EE" w:rsidRPr="00C33339">
        <w:t>behaviors</w:t>
      </w:r>
      <w:r w:rsidR="002F552E" w:rsidRPr="00C33339">
        <w:t xml:space="preserve">; met-q, quality of MET </w:t>
      </w:r>
      <w:r w:rsidR="00F663EE" w:rsidRPr="00C33339">
        <w:lastRenderedPageBreak/>
        <w:t>behaviors</w:t>
      </w:r>
      <w:r w:rsidR="002F552E" w:rsidRPr="00C33339">
        <w:t>;</w:t>
      </w:r>
      <w:r w:rsidR="00BD2320" w:rsidRPr="00C33339">
        <w:t xml:space="preserve"> </w:t>
      </w:r>
      <w:r w:rsidR="002F552E" w:rsidRPr="00C33339">
        <w:t xml:space="preserve">sbnt-f, frequency of SBNT </w:t>
      </w:r>
      <w:r w:rsidR="00F663EE" w:rsidRPr="00C33339">
        <w:t>behaviors</w:t>
      </w:r>
      <w:r w:rsidR="002F552E" w:rsidRPr="00C33339">
        <w:t xml:space="preserve">; sbnt-q, </w:t>
      </w:r>
      <w:r w:rsidR="002F552E" w:rsidRPr="00EB5F70">
        <w:t xml:space="preserve">quality of SBNT </w:t>
      </w:r>
      <w:r w:rsidR="00F663EE" w:rsidRPr="00EB5F70">
        <w:t>behaviors</w:t>
      </w:r>
      <w:r w:rsidR="002F552E" w:rsidRPr="00EB5F70">
        <w:t>).</w:t>
      </w:r>
      <w:r w:rsidR="003877B7" w:rsidRPr="00EB5F70">
        <w:t xml:space="preserve"> Y=</w:t>
      </w:r>
      <w:r w:rsidR="00005397" w:rsidRPr="00EB5F70">
        <w:t>dependent variable</w:t>
      </w:r>
      <w:r w:rsidR="00BD2320" w:rsidRPr="00EB5F70">
        <w:t xml:space="preserve"> </w:t>
      </w:r>
      <w:r w:rsidR="00662FED" w:rsidRPr="00EB5F70">
        <w:t>(</w:t>
      </w:r>
      <w:r w:rsidR="006F0715" w:rsidRPr="00EB5F70">
        <w:t xml:space="preserve">12-month </w:t>
      </w:r>
      <w:r w:rsidR="002F552E" w:rsidRPr="00EB5F70">
        <w:t xml:space="preserve">alcohol outcome in the present </w:t>
      </w:r>
      <w:r w:rsidR="00105977" w:rsidRPr="00EB5F70">
        <w:t>analysis</w:t>
      </w:r>
      <w:r w:rsidR="002F552E" w:rsidRPr="00EB5F70">
        <w:t>; DDD, drinks per drinking days; PDA, percent day</w:t>
      </w:r>
      <w:r w:rsidR="002F552E" w:rsidRPr="00C33339">
        <w:t>s abstinent).</w:t>
      </w:r>
      <w:r w:rsidR="003877B7">
        <w:t xml:space="preserve"> </w:t>
      </w:r>
      <w:r w:rsidR="00005397" w:rsidRPr="00C33339">
        <w:t>SE</w:t>
      </w:r>
      <w:r w:rsidR="003877B7">
        <w:t>=</w:t>
      </w:r>
      <w:r w:rsidR="002F552E" w:rsidRPr="00C33339">
        <w:t>standard error; CI</w:t>
      </w:r>
      <w:r w:rsidR="003877B7">
        <w:t>=</w:t>
      </w:r>
      <w:r w:rsidR="002F552E" w:rsidRPr="00C33339">
        <w:t>confidence interval.</w:t>
      </w:r>
    </w:p>
    <w:p w14:paraId="6F6D0A49" w14:textId="77777777" w:rsidR="002F552E" w:rsidRPr="00C33339" w:rsidRDefault="002F552E" w:rsidP="003877B7">
      <w:pPr>
        <w:pStyle w:val="Table"/>
      </w:pPr>
      <w:r w:rsidRPr="00C33339">
        <w:t xml:space="preserve">* </w:t>
      </w:r>
      <w:r w:rsidR="006F0715" w:rsidRPr="00C33339">
        <w:t>estimated</w:t>
      </w:r>
      <w:r w:rsidRPr="00C33339">
        <w:t xml:space="preserve"> on 5000 bootstrap samples.</w:t>
      </w:r>
    </w:p>
    <w:p w14:paraId="4530866F" w14:textId="77777777" w:rsidR="005A56DD" w:rsidRPr="00C33339" w:rsidRDefault="00662FED" w:rsidP="003877B7">
      <w:pPr>
        <w:pStyle w:val="Table"/>
        <w:sectPr w:rsidR="005A56DD" w:rsidRPr="00C33339" w:rsidSect="00A432C0">
          <w:pgSz w:w="16839" w:h="11907" w:orient="landscape" w:code="9"/>
          <w:pgMar w:top="1134" w:right="1134" w:bottom="1134" w:left="1134" w:header="720" w:footer="567" w:gutter="0"/>
          <w:cols w:space="720"/>
          <w:docGrid w:linePitch="360"/>
        </w:sectPr>
      </w:pPr>
      <w:r w:rsidRPr="00C33339">
        <w:t>All models are ordinary least squares regressions controll</w:t>
      </w:r>
      <w:r w:rsidR="00563FC3" w:rsidRPr="00C33339">
        <w:t>ing</w:t>
      </w:r>
      <w:r w:rsidRPr="00C33339">
        <w:t xml:space="preserve"> for baseline measure of the dependent variable, gender, age, and number of days from baseline.</w:t>
      </w:r>
    </w:p>
    <w:p w14:paraId="71A22A29" w14:textId="77777777" w:rsidR="00CD0F47" w:rsidRPr="00EB5F70" w:rsidRDefault="00CD0F47" w:rsidP="00CD0F47">
      <w:pPr>
        <w:pStyle w:val="Heading4"/>
      </w:pPr>
      <w:r w:rsidRPr="00EB5F70">
        <w:lastRenderedPageBreak/>
        <w:t>Table 3</w:t>
      </w:r>
    </w:p>
    <w:p w14:paraId="75385EED" w14:textId="77777777" w:rsidR="00CD0F47" w:rsidRPr="00EB5F70" w:rsidRDefault="00CD0F47" w:rsidP="00CD0F47">
      <w:pPr>
        <w:pStyle w:val="Heading4"/>
      </w:pPr>
      <w:r w:rsidRPr="00EB5F70">
        <w:t xml:space="preserve">Descriptive statistics of PRS MET quality items </w:t>
      </w:r>
    </w:p>
    <w:tbl>
      <w:tblPr>
        <w:tblW w:w="12188" w:type="dxa"/>
        <w:tblInd w:w="56"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4025"/>
        <w:gridCol w:w="907"/>
        <w:gridCol w:w="907"/>
        <w:gridCol w:w="907"/>
        <w:gridCol w:w="907"/>
        <w:gridCol w:w="907"/>
        <w:gridCol w:w="907"/>
        <w:gridCol w:w="907"/>
        <w:gridCol w:w="907"/>
        <w:gridCol w:w="907"/>
      </w:tblGrid>
      <w:tr w:rsidR="00CD0F47" w:rsidRPr="00EB5F70" w14:paraId="57FDAB2D" w14:textId="77777777" w:rsidTr="002960D2">
        <w:trPr>
          <w:trHeight w:val="170"/>
        </w:trPr>
        <w:tc>
          <w:tcPr>
            <w:tcW w:w="4025" w:type="dxa"/>
            <w:tcBorders>
              <w:right w:val="single" w:sz="4" w:space="0" w:color="auto"/>
            </w:tcBorders>
            <w:shd w:val="clear" w:color="auto" w:fill="auto"/>
            <w:noWrap/>
            <w:vAlign w:val="bottom"/>
            <w:hideMark/>
          </w:tcPr>
          <w:p w14:paraId="0E9EAA01" w14:textId="77777777" w:rsidR="00CD0F47" w:rsidRPr="00EB5F70" w:rsidRDefault="00CD0F47" w:rsidP="002960D2">
            <w:pPr>
              <w:pStyle w:val="Table"/>
            </w:pPr>
          </w:p>
        </w:tc>
        <w:tc>
          <w:tcPr>
            <w:tcW w:w="907" w:type="dxa"/>
            <w:tcBorders>
              <w:left w:val="single" w:sz="4" w:space="0" w:color="auto"/>
            </w:tcBorders>
            <w:shd w:val="clear" w:color="auto" w:fill="auto"/>
            <w:noWrap/>
            <w:vAlign w:val="bottom"/>
            <w:hideMark/>
          </w:tcPr>
          <w:p w14:paraId="77EC9E3C" w14:textId="77777777" w:rsidR="00CD0F47" w:rsidRPr="00EB5F70" w:rsidRDefault="00CD0F47" w:rsidP="002960D2">
            <w:pPr>
              <w:pStyle w:val="Table"/>
              <w:rPr>
                <w:lang w:val="fr-CH"/>
              </w:rPr>
            </w:pPr>
            <w:r w:rsidRPr="00EB5F70">
              <w:rPr>
                <w:lang w:val="fr-CH"/>
              </w:rPr>
              <w:t>MET</w:t>
            </w:r>
          </w:p>
        </w:tc>
        <w:tc>
          <w:tcPr>
            <w:tcW w:w="907" w:type="dxa"/>
            <w:shd w:val="clear" w:color="auto" w:fill="auto"/>
            <w:noWrap/>
            <w:vAlign w:val="bottom"/>
            <w:hideMark/>
          </w:tcPr>
          <w:p w14:paraId="4B7F54A3" w14:textId="77777777" w:rsidR="00CD0F47" w:rsidRPr="00EB5F70" w:rsidRDefault="00CD0F47" w:rsidP="002960D2">
            <w:pPr>
              <w:pStyle w:val="Table"/>
              <w:rPr>
                <w:lang w:val="fr-CH"/>
              </w:rPr>
            </w:pPr>
          </w:p>
        </w:tc>
        <w:tc>
          <w:tcPr>
            <w:tcW w:w="907" w:type="dxa"/>
            <w:tcBorders>
              <w:right w:val="single" w:sz="4" w:space="0" w:color="auto"/>
            </w:tcBorders>
            <w:shd w:val="clear" w:color="auto" w:fill="auto"/>
            <w:noWrap/>
            <w:vAlign w:val="bottom"/>
            <w:hideMark/>
          </w:tcPr>
          <w:p w14:paraId="6EDEE055" w14:textId="77777777" w:rsidR="00CD0F47" w:rsidRPr="00EB5F70" w:rsidRDefault="00CD0F47" w:rsidP="002960D2">
            <w:pPr>
              <w:pStyle w:val="Table"/>
              <w:rPr>
                <w:lang w:val="fr-CH"/>
              </w:rPr>
            </w:pPr>
          </w:p>
        </w:tc>
        <w:tc>
          <w:tcPr>
            <w:tcW w:w="907" w:type="dxa"/>
            <w:tcBorders>
              <w:left w:val="single" w:sz="4" w:space="0" w:color="auto"/>
            </w:tcBorders>
            <w:shd w:val="clear" w:color="auto" w:fill="auto"/>
            <w:noWrap/>
            <w:vAlign w:val="bottom"/>
            <w:hideMark/>
          </w:tcPr>
          <w:p w14:paraId="77510507" w14:textId="77777777" w:rsidR="00CD0F47" w:rsidRPr="00EB5F70" w:rsidRDefault="00CD0F47" w:rsidP="002960D2">
            <w:pPr>
              <w:pStyle w:val="Table"/>
              <w:rPr>
                <w:lang w:val="fr-CH"/>
              </w:rPr>
            </w:pPr>
            <w:r w:rsidRPr="00EB5F70">
              <w:rPr>
                <w:lang w:val="fr-CH"/>
              </w:rPr>
              <w:t>SBNT</w:t>
            </w:r>
          </w:p>
        </w:tc>
        <w:tc>
          <w:tcPr>
            <w:tcW w:w="907" w:type="dxa"/>
            <w:shd w:val="clear" w:color="auto" w:fill="auto"/>
            <w:noWrap/>
            <w:vAlign w:val="bottom"/>
            <w:hideMark/>
          </w:tcPr>
          <w:p w14:paraId="7A3AC9F6" w14:textId="77777777" w:rsidR="00CD0F47" w:rsidRPr="00EB5F70" w:rsidRDefault="00CD0F47" w:rsidP="002960D2">
            <w:pPr>
              <w:pStyle w:val="Table"/>
              <w:rPr>
                <w:lang w:val="fr-CH"/>
              </w:rPr>
            </w:pPr>
          </w:p>
        </w:tc>
        <w:tc>
          <w:tcPr>
            <w:tcW w:w="907" w:type="dxa"/>
            <w:tcBorders>
              <w:right w:val="single" w:sz="4" w:space="0" w:color="auto"/>
            </w:tcBorders>
            <w:shd w:val="clear" w:color="auto" w:fill="auto"/>
            <w:noWrap/>
            <w:vAlign w:val="bottom"/>
            <w:hideMark/>
          </w:tcPr>
          <w:p w14:paraId="3C62DC47" w14:textId="77777777" w:rsidR="00CD0F47" w:rsidRPr="00EB5F70" w:rsidRDefault="00CD0F47" w:rsidP="002960D2">
            <w:pPr>
              <w:pStyle w:val="Table"/>
              <w:rPr>
                <w:lang w:val="fr-CH"/>
              </w:rPr>
            </w:pPr>
            <w:r w:rsidRPr="00EB5F70">
              <w:rPr>
                <w:lang w:val="fr-CH"/>
              </w:rPr>
              <w:t> </w:t>
            </w:r>
          </w:p>
        </w:tc>
        <w:tc>
          <w:tcPr>
            <w:tcW w:w="907" w:type="dxa"/>
            <w:tcBorders>
              <w:left w:val="single" w:sz="4" w:space="0" w:color="auto"/>
            </w:tcBorders>
            <w:shd w:val="clear" w:color="auto" w:fill="auto"/>
            <w:noWrap/>
            <w:vAlign w:val="bottom"/>
            <w:hideMark/>
          </w:tcPr>
          <w:p w14:paraId="37A957A6" w14:textId="77777777" w:rsidR="00CD0F47" w:rsidRPr="00EB5F70" w:rsidRDefault="00CD0F47" w:rsidP="002960D2">
            <w:pPr>
              <w:pStyle w:val="Table"/>
              <w:rPr>
                <w:lang w:val="fr-CH"/>
              </w:rPr>
            </w:pPr>
            <w:r w:rsidRPr="00EB5F70">
              <w:rPr>
                <w:lang w:val="fr-CH"/>
              </w:rPr>
              <w:t>Total</w:t>
            </w:r>
          </w:p>
        </w:tc>
        <w:tc>
          <w:tcPr>
            <w:tcW w:w="907" w:type="dxa"/>
            <w:shd w:val="clear" w:color="auto" w:fill="auto"/>
            <w:noWrap/>
            <w:vAlign w:val="bottom"/>
            <w:hideMark/>
          </w:tcPr>
          <w:p w14:paraId="76945C8F" w14:textId="77777777" w:rsidR="00CD0F47" w:rsidRPr="00EB5F70" w:rsidRDefault="00CD0F47" w:rsidP="002960D2">
            <w:pPr>
              <w:pStyle w:val="Table"/>
              <w:rPr>
                <w:lang w:val="fr-CH"/>
              </w:rPr>
            </w:pPr>
          </w:p>
        </w:tc>
        <w:tc>
          <w:tcPr>
            <w:tcW w:w="907" w:type="dxa"/>
            <w:tcBorders>
              <w:right w:val="single" w:sz="4" w:space="0" w:color="auto"/>
            </w:tcBorders>
            <w:shd w:val="clear" w:color="auto" w:fill="auto"/>
            <w:noWrap/>
            <w:vAlign w:val="bottom"/>
            <w:hideMark/>
          </w:tcPr>
          <w:p w14:paraId="34AFD150" w14:textId="77777777" w:rsidR="00CD0F47" w:rsidRPr="00EB5F70" w:rsidRDefault="00CD0F47" w:rsidP="002960D2">
            <w:pPr>
              <w:pStyle w:val="Table"/>
              <w:rPr>
                <w:lang w:val="fr-CH"/>
              </w:rPr>
            </w:pPr>
          </w:p>
        </w:tc>
      </w:tr>
      <w:tr w:rsidR="00CD0F47" w:rsidRPr="0066554B" w14:paraId="3B74860A" w14:textId="77777777" w:rsidTr="002960D2">
        <w:trPr>
          <w:trHeight w:val="170"/>
        </w:trPr>
        <w:tc>
          <w:tcPr>
            <w:tcW w:w="4025" w:type="dxa"/>
            <w:tcBorders>
              <w:right w:val="single" w:sz="4" w:space="0" w:color="auto"/>
            </w:tcBorders>
            <w:shd w:val="clear" w:color="auto" w:fill="auto"/>
            <w:noWrap/>
            <w:vAlign w:val="bottom"/>
            <w:hideMark/>
          </w:tcPr>
          <w:p w14:paraId="399CB145" w14:textId="77777777" w:rsidR="00CD0F47" w:rsidRPr="00EB5F70" w:rsidRDefault="00CD0F47" w:rsidP="002960D2">
            <w:pPr>
              <w:pStyle w:val="Table"/>
              <w:rPr>
                <w:lang w:val="fr-CH"/>
              </w:rPr>
            </w:pPr>
          </w:p>
        </w:tc>
        <w:tc>
          <w:tcPr>
            <w:tcW w:w="907" w:type="dxa"/>
            <w:tcBorders>
              <w:left w:val="single" w:sz="4" w:space="0" w:color="auto"/>
            </w:tcBorders>
            <w:shd w:val="clear" w:color="auto" w:fill="auto"/>
            <w:noWrap/>
            <w:vAlign w:val="bottom"/>
            <w:hideMark/>
          </w:tcPr>
          <w:p w14:paraId="4B496853" w14:textId="77777777" w:rsidR="00CD0F47" w:rsidRPr="00EB5F70" w:rsidRDefault="00CD0F47" w:rsidP="002960D2">
            <w:pPr>
              <w:pStyle w:val="Table"/>
              <w:rPr>
                <w:lang w:val="fr-CH"/>
              </w:rPr>
            </w:pPr>
            <w:r w:rsidRPr="00EB5F70">
              <w:rPr>
                <w:lang w:val="fr-CH"/>
              </w:rPr>
              <w:t>N</w:t>
            </w:r>
          </w:p>
        </w:tc>
        <w:tc>
          <w:tcPr>
            <w:tcW w:w="907" w:type="dxa"/>
            <w:shd w:val="clear" w:color="auto" w:fill="auto"/>
            <w:noWrap/>
            <w:vAlign w:val="bottom"/>
            <w:hideMark/>
          </w:tcPr>
          <w:p w14:paraId="5A342433" w14:textId="77777777" w:rsidR="00CD0F47" w:rsidRPr="00EB5F70" w:rsidRDefault="00CD0F47" w:rsidP="002960D2">
            <w:pPr>
              <w:pStyle w:val="Table"/>
              <w:rPr>
                <w:lang w:val="fr-CH"/>
              </w:rPr>
            </w:pPr>
            <w:r w:rsidRPr="00EB5F70">
              <w:rPr>
                <w:lang w:val="fr-CH"/>
              </w:rPr>
              <w:t>Mean</w:t>
            </w:r>
          </w:p>
        </w:tc>
        <w:tc>
          <w:tcPr>
            <w:tcW w:w="907" w:type="dxa"/>
            <w:tcBorders>
              <w:right w:val="single" w:sz="4" w:space="0" w:color="auto"/>
            </w:tcBorders>
            <w:shd w:val="clear" w:color="auto" w:fill="auto"/>
            <w:noWrap/>
            <w:vAlign w:val="bottom"/>
            <w:hideMark/>
          </w:tcPr>
          <w:p w14:paraId="1D5D8F86" w14:textId="77777777" w:rsidR="00CD0F47" w:rsidRPr="00EB5F70" w:rsidRDefault="00CD0F47" w:rsidP="002960D2">
            <w:pPr>
              <w:pStyle w:val="Table"/>
              <w:rPr>
                <w:lang w:val="fr-CH"/>
              </w:rPr>
            </w:pPr>
            <w:r w:rsidRPr="00EB5F70">
              <w:rPr>
                <w:lang w:val="fr-CH"/>
              </w:rPr>
              <w:t>SD</w:t>
            </w:r>
          </w:p>
        </w:tc>
        <w:tc>
          <w:tcPr>
            <w:tcW w:w="907" w:type="dxa"/>
            <w:tcBorders>
              <w:left w:val="single" w:sz="4" w:space="0" w:color="auto"/>
            </w:tcBorders>
            <w:shd w:val="clear" w:color="auto" w:fill="auto"/>
            <w:noWrap/>
            <w:vAlign w:val="bottom"/>
            <w:hideMark/>
          </w:tcPr>
          <w:p w14:paraId="2957B6BD" w14:textId="77777777" w:rsidR="00CD0F47" w:rsidRPr="00EB5F70" w:rsidRDefault="00CD0F47" w:rsidP="002960D2">
            <w:pPr>
              <w:pStyle w:val="Table"/>
              <w:rPr>
                <w:lang w:val="fr-CH"/>
              </w:rPr>
            </w:pPr>
            <w:r w:rsidRPr="00EB5F70">
              <w:rPr>
                <w:lang w:val="fr-CH"/>
              </w:rPr>
              <w:t>N</w:t>
            </w:r>
          </w:p>
        </w:tc>
        <w:tc>
          <w:tcPr>
            <w:tcW w:w="907" w:type="dxa"/>
            <w:shd w:val="clear" w:color="auto" w:fill="auto"/>
            <w:noWrap/>
            <w:vAlign w:val="bottom"/>
            <w:hideMark/>
          </w:tcPr>
          <w:p w14:paraId="250A26D6" w14:textId="77777777" w:rsidR="00CD0F47" w:rsidRPr="00EB5F70" w:rsidRDefault="00CD0F47" w:rsidP="002960D2">
            <w:pPr>
              <w:pStyle w:val="Table"/>
              <w:rPr>
                <w:lang w:val="fr-CH"/>
              </w:rPr>
            </w:pPr>
            <w:r w:rsidRPr="00EB5F70">
              <w:rPr>
                <w:lang w:val="fr-CH"/>
              </w:rPr>
              <w:t>Mean</w:t>
            </w:r>
          </w:p>
        </w:tc>
        <w:tc>
          <w:tcPr>
            <w:tcW w:w="907" w:type="dxa"/>
            <w:tcBorders>
              <w:right w:val="single" w:sz="4" w:space="0" w:color="auto"/>
            </w:tcBorders>
            <w:shd w:val="clear" w:color="auto" w:fill="auto"/>
            <w:noWrap/>
            <w:vAlign w:val="bottom"/>
            <w:hideMark/>
          </w:tcPr>
          <w:p w14:paraId="11809FBC" w14:textId="77777777" w:rsidR="00CD0F47" w:rsidRPr="00EB5F70" w:rsidRDefault="00CD0F47" w:rsidP="002960D2">
            <w:pPr>
              <w:pStyle w:val="Table"/>
              <w:rPr>
                <w:lang w:val="fr-CH"/>
              </w:rPr>
            </w:pPr>
            <w:r w:rsidRPr="00EB5F70">
              <w:rPr>
                <w:lang w:val="fr-CH"/>
              </w:rPr>
              <w:t>SD</w:t>
            </w:r>
          </w:p>
        </w:tc>
        <w:tc>
          <w:tcPr>
            <w:tcW w:w="907" w:type="dxa"/>
            <w:tcBorders>
              <w:left w:val="single" w:sz="4" w:space="0" w:color="auto"/>
            </w:tcBorders>
            <w:shd w:val="clear" w:color="auto" w:fill="auto"/>
            <w:noWrap/>
            <w:vAlign w:val="bottom"/>
            <w:hideMark/>
          </w:tcPr>
          <w:p w14:paraId="0E7CA76C" w14:textId="77777777" w:rsidR="00CD0F47" w:rsidRPr="00EB5F70" w:rsidRDefault="00CD0F47" w:rsidP="002960D2">
            <w:pPr>
              <w:pStyle w:val="Table"/>
              <w:rPr>
                <w:lang w:val="fr-CH"/>
              </w:rPr>
            </w:pPr>
            <w:r w:rsidRPr="00EB5F70">
              <w:rPr>
                <w:lang w:val="fr-CH"/>
              </w:rPr>
              <w:t>N</w:t>
            </w:r>
          </w:p>
        </w:tc>
        <w:tc>
          <w:tcPr>
            <w:tcW w:w="907" w:type="dxa"/>
            <w:shd w:val="clear" w:color="auto" w:fill="auto"/>
            <w:noWrap/>
            <w:vAlign w:val="bottom"/>
            <w:hideMark/>
          </w:tcPr>
          <w:p w14:paraId="5F2F8F95" w14:textId="77777777" w:rsidR="00CD0F47" w:rsidRPr="00EB5F70" w:rsidRDefault="00CD0F47" w:rsidP="002960D2">
            <w:pPr>
              <w:pStyle w:val="Table"/>
              <w:rPr>
                <w:lang w:val="fr-CH"/>
              </w:rPr>
            </w:pPr>
            <w:r w:rsidRPr="00EB5F70">
              <w:rPr>
                <w:lang w:val="fr-CH"/>
              </w:rPr>
              <w:t>Mean</w:t>
            </w:r>
          </w:p>
        </w:tc>
        <w:tc>
          <w:tcPr>
            <w:tcW w:w="907" w:type="dxa"/>
            <w:tcBorders>
              <w:right w:val="single" w:sz="4" w:space="0" w:color="auto"/>
            </w:tcBorders>
            <w:shd w:val="clear" w:color="auto" w:fill="auto"/>
            <w:noWrap/>
            <w:vAlign w:val="bottom"/>
            <w:hideMark/>
          </w:tcPr>
          <w:p w14:paraId="3EA42D8E" w14:textId="77777777" w:rsidR="00CD0F47" w:rsidRPr="0066554B" w:rsidRDefault="00CD0F47" w:rsidP="002960D2">
            <w:pPr>
              <w:pStyle w:val="Table"/>
              <w:rPr>
                <w:lang w:val="fr-CH"/>
              </w:rPr>
            </w:pPr>
            <w:r w:rsidRPr="00EB5F70">
              <w:rPr>
                <w:lang w:val="fr-CH"/>
              </w:rPr>
              <w:t>SD</w:t>
            </w:r>
          </w:p>
        </w:tc>
      </w:tr>
      <w:tr w:rsidR="00CD0F47" w:rsidRPr="0066554B" w14:paraId="5B14B5CB" w14:textId="77777777" w:rsidTr="002960D2">
        <w:trPr>
          <w:trHeight w:val="170"/>
        </w:trPr>
        <w:tc>
          <w:tcPr>
            <w:tcW w:w="4025" w:type="dxa"/>
            <w:tcBorders>
              <w:right w:val="single" w:sz="4" w:space="0" w:color="auto"/>
            </w:tcBorders>
            <w:shd w:val="clear" w:color="auto" w:fill="auto"/>
            <w:noWrap/>
            <w:vAlign w:val="bottom"/>
            <w:hideMark/>
          </w:tcPr>
          <w:p w14:paraId="0047053A" w14:textId="77777777" w:rsidR="00CD0F47" w:rsidRPr="0066554B" w:rsidRDefault="00CD0F47" w:rsidP="002960D2">
            <w:pPr>
              <w:pStyle w:val="Table"/>
              <w:rPr>
                <w:lang w:val="fr-CH"/>
              </w:rPr>
            </w:pPr>
            <w:r w:rsidRPr="0066554B">
              <w:t>Focus on ambivalence</w:t>
            </w:r>
          </w:p>
        </w:tc>
        <w:tc>
          <w:tcPr>
            <w:tcW w:w="907" w:type="dxa"/>
            <w:tcBorders>
              <w:left w:val="single" w:sz="4" w:space="0" w:color="auto"/>
            </w:tcBorders>
            <w:shd w:val="clear" w:color="auto" w:fill="auto"/>
            <w:noWrap/>
            <w:vAlign w:val="bottom"/>
            <w:hideMark/>
          </w:tcPr>
          <w:p w14:paraId="3FA04282" w14:textId="77777777" w:rsidR="00CD0F47" w:rsidRPr="0066554B" w:rsidRDefault="00CD0F47" w:rsidP="002960D2">
            <w:pPr>
              <w:pStyle w:val="Table"/>
              <w:rPr>
                <w:lang w:val="fr-CH"/>
              </w:rPr>
            </w:pPr>
            <w:r w:rsidRPr="0066554B">
              <w:rPr>
                <w:lang w:val="fr-CH"/>
              </w:rPr>
              <w:t>71</w:t>
            </w:r>
          </w:p>
        </w:tc>
        <w:tc>
          <w:tcPr>
            <w:tcW w:w="907" w:type="dxa"/>
            <w:shd w:val="clear" w:color="auto" w:fill="auto"/>
            <w:noWrap/>
            <w:vAlign w:val="bottom"/>
            <w:hideMark/>
          </w:tcPr>
          <w:p w14:paraId="0224572A" w14:textId="77777777" w:rsidR="00CD0F47" w:rsidRPr="0066554B" w:rsidRDefault="00CD0F47" w:rsidP="002960D2">
            <w:pPr>
              <w:pStyle w:val="Table"/>
              <w:rPr>
                <w:lang w:val="fr-CH"/>
              </w:rPr>
            </w:pPr>
            <w:r w:rsidRPr="0066554B">
              <w:rPr>
                <w:lang w:val="fr-CH"/>
              </w:rPr>
              <w:t>2.2</w:t>
            </w:r>
          </w:p>
        </w:tc>
        <w:tc>
          <w:tcPr>
            <w:tcW w:w="907" w:type="dxa"/>
            <w:tcBorders>
              <w:right w:val="single" w:sz="4" w:space="0" w:color="auto"/>
            </w:tcBorders>
            <w:shd w:val="clear" w:color="auto" w:fill="auto"/>
            <w:noWrap/>
            <w:vAlign w:val="bottom"/>
            <w:hideMark/>
          </w:tcPr>
          <w:p w14:paraId="47309144" w14:textId="77777777" w:rsidR="00CD0F47" w:rsidRPr="0066554B" w:rsidRDefault="00CD0F47" w:rsidP="002960D2">
            <w:pPr>
              <w:pStyle w:val="Table"/>
              <w:rPr>
                <w:lang w:val="fr-CH"/>
              </w:rPr>
            </w:pPr>
            <w:r w:rsidRPr="0066554B">
              <w:rPr>
                <w:lang w:val="fr-CH"/>
              </w:rPr>
              <w:t>1.0</w:t>
            </w:r>
          </w:p>
        </w:tc>
        <w:tc>
          <w:tcPr>
            <w:tcW w:w="907" w:type="dxa"/>
            <w:tcBorders>
              <w:left w:val="single" w:sz="4" w:space="0" w:color="auto"/>
            </w:tcBorders>
            <w:shd w:val="clear" w:color="auto" w:fill="auto"/>
            <w:noWrap/>
            <w:vAlign w:val="bottom"/>
            <w:hideMark/>
          </w:tcPr>
          <w:p w14:paraId="2D41C196" w14:textId="77777777" w:rsidR="00CD0F47" w:rsidRPr="0066554B" w:rsidRDefault="00CD0F47" w:rsidP="002960D2">
            <w:pPr>
              <w:pStyle w:val="Table"/>
              <w:rPr>
                <w:lang w:val="fr-CH"/>
              </w:rPr>
            </w:pPr>
            <w:r w:rsidRPr="0066554B">
              <w:rPr>
                <w:lang w:val="fr-CH"/>
              </w:rPr>
              <w:t>3</w:t>
            </w:r>
          </w:p>
        </w:tc>
        <w:tc>
          <w:tcPr>
            <w:tcW w:w="907" w:type="dxa"/>
            <w:shd w:val="clear" w:color="auto" w:fill="auto"/>
            <w:noWrap/>
            <w:vAlign w:val="bottom"/>
            <w:hideMark/>
          </w:tcPr>
          <w:p w14:paraId="4EAC66D7" w14:textId="77777777" w:rsidR="00CD0F47" w:rsidRPr="0066554B" w:rsidRDefault="00CD0F47" w:rsidP="002960D2">
            <w:pPr>
              <w:pStyle w:val="Table"/>
              <w:rPr>
                <w:lang w:val="fr-CH"/>
              </w:rPr>
            </w:pPr>
            <w:r w:rsidRPr="0066554B">
              <w:rPr>
                <w:lang w:val="fr-CH"/>
              </w:rPr>
              <w:t>2.3</w:t>
            </w:r>
          </w:p>
        </w:tc>
        <w:tc>
          <w:tcPr>
            <w:tcW w:w="907" w:type="dxa"/>
            <w:tcBorders>
              <w:right w:val="single" w:sz="4" w:space="0" w:color="auto"/>
            </w:tcBorders>
            <w:shd w:val="clear" w:color="auto" w:fill="auto"/>
            <w:noWrap/>
            <w:vAlign w:val="bottom"/>
            <w:hideMark/>
          </w:tcPr>
          <w:p w14:paraId="46F22DA8" w14:textId="77777777" w:rsidR="00CD0F47" w:rsidRPr="0066554B" w:rsidRDefault="00CD0F47" w:rsidP="002960D2">
            <w:pPr>
              <w:pStyle w:val="Table"/>
              <w:rPr>
                <w:lang w:val="fr-CH"/>
              </w:rPr>
            </w:pPr>
            <w:r w:rsidRPr="0066554B">
              <w:rPr>
                <w:lang w:val="fr-CH"/>
              </w:rPr>
              <w:t>1.5</w:t>
            </w:r>
          </w:p>
        </w:tc>
        <w:tc>
          <w:tcPr>
            <w:tcW w:w="907" w:type="dxa"/>
            <w:tcBorders>
              <w:left w:val="single" w:sz="4" w:space="0" w:color="auto"/>
            </w:tcBorders>
            <w:shd w:val="clear" w:color="auto" w:fill="auto"/>
            <w:noWrap/>
            <w:vAlign w:val="bottom"/>
            <w:hideMark/>
          </w:tcPr>
          <w:p w14:paraId="53CE60EB" w14:textId="77777777" w:rsidR="00CD0F47" w:rsidRPr="0066554B" w:rsidRDefault="00CD0F47" w:rsidP="002960D2">
            <w:pPr>
              <w:pStyle w:val="Table"/>
              <w:rPr>
                <w:lang w:val="fr-CH"/>
              </w:rPr>
            </w:pPr>
            <w:r w:rsidRPr="0066554B">
              <w:rPr>
                <w:lang w:val="fr-CH"/>
              </w:rPr>
              <w:t>74</w:t>
            </w:r>
          </w:p>
        </w:tc>
        <w:tc>
          <w:tcPr>
            <w:tcW w:w="907" w:type="dxa"/>
            <w:shd w:val="clear" w:color="auto" w:fill="auto"/>
            <w:noWrap/>
            <w:vAlign w:val="bottom"/>
            <w:hideMark/>
          </w:tcPr>
          <w:p w14:paraId="2F68FDE0" w14:textId="77777777" w:rsidR="00CD0F47" w:rsidRPr="0066554B" w:rsidRDefault="00CD0F47" w:rsidP="002960D2">
            <w:pPr>
              <w:pStyle w:val="Table"/>
              <w:rPr>
                <w:lang w:val="fr-CH"/>
              </w:rPr>
            </w:pPr>
            <w:r w:rsidRPr="0066554B">
              <w:rPr>
                <w:lang w:val="fr-CH"/>
              </w:rPr>
              <w:t>2.2</w:t>
            </w:r>
          </w:p>
        </w:tc>
        <w:tc>
          <w:tcPr>
            <w:tcW w:w="907" w:type="dxa"/>
            <w:tcBorders>
              <w:right w:val="single" w:sz="4" w:space="0" w:color="auto"/>
            </w:tcBorders>
            <w:shd w:val="clear" w:color="auto" w:fill="auto"/>
            <w:noWrap/>
            <w:vAlign w:val="bottom"/>
            <w:hideMark/>
          </w:tcPr>
          <w:p w14:paraId="69E0406E" w14:textId="77777777" w:rsidR="00CD0F47" w:rsidRPr="0066554B" w:rsidRDefault="00CD0F47" w:rsidP="002960D2">
            <w:pPr>
              <w:pStyle w:val="Table"/>
              <w:rPr>
                <w:lang w:val="fr-CH"/>
              </w:rPr>
            </w:pPr>
            <w:r w:rsidRPr="0066554B">
              <w:rPr>
                <w:lang w:val="fr-CH"/>
              </w:rPr>
              <w:t>1.0</w:t>
            </w:r>
          </w:p>
        </w:tc>
      </w:tr>
      <w:tr w:rsidR="00CD0F47" w:rsidRPr="0066554B" w14:paraId="23514375" w14:textId="77777777" w:rsidTr="002960D2">
        <w:trPr>
          <w:trHeight w:val="170"/>
        </w:trPr>
        <w:tc>
          <w:tcPr>
            <w:tcW w:w="4025" w:type="dxa"/>
            <w:tcBorders>
              <w:right w:val="single" w:sz="4" w:space="0" w:color="auto"/>
            </w:tcBorders>
            <w:shd w:val="clear" w:color="auto" w:fill="auto"/>
            <w:noWrap/>
            <w:vAlign w:val="bottom"/>
            <w:hideMark/>
          </w:tcPr>
          <w:p w14:paraId="448F13EC" w14:textId="77777777" w:rsidR="00CD0F47" w:rsidRPr="0066554B" w:rsidRDefault="00CD0F47" w:rsidP="002960D2">
            <w:pPr>
              <w:pStyle w:val="Table"/>
            </w:pPr>
            <w:r w:rsidRPr="0066554B">
              <w:t>Elicit commitment to change drinking</w:t>
            </w:r>
          </w:p>
        </w:tc>
        <w:tc>
          <w:tcPr>
            <w:tcW w:w="907" w:type="dxa"/>
            <w:tcBorders>
              <w:left w:val="single" w:sz="4" w:space="0" w:color="auto"/>
            </w:tcBorders>
            <w:shd w:val="clear" w:color="auto" w:fill="auto"/>
            <w:noWrap/>
            <w:vAlign w:val="bottom"/>
            <w:hideMark/>
          </w:tcPr>
          <w:p w14:paraId="3FFC2325" w14:textId="77777777" w:rsidR="00CD0F47" w:rsidRPr="0066554B" w:rsidRDefault="00CD0F47" w:rsidP="002960D2">
            <w:pPr>
              <w:pStyle w:val="Table"/>
              <w:rPr>
                <w:lang w:val="fr-CH"/>
              </w:rPr>
            </w:pPr>
            <w:r w:rsidRPr="0066554B">
              <w:rPr>
                <w:lang w:val="fr-CH"/>
              </w:rPr>
              <w:t>52</w:t>
            </w:r>
          </w:p>
        </w:tc>
        <w:tc>
          <w:tcPr>
            <w:tcW w:w="907" w:type="dxa"/>
            <w:shd w:val="clear" w:color="auto" w:fill="auto"/>
            <w:noWrap/>
            <w:vAlign w:val="bottom"/>
            <w:hideMark/>
          </w:tcPr>
          <w:p w14:paraId="46DD172F" w14:textId="77777777" w:rsidR="00CD0F47" w:rsidRPr="0066554B" w:rsidRDefault="00CD0F47" w:rsidP="002960D2">
            <w:pPr>
              <w:pStyle w:val="Table"/>
              <w:rPr>
                <w:lang w:val="fr-CH"/>
              </w:rPr>
            </w:pPr>
            <w:r w:rsidRPr="0066554B">
              <w:rPr>
                <w:lang w:val="fr-CH"/>
              </w:rPr>
              <w:t>2.2</w:t>
            </w:r>
          </w:p>
        </w:tc>
        <w:tc>
          <w:tcPr>
            <w:tcW w:w="907" w:type="dxa"/>
            <w:tcBorders>
              <w:right w:val="single" w:sz="4" w:space="0" w:color="auto"/>
            </w:tcBorders>
            <w:shd w:val="clear" w:color="auto" w:fill="auto"/>
            <w:noWrap/>
            <w:vAlign w:val="bottom"/>
            <w:hideMark/>
          </w:tcPr>
          <w:p w14:paraId="2ACF50A0" w14:textId="77777777" w:rsidR="00CD0F47" w:rsidRPr="0066554B" w:rsidRDefault="00CD0F47" w:rsidP="002960D2">
            <w:pPr>
              <w:pStyle w:val="Table"/>
              <w:rPr>
                <w:lang w:val="fr-CH"/>
              </w:rPr>
            </w:pPr>
            <w:r w:rsidRPr="0066554B">
              <w:rPr>
                <w:lang w:val="fr-CH"/>
              </w:rPr>
              <w:t>1.2</w:t>
            </w:r>
          </w:p>
        </w:tc>
        <w:tc>
          <w:tcPr>
            <w:tcW w:w="907" w:type="dxa"/>
            <w:tcBorders>
              <w:left w:val="single" w:sz="4" w:space="0" w:color="auto"/>
            </w:tcBorders>
            <w:shd w:val="clear" w:color="auto" w:fill="auto"/>
            <w:noWrap/>
            <w:vAlign w:val="bottom"/>
            <w:hideMark/>
          </w:tcPr>
          <w:p w14:paraId="6E54C8D6" w14:textId="77777777" w:rsidR="00CD0F47" w:rsidRPr="0066554B" w:rsidRDefault="00CD0F47" w:rsidP="002960D2">
            <w:pPr>
              <w:pStyle w:val="Table"/>
              <w:rPr>
                <w:lang w:val="fr-CH"/>
              </w:rPr>
            </w:pPr>
            <w:r w:rsidRPr="0066554B">
              <w:rPr>
                <w:lang w:val="fr-CH"/>
              </w:rPr>
              <w:t>5</w:t>
            </w:r>
          </w:p>
        </w:tc>
        <w:tc>
          <w:tcPr>
            <w:tcW w:w="907" w:type="dxa"/>
            <w:shd w:val="clear" w:color="auto" w:fill="auto"/>
            <w:noWrap/>
            <w:vAlign w:val="bottom"/>
            <w:hideMark/>
          </w:tcPr>
          <w:p w14:paraId="45A9BB38" w14:textId="77777777" w:rsidR="00CD0F47" w:rsidRPr="0066554B" w:rsidRDefault="00CD0F47" w:rsidP="002960D2">
            <w:pPr>
              <w:pStyle w:val="Table"/>
              <w:rPr>
                <w:lang w:val="fr-CH"/>
              </w:rPr>
            </w:pPr>
            <w:r w:rsidRPr="0066554B">
              <w:rPr>
                <w:lang w:val="fr-CH"/>
              </w:rPr>
              <w:t>1.8</w:t>
            </w:r>
          </w:p>
        </w:tc>
        <w:tc>
          <w:tcPr>
            <w:tcW w:w="907" w:type="dxa"/>
            <w:tcBorders>
              <w:right w:val="single" w:sz="4" w:space="0" w:color="auto"/>
            </w:tcBorders>
            <w:shd w:val="clear" w:color="auto" w:fill="auto"/>
            <w:noWrap/>
            <w:vAlign w:val="bottom"/>
            <w:hideMark/>
          </w:tcPr>
          <w:p w14:paraId="1B802864" w14:textId="77777777" w:rsidR="00CD0F47" w:rsidRPr="0066554B" w:rsidRDefault="00CD0F47" w:rsidP="002960D2">
            <w:pPr>
              <w:pStyle w:val="Table"/>
              <w:rPr>
                <w:lang w:val="fr-CH"/>
              </w:rPr>
            </w:pPr>
            <w:r w:rsidRPr="0066554B">
              <w:rPr>
                <w:lang w:val="fr-CH"/>
              </w:rPr>
              <w:t>0.5</w:t>
            </w:r>
          </w:p>
        </w:tc>
        <w:tc>
          <w:tcPr>
            <w:tcW w:w="907" w:type="dxa"/>
            <w:tcBorders>
              <w:left w:val="single" w:sz="4" w:space="0" w:color="auto"/>
            </w:tcBorders>
            <w:shd w:val="clear" w:color="auto" w:fill="auto"/>
            <w:noWrap/>
            <w:vAlign w:val="bottom"/>
            <w:hideMark/>
          </w:tcPr>
          <w:p w14:paraId="1E9A3E06" w14:textId="77777777" w:rsidR="00CD0F47" w:rsidRPr="0066554B" w:rsidRDefault="00CD0F47" w:rsidP="002960D2">
            <w:pPr>
              <w:pStyle w:val="Table"/>
              <w:rPr>
                <w:lang w:val="fr-CH"/>
              </w:rPr>
            </w:pPr>
            <w:r w:rsidRPr="0066554B">
              <w:rPr>
                <w:lang w:val="fr-CH"/>
              </w:rPr>
              <w:t>57</w:t>
            </w:r>
          </w:p>
        </w:tc>
        <w:tc>
          <w:tcPr>
            <w:tcW w:w="907" w:type="dxa"/>
            <w:shd w:val="clear" w:color="auto" w:fill="auto"/>
            <w:noWrap/>
            <w:vAlign w:val="bottom"/>
            <w:hideMark/>
          </w:tcPr>
          <w:p w14:paraId="1E4A40C7" w14:textId="77777777" w:rsidR="00CD0F47" w:rsidRPr="0066554B" w:rsidRDefault="00CD0F47" w:rsidP="002960D2">
            <w:pPr>
              <w:pStyle w:val="Table"/>
              <w:rPr>
                <w:lang w:val="fr-CH"/>
              </w:rPr>
            </w:pPr>
            <w:r w:rsidRPr="0066554B">
              <w:rPr>
                <w:lang w:val="fr-CH"/>
              </w:rPr>
              <w:t>2.2</w:t>
            </w:r>
          </w:p>
        </w:tc>
        <w:tc>
          <w:tcPr>
            <w:tcW w:w="907" w:type="dxa"/>
            <w:tcBorders>
              <w:right w:val="single" w:sz="4" w:space="0" w:color="auto"/>
            </w:tcBorders>
            <w:shd w:val="clear" w:color="auto" w:fill="auto"/>
            <w:noWrap/>
            <w:vAlign w:val="bottom"/>
            <w:hideMark/>
          </w:tcPr>
          <w:p w14:paraId="21A3C88B" w14:textId="77777777" w:rsidR="00CD0F47" w:rsidRPr="0066554B" w:rsidRDefault="00CD0F47" w:rsidP="002960D2">
            <w:pPr>
              <w:pStyle w:val="Table"/>
              <w:rPr>
                <w:lang w:val="fr-CH"/>
              </w:rPr>
            </w:pPr>
            <w:r w:rsidRPr="0066554B">
              <w:rPr>
                <w:lang w:val="fr-CH"/>
              </w:rPr>
              <w:t>1.2</w:t>
            </w:r>
          </w:p>
        </w:tc>
      </w:tr>
      <w:tr w:rsidR="00CD0F47" w:rsidRPr="0066554B" w14:paraId="07247255" w14:textId="77777777" w:rsidTr="002960D2">
        <w:trPr>
          <w:trHeight w:val="170"/>
        </w:trPr>
        <w:tc>
          <w:tcPr>
            <w:tcW w:w="4025" w:type="dxa"/>
            <w:tcBorders>
              <w:right w:val="single" w:sz="4" w:space="0" w:color="auto"/>
            </w:tcBorders>
            <w:shd w:val="clear" w:color="auto" w:fill="auto"/>
            <w:noWrap/>
            <w:vAlign w:val="bottom"/>
            <w:hideMark/>
          </w:tcPr>
          <w:p w14:paraId="7F959380" w14:textId="77777777" w:rsidR="00CD0F47" w:rsidRPr="0066554B" w:rsidRDefault="00CD0F47" w:rsidP="002960D2">
            <w:pPr>
              <w:pStyle w:val="Table"/>
              <w:rPr>
                <w:lang w:val="fr-CH"/>
              </w:rPr>
            </w:pPr>
            <w:r w:rsidRPr="0066554B">
              <w:t>Elicit client concern</w:t>
            </w:r>
          </w:p>
        </w:tc>
        <w:tc>
          <w:tcPr>
            <w:tcW w:w="907" w:type="dxa"/>
            <w:tcBorders>
              <w:left w:val="single" w:sz="4" w:space="0" w:color="auto"/>
            </w:tcBorders>
            <w:shd w:val="clear" w:color="auto" w:fill="auto"/>
            <w:noWrap/>
            <w:vAlign w:val="bottom"/>
            <w:hideMark/>
          </w:tcPr>
          <w:p w14:paraId="284897F4" w14:textId="77777777" w:rsidR="00CD0F47" w:rsidRPr="0066554B" w:rsidRDefault="00CD0F47" w:rsidP="002960D2">
            <w:pPr>
              <w:pStyle w:val="Table"/>
              <w:rPr>
                <w:lang w:val="fr-CH"/>
              </w:rPr>
            </w:pPr>
            <w:r w:rsidRPr="0066554B">
              <w:rPr>
                <w:lang w:val="fr-CH"/>
              </w:rPr>
              <w:t>135</w:t>
            </w:r>
          </w:p>
        </w:tc>
        <w:tc>
          <w:tcPr>
            <w:tcW w:w="907" w:type="dxa"/>
            <w:shd w:val="clear" w:color="auto" w:fill="auto"/>
            <w:noWrap/>
            <w:vAlign w:val="bottom"/>
            <w:hideMark/>
          </w:tcPr>
          <w:p w14:paraId="03FA2843" w14:textId="77777777" w:rsidR="00CD0F47" w:rsidRPr="0066554B" w:rsidRDefault="00CD0F47" w:rsidP="002960D2">
            <w:pPr>
              <w:pStyle w:val="Table"/>
              <w:rPr>
                <w:lang w:val="fr-CH"/>
              </w:rPr>
            </w:pPr>
            <w:r w:rsidRPr="0066554B">
              <w:rPr>
                <w:lang w:val="fr-CH"/>
              </w:rPr>
              <w:t>2.6</w:t>
            </w:r>
          </w:p>
        </w:tc>
        <w:tc>
          <w:tcPr>
            <w:tcW w:w="907" w:type="dxa"/>
            <w:tcBorders>
              <w:right w:val="single" w:sz="4" w:space="0" w:color="auto"/>
            </w:tcBorders>
            <w:shd w:val="clear" w:color="auto" w:fill="auto"/>
            <w:noWrap/>
            <w:vAlign w:val="bottom"/>
            <w:hideMark/>
          </w:tcPr>
          <w:p w14:paraId="2EE743CB" w14:textId="77777777" w:rsidR="00CD0F47" w:rsidRPr="0066554B" w:rsidRDefault="00CD0F47" w:rsidP="002960D2">
            <w:pPr>
              <w:pStyle w:val="Table"/>
              <w:rPr>
                <w:lang w:val="fr-CH"/>
              </w:rPr>
            </w:pPr>
            <w:r w:rsidRPr="0066554B">
              <w:rPr>
                <w:lang w:val="fr-CH"/>
              </w:rPr>
              <w:t>1.1</w:t>
            </w:r>
          </w:p>
        </w:tc>
        <w:tc>
          <w:tcPr>
            <w:tcW w:w="907" w:type="dxa"/>
            <w:tcBorders>
              <w:left w:val="single" w:sz="4" w:space="0" w:color="auto"/>
            </w:tcBorders>
            <w:shd w:val="clear" w:color="auto" w:fill="auto"/>
            <w:noWrap/>
            <w:vAlign w:val="bottom"/>
            <w:hideMark/>
          </w:tcPr>
          <w:p w14:paraId="79209816" w14:textId="77777777" w:rsidR="00CD0F47" w:rsidRPr="0066554B" w:rsidRDefault="00CD0F47" w:rsidP="002960D2">
            <w:pPr>
              <w:pStyle w:val="Table"/>
              <w:rPr>
                <w:lang w:val="fr-CH"/>
              </w:rPr>
            </w:pPr>
            <w:r w:rsidRPr="0066554B">
              <w:rPr>
                <w:lang w:val="fr-CH"/>
              </w:rPr>
              <w:t>13</w:t>
            </w:r>
          </w:p>
        </w:tc>
        <w:tc>
          <w:tcPr>
            <w:tcW w:w="907" w:type="dxa"/>
            <w:shd w:val="clear" w:color="auto" w:fill="auto"/>
            <w:noWrap/>
            <w:vAlign w:val="bottom"/>
            <w:hideMark/>
          </w:tcPr>
          <w:p w14:paraId="72777FEC" w14:textId="77777777" w:rsidR="00CD0F47" w:rsidRPr="0066554B" w:rsidRDefault="00CD0F47" w:rsidP="002960D2">
            <w:pPr>
              <w:pStyle w:val="Table"/>
              <w:rPr>
                <w:lang w:val="fr-CH"/>
              </w:rPr>
            </w:pPr>
            <w:r w:rsidRPr="0066554B">
              <w:rPr>
                <w:lang w:val="fr-CH"/>
              </w:rPr>
              <w:t>1.9</w:t>
            </w:r>
          </w:p>
        </w:tc>
        <w:tc>
          <w:tcPr>
            <w:tcW w:w="907" w:type="dxa"/>
            <w:tcBorders>
              <w:right w:val="single" w:sz="4" w:space="0" w:color="auto"/>
            </w:tcBorders>
            <w:shd w:val="clear" w:color="auto" w:fill="auto"/>
            <w:noWrap/>
            <w:vAlign w:val="bottom"/>
            <w:hideMark/>
          </w:tcPr>
          <w:p w14:paraId="6D736B5B" w14:textId="77777777" w:rsidR="00CD0F47" w:rsidRPr="0066554B" w:rsidRDefault="00CD0F47" w:rsidP="002960D2">
            <w:pPr>
              <w:pStyle w:val="Table"/>
              <w:rPr>
                <w:lang w:val="fr-CH"/>
              </w:rPr>
            </w:pPr>
            <w:r w:rsidRPr="0066554B">
              <w:rPr>
                <w:lang w:val="fr-CH"/>
              </w:rPr>
              <w:t>1.3</w:t>
            </w:r>
          </w:p>
        </w:tc>
        <w:tc>
          <w:tcPr>
            <w:tcW w:w="907" w:type="dxa"/>
            <w:tcBorders>
              <w:left w:val="single" w:sz="4" w:space="0" w:color="auto"/>
            </w:tcBorders>
            <w:shd w:val="clear" w:color="auto" w:fill="auto"/>
            <w:noWrap/>
            <w:vAlign w:val="bottom"/>
            <w:hideMark/>
          </w:tcPr>
          <w:p w14:paraId="7FEA6E2D" w14:textId="77777777" w:rsidR="00CD0F47" w:rsidRPr="0066554B" w:rsidRDefault="00CD0F47" w:rsidP="002960D2">
            <w:pPr>
              <w:pStyle w:val="Table"/>
              <w:rPr>
                <w:lang w:val="fr-CH"/>
              </w:rPr>
            </w:pPr>
            <w:r w:rsidRPr="0066554B">
              <w:rPr>
                <w:lang w:val="fr-CH"/>
              </w:rPr>
              <w:t>148</w:t>
            </w:r>
          </w:p>
        </w:tc>
        <w:tc>
          <w:tcPr>
            <w:tcW w:w="907" w:type="dxa"/>
            <w:shd w:val="clear" w:color="auto" w:fill="auto"/>
            <w:noWrap/>
            <w:vAlign w:val="bottom"/>
            <w:hideMark/>
          </w:tcPr>
          <w:p w14:paraId="5F91B8BF" w14:textId="77777777" w:rsidR="00CD0F47" w:rsidRPr="0066554B" w:rsidRDefault="00CD0F47" w:rsidP="002960D2">
            <w:pPr>
              <w:pStyle w:val="Table"/>
              <w:rPr>
                <w:lang w:val="fr-CH"/>
              </w:rPr>
            </w:pPr>
            <w:r w:rsidRPr="0066554B">
              <w:rPr>
                <w:lang w:val="fr-CH"/>
              </w:rPr>
              <w:t>2.5</w:t>
            </w:r>
          </w:p>
        </w:tc>
        <w:tc>
          <w:tcPr>
            <w:tcW w:w="907" w:type="dxa"/>
            <w:tcBorders>
              <w:right w:val="single" w:sz="4" w:space="0" w:color="auto"/>
            </w:tcBorders>
            <w:shd w:val="clear" w:color="auto" w:fill="auto"/>
            <w:noWrap/>
            <w:vAlign w:val="bottom"/>
            <w:hideMark/>
          </w:tcPr>
          <w:p w14:paraId="74694FB9" w14:textId="77777777" w:rsidR="00CD0F47" w:rsidRPr="0066554B" w:rsidRDefault="00CD0F47" w:rsidP="002960D2">
            <w:pPr>
              <w:pStyle w:val="Table"/>
              <w:rPr>
                <w:lang w:val="fr-CH"/>
              </w:rPr>
            </w:pPr>
            <w:r w:rsidRPr="0066554B">
              <w:rPr>
                <w:lang w:val="fr-CH"/>
              </w:rPr>
              <w:t>1.1</w:t>
            </w:r>
          </w:p>
        </w:tc>
      </w:tr>
      <w:tr w:rsidR="00CD0F47" w:rsidRPr="0066554B" w14:paraId="18233B9D" w14:textId="77777777" w:rsidTr="002960D2">
        <w:trPr>
          <w:trHeight w:val="170"/>
        </w:trPr>
        <w:tc>
          <w:tcPr>
            <w:tcW w:w="4025" w:type="dxa"/>
            <w:tcBorders>
              <w:right w:val="single" w:sz="4" w:space="0" w:color="auto"/>
            </w:tcBorders>
            <w:shd w:val="clear" w:color="auto" w:fill="auto"/>
            <w:noWrap/>
            <w:vAlign w:val="bottom"/>
            <w:hideMark/>
          </w:tcPr>
          <w:p w14:paraId="1C42DFC1" w14:textId="77777777" w:rsidR="00CD0F47" w:rsidRPr="0066554B" w:rsidRDefault="00CD0F47" w:rsidP="002960D2">
            <w:pPr>
              <w:pStyle w:val="Table"/>
            </w:pPr>
            <w:r w:rsidRPr="0066554B">
              <w:t>Create internal conflict or discrepancy</w:t>
            </w:r>
          </w:p>
        </w:tc>
        <w:tc>
          <w:tcPr>
            <w:tcW w:w="907" w:type="dxa"/>
            <w:tcBorders>
              <w:left w:val="single" w:sz="4" w:space="0" w:color="auto"/>
            </w:tcBorders>
            <w:shd w:val="clear" w:color="auto" w:fill="auto"/>
            <w:noWrap/>
            <w:vAlign w:val="bottom"/>
            <w:hideMark/>
          </w:tcPr>
          <w:p w14:paraId="4C8E9D6B" w14:textId="77777777" w:rsidR="00CD0F47" w:rsidRPr="0066554B" w:rsidRDefault="00CD0F47" w:rsidP="002960D2">
            <w:pPr>
              <w:pStyle w:val="Table"/>
              <w:rPr>
                <w:lang w:val="fr-CH"/>
              </w:rPr>
            </w:pPr>
            <w:r w:rsidRPr="0066554B">
              <w:rPr>
                <w:lang w:val="fr-CH"/>
              </w:rPr>
              <w:t>28</w:t>
            </w:r>
          </w:p>
        </w:tc>
        <w:tc>
          <w:tcPr>
            <w:tcW w:w="907" w:type="dxa"/>
            <w:shd w:val="clear" w:color="auto" w:fill="auto"/>
            <w:noWrap/>
            <w:vAlign w:val="bottom"/>
            <w:hideMark/>
          </w:tcPr>
          <w:p w14:paraId="1639F574" w14:textId="77777777" w:rsidR="00CD0F47" w:rsidRPr="0066554B" w:rsidRDefault="00CD0F47" w:rsidP="002960D2">
            <w:pPr>
              <w:pStyle w:val="Table"/>
              <w:rPr>
                <w:lang w:val="fr-CH"/>
              </w:rPr>
            </w:pPr>
            <w:r w:rsidRPr="0066554B">
              <w:rPr>
                <w:lang w:val="fr-CH"/>
              </w:rPr>
              <w:t>2.2</w:t>
            </w:r>
          </w:p>
        </w:tc>
        <w:tc>
          <w:tcPr>
            <w:tcW w:w="907" w:type="dxa"/>
            <w:tcBorders>
              <w:right w:val="single" w:sz="4" w:space="0" w:color="auto"/>
            </w:tcBorders>
            <w:shd w:val="clear" w:color="auto" w:fill="auto"/>
            <w:noWrap/>
            <w:vAlign w:val="bottom"/>
            <w:hideMark/>
          </w:tcPr>
          <w:p w14:paraId="488A25FA" w14:textId="77777777" w:rsidR="00CD0F47" w:rsidRPr="0066554B" w:rsidRDefault="00CD0F47" w:rsidP="002960D2">
            <w:pPr>
              <w:pStyle w:val="Table"/>
              <w:rPr>
                <w:lang w:val="fr-CH"/>
              </w:rPr>
            </w:pPr>
            <w:r w:rsidRPr="0066554B">
              <w:rPr>
                <w:lang w:val="fr-CH"/>
              </w:rPr>
              <w:t>1.1</w:t>
            </w:r>
          </w:p>
        </w:tc>
        <w:tc>
          <w:tcPr>
            <w:tcW w:w="907" w:type="dxa"/>
            <w:tcBorders>
              <w:left w:val="single" w:sz="4" w:space="0" w:color="auto"/>
            </w:tcBorders>
            <w:shd w:val="clear" w:color="auto" w:fill="auto"/>
            <w:noWrap/>
            <w:vAlign w:val="bottom"/>
            <w:hideMark/>
          </w:tcPr>
          <w:p w14:paraId="76DFC28E" w14:textId="77777777" w:rsidR="00CD0F47" w:rsidRPr="0066554B" w:rsidRDefault="00CD0F47" w:rsidP="002960D2">
            <w:pPr>
              <w:pStyle w:val="Table"/>
              <w:rPr>
                <w:lang w:val="fr-CH"/>
              </w:rPr>
            </w:pPr>
            <w:r w:rsidRPr="0066554B">
              <w:rPr>
                <w:lang w:val="fr-CH"/>
              </w:rPr>
              <w:t>3</w:t>
            </w:r>
          </w:p>
        </w:tc>
        <w:tc>
          <w:tcPr>
            <w:tcW w:w="907" w:type="dxa"/>
            <w:shd w:val="clear" w:color="auto" w:fill="auto"/>
            <w:noWrap/>
            <w:vAlign w:val="bottom"/>
            <w:hideMark/>
          </w:tcPr>
          <w:p w14:paraId="0137C085" w14:textId="77777777" w:rsidR="00CD0F47" w:rsidRPr="0066554B" w:rsidRDefault="00CD0F47" w:rsidP="002960D2">
            <w:pPr>
              <w:pStyle w:val="Table"/>
              <w:rPr>
                <w:lang w:val="fr-CH"/>
              </w:rPr>
            </w:pPr>
            <w:r w:rsidRPr="0066554B">
              <w:rPr>
                <w:lang w:val="fr-CH"/>
              </w:rPr>
              <w:t>1.7</w:t>
            </w:r>
          </w:p>
        </w:tc>
        <w:tc>
          <w:tcPr>
            <w:tcW w:w="907" w:type="dxa"/>
            <w:tcBorders>
              <w:right w:val="single" w:sz="4" w:space="0" w:color="auto"/>
            </w:tcBorders>
            <w:shd w:val="clear" w:color="auto" w:fill="auto"/>
            <w:noWrap/>
            <w:vAlign w:val="bottom"/>
            <w:hideMark/>
          </w:tcPr>
          <w:p w14:paraId="52E15667" w14:textId="77777777" w:rsidR="00CD0F47" w:rsidRPr="0066554B" w:rsidRDefault="00CD0F47" w:rsidP="002960D2">
            <w:pPr>
              <w:pStyle w:val="Table"/>
              <w:rPr>
                <w:lang w:val="fr-CH"/>
              </w:rPr>
            </w:pPr>
            <w:r w:rsidRPr="0066554B">
              <w:rPr>
                <w:lang w:val="fr-CH"/>
              </w:rPr>
              <w:t>0.6</w:t>
            </w:r>
          </w:p>
        </w:tc>
        <w:tc>
          <w:tcPr>
            <w:tcW w:w="907" w:type="dxa"/>
            <w:tcBorders>
              <w:left w:val="single" w:sz="4" w:space="0" w:color="auto"/>
            </w:tcBorders>
            <w:shd w:val="clear" w:color="auto" w:fill="auto"/>
            <w:noWrap/>
            <w:vAlign w:val="bottom"/>
            <w:hideMark/>
          </w:tcPr>
          <w:p w14:paraId="29BC8E14" w14:textId="77777777" w:rsidR="00CD0F47" w:rsidRPr="0066554B" w:rsidRDefault="00CD0F47" w:rsidP="002960D2">
            <w:pPr>
              <w:pStyle w:val="Table"/>
              <w:rPr>
                <w:lang w:val="fr-CH"/>
              </w:rPr>
            </w:pPr>
            <w:r w:rsidRPr="0066554B">
              <w:rPr>
                <w:lang w:val="fr-CH"/>
              </w:rPr>
              <w:t>31</w:t>
            </w:r>
          </w:p>
        </w:tc>
        <w:tc>
          <w:tcPr>
            <w:tcW w:w="907" w:type="dxa"/>
            <w:shd w:val="clear" w:color="auto" w:fill="auto"/>
            <w:noWrap/>
            <w:vAlign w:val="bottom"/>
            <w:hideMark/>
          </w:tcPr>
          <w:p w14:paraId="41A36058" w14:textId="77777777" w:rsidR="00CD0F47" w:rsidRPr="0066554B" w:rsidRDefault="00CD0F47" w:rsidP="002960D2">
            <w:pPr>
              <w:pStyle w:val="Table"/>
              <w:rPr>
                <w:lang w:val="fr-CH"/>
              </w:rPr>
            </w:pPr>
            <w:r w:rsidRPr="0066554B">
              <w:rPr>
                <w:lang w:val="fr-CH"/>
              </w:rPr>
              <w:t>2.2</w:t>
            </w:r>
          </w:p>
        </w:tc>
        <w:tc>
          <w:tcPr>
            <w:tcW w:w="907" w:type="dxa"/>
            <w:tcBorders>
              <w:right w:val="single" w:sz="4" w:space="0" w:color="auto"/>
            </w:tcBorders>
            <w:shd w:val="clear" w:color="auto" w:fill="auto"/>
            <w:noWrap/>
            <w:vAlign w:val="bottom"/>
            <w:hideMark/>
          </w:tcPr>
          <w:p w14:paraId="33B3E9F5" w14:textId="77777777" w:rsidR="00CD0F47" w:rsidRPr="0066554B" w:rsidRDefault="00CD0F47" w:rsidP="002960D2">
            <w:pPr>
              <w:pStyle w:val="Table"/>
              <w:rPr>
                <w:lang w:val="fr-CH"/>
              </w:rPr>
            </w:pPr>
            <w:r w:rsidRPr="0066554B">
              <w:rPr>
                <w:lang w:val="fr-CH"/>
              </w:rPr>
              <w:t>1.0</w:t>
            </w:r>
          </w:p>
        </w:tc>
      </w:tr>
      <w:tr w:rsidR="00CD0F47" w:rsidRPr="0066554B" w14:paraId="5507D926" w14:textId="77777777" w:rsidTr="002960D2">
        <w:trPr>
          <w:trHeight w:val="170"/>
        </w:trPr>
        <w:tc>
          <w:tcPr>
            <w:tcW w:w="4025" w:type="dxa"/>
            <w:tcBorders>
              <w:right w:val="single" w:sz="4" w:space="0" w:color="auto"/>
            </w:tcBorders>
            <w:shd w:val="clear" w:color="auto" w:fill="auto"/>
            <w:noWrap/>
            <w:vAlign w:val="bottom"/>
            <w:hideMark/>
          </w:tcPr>
          <w:p w14:paraId="1AB2C72F" w14:textId="77777777" w:rsidR="00CD0F47" w:rsidRPr="0066554B" w:rsidRDefault="00CD0F47" w:rsidP="002960D2">
            <w:pPr>
              <w:pStyle w:val="Table"/>
              <w:rPr>
                <w:lang w:val="fr-CH"/>
              </w:rPr>
            </w:pPr>
            <w:r w:rsidRPr="0066554B">
              <w:t>Empathy</w:t>
            </w:r>
          </w:p>
        </w:tc>
        <w:tc>
          <w:tcPr>
            <w:tcW w:w="907" w:type="dxa"/>
            <w:tcBorders>
              <w:left w:val="single" w:sz="4" w:space="0" w:color="auto"/>
            </w:tcBorders>
            <w:shd w:val="clear" w:color="auto" w:fill="auto"/>
            <w:noWrap/>
            <w:vAlign w:val="bottom"/>
            <w:hideMark/>
          </w:tcPr>
          <w:p w14:paraId="5790250C" w14:textId="77777777" w:rsidR="00CD0F47" w:rsidRPr="0066554B" w:rsidRDefault="00CD0F47" w:rsidP="002960D2">
            <w:pPr>
              <w:pStyle w:val="Table"/>
              <w:rPr>
                <w:lang w:val="fr-CH"/>
              </w:rPr>
            </w:pPr>
            <w:r w:rsidRPr="0066554B">
              <w:rPr>
                <w:lang w:val="fr-CH"/>
              </w:rPr>
              <w:t>203</w:t>
            </w:r>
          </w:p>
        </w:tc>
        <w:tc>
          <w:tcPr>
            <w:tcW w:w="907" w:type="dxa"/>
            <w:shd w:val="clear" w:color="auto" w:fill="auto"/>
            <w:noWrap/>
            <w:vAlign w:val="bottom"/>
            <w:hideMark/>
          </w:tcPr>
          <w:p w14:paraId="4FEA286E" w14:textId="77777777" w:rsidR="00CD0F47" w:rsidRPr="0066554B" w:rsidRDefault="00CD0F47" w:rsidP="002960D2">
            <w:pPr>
              <w:pStyle w:val="Table"/>
              <w:rPr>
                <w:lang w:val="fr-CH"/>
              </w:rPr>
            </w:pPr>
            <w:r w:rsidRPr="0066554B">
              <w:rPr>
                <w:lang w:val="fr-CH"/>
              </w:rPr>
              <w:t>2.5</w:t>
            </w:r>
          </w:p>
        </w:tc>
        <w:tc>
          <w:tcPr>
            <w:tcW w:w="907" w:type="dxa"/>
            <w:tcBorders>
              <w:right w:val="single" w:sz="4" w:space="0" w:color="auto"/>
            </w:tcBorders>
            <w:shd w:val="clear" w:color="auto" w:fill="auto"/>
            <w:noWrap/>
            <w:vAlign w:val="bottom"/>
            <w:hideMark/>
          </w:tcPr>
          <w:p w14:paraId="651DF374" w14:textId="77777777" w:rsidR="00CD0F47" w:rsidRPr="0066554B" w:rsidRDefault="00CD0F47" w:rsidP="002960D2">
            <w:pPr>
              <w:pStyle w:val="Table"/>
              <w:rPr>
                <w:lang w:val="fr-CH"/>
              </w:rPr>
            </w:pPr>
            <w:r w:rsidRPr="0066554B">
              <w:rPr>
                <w:lang w:val="fr-CH"/>
              </w:rPr>
              <w:t>0.8</w:t>
            </w:r>
          </w:p>
        </w:tc>
        <w:tc>
          <w:tcPr>
            <w:tcW w:w="907" w:type="dxa"/>
            <w:tcBorders>
              <w:left w:val="single" w:sz="4" w:space="0" w:color="auto"/>
            </w:tcBorders>
            <w:shd w:val="clear" w:color="auto" w:fill="auto"/>
            <w:noWrap/>
            <w:vAlign w:val="bottom"/>
            <w:hideMark/>
          </w:tcPr>
          <w:p w14:paraId="49118DC5" w14:textId="77777777" w:rsidR="00CD0F47" w:rsidRPr="0066554B" w:rsidRDefault="00CD0F47" w:rsidP="002960D2">
            <w:pPr>
              <w:pStyle w:val="Table"/>
              <w:rPr>
                <w:lang w:val="fr-CH"/>
              </w:rPr>
            </w:pPr>
            <w:r w:rsidRPr="0066554B">
              <w:rPr>
                <w:lang w:val="fr-CH"/>
              </w:rPr>
              <w:t>120</w:t>
            </w:r>
          </w:p>
        </w:tc>
        <w:tc>
          <w:tcPr>
            <w:tcW w:w="907" w:type="dxa"/>
            <w:shd w:val="clear" w:color="auto" w:fill="auto"/>
            <w:noWrap/>
            <w:vAlign w:val="bottom"/>
            <w:hideMark/>
          </w:tcPr>
          <w:p w14:paraId="4178963C" w14:textId="77777777" w:rsidR="00CD0F47" w:rsidRPr="0066554B" w:rsidRDefault="00CD0F47" w:rsidP="002960D2">
            <w:pPr>
              <w:pStyle w:val="Table"/>
              <w:rPr>
                <w:lang w:val="fr-CH"/>
              </w:rPr>
            </w:pPr>
            <w:r w:rsidRPr="0066554B">
              <w:rPr>
                <w:lang w:val="fr-CH"/>
              </w:rPr>
              <w:t>2.4</w:t>
            </w:r>
          </w:p>
        </w:tc>
        <w:tc>
          <w:tcPr>
            <w:tcW w:w="907" w:type="dxa"/>
            <w:tcBorders>
              <w:right w:val="single" w:sz="4" w:space="0" w:color="auto"/>
            </w:tcBorders>
            <w:shd w:val="clear" w:color="auto" w:fill="auto"/>
            <w:noWrap/>
            <w:vAlign w:val="bottom"/>
            <w:hideMark/>
          </w:tcPr>
          <w:p w14:paraId="4A284334" w14:textId="77777777" w:rsidR="00CD0F47" w:rsidRPr="0066554B" w:rsidRDefault="00CD0F47" w:rsidP="002960D2">
            <w:pPr>
              <w:pStyle w:val="Table"/>
              <w:rPr>
                <w:lang w:val="fr-CH"/>
              </w:rPr>
            </w:pPr>
            <w:r w:rsidRPr="0066554B">
              <w:rPr>
                <w:lang w:val="fr-CH"/>
              </w:rPr>
              <w:t>1.0</w:t>
            </w:r>
          </w:p>
        </w:tc>
        <w:tc>
          <w:tcPr>
            <w:tcW w:w="907" w:type="dxa"/>
            <w:tcBorders>
              <w:left w:val="single" w:sz="4" w:space="0" w:color="auto"/>
            </w:tcBorders>
            <w:shd w:val="clear" w:color="auto" w:fill="auto"/>
            <w:noWrap/>
            <w:vAlign w:val="bottom"/>
            <w:hideMark/>
          </w:tcPr>
          <w:p w14:paraId="05A6FFB4" w14:textId="77777777" w:rsidR="00CD0F47" w:rsidRPr="0066554B" w:rsidRDefault="00CD0F47" w:rsidP="002960D2">
            <w:pPr>
              <w:pStyle w:val="Table"/>
              <w:rPr>
                <w:lang w:val="fr-CH"/>
              </w:rPr>
            </w:pPr>
            <w:r w:rsidRPr="0066554B">
              <w:rPr>
                <w:lang w:val="fr-CH"/>
              </w:rPr>
              <w:t>323</w:t>
            </w:r>
          </w:p>
        </w:tc>
        <w:tc>
          <w:tcPr>
            <w:tcW w:w="907" w:type="dxa"/>
            <w:shd w:val="clear" w:color="auto" w:fill="auto"/>
            <w:noWrap/>
            <w:vAlign w:val="bottom"/>
            <w:hideMark/>
          </w:tcPr>
          <w:p w14:paraId="72AC5FC0" w14:textId="77777777" w:rsidR="00CD0F47" w:rsidRPr="0066554B" w:rsidRDefault="00CD0F47" w:rsidP="002960D2">
            <w:pPr>
              <w:pStyle w:val="Table"/>
              <w:rPr>
                <w:lang w:val="fr-CH"/>
              </w:rPr>
            </w:pPr>
            <w:r w:rsidRPr="0066554B">
              <w:rPr>
                <w:lang w:val="fr-CH"/>
              </w:rPr>
              <w:t>2.5</w:t>
            </w:r>
          </w:p>
        </w:tc>
        <w:tc>
          <w:tcPr>
            <w:tcW w:w="907" w:type="dxa"/>
            <w:tcBorders>
              <w:right w:val="single" w:sz="4" w:space="0" w:color="auto"/>
            </w:tcBorders>
            <w:shd w:val="clear" w:color="auto" w:fill="auto"/>
            <w:noWrap/>
            <w:vAlign w:val="bottom"/>
            <w:hideMark/>
          </w:tcPr>
          <w:p w14:paraId="59E22DE7" w14:textId="77777777" w:rsidR="00CD0F47" w:rsidRPr="0066554B" w:rsidRDefault="00CD0F47" w:rsidP="002960D2">
            <w:pPr>
              <w:pStyle w:val="Table"/>
              <w:rPr>
                <w:lang w:val="fr-CH"/>
              </w:rPr>
            </w:pPr>
            <w:r w:rsidRPr="0066554B">
              <w:rPr>
                <w:lang w:val="fr-CH"/>
              </w:rPr>
              <w:t>0.9</w:t>
            </w:r>
          </w:p>
        </w:tc>
      </w:tr>
      <w:tr w:rsidR="00CD0F47" w:rsidRPr="0066554B" w14:paraId="74E1D8EC" w14:textId="77777777" w:rsidTr="002960D2">
        <w:trPr>
          <w:trHeight w:val="170"/>
        </w:trPr>
        <w:tc>
          <w:tcPr>
            <w:tcW w:w="4025" w:type="dxa"/>
            <w:tcBorders>
              <w:right w:val="single" w:sz="4" w:space="0" w:color="auto"/>
            </w:tcBorders>
            <w:shd w:val="clear" w:color="auto" w:fill="auto"/>
            <w:noWrap/>
            <w:vAlign w:val="bottom"/>
            <w:hideMark/>
          </w:tcPr>
          <w:p w14:paraId="292265AA" w14:textId="77777777" w:rsidR="00CD0F47" w:rsidRPr="0066554B" w:rsidRDefault="00CD0F47" w:rsidP="002960D2">
            <w:pPr>
              <w:pStyle w:val="Table"/>
              <w:rPr>
                <w:lang w:val="fr-CH"/>
              </w:rPr>
            </w:pPr>
            <w:r w:rsidRPr="0066554B">
              <w:t>Exploration of feelings</w:t>
            </w:r>
          </w:p>
        </w:tc>
        <w:tc>
          <w:tcPr>
            <w:tcW w:w="907" w:type="dxa"/>
            <w:tcBorders>
              <w:left w:val="single" w:sz="4" w:space="0" w:color="auto"/>
            </w:tcBorders>
            <w:shd w:val="clear" w:color="auto" w:fill="auto"/>
            <w:noWrap/>
            <w:vAlign w:val="bottom"/>
            <w:hideMark/>
          </w:tcPr>
          <w:p w14:paraId="27A302F3" w14:textId="77777777" w:rsidR="00CD0F47" w:rsidRPr="0066554B" w:rsidRDefault="00CD0F47" w:rsidP="002960D2">
            <w:pPr>
              <w:pStyle w:val="Table"/>
              <w:rPr>
                <w:lang w:val="fr-CH"/>
              </w:rPr>
            </w:pPr>
            <w:r w:rsidRPr="0066554B">
              <w:rPr>
                <w:lang w:val="fr-CH"/>
              </w:rPr>
              <w:t>156</w:t>
            </w:r>
          </w:p>
        </w:tc>
        <w:tc>
          <w:tcPr>
            <w:tcW w:w="907" w:type="dxa"/>
            <w:shd w:val="clear" w:color="auto" w:fill="auto"/>
            <w:noWrap/>
            <w:vAlign w:val="bottom"/>
            <w:hideMark/>
          </w:tcPr>
          <w:p w14:paraId="33B4F61A" w14:textId="77777777" w:rsidR="00CD0F47" w:rsidRPr="0066554B" w:rsidRDefault="00CD0F47" w:rsidP="002960D2">
            <w:pPr>
              <w:pStyle w:val="Table"/>
              <w:rPr>
                <w:lang w:val="fr-CH"/>
              </w:rPr>
            </w:pPr>
            <w:r w:rsidRPr="0066554B">
              <w:rPr>
                <w:lang w:val="fr-CH"/>
              </w:rPr>
              <w:t>2.0</w:t>
            </w:r>
          </w:p>
        </w:tc>
        <w:tc>
          <w:tcPr>
            <w:tcW w:w="907" w:type="dxa"/>
            <w:tcBorders>
              <w:right w:val="single" w:sz="4" w:space="0" w:color="auto"/>
            </w:tcBorders>
            <w:shd w:val="clear" w:color="auto" w:fill="auto"/>
            <w:noWrap/>
            <w:vAlign w:val="bottom"/>
            <w:hideMark/>
          </w:tcPr>
          <w:p w14:paraId="40520469" w14:textId="77777777" w:rsidR="00CD0F47" w:rsidRPr="0066554B" w:rsidRDefault="00CD0F47" w:rsidP="002960D2">
            <w:pPr>
              <w:pStyle w:val="Table"/>
              <w:rPr>
                <w:lang w:val="fr-CH"/>
              </w:rPr>
            </w:pPr>
            <w:r w:rsidRPr="0066554B">
              <w:rPr>
                <w:lang w:val="fr-CH"/>
              </w:rPr>
              <w:t>0.8</w:t>
            </w:r>
          </w:p>
        </w:tc>
        <w:tc>
          <w:tcPr>
            <w:tcW w:w="907" w:type="dxa"/>
            <w:tcBorders>
              <w:left w:val="single" w:sz="4" w:space="0" w:color="auto"/>
            </w:tcBorders>
            <w:shd w:val="clear" w:color="auto" w:fill="auto"/>
            <w:noWrap/>
            <w:vAlign w:val="bottom"/>
            <w:hideMark/>
          </w:tcPr>
          <w:p w14:paraId="257FF621" w14:textId="77777777" w:rsidR="00CD0F47" w:rsidRPr="0066554B" w:rsidRDefault="00CD0F47" w:rsidP="002960D2">
            <w:pPr>
              <w:pStyle w:val="Table"/>
              <w:rPr>
                <w:lang w:val="fr-CH"/>
              </w:rPr>
            </w:pPr>
            <w:r w:rsidRPr="0066554B">
              <w:rPr>
                <w:lang w:val="fr-CH"/>
              </w:rPr>
              <w:t>48</w:t>
            </w:r>
          </w:p>
        </w:tc>
        <w:tc>
          <w:tcPr>
            <w:tcW w:w="907" w:type="dxa"/>
            <w:shd w:val="clear" w:color="auto" w:fill="auto"/>
            <w:noWrap/>
            <w:vAlign w:val="bottom"/>
            <w:hideMark/>
          </w:tcPr>
          <w:p w14:paraId="39121C7E" w14:textId="77777777" w:rsidR="00CD0F47" w:rsidRPr="0066554B" w:rsidRDefault="00CD0F47" w:rsidP="002960D2">
            <w:pPr>
              <w:pStyle w:val="Table"/>
              <w:rPr>
                <w:lang w:val="fr-CH"/>
              </w:rPr>
            </w:pPr>
            <w:r w:rsidRPr="0066554B">
              <w:rPr>
                <w:lang w:val="fr-CH"/>
              </w:rPr>
              <w:t>1.7</w:t>
            </w:r>
          </w:p>
        </w:tc>
        <w:tc>
          <w:tcPr>
            <w:tcW w:w="907" w:type="dxa"/>
            <w:tcBorders>
              <w:right w:val="single" w:sz="4" w:space="0" w:color="auto"/>
            </w:tcBorders>
            <w:shd w:val="clear" w:color="auto" w:fill="auto"/>
            <w:noWrap/>
            <w:vAlign w:val="bottom"/>
            <w:hideMark/>
          </w:tcPr>
          <w:p w14:paraId="06DBD2B6" w14:textId="77777777" w:rsidR="00CD0F47" w:rsidRPr="0066554B" w:rsidRDefault="00CD0F47" w:rsidP="002960D2">
            <w:pPr>
              <w:pStyle w:val="Table"/>
              <w:rPr>
                <w:lang w:val="fr-CH"/>
              </w:rPr>
            </w:pPr>
            <w:r w:rsidRPr="0066554B">
              <w:rPr>
                <w:lang w:val="fr-CH"/>
              </w:rPr>
              <w:t>0.7</w:t>
            </w:r>
          </w:p>
        </w:tc>
        <w:tc>
          <w:tcPr>
            <w:tcW w:w="907" w:type="dxa"/>
            <w:tcBorders>
              <w:left w:val="single" w:sz="4" w:space="0" w:color="auto"/>
            </w:tcBorders>
            <w:shd w:val="clear" w:color="auto" w:fill="auto"/>
            <w:noWrap/>
            <w:vAlign w:val="bottom"/>
            <w:hideMark/>
          </w:tcPr>
          <w:p w14:paraId="3A2F47CA" w14:textId="77777777" w:rsidR="00CD0F47" w:rsidRPr="0066554B" w:rsidRDefault="00CD0F47" w:rsidP="002960D2">
            <w:pPr>
              <w:pStyle w:val="Table"/>
              <w:rPr>
                <w:lang w:val="fr-CH"/>
              </w:rPr>
            </w:pPr>
            <w:r w:rsidRPr="0066554B">
              <w:rPr>
                <w:lang w:val="fr-CH"/>
              </w:rPr>
              <w:t>204</w:t>
            </w:r>
          </w:p>
        </w:tc>
        <w:tc>
          <w:tcPr>
            <w:tcW w:w="907" w:type="dxa"/>
            <w:shd w:val="clear" w:color="auto" w:fill="auto"/>
            <w:noWrap/>
            <w:vAlign w:val="bottom"/>
            <w:hideMark/>
          </w:tcPr>
          <w:p w14:paraId="42E1E8A6" w14:textId="77777777" w:rsidR="00CD0F47" w:rsidRPr="0066554B" w:rsidRDefault="00CD0F47" w:rsidP="002960D2">
            <w:pPr>
              <w:pStyle w:val="Table"/>
              <w:rPr>
                <w:lang w:val="fr-CH"/>
              </w:rPr>
            </w:pPr>
            <w:r w:rsidRPr="0066554B">
              <w:rPr>
                <w:lang w:val="fr-CH"/>
              </w:rPr>
              <w:t>1.9</w:t>
            </w:r>
          </w:p>
        </w:tc>
        <w:tc>
          <w:tcPr>
            <w:tcW w:w="907" w:type="dxa"/>
            <w:tcBorders>
              <w:right w:val="single" w:sz="4" w:space="0" w:color="auto"/>
            </w:tcBorders>
            <w:shd w:val="clear" w:color="auto" w:fill="auto"/>
            <w:noWrap/>
            <w:vAlign w:val="bottom"/>
            <w:hideMark/>
          </w:tcPr>
          <w:p w14:paraId="6FA70118" w14:textId="77777777" w:rsidR="00CD0F47" w:rsidRPr="0066554B" w:rsidRDefault="00CD0F47" w:rsidP="002960D2">
            <w:pPr>
              <w:pStyle w:val="Table"/>
              <w:rPr>
                <w:lang w:val="fr-CH"/>
              </w:rPr>
            </w:pPr>
            <w:r w:rsidRPr="0066554B">
              <w:rPr>
                <w:lang w:val="fr-CH"/>
              </w:rPr>
              <w:t>0.8</w:t>
            </w:r>
          </w:p>
        </w:tc>
      </w:tr>
      <w:tr w:rsidR="00CD0F47" w:rsidRPr="0066554B" w14:paraId="4F675182" w14:textId="77777777" w:rsidTr="002960D2">
        <w:trPr>
          <w:trHeight w:val="170"/>
        </w:trPr>
        <w:tc>
          <w:tcPr>
            <w:tcW w:w="4025" w:type="dxa"/>
            <w:tcBorders>
              <w:right w:val="single" w:sz="4" w:space="0" w:color="auto"/>
            </w:tcBorders>
            <w:shd w:val="clear" w:color="auto" w:fill="auto"/>
            <w:noWrap/>
            <w:vAlign w:val="bottom"/>
            <w:hideMark/>
          </w:tcPr>
          <w:p w14:paraId="174BC275" w14:textId="77777777" w:rsidR="00CD0F47" w:rsidRPr="0066554B" w:rsidRDefault="00CD0F47" w:rsidP="002960D2">
            <w:pPr>
              <w:pStyle w:val="Table"/>
              <w:rPr>
                <w:lang w:val="fr-CH"/>
              </w:rPr>
            </w:pPr>
            <w:r w:rsidRPr="0066554B">
              <w:t>Feedback on negative consequences</w:t>
            </w:r>
          </w:p>
        </w:tc>
        <w:tc>
          <w:tcPr>
            <w:tcW w:w="907" w:type="dxa"/>
            <w:tcBorders>
              <w:left w:val="single" w:sz="4" w:space="0" w:color="auto"/>
            </w:tcBorders>
            <w:shd w:val="clear" w:color="auto" w:fill="auto"/>
            <w:noWrap/>
            <w:vAlign w:val="bottom"/>
            <w:hideMark/>
          </w:tcPr>
          <w:p w14:paraId="506FCB8F" w14:textId="77777777" w:rsidR="00CD0F47" w:rsidRPr="0066554B" w:rsidRDefault="00CD0F47" w:rsidP="002960D2">
            <w:pPr>
              <w:pStyle w:val="Table"/>
              <w:rPr>
                <w:lang w:val="fr-CH"/>
              </w:rPr>
            </w:pPr>
            <w:r w:rsidRPr="0066554B">
              <w:rPr>
                <w:lang w:val="fr-CH"/>
              </w:rPr>
              <w:t>110</w:t>
            </w:r>
          </w:p>
        </w:tc>
        <w:tc>
          <w:tcPr>
            <w:tcW w:w="907" w:type="dxa"/>
            <w:shd w:val="clear" w:color="auto" w:fill="auto"/>
            <w:noWrap/>
            <w:vAlign w:val="bottom"/>
            <w:hideMark/>
          </w:tcPr>
          <w:p w14:paraId="6BE10A9B" w14:textId="77777777" w:rsidR="00CD0F47" w:rsidRPr="0066554B" w:rsidRDefault="00CD0F47" w:rsidP="002960D2">
            <w:pPr>
              <w:pStyle w:val="Table"/>
              <w:rPr>
                <w:lang w:val="fr-CH"/>
              </w:rPr>
            </w:pPr>
            <w:r w:rsidRPr="0066554B">
              <w:rPr>
                <w:lang w:val="fr-CH"/>
              </w:rPr>
              <w:t>2.9</w:t>
            </w:r>
          </w:p>
        </w:tc>
        <w:tc>
          <w:tcPr>
            <w:tcW w:w="907" w:type="dxa"/>
            <w:tcBorders>
              <w:right w:val="single" w:sz="4" w:space="0" w:color="auto"/>
            </w:tcBorders>
            <w:shd w:val="clear" w:color="auto" w:fill="auto"/>
            <w:noWrap/>
            <w:vAlign w:val="bottom"/>
            <w:hideMark/>
          </w:tcPr>
          <w:p w14:paraId="3360DE76" w14:textId="77777777" w:rsidR="00CD0F47" w:rsidRPr="0066554B" w:rsidRDefault="00CD0F47" w:rsidP="002960D2">
            <w:pPr>
              <w:pStyle w:val="Table"/>
              <w:rPr>
                <w:lang w:val="fr-CH"/>
              </w:rPr>
            </w:pPr>
            <w:r w:rsidRPr="0066554B">
              <w:rPr>
                <w:lang w:val="fr-CH"/>
              </w:rPr>
              <w:t>1.1</w:t>
            </w:r>
          </w:p>
        </w:tc>
        <w:tc>
          <w:tcPr>
            <w:tcW w:w="907" w:type="dxa"/>
            <w:tcBorders>
              <w:left w:val="single" w:sz="4" w:space="0" w:color="auto"/>
            </w:tcBorders>
            <w:shd w:val="clear" w:color="auto" w:fill="auto"/>
            <w:noWrap/>
            <w:vAlign w:val="bottom"/>
            <w:hideMark/>
          </w:tcPr>
          <w:p w14:paraId="26431BFA" w14:textId="77777777" w:rsidR="00CD0F47" w:rsidRPr="0066554B" w:rsidRDefault="00CD0F47" w:rsidP="002960D2">
            <w:pPr>
              <w:pStyle w:val="Table"/>
              <w:rPr>
                <w:lang w:val="fr-CH"/>
              </w:rPr>
            </w:pPr>
            <w:r w:rsidRPr="0066554B">
              <w:rPr>
                <w:lang w:val="fr-CH"/>
              </w:rPr>
              <w:t>3</w:t>
            </w:r>
          </w:p>
        </w:tc>
        <w:tc>
          <w:tcPr>
            <w:tcW w:w="907" w:type="dxa"/>
            <w:shd w:val="clear" w:color="auto" w:fill="auto"/>
            <w:noWrap/>
            <w:vAlign w:val="bottom"/>
            <w:hideMark/>
          </w:tcPr>
          <w:p w14:paraId="779507C1" w14:textId="77777777" w:rsidR="00CD0F47" w:rsidRPr="0066554B" w:rsidRDefault="00CD0F47" w:rsidP="002960D2">
            <w:pPr>
              <w:pStyle w:val="Table"/>
              <w:rPr>
                <w:lang w:val="fr-CH"/>
              </w:rPr>
            </w:pPr>
            <w:r w:rsidRPr="0066554B">
              <w:rPr>
                <w:lang w:val="fr-CH"/>
              </w:rPr>
              <w:t>1.0</w:t>
            </w:r>
          </w:p>
        </w:tc>
        <w:tc>
          <w:tcPr>
            <w:tcW w:w="907" w:type="dxa"/>
            <w:tcBorders>
              <w:right w:val="single" w:sz="4" w:space="0" w:color="auto"/>
            </w:tcBorders>
            <w:shd w:val="clear" w:color="auto" w:fill="auto"/>
            <w:noWrap/>
            <w:vAlign w:val="bottom"/>
            <w:hideMark/>
          </w:tcPr>
          <w:p w14:paraId="2B577153" w14:textId="77777777" w:rsidR="00CD0F47" w:rsidRPr="0066554B" w:rsidRDefault="00CD0F47" w:rsidP="002960D2">
            <w:pPr>
              <w:pStyle w:val="Table"/>
              <w:rPr>
                <w:lang w:val="fr-CH"/>
              </w:rPr>
            </w:pPr>
            <w:r w:rsidRPr="0066554B">
              <w:rPr>
                <w:lang w:val="fr-CH"/>
              </w:rPr>
              <w:t>1.0</w:t>
            </w:r>
          </w:p>
        </w:tc>
        <w:tc>
          <w:tcPr>
            <w:tcW w:w="907" w:type="dxa"/>
            <w:tcBorders>
              <w:left w:val="single" w:sz="4" w:space="0" w:color="auto"/>
            </w:tcBorders>
            <w:shd w:val="clear" w:color="auto" w:fill="auto"/>
            <w:noWrap/>
            <w:vAlign w:val="bottom"/>
            <w:hideMark/>
          </w:tcPr>
          <w:p w14:paraId="54A33A85" w14:textId="77777777" w:rsidR="00CD0F47" w:rsidRPr="0066554B" w:rsidRDefault="00CD0F47" w:rsidP="002960D2">
            <w:pPr>
              <w:pStyle w:val="Table"/>
              <w:rPr>
                <w:lang w:val="fr-CH"/>
              </w:rPr>
            </w:pPr>
            <w:r w:rsidRPr="0066554B">
              <w:rPr>
                <w:lang w:val="fr-CH"/>
              </w:rPr>
              <w:t>113</w:t>
            </w:r>
          </w:p>
        </w:tc>
        <w:tc>
          <w:tcPr>
            <w:tcW w:w="907" w:type="dxa"/>
            <w:shd w:val="clear" w:color="auto" w:fill="auto"/>
            <w:noWrap/>
            <w:vAlign w:val="bottom"/>
            <w:hideMark/>
          </w:tcPr>
          <w:p w14:paraId="1508D118" w14:textId="77777777" w:rsidR="00CD0F47" w:rsidRPr="0066554B" w:rsidRDefault="00CD0F47" w:rsidP="002960D2">
            <w:pPr>
              <w:pStyle w:val="Table"/>
              <w:rPr>
                <w:lang w:val="fr-CH"/>
              </w:rPr>
            </w:pPr>
            <w:r w:rsidRPr="0066554B">
              <w:rPr>
                <w:lang w:val="fr-CH"/>
              </w:rPr>
              <w:t>2.9</w:t>
            </w:r>
          </w:p>
        </w:tc>
        <w:tc>
          <w:tcPr>
            <w:tcW w:w="907" w:type="dxa"/>
            <w:tcBorders>
              <w:right w:val="single" w:sz="4" w:space="0" w:color="auto"/>
            </w:tcBorders>
            <w:shd w:val="clear" w:color="auto" w:fill="auto"/>
            <w:noWrap/>
            <w:vAlign w:val="bottom"/>
            <w:hideMark/>
          </w:tcPr>
          <w:p w14:paraId="0E4A31DB" w14:textId="77777777" w:rsidR="00CD0F47" w:rsidRPr="0066554B" w:rsidRDefault="00CD0F47" w:rsidP="002960D2">
            <w:pPr>
              <w:pStyle w:val="Table"/>
              <w:rPr>
                <w:lang w:val="fr-CH"/>
              </w:rPr>
            </w:pPr>
            <w:r w:rsidRPr="0066554B">
              <w:rPr>
                <w:lang w:val="fr-CH"/>
              </w:rPr>
              <w:t>1.1</w:t>
            </w:r>
          </w:p>
        </w:tc>
      </w:tr>
      <w:tr w:rsidR="00CD0F47" w:rsidRPr="0066554B" w14:paraId="0DF91357" w14:textId="77777777" w:rsidTr="002960D2">
        <w:trPr>
          <w:trHeight w:val="170"/>
        </w:trPr>
        <w:tc>
          <w:tcPr>
            <w:tcW w:w="4025" w:type="dxa"/>
            <w:tcBorders>
              <w:right w:val="single" w:sz="4" w:space="0" w:color="auto"/>
            </w:tcBorders>
            <w:shd w:val="clear" w:color="auto" w:fill="auto"/>
            <w:noWrap/>
            <w:vAlign w:val="bottom"/>
            <w:hideMark/>
          </w:tcPr>
          <w:p w14:paraId="49AED5D9" w14:textId="77777777" w:rsidR="00CD0F47" w:rsidRPr="0066554B" w:rsidRDefault="00CD0F47" w:rsidP="002960D2">
            <w:pPr>
              <w:pStyle w:val="Table"/>
            </w:pPr>
            <w:r w:rsidRPr="0066554B">
              <w:t>Discuss commitment to drinking goals</w:t>
            </w:r>
          </w:p>
        </w:tc>
        <w:tc>
          <w:tcPr>
            <w:tcW w:w="907" w:type="dxa"/>
            <w:tcBorders>
              <w:left w:val="single" w:sz="4" w:space="0" w:color="auto"/>
            </w:tcBorders>
            <w:shd w:val="clear" w:color="auto" w:fill="auto"/>
            <w:noWrap/>
            <w:vAlign w:val="bottom"/>
            <w:hideMark/>
          </w:tcPr>
          <w:p w14:paraId="534EB5B4" w14:textId="77777777" w:rsidR="00CD0F47" w:rsidRPr="0066554B" w:rsidRDefault="00CD0F47" w:rsidP="002960D2">
            <w:pPr>
              <w:pStyle w:val="Table"/>
              <w:rPr>
                <w:lang w:val="fr-CH"/>
              </w:rPr>
            </w:pPr>
            <w:r w:rsidRPr="0066554B">
              <w:rPr>
                <w:lang w:val="fr-CH"/>
              </w:rPr>
              <w:t>205</w:t>
            </w:r>
          </w:p>
        </w:tc>
        <w:tc>
          <w:tcPr>
            <w:tcW w:w="907" w:type="dxa"/>
            <w:shd w:val="clear" w:color="auto" w:fill="auto"/>
            <w:noWrap/>
            <w:vAlign w:val="bottom"/>
            <w:hideMark/>
          </w:tcPr>
          <w:p w14:paraId="0D9DAC5C" w14:textId="77777777" w:rsidR="00CD0F47" w:rsidRPr="0066554B" w:rsidRDefault="00CD0F47" w:rsidP="002960D2">
            <w:pPr>
              <w:pStyle w:val="Table"/>
              <w:rPr>
                <w:lang w:val="fr-CH"/>
              </w:rPr>
            </w:pPr>
            <w:r w:rsidRPr="0066554B">
              <w:rPr>
                <w:lang w:val="fr-CH"/>
              </w:rPr>
              <w:t>2.5</w:t>
            </w:r>
          </w:p>
        </w:tc>
        <w:tc>
          <w:tcPr>
            <w:tcW w:w="907" w:type="dxa"/>
            <w:tcBorders>
              <w:right w:val="single" w:sz="4" w:space="0" w:color="auto"/>
            </w:tcBorders>
            <w:shd w:val="clear" w:color="auto" w:fill="auto"/>
            <w:noWrap/>
            <w:vAlign w:val="bottom"/>
            <w:hideMark/>
          </w:tcPr>
          <w:p w14:paraId="74EA0376" w14:textId="77777777" w:rsidR="00CD0F47" w:rsidRPr="0066554B" w:rsidRDefault="00CD0F47" w:rsidP="002960D2">
            <w:pPr>
              <w:pStyle w:val="Table"/>
              <w:rPr>
                <w:lang w:val="fr-CH"/>
              </w:rPr>
            </w:pPr>
            <w:r w:rsidRPr="0066554B">
              <w:rPr>
                <w:lang w:val="fr-CH"/>
              </w:rPr>
              <w:t>1.2</w:t>
            </w:r>
          </w:p>
        </w:tc>
        <w:tc>
          <w:tcPr>
            <w:tcW w:w="907" w:type="dxa"/>
            <w:tcBorders>
              <w:left w:val="single" w:sz="4" w:space="0" w:color="auto"/>
            </w:tcBorders>
            <w:shd w:val="clear" w:color="auto" w:fill="auto"/>
            <w:noWrap/>
            <w:vAlign w:val="bottom"/>
            <w:hideMark/>
          </w:tcPr>
          <w:p w14:paraId="5093AEFE" w14:textId="77777777" w:rsidR="00CD0F47" w:rsidRPr="0066554B" w:rsidRDefault="00CD0F47" w:rsidP="002960D2">
            <w:pPr>
              <w:pStyle w:val="Table"/>
              <w:rPr>
                <w:lang w:val="fr-CH"/>
              </w:rPr>
            </w:pPr>
            <w:r w:rsidRPr="0066554B">
              <w:rPr>
                <w:lang w:val="fr-CH"/>
              </w:rPr>
              <w:t>124</w:t>
            </w:r>
          </w:p>
        </w:tc>
        <w:tc>
          <w:tcPr>
            <w:tcW w:w="907" w:type="dxa"/>
            <w:shd w:val="clear" w:color="auto" w:fill="auto"/>
            <w:noWrap/>
            <w:vAlign w:val="bottom"/>
            <w:hideMark/>
          </w:tcPr>
          <w:p w14:paraId="4CAD1A1E" w14:textId="77777777" w:rsidR="00CD0F47" w:rsidRPr="0066554B" w:rsidRDefault="00CD0F47" w:rsidP="002960D2">
            <w:pPr>
              <w:pStyle w:val="Table"/>
              <w:rPr>
                <w:lang w:val="fr-CH"/>
              </w:rPr>
            </w:pPr>
            <w:r w:rsidRPr="0066554B">
              <w:rPr>
                <w:lang w:val="fr-CH"/>
              </w:rPr>
              <w:t>2.3</w:t>
            </w:r>
          </w:p>
        </w:tc>
        <w:tc>
          <w:tcPr>
            <w:tcW w:w="907" w:type="dxa"/>
            <w:tcBorders>
              <w:right w:val="single" w:sz="4" w:space="0" w:color="auto"/>
            </w:tcBorders>
            <w:shd w:val="clear" w:color="auto" w:fill="auto"/>
            <w:noWrap/>
            <w:vAlign w:val="bottom"/>
            <w:hideMark/>
          </w:tcPr>
          <w:p w14:paraId="27CFD48E" w14:textId="77777777" w:rsidR="00CD0F47" w:rsidRPr="0066554B" w:rsidRDefault="00CD0F47" w:rsidP="002960D2">
            <w:pPr>
              <w:pStyle w:val="Table"/>
              <w:rPr>
                <w:lang w:val="fr-CH"/>
              </w:rPr>
            </w:pPr>
            <w:r w:rsidRPr="0066554B">
              <w:rPr>
                <w:lang w:val="fr-CH"/>
              </w:rPr>
              <w:t>1.2</w:t>
            </w:r>
          </w:p>
        </w:tc>
        <w:tc>
          <w:tcPr>
            <w:tcW w:w="907" w:type="dxa"/>
            <w:tcBorders>
              <w:left w:val="single" w:sz="4" w:space="0" w:color="auto"/>
            </w:tcBorders>
            <w:shd w:val="clear" w:color="auto" w:fill="auto"/>
            <w:noWrap/>
            <w:vAlign w:val="bottom"/>
            <w:hideMark/>
          </w:tcPr>
          <w:p w14:paraId="6B1A1563" w14:textId="77777777" w:rsidR="00CD0F47" w:rsidRPr="0066554B" w:rsidRDefault="00CD0F47" w:rsidP="002960D2">
            <w:pPr>
              <w:pStyle w:val="Table"/>
              <w:rPr>
                <w:lang w:val="fr-CH"/>
              </w:rPr>
            </w:pPr>
            <w:r w:rsidRPr="0066554B">
              <w:rPr>
                <w:lang w:val="fr-CH"/>
              </w:rPr>
              <w:t>329</w:t>
            </w:r>
          </w:p>
        </w:tc>
        <w:tc>
          <w:tcPr>
            <w:tcW w:w="907" w:type="dxa"/>
            <w:shd w:val="clear" w:color="auto" w:fill="auto"/>
            <w:noWrap/>
            <w:vAlign w:val="bottom"/>
            <w:hideMark/>
          </w:tcPr>
          <w:p w14:paraId="62B373F2" w14:textId="77777777" w:rsidR="00CD0F47" w:rsidRPr="0066554B" w:rsidRDefault="00CD0F47" w:rsidP="002960D2">
            <w:pPr>
              <w:pStyle w:val="Table"/>
              <w:rPr>
                <w:lang w:val="fr-CH"/>
              </w:rPr>
            </w:pPr>
            <w:r w:rsidRPr="0066554B">
              <w:rPr>
                <w:lang w:val="fr-CH"/>
              </w:rPr>
              <w:t>2.4</w:t>
            </w:r>
          </w:p>
        </w:tc>
        <w:tc>
          <w:tcPr>
            <w:tcW w:w="907" w:type="dxa"/>
            <w:tcBorders>
              <w:right w:val="single" w:sz="4" w:space="0" w:color="auto"/>
            </w:tcBorders>
            <w:shd w:val="clear" w:color="auto" w:fill="auto"/>
            <w:noWrap/>
            <w:vAlign w:val="bottom"/>
            <w:hideMark/>
          </w:tcPr>
          <w:p w14:paraId="1973E3DB" w14:textId="77777777" w:rsidR="00CD0F47" w:rsidRPr="0066554B" w:rsidRDefault="00CD0F47" w:rsidP="002960D2">
            <w:pPr>
              <w:pStyle w:val="Table"/>
              <w:rPr>
                <w:lang w:val="fr-CH"/>
              </w:rPr>
            </w:pPr>
            <w:r w:rsidRPr="0066554B">
              <w:rPr>
                <w:lang w:val="fr-CH"/>
              </w:rPr>
              <w:t>1.2</w:t>
            </w:r>
          </w:p>
        </w:tc>
      </w:tr>
      <w:tr w:rsidR="00CD0F47" w:rsidRPr="0066554B" w14:paraId="066B9F6B" w14:textId="77777777" w:rsidTr="002960D2">
        <w:trPr>
          <w:trHeight w:val="170"/>
        </w:trPr>
        <w:tc>
          <w:tcPr>
            <w:tcW w:w="4025" w:type="dxa"/>
            <w:tcBorders>
              <w:right w:val="single" w:sz="4" w:space="0" w:color="auto"/>
            </w:tcBorders>
            <w:shd w:val="clear" w:color="auto" w:fill="auto"/>
            <w:noWrap/>
            <w:vAlign w:val="bottom"/>
            <w:hideMark/>
          </w:tcPr>
          <w:p w14:paraId="2767AEB9" w14:textId="77777777" w:rsidR="00CD0F47" w:rsidRPr="0066554B" w:rsidRDefault="00CD0F47" w:rsidP="002960D2">
            <w:pPr>
              <w:pStyle w:val="Table"/>
              <w:rPr>
                <w:lang w:val="fr-CH"/>
              </w:rPr>
            </w:pPr>
            <w:r w:rsidRPr="0066554B">
              <w:t>Elicit optimism for change</w:t>
            </w:r>
          </w:p>
        </w:tc>
        <w:tc>
          <w:tcPr>
            <w:tcW w:w="907" w:type="dxa"/>
            <w:tcBorders>
              <w:left w:val="single" w:sz="4" w:space="0" w:color="auto"/>
            </w:tcBorders>
            <w:shd w:val="clear" w:color="auto" w:fill="auto"/>
            <w:noWrap/>
            <w:vAlign w:val="bottom"/>
            <w:hideMark/>
          </w:tcPr>
          <w:p w14:paraId="4FA6B8F0" w14:textId="77777777" w:rsidR="00CD0F47" w:rsidRPr="0066554B" w:rsidRDefault="00CD0F47" w:rsidP="002960D2">
            <w:pPr>
              <w:pStyle w:val="Table"/>
              <w:rPr>
                <w:lang w:val="fr-CH"/>
              </w:rPr>
            </w:pPr>
            <w:r w:rsidRPr="0066554B">
              <w:rPr>
                <w:lang w:val="fr-CH"/>
              </w:rPr>
              <w:t>150</w:t>
            </w:r>
          </w:p>
        </w:tc>
        <w:tc>
          <w:tcPr>
            <w:tcW w:w="907" w:type="dxa"/>
            <w:shd w:val="clear" w:color="auto" w:fill="auto"/>
            <w:noWrap/>
            <w:vAlign w:val="bottom"/>
            <w:hideMark/>
          </w:tcPr>
          <w:p w14:paraId="4A119ED6" w14:textId="77777777" w:rsidR="00CD0F47" w:rsidRPr="0066554B" w:rsidRDefault="00CD0F47" w:rsidP="002960D2">
            <w:pPr>
              <w:pStyle w:val="Table"/>
              <w:rPr>
                <w:lang w:val="fr-CH"/>
              </w:rPr>
            </w:pPr>
            <w:r w:rsidRPr="0066554B">
              <w:rPr>
                <w:lang w:val="fr-CH"/>
              </w:rPr>
              <w:t>2.4</w:t>
            </w:r>
          </w:p>
        </w:tc>
        <w:tc>
          <w:tcPr>
            <w:tcW w:w="907" w:type="dxa"/>
            <w:tcBorders>
              <w:right w:val="single" w:sz="4" w:space="0" w:color="auto"/>
            </w:tcBorders>
            <w:shd w:val="clear" w:color="auto" w:fill="auto"/>
            <w:noWrap/>
            <w:vAlign w:val="bottom"/>
            <w:hideMark/>
          </w:tcPr>
          <w:p w14:paraId="210754CE" w14:textId="77777777" w:rsidR="00CD0F47" w:rsidRPr="0066554B" w:rsidRDefault="00CD0F47" w:rsidP="002960D2">
            <w:pPr>
              <w:pStyle w:val="Table"/>
              <w:rPr>
                <w:lang w:val="fr-CH"/>
              </w:rPr>
            </w:pPr>
            <w:r w:rsidRPr="0066554B">
              <w:rPr>
                <w:lang w:val="fr-CH"/>
              </w:rPr>
              <w:t>1.2</w:t>
            </w:r>
          </w:p>
        </w:tc>
        <w:tc>
          <w:tcPr>
            <w:tcW w:w="907" w:type="dxa"/>
            <w:tcBorders>
              <w:left w:val="single" w:sz="4" w:space="0" w:color="auto"/>
            </w:tcBorders>
            <w:shd w:val="clear" w:color="auto" w:fill="auto"/>
            <w:noWrap/>
            <w:vAlign w:val="bottom"/>
            <w:hideMark/>
          </w:tcPr>
          <w:p w14:paraId="314D2D3E" w14:textId="77777777" w:rsidR="00CD0F47" w:rsidRPr="0066554B" w:rsidRDefault="00CD0F47" w:rsidP="002960D2">
            <w:pPr>
              <w:pStyle w:val="Table"/>
              <w:rPr>
                <w:lang w:val="fr-CH"/>
              </w:rPr>
            </w:pPr>
            <w:r w:rsidRPr="0066554B">
              <w:rPr>
                <w:lang w:val="fr-CH"/>
              </w:rPr>
              <w:t>21</w:t>
            </w:r>
          </w:p>
        </w:tc>
        <w:tc>
          <w:tcPr>
            <w:tcW w:w="907" w:type="dxa"/>
            <w:shd w:val="clear" w:color="auto" w:fill="auto"/>
            <w:noWrap/>
            <w:vAlign w:val="bottom"/>
            <w:hideMark/>
          </w:tcPr>
          <w:p w14:paraId="78CD6528" w14:textId="77777777" w:rsidR="00CD0F47" w:rsidRPr="0066554B" w:rsidRDefault="00CD0F47" w:rsidP="002960D2">
            <w:pPr>
              <w:pStyle w:val="Table"/>
              <w:rPr>
                <w:lang w:val="fr-CH"/>
              </w:rPr>
            </w:pPr>
            <w:r w:rsidRPr="0066554B">
              <w:rPr>
                <w:lang w:val="fr-CH"/>
              </w:rPr>
              <w:t>2.1</w:t>
            </w:r>
          </w:p>
        </w:tc>
        <w:tc>
          <w:tcPr>
            <w:tcW w:w="907" w:type="dxa"/>
            <w:tcBorders>
              <w:right w:val="single" w:sz="4" w:space="0" w:color="auto"/>
            </w:tcBorders>
            <w:shd w:val="clear" w:color="auto" w:fill="auto"/>
            <w:noWrap/>
            <w:vAlign w:val="bottom"/>
            <w:hideMark/>
          </w:tcPr>
          <w:p w14:paraId="7AAEB43A" w14:textId="77777777" w:rsidR="00CD0F47" w:rsidRPr="0066554B" w:rsidRDefault="00CD0F47" w:rsidP="002960D2">
            <w:pPr>
              <w:pStyle w:val="Table"/>
              <w:rPr>
                <w:lang w:val="fr-CH"/>
              </w:rPr>
            </w:pPr>
            <w:r w:rsidRPr="0066554B">
              <w:rPr>
                <w:lang w:val="fr-CH"/>
              </w:rPr>
              <w:t>1.2</w:t>
            </w:r>
          </w:p>
        </w:tc>
        <w:tc>
          <w:tcPr>
            <w:tcW w:w="907" w:type="dxa"/>
            <w:tcBorders>
              <w:left w:val="single" w:sz="4" w:space="0" w:color="auto"/>
            </w:tcBorders>
            <w:shd w:val="clear" w:color="auto" w:fill="auto"/>
            <w:noWrap/>
            <w:vAlign w:val="bottom"/>
            <w:hideMark/>
          </w:tcPr>
          <w:p w14:paraId="1B450949" w14:textId="77777777" w:rsidR="00CD0F47" w:rsidRPr="0066554B" w:rsidRDefault="00CD0F47" w:rsidP="002960D2">
            <w:pPr>
              <w:pStyle w:val="Table"/>
              <w:rPr>
                <w:lang w:val="fr-CH"/>
              </w:rPr>
            </w:pPr>
            <w:r w:rsidRPr="0066554B">
              <w:rPr>
                <w:lang w:val="fr-CH"/>
              </w:rPr>
              <w:t>171</w:t>
            </w:r>
          </w:p>
        </w:tc>
        <w:tc>
          <w:tcPr>
            <w:tcW w:w="907" w:type="dxa"/>
            <w:shd w:val="clear" w:color="auto" w:fill="auto"/>
            <w:noWrap/>
            <w:vAlign w:val="bottom"/>
            <w:hideMark/>
          </w:tcPr>
          <w:p w14:paraId="428204DE" w14:textId="77777777" w:rsidR="00CD0F47" w:rsidRPr="0066554B" w:rsidRDefault="00CD0F47" w:rsidP="002960D2">
            <w:pPr>
              <w:pStyle w:val="Table"/>
              <w:rPr>
                <w:lang w:val="fr-CH"/>
              </w:rPr>
            </w:pPr>
            <w:r w:rsidRPr="0066554B">
              <w:rPr>
                <w:lang w:val="fr-CH"/>
              </w:rPr>
              <w:t>2.4</w:t>
            </w:r>
          </w:p>
        </w:tc>
        <w:tc>
          <w:tcPr>
            <w:tcW w:w="907" w:type="dxa"/>
            <w:tcBorders>
              <w:right w:val="single" w:sz="4" w:space="0" w:color="auto"/>
            </w:tcBorders>
            <w:shd w:val="clear" w:color="auto" w:fill="auto"/>
            <w:noWrap/>
            <w:vAlign w:val="bottom"/>
            <w:hideMark/>
          </w:tcPr>
          <w:p w14:paraId="1101A034" w14:textId="77777777" w:rsidR="00CD0F47" w:rsidRPr="0066554B" w:rsidRDefault="00CD0F47" w:rsidP="002960D2">
            <w:pPr>
              <w:pStyle w:val="Table"/>
              <w:rPr>
                <w:lang w:val="fr-CH"/>
              </w:rPr>
            </w:pPr>
            <w:r w:rsidRPr="0066554B">
              <w:rPr>
                <w:lang w:val="fr-CH"/>
              </w:rPr>
              <w:t>1.2</w:t>
            </w:r>
          </w:p>
        </w:tc>
      </w:tr>
      <w:tr w:rsidR="00CD0F47" w:rsidRPr="0066554B" w14:paraId="43A42D45" w14:textId="77777777" w:rsidTr="002960D2">
        <w:trPr>
          <w:trHeight w:val="170"/>
        </w:trPr>
        <w:tc>
          <w:tcPr>
            <w:tcW w:w="4025" w:type="dxa"/>
            <w:tcBorders>
              <w:right w:val="single" w:sz="4" w:space="0" w:color="auto"/>
            </w:tcBorders>
            <w:shd w:val="clear" w:color="auto" w:fill="auto"/>
            <w:noWrap/>
            <w:vAlign w:val="bottom"/>
            <w:hideMark/>
          </w:tcPr>
          <w:p w14:paraId="69CF8C02" w14:textId="77777777" w:rsidR="00CD0F47" w:rsidRPr="0066554B" w:rsidRDefault="00CD0F47" w:rsidP="002960D2">
            <w:pPr>
              <w:pStyle w:val="Table"/>
              <w:rPr>
                <w:lang w:val="fr-CH"/>
              </w:rPr>
            </w:pPr>
            <w:r w:rsidRPr="0066554B">
              <w:t>Reflective listening;</w:t>
            </w:r>
          </w:p>
        </w:tc>
        <w:tc>
          <w:tcPr>
            <w:tcW w:w="907" w:type="dxa"/>
            <w:tcBorders>
              <w:left w:val="single" w:sz="4" w:space="0" w:color="auto"/>
            </w:tcBorders>
            <w:shd w:val="clear" w:color="auto" w:fill="auto"/>
            <w:noWrap/>
            <w:vAlign w:val="bottom"/>
            <w:hideMark/>
          </w:tcPr>
          <w:p w14:paraId="5A3B1526" w14:textId="77777777" w:rsidR="00CD0F47" w:rsidRPr="0066554B" w:rsidRDefault="00CD0F47" w:rsidP="002960D2">
            <w:pPr>
              <w:pStyle w:val="Table"/>
              <w:rPr>
                <w:lang w:val="fr-CH"/>
              </w:rPr>
            </w:pPr>
            <w:r w:rsidRPr="0066554B">
              <w:rPr>
                <w:lang w:val="fr-CH"/>
              </w:rPr>
              <w:t>214</w:t>
            </w:r>
          </w:p>
        </w:tc>
        <w:tc>
          <w:tcPr>
            <w:tcW w:w="907" w:type="dxa"/>
            <w:shd w:val="clear" w:color="auto" w:fill="auto"/>
            <w:noWrap/>
            <w:vAlign w:val="bottom"/>
            <w:hideMark/>
          </w:tcPr>
          <w:p w14:paraId="27A72647" w14:textId="77777777" w:rsidR="00CD0F47" w:rsidRPr="0066554B" w:rsidRDefault="00CD0F47" w:rsidP="002960D2">
            <w:pPr>
              <w:pStyle w:val="Table"/>
              <w:rPr>
                <w:lang w:val="fr-CH"/>
              </w:rPr>
            </w:pPr>
            <w:r w:rsidRPr="0066554B">
              <w:rPr>
                <w:lang w:val="fr-CH"/>
              </w:rPr>
              <w:t>2.9</w:t>
            </w:r>
          </w:p>
        </w:tc>
        <w:tc>
          <w:tcPr>
            <w:tcW w:w="907" w:type="dxa"/>
            <w:tcBorders>
              <w:right w:val="single" w:sz="4" w:space="0" w:color="auto"/>
            </w:tcBorders>
            <w:shd w:val="clear" w:color="auto" w:fill="auto"/>
            <w:noWrap/>
            <w:vAlign w:val="bottom"/>
            <w:hideMark/>
          </w:tcPr>
          <w:p w14:paraId="5274329B" w14:textId="77777777" w:rsidR="00CD0F47" w:rsidRPr="0066554B" w:rsidRDefault="00CD0F47" w:rsidP="002960D2">
            <w:pPr>
              <w:pStyle w:val="Table"/>
              <w:rPr>
                <w:lang w:val="fr-CH"/>
              </w:rPr>
            </w:pPr>
            <w:r w:rsidRPr="0066554B">
              <w:rPr>
                <w:lang w:val="fr-CH"/>
              </w:rPr>
              <w:t>0.6</w:t>
            </w:r>
          </w:p>
        </w:tc>
        <w:tc>
          <w:tcPr>
            <w:tcW w:w="907" w:type="dxa"/>
            <w:tcBorders>
              <w:left w:val="single" w:sz="4" w:space="0" w:color="auto"/>
            </w:tcBorders>
            <w:shd w:val="clear" w:color="auto" w:fill="auto"/>
            <w:noWrap/>
            <w:vAlign w:val="bottom"/>
            <w:hideMark/>
          </w:tcPr>
          <w:p w14:paraId="4EC642B8" w14:textId="77777777" w:rsidR="00CD0F47" w:rsidRPr="0066554B" w:rsidRDefault="00CD0F47" w:rsidP="002960D2">
            <w:pPr>
              <w:pStyle w:val="Table"/>
              <w:rPr>
                <w:lang w:val="fr-CH"/>
              </w:rPr>
            </w:pPr>
            <w:r w:rsidRPr="0066554B">
              <w:rPr>
                <w:lang w:val="fr-CH"/>
              </w:rPr>
              <w:t>135</w:t>
            </w:r>
          </w:p>
        </w:tc>
        <w:tc>
          <w:tcPr>
            <w:tcW w:w="907" w:type="dxa"/>
            <w:shd w:val="clear" w:color="auto" w:fill="auto"/>
            <w:noWrap/>
            <w:vAlign w:val="bottom"/>
            <w:hideMark/>
          </w:tcPr>
          <w:p w14:paraId="26FA6197" w14:textId="77777777" w:rsidR="00CD0F47" w:rsidRPr="0066554B" w:rsidRDefault="00CD0F47" w:rsidP="002960D2">
            <w:pPr>
              <w:pStyle w:val="Table"/>
              <w:rPr>
                <w:lang w:val="fr-CH"/>
              </w:rPr>
            </w:pPr>
            <w:r w:rsidRPr="0066554B">
              <w:rPr>
                <w:lang w:val="fr-CH"/>
              </w:rPr>
              <w:t>2.8</w:t>
            </w:r>
          </w:p>
        </w:tc>
        <w:tc>
          <w:tcPr>
            <w:tcW w:w="907" w:type="dxa"/>
            <w:tcBorders>
              <w:right w:val="single" w:sz="4" w:space="0" w:color="auto"/>
            </w:tcBorders>
            <w:shd w:val="clear" w:color="auto" w:fill="auto"/>
            <w:noWrap/>
            <w:vAlign w:val="bottom"/>
            <w:hideMark/>
          </w:tcPr>
          <w:p w14:paraId="6E7EA20A" w14:textId="77777777" w:rsidR="00CD0F47" w:rsidRPr="0066554B" w:rsidRDefault="00CD0F47" w:rsidP="002960D2">
            <w:pPr>
              <w:pStyle w:val="Table"/>
              <w:rPr>
                <w:lang w:val="fr-CH"/>
              </w:rPr>
            </w:pPr>
            <w:r w:rsidRPr="0066554B">
              <w:rPr>
                <w:lang w:val="fr-CH"/>
              </w:rPr>
              <w:t>0.9</w:t>
            </w:r>
          </w:p>
        </w:tc>
        <w:tc>
          <w:tcPr>
            <w:tcW w:w="907" w:type="dxa"/>
            <w:tcBorders>
              <w:left w:val="single" w:sz="4" w:space="0" w:color="auto"/>
            </w:tcBorders>
            <w:shd w:val="clear" w:color="auto" w:fill="auto"/>
            <w:noWrap/>
            <w:vAlign w:val="bottom"/>
            <w:hideMark/>
          </w:tcPr>
          <w:p w14:paraId="0B1B3EB7" w14:textId="77777777" w:rsidR="00CD0F47" w:rsidRPr="0066554B" w:rsidRDefault="00CD0F47" w:rsidP="002960D2">
            <w:pPr>
              <w:pStyle w:val="Table"/>
              <w:rPr>
                <w:lang w:val="fr-CH"/>
              </w:rPr>
            </w:pPr>
            <w:r w:rsidRPr="0066554B">
              <w:rPr>
                <w:lang w:val="fr-CH"/>
              </w:rPr>
              <w:t>349</w:t>
            </w:r>
          </w:p>
        </w:tc>
        <w:tc>
          <w:tcPr>
            <w:tcW w:w="907" w:type="dxa"/>
            <w:shd w:val="clear" w:color="auto" w:fill="auto"/>
            <w:noWrap/>
            <w:vAlign w:val="bottom"/>
            <w:hideMark/>
          </w:tcPr>
          <w:p w14:paraId="2F41A74E" w14:textId="77777777" w:rsidR="00CD0F47" w:rsidRPr="0066554B" w:rsidRDefault="00CD0F47" w:rsidP="002960D2">
            <w:pPr>
              <w:pStyle w:val="Table"/>
              <w:rPr>
                <w:lang w:val="fr-CH"/>
              </w:rPr>
            </w:pPr>
            <w:r w:rsidRPr="0066554B">
              <w:rPr>
                <w:lang w:val="fr-CH"/>
              </w:rPr>
              <w:t>2.8</w:t>
            </w:r>
          </w:p>
        </w:tc>
        <w:tc>
          <w:tcPr>
            <w:tcW w:w="907" w:type="dxa"/>
            <w:tcBorders>
              <w:right w:val="single" w:sz="4" w:space="0" w:color="auto"/>
            </w:tcBorders>
            <w:shd w:val="clear" w:color="auto" w:fill="auto"/>
            <w:noWrap/>
            <w:vAlign w:val="bottom"/>
            <w:hideMark/>
          </w:tcPr>
          <w:p w14:paraId="04BC375A" w14:textId="77777777" w:rsidR="00CD0F47" w:rsidRPr="0066554B" w:rsidRDefault="00CD0F47" w:rsidP="002960D2">
            <w:pPr>
              <w:pStyle w:val="Table"/>
              <w:rPr>
                <w:lang w:val="fr-CH"/>
              </w:rPr>
            </w:pPr>
            <w:r w:rsidRPr="0066554B">
              <w:rPr>
                <w:lang w:val="fr-CH"/>
              </w:rPr>
              <w:t>0.7</w:t>
            </w:r>
          </w:p>
        </w:tc>
      </w:tr>
      <w:tr w:rsidR="00CD0F47" w:rsidRPr="00EB5F70" w14:paraId="6FE0F3FB" w14:textId="77777777" w:rsidTr="002960D2">
        <w:trPr>
          <w:trHeight w:val="170"/>
        </w:trPr>
        <w:tc>
          <w:tcPr>
            <w:tcW w:w="4025" w:type="dxa"/>
            <w:tcBorders>
              <w:right w:val="single" w:sz="4" w:space="0" w:color="auto"/>
            </w:tcBorders>
            <w:shd w:val="clear" w:color="auto" w:fill="auto"/>
            <w:noWrap/>
            <w:vAlign w:val="bottom"/>
            <w:hideMark/>
          </w:tcPr>
          <w:p w14:paraId="0C69850A" w14:textId="77777777" w:rsidR="00CD0F47" w:rsidRPr="00EB5F70" w:rsidRDefault="00CD0F47" w:rsidP="002960D2">
            <w:pPr>
              <w:pStyle w:val="Table"/>
              <w:rPr>
                <w:lang w:val="fr-CH"/>
              </w:rPr>
            </w:pPr>
            <w:r w:rsidRPr="00EB5F70">
              <w:t>Elicit client self-efficacy</w:t>
            </w:r>
          </w:p>
        </w:tc>
        <w:tc>
          <w:tcPr>
            <w:tcW w:w="907" w:type="dxa"/>
            <w:tcBorders>
              <w:left w:val="single" w:sz="4" w:space="0" w:color="auto"/>
            </w:tcBorders>
            <w:shd w:val="clear" w:color="auto" w:fill="auto"/>
            <w:noWrap/>
            <w:vAlign w:val="bottom"/>
            <w:hideMark/>
          </w:tcPr>
          <w:p w14:paraId="4721835C" w14:textId="77777777" w:rsidR="00CD0F47" w:rsidRPr="00EB5F70" w:rsidRDefault="00CD0F47" w:rsidP="002960D2">
            <w:pPr>
              <w:pStyle w:val="Table"/>
              <w:rPr>
                <w:lang w:val="fr-CH"/>
              </w:rPr>
            </w:pPr>
            <w:r w:rsidRPr="00EB5F70">
              <w:rPr>
                <w:lang w:val="fr-CH"/>
              </w:rPr>
              <w:t>60</w:t>
            </w:r>
          </w:p>
        </w:tc>
        <w:tc>
          <w:tcPr>
            <w:tcW w:w="907" w:type="dxa"/>
            <w:shd w:val="clear" w:color="auto" w:fill="auto"/>
            <w:noWrap/>
            <w:vAlign w:val="bottom"/>
            <w:hideMark/>
          </w:tcPr>
          <w:p w14:paraId="6BB93922" w14:textId="77777777" w:rsidR="00CD0F47" w:rsidRPr="00EB5F70" w:rsidRDefault="00CD0F47" w:rsidP="002960D2">
            <w:pPr>
              <w:pStyle w:val="Table"/>
              <w:rPr>
                <w:lang w:val="fr-CH"/>
              </w:rPr>
            </w:pPr>
            <w:r w:rsidRPr="00EB5F70">
              <w:rPr>
                <w:lang w:val="fr-CH"/>
              </w:rPr>
              <w:t>2.1</w:t>
            </w:r>
          </w:p>
        </w:tc>
        <w:tc>
          <w:tcPr>
            <w:tcW w:w="907" w:type="dxa"/>
            <w:tcBorders>
              <w:right w:val="single" w:sz="4" w:space="0" w:color="auto"/>
            </w:tcBorders>
            <w:shd w:val="clear" w:color="auto" w:fill="auto"/>
            <w:noWrap/>
            <w:vAlign w:val="bottom"/>
            <w:hideMark/>
          </w:tcPr>
          <w:p w14:paraId="3BD1CFF4" w14:textId="77777777" w:rsidR="00CD0F47" w:rsidRPr="00EB5F70" w:rsidRDefault="00CD0F47" w:rsidP="002960D2">
            <w:pPr>
              <w:pStyle w:val="Table"/>
              <w:rPr>
                <w:lang w:val="fr-CH"/>
              </w:rPr>
            </w:pPr>
            <w:r w:rsidRPr="00EB5F70">
              <w:rPr>
                <w:lang w:val="fr-CH"/>
              </w:rPr>
              <w:t>1.0</w:t>
            </w:r>
          </w:p>
        </w:tc>
        <w:tc>
          <w:tcPr>
            <w:tcW w:w="907" w:type="dxa"/>
            <w:tcBorders>
              <w:left w:val="single" w:sz="4" w:space="0" w:color="auto"/>
            </w:tcBorders>
            <w:shd w:val="clear" w:color="auto" w:fill="auto"/>
            <w:noWrap/>
            <w:vAlign w:val="bottom"/>
            <w:hideMark/>
          </w:tcPr>
          <w:p w14:paraId="7B238E31" w14:textId="77777777" w:rsidR="00CD0F47" w:rsidRPr="00EB5F70" w:rsidRDefault="00CD0F47" w:rsidP="002960D2">
            <w:pPr>
              <w:pStyle w:val="Table"/>
              <w:rPr>
                <w:lang w:val="fr-CH"/>
              </w:rPr>
            </w:pPr>
            <w:r w:rsidRPr="00EB5F70">
              <w:rPr>
                <w:lang w:val="fr-CH"/>
              </w:rPr>
              <w:t>12</w:t>
            </w:r>
          </w:p>
        </w:tc>
        <w:tc>
          <w:tcPr>
            <w:tcW w:w="907" w:type="dxa"/>
            <w:shd w:val="clear" w:color="auto" w:fill="auto"/>
            <w:noWrap/>
            <w:vAlign w:val="bottom"/>
            <w:hideMark/>
          </w:tcPr>
          <w:p w14:paraId="1E12E3BE" w14:textId="77777777" w:rsidR="00CD0F47" w:rsidRPr="00EB5F70" w:rsidRDefault="00CD0F47" w:rsidP="002960D2">
            <w:pPr>
              <w:pStyle w:val="Table"/>
              <w:rPr>
                <w:lang w:val="fr-CH"/>
              </w:rPr>
            </w:pPr>
            <w:r w:rsidRPr="00EB5F70">
              <w:rPr>
                <w:lang w:val="fr-CH"/>
              </w:rPr>
              <w:t>1.5</w:t>
            </w:r>
          </w:p>
        </w:tc>
        <w:tc>
          <w:tcPr>
            <w:tcW w:w="907" w:type="dxa"/>
            <w:tcBorders>
              <w:right w:val="single" w:sz="4" w:space="0" w:color="auto"/>
            </w:tcBorders>
            <w:shd w:val="clear" w:color="auto" w:fill="auto"/>
            <w:noWrap/>
            <w:vAlign w:val="bottom"/>
            <w:hideMark/>
          </w:tcPr>
          <w:p w14:paraId="55B79FE7" w14:textId="77777777" w:rsidR="00CD0F47" w:rsidRPr="00EB5F70" w:rsidRDefault="00CD0F47" w:rsidP="002960D2">
            <w:pPr>
              <w:pStyle w:val="Table"/>
              <w:rPr>
                <w:lang w:val="fr-CH"/>
              </w:rPr>
            </w:pPr>
            <w:r w:rsidRPr="00EB5F70">
              <w:rPr>
                <w:lang w:val="fr-CH"/>
              </w:rPr>
              <w:t>0.8</w:t>
            </w:r>
          </w:p>
        </w:tc>
        <w:tc>
          <w:tcPr>
            <w:tcW w:w="907" w:type="dxa"/>
            <w:tcBorders>
              <w:left w:val="single" w:sz="4" w:space="0" w:color="auto"/>
            </w:tcBorders>
            <w:shd w:val="clear" w:color="auto" w:fill="auto"/>
            <w:noWrap/>
            <w:vAlign w:val="bottom"/>
            <w:hideMark/>
          </w:tcPr>
          <w:p w14:paraId="007E3D62" w14:textId="77777777" w:rsidR="00CD0F47" w:rsidRPr="00EB5F70" w:rsidRDefault="00CD0F47" w:rsidP="002960D2">
            <w:pPr>
              <w:pStyle w:val="Table"/>
              <w:rPr>
                <w:lang w:val="fr-CH"/>
              </w:rPr>
            </w:pPr>
            <w:r w:rsidRPr="00EB5F70">
              <w:rPr>
                <w:lang w:val="fr-CH"/>
              </w:rPr>
              <w:t>72</w:t>
            </w:r>
          </w:p>
        </w:tc>
        <w:tc>
          <w:tcPr>
            <w:tcW w:w="907" w:type="dxa"/>
            <w:shd w:val="clear" w:color="auto" w:fill="auto"/>
            <w:noWrap/>
            <w:vAlign w:val="bottom"/>
            <w:hideMark/>
          </w:tcPr>
          <w:p w14:paraId="060591A0" w14:textId="77777777" w:rsidR="00CD0F47" w:rsidRPr="00EB5F70" w:rsidRDefault="00CD0F47" w:rsidP="002960D2">
            <w:pPr>
              <w:pStyle w:val="Table"/>
              <w:rPr>
                <w:lang w:val="fr-CH"/>
              </w:rPr>
            </w:pPr>
            <w:r w:rsidRPr="00EB5F70">
              <w:rPr>
                <w:lang w:val="fr-CH"/>
              </w:rPr>
              <w:t>2.0</w:t>
            </w:r>
          </w:p>
        </w:tc>
        <w:tc>
          <w:tcPr>
            <w:tcW w:w="907" w:type="dxa"/>
            <w:tcBorders>
              <w:right w:val="single" w:sz="4" w:space="0" w:color="auto"/>
            </w:tcBorders>
            <w:shd w:val="clear" w:color="auto" w:fill="auto"/>
            <w:noWrap/>
            <w:vAlign w:val="bottom"/>
            <w:hideMark/>
          </w:tcPr>
          <w:p w14:paraId="1EB0635F" w14:textId="77777777" w:rsidR="00CD0F47" w:rsidRPr="00EB5F70" w:rsidRDefault="00CD0F47" w:rsidP="002960D2">
            <w:pPr>
              <w:pStyle w:val="Table"/>
              <w:rPr>
                <w:lang w:val="fr-CH"/>
              </w:rPr>
            </w:pPr>
            <w:r w:rsidRPr="00EB5F70">
              <w:rPr>
                <w:lang w:val="fr-CH"/>
              </w:rPr>
              <w:t>1.0</w:t>
            </w:r>
          </w:p>
        </w:tc>
      </w:tr>
    </w:tbl>
    <w:p w14:paraId="23FCD524" w14:textId="77777777" w:rsidR="00CD0F47" w:rsidRPr="00EB5F70" w:rsidRDefault="00CD0F47" w:rsidP="00A34B3A">
      <w:pPr>
        <w:pStyle w:val="Table"/>
        <w:spacing w:before="240"/>
      </w:pPr>
      <w:r w:rsidRPr="00EB5F70">
        <w:rPr>
          <w:i/>
        </w:rPr>
        <w:t xml:space="preserve">Note: </w:t>
      </w:r>
      <w:r w:rsidR="00103F6C" w:rsidRPr="00EB5F70">
        <w:t xml:space="preserve">Differences in N </w:t>
      </w:r>
      <w:r w:rsidR="00A34B3A" w:rsidRPr="00EB5F70">
        <w:t xml:space="preserve">are related to variation in frequency ratings (quality rating not evaluated when the behavior was not observed in the session, i.e. frequency=0). </w:t>
      </w:r>
      <w:r w:rsidRPr="00EB5F70">
        <w:t>MET=motivational enhancement therapy; SBNT=social behavior and network therapy; SD=standard deviation</w:t>
      </w:r>
    </w:p>
    <w:p w14:paraId="358985FE" w14:textId="77777777" w:rsidR="00CD0F47" w:rsidRPr="00EB5F70" w:rsidRDefault="00CD0F47" w:rsidP="00CD0F47">
      <w:pPr>
        <w:spacing w:line="240" w:lineRule="auto"/>
        <w:ind w:firstLine="0"/>
        <w:rPr>
          <w:rFonts w:ascii="Times New Roman" w:hAnsi="Times New Roman" w:cs="Times New Roman"/>
          <w:sz w:val="24"/>
          <w:szCs w:val="24"/>
        </w:rPr>
        <w:sectPr w:rsidR="00CD0F47" w:rsidRPr="00EB5F70" w:rsidSect="002960D2">
          <w:pgSz w:w="16839" w:h="11907" w:orient="landscape" w:code="9"/>
          <w:pgMar w:top="1134" w:right="1134" w:bottom="1134" w:left="1134" w:header="720" w:footer="567" w:gutter="0"/>
          <w:cols w:space="720"/>
          <w:docGrid w:linePitch="360"/>
        </w:sectPr>
      </w:pPr>
    </w:p>
    <w:p w14:paraId="77E638C9" w14:textId="77777777" w:rsidR="00CD0F47" w:rsidRDefault="00CD0F47" w:rsidP="00CD0F47">
      <w:pPr>
        <w:pStyle w:val="Heading4"/>
      </w:pPr>
      <w:r w:rsidRPr="00EB5F70">
        <w:lastRenderedPageBreak/>
        <w:t>Table 4</w:t>
      </w:r>
    </w:p>
    <w:p w14:paraId="561D7D37" w14:textId="77777777" w:rsidR="00E529D6" w:rsidRPr="003877B7" w:rsidRDefault="00E529D6" w:rsidP="00232E2C">
      <w:pPr>
        <w:pStyle w:val="Heading4"/>
      </w:pPr>
      <w:r w:rsidRPr="003877B7">
        <w:t xml:space="preserve">Regression analysis using </w:t>
      </w:r>
      <w:r w:rsidR="006A2E75" w:rsidRPr="003877B7">
        <w:t>multiple correspondence analysis dimensions’</w:t>
      </w:r>
      <w:r w:rsidRPr="003877B7">
        <w:t xml:space="preserve"> scores</w:t>
      </w:r>
    </w:p>
    <w:tbl>
      <w:tblPr>
        <w:tblW w:w="8960" w:type="dxa"/>
        <w:tblInd w:w="57" w:type="dxa"/>
        <w:tblCellMar>
          <w:left w:w="70" w:type="dxa"/>
          <w:right w:w="70" w:type="dxa"/>
        </w:tblCellMar>
        <w:tblLook w:val="04A0" w:firstRow="1" w:lastRow="0" w:firstColumn="1" w:lastColumn="0" w:noHBand="0" w:noVBand="1"/>
      </w:tblPr>
      <w:tblGrid>
        <w:gridCol w:w="540"/>
        <w:gridCol w:w="3140"/>
        <w:gridCol w:w="1320"/>
        <w:gridCol w:w="1320"/>
        <w:gridCol w:w="1320"/>
        <w:gridCol w:w="1320"/>
      </w:tblGrid>
      <w:tr w:rsidR="00E529D6" w:rsidRPr="00C33339" w14:paraId="2FA05616" w14:textId="77777777" w:rsidTr="00E529D6">
        <w:trPr>
          <w:trHeight w:val="285"/>
        </w:trPr>
        <w:tc>
          <w:tcPr>
            <w:tcW w:w="540" w:type="dxa"/>
            <w:tcBorders>
              <w:top w:val="single" w:sz="4" w:space="0" w:color="auto"/>
              <w:left w:val="nil"/>
              <w:bottom w:val="single" w:sz="4" w:space="0" w:color="auto"/>
              <w:right w:val="nil"/>
            </w:tcBorders>
            <w:shd w:val="clear" w:color="auto" w:fill="auto"/>
            <w:noWrap/>
            <w:vAlign w:val="bottom"/>
            <w:hideMark/>
          </w:tcPr>
          <w:p w14:paraId="44598D1C" w14:textId="77777777" w:rsidR="00E529D6" w:rsidRPr="00C33339" w:rsidRDefault="00E529D6" w:rsidP="003877B7">
            <w:pPr>
              <w:pStyle w:val="Table"/>
            </w:pPr>
          </w:p>
        </w:tc>
        <w:tc>
          <w:tcPr>
            <w:tcW w:w="3140" w:type="dxa"/>
            <w:tcBorders>
              <w:top w:val="single" w:sz="4" w:space="0" w:color="auto"/>
              <w:left w:val="nil"/>
              <w:bottom w:val="single" w:sz="4" w:space="0" w:color="auto"/>
              <w:right w:val="nil"/>
            </w:tcBorders>
            <w:shd w:val="clear" w:color="auto" w:fill="auto"/>
            <w:noWrap/>
            <w:vAlign w:val="bottom"/>
            <w:hideMark/>
          </w:tcPr>
          <w:p w14:paraId="3A8734C1" w14:textId="77777777" w:rsidR="00E529D6" w:rsidRPr="00C33339" w:rsidRDefault="00E529D6" w:rsidP="003877B7">
            <w:pPr>
              <w:pStyle w:val="Table"/>
            </w:pPr>
          </w:p>
        </w:tc>
        <w:tc>
          <w:tcPr>
            <w:tcW w:w="1320" w:type="dxa"/>
            <w:tcBorders>
              <w:top w:val="single" w:sz="4" w:space="0" w:color="auto"/>
              <w:left w:val="nil"/>
              <w:bottom w:val="single" w:sz="4" w:space="0" w:color="auto"/>
              <w:right w:val="nil"/>
            </w:tcBorders>
            <w:shd w:val="clear" w:color="auto" w:fill="auto"/>
            <w:noWrap/>
            <w:vAlign w:val="bottom"/>
            <w:hideMark/>
          </w:tcPr>
          <w:p w14:paraId="6FFF91D3" w14:textId="77777777" w:rsidR="00E529D6" w:rsidRPr="00C33339" w:rsidRDefault="00E529D6" w:rsidP="003877B7">
            <w:pPr>
              <w:pStyle w:val="Table"/>
            </w:pPr>
            <w:r w:rsidRPr="00C33339">
              <w:t>B</w:t>
            </w:r>
          </w:p>
        </w:tc>
        <w:tc>
          <w:tcPr>
            <w:tcW w:w="1320" w:type="dxa"/>
            <w:tcBorders>
              <w:top w:val="single" w:sz="4" w:space="0" w:color="auto"/>
              <w:left w:val="nil"/>
              <w:bottom w:val="single" w:sz="4" w:space="0" w:color="auto"/>
              <w:right w:val="nil"/>
            </w:tcBorders>
            <w:shd w:val="clear" w:color="auto" w:fill="auto"/>
            <w:noWrap/>
            <w:vAlign w:val="bottom"/>
            <w:hideMark/>
          </w:tcPr>
          <w:p w14:paraId="3A8A30F5" w14:textId="77777777" w:rsidR="00E529D6" w:rsidRPr="00C33339" w:rsidRDefault="00E529D6" w:rsidP="003877B7">
            <w:pPr>
              <w:pStyle w:val="Table"/>
            </w:pPr>
            <w:r w:rsidRPr="00C33339">
              <w:t>SE</w:t>
            </w:r>
          </w:p>
        </w:tc>
        <w:tc>
          <w:tcPr>
            <w:tcW w:w="1320" w:type="dxa"/>
            <w:tcBorders>
              <w:top w:val="single" w:sz="4" w:space="0" w:color="auto"/>
              <w:left w:val="nil"/>
              <w:bottom w:val="single" w:sz="4" w:space="0" w:color="auto"/>
              <w:right w:val="nil"/>
            </w:tcBorders>
            <w:shd w:val="clear" w:color="auto" w:fill="auto"/>
            <w:noWrap/>
            <w:vAlign w:val="bottom"/>
            <w:hideMark/>
          </w:tcPr>
          <w:p w14:paraId="6284F0A8" w14:textId="77777777" w:rsidR="00E529D6" w:rsidRPr="00C33339" w:rsidRDefault="00E529D6" w:rsidP="003877B7">
            <w:pPr>
              <w:pStyle w:val="Table"/>
            </w:pPr>
            <w:r w:rsidRPr="00C33339">
              <w:t>t</w:t>
            </w:r>
          </w:p>
        </w:tc>
        <w:tc>
          <w:tcPr>
            <w:tcW w:w="1320" w:type="dxa"/>
            <w:tcBorders>
              <w:top w:val="single" w:sz="4" w:space="0" w:color="auto"/>
              <w:left w:val="nil"/>
              <w:bottom w:val="single" w:sz="4" w:space="0" w:color="auto"/>
              <w:right w:val="nil"/>
            </w:tcBorders>
            <w:shd w:val="clear" w:color="auto" w:fill="auto"/>
            <w:noWrap/>
            <w:vAlign w:val="bottom"/>
            <w:hideMark/>
          </w:tcPr>
          <w:p w14:paraId="21114C14" w14:textId="77777777" w:rsidR="00E529D6" w:rsidRPr="00C33339" w:rsidRDefault="00E529D6" w:rsidP="003877B7">
            <w:pPr>
              <w:pStyle w:val="Table"/>
            </w:pPr>
            <w:r w:rsidRPr="00C33339">
              <w:t>p</w:t>
            </w:r>
          </w:p>
        </w:tc>
      </w:tr>
      <w:tr w:rsidR="00E529D6" w:rsidRPr="00C33339" w14:paraId="011CA7F1" w14:textId="77777777" w:rsidTr="00E529D6">
        <w:trPr>
          <w:trHeight w:val="300"/>
        </w:trPr>
        <w:tc>
          <w:tcPr>
            <w:tcW w:w="3680" w:type="dxa"/>
            <w:gridSpan w:val="2"/>
            <w:tcBorders>
              <w:top w:val="single" w:sz="4" w:space="0" w:color="auto"/>
              <w:left w:val="nil"/>
              <w:bottom w:val="nil"/>
              <w:right w:val="nil"/>
            </w:tcBorders>
            <w:shd w:val="clear" w:color="auto" w:fill="auto"/>
            <w:noWrap/>
            <w:vAlign w:val="center"/>
            <w:hideMark/>
          </w:tcPr>
          <w:p w14:paraId="35135406" w14:textId="77777777" w:rsidR="00E529D6" w:rsidRPr="00C33339" w:rsidRDefault="00E529D6" w:rsidP="003877B7">
            <w:pPr>
              <w:pStyle w:val="Table"/>
            </w:pPr>
            <w:r w:rsidRPr="00C33339">
              <w:t>Outcome: PDA</w:t>
            </w:r>
          </w:p>
        </w:tc>
        <w:tc>
          <w:tcPr>
            <w:tcW w:w="1320" w:type="dxa"/>
            <w:tcBorders>
              <w:top w:val="single" w:sz="4" w:space="0" w:color="auto"/>
              <w:left w:val="nil"/>
              <w:bottom w:val="nil"/>
              <w:right w:val="nil"/>
            </w:tcBorders>
            <w:shd w:val="clear" w:color="auto" w:fill="auto"/>
            <w:noWrap/>
            <w:vAlign w:val="center"/>
            <w:hideMark/>
          </w:tcPr>
          <w:p w14:paraId="418B2F57" w14:textId="77777777" w:rsidR="00E529D6" w:rsidRPr="00C33339" w:rsidRDefault="00E529D6" w:rsidP="003877B7">
            <w:pPr>
              <w:pStyle w:val="Table"/>
            </w:pPr>
          </w:p>
        </w:tc>
        <w:tc>
          <w:tcPr>
            <w:tcW w:w="1320" w:type="dxa"/>
            <w:tcBorders>
              <w:top w:val="single" w:sz="4" w:space="0" w:color="auto"/>
              <w:left w:val="nil"/>
              <w:bottom w:val="nil"/>
              <w:right w:val="nil"/>
            </w:tcBorders>
            <w:shd w:val="clear" w:color="auto" w:fill="auto"/>
            <w:noWrap/>
            <w:vAlign w:val="center"/>
            <w:hideMark/>
          </w:tcPr>
          <w:p w14:paraId="13A3E92F" w14:textId="77777777" w:rsidR="00E529D6" w:rsidRPr="00C33339" w:rsidRDefault="00E529D6" w:rsidP="003877B7">
            <w:pPr>
              <w:pStyle w:val="Table"/>
            </w:pPr>
          </w:p>
        </w:tc>
        <w:tc>
          <w:tcPr>
            <w:tcW w:w="1320" w:type="dxa"/>
            <w:tcBorders>
              <w:top w:val="single" w:sz="4" w:space="0" w:color="auto"/>
              <w:left w:val="nil"/>
              <w:bottom w:val="nil"/>
              <w:right w:val="nil"/>
            </w:tcBorders>
            <w:shd w:val="clear" w:color="auto" w:fill="auto"/>
            <w:noWrap/>
            <w:vAlign w:val="center"/>
            <w:hideMark/>
          </w:tcPr>
          <w:p w14:paraId="12357BFB" w14:textId="77777777" w:rsidR="00E529D6" w:rsidRPr="00C33339" w:rsidRDefault="00E529D6" w:rsidP="003877B7">
            <w:pPr>
              <w:pStyle w:val="Table"/>
            </w:pPr>
          </w:p>
        </w:tc>
        <w:tc>
          <w:tcPr>
            <w:tcW w:w="1320" w:type="dxa"/>
            <w:tcBorders>
              <w:top w:val="single" w:sz="4" w:space="0" w:color="auto"/>
              <w:left w:val="nil"/>
              <w:bottom w:val="nil"/>
              <w:right w:val="nil"/>
            </w:tcBorders>
            <w:shd w:val="clear" w:color="auto" w:fill="auto"/>
            <w:noWrap/>
            <w:vAlign w:val="center"/>
            <w:hideMark/>
          </w:tcPr>
          <w:p w14:paraId="28E1FFBC" w14:textId="77777777" w:rsidR="00E529D6" w:rsidRPr="00C33339" w:rsidRDefault="00E529D6" w:rsidP="003877B7">
            <w:pPr>
              <w:pStyle w:val="Table"/>
            </w:pPr>
          </w:p>
        </w:tc>
      </w:tr>
      <w:tr w:rsidR="004222FB" w:rsidRPr="00C33339" w14:paraId="3B21C2F7" w14:textId="77777777" w:rsidTr="00781D54">
        <w:trPr>
          <w:trHeight w:val="285"/>
        </w:trPr>
        <w:tc>
          <w:tcPr>
            <w:tcW w:w="540" w:type="dxa"/>
            <w:tcBorders>
              <w:top w:val="nil"/>
              <w:left w:val="nil"/>
              <w:bottom w:val="nil"/>
              <w:right w:val="nil"/>
            </w:tcBorders>
            <w:shd w:val="clear" w:color="auto" w:fill="auto"/>
            <w:noWrap/>
            <w:vAlign w:val="center"/>
            <w:hideMark/>
          </w:tcPr>
          <w:p w14:paraId="43637775" w14:textId="77777777" w:rsidR="004222FB" w:rsidRPr="00C33339" w:rsidRDefault="004222FB" w:rsidP="003877B7">
            <w:pPr>
              <w:pStyle w:val="Table"/>
            </w:pPr>
          </w:p>
        </w:tc>
        <w:tc>
          <w:tcPr>
            <w:tcW w:w="3140" w:type="dxa"/>
            <w:tcBorders>
              <w:top w:val="nil"/>
              <w:left w:val="nil"/>
              <w:bottom w:val="nil"/>
              <w:right w:val="nil"/>
            </w:tcBorders>
            <w:shd w:val="clear" w:color="auto" w:fill="auto"/>
            <w:noWrap/>
            <w:hideMark/>
          </w:tcPr>
          <w:p w14:paraId="59EA921B" w14:textId="77777777" w:rsidR="004222FB" w:rsidRPr="00C33339" w:rsidRDefault="004222FB" w:rsidP="003877B7">
            <w:pPr>
              <w:pStyle w:val="Table"/>
            </w:pPr>
            <w:r w:rsidRPr="00C33339">
              <w:t>Dimension 1 score</w:t>
            </w:r>
          </w:p>
        </w:tc>
        <w:tc>
          <w:tcPr>
            <w:tcW w:w="1320" w:type="dxa"/>
            <w:tcBorders>
              <w:top w:val="nil"/>
              <w:left w:val="nil"/>
              <w:bottom w:val="nil"/>
              <w:right w:val="nil"/>
            </w:tcBorders>
            <w:shd w:val="clear" w:color="auto" w:fill="auto"/>
            <w:noWrap/>
            <w:vAlign w:val="center"/>
            <w:hideMark/>
          </w:tcPr>
          <w:p w14:paraId="16F3E982" w14:textId="77777777" w:rsidR="004222FB" w:rsidRPr="00C33339" w:rsidRDefault="004222FB" w:rsidP="003877B7">
            <w:pPr>
              <w:pStyle w:val="Table"/>
            </w:pPr>
            <w:r w:rsidRPr="00C33339">
              <w:t>-3.28</w:t>
            </w:r>
          </w:p>
        </w:tc>
        <w:tc>
          <w:tcPr>
            <w:tcW w:w="1320" w:type="dxa"/>
            <w:tcBorders>
              <w:top w:val="nil"/>
              <w:left w:val="nil"/>
              <w:bottom w:val="nil"/>
              <w:right w:val="nil"/>
            </w:tcBorders>
            <w:shd w:val="clear" w:color="auto" w:fill="auto"/>
            <w:noWrap/>
            <w:vAlign w:val="center"/>
            <w:hideMark/>
          </w:tcPr>
          <w:p w14:paraId="2651CF95" w14:textId="77777777" w:rsidR="004222FB" w:rsidRPr="00C33339" w:rsidRDefault="004222FB" w:rsidP="003877B7">
            <w:pPr>
              <w:pStyle w:val="Table"/>
            </w:pPr>
            <w:r w:rsidRPr="00C33339">
              <w:t>1.86</w:t>
            </w:r>
          </w:p>
        </w:tc>
        <w:tc>
          <w:tcPr>
            <w:tcW w:w="1320" w:type="dxa"/>
            <w:tcBorders>
              <w:top w:val="nil"/>
              <w:left w:val="nil"/>
              <w:bottom w:val="nil"/>
              <w:right w:val="nil"/>
            </w:tcBorders>
            <w:shd w:val="clear" w:color="auto" w:fill="auto"/>
            <w:noWrap/>
            <w:vAlign w:val="center"/>
            <w:hideMark/>
          </w:tcPr>
          <w:p w14:paraId="2B95592D" w14:textId="77777777" w:rsidR="004222FB" w:rsidRPr="00C33339" w:rsidRDefault="004222FB" w:rsidP="003877B7">
            <w:pPr>
              <w:pStyle w:val="Table"/>
            </w:pPr>
            <w:r w:rsidRPr="00C33339">
              <w:t>-1.77</w:t>
            </w:r>
          </w:p>
        </w:tc>
        <w:tc>
          <w:tcPr>
            <w:tcW w:w="1320" w:type="dxa"/>
            <w:tcBorders>
              <w:top w:val="nil"/>
              <w:left w:val="nil"/>
              <w:bottom w:val="nil"/>
              <w:right w:val="nil"/>
            </w:tcBorders>
            <w:shd w:val="clear" w:color="auto" w:fill="auto"/>
            <w:noWrap/>
            <w:vAlign w:val="center"/>
            <w:hideMark/>
          </w:tcPr>
          <w:p w14:paraId="1B8AE938" w14:textId="77777777" w:rsidR="004222FB" w:rsidRPr="00C33339" w:rsidRDefault="004222FB" w:rsidP="003877B7">
            <w:pPr>
              <w:pStyle w:val="Table"/>
            </w:pPr>
            <w:r w:rsidRPr="00C33339">
              <w:t>0.08</w:t>
            </w:r>
          </w:p>
        </w:tc>
      </w:tr>
      <w:tr w:rsidR="004222FB" w:rsidRPr="00C33339" w14:paraId="39977CBC" w14:textId="77777777" w:rsidTr="00781D54">
        <w:trPr>
          <w:trHeight w:val="285"/>
        </w:trPr>
        <w:tc>
          <w:tcPr>
            <w:tcW w:w="540" w:type="dxa"/>
            <w:tcBorders>
              <w:top w:val="nil"/>
              <w:left w:val="nil"/>
              <w:bottom w:val="nil"/>
              <w:right w:val="nil"/>
            </w:tcBorders>
            <w:shd w:val="clear" w:color="auto" w:fill="auto"/>
            <w:noWrap/>
            <w:hideMark/>
          </w:tcPr>
          <w:p w14:paraId="19414B5C" w14:textId="77777777" w:rsidR="004222FB" w:rsidRPr="00C33339" w:rsidRDefault="004222FB" w:rsidP="003877B7">
            <w:pPr>
              <w:pStyle w:val="Table"/>
            </w:pPr>
          </w:p>
        </w:tc>
        <w:tc>
          <w:tcPr>
            <w:tcW w:w="3140" w:type="dxa"/>
            <w:tcBorders>
              <w:top w:val="nil"/>
              <w:left w:val="nil"/>
              <w:bottom w:val="nil"/>
              <w:right w:val="nil"/>
            </w:tcBorders>
            <w:shd w:val="clear" w:color="auto" w:fill="auto"/>
            <w:noWrap/>
            <w:hideMark/>
          </w:tcPr>
          <w:p w14:paraId="78F4C2CA" w14:textId="77777777" w:rsidR="004222FB" w:rsidRPr="00C33339" w:rsidRDefault="004222FB" w:rsidP="003877B7">
            <w:pPr>
              <w:pStyle w:val="Table"/>
            </w:pPr>
            <w:r w:rsidRPr="00C33339">
              <w:t>Dimension 2 score</w:t>
            </w:r>
          </w:p>
        </w:tc>
        <w:tc>
          <w:tcPr>
            <w:tcW w:w="1320" w:type="dxa"/>
            <w:tcBorders>
              <w:top w:val="nil"/>
              <w:left w:val="nil"/>
              <w:bottom w:val="nil"/>
              <w:right w:val="nil"/>
            </w:tcBorders>
            <w:shd w:val="clear" w:color="auto" w:fill="auto"/>
            <w:noWrap/>
            <w:vAlign w:val="center"/>
            <w:hideMark/>
          </w:tcPr>
          <w:p w14:paraId="60E1AC54" w14:textId="77777777" w:rsidR="004222FB" w:rsidRPr="00C33339" w:rsidRDefault="004222FB" w:rsidP="003877B7">
            <w:pPr>
              <w:pStyle w:val="Table"/>
            </w:pPr>
            <w:r w:rsidRPr="00C33339">
              <w:t>-6.53</w:t>
            </w:r>
          </w:p>
        </w:tc>
        <w:tc>
          <w:tcPr>
            <w:tcW w:w="1320" w:type="dxa"/>
            <w:tcBorders>
              <w:top w:val="nil"/>
              <w:left w:val="nil"/>
              <w:bottom w:val="nil"/>
              <w:right w:val="nil"/>
            </w:tcBorders>
            <w:shd w:val="clear" w:color="auto" w:fill="auto"/>
            <w:noWrap/>
            <w:vAlign w:val="center"/>
            <w:hideMark/>
          </w:tcPr>
          <w:p w14:paraId="4C9CF08D" w14:textId="77777777" w:rsidR="004222FB" w:rsidRPr="00C33339" w:rsidRDefault="004222FB" w:rsidP="003877B7">
            <w:pPr>
              <w:pStyle w:val="Table"/>
            </w:pPr>
            <w:r w:rsidRPr="00C33339">
              <w:t>1.80</w:t>
            </w:r>
          </w:p>
        </w:tc>
        <w:tc>
          <w:tcPr>
            <w:tcW w:w="1320" w:type="dxa"/>
            <w:tcBorders>
              <w:top w:val="nil"/>
              <w:left w:val="nil"/>
              <w:bottom w:val="nil"/>
              <w:right w:val="nil"/>
            </w:tcBorders>
            <w:shd w:val="clear" w:color="auto" w:fill="auto"/>
            <w:noWrap/>
            <w:vAlign w:val="center"/>
            <w:hideMark/>
          </w:tcPr>
          <w:p w14:paraId="3BC5297D" w14:textId="77777777" w:rsidR="004222FB" w:rsidRPr="00C33339" w:rsidRDefault="004222FB" w:rsidP="003877B7">
            <w:pPr>
              <w:pStyle w:val="Table"/>
            </w:pPr>
            <w:r w:rsidRPr="00C33339">
              <w:t>-3.63</w:t>
            </w:r>
          </w:p>
        </w:tc>
        <w:tc>
          <w:tcPr>
            <w:tcW w:w="1320" w:type="dxa"/>
            <w:tcBorders>
              <w:top w:val="nil"/>
              <w:left w:val="nil"/>
              <w:bottom w:val="nil"/>
              <w:right w:val="nil"/>
            </w:tcBorders>
            <w:shd w:val="clear" w:color="auto" w:fill="auto"/>
            <w:noWrap/>
            <w:vAlign w:val="center"/>
            <w:hideMark/>
          </w:tcPr>
          <w:p w14:paraId="15D57934" w14:textId="77777777" w:rsidR="004222FB" w:rsidRPr="00C33339" w:rsidRDefault="00781D54" w:rsidP="003877B7">
            <w:pPr>
              <w:pStyle w:val="Table"/>
            </w:pPr>
            <w:r w:rsidRPr="00C33339">
              <w:t>&lt;</w:t>
            </w:r>
            <w:r w:rsidR="004222FB" w:rsidRPr="00C33339">
              <w:t>0.000</w:t>
            </w:r>
            <w:r w:rsidRPr="00C33339">
              <w:t>1</w:t>
            </w:r>
          </w:p>
        </w:tc>
      </w:tr>
      <w:tr w:rsidR="00E529D6" w:rsidRPr="00C33339" w14:paraId="4A517FBB" w14:textId="77777777" w:rsidTr="00E529D6">
        <w:trPr>
          <w:trHeight w:val="285"/>
        </w:trPr>
        <w:tc>
          <w:tcPr>
            <w:tcW w:w="3680" w:type="dxa"/>
            <w:gridSpan w:val="2"/>
            <w:tcBorders>
              <w:top w:val="single" w:sz="4" w:space="0" w:color="auto"/>
              <w:left w:val="nil"/>
              <w:bottom w:val="nil"/>
              <w:right w:val="nil"/>
            </w:tcBorders>
            <w:shd w:val="clear" w:color="auto" w:fill="auto"/>
            <w:noWrap/>
            <w:vAlign w:val="bottom"/>
            <w:hideMark/>
          </w:tcPr>
          <w:p w14:paraId="0398FEA9" w14:textId="77777777" w:rsidR="00E529D6" w:rsidRPr="00C33339" w:rsidRDefault="00E529D6" w:rsidP="003877B7">
            <w:pPr>
              <w:pStyle w:val="Table"/>
            </w:pPr>
            <w:r w:rsidRPr="00C33339">
              <w:t>Outcome: DDD</w:t>
            </w:r>
          </w:p>
        </w:tc>
        <w:tc>
          <w:tcPr>
            <w:tcW w:w="1320" w:type="dxa"/>
            <w:tcBorders>
              <w:top w:val="single" w:sz="4" w:space="0" w:color="auto"/>
              <w:left w:val="nil"/>
              <w:bottom w:val="nil"/>
              <w:right w:val="nil"/>
            </w:tcBorders>
            <w:shd w:val="clear" w:color="auto" w:fill="auto"/>
            <w:noWrap/>
            <w:vAlign w:val="bottom"/>
            <w:hideMark/>
          </w:tcPr>
          <w:p w14:paraId="1F6E3C04" w14:textId="77777777" w:rsidR="00E529D6" w:rsidRPr="00C33339" w:rsidRDefault="00E529D6" w:rsidP="003877B7">
            <w:pPr>
              <w:pStyle w:val="Table"/>
            </w:pPr>
          </w:p>
        </w:tc>
        <w:tc>
          <w:tcPr>
            <w:tcW w:w="1320" w:type="dxa"/>
            <w:tcBorders>
              <w:top w:val="single" w:sz="4" w:space="0" w:color="auto"/>
              <w:left w:val="nil"/>
              <w:bottom w:val="nil"/>
              <w:right w:val="nil"/>
            </w:tcBorders>
            <w:shd w:val="clear" w:color="auto" w:fill="auto"/>
            <w:noWrap/>
            <w:hideMark/>
          </w:tcPr>
          <w:p w14:paraId="630115C8" w14:textId="77777777" w:rsidR="00E529D6" w:rsidRPr="00C33339" w:rsidRDefault="00E529D6" w:rsidP="003877B7">
            <w:pPr>
              <w:pStyle w:val="Table"/>
            </w:pPr>
          </w:p>
        </w:tc>
        <w:tc>
          <w:tcPr>
            <w:tcW w:w="1320" w:type="dxa"/>
            <w:tcBorders>
              <w:top w:val="single" w:sz="4" w:space="0" w:color="auto"/>
              <w:left w:val="nil"/>
              <w:bottom w:val="nil"/>
              <w:right w:val="nil"/>
            </w:tcBorders>
            <w:shd w:val="clear" w:color="auto" w:fill="auto"/>
            <w:noWrap/>
            <w:hideMark/>
          </w:tcPr>
          <w:p w14:paraId="3BAD7991" w14:textId="77777777" w:rsidR="00E529D6" w:rsidRPr="00C33339" w:rsidRDefault="00E529D6" w:rsidP="003877B7">
            <w:pPr>
              <w:pStyle w:val="Table"/>
            </w:pPr>
          </w:p>
        </w:tc>
        <w:tc>
          <w:tcPr>
            <w:tcW w:w="1320" w:type="dxa"/>
            <w:tcBorders>
              <w:top w:val="single" w:sz="4" w:space="0" w:color="auto"/>
              <w:left w:val="nil"/>
              <w:bottom w:val="nil"/>
              <w:right w:val="nil"/>
            </w:tcBorders>
            <w:shd w:val="clear" w:color="auto" w:fill="auto"/>
            <w:noWrap/>
            <w:hideMark/>
          </w:tcPr>
          <w:p w14:paraId="091D7656" w14:textId="77777777" w:rsidR="00E529D6" w:rsidRPr="00C33339" w:rsidRDefault="00E529D6" w:rsidP="003877B7">
            <w:pPr>
              <w:pStyle w:val="Table"/>
            </w:pPr>
          </w:p>
        </w:tc>
      </w:tr>
      <w:tr w:rsidR="00781D54" w:rsidRPr="00C33339" w14:paraId="03A3D433" w14:textId="77777777" w:rsidTr="00781D54">
        <w:trPr>
          <w:trHeight w:val="285"/>
        </w:trPr>
        <w:tc>
          <w:tcPr>
            <w:tcW w:w="540" w:type="dxa"/>
            <w:tcBorders>
              <w:top w:val="nil"/>
              <w:left w:val="nil"/>
              <w:right w:val="nil"/>
            </w:tcBorders>
            <w:shd w:val="clear" w:color="auto" w:fill="auto"/>
            <w:hideMark/>
          </w:tcPr>
          <w:p w14:paraId="339E1581" w14:textId="77777777" w:rsidR="00781D54" w:rsidRPr="00C33339" w:rsidRDefault="00781D54" w:rsidP="003877B7">
            <w:pPr>
              <w:pStyle w:val="Table"/>
            </w:pPr>
          </w:p>
        </w:tc>
        <w:tc>
          <w:tcPr>
            <w:tcW w:w="3140" w:type="dxa"/>
            <w:tcBorders>
              <w:top w:val="nil"/>
              <w:left w:val="nil"/>
              <w:right w:val="nil"/>
            </w:tcBorders>
            <w:shd w:val="clear" w:color="auto" w:fill="auto"/>
            <w:noWrap/>
            <w:hideMark/>
          </w:tcPr>
          <w:p w14:paraId="52ABD745" w14:textId="77777777" w:rsidR="00781D54" w:rsidRPr="00C33339" w:rsidRDefault="00781D54" w:rsidP="003877B7">
            <w:pPr>
              <w:pStyle w:val="Table"/>
            </w:pPr>
            <w:r w:rsidRPr="00C33339">
              <w:t>Dimension 1 score</w:t>
            </w:r>
          </w:p>
        </w:tc>
        <w:tc>
          <w:tcPr>
            <w:tcW w:w="1320" w:type="dxa"/>
            <w:tcBorders>
              <w:top w:val="nil"/>
              <w:left w:val="nil"/>
              <w:right w:val="nil"/>
            </w:tcBorders>
            <w:shd w:val="clear" w:color="auto" w:fill="auto"/>
            <w:noWrap/>
            <w:vAlign w:val="bottom"/>
            <w:hideMark/>
          </w:tcPr>
          <w:p w14:paraId="256E5101" w14:textId="77777777" w:rsidR="00781D54" w:rsidRPr="00C33339" w:rsidRDefault="00781D54" w:rsidP="003877B7">
            <w:pPr>
              <w:pStyle w:val="Table"/>
            </w:pPr>
            <w:r w:rsidRPr="00C33339">
              <w:t>0.61</w:t>
            </w:r>
          </w:p>
        </w:tc>
        <w:tc>
          <w:tcPr>
            <w:tcW w:w="1320" w:type="dxa"/>
            <w:tcBorders>
              <w:top w:val="nil"/>
              <w:left w:val="nil"/>
              <w:right w:val="nil"/>
            </w:tcBorders>
            <w:shd w:val="clear" w:color="auto" w:fill="auto"/>
            <w:noWrap/>
            <w:vAlign w:val="bottom"/>
            <w:hideMark/>
          </w:tcPr>
          <w:p w14:paraId="14264C29" w14:textId="77777777" w:rsidR="00781D54" w:rsidRPr="00C33339" w:rsidRDefault="00781D54" w:rsidP="003877B7">
            <w:pPr>
              <w:pStyle w:val="Table"/>
            </w:pPr>
            <w:r w:rsidRPr="00C33339">
              <w:t>0.65</w:t>
            </w:r>
          </w:p>
        </w:tc>
        <w:tc>
          <w:tcPr>
            <w:tcW w:w="1320" w:type="dxa"/>
            <w:tcBorders>
              <w:top w:val="nil"/>
              <w:left w:val="nil"/>
              <w:right w:val="nil"/>
            </w:tcBorders>
            <w:shd w:val="clear" w:color="auto" w:fill="auto"/>
            <w:noWrap/>
            <w:vAlign w:val="bottom"/>
            <w:hideMark/>
          </w:tcPr>
          <w:p w14:paraId="1C448E99" w14:textId="77777777" w:rsidR="00781D54" w:rsidRPr="00C33339" w:rsidRDefault="00781D54" w:rsidP="003877B7">
            <w:pPr>
              <w:pStyle w:val="Table"/>
            </w:pPr>
            <w:r w:rsidRPr="00C33339">
              <w:t>0.93</w:t>
            </w:r>
          </w:p>
        </w:tc>
        <w:tc>
          <w:tcPr>
            <w:tcW w:w="1320" w:type="dxa"/>
            <w:tcBorders>
              <w:top w:val="nil"/>
              <w:left w:val="nil"/>
              <w:right w:val="nil"/>
            </w:tcBorders>
            <w:shd w:val="clear" w:color="auto" w:fill="auto"/>
            <w:noWrap/>
            <w:vAlign w:val="bottom"/>
            <w:hideMark/>
          </w:tcPr>
          <w:p w14:paraId="0D1F44EC" w14:textId="77777777" w:rsidR="00781D54" w:rsidRPr="00C33339" w:rsidRDefault="00781D54" w:rsidP="003877B7">
            <w:pPr>
              <w:pStyle w:val="Table"/>
            </w:pPr>
            <w:r w:rsidRPr="00C33339">
              <w:t>0.35</w:t>
            </w:r>
          </w:p>
        </w:tc>
      </w:tr>
      <w:tr w:rsidR="00781D54" w:rsidRPr="00C33339" w14:paraId="1734C98B" w14:textId="77777777" w:rsidTr="00781D54">
        <w:trPr>
          <w:trHeight w:val="285"/>
        </w:trPr>
        <w:tc>
          <w:tcPr>
            <w:tcW w:w="540" w:type="dxa"/>
            <w:tcBorders>
              <w:top w:val="nil"/>
              <w:left w:val="nil"/>
              <w:bottom w:val="single" w:sz="4" w:space="0" w:color="auto"/>
              <w:right w:val="nil"/>
            </w:tcBorders>
            <w:shd w:val="clear" w:color="auto" w:fill="auto"/>
            <w:hideMark/>
          </w:tcPr>
          <w:p w14:paraId="3F10606D" w14:textId="77777777" w:rsidR="00781D54" w:rsidRPr="00C33339" w:rsidRDefault="00781D54" w:rsidP="003877B7">
            <w:pPr>
              <w:pStyle w:val="Table"/>
            </w:pPr>
          </w:p>
        </w:tc>
        <w:tc>
          <w:tcPr>
            <w:tcW w:w="3140" w:type="dxa"/>
            <w:tcBorders>
              <w:top w:val="nil"/>
              <w:left w:val="nil"/>
              <w:bottom w:val="single" w:sz="4" w:space="0" w:color="auto"/>
              <w:right w:val="nil"/>
            </w:tcBorders>
            <w:shd w:val="clear" w:color="auto" w:fill="auto"/>
            <w:noWrap/>
            <w:hideMark/>
          </w:tcPr>
          <w:p w14:paraId="724FFC67" w14:textId="77777777" w:rsidR="00781D54" w:rsidRPr="00C33339" w:rsidRDefault="00781D54" w:rsidP="003877B7">
            <w:pPr>
              <w:pStyle w:val="Table"/>
            </w:pPr>
            <w:r w:rsidRPr="00C33339">
              <w:t>Dimension 2 score</w:t>
            </w:r>
          </w:p>
        </w:tc>
        <w:tc>
          <w:tcPr>
            <w:tcW w:w="1320" w:type="dxa"/>
            <w:tcBorders>
              <w:top w:val="nil"/>
              <w:left w:val="nil"/>
              <w:bottom w:val="single" w:sz="4" w:space="0" w:color="auto"/>
              <w:right w:val="nil"/>
            </w:tcBorders>
            <w:shd w:val="clear" w:color="auto" w:fill="auto"/>
            <w:noWrap/>
            <w:vAlign w:val="bottom"/>
            <w:hideMark/>
          </w:tcPr>
          <w:p w14:paraId="0192EE36" w14:textId="77777777" w:rsidR="00781D54" w:rsidRPr="00C33339" w:rsidRDefault="00781D54" w:rsidP="003877B7">
            <w:pPr>
              <w:pStyle w:val="Table"/>
            </w:pPr>
            <w:r w:rsidRPr="00C33339">
              <w:t>1.66</w:t>
            </w:r>
          </w:p>
        </w:tc>
        <w:tc>
          <w:tcPr>
            <w:tcW w:w="1320" w:type="dxa"/>
            <w:tcBorders>
              <w:top w:val="nil"/>
              <w:left w:val="nil"/>
              <w:bottom w:val="single" w:sz="4" w:space="0" w:color="auto"/>
              <w:right w:val="nil"/>
            </w:tcBorders>
            <w:shd w:val="clear" w:color="auto" w:fill="auto"/>
            <w:noWrap/>
            <w:vAlign w:val="bottom"/>
            <w:hideMark/>
          </w:tcPr>
          <w:p w14:paraId="7CC94B94" w14:textId="77777777" w:rsidR="00781D54" w:rsidRPr="00C33339" w:rsidRDefault="00781D54" w:rsidP="003877B7">
            <w:pPr>
              <w:pStyle w:val="Table"/>
            </w:pPr>
            <w:r w:rsidRPr="00C33339">
              <w:t>0.63</w:t>
            </w:r>
          </w:p>
        </w:tc>
        <w:tc>
          <w:tcPr>
            <w:tcW w:w="1320" w:type="dxa"/>
            <w:tcBorders>
              <w:top w:val="nil"/>
              <w:left w:val="nil"/>
              <w:bottom w:val="single" w:sz="4" w:space="0" w:color="auto"/>
              <w:right w:val="nil"/>
            </w:tcBorders>
            <w:shd w:val="clear" w:color="auto" w:fill="auto"/>
            <w:noWrap/>
            <w:vAlign w:val="bottom"/>
            <w:hideMark/>
          </w:tcPr>
          <w:p w14:paraId="51657549" w14:textId="77777777" w:rsidR="00781D54" w:rsidRPr="00C33339" w:rsidRDefault="00781D54" w:rsidP="003877B7">
            <w:pPr>
              <w:pStyle w:val="Table"/>
            </w:pPr>
            <w:r w:rsidRPr="00C33339">
              <w:t>2.6170</w:t>
            </w:r>
          </w:p>
        </w:tc>
        <w:tc>
          <w:tcPr>
            <w:tcW w:w="1320" w:type="dxa"/>
            <w:tcBorders>
              <w:top w:val="nil"/>
              <w:left w:val="nil"/>
              <w:bottom w:val="single" w:sz="4" w:space="0" w:color="auto"/>
              <w:right w:val="nil"/>
            </w:tcBorders>
            <w:shd w:val="clear" w:color="auto" w:fill="auto"/>
            <w:noWrap/>
            <w:vAlign w:val="bottom"/>
            <w:hideMark/>
          </w:tcPr>
          <w:p w14:paraId="3C5154F3" w14:textId="77777777" w:rsidR="00781D54" w:rsidRPr="00C33339" w:rsidRDefault="00781D54" w:rsidP="003877B7">
            <w:pPr>
              <w:pStyle w:val="Table"/>
            </w:pPr>
            <w:r w:rsidRPr="00C33339">
              <w:t>0.009</w:t>
            </w:r>
          </w:p>
        </w:tc>
      </w:tr>
    </w:tbl>
    <w:p w14:paraId="5F24961D" w14:textId="77777777" w:rsidR="0089355A" w:rsidRDefault="0089355A" w:rsidP="003877B7">
      <w:pPr>
        <w:pStyle w:val="Table"/>
      </w:pPr>
    </w:p>
    <w:p w14:paraId="199FAE5B" w14:textId="77777777" w:rsidR="00E529D6" w:rsidRPr="00C33339" w:rsidRDefault="003877B7" w:rsidP="003877B7">
      <w:pPr>
        <w:pStyle w:val="Table"/>
      </w:pPr>
      <w:r w:rsidRPr="003877B7">
        <w:rPr>
          <w:i/>
        </w:rPr>
        <w:t>Note</w:t>
      </w:r>
      <w:r w:rsidR="0015172E" w:rsidRPr="00C33339">
        <w:t xml:space="preserve">. </w:t>
      </w:r>
      <w:r w:rsidR="00E529D6" w:rsidRPr="00C33339">
        <w:t>PDA</w:t>
      </w:r>
      <w:r>
        <w:t>=</w:t>
      </w:r>
      <w:r w:rsidR="00E529D6" w:rsidRPr="00C33339">
        <w:t>percent days abstinent; DDD</w:t>
      </w:r>
      <w:r>
        <w:t>=</w:t>
      </w:r>
      <w:r w:rsidR="00E529D6" w:rsidRPr="00C33339">
        <w:t>drinks per drinking days; SE</w:t>
      </w:r>
      <w:r>
        <w:t>=</w:t>
      </w:r>
      <w:r w:rsidR="00E529D6" w:rsidRPr="00C33339">
        <w:t>standard error.</w:t>
      </w:r>
    </w:p>
    <w:p w14:paraId="1DF0880B" w14:textId="77777777" w:rsidR="00E529D6" w:rsidRPr="00C33339" w:rsidRDefault="00CC3E83" w:rsidP="003877B7">
      <w:pPr>
        <w:pStyle w:val="Table"/>
      </w:pPr>
      <w:r w:rsidRPr="00C33339">
        <w:t>M</w:t>
      </w:r>
      <w:r w:rsidR="00E529D6" w:rsidRPr="00C33339">
        <w:t xml:space="preserve">odels are </w:t>
      </w:r>
      <w:r w:rsidRPr="00C33339">
        <w:t xml:space="preserve">2 </w:t>
      </w:r>
      <w:r w:rsidR="00E529D6" w:rsidRPr="00C33339">
        <w:t xml:space="preserve">ordinary least squares regressions </w:t>
      </w:r>
      <w:r w:rsidRPr="00C33339">
        <w:t xml:space="preserve">(one per outcome), </w:t>
      </w:r>
      <w:r w:rsidR="00E529D6" w:rsidRPr="00C33339">
        <w:t xml:space="preserve">controlling for baseline measure of the </w:t>
      </w:r>
      <w:r w:rsidRPr="00C33339">
        <w:t>outcome</w:t>
      </w:r>
      <w:r w:rsidR="00E529D6" w:rsidRPr="00C33339">
        <w:t xml:space="preserve"> variable, gender, age, and number of days from baseline.</w:t>
      </w:r>
    </w:p>
    <w:p w14:paraId="2F9FBD34" w14:textId="77777777" w:rsidR="00803238" w:rsidRPr="00C33339" w:rsidRDefault="00803238" w:rsidP="00BD2320">
      <w:pPr>
        <w:rPr>
          <w:rFonts w:ascii="Times New Roman" w:hAnsi="Times New Roman" w:cs="Times New Roman"/>
          <w:sz w:val="24"/>
          <w:szCs w:val="24"/>
        </w:rPr>
      </w:pPr>
      <w:r w:rsidRPr="00C33339">
        <w:rPr>
          <w:rFonts w:ascii="Times New Roman" w:hAnsi="Times New Roman" w:cs="Times New Roman"/>
          <w:sz w:val="24"/>
          <w:szCs w:val="24"/>
        </w:rPr>
        <w:br w:type="page"/>
      </w:r>
    </w:p>
    <w:p w14:paraId="1E2A3801" w14:textId="77777777" w:rsidR="008C2A83" w:rsidRPr="00C33339" w:rsidRDefault="008C2A83" w:rsidP="00BD2320">
      <w:pPr>
        <w:rPr>
          <w:rFonts w:ascii="Times New Roman" w:hAnsi="Times New Roman" w:cs="Times New Roman"/>
          <w:sz w:val="24"/>
          <w:szCs w:val="24"/>
        </w:rPr>
      </w:pPr>
    </w:p>
    <w:p w14:paraId="54B3361C" w14:textId="77777777" w:rsidR="008C2A83" w:rsidRPr="00C33339" w:rsidRDefault="00A43F52" w:rsidP="003877B7">
      <w:pPr>
        <w:pStyle w:val="Table"/>
      </w:pPr>
      <w:r w:rsidRPr="00C33339">
        <w:rPr>
          <w:noProof/>
          <w:lang w:val="en-GB" w:eastAsia="en-GB" w:bidi="ar-SA"/>
        </w:rPr>
        <w:drawing>
          <wp:inline distT="0" distB="0" distL="0" distR="0" wp14:anchorId="45CC5A10" wp14:editId="4BA7FC37">
            <wp:extent cx="6120000" cy="2716162"/>
            <wp:effectExtent l="1905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6120000" cy="2716162"/>
                    </a:xfrm>
                    <a:prstGeom prst="rect">
                      <a:avLst/>
                    </a:prstGeom>
                    <a:noFill/>
                  </pic:spPr>
                </pic:pic>
              </a:graphicData>
            </a:graphic>
          </wp:inline>
        </w:drawing>
      </w:r>
    </w:p>
    <w:p w14:paraId="7A2FAF67" w14:textId="77777777" w:rsidR="008910AD" w:rsidRDefault="008910AD" w:rsidP="003877B7">
      <w:pPr>
        <w:pStyle w:val="Table"/>
      </w:pPr>
    </w:p>
    <w:p w14:paraId="1268FD74" w14:textId="77777777" w:rsidR="008910AD" w:rsidRPr="00C33339" w:rsidRDefault="003877B7" w:rsidP="00232E2C">
      <w:pPr>
        <w:pStyle w:val="Heading4"/>
      </w:pPr>
      <w:r w:rsidRPr="003877B7">
        <w:rPr>
          <w:i/>
        </w:rPr>
        <w:t>Figure 1</w:t>
      </w:r>
      <w:r>
        <w:t xml:space="preserve">. </w:t>
      </w:r>
      <w:r w:rsidRPr="003877B7">
        <w:t>Mediation models</w:t>
      </w:r>
      <w:r>
        <w:t xml:space="preserve">. </w:t>
      </w:r>
      <w:r w:rsidRPr="00C33339">
        <w:t>MET</w:t>
      </w:r>
      <w:r>
        <w:t>=</w:t>
      </w:r>
      <w:r w:rsidRPr="00C33339">
        <w:t>motivational enhancement therapy; SBNT</w:t>
      </w:r>
      <w:r>
        <w:t>=</w:t>
      </w:r>
      <w:r w:rsidRPr="00C33339">
        <w:t xml:space="preserve">social </w:t>
      </w:r>
      <w:r w:rsidR="00F663EE" w:rsidRPr="00C33339">
        <w:t>behavior</w:t>
      </w:r>
      <w:r w:rsidRPr="00C33339">
        <w:t xml:space="preserve"> and network therapy; PRS</w:t>
      </w:r>
      <w:r>
        <w:t>=</w:t>
      </w:r>
      <w:r w:rsidRPr="00C33339">
        <w:t>Process Rating Scale; met-f</w:t>
      </w:r>
      <w:r>
        <w:t>=</w:t>
      </w:r>
      <w:r w:rsidRPr="00C33339">
        <w:t xml:space="preserve">frequency of MET </w:t>
      </w:r>
      <w:r w:rsidR="00F663EE" w:rsidRPr="00C33339">
        <w:t>behaviors</w:t>
      </w:r>
      <w:r w:rsidRPr="00C33339">
        <w:t>; met-q</w:t>
      </w:r>
      <w:r>
        <w:t>=</w:t>
      </w:r>
      <w:r w:rsidRPr="00C33339">
        <w:t xml:space="preserve">quality of MET </w:t>
      </w:r>
      <w:r w:rsidR="00F663EE" w:rsidRPr="00C33339">
        <w:t>behaviors</w:t>
      </w:r>
      <w:r w:rsidRPr="00C33339">
        <w:t>; sbnt-f</w:t>
      </w:r>
      <w:r>
        <w:t>=</w:t>
      </w:r>
      <w:r w:rsidRPr="00C33339">
        <w:t xml:space="preserve">frequency of SBNT </w:t>
      </w:r>
      <w:r w:rsidR="00F663EE" w:rsidRPr="00C33339">
        <w:t>behaviors</w:t>
      </w:r>
      <w:r w:rsidRPr="00C33339">
        <w:t>; sbnt-q</w:t>
      </w:r>
      <w:r>
        <w:t>=</w:t>
      </w:r>
      <w:r w:rsidRPr="00C33339">
        <w:t xml:space="preserve">quality of SBNT </w:t>
      </w:r>
      <w:r w:rsidR="00F663EE" w:rsidRPr="00C33339">
        <w:t>behaviors</w:t>
      </w:r>
      <w:r w:rsidRPr="00C33339">
        <w:t>; PDA</w:t>
      </w:r>
      <w:r>
        <w:t>=percent days abstinent; DDD=</w:t>
      </w:r>
      <w:r w:rsidRPr="00C33339">
        <w:t>drinks per drinking day.</w:t>
      </w:r>
      <w:r>
        <w:t xml:space="preserve"> </w:t>
      </w:r>
      <w:r w:rsidR="008910AD" w:rsidRPr="00C33339">
        <w:t xml:space="preserve">Each mediator </w:t>
      </w:r>
      <w:r w:rsidR="004222FB" w:rsidRPr="00C33339">
        <w:t>was tested separately with</w:t>
      </w:r>
      <w:r w:rsidR="008910AD" w:rsidRPr="00C33339">
        <w:t xml:space="preserve"> each outcome variable, resulting 4x2=8 mediation models.</w:t>
      </w:r>
    </w:p>
    <w:p w14:paraId="60D00881" w14:textId="77777777" w:rsidR="00BA2DBA" w:rsidRPr="00C33339" w:rsidRDefault="00BA2DBA" w:rsidP="003877B7">
      <w:pPr>
        <w:pStyle w:val="Table"/>
      </w:pPr>
    </w:p>
    <w:p w14:paraId="27E33400" w14:textId="77777777" w:rsidR="00BA2DBA" w:rsidRPr="00C33339" w:rsidRDefault="00BA2DBA" w:rsidP="003877B7">
      <w:pPr>
        <w:pStyle w:val="Table"/>
      </w:pPr>
    </w:p>
    <w:p w14:paraId="524EB67F" w14:textId="77777777" w:rsidR="00AE1BF0" w:rsidRPr="00C33339" w:rsidRDefault="00AE1BF0" w:rsidP="003877B7">
      <w:pPr>
        <w:pStyle w:val="Table"/>
      </w:pPr>
    </w:p>
    <w:p w14:paraId="30BBFF74" w14:textId="77777777" w:rsidR="001121B4" w:rsidRPr="00C33339" w:rsidRDefault="001121B4" w:rsidP="003877B7">
      <w:pPr>
        <w:pStyle w:val="Table"/>
        <w:sectPr w:rsidR="001121B4" w:rsidRPr="00C33339" w:rsidSect="00A432C0">
          <w:pgSz w:w="11907" w:h="16839" w:code="9"/>
          <w:pgMar w:top="1134" w:right="1134" w:bottom="1134" w:left="1134" w:header="720" w:footer="567" w:gutter="0"/>
          <w:cols w:space="720"/>
          <w:docGrid w:linePitch="360"/>
        </w:sectPr>
      </w:pPr>
    </w:p>
    <w:p w14:paraId="3743CC66" w14:textId="77777777" w:rsidR="00AE1BF0" w:rsidRPr="00C33339" w:rsidRDefault="006A2B57" w:rsidP="003877B7">
      <w:pPr>
        <w:pStyle w:val="Table"/>
      </w:pPr>
      <w:r w:rsidRPr="00C33339">
        <w:rPr>
          <w:noProof/>
          <w:lang w:val="en-GB" w:eastAsia="en-GB" w:bidi="ar-SA"/>
        </w:rPr>
        <w:lastRenderedPageBreak/>
        <w:drawing>
          <wp:inline distT="0" distB="0" distL="0" distR="0" wp14:anchorId="0683B31C" wp14:editId="057AE695">
            <wp:extent cx="4144569" cy="5040000"/>
            <wp:effectExtent l="0" t="0" r="0"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4144569" cy="5040000"/>
                    </a:xfrm>
                    <a:prstGeom prst="rect">
                      <a:avLst/>
                    </a:prstGeom>
                    <a:noFill/>
                    <a:ln w="9525">
                      <a:noFill/>
                      <a:miter lim="800000"/>
                      <a:headEnd/>
                      <a:tailEnd/>
                    </a:ln>
                  </pic:spPr>
                </pic:pic>
              </a:graphicData>
            </a:graphic>
          </wp:inline>
        </w:drawing>
      </w:r>
      <w:r w:rsidRPr="00C33339">
        <w:rPr>
          <w:noProof/>
          <w:lang w:val="en-GB" w:eastAsia="en-GB" w:bidi="ar-SA"/>
        </w:rPr>
        <w:drawing>
          <wp:inline distT="0" distB="0" distL="0" distR="0" wp14:anchorId="56EC9873" wp14:editId="4DA16811">
            <wp:extent cx="4144865" cy="5040000"/>
            <wp:effectExtent l="0" t="0" r="0" b="0"/>
            <wp:docPr id="1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4144865" cy="5040000"/>
                    </a:xfrm>
                    <a:prstGeom prst="rect">
                      <a:avLst/>
                    </a:prstGeom>
                    <a:noFill/>
                    <a:ln w="9525">
                      <a:noFill/>
                      <a:miter lim="800000"/>
                      <a:headEnd/>
                      <a:tailEnd/>
                    </a:ln>
                  </pic:spPr>
                </pic:pic>
              </a:graphicData>
            </a:graphic>
          </wp:inline>
        </w:drawing>
      </w:r>
    </w:p>
    <w:p w14:paraId="3F0534EE" w14:textId="4CBE2970" w:rsidR="004222FB" w:rsidRDefault="003877B7" w:rsidP="00232E2C">
      <w:pPr>
        <w:pStyle w:val="Heading4"/>
      </w:pPr>
      <w:r w:rsidRPr="003877B7">
        <w:rPr>
          <w:i/>
        </w:rPr>
        <w:t>Figures 2a and 2b</w:t>
      </w:r>
      <w:r>
        <w:t xml:space="preserve">. </w:t>
      </w:r>
      <w:r w:rsidRPr="003877B7">
        <w:t xml:space="preserve">Multiple correspondence analysis coordinate plot and discrimination measures plot for UKATT-PRS quality of MET </w:t>
      </w:r>
      <w:r w:rsidR="00F663EE" w:rsidRPr="003877B7">
        <w:t>behaviors</w:t>
      </w:r>
      <w:r w:rsidRPr="003877B7">
        <w:t xml:space="preserve"> scales</w:t>
      </w:r>
      <w:r>
        <w:t xml:space="preserve">. </w:t>
      </w:r>
      <w:r w:rsidR="00E411E0" w:rsidRPr="00C33339">
        <w:t>Sysmis</w:t>
      </w:r>
      <w:r>
        <w:t>=</w:t>
      </w:r>
      <w:r w:rsidR="00E411E0" w:rsidRPr="00C33339">
        <w:t xml:space="preserve">system missing </w:t>
      </w:r>
      <w:r w:rsidR="004222FB" w:rsidRPr="00C33339">
        <w:t xml:space="preserve">values </w:t>
      </w:r>
      <w:r w:rsidR="00E411E0" w:rsidRPr="00C33339">
        <w:t xml:space="preserve">when quality rating </w:t>
      </w:r>
      <w:r w:rsidR="004222FB" w:rsidRPr="00C33339">
        <w:t xml:space="preserve">were </w:t>
      </w:r>
      <w:r w:rsidR="00E411E0" w:rsidRPr="00C33339">
        <w:t>not evaluated (item not observed, i.e.</w:t>
      </w:r>
      <w:r w:rsidR="004D09C5">
        <w:t xml:space="preserve"> </w:t>
      </w:r>
      <w:r w:rsidR="00E411E0" w:rsidRPr="00C33339">
        <w:t>frequency=0).</w:t>
      </w:r>
      <w:r w:rsidR="001B4CAD" w:rsidRPr="00C33339">
        <w:t xml:space="preserve"> </w:t>
      </w:r>
      <w:r w:rsidR="004222FB" w:rsidRPr="00C33339">
        <w:t>In both graphs, horizontal axis represents Dimension 1 and vertical axis represents Dimension 2.</w:t>
      </w:r>
    </w:p>
    <w:p w14:paraId="36488F65" w14:textId="7213B945" w:rsidR="00CD1309" w:rsidRPr="00CD1309" w:rsidRDefault="00CD1309" w:rsidP="00CD1309">
      <w:r>
        <w:rPr>
          <w:b/>
          <w:bCs/>
          <w:color w:val="222222"/>
          <w:sz w:val="19"/>
          <w:szCs w:val="19"/>
          <w:shd w:val="clear" w:color="auto" w:fill="FFFFFF"/>
        </w:rPr>
        <w:lastRenderedPageBreak/>
        <w:t>© 2018, American Psychological Association. This paper is not the copy of record and may not exactly replicate the final, authoritative version of the article. Please do not copy or cite without authors permission. The final article will be available, upon publication, via its DOI: 10.1037/ccp0000287</w:t>
      </w:r>
      <w:r>
        <w:rPr>
          <w:color w:val="222222"/>
          <w:sz w:val="19"/>
          <w:szCs w:val="19"/>
          <w:shd w:val="clear" w:color="auto" w:fill="FFFFFF"/>
        </w:rPr>
        <w:t> </w:t>
      </w:r>
      <w:bookmarkStart w:id="0" w:name="_GoBack"/>
      <w:bookmarkEnd w:id="0"/>
    </w:p>
    <w:p w14:paraId="1BA2DA8E" w14:textId="4785E0D0" w:rsidR="00CD1309" w:rsidRDefault="00CD1309" w:rsidP="00CD1309"/>
    <w:p w14:paraId="760E773B" w14:textId="77777777" w:rsidR="00CD1309" w:rsidRPr="00CD1309" w:rsidRDefault="00CD1309" w:rsidP="00CD1309"/>
    <w:sectPr w:rsidR="00CD1309" w:rsidRPr="00CD1309" w:rsidSect="001121B4">
      <w:pgSz w:w="16839" w:h="11907" w:orient="landscape" w:code="9"/>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90F6D" w14:textId="77777777" w:rsidR="00EB5F70" w:rsidRDefault="00EB5F70" w:rsidP="00BD2320">
      <w:r>
        <w:separator/>
      </w:r>
    </w:p>
  </w:endnote>
  <w:endnote w:type="continuationSeparator" w:id="0">
    <w:p w14:paraId="50BC418D" w14:textId="77777777" w:rsidR="00EB5F70" w:rsidRDefault="00EB5F70" w:rsidP="00BD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771626"/>
      <w:docPartObj>
        <w:docPartGallery w:val="Page Numbers (Bottom of Page)"/>
        <w:docPartUnique/>
      </w:docPartObj>
    </w:sdtPr>
    <w:sdtEndPr>
      <w:rPr>
        <w:noProof/>
      </w:rPr>
    </w:sdtEndPr>
    <w:sdtContent>
      <w:p w14:paraId="6024F31B" w14:textId="443BA672" w:rsidR="00EB5F70" w:rsidRDefault="00EB5F70" w:rsidP="00864FEF">
        <w:pPr>
          <w:pStyle w:val="Footer"/>
          <w:jc w:val="right"/>
        </w:pPr>
        <w:r>
          <w:fldChar w:fldCharType="begin"/>
        </w:r>
        <w:r>
          <w:instrText xml:space="preserve"> PAGE   \* MERGEFORMAT </w:instrText>
        </w:r>
        <w:r>
          <w:fldChar w:fldCharType="separate"/>
        </w:r>
        <w:r w:rsidR="00CD1309">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BC743" w14:textId="77777777" w:rsidR="00EB5F70" w:rsidRDefault="00EB5F70" w:rsidP="00BD2320">
      <w:r>
        <w:separator/>
      </w:r>
    </w:p>
  </w:footnote>
  <w:footnote w:type="continuationSeparator" w:id="0">
    <w:p w14:paraId="6519FA1F" w14:textId="77777777" w:rsidR="00EB5F70" w:rsidRDefault="00EB5F70" w:rsidP="00BD2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282A"/>
    <w:multiLevelType w:val="hybridMultilevel"/>
    <w:tmpl w:val="8968C518"/>
    <w:lvl w:ilvl="0" w:tplc="1EE24C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0293F"/>
    <w:multiLevelType w:val="hybridMultilevel"/>
    <w:tmpl w:val="7EC4B728"/>
    <w:lvl w:ilvl="0" w:tplc="55224A18">
      <w:start w:val="1"/>
      <w:numFmt w:val="decimal"/>
      <w:pStyle w:val="Figure"/>
      <w:lvlText w:val="Figure %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F1927"/>
    <w:multiLevelType w:val="hybridMultilevel"/>
    <w:tmpl w:val="39A2787C"/>
    <w:lvl w:ilvl="0" w:tplc="87763BDC">
      <w:start w:val="1"/>
      <w:numFmt w:val="bullet"/>
      <w:lvlText w:val="o"/>
      <w:lvlJc w:val="left"/>
      <w:pPr>
        <w:ind w:left="1146" w:hanging="360"/>
      </w:pPr>
      <w:rPr>
        <w:rFonts w:ascii="Courier New" w:hAnsi="Courier New"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3" w15:restartNumberingAfterBreak="0">
    <w:nsid w:val="59450313"/>
    <w:multiLevelType w:val="hybridMultilevel"/>
    <w:tmpl w:val="5DF0519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59FD7BF1"/>
    <w:multiLevelType w:val="hybridMultilevel"/>
    <w:tmpl w:val="61AA4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7B94601"/>
    <w:multiLevelType w:val="hybridMultilevel"/>
    <w:tmpl w:val="B18CCEC2"/>
    <w:lvl w:ilvl="0" w:tplc="529EE7AE">
      <w:start w:val="1"/>
      <w:numFmt w:val="bullet"/>
      <w:lvlText w:val="-"/>
      <w:lvlJc w:val="left"/>
      <w:pPr>
        <w:ind w:left="1146" w:hanging="360"/>
      </w:pPr>
      <w:rPr>
        <w:rFonts w:ascii="Symbol" w:hAnsi="Symbol" w:hint="default"/>
      </w:rPr>
    </w:lvl>
    <w:lvl w:ilvl="1" w:tplc="100C0003">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6" w15:restartNumberingAfterBreak="0">
    <w:nsid w:val="793A6801"/>
    <w:multiLevelType w:val="multilevel"/>
    <w:tmpl w:val="6FC4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613EB9"/>
    <w:multiLevelType w:val="hybridMultilevel"/>
    <w:tmpl w:val="E3DCEEAE"/>
    <w:lvl w:ilvl="0" w:tplc="100C0001">
      <w:start w:val="1"/>
      <w:numFmt w:val="bullet"/>
      <w:lvlText w:val=""/>
      <w:lvlJc w:val="left"/>
      <w:pPr>
        <w:ind w:left="1146" w:hanging="360"/>
      </w:pPr>
      <w:rPr>
        <w:rFonts w:ascii="Symbol" w:hAnsi="Symbo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1"/>
  </w:num>
  <w:num w:numId="6">
    <w:abstractNumId w:val="1"/>
    <w:lvlOverride w:ilvl="0">
      <w:startOverride w:val="1"/>
    </w:lvlOverride>
  </w:num>
  <w:num w:numId="7">
    <w:abstractNumId w:val="2"/>
  </w:num>
  <w:num w:numId="8">
    <w:abstractNumId w:val="3"/>
  </w:num>
  <w:num w:numId="9">
    <w:abstractNumId w:val="7"/>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s-ES_tradnl"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de-DE"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rapdxd8p50xwesr99x05dr2990r2x2f5wf&quot;&gt;My EndNote Library-Saved&lt;record-ids&gt;&lt;item&gt;2520&lt;/item&gt;&lt;/record-ids&gt;&lt;/item&gt;&lt;/Libraries&gt;"/>
  </w:docVars>
  <w:rsids>
    <w:rsidRoot w:val="00BF2B52"/>
    <w:rsid w:val="00000447"/>
    <w:rsid w:val="00000AB9"/>
    <w:rsid w:val="0000155A"/>
    <w:rsid w:val="00005397"/>
    <w:rsid w:val="00005F69"/>
    <w:rsid w:val="00006E37"/>
    <w:rsid w:val="000116F0"/>
    <w:rsid w:val="00012C12"/>
    <w:rsid w:val="00013B77"/>
    <w:rsid w:val="00014321"/>
    <w:rsid w:val="00021762"/>
    <w:rsid w:val="00023B0F"/>
    <w:rsid w:val="00030C51"/>
    <w:rsid w:val="0003411C"/>
    <w:rsid w:val="0004673C"/>
    <w:rsid w:val="000467F4"/>
    <w:rsid w:val="000469EC"/>
    <w:rsid w:val="0006126E"/>
    <w:rsid w:val="000659BE"/>
    <w:rsid w:val="0009352E"/>
    <w:rsid w:val="0009741D"/>
    <w:rsid w:val="000B2F03"/>
    <w:rsid w:val="000B797B"/>
    <w:rsid w:val="000C42F7"/>
    <w:rsid w:val="000C6914"/>
    <w:rsid w:val="000C7F97"/>
    <w:rsid w:val="000D1454"/>
    <w:rsid w:val="000D37AD"/>
    <w:rsid w:val="000D505E"/>
    <w:rsid w:val="000E41D5"/>
    <w:rsid w:val="000F0DD6"/>
    <w:rsid w:val="000F72DF"/>
    <w:rsid w:val="00103F6C"/>
    <w:rsid w:val="00105977"/>
    <w:rsid w:val="00110C8A"/>
    <w:rsid w:val="001121B4"/>
    <w:rsid w:val="00112CCA"/>
    <w:rsid w:val="00113B04"/>
    <w:rsid w:val="001216B0"/>
    <w:rsid w:val="001266B9"/>
    <w:rsid w:val="00126FCB"/>
    <w:rsid w:val="001304C5"/>
    <w:rsid w:val="001305A4"/>
    <w:rsid w:val="0014542B"/>
    <w:rsid w:val="001464B1"/>
    <w:rsid w:val="0015172E"/>
    <w:rsid w:val="00153238"/>
    <w:rsid w:val="00154D26"/>
    <w:rsid w:val="00160C1F"/>
    <w:rsid w:val="00162679"/>
    <w:rsid w:val="00162D41"/>
    <w:rsid w:val="001752B4"/>
    <w:rsid w:val="00181E49"/>
    <w:rsid w:val="00185072"/>
    <w:rsid w:val="00185D02"/>
    <w:rsid w:val="0018605A"/>
    <w:rsid w:val="00186466"/>
    <w:rsid w:val="001B3F89"/>
    <w:rsid w:val="001B444E"/>
    <w:rsid w:val="001B4CAD"/>
    <w:rsid w:val="001B6852"/>
    <w:rsid w:val="001B758A"/>
    <w:rsid w:val="001B7BEC"/>
    <w:rsid w:val="001C2F02"/>
    <w:rsid w:val="001C3DF0"/>
    <w:rsid w:val="001E1742"/>
    <w:rsid w:val="001E20C5"/>
    <w:rsid w:val="001F06BF"/>
    <w:rsid w:val="001F1411"/>
    <w:rsid w:val="001F1519"/>
    <w:rsid w:val="00203B58"/>
    <w:rsid w:val="00203CD3"/>
    <w:rsid w:val="002076A2"/>
    <w:rsid w:val="00221722"/>
    <w:rsid w:val="00221C30"/>
    <w:rsid w:val="00226B44"/>
    <w:rsid w:val="00227426"/>
    <w:rsid w:val="00232E2C"/>
    <w:rsid w:val="00233316"/>
    <w:rsid w:val="0023382D"/>
    <w:rsid w:val="00235D04"/>
    <w:rsid w:val="00236128"/>
    <w:rsid w:val="002428EB"/>
    <w:rsid w:val="002446E4"/>
    <w:rsid w:val="0025109D"/>
    <w:rsid w:val="0025284E"/>
    <w:rsid w:val="002536D3"/>
    <w:rsid w:val="00254B45"/>
    <w:rsid w:val="00256297"/>
    <w:rsid w:val="002629BF"/>
    <w:rsid w:val="0026549F"/>
    <w:rsid w:val="00266016"/>
    <w:rsid w:val="00267877"/>
    <w:rsid w:val="002701CE"/>
    <w:rsid w:val="002739D7"/>
    <w:rsid w:val="0027479E"/>
    <w:rsid w:val="00274961"/>
    <w:rsid w:val="002769AD"/>
    <w:rsid w:val="0027738D"/>
    <w:rsid w:val="002809F9"/>
    <w:rsid w:val="00283B56"/>
    <w:rsid w:val="00291ECF"/>
    <w:rsid w:val="002960D2"/>
    <w:rsid w:val="002A5F45"/>
    <w:rsid w:val="002B544B"/>
    <w:rsid w:val="002C156C"/>
    <w:rsid w:val="002C3320"/>
    <w:rsid w:val="002C41C5"/>
    <w:rsid w:val="002C487E"/>
    <w:rsid w:val="002C4B89"/>
    <w:rsid w:val="002C4E55"/>
    <w:rsid w:val="002C526B"/>
    <w:rsid w:val="002C52A7"/>
    <w:rsid w:val="002D7A69"/>
    <w:rsid w:val="002E06F1"/>
    <w:rsid w:val="002E4EC3"/>
    <w:rsid w:val="002F2C87"/>
    <w:rsid w:val="002F41C8"/>
    <w:rsid w:val="002F433B"/>
    <w:rsid w:val="002F552E"/>
    <w:rsid w:val="00304187"/>
    <w:rsid w:val="00307284"/>
    <w:rsid w:val="003143C7"/>
    <w:rsid w:val="003151BF"/>
    <w:rsid w:val="00325920"/>
    <w:rsid w:val="00326924"/>
    <w:rsid w:val="00327ABC"/>
    <w:rsid w:val="003311A4"/>
    <w:rsid w:val="00333807"/>
    <w:rsid w:val="00333DFB"/>
    <w:rsid w:val="00334206"/>
    <w:rsid w:val="003345BE"/>
    <w:rsid w:val="003371EA"/>
    <w:rsid w:val="00342BD4"/>
    <w:rsid w:val="00344C3B"/>
    <w:rsid w:val="00345846"/>
    <w:rsid w:val="003458B2"/>
    <w:rsid w:val="0036384E"/>
    <w:rsid w:val="003667F0"/>
    <w:rsid w:val="00366BF2"/>
    <w:rsid w:val="00370686"/>
    <w:rsid w:val="00376AD3"/>
    <w:rsid w:val="003805C1"/>
    <w:rsid w:val="003828AA"/>
    <w:rsid w:val="003869A3"/>
    <w:rsid w:val="003877B7"/>
    <w:rsid w:val="003907FC"/>
    <w:rsid w:val="0039343C"/>
    <w:rsid w:val="003963BC"/>
    <w:rsid w:val="003A08B2"/>
    <w:rsid w:val="003A3B45"/>
    <w:rsid w:val="003A4981"/>
    <w:rsid w:val="003B1BB6"/>
    <w:rsid w:val="003D54AC"/>
    <w:rsid w:val="003D57AF"/>
    <w:rsid w:val="003D76F0"/>
    <w:rsid w:val="003F11D1"/>
    <w:rsid w:val="003F3583"/>
    <w:rsid w:val="003F5A6A"/>
    <w:rsid w:val="00400EC6"/>
    <w:rsid w:val="004010C6"/>
    <w:rsid w:val="00402C45"/>
    <w:rsid w:val="00404CD1"/>
    <w:rsid w:val="00410360"/>
    <w:rsid w:val="00412807"/>
    <w:rsid w:val="004158E5"/>
    <w:rsid w:val="004209D5"/>
    <w:rsid w:val="004222FB"/>
    <w:rsid w:val="00435EC4"/>
    <w:rsid w:val="004406E5"/>
    <w:rsid w:val="00444AAE"/>
    <w:rsid w:val="0044522E"/>
    <w:rsid w:val="00446034"/>
    <w:rsid w:val="00451515"/>
    <w:rsid w:val="00451D90"/>
    <w:rsid w:val="00453B31"/>
    <w:rsid w:val="004553CC"/>
    <w:rsid w:val="0045605C"/>
    <w:rsid w:val="00457C61"/>
    <w:rsid w:val="004607FE"/>
    <w:rsid w:val="00462699"/>
    <w:rsid w:val="00462E30"/>
    <w:rsid w:val="00466AC6"/>
    <w:rsid w:val="00467A09"/>
    <w:rsid w:val="004730AB"/>
    <w:rsid w:val="00481439"/>
    <w:rsid w:val="00481850"/>
    <w:rsid w:val="00481E04"/>
    <w:rsid w:val="004853C5"/>
    <w:rsid w:val="004908C1"/>
    <w:rsid w:val="00490D1D"/>
    <w:rsid w:val="0049454C"/>
    <w:rsid w:val="00494EB8"/>
    <w:rsid w:val="00495176"/>
    <w:rsid w:val="004978AE"/>
    <w:rsid w:val="004A439C"/>
    <w:rsid w:val="004C11BB"/>
    <w:rsid w:val="004D09C5"/>
    <w:rsid w:val="004D16FD"/>
    <w:rsid w:val="004D339A"/>
    <w:rsid w:val="004D40FA"/>
    <w:rsid w:val="004D5AE5"/>
    <w:rsid w:val="004E6DD7"/>
    <w:rsid w:val="004F0E79"/>
    <w:rsid w:val="004F5067"/>
    <w:rsid w:val="00511574"/>
    <w:rsid w:val="0051213E"/>
    <w:rsid w:val="00517D9E"/>
    <w:rsid w:val="005218C9"/>
    <w:rsid w:val="00523FD6"/>
    <w:rsid w:val="0053085B"/>
    <w:rsid w:val="0053173E"/>
    <w:rsid w:val="00531DE4"/>
    <w:rsid w:val="00536647"/>
    <w:rsid w:val="00536C8E"/>
    <w:rsid w:val="00540941"/>
    <w:rsid w:val="00546683"/>
    <w:rsid w:val="0055079D"/>
    <w:rsid w:val="005532C3"/>
    <w:rsid w:val="0055748A"/>
    <w:rsid w:val="00563FC3"/>
    <w:rsid w:val="00566D79"/>
    <w:rsid w:val="005770C5"/>
    <w:rsid w:val="00582025"/>
    <w:rsid w:val="00586147"/>
    <w:rsid w:val="005861CE"/>
    <w:rsid w:val="005A0D61"/>
    <w:rsid w:val="005A5297"/>
    <w:rsid w:val="005A56DD"/>
    <w:rsid w:val="005B169B"/>
    <w:rsid w:val="005B4CC9"/>
    <w:rsid w:val="005C75B4"/>
    <w:rsid w:val="005D3A06"/>
    <w:rsid w:val="005D69CB"/>
    <w:rsid w:val="005D7141"/>
    <w:rsid w:val="005D71CD"/>
    <w:rsid w:val="005E52FE"/>
    <w:rsid w:val="005E6F53"/>
    <w:rsid w:val="005F46CC"/>
    <w:rsid w:val="006002A3"/>
    <w:rsid w:val="00610ECA"/>
    <w:rsid w:val="0061277C"/>
    <w:rsid w:val="00621F4B"/>
    <w:rsid w:val="00622C80"/>
    <w:rsid w:val="006234F1"/>
    <w:rsid w:val="006238C0"/>
    <w:rsid w:val="00627A13"/>
    <w:rsid w:val="0063187F"/>
    <w:rsid w:val="00634EB0"/>
    <w:rsid w:val="00635204"/>
    <w:rsid w:val="00635BE4"/>
    <w:rsid w:val="00636467"/>
    <w:rsid w:val="00645A05"/>
    <w:rsid w:val="00660432"/>
    <w:rsid w:val="00660F05"/>
    <w:rsid w:val="00661654"/>
    <w:rsid w:val="0066260E"/>
    <w:rsid w:val="00662E3E"/>
    <w:rsid w:val="00662FED"/>
    <w:rsid w:val="00664399"/>
    <w:rsid w:val="006717AC"/>
    <w:rsid w:val="00672BDB"/>
    <w:rsid w:val="00676868"/>
    <w:rsid w:val="00680C86"/>
    <w:rsid w:val="00682FBE"/>
    <w:rsid w:val="00683E2C"/>
    <w:rsid w:val="006863C9"/>
    <w:rsid w:val="006909B8"/>
    <w:rsid w:val="00693F11"/>
    <w:rsid w:val="006957B2"/>
    <w:rsid w:val="006A2B57"/>
    <w:rsid w:val="006A2E75"/>
    <w:rsid w:val="006A4C29"/>
    <w:rsid w:val="006A79CB"/>
    <w:rsid w:val="006B2080"/>
    <w:rsid w:val="006C0892"/>
    <w:rsid w:val="006C1CFC"/>
    <w:rsid w:val="006C3315"/>
    <w:rsid w:val="006C4793"/>
    <w:rsid w:val="006C6401"/>
    <w:rsid w:val="006D1340"/>
    <w:rsid w:val="006D27EC"/>
    <w:rsid w:val="006E102B"/>
    <w:rsid w:val="006E35AB"/>
    <w:rsid w:val="006E56F7"/>
    <w:rsid w:val="006E6BE5"/>
    <w:rsid w:val="006F0715"/>
    <w:rsid w:val="006F2633"/>
    <w:rsid w:val="006F3D02"/>
    <w:rsid w:val="006F781F"/>
    <w:rsid w:val="00715DF7"/>
    <w:rsid w:val="00717E78"/>
    <w:rsid w:val="00720C73"/>
    <w:rsid w:val="00720E83"/>
    <w:rsid w:val="00722716"/>
    <w:rsid w:val="00723CBB"/>
    <w:rsid w:val="007252AD"/>
    <w:rsid w:val="00726F1C"/>
    <w:rsid w:val="00727865"/>
    <w:rsid w:val="00731998"/>
    <w:rsid w:val="00732F57"/>
    <w:rsid w:val="007351FB"/>
    <w:rsid w:val="007365A5"/>
    <w:rsid w:val="00740023"/>
    <w:rsid w:val="007433F0"/>
    <w:rsid w:val="0075551B"/>
    <w:rsid w:val="00761BF0"/>
    <w:rsid w:val="00762AC1"/>
    <w:rsid w:val="00764535"/>
    <w:rsid w:val="00773450"/>
    <w:rsid w:val="007740D6"/>
    <w:rsid w:val="00774655"/>
    <w:rsid w:val="00780274"/>
    <w:rsid w:val="00781D54"/>
    <w:rsid w:val="00784575"/>
    <w:rsid w:val="00786DEC"/>
    <w:rsid w:val="00790340"/>
    <w:rsid w:val="00796D33"/>
    <w:rsid w:val="007A022C"/>
    <w:rsid w:val="007A123D"/>
    <w:rsid w:val="007A536A"/>
    <w:rsid w:val="007A5EA7"/>
    <w:rsid w:val="007A769D"/>
    <w:rsid w:val="007A7D0B"/>
    <w:rsid w:val="007C1194"/>
    <w:rsid w:val="007C1655"/>
    <w:rsid w:val="007C249B"/>
    <w:rsid w:val="007E160A"/>
    <w:rsid w:val="007E4E3A"/>
    <w:rsid w:val="007E7E94"/>
    <w:rsid w:val="007F29D5"/>
    <w:rsid w:val="00803238"/>
    <w:rsid w:val="0080384B"/>
    <w:rsid w:val="00804BBE"/>
    <w:rsid w:val="00810BC4"/>
    <w:rsid w:val="00810EAD"/>
    <w:rsid w:val="008113EE"/>
    <w:rsid w:val="00811AB1"/>
    <w:rsid w:val="0081252C"/>
    <w:rsid w:val="008219E2"/>
    <w:rsid w:val="00827AFD"/>
    <w:rsid w:val="00830C72"/>
    <w:rsid w:val="00831571"/>
    <w:rsid w:val="0083356C"/>
    <w:rsid w:val="00837620"/>
    <w:rsid w:val="00841751"/>
    <w:rsid w:val="00842BDB"/>
    <w:rsid w:val="00843C7E"/>
    <w:rsid w:val="008511CE"/>
    <w:rsid w:val="0085542D"/>
    <w:rsid w:val="00864FEF"/>
    <w:rsid w:val="00867A09"/>
    <w:rsid w:val="008718C2"/>
    <w:rsid w:val="008745E6"/>
    <w:rsid w:val="008754B4"/>
    <w:rsid w:val="00875F5A"/>
    <w:rsid w:val="0087608A"/>
    <w:rsid w:val="00876112"/>
    <w:rsid w:val="0088118B"/>
    <w:rsid w:val="0088220E"/>
    <w:rsid w:val="008860D5"/>
    <w:rsid w:val="008910AD"/>
    <w:rsid w:val="00891288"/>
    <w:rsid w:val="00891E49"/>
    <w:rsid w:val="0089355A"/>
    <w:rsid w:val="008971B8"/>
    <w:rsid w:val="008B2575"/>
    <w:rsid w:val="008B2B56"/>
    <w:rsid w:val="008C2A83"/>
    <w:rsid w:val="008C30BE"/>
    <w:rsid w:val="008C5B74"/>
    <w:rsid w:val="008C5CA9"/>
    <w:rsid w:val="008C62A3"/>
    <w:rsid w:val="008D327C"/>
    <w:rsid w:val="008E1849"/>
    <w:rsid w:val="008E27C1"/>
    <w:rsid w:val="008E2DDB"/>
    <w:rsid w:val="008E524E"/>
    <w:rsid w:val="008F0AC6"/>
    <w:rsid w:val="0090218A"/>
    <w:rsid w:val="00902B8B"/>
    <w:rsid w:val="0090652F"/>
    <w:rsid w:val="0090711E"/>
    <w:rsid w:val="009132EE"/>
    <w:rsid w:val="00914070"/>
    <w:rsid w:val="00915EED"/>
    <w:rsid w:val="00916E10"/>
    <w:rsid w:val="00916ECE"/>
    <w:rsid w:val="009178C5"/>
    <w:rsid w:val="009232DA"/>
    <w:rsid w:val="00924C47"/>
    <w:rsid w:val="00925017"/>
    <w:rsid w:val="009374EB"/>
    <w:rsid w:val="00940204"/>
    <w:rsid w:val="009474E9"/>
    <w:rsid w:val="00947E55"/>
    <w:rsid w:val="00960499"/>
    <w:rsid w:val="00961513"/>
    <w:rsid w:val="009700B6"/>
    <w:rsid w:val="009713FA"/>
    <w:rsid w:val="00972E3F"/>
    <w:rsid w:val="00983C45"/>
    <w:rsid w:val="00984C15"/>
    <w:rsid w:val="00991D14"/>
    <w:rsid w:val="009949D8"/>
    <w:rsid w:val="00996763"/>
    <w:rsid w:val="009A0B96"/>
    <w:rsid w:val="009A43B3"/>
    <w:rsid w:val="009A7B36"/>
    <w:rsid w:val="009B1008"/>
    <w:rsid w:val="009B53D4"/>
    <w:rsid w:val="009B5895"/>
    <w:rsid w:val="009C3334"/>
    <w:rsid w:val="009C4C87"/>
    <w:rsid w:val="009D12BA"/>
    <w:rsid w:val="009D48B1"/>
    <w:rsid w:val="009D5BD0"/>
    <w:rsid w:val="009D635C"/>
    <w:rsid w:val="009E3E2F"/>
    <w:rsid w:val="009E5810"/>
    <w:rsid w:val="009E6C35"/>
    <w:rsid w:val="009F069F"/>
    <w:rsid w:val="009F2C36"/>
    <w:rsid w:val="009F4B87"/>
    <w:rsid w:val="009F568C"/>
    <w:rsid w:val="009F6CA6"/>
    <w:rsid w:val="009F7ED3"/>
    <w:rsid w:val="00A034ED"/>
    <w:rsid w:val="00A06022"/>
    <w:rsid w:val="00A067E4"/>
    <w:rsid w:val="00A07EFE"/>
    <w:rsid w:val="00A111F7"/>
    <w:rsid w:val="00A12BD5"/>
    <w:rsid w:val="00A12FAB"/>
    <w:rsid w:val="00A15F98"/>
    <w:rsid w:val="00A23F93"/>
    <w:rsid w:val="00A26092"/>
    <w:rsid w:val="00A34B3A"/>
    <w:rsid w:val="00A371A5"/>
    <w:rsid w:val="00A37FB9"/>
    <w:rsid w:val="00A405D7"/>
    <w:rsid w:val="00A409B6"/>
    <w:rsid w:val="00A432C0"/>
    <w:rsid w:val="00A43D4E"/>
    <w:rsid w:val="00A43F52"/>
    <w:rsid w:val="00A44143"/>
    <w:rsid w:val="00A45A8B"/>
    <w:rsid w:val="00A524AE"/>
    <w:rsid w:val="00A603A4"/>
    <w:rsid w:val="00A6340F"/>
    <w:rsid w:val="00A6408E"/>
    <w:rsid w:val="00A6528F"/>
    <w:rsid w:val="00A66EA6"/>
    <w:rsid w:val="00A8288F"/>
    <w:rsid w:val="00A82A59"/>
    <w:rsid w:val="00A83048"/>
    <w:rsid w:val="00A83EA3"/>
    <w:rsid w:val="00A913F3"/>
    <w:rsid w:val="00A95089"/>
    <w:rsid w:val="00AA13E9"/>
    <w:rsid w:val="00AA2873"/>
    <w:rsid w:val="00AA6E01"/>
    <w:rsid w:val="00AC1D4E"/>
    <w:rsid w:val="00AC5AF1"/>
    <w:rsid w:val="00AD09EA"/>
    <w:rsid w:val="00AD3DA8"/>
    <w:rsid w:val="00AD4753"/>
    <w:rsid w:val="00AD5785"/>
    <w:rsid w:val="00AD6AF7"/>
    <w:rsid w:val="00AD74FE"/>
    <w:rsid w:val="00AD7C0F"/>
    <w:rsid w:val="00AE189D"/>
    <w:rsid w:val="00AE1BF0"/>
    <w:rsid w:val="00AE1FEF"/>
    <w:rsid w:val="00AF21F7"/>
    <w:rsid w:val="00AF3666"/>
    <w:rsid w:val="00B012A4"/>
    <w:rsid w:val="00B043E4"/>
    <w:rsid w:val="00B157D3"/>
    <w:rsid w:val="00B164AA"/>
    <w:rsid w:val="00B16DE9"/>
    <w:rsid w:val="00B24BE9"/>
    <w:rsid w:val="00B26110"/>
    <w:rsid w:val="00B37CEC"/>
    <w:rsid w:val="00B44233"/>
    <w:rsid w:val="00B44372"/>
    <w:rsid w:val="00B55371"/>
    <w:rsid w:val="00B60CDD"/>
    <w:rsid w:val="00B63CDF"/>
    <w:rsid w:val="00B64A75"/>
    <w:rsid w:val="00B67604"/>
    <w:rsid w:val="00B7005D"/>
    <w:rsid w:val="00B752CC"/>
    <w:rsid w:val="00B762B1"/>
    <w:rsid w:val="00B7726D"/>
    <w:rsid w:val="00B80FC6"/>
    <w:rsid w:val="00B83F32"/>
    <w:rsid w:val="00B95A99"/>
    <w:rsid w:val="00B977FE"/>
    <w:rsid w:val="00BA2008"/>
    <w:rsid w:val="00BA2DBA"/>
    <w:rsid w:val="00BA7C68"/>
    <w:rsid w:val="00BB3EEF"/>
    <w:rsid w:val="00BB418F"/>
    <w:rsid w:val="00BB759D"/>
    <w:rsid w:val="00BC0684"/>
    <w:rsid w:val="00BC1963"/>
    <w:rsid w:val="00BC29B4"/>
    <w:rsid w:val="00BC425D"/>
    <w:rsid w:val="00BC76DB"/>
    <w:rsid w:val="00BD2320"/>
    <w:rsid w:val="00BD6A58"/>
    <w:rsid w:val="00BF044C"/>
    <w:rsid w:val="00BF2B52"/>
    <w:rsid w:val="00BF3B28"/>
    <w:rsid w:val="00BF474E"/>
    <w:rsid w:val="00C105D7"/>
    <w:rsid w:val="00C10694"/>
    <w:rsid w:val="00C11BAA"/>
    <w:rsid w:val="00C12233"/>
    <w:rsid w:val="00C1310C"/>
    <w:rsid w:val="00C14322"/>
    <w:rsid w:val="00C21852"/>
    <w:rsid w:val="00C22979"/>
    <w:rsid w:val="00C33339"/>
    <w:rsid w:val="00C427F9"/>
    <w:rsid w:val="00C43FF0"/>
    <w:rsid w:val="00C45695"/>
    <w:rsid w:val="00C505A7"/>
    <w:rsid w:val="00C61F01"/>
    <w:rsid w:val="00C626AD"/>
    <w:rsid w:val="00C759B7"/>
    <w:rsid w:val="00C8252D"/>
    <w:rsid w:val="00C85D37"/>
    <w:rsid w:val="00C868CD"/>
    <w:rsid w:val="00C92621"/>
    <w:rsid w:val="00C9474A"/>
    <w:rsid w:val="00C94FAF"/>
    <w:rsid w:val="00CB0147"/>
    <w:rsid w:val="00CB02AD"/>
    <w:rsid w:val="00CC3E83"/>
    <w:rsid w:val="00CC524B"/>
    <w:rsid w:val="00CD04C6"/>
    <w:rsid w:val="00CD0F47"/>
    <w:rsid w:val="00CD1309"/>
    <w:rsid w:val="00CE392E"/>
    <w:rsid w:val="00CE6C13"/>
    <w:rsid w:val="00CF17EF"/>
    <w:rsid w:val="00CF1DC4"/>
    <w:rsid w:val="00CF4E14"/>
    <w:rsid w:val="00CF6A76"/>
    <w:rsid w:val="00D06421"/>
    <w:rsid w:val="00D178B1"/>
    <w:rsid w:val="00D17DA2"/>
    <w:rsid w:val="00D205B2"/>
    <w:rsid w:val="00D23332"/>
    <w:rsid w:val="00D2351A"/>
    <w:rsid w:val="00D344E5"/>
    <w:rsid w:val="00D44E4D"/>
    <w:rsid w:val="00D4659A"/>
    <w:rsid w:val="00D55D29"/>
    <w:rsid w:val="00D76BD6"/>
    <w:rsid w:val="00D80AFE"/>
    <w:rsid w:val="00D81187"/>
    <w:rsid w:val="00D81295"/>
    <w:rsid w:val="00D83442"/>
    <w:rsid w:val="00D86BEE"/>
    <w:rsid w:val="00D9229F"/>
    <w:rsid w:val="00D9578C"/>
    <w:rsid w:val="00D96408"/>
    <w:rsid w:val="00DA1616"/>
    <w:rsid w:val="00DA49F1"/>
    <w:rsid w:val="00DA6A5A"/>
    <w:rsid w:val="00DA7447"/>
    <w:rsid w:val="00DB2CA3"/>
    <w:rsid w:val="00DB5657"/>
    <w:rsid w:val="00DB773E"/>
    <w:rsid w:val="00DC1864"/>
    <w:rsid w:val="00DC3747"/>
    <w:rsid w:val="00DC41FD"/>
    <w:rsid w:val="00DC52EA"/>
    <w:rsid w:val="00DC5A70"/>
    <w:rsid w:val="00DD1DBC"/>
    <w:rsid w:val="00DD273D"/>
    <w:rsid w:val="00DE4983"/>
    <w:rsid w:val="00DF1AD6"/>
    <w:rsid w:val="00E019FC"/>
    <w:rsid w:val="00E01E5D"/>
    <w:rsid w:val="00E046E5"/>
    <w:rsid w:val="00E05E35"/>
    <w:rsid w:val="00E10733"/>
    <w:rsid w:val="00E111E5"/>
    <w:rsid w:val="00E115B2"/>
    <w:rsid w:val="00E21A30"/>
    <w:rsid w:val="00E22275"/>
    <w:rsid w:val="00E333FC"/>
    <w:rsid w:val="00E411E0"/>
    <w:rsid w:val="00E4485B"/>
    <w:rsid w:val="00E44B00"/>
    <w:rsid w:val="00E51D60"/>
    <w:rsid w:val="00E529D6"/>
    <w:rsid w:val="00E62177"/>
    <w:rsid w:val="00E640D9"/>
    <w:rsid w:val="00E66050"/>
    <w:rsid w:val="00E66E50"/>
    <w:rsid w:val="00E71248"/>
    <w:rsid w:val="00E77E55"/>
    <w:rsid w:val="00E77E72"/>
    <w:rsid w:val="00E8168E"/>
    <w:rsid w:val="00E837E2"/>
    <w:rsid w:val="00E846DA"/>
    <w:rsid w:val="00E862A6"/>
    <w:rsid w:val="00E928EE"/>
    <w:rsid w:val="00E92F60"/>
    <w:rsid w:val="00E95B33"/>
    <w:rsid w:val="00EA03D5"/>
    <w:rsid w:val="00EA13C2"/>
    <w:rsid w:val="00EA3158"/>
    <w:rsid w:val="00EB24AB"/>
    <w:rsid w:val="00EB5F70"/>
    <w:rsid w:val="00EB68FD"/>
    <w:rsid w:val="00EB7DDE"/>
    <w:rsid w:val="00EB7E36"/>
    <w:rsid w:val="00EC06D9"/>
    <w:rsid w:val="00EC1278"/>
    <w:rsid w:val="00EC3F78"/>
    <w:rsid w:val="00EC6E8C"/>
    <w:rsid w:val="00EC79F7"/>
    <w:rsid w:val="00ED028B"/>
    <w:rsid w:val="00EE43A7"/>
    <w:rsid w:val="00EE6C44"/>
    <w:rsid w:val="00F02CD1"/>
    <w:rsid w:val="00F04C3E"/>
    <w:rsid w:val="00F05296"/>
    <w:rsid w:val="00F1101F"/>
    <w:rsid w:val="00F14D31"/>
    <w:rsid w:val="00F1691B"/>
    <w:rsid w:val="00F235B2"/>
    <w:rsid w:val="00F25DA3"/>
    <w:rsid w:val="00F26DBD"/>
    <w:rsid w:val="00F33943"/>
    <w:rsid w:val="00F33FD1"/>
    <w:rsid w:val="00F366DD"/>
    <w:rsid w:val="00F40D0C"/>
    <w:rsid w:val="00F456D2"/>
    <w:rsid w:val="00F62FBE"/>
    <w:rsid w:val="00F65AB8"/>
    <w:rsid w:val="00F663EE"/>
    <w:rsid w:val="00F80A60"/>
    <w:rsid w:val="00F86DEF"/>
    <w:rsid w:val="00F87294"/>
    <w:rsid w:val="00F87745"/>
    <w:rsid w:val="00FA1EB7"/>
    <w:rsid w:val="00FA2ABE"/>
    <w:rsid w:val="00FB744F"/>
    <w:rsid w:val="00FB75B0"/>
    <w:rsid w:val="00FC5BC2"/>
    <w:rsid w:val="00FC60B5"/>
    <w:rsid w:val="00FC60E4"/>
    <w:rsid w:val="00FE35E9"/>
    <w:rsid w:val="00FE456A"/>
    <w:rsid w:val="00FE7B20"/>
    <w:rsid w:val="00FF3336"/>
    <w:rsid w:val="00FF7623"/>
    <w:rsid w:val="00FF7B8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42A70"/>
  <w15:docId w15:val="{62AA4903-1CE8-4B67-90E7-C9293358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320"/>
    <w:pPr>
      <w:spacing w:line="480" w:lineRule="auto"/>
      <w:ind w:firstLine="426"/>
    </w:pPr>
    <w:rPr>
      <w:rFonts w:ascii="Arial" w:hAnsi="Arial" w:cs="Arial"/>
      <w:sz w:val="20"/>
      <w:szCs w:val="20"/>
    </w:rPr>
  </w:style>
  <w:style w:type="paragraph" w:styleId="Heading1">
    <w:name w:val="heading 1"/>
    <w:basedOn w:val="Table"/>
    <w:next w:val="Normal"/>
    <w:link w:val="Heading1Char"/>
    <w:uiPriority w:val="9"/>
    <w:qFormat/>
    <w:rsid w:val="00256297"/>
    <w:pPr>
      <w:outlineLvl w:val="0"/>
    </w:pPr>
  </w:style>
  <w:style w:type="paragraph" w:styleId="Heading2">
    <w:name w:val="heading 2"/>
    <w:basedOn w:val="Normal"/>
    <w:next w:val="Normal"/>
    <w:link w:val="Heading2Char"/>
    <w:uiPriority w:val="9"/>
    <w:unhideWhenUsed/>
    <w:qFormat/>
    <w:rsid w:val="00256297"/>
    <w:pPr>
      <w:spacing w:after="240"/>
      <w:ind w:firstLine="0"/>
      <w:jc w:val="center"/>
      <w:outlineLvl w:val="1"/>
    </w:pPr>
    <w:rPr>
      <w:rFonts w:ascii="Times New Roman" w:hAnsi="Times New Roman" w:cs="Times New Roman"/>
      <w:b/>
      <w:sz w:val="24"/>
      <w:szCs w:val="24"/>
    </w:rPr>
  </w:style>
  <w:style w:type="paragraph" w:styleId="Heading3">
    <w:name w:val="heading 3"/>
    <w:basedOn w:val="Normal"/>
    <w:next w:val="Normal"/>
    <w:link w:val="Heading3Char"/>
    <w:autoRedefine/>
    <w:qFormat/>
    <w:rsid w:val="00B762B1"/>
    <w:pPr>
      <w:ind w:firstLine="0"/>
      <w:outlineLvl w:val="2"/>
    </w:pPr>
    <w:rPr>
      <w:rFonts w:ascii="Times New Roman" w:hAnsi="Times New Roman" w:cs="Times New Roman"/>
      <w:b/>
      <w:sz w:val="24"/>
      <w:szCs w:val="24"/>
    </w:rPr>
  </w:style>
  <w:style w:type="paragraph" w:styleId="Heading4">
    <w:name w:val="heading 4"/>
    <w:basedOn w:val="Heading2"/>
    <w:next w:val="Normal"/>
    <w:link w:val="Heading4Char"/>
    <w:uiPriority w:val="9"/>
    <w:unhideWhenUsed/>
    <w:qFormat/>
    <w:rsid w:val="00232E2C"/>
    <w:pPr>
      <w:spacing w:after="0"/>
      <w:jc w:val="left"/>
      <w:outlineLvl w:val="3"/>
    </w:pPr>
    <w:rPr>
      <w:b w:val="0"/>
    </w:rPr>
  </w:style>
  <w:style w:type="paragraph" w:styleId="Heading5">
    <w:name w:val="heading 5"/>
    <w:basedOn w:val="Normal"/>
    <w:next w:val="Normal"/>
    <w:link w:val="Heading5Char"/>
    <w:uiPriority w:val="9"/>
    <w:unhideWhenUsed/>
    <w:rsid w:val="00B64A75"/>
    <w:pPr>
      <w:keepNext/>
      <w:keepLines/>
      <w:spacing w:before="200"/>
      <w:outlineLvl w:val="4"/>
    </w:pPr>
    <w:rPr>
      <w:rFonts w:asciiTheme="majorHAnsi" w:eastAsiaTheme="majorEastAsia" w:hAnsiTheme="majorHAnsi" w:cstheme="majorBidi"/>
      <w:color w:val="243F60" w:themeColor="accent1" w:themeShade="7F"/>
      <w:sz w:val="22"/>
      <w:szCs w:val="22"/>
      <w:lang w:val="fr-CH"/>
    </w:rPr>
  </w:style>
  <w:style w:type="paragraph" w:styleId="Heading6">
    <w:name w:val="heading 6"/>
    <w:basedOn w:val="Normal"/>
    <w:next w:val="Normal"/>
    <w:link w:val="Heading6Char"/>
    <w:uiPriority w:val="9"/>
    <w:unhideWhenUsed/>
    <w:qFormat/>
    <w:rsid w:val="00CF17EF"/>
    <w:pPr>
      <w:keepNext/>
      <w:keepLines/>
      <w:spacing w:before="360" w:after="360"/>
      <w:ind w:firstLine="425"/>
      <w:jc w:val="center"/>
      <w:outlineLvl w:val="5"/>
    </w:pPr>
    <w:rPr>
      <w:rFonts w:ascii="Times New Roman" w:eastAsiaTheme="majorEastAsia" w:hAnsi="Times New Roman" w:cs="Times New Roman"/>
      <w:i/>
      <w:i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297"/>
    <w:rPr>
      <w:rFonts w:ascii="Times New Roman" w:hAnsi="Times New Roman" w:cs="Times New Roman"/>
      <w:kern w:val="1"/>
      <w:sz w:val="24"/>
      <w:szCs w:val="24"/>
      <w:lang w:val="en-GB" w:eastAsia="hi-IN" w:bidi="hi-IN"/>
    </w:rPr>
  </w:style>
  <w:style w:type="character" w:customStyle="1" w:styleId="Heading2Char">
    <w:name w:val="Heading 2 Char"/>
    <w:basedOn w:val="DefaultParagraphFont"/>
    <w:link w:val="Heading2"/>
    <w:uiPriority w:val="9"/>
    <w:rsid w:val="00256297"/>
    <w:rPr>
      <w:rFonts w:ascii="Times New Roman" w:hAnsi="Times New Roman" w:cs="Times New Roman"/>
      <w:b/>
      <w:sz w:val="24"/>
      <w:szCs w:val="24"/>
      <w:lang w:val="en-GB"/>
    </w:rPr>
  </w:style>
  <w:style w:type="character" w:customStyle="1" w:styleId="Heading3Char">
    <w:name w:val="Heading 3 Char"/>
    <w:basedOn w:val="DefaultParagraphFont"/>
    <w:link w:val="Heading3"/>
    <w:rsid w:val="00B762B1"/>
    <w:rPr>
      <w:rFonts w:ascii="Times New Roman" w:hAnsi="Times New Roman" w:cs="Times New Roman"/>
      <w:b/>
      <w:sz w:val="24"/>
      <w:szCs w:val="24"/>
      <w:lang w:val="en-GB"/>
    </w:rPr>
  </w:style>
  <w:style w:type="character" w:customStyle="1" w:styleId="Heading4Char">
    <w:name w:val="Heading 4 Char"/>
    <w:basedOn w:val="DefaultParagraphFont"/>
    <w:link w:val="Heading4"/>
    <w:uiPriority w:val="9"/>
    <w:rsid w:val="00232E2C"/>
    <w:rPr>
      <w:rFonts w:ascii="Times New Roman" w:hAnsi="Times New Roman" w:cs="Times New Roman"/>
      <w:sz w:val="24"/>
      <w:szCs w:val="24"/>
      <w:lang w:val="en-GB"/>
    </w:rPr>
  </w:style>
  <w:style w:type="character" w:customStyle="1" w:styleId="Heading5Char">
    <w:name w:val="Heading 5 Char"/>
    <w:basedOn w:val="DefaultParagraphFont"/>
    <w:link w:val="Heading5"/>
    <w:uiPriority w:val="9"/>
    <w:rsid w:val="00B64A75"/>
    <w:rPr>
      <w:rFonts w:asciiTheme="majorHAnsi" w:eastAsiaTheme="majorEastAsia" w:hAnsiTheme="majorHAnsi" w:cstheme="majorBidi"/>
      <w:color w:val="243F60" w:themeColor="accent1" w:themeShade="7F"/>
      <w:lang w:val="fr-CH"/>
    </w:rPr>
  </w:style>
  <w:style w:type="paragraph" w:styleId="TOC1">
    <w:name w:val="toc 1"/>
    <w:basedOn w:val="Normal"/>
    <w:next w:val="Normal"/>
    <w:autoRedefine/>
    <w:uiPriority w:val="39"/>
    <w:unhideWhenUsed/>
    <w:rsid w:val="00467A09"/>
    <w:pPr>
      <w:spacing w:after="60"/>
    </w:pPr>
    <w:rPr>
      <w:b/>
      <w:bCs/>
      <w:caps/>
      <w:sz w:val="18"/>
      <w:szCs w:val="24"/>
    </w:rPr>
  </w:style>
  <w:style w:type="paragraph" w:styleId="TOC2">
    <w:name w:val="toc 2"/>
    <w:basedOn w:val="Normal"/>
    <w:next w:val="Normal"/>
    <w:autoRedefine/>
    <w:uiPriority w:val="39"/>
    <w:unhideWhenUsed/>
    <w:rsid w:val="00467A09"/>
    <w:pPr>
      <w:spacing w:after="60"/>
    </w:pPr>
    <w:rPr>
      <w:rFonts w:cs="Calibri"/>
      <w:bCs/>
      <w:sz w:val="18"/>
    </w:rPr>
  </w:style>
  <w:style w:type="paragraph" w:styleId="TOC3">
    <w:name w:val="toc 3"/>
    <w:basedOn w:val="Normal"/>
    <w:next w:val="Normal"/>
    <w:autoRedefine/>
    <w:uiPriority w:val="39"/>
    <w:unhideWhenUsed/>
    <w:rsid w:val="00467A09"/>
    <w:pPr>
      <w:spacing w:after="60"/>
      <w:ind w:left="216"/>
    </w:pPr>
    <w:rPr>
      <w:rFonts w:cs="Calibri"/>
      <w:i/>
      <w:sz w:val="18"/>
    </w:rPr>
  </w:style>
  <w:style w:type="paragraph" w:styleId="Title">
    <w:name w:val="Title"/>
    <w:basedOn w:val="Normal"/>
    <w:next w:val="Normal"/>
    <w:link w:val="TitleChar"/>
    <w:uiPriority w:val="10"/>
    <w:qFormat/>
    <w:rsid w:val="00F33943"/>
    <w:rPr>
      <w:sz w:val="48"/>
      <w:szCs w:val="48"/>
    </w:rPr>
  </w:style>
  <w:style w:type="character" w:customStyle="1" w:styleId="TitleChar">
    <w:name w:val="Title Char"/>
    <w:link w:val="Title"/>
    <w:uiPriority w:val="10"/>
    <w:rsid w:val="00F33943"/>
    <w:rPr>
      <w:rFonts w:ascii="Arial" w:hAnsi="Arial" w:cs="Arial"/>
      <w:sz w:val="48"/>
      <w:szCs w:val="48"/>
    </w:rPr>
  </w:style>
  <w:style w:type="paragraph" w:styleId="TOCHeading">
    <w:name w:val="TOC Heading"/>
    <w:basedOn w:val="Heading1"/>
    <w:next w:val="Normal"/>
    <w:uiPriority w:val="39"/>
    <w:semiHidden/>
    <w:unhideWhenUsed/>
    <w:qFormat/>
    <w:rsid w:val="00F33943"/>
    <w:pPr>
      <w:outlineLvl w:val="9"/>
    </w:pPr>
  </w:style>
  <w:style w:type="paragraph" w:styleId="ListParagraph">
    <w:name w:val="List Paragraph"/>
    <w:basedOn w:val="Normal"/>
    <w:uiPriority w:val="34"/>
    <w:qFormat/>
    <w:rsid w:val="00F33943"/>
    <w:pPr>
      <w:ind w:left="720"/>
      <w:contextualSpacing/>
    </w:pPr>
    <w:rPr>
      <w:rFonts w:cs="Times New Roman"/>
    </w:rPr>
  </w:style>
  <w:style w:type="paragraph" w:styleId="NoSpacing">
    <w:name w:val="No Spacing"/>
    <w:uiPriority w:val="1"/>
    <w:rsid w:val="00B64A75"/>
    <w:rPr>
      <w:rFonts w:ascii="Arial" w:hAnsi="Arial" w:cs="Arial"/>
      <w:sz w:val="20"/>
      <w:szCs w:val="20"/>
    </w:rPr>
  </w:style>
  <w:style w:type="paragraph" w:styleId="Subtitle">
    <w:name w:val="Subtitle"/>
    <w:aliases w:val="Stata"/>
    <w:basedOn w:val="Normal"/>
    <w:next w:val="Normal"/>
    <w:link w:val="SubtitleChar"/>
    <w:autoRedefine/>
    <w:uiPriority w:val="11"/>
    <w:qFormat/>
    <w:rsid w:val="004908C1"/>
    <w:rPr>
      <w:rFonts w:ascii="Courier New" w:hAnsi="Courier New" w:cs="Courier New"/>
      <w:sz w:val="18"/>
      <w:szCs w:val="18"/>
    </w:rPr>
  </w:style>
  <w:style w:type="character" w:customStyle="1" w:styleId="SubtitleChar">
    <w:name w:val="Subtitle Char"/>
    <w:aliases w:val="Stata Char"/>
    <w:basedOn w:val="DefaultParagraphFont"/>
    <w:link w:val="Subtitle"/>
    <w:uiPriority w:val="11"/>
    <w:rsid w:val="004908C1"/>
    <w:rPr>
      <w:rFonts w:ascii="Courier New" w:hAnsi="Courier New" w:cs="Courier New"/>
      <w:sz w:val="18"/>
      <w:szCs w:val="18"/>
    </w:rPr>
  </w:style>
  <w:style w:type="paragraph" w:customStyle="1" w:styleId="Figure">
    <w:name w:val="Figure"/>
    <w:basedOn w:val="Heading5"/>
    <w:link w:val="FigureCar"/>
    <w:autoRedefine/>
    <w:qFormat/>
    <w:rsid w:val="00030C51"/>
    <w:pPr>
      <w:numPr>
        <w:numId w:val="6"/>
      </w:numPr>
      <w:suppressAutoHyphens/>
      <w:spacing w:before="0" w:after="120"/>
    </w:pPr>
    <w:rPr>
      <w:rFonts w:ascii="Arial" w:hAnsi="Arial"/>
      <w:color w:val="auto"/>
      <w:kern w:val="1"/>
      <w:sz w:val="20"/>
      <w:lang w:eastAsia="hi-IN" w:bidi="hi-IN"/>
    </w:rPr>
  </w:style>
  <w:style w:type="character" w:customStyle="1" w:styleId="FigureCar">
    <w:name w:val="Figure Car"/>
    <w:basedOn w:val="DefaultParagraphFont"/>
    <w:link w:val="Figure"/>
    <w:rsid w:val="00030C51"/>
    <w:rPr>
      <w:rFonts w:ascii="Arial" w:eastAsiaTheme="majorEastAsia" w:hAnsi="Arial" w:cstheme="majorBidi"/>
      <w:kern w:val="1"/>
      <w:sz w:val="20"/>
      <w:lang w:val="fr-CH" w:eastAsia="hi-IN" w:bidi="hi-IN"/>
    </w:rPr>
  </w:style>
  <w:style w:type="paragraph" w:customStyle="1" w:styleId="BordureFigure">
    <w:name w:val="Bordure Figure"/>
    <w:basedOn w:val="Normal"/>
    <w:qFormat/>
    <w:rsid w:val="00511574"/>
    <w:pPr>
      <w:pBdr>
        <w:top w:val="single" w:sz="4" w:space="1" w:color="auto"/>
        <w:left w:val="single" w:sz="4" w:space="4" w:color="auto"/>
        <w:bottom w:val="single" w:sz="4" w:space="1" w:color="auto"/>
        <w:right w:val="single" w:sz="4" w:space="4" w:color="auto"/>
      </w:pBdr>
      <w:suppressAutoHyphens/>
    </w:pPr>
    <w:rPr>
      <w:noProof/>
      <w:kern w:val="1"/>
      <w:sz w:val="8"/>
      <w:szCs w:val="8"/>
    </w:rPr>
  </w:style>
  <w:style w:type="paragraph" w:customStyle="1" w:styleId="Table">
    <w:name w:val="Table"/>
    <w:basedOn w:val="Normal"/>
    <w:autoRedefine/>
    <w:qFormat/>
    <w:rsid w:val="003877B7"/>
    <w:pPr>
      <w:suppressAutoHyphens/>
      <w:ind w:firstLine="0"/>
    </w:pPr>
    <w:rPr>
      <w:rFonts w:ascii="Times New Roman" w:hAnsi="Times New Roman" w:cs="Times New Roman"/>
      <w:kern w:val="1"/>
      <w:sz w:val="24"/>
      <w:szCs w:val="24"/>
      <w:lang w:eastAsia="hi-IN" w:bidi="hi-IN"/>
    </w:rPr>
  </w:style>
  <w:style w:type="character" w:styleId="Strong">
    <w:name w:val="Strong"/>
    <w:uiPriority w:val="22"/>
    <w:qFormat/>
    <w:rsid w:val="00531DE4"/>
    <w:rPr>
      <w:sz w:val="24"/>
      <w:szCs w:val="24"/>
    </w:rPr>
  </w:style>
  <w:style w:type="paragraph" w:styleId="BalloonText">
    <w:name w:val="Balloon Text"/>
    <w:basedOn w:val="Normal"/>
    <w:link w:val="BalloonTextChar"/>
    <w:uiPriority w:val="99"/>
    <w:semiHidden/>
    <w:unhideWhenUsed/>
    <w:rsid w:val="008C2A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A83"/>
    <w:rPr>
      <w:rFonts w:ascii="Tahoma" w:hAnsi="Tahoma" w:cs="Tahoma"/>
      <w:sz w:val="16"/>
      <w:szCs w:val="16"/>
    </w:rPr>
  </w:style>
  <w:style w:type="paragraph" w:styleId="DocumentMap">
    <w:name w:val="Document Map"/>
    <w:basedOn w:val="Normal"/>
    <w:link w:val="DocumentMapChar"/>
    <w:uiPriority w:val="99"/>
    <w:semiHidden/>
    <w:unhideWhenUsed/>
    <w:rsid w:val="00221C3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1C30"/>
    <w:rPr>
      <w:rFonts w:ascii="Tahoma" w:hAnsi="Tahoma" w:cs="Tahoma"/>
      <w:sz w:val="16"/>
      <w:szCs w:val="16"/>
    </w:rPr>
  </w:style>
  <w:style w:type="paragraph" w:customStyle="1" w:styleId="EndNoteBibliographyTitle">
    <w:name w:val="EndNote Bibliography Title"/>
    <w:basedOn w:val="Normal"/>
    <w:link w:val="EndNoteBibliographyTitleCar"/>
    <w:rsid w:val="00E62177"/>
    <w:pPr>
      <w:jc w:val="center"/>
    </w:pPr>
    <w:rPr>
      <w:noProof/>
    </w:rPr>
  </w:style>
  <w:style w:type="character" w:customStyle="1" w:styleId="EndNoteBibliographyTitleCar">
    <w:name w:val="EndNote Bibliography Title Car"/>
    <w:basedOn w:val="DefaultParagraphFont"/>
    <w:link w:val="EndNoteBibliographyTitle"/>
    <w:rsid w:val="00E62177"/>
    <w:rPr>
      <w:rFonts w:ascii="Arial" w:hAnsi="Arial" w:cs="Arial"/>
      <w:noProof/>
      <w:sz w:val="20"/>
      <w:szCs w:val="20"/>
      <w:lang w:val="en-GB"/>
    </w:rPr>
  </w:style>
  <w:style w:type="paragraph" w:customStyle="1" w:styleId="EndNoteBibliography">
    <w:name w:val="EndNote Bibliography"/>
    <w:basedOn w:val="Normal"/>
    <w:link w:val="EndNoteBibliographyCar"/>
    <w:rsid w:val="00E62177"/>
    <w:pPr>
      <w:spacing w:line="240" w:lineRule="auto"/>
    </w:pPr>
    <w:rPr>
      <w:noProof/>
    </w:rPr>
  </w:style>
  <w:style w:type="character" w:customStyle="1" w:styleId="EndNoteBibliographyCar">
    <w:name w:val="EndNote Bibliography Car"/>
    <w:basedOn w:val="DefaultParagraphFont"/>
    <w:link w:val="EndNoteBibliography"/>
    <w:rsid w:val="00E62177"/>
    <w:rPr>
      <w:rFonts w:ascii="Arial" w:hAnsi="Arial" w:cs="Arial"/>
      <w:noProof/>
      <w:sz w:val="20"/>
      <w:szCs w:val="20"/>
      <w:lang w:val="en-GB"/>
    </w:rPr>
  </w:style>
  <w:style w:type="character" w:styleId="CommentReference">
    <w:name w:val="annotation reference"/>
    <w:basedOn w:val="DefaultParagraphFont"/>
    <w:uiPriority w:val="99"/>
    <w:semiHidden/>
    <w:unhideWhenUsed/>
    <w:rsid w:val="009F568C"/>
    <w:rPr>
      <w:sz w:val="16"/>
      <w:szCs w:val="16"/>
    </w:rPr>
  </w:style>
  <w:style w:type="paragraph" w:styleId="CommentText">
    <w:name w:val="annotation text"/>
    <w:basedOn w:val="Normal"/>
    <w:link w:val="CommentTextChar"/>
    <w:uiPriority w:val="99"/>
    <w:unhideWhenUsed/>
    <w:rsid w:val="009F568C"/>
    <w:pPr>
      <w:spacing w:line="240" w:lineRule="auto"/>
    </w:pPr>
  </w:style>
  <w:style w:type="character" w:customStyle="1" w:styleId="CommentTextChar">
    <w:name w:val="Comment Text Char"/>
    <w:basedOn w:val="DefaultParagraphFont"/>
    <w:link w:val="CommentText"/>
    <w:uiPriority w:val="99"/>
    <w:rsid w:val="009F568C"/>
    <w:rPr>
      <w:rFonts w:ascii="Times-Roman" w:hAnsi="Times-Roman" w:cs="Times-Roman"/>
      <w:sz w:val="20"/>
      <w:szCs w:val="20"/>
    </w:rPr>
  </w:style>
  <w:style w:type="paragraph" w:styleId="CommentSubject">
    <w:name w:val="annotation subject"/>
    <w:basedOn w:val="CommentText"/>
    <w:next w:val="CommentText"/>
    <w:link w:val="CommentSubjectChar"/>
    <w:uiPriority w:val="99"/>
    <w:semiHidden/>
    <w:unhideWhenUsed/>
    <w:rsid w:val="009F568C"/>
    <w:rPr>
      <w:b/>
      <w:bCs/>
    </w:rPr>
  </w:style>
  <w:style w:type="character" w:customStyle="1" w:styleId="CommentSubjectChar">
    <w:name w:val="Comment Subject Char"/>
    <w:basedOn w:val="CommentTextChar"/>
    <w:link w:val="CommentSubject"/>
    <w:uiPriority w:val="99"/>
    <w:semiHidden/>
    <w:rsid w:val="009F568C"/>
    <w:rPr>
      <w:rFonts w:ascii="Times-Roman" w:hAnsi="Times-Roman" w:cs="Times-Roman"/>
      <w:b/>
      <w:bCs/>
      <w:sz w:val="20"/>
      <w:szCs w:val="20"/>
    </w:rPr>
  </w:style>
  <w:style w:type="paragraph" w:styleId="Header">
    <w:name w:val="header"/>
    <w:basedOn w:val="Normal"/>
    <w:link w:val="HeaderChar"/>
    <w:uiPriority w:val="99"/>
    <w:unhideWhenUsed/>
    <w:rsid w:val="006957B2"/>
    <w:pPr>
      <w:tabs>
        <w:tab w:val="center" w:pos="4680"/>
        <w:tab w:val="right" w:pos="9360"/>
      </w:tabs>
      <w:spacing w:line="240" w:lineRule="auto"/>
    </w:pPr>
  </w:style>
  <w:style w:type="character" w:customStyle="1" w:styleId="HeaderChar">
    <w:name w:val="Header Char"/>
    <w:basedOn w:val="DefaultParagraphFont"/>
    <w:link w:val="Header"/>
    <w:uiPriority w:val="99"/>
    <w:rsid w:val="006957B2"/>
    <w:rPr>
      <w:rFonts w:ascii="Times-Roman" w:hAnsi="Times-Roman" w:cs="Times-Roman"/>
      <w:sz w:val="20"/>
      <w:szCs w:val="20"/>
    </w:rPr>
  </w:style>
  <w:style w:type="paragraph" w:styleId="Footer">
    <w:name w:val="footer"/>
    <w:basedOn w:val="Normal"/>
    <w:link w:val="FooterChar"/>
    <w:uiPriority w:val="99"/>
    <w:unhideWhenUsed/>
    <w:rsid w:val="006957B2"/>
    <w:pPr>
      <w:tabs>
        <w:tab w:val="center" w:pos="4680"/>
        <w:tab w:val="right" w:pos="9360"/>
      </w:tabs>
      <w:spacing w:line="240" w:lineRule="auto"/>
    </w:pPr>
  </w:style>
  <w:style w:type="character" w:customStyle="1" w:styleId="FooterChar">
    <w:name w:val="Footer Char"/>
    <w:basedOn w:val="DefaultParagraphFont"/>
    <w:link w:val="Footer"/>
    <w:uiPriority w:val="99"/>
    <w:rsid w:val="006957B2"/>
    <w:rPr>
      <w:rFonts w:ascii="Times-Roman" w:hAnsi="Times-Roman" w:cs="Times-Roman"/>
      <w:sz w:val="20"/>
      <w:szCs w:val="20"/>
    </w:rPr>
  </w:style>
  <w:style w:type="paragraph" w:styleId="NormalWeb">
    <w:name w:val="Normal (Web)"/>
    <w:basedOn w:val="Normal"/>
    <w:uiPriority w:val="99"/>
    <w:unhideWhenUsed/>
    <w:rsid w:val="00EE43A7"/>
    <w:pPr>
      <w:spacing w:before="100" w:beforeAutospacing="1" w:after="100" w:afterAutospacing="1" w:line="240" w:lineRule="auto"/>
      <w:ind w:firstLine="0"/>
    </w:pPr>
    <w:rPr>
      <w:rFonts w:ascii="Times New Roman" w:eastAsiaTheme="minorEastAsia" w:hAnsi="Times New Roman" w:cs="Times New Roman"/>
      <w:sz w:val="24"/>
      <w:szCs w:val="24"/>
      <w:lang w:eastAsia="en-GB"/>
    </w:rPr>
  </w:style>
  <w:style w:type="character" w:customStyle="1" w:styleId="organization-unit">
    <w:name w:val="organization-unit"/>
    <w:basedOn w:val="DefaultParagraphFont"/>
    <w:rsid w:val="00EE43A7"/>
  </w:style>
  <w:style w:type="character" w:customStyle="1" w:styleId="organization-name">
    <w:name w:val="organization-name"/>
    <w:basedOn w:val="DefaultParagraphFont"/>
    <w:rsid w:val="00EE43A7"/>
  </w:style>
  <w:style w:type="character" w:customStyle="1" w:styleId="adr">
    <w:name w:val="adr"/>
    <w:basedOn w:val="DefaultParagraphFont"/>
    <w:rsid w:val="00EE43A7"/>
  </w:style>
  <w:style w:type="character" w:customStyle="1" w:styleId="locality">
    <w:name w:val="locality"/>
    <w:basedOn w:val="DefaultParagraphFont"/>
    <w:rsid w:val="00EE43A7"/>
  </w:style>
  <w:style w:type="character" w:customStyle="1" w:styleId="region">
    <w:name w:val="region"/>
    <w:basedOn w:val="DefaultParagraphFont"/>
    <w:rsid w:val="00EE43A7"/>
  </w:style>
  <w:style w:type="character" w:customStyle="1" w:styleId="postal-code">
    <w:name w:val="postal-code"/>
    <w:basedOn w:val="DefaultParagraphFont"/>
    <w:rsid w:val="00EE43A7"/>
  </w:style>
  <w:style w:type="character" w:customStyle="1" w:styleId="country-name">
    <w:name w:val="country-name"/>
    <w:basedOn w:val="DefaultParagraphFont"/>
    <w:rsid w:val="00EE43A7"/>
  </w:style>
  <w:style w:type="character" w:styleId="Hyperlink">
    <w:name w:val="Hyperlink"/>
    <w:basedOn w:val="DefaultParagraphFont"/>
    <w:uiPriority w:val="99"/>
    <w:unhideWhenUsed/>
    <w:rsid w:val="00BD2320"/>
    <w:rPr>
      <w:color w:val="0000FF" w:themeColor="hyperlink"/>
      <w:u w:val="single"/>
    </w:rPr>
  </w:style>
  <w:style w:type="paragraph" w:styleId="Revision">
    <w:name w:val="Revision"/>
    <w:hidden/>
    <w:uiPriority w:val="99"/>
    <w:semiHidden/>
    <w:rsid w:val="00582025"/>
    <w:rPr>
      <w:rFonts w:ascii="Arial" w:hAnsi="Arial" w:cs="Arial"/>
      <w:sz w:val="20"/>
      <w:szCs w:val="20"/>
      <w:lang w:val="en-GB"/>
    </w:rPr>
  </w:style>
  <w:style w:type="character" w:customStyle="1" w:styleId="apple-converted-space">
    <w:name w:val="apple-converted-space"/>
    <w:basedOn w:val="DefaultParagraphFont"/>
    <w:rsid w:val="00AD6AF7"/>
  </w:style>
  <w:style w:type="character" w:styleId="IntenseEmphasis">
    <w:name w:val="Intense Emphasis"/>
    <w:basedOn w:val="DefaultParagraphFont"/>
    <w:uiPriority w:val="21"/>
    <w:qFormat/>
    <w:rsid w:val="00CF17EF"/>
    <w:rPr>
      <w:b/>
      <w:bCs/>
      <w:i/>
      <w:iCs/>
      <w:color w:val="4F81BD" w:themeColor="accent1"/>
    </w:rPr>
  </w:style>
  <w:style w:type="character" w:styleId="SubtleEmphasis">
    <w:name w:val="Subtle Emphasis"/>
    <w:basedOn w:val="DefaultParagraphFont"/>
    <w:uiPriority w:val="19"/>
    <w:qFormat/>
    <w:rsid w:val="00CF17EF"/>
    <w:rPr>
      <w:i/>
      <w:iCs/>
      <w:color w:val="808080" w:themeColor="text1" w:themeTint="7F"/>
    </w:rPr>
  </w:style>
  <w:style w:type="character" w:styleId="Emphasis">
    <w:name w:val="Emphasis"/>
    <w:basedOn w:val="DefaultParagraphFont"/>
    <w:uiPriority w:val="20"/>
    <w:qFormat/>
    <w:rsid w:val="00CF17EF"/>
    <w:rPr>
      <w:i/>
      <w:iCs/>
    </w:rPr>
  </w:style>
  <w:style w:type="paragraph" w:styleId="Quote">
    <w:name w:val="Quote"/>
    <w:basedOn w:val="Normal"/>
    <w:next w:val="Normal"/>
    <w:link w:val="QuoteChar"/>
    <w:uiPriority w:val="29"/>
    <w:qFormat/>
    <w:rsid w:val="00CF17EF"/>
    <w:rPr>
      <w:i/>
      <w:iCs/>
      <w:color w:val="000000" w:themeColor="text1"/>
    </w:rPr>
  </w:style>
  <w:style w:type="character" w:customStyle="1" w:styleId="QuoteChar">
    <w:name w:val="Quote Char"/>
    <w:basedOn w:val="DefaultParagraphFont"/>
    <w:link w:val="Quote"/>
    <w:uiPriority w:val="29"/>
    <w:rsid w:val="00CF17EF"/>
    <w:rPr>
      <w:rFonts w:ascii="Arial" w:hAnsi="Arial" w:cs="Arial"/>
      <w:i/>
      <w:iCs/>
      <w:color w:val="000000" w:themeColor="text1"/>
      <w:sz w:val="20"/>
      <w:szCs w:val="20"/>
      <w:lang w:val="en-GB"/>
    </w:rPr>
  </w:style>
  <w:style w:type="paragraph" w:styleId="IntenseQuote">
    <w:name w:val="Intense Quote"/>
    <w:basedOn w:val="Normal"/>
    <w:next w:val="Normal"/>
    <w:link w:val="IntenseQuoteChar"/>
    <w:uiPriority w:val="30"/>
    <w:qFormat/>
    <w:rsid w:val="00CF17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17EF"/>
    <w:rPr>
      <w:rFonts w:ascii="Arial" w:hAnsi="Arial" w:cs="Arial"/>
      <w:b/>
      <w:bCs/>
      <w:i/>
      <w:iCs/>
      <w:color w:val="4F81BD" w:themeColor="accent1"/>
      <w:sz w:val="20"/>
      <w:szCs w:val="20"/>
      <w:lang w:val="en-GB"/>
    </w:rPr>
  </w:style>
  <w:style w:type="character" w:styleId="SubtleReference">
    <w:name w:val="Subtle Reference"/>
    <w:basedOn w:val="DefaultParagraphFont"/>
    <w:uiPriority w:val="31"/>
    <w:qFormat/>
    <w:rsid w:val="00CF17EF"/>
    <w:rPr>
      <w:smallCaps/>
      <w:color w:val="C0504D" w:themeColor="accent2"/>
      <w:u w:val="single"/>
    </w:rPr>
  </w:style>
  <w:style w:type="character" w:styleId="IntenseReference">
    <w:name w:val="Intense Reference"/>
    <w:basedOn w:val="DefaultParagraphFont"/>
    <w:uiPriority w:val="32"/>
    <w:qFormat/>
    <w:rsid w:val="00CF17EF"/>
    <w:rPr>
      <w:b/>
      <w:bCs/>
      <w:smallCaps/>
      <w:color w:val="C0504D" w:themeColor="accent2"/>
      <w:spacing w:val="5"/>
      <w:u w:val="single"/>
    </w:rPr>
  </w:style>
  <w:style w:type="character" w:styleId="BookTitle">
    <w:name w:val="Book Title"/>
    <w:basedOn w:val="DefaultParagraphFont"/>
    <w:uiPriority w:val="33"/>
    <w:qFormat/>
    <w:rsid w:val="00CF17EF"/>
    <w:rPr>
      <w:b/>
      <w:bCs/>
      <w:smallCaps/>
      <w:spacing w:val="5"/>
    </w:rPr>
  </w:style>
  <w:style w:type="character" w:customStyle="1" w:styleId="Heading6Char">
    <w:name w:val="Heading 6 Char"/>
    <w:basedOn w:val="DefaultParagraphFont"/>
    <w:link w:val="Heading6"/>
    <w:uiPriority w:val="9"/>
    <w:rsid w:val="00CF17EF"/>
    <w:rPr>
      <w:rFonts w:ascii="Times New Roman" w:eastAsiaTheme="majorEastAsia" w:hAnsi="Times New Roman" w:cs="Times New Roman"/>
      <w:i/>
      <w:iCs/>
      <w:small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8079">
      <w:bodyDiv w:val="1"/>
      <w:marLeft w:val="0"/>
      <w:marRight w:val="0"/>
      <w:marTop w:val="0"/>
      <w:marBottom w:val="0"/>
      <w:divBdr>
        <w:top w:val="none" w:sz="0" w:space="0" w:color="auto"/>
        <w:left w:val="none" w:sz="0" w:space="0" w:color="auto"/>
        <w:bottom w:val="none" w:sz="0" w:space="0" w:color="auto"/>
        <w:right w:val="none" w:sz="0" w:space="0" w:color="auto"/>
      </w:divBdr>
    </w:div>
    <w:div w:id="385490629">
      <w:bodyDiv w:val="1"/>
      <w:marLeft w:val="0"/>
      <w:marRight w:val="0"/>
      <w:marTop w:val="0"/>
      <w:marBottom w:val="0"/>
      <w:divBdr>
        <w:top w:val="none" w:sz="0" w:space="0" w:color="auto"/>
        <w:left w:val="none" w:sz="0" w:space="0" w:color="auto"/>
        <w:bottom w:val="none" w:sz="0" w:space="0" w:color="auto"/>
        <w:right w:val="none" w:sz="0" w:space="0" w:color="auto"/>
      </w:divBdr>
    </w:div>
    <w:div w:id="544483653">
      <w:bodyDiv w:val="1"/>
      <w:marLeft w:val="0"/>
      <w:marRight w:val="0"/>
      <w:marTop w:val="0"/>
      <w:marBottom w:val="0"/>
      <w:divBdr>
        <w:top w:val="none" w:sz="0" w:space="0" w:color="auto"/>
        <w:left w:val="none" w:sz="0" w:space="0" w:color="auto"/>
        <w:bottom w:val="none" w:sz="0" w:space="0" w:color="auto"/>
        <w:right w:val="none" w:sz="0" w:space="0" w:color="auto"/>
      </w:divBdr>
      <w:divsChild>
        <w:div w:id="2140998486">
          <w:marLeft w:val="864"/>
          <w:marRight w:val="0"/>
          <w:marTop w:val="144"/>
          <w:marBottom w:val="0"/>
          <w:divBdr>
            <w:top w:val="none" w:sz="0" w:space="0" w:color="auto"/>
            <w:left w:val="none" w:sz="0" w:space="0" w:color="auto"/>
            <w:bottom w:val="none" w:sz="0" w:space="0" w:color="auto"/>
            <w:right w:val="none" w:sz="0" w:space="0" w:color="auto"/>
          </w:divBdr>
        </w:div>
        <w:div w:id="1251314">
          <w:marLeft w:val="864"/>
          <w:marRight w:val="0"/>
          <w:marTop w:val="144"/>
          <w:marBottom w:val="0"/>
          <w:divBdr>
            <w:top w:val="none" w:sz="0" w:space="0" w:color="auto"/>
            <w:left w:val="none" w:sz="0" w:space="0" w:color="auto"/>
            <w:bottom w:val="none" w:sz="0" w:space="0" w:color="auto"/>
            <w:right w:val="none" w:sz="0" w:space="0" w:color="auto"/>
          </w:divBdr>
        </w:div>
      </w:divsChild>
    </w:div>
    <w:div w:id="649211731">
      <w:bodyDiv w:val="1"/>
      <w:marLeft w:val="0"/>
      <w:marRight w:val="0"/>
      <w:marTop w:val="0"/>
      <w:marBottom w:val="0"/>
      <w:divBdr>
        <w:top w:val="none" w:sz="0" w:space="0" w:color="auto"/>
        <w:left w:val="none" w:sz="0" w:space="0" w:color="auto"/>
        <w:bottom w:val="none" w:sz="0" w:space="0" w:color="auto"/>
        <w:right w:val="none" w:sz="0" w:space="0" w:color="auto"/>
      </w:divBdr>
    </w:div>
    <w:div w:id="710301937">
      <w:bodyDiv w:val="1"/>
      <w:marLeft w:val="0"/>
      <w:marRight w:val="0"/>
      <w:marTop w:val="0"/>
      <w:marBottom w:val="0"/>
      <w:divBdr>
        <w:top w:val="none" w:sz="0" w:space="0" w:color="auto"/>
        <w:left w:val="none" w:sz="0" w:space="0" w:color="auto"/>
        <w:bottom w:val="none" w:sz="0" w:space="0" w:color="auto"/>
        <w:right w:val="none" w:sz="0" w:space="0" w:color="auto"/>
      </w:divBdr>
    </w:div>
    <w:div w:id="927007547">
      <w:bodyDiv w:val="1"/>
      <w:marLeft w:val="0"/>
      <w:marRight w:val="0"/>
      <w:marTop w:val="0"/>
      <w:marBottom w:val="0"/>
      <w:divBdr>
        <w:top w:val="none" w:sz="0" w:space="0" w:color="auto"/>
        <w:left w:val="none" w:sz="0" w:space="0" w:color="auto"/>
        <w:bottom w:val="none" w:sz="0" w:space="0" w:color="auto"/>
        <w:right w:val="none" w:sz="0" w:space="0" w:color="auto"/>
      </w:divBdr>
    </w:div>
    <w:div w:id="1213007192">
      <w:bodyDiv w:val="1"/>
      <w:marLeft w:val="0"/>
      <w:marRight w:val="0"/>
      <w:marTop w:val="0"/>
      <w:marBottom w:val="0"/>
      <w:divBdr>
        <w:top w:val="none" w:sz="0" w:space="0" w:color="auto"/>
        <w:left w:val="none" w:sz="0" w:space="0" w:color="auto"/>
        <w:bottom w:val="none" w:sz="0" w:space="0" w:color="auto"/>
        <w:right w:val="none" w:sz="0" w:space="0" w:color="auto"/>
      </w:divBdr>
    </w:div>
    <w:div w:id="1263221019">
      <w:bodyDiv w:val="1"/>
      <w:marLeft w:val="0"/>
      <w:marRight w:val="0"/>
      <w:marTop w:val="0"/>
      <w:marBottom w:val="0"/>
      <w:divBdr>
        <w:top w:val="none" w:sz="0" w:space="0" w:color="auto"/>
        <w:left w:val="none" w:sz="0" w:space="0" w:color="auto"/>
        <w:bottom w:val="none" w:sz="0" w:space="0" w:color="auto"/>
        <w:right w:val="none" w:sz="0" w:space="0" w:color="auto"/>
      </w:divBdr>
    </w:div>
    <w:div w:id="1341618728">
      <w:bodyDiv w:val="1"/>
      <w:marLeft w:val="0"/>
      <w:marRight w:val="0"/>
      <w:marTop w:val="0"/>
      <w:marBottom w:val="0"/>
      <w:divBdr>
        <w:top w:val="none" w:sz="0" w:space="0" w:color="auto"/>
        <w:left w:val="none" w:sz="0" w:space="0" w:color="auto"/>
        <w:bottom w:val="none" w:sz="0" w:space="0" w:color="auto"/>
        <w:right w:val="none" w:sz="0" w:space="0" w:color="auto"/>
      </w:divBdr>
    </w:div>
    <w:div w:id="1373993970">
      <w:bodyDiv w:val="1"/>
      <w:marLeft w:val="0"/>
      <w:marRight w:val="0"/>
      <w:marTop w:val="0"/>
      <w:marBottom w:val="0"/>
      <w:divBdr>
        <w:top w:val="none" w:sz="0" w:space="0" w:color="auto"/>
        <w:left w:val="none" w:sz="0" w:space="0" w:color="auto"/>
        <w:bottom w:val="none" w:sz="0" w:space="0" w:color="auto"/>
        <w:right w:val="none" w:sz="0" w:space="0" w:color="auto"/>
      </w:divBdr>
    </w:div>
    <w:div w:id="1462916628">
      <w:bodyDiv w:val="1"/>
      <w:marLeft w:val="0"/>
      <w:marRight w:val="0"/>
      <w:marTop w:val="0"/>
      <w:marBottom w:val="0"/>
      <w:divBdr>
        <w:top w:val="none" w:sz="0" w:space="0" w:color="auto"/>
        <w:left w:val="none" w:sz="0" w:space="0" w:color="auto"/>
        <w:bottom w:val="none" w:sz="0" w:space="0" w:color="auto"/>
        <w:right w:val="none" w:sz="0" w:space="0" w:color="auto"/>
      </w:divBdr>
    </w:div>
    <w:div w:id="1485047441">
      <w:bodyDiv w:val="1"/>
      <w:marLeft w:val="0"/>
      <w:marRight w:val="0"/>
      <w:marTop w:val="0"/>
      <w:marBottom w:val="0"/>
      <w:divBdr>
        <w:top w:val="none" w:sz="0" w:space="0" w:color="auto"/>
        <w:left w:val="none" w:sz="0" w:space="0" w:color="auto"/>
        <w:bottom w:val="none" w:sz="0" w:space="0" w:color="auto"/>
        <w:right w:val="none" w:sz="0" w:space="0" w:color="auto"/>
      </w:divBdr>
    </w:div>
    <w:div w:id="1541938244">
      <w:bodyDiv w:val="1"/>
      <w:marLeft w:val="0"/>
      <w:marRight w:val="0"/>
      <w:marTop w:val="0"/>
      <w:marBottom w:val="0"/>
      <w:divBdr>
        <w:top w:val="none" w:sz="0" w:space="0" w:color="auto"/>
        <w:left w:val="none" w:sz="0" w:space="0" w:color="auto"/>
        <w:bottom w:val="none" w:sz="0" w:space="0" w:color="auto"/>
        <w:right w:val="none" w:sz="0" w:space="0" w:color="auto"/>
      </w:divBdr>
    </w:div>
    <w:div w:id="1829050004">
      <w:bodyDiv w:val="1"/>
      <w:marLeft w:val="0"/>
      <w:marRight w:val="0"/>
      <w:marTop w:val="0"/>
      <w:marBottom w:val="0"/>
      <w:divBdr>
        <w:top w:val="none" w:sz="0" w:space="0" w:color="auto"/>
        <w:left w:val="none" w:sz="0" w:space="0" w:color="auto"/>
        <w:bottom w:val="none" w:sz="0" w:space="0" w:color="auto"/>
        <w:right w:val="none" w:sz="0" w:space="0" w:color="auto"/>
      </w:divBdr>
    </w:div>
    <w:div w:id="1866407524">
      <w:bodyDiv w:val="1"/>
      <w:marLeft w:val="0"/>
      <w:marRight w:val="0"/>
      <w:marTop w:val="0"/>
      <w:marBottom w:val="0"/>
      <w:divBdr>
        <w:top w:val="none" w:sz="0" w:space="0" w:color="auto"/>
        <w:left w:val="none" w:sz="0" w:space="0" w:color="auto"/>
        <w:bottom w:val="none" w:sz="0" w:space="0" w:color="auto"/>
        <w:right w:val="none" w:sz="0" w:space="0" w:color="auto"/>
      </w:divBdr>
    </w:div>
    <w:div w:id="1904173304">
      <w:bodyDiv w:val="1"/>
      <w:marLeft w:val="0"/>
      <w:marRight w:val="0"/>
      <w:marTop w:val="0"/>
      <w:marBottom w:val="0"/>
      <w:divBdr>
        <w:top w:val="none" w:sz="0" w:space="0" w:color="auto"/>
        <w:left w:val="none" w:sz="0" w:space="0" w:color="auto"/>
        <w:bottom w:val="none" w:sz="0" w:space="0" w:color="auto"/>
        <w:right w:val="none" w:sz="0" w:space="0" w:color="auto"/>
      </w:divBdr>
    </w:div>
    <w:div w:id="2020883469">
      <w:bodyDiv w:val="1"/>
      <w:marLeft w:val="0"/>
      <w:marRight w:val="0"/>
      <w:marTop w:val="0"/>
      <w:marBottom w:val="0"/>
      <w:divBdr>
        <w:top w:val="none" w:sz="0" w:space="0" w:color="auto"/>
        <w:left w:val="none" w:sz="0" w:space="0" w:color="auto"/>
        <w:bottom w:val="none" w:sz="0" w:space="0" w:color="auto"/>
        <w:right w:val="none" w:sz="0" w:space="0" w:color="auto"/>
      </w:divBdr>
    </w:div>
    <w:div w:id="21222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lliantober@yahoo.co.uk" TargetMode="External"/><Relationship Id="rId18"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k.heather@northumbria.ac.u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ques.gaume@chuv.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Blasius,_J%C3%B6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B257-B276-475B-AB28-12F4D583A154}">
  <ds:schemaRefs>
    <ds:schemaRef ds:uri="http://schemas.openxmlformats.org/officeDocument/2006/bibliography"/>
  </ds:schemaRefs>
</ds:datastoreItem>
</file>

<file path=customXml/itemProps2.xml><?xml version="1.0" encoding="utf-8"?>
<ds:datastoreItem xmlns:ds="http://schemas.openxmlformats.org/officeDocument/2006/customXml" ds:itemID="{64150BBF-3B3F-46B9-81A3-A358897B9C26}">
  <ds:schemaRefs>
    <ds:schemaRef ds:uri="http://schemas.openxmlformats.org/officeDocument/2006/bibliography"/>
  </ds:schemaRefs>
</ds:datastoreItem>
</file>

<file path=customXml/itemProps3.xml><?xml version="1.0" encoding="utf-8"?>
<ds:datastoreItem xmlns:ds="http://schemas.openxmlformats.org/officeDocument/2006/customXml" ds:itemID="{8845645D-3E3A-4DE7-9CEF-B094DDD1855C}">
  <ds:schemaRefs>
    <ds:schemaRef ds:uri="http://schemas.openxmlformats.org/officeDocument/2006/bibliography"/>
  </ds:schemaRefs>
</ds:datastoreItem>
</file>

<file path=customXml/itemProps4.xml><?xml version="1.0" encoding="utf-8"?>
<ds:datastoreItem xmlns:ds="http://schemas.openxmlformats.org/officeDocument/2006/customXml" ds:itemID="{35772BFA-0C0F-49A5-8A21-3F7E213E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7119</Words>
  <Characters>40583</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Brown University</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&amp; Estelle</dc:creator>
  <cp:lastModifiedBy>Cipriano, K.</cp:lastModifiedBy>
  <cp:revision>3</cp:revision>
  <dcterms:created xsi:type="dcterms:W3CDTF">2018-01-10T17:31:00Z</dcterms:created>
  <dcterms:modified xsi:type="dcterms:W3CDTF">2018-01-10T19:09:00Z</dcterms:modified>
</cp:coreProperties>
</file>