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24" w:rsidRPr="00A84C24" w:rsidRDefault="006F5005" w:rsidP="00A84C24">
      <w:pPr>
        <w:rPr>
          <w:color w:val="FF0000"/>
        </w:rPr>
      </w:pPr>
      <w:r>
        <w:rPr>
          <w:color w:val="FF0000"/>
        </w:rPr>
        <w:t>AUTHOR ACCEPTED VERSION</w:t>
      </w:r>
      <w:bookmarkStart w:id="0" w:name="_GoBack"/>
      <w:bookmarkEnd w:id="0"/>
    </w:p>
    <w:p w:rsidR="00A84C24" w:rsidRDefault="00A84C24" w:rsidP="00E75137">
      <w:pPr>
        <w:spacing w:line="240" w:lineRule="auto"/>
        <w:rPr>
          <w:rFonts w:asciiTheme="majorHAnsi" w:eastAsiaTheme="majorEastAsia" w:hAnsiTheme="majorHAnsi" w:cstheme="majorBidi"/>
          <w:b/>
          <w:bCs/>
          <w:color w:val="2E74B5" w:themeColor="accent1" w:themeShade="BF"/>
          <w:sz w:val="28"/>
          <w:szCs w:val="28"/>
        </w:rPr>
      </w:pPr>
    </w:p>
    <w:p w:rsidR="00E75137" w:rsidRDefault="00E75137" w:rsidP="00E75137">
      <w:pPr>
        <w:spacing w:line="240" w:lineRule="auto"/>
        <w:rPr>
          <w:rFonts w:asciiTheme="majorHAnsi" w:eastAsiaTheme="majorEastAsia" w:hAnsiTheme="majorHAnsi" w:cstheme="majorBidi"/>
          <w:b/>
          <w:bCs/>
          <w:color w:val="2E74B5" w:themeColor="accent1" w:themeShade="BF"/>
          <w:sz w:val="28"/>
          <w:szCs w:val="28"/>
        </w:rPr>
      </w:pPr>
      <w:r w:rsidRPr="007C35AE">
        <w:rPr>
          <w:rFonts w:asciiTheme="majorHAnsi" w:eastAsiaTheme="majorEastAsia" w:hAnsiTheme="majorHAnsi" w:cstheme="majorBidi"/>
          <w:b/>
          <w:bCs/>
          <w:color w:val="2E74B5" w:themeColor="accent1" w:themeShade="BF"/>
          <w:sz w:val="28"/>
          <w:szCs w:val="28"/>
        </w:rPr>
        <w:t xml:space="preserve">Resolving the ‘cost-effective but unaffordable’ ‘paradox’: estimating the health opportunity costs of non-marginal </w:t>
      </w:r>
      <w:r w:rsidR="00EA0AAC">
        <w:rPr>
          <w:rFonts w:asciiTheme="majorHAnsi" w:eastAsiaTheme="majorEastAsia" w:hAnsiTheme="majorHAnsi" w:cstheme="majorBidi"/>
          <w:b/>
          <w:bCs/>
          <w:color w:val="2E74B5" w:themeColor="accent1" w:themeShade="BF"/>
          <w:sz w:val="28"/>
          <w:szCs w:val="28"/>
        </w:rPr>
        <w:t>budget impacts</w:t>
      </w:r>
    </w:p>
    <w:p w:rsidR="00E75137" w:rsidRDefault="00E75137" w:rsidP="00E75137">
      <w:pPr>
        <w:spacing w:line="240" w:lineRule="auto"/>
        <w:rPr>
          <w:vertAlign w:val="superscript"/>
        </w:rPr>
      </w:pPr>
      <w:r>
        <w:t>James Lomas</w:t>
      </w:r>
      <w:r w:rsidRPr="00D67EFC">
        <w:rPr>
          <w:vertAlign w:val="superscript"/>
        </w:rPr>
        <w:t>1</w:t>
      </w:r>
      <w:r>
        <w:t>, Karl Claxton</w:t>
      </w:r>
      <w:r w:rsidRPr="00D67EFC">
        <w:rPr>
          <w:vertAlign w:val="superscript"/>
        </w:rPr>
        <w:t>1</w:t>
      </w:r>
      <w:proofErr w:type="gramStart"/>
      <w:r w:rsidRPr="00D67EFC">
        <w:rPr>
          <w:vertAlign w:val="superscript"/>
        </w:rPr>
        <w:t>,2</w:t>
      </w:r>
      <w:proofErr w:type="gramEnd"/>
      <w:r>
        <w:t>, Stephen Martin</w:t>
      </w:r>
      <w:r w:rsidRPr="00D67EFC">
        <w:rPr>
          <w:vertAlign w:val="superscript"/>
        </w:rPr>
        <w:t>2</w:t>
      </w:r>
      <w:r>
        <w:t xml:space="preserve"> and Marta Soares</w:t>
      </w:r>
      <w:r w:rsidRPr="00D67EFC">
        <w:rPr>
          <w:vertAlign w:val="superscript"/>
        </w:rPr>
        <w:t>1</w:t>
      </w:r>
      <w:r>
        <w:t xml:space="preserve"> </w:t>
      </w:r>
    </w:p>
    <w:p w:rsidR="00E75137" w:rsidRDefault="00E75137" w:rsidP="00E75137">
      <w:pPr>
        <w:pStyle w:val="ListParagraph"/>
        <w:numPr>
          <w:ilvl w:val="0"/>
          <w:numId w:val="1"/>
        </w:numPr>
        <w:spacing w:line="240" w:lineRule="auto"/>
      </w:pPr>
      <w:r>
        <w:t>Centre for Health Economics, University of York, UK</w:t>
      </w:r>
    </w:p>
    <w:p w:rsidR="00E75137" w:rsidRDefault="00E75137" w:rsidP="00E75137">
      <w:pPr>
        <w:pStyle w:val="ListParagraph"/>
        <w:numPr>
          <w:ilvl w:val="0"/>
          <w:numId w:val="1"/>
        </w:numPr>
        <w:spacing w:line="240" w:lineRule="auto"/>
      </w:pPr>
      <w:r>
        <w:t>Department of Economics and Related Studies, University of York, UK</w:t>
      </w:r>
    </w:p>
    <w:p w:rsidR="00E75137" w:rsidRDefault="00E75137" w:rsidP="00E75137">
      <w:pPr>
        <w:pStyle w:val="Heading2"/>
        <w:spacing w:line="240" w:lineRule="auto"/>
      </w:pPr>
      <w:bookmarkStart w:id="1" w:name="_Toc437279983"/>
      <w:r>
        <w:t>Abstract</w:t>
      </w:r>
      <w:bookmarkEnd w:id="1"/>
    </w:p>
    <w:p w:rsidR="00AA6247" w:rsidRDefault="00AA6247" w:rsidP="00E75137">
      <w:r>
        <w:t>Considering whether or not a proposed investment (an intervention, technology or programme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programme budget categories (PBCs) and do not reflect the likely effect of non-marginal budget impacts on health opportunity costs.</w:t>
      </w:r>
    </w:p>
    <w:p w:rsidR="00AA6247" w:rsidRDefault="00AA6247" w:rsidP="00E75137">
      <w:r>
        <w:t xml:space="preserve">The UK Department of Health regularly updates the needs-based target allocation of resources to local areas of the NHS, creating two subgroups of local areas (those under and over target allocation).  These data provide the opportunity to explore how the effects of changes in health care expenditure differ with available resources.  We use 2008/09 data to evaluate two econometric approaches to estimation and explore a range of criteria for accepting subgroup specific effects for differences in expenditure and outcome elasticities across the 23 PBCs. </w:t>
      </w:r>
    </w:p>
    <w:p w:rsidR="00597ED8" w:rsidRDefault="00AA6247" w:rsidP="00E75137">
      <w:r>
        <w:t xml:space="preserve">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w:t>
      </w:r>
    </w:p>
    <w:p w:rsidR="00E75137" w:rsidRDefault="00E75137" w:rsidP="00E75137">
      <w:pPr>
        <w:pStyle w:val="Heading2"/>
        <w:spacing w:line="240" w:lineRule="auto"/>
      </w:pPr>
      <w:bookmarkStart w:id="2" w:name="_Toc437279984"/>
      <w:r>
        <w:t>Acknowledgments</w:t>
      </w:r>
      <w:bookmarkEnd w:id="2"/>
    </w:p>
    <w:p w:rsidR="00E75137" w:rsidRDefault="00E75137" w:rsidP="00E75137">
      <w:r w:rsidRPr="00733A0D">
        <w:t>The authors would like to acknowledge funding received from the Department of Health on behalf of the Economic Evaluation Policy Research Unit (EEPRU). The views expressed in this report are those of the authors and not those of the Department of Health. Any errors are the responsibility of the authors.</w:t>
      </w:r>
    </w:p>
    <w:p w:rsidR="00A82676" w:rsidRDefault="00E75137" w:rsidP="00A84C24">
      <w:r>
        <w:t xml:space="preserve">We would also like to thank participants at the Applied </w:t>
      </w:r>
      <w:proofErr w:type="spellStart"/>
      <w:r>
        <w:t>Microeconometrics</w:t>
      </w:r>
      <w:proofErr w:type="spellEnd"/>
      <w:r>
        <w:t xml:space="preserve"> and Health, Econometrics and Data Group</w:t>
      </w:r>
      <w:r w:rsidR="00F25433">
        <w:t xml:space="preserve"> (University of York)</w:t>
      </w:r>
      <w:r>
        <w:t xml:space="preserve"> seminar</w:t>
      </w:r>
      <w:r w:rsidR="00F25433">
        <w:t>;</w:t>
      </w:r>
      <w:r>
        <w:t xml:space="preserve"> Ana Duarte, Alex Thompson and others at Health Economists’ Study Group Winter 2016 Conference at the University of Manchester for insightful comments when an earlier version of this work was presented</w:t>
      </w:r>
      <w:r w:rsidR="00F25433">
        <w:t>; Pieter van Baal and others at Erasmus University</w:t>
      </w:r>
      <w:r w:rsidR="002E71B8">
        <w:t xml:space="preserve"> </w:t>
      </w:r>
      <w:proofErr w:type="spellStart"/>
      <w:r w:rsidR="002E71B8">
        <w:t>instituut</w:t>
      </w:r>
      <w:proofErr w:type="spellEnd"/>
      <w:r w:rsidR="002E71B8">
        <w:t xml:space="preserve"> </w:t>
      </w:r>
      <w:proofErr w:type="spellStart"/>
      <w:r w:rsidR="002E71B8">
        <w:t>Beleid</w:t>
      </w:r>
      <w:proofErr w:type="spellEnd"/>
      <w:r w:rsidR="002E71B8">
        <w:t xml:space="preserve"> &amp; Management </w:t>
      </w:r>
      <w:proofErr w:type="spellStart"/>
      <w:r w:rsidR="002E71B8">
        <w:t>Gezondheidszorg</w:t>
      </w:r>
      <w:proofErr w:type="spellEnd"/>
      <w:r w:rsidR="002E71B8">
        <w:t xml:space="preserve"> seminar </w:t>
      </w:r>
      <w:r w:rsidR="00F25433">
        <w:t xml:space="preserve">, and Dan Howdon and others at </w:t>
      </w:r>
      <w:proofErr w:type="spellStart"/>
      <w:r w:rsidR="00F25433">
        <w:t>Healthwise</w:t>
      </w:r>
      <w:proofErr w:type="spellEnd"/>
      <w:r w:rsidR="00F25433">
        <w:t xml:space="preserve"> and Economics, Econometrics and Finance seminar at University of Groningen</w:t>
      </w:r>
      <w:r>
        <w:t>.</w:t>
      </w:r>
    </w:p>
    <w:p w:rsidR="00A82676" w:rsidRDefault="00A82676" w:rsidP="00A82676">
      <w:pPr>
        <w:pStyle w:val="Heading2"/>
        <w:spacing w:line="240" w:lineRule="auto"/>
      </w:pPr>
      <w:bookmarkStart w:id="3" w:name="_Toc437279986"/>
      <w:r>
        <w:lastRenderedPageBreak/>
        <w:t>1. Introduction</w:t>
      </w:r>
      <w:bookmarkEnd w:id="3"/>
    </w:p>
    <w:p w:rsidR="00A82676" w:rsidRDefault="00A82676" w:rsidP="00A82676">
      <w:pPr>
        <w:pStyle w:val="Heading3"/>
        <w:spacing w:line="240" w:lineRule="auto"/>
      </w:pPr>
      <w:bookmarkStart w:id="4" w:name="_Toc437279987"/>
      <w:r>
        <w:t>Policy context</w:t>
      </w:r>
      <w:bookmarkEnd w:id="4"/>
    </w:p>
    <w:p w:rsidR="00A82676" w:rsidRDefault="00A82676" w:rsidP="00A82676">
      <w:pPr>
        <w:spacing w:line="240" w:lineRule="auto"/>
      </w:pPr>
      <w:r>
        <w:t xml:space="preserve">In 2015, the National Institute for Health and Care Excellence (NICE) completed appraisals of a number of new drugs for treating hepatitis C </w:t>
      </w:r>
      <w:r w:rsidRPr="00F719DF">
        <w:fldChar w:fldCharType="begin" w:fldLock="1"/>
      </w:r>
      <w:r>
        <w:instrText>ADDIN CSL_CITATION { "citationItems" : [ { "id" : "ITEM-1", "itemData" : { "URL" : "https://www.nice.org.uk/guidance/ta364", "accessed" : { "date-parts" : [ [ "2015", "12", "6" ] ] }, "author" : [ { "dropping-particle" : "", "family" : "NICE", "given" : "", "non-dropping-particle" : "", "parse-names" : false, "suffix" : "" } ], "id" : "ITEM-1", "issued" : { "date-parts" : [ [ "2015" ] ] }, "language" : "eng", "publisher" : "NICE", "title" : "Daclatasvir for treating chronic hepatitis C", "type" : "webpage" }, "uris" : [ "http://www.mendeley.com/documents/?uuid=c2c59a6e-39c9-4fc9-b31b-e99ac0e0c1a8" ] }, { "id" : "ITEM-2", "itemData" : { "URL" : "https://www.nice.org.uk/guidance/ta363", "accessed" : { "date-parts" : [ [ "2015", "12", "6" ] ] }, "author" : [ { "dropping-particle" : "", "family" : "NICE", "given" : "", "non-dropping-particle" : "", "parse-names" : false, "suffix" : "" } ], "id" : "ITEM-2", "issued" : { "date-parts" : [ [ "2015" ] ] }, "language" : "eng", "publisher" : "NICE", "title" : "Ledipasvir\u2013sofosbuvir for treating chronic hepatitis C", "type" : "webpage" }, "uris" : [ "http://www.mendeley.com/documents/?uuid=3b71c793-d52c-4e6e-bcb5-eaecd3197c1b" ] }, { "id" : "ITEM-3", "itemData" : { "URL" : "https://www.nice.org.uk/guidance/ta365", "accessed" : { "date-parts" : [ [ "2015", "12", "6" ] ] }, "author" : [ { "dropping-particle" : "", "family" : "NICE", "given" : "", "non-dropping-particle" : "", "parse-names" : false, "suffix" : "" } ], "id" : "ITEM-3", "issued" : { "date-parts" : [ [ "2015" ] ] }, "language" : "eng", "publisher" : "NICE", "title" : "Ombitasvir\u2013paritaprevir\u2013ritonavir with or without dasabuvir for treating chronic hepatitis C", "type" : "webpage" }, "uris" : [ "http://www.mendeley.com/documents/?uuid=3cc9528d-1f28-4ba8-9dcf-737d039047ef" ] } ], "mendeley" : { "formattedCitation" : "(NICE 2015a; NICE 2015b; NICE 2015c)", "plainTextFormattedCitation" : "(NICE 2015a; NICE 2015b; NICE 2015c)", "previouslyFormattedCitation" : "(NICE 2015a; NICE 2015b; NICE 2015c)" }, "properties" : { "noteIndex" : 0 }, "schema" : "https://github.com/citation-style-language/schema/raw/master/csl-citation.json" }</w:instrText>
      </w:r>
      <w:r w:rsidRPr="00F719DF">
        <w:fldChar w:fldCharType="separate"/>
      </w:r>
      <w:r w:rsidRPr="00F719DF">
        <w:rPr>
          <w:noProof/>
        </w:rPr>
        <w:t>(NICE 2015a; NICE 2015b; NICE 2015c)</w:t>
      </w:r>
      <w:r w:rsidRPr="00F719DF">
        <w:fldChar w:fldCharType="end"/>
      </w:r>
      <w:r>
        <w:t>. Whilst these drugs were approved as cost-effective by NICE for many patients</w:t>
      </w:r>
      <w:r>
        <w:rPr>
          <w:rStyle w:val="FootnoteReference"/>
        </w:rPr>
        <w:footnoteReference w:id="1"/>
      </w:r>
      <w:r>
        <w:t xml:space="preserve">, NHS England (NHSE) raised serious concerns about the affordability of such a commitment, given the projected budget impact based on estimates of hepatitis C prevalence in the UK and the prices charged by the manufacturer for these drugs. As a result the implementation period of NICE guidance was extended beyond the usual timeframe </w:t>
      </w:r>
      <w:r w:rsidRPr="00F719DF">
        <w:fldChar w:fldCharType="begin" w:fldLock="1"/>
      </w:r>
      <w:r>
        <w:instrText>ADDIN CSL_CITATION { "citationItems" : [ { "id" : "ITEM-1", "itemData" : { "URL" : "https://www.nice.org.uk/guidance/ta363", "accessed" : { "date-parts" : [ [ "2015", "12", "6" ] ] }, "author" : [ { "dropping-particle" : "", "family" : "NICE", "given" : "", "non-dropping-particle" : "", "parse-names" : false, "suffix" : "" } ], "id" : "ITEM-1", "issued" : { "date-parts" : [ [ "2015" ] ] }, "language" : "eng", "publisher" : "NICE", "title" : "Ledipasvir\u2013sofosbuvir for treating chronic hepatitis C", "type" : "webpage" }, "uris" : [ "http://www.mendeley.com/documents/?uuid=3b71c793-d52c-4e6e-bcb5-eaecd3197c1b" ] } ], "mendeley" : { "formattedCitation" : "(NICE 2015b)", "plainTextFormattedCitation" : "(NICE 2015b)", "previouslyFormattedCitation" : "(NICE 2015b)" }, "properties" : { "noteIndex" : 0 }, "schema" : "https://github.com/citation-style-language/schema/raw/master/csl-citation.json" }</w:instrText>
      </w:r>
      <w:r w:rsidRPr="00F719DF">
        <w:fldChar w:fldCharType="separate"/>
      </w:r>
      <w:r w:rsidRPr="00F719DF">
        <w:rPr>
          <w:noProof/>
        </w:rPr>
        <w:t>(NICE 2015b)</w:t>
      </w:r>
      <w:r w:rsidRPr="00F719DF">
        <w:fldChar w:fldCharType="end"/>
      </w:r>
      <w:r>
        <w:t xml:space="preserve">. Hence, there was a conflict between NICE, judging these drugs to be cost-effective, but NHSE regarding them unaffordable. Subsequently, </w:t>
      </w:r>
      <w:r w:rsidRPr="00FB4F5C">
        <w:t>NICE</w:t>
      </w:r>
      <w:r>
        <w:t xml:space="preserve"> and NHSE</w:t>
      </w:r>
      <w:r w:rsidRPr="00FB4F5C">
        <w:t xml:space="preserve"> </w:t>
      </w:r>
      <w:r>
        <w:t xml:space="preserve">have changed to the process of technology assessment  to explicitly consider budget impact </w:t>
      </w:r>
      <w:r>
        <w:fldChar w:fldCharType="begin" w:fldLock="1"/>
      </w:r>
      <w:r>
        <w:instrText>ADDIN CSL_CITATION { "citationItems" : [ { "id" : "ITEM-1", "itemData" : { "URL" : "https://www.nice.org.uk/about/what-we-do/our-programmes/nice-guidance/nice-technology-appraisal-guidance/consultation-on-changes-to-technology-appraisals-and-highly-specialised-technologies", "accessed" : { "date-parts" : [ [ "2017", "5", "16" ] ] }, "author" : [ { "dropping-particle" : "", "family" : "NICE", "given" : "", "non-dropping-particle" : "", "parse-names" : false, "suffix" : "" } ], "id" : "ITEM-1", "issued" : { "date-parts" : [ [ "2016" ] ] }, "publisher" : "NICE", "title" : "Consultation on changes to technology appraisals and highly specialised technologies", "type" : "webpage" }, "uris" : [ "http://www.mendeley.com/documents/?uuid=5387232c-94f2-323e-9ff8-b65269b8db40" ] }, { "id" : "ITEM-2", "itemData" : { "URL" : "https://www.nice.org.uk/Media/Default/About/what-we-do/NICE-guidance/NICE-technology-appraisals/TA-HST-procedure-varying-the-funding-direction.pdf", "accessed" : { "date-parts" : [ [ "2017", "6", "1" ] ] }, "author" : [ { "dropping-particle" : "", "family" : "NICE", "given" : "", "non-dropping-particle" : "", "parse-names" : false, "suffix" : "" } ], "id" : "ITEM-2", "issued" : { "date-parts" : [ [ "2017" ] ] }, "title" : "Procedure for varying the funding requirement to take account of net budget impact", "type" : "webpage" }, "uris" : [ "http://www.mendeley.com/documents/?uuid=7bed3f0d-ff71-3cb8-a33b-f7a1164abf2d" ] } ], "mendeley" : { "formattedCitation" : "(NICE 2016; NICE 2017)", "plainTextFormattedCitation" : "(NICE 2016; NICE 2017)", "previouslyFormattedCitation" : "(NICE 2016; NICE 2017)" }, "properties" : { "noteIndex" : 0 }, "schema" : "https://github.com/citation-style-language/schema/raw/master/csl-citation.json" }</w:instrText>
      </w:r>
      <w:r>
        <w:fldChar w:fldCharType="separate"/>
      </w:r>
      <w:r w:rsidRPr="00DF3314">
        <w:rPr>
          <w:noProof/>
        </w:rPr>
        <w:t>(NICE 2016; NICE 2017)</w:t>
      </w:r>
      <w:r>
        <w:fldChar w:fldCharType="end"/>
      </w:r>
      <w:r>
        <w:t xml:space="preserve">. Now, new technologies judged to be ‘cost-effective’ by NICE but with a budget impact of over £20m will not immediately be required to be funded by the NHS, but instead will be subject to additional negotiation between NHSE and the manufacturer.  Immediate funding will be reserved for new technologies that are more cost-effective (less than £10,000 per QALY, quality adjusted life year) and with lower budget impact. Different approaches have been taken by other institutions in other health care systems. For example, the USA-based Institute for Clinical and Economic Review evaluates budget impact as a separate attribute in addition to ‘cost-effectiveness’.  This is justified on the basis that short-term affordability is the main determinant of coverage decisions by private insurers in the USA </w:t>
      </w:r>
      <w:r>
        <w:fldChar w:fldCharType="begin" w:fldLock="1"/>
      </w:r>
      <w:r>
        <w:instrText>ADDIN CSL_CITATION { "citationItems" : [ { "id" : "ITEM-1", "itemData" : { "URL" : "http://icer-review.org/wp-content/uploads/2016/02/ICER-VAF-Update-Proposals-020117.pdf", "accessed" : { "date-parts" : [ [ "2017", "5", "16" ] ] }, "author" : [ { "dropping-particle" : "", "family" : "ICER", "given" : "", "non-dropping-particle" : "", "parse-names" : false, "suffix" : "" } ], "id" : "ITEM-1", "issued" : { "date-parts" : [ [ "2017" ] ] }, "title" : "Overview of the ICER value framework and proposals for an update for 2017-2018", "type" : "webpage" }, "uris" : [ "http://www.mendeley.com/documents/?uuid=f4b8da3c-8ec9-32dc-8b61-ecf92cdbfe4c" ] } ], "mendeley" : { "formattedCitation" : "(ICER 2017)", "plainTextFormattedCitation" : "(ICER 2017)", "previouslyFormattedCitation" : "(ICER 2017)" }, "properties" : { "noteIndex" : 0 }, "schema" : "https://github.com/citation-style-language/schema/raw/master/csl-citation.json" }</w:instrText>
      </w:r>
      <w:r>
        <w:fldChar w:fldCharType="separate"/>
      </w:r>
      <w:r w:rsidRPr="00C145A9">
        <w:rPr>
          <w:noProof/>
        </w:rPr>
        <w:t>(ICER 2017)</w:t>
      </w:r>
      <w:r>
        <w:fldChar w:fldCharType="end"/>
      </w:r>
      <w:r>
        <w:t xml:space="preserve">. Another example is Australia’s </w:t>
      </w:r>
      <w:r w:rsidRPr="00477152">
        <w:t>Pharmaceutical Benefits Advisory Committee</w:t>
      </w:r>
      <w:r>
        <w:t xml:space="preserve"> (PBAC) where the new hepatitis C drugs have been judged by more stringent criteria (a lower cost per QALY ‘threshold’) due to the scale of their likely budget impact </w:t>
      </w:r>
      <w:r>
        <w:fldChar w:fldCharType="begin" w:fldLock="1"/>
      </w:r>
      <w:r>
        <w:instrText>ADDIN CSL_CITATION { "citationItems" : [ { "id" : "ITEM-1", "itemData" : { "DOI" : "10.1017/S1744133116000050", "abstract" : "The question of how to determine coverage in a national health insurance system involves issues of both principle and practice. What are these benefits that we are trying to achieve? Is it the maximisation of population health, assuring a right to health care, or maximising individual life potentials? In any of these are we able calculate the effectiveness of interventions or our marginal social willingness to pay with sufficient rigour to give us confidence in the wisdom of our decisions? Last, given vested interests how do we resolve the practical and political issues of covering new interventions in place of those that are covered now? Culyer approaches these questions with an elegantly illustrated lesson in the analytics of priority setting, and a clear focussed approach to decision making. The general theme is that weighing up the opportunities foregone in any funding decision, whatever the objective, is always subject to considerable error but a guide to decision making that is open and honest will improve health. He illustrates this lesson using the classic approach popularised by Weinstein and Stason (1977). This parable imagines a world in which the community has decided how much public money to spend on health improvement. The public funding agency then has to decide on what particular health interventions are covered by the insurance system. In this simple world, where the decision makers have access to complete information on the benefits and costs of all current and future perfectly divisible linear health programmes, ranking the programmes by total benefit per dollar and then running down the list until we run out of money will achieve the goal of maximising a unidimensional health gain [e.g. quality-adjusted life-years (QALYs)]. This is what Weinstein describes as a shopping spree and in Culyer this becomes a trip to the bookshop for a new book and a reorganisation of the older ones on the shelf at home. Culyer gives us a particularly clear exposition, not least because it unusually concentrates on the marginal gain per dollar. It starts with the idea that the health gain per dollar for the last funded programme reveals the health gains foregone from not spending that last dollar, as", "author" : [ { "dropping-particle" : "", "family" : "Harris", "given" : "Anthony H", "non-dropping-particle" : "", "parse-names" : false, "suffix" : "" } ], "container-title" : "Health Economics, Policy and Law", "id" : "ITEM-1", "issued" : { "date-parts" : [ [ "2016" ] ] }, "page" : "433-438", "publisher" : "Cambridge University Press", "title" : "Beyond the threshold", "type" : "article-journal", "volume" : "11" }, "uris" : [ "http://www.mendeley.com/documents/?uuid=f75ae421-39f8-393b-8cb9-9c8cae34702e" ] } ], "mendeley" : { "formattedCitation" : "(Harris 2016)", "plainTextFormattedCitation" : "(Harris 2016)", "previouslyFormattedCitation" : "(Harris 2016)" }, "properties" : { "noteIndex" : 0 }, "schema" : "https://github.com/citation-style-language/schema/raw/master/csl-citation.json" }</w:instrText>
      </w:r>
      <w:r>
        <w:fldChar w:fldCharType="separate"/>
      </w:r>
      <w:r w:rsidRPr="00E51085">
        <w:rPr>
          <w:noProof/>
        </w:rPr>
        <w:t>(Harris 2016)</w:t>
      </w:r>
      <w:r>
        <w:fldChar w:fldCharType="end"/>
      </w:r>
      <w:r>
        <w:t>. In effect PBAC are insisting that the maximum acceptable price for the new hepatitis C drugs should be lower because of the significance of the projected budget impact.</w:t>
      </w:r>
    </w:p>
    <w:p w:rsidR="00A82676" w:rsidRPr="008174CC" w:rsidRDefault="00A82676" w:rsidP="00A82676">
      <w:pPr>
        <w:spacing w:line="240" w:lineRule="auto"/>
        <w:contextualSpacing/>
      </w:pPr>
      <w:r>
        <w:t xml:space="preserve">Considering whether or not a proposed investment (an intervention, technology or programme of care) is affordable is really asking whether the benefits it offers are greater than the value of those things that are likely to be given up if the additional costs must be accommodated within existing expenditure and commitments.  Alternatively, if the additional costs of the investment are to be covered through increases in health expenditure, some assessment </w:t>
      </w:r>
      <w:r w:rsidRPr="00282FF6">
        <w:t xml:space="preserve">the </w:t>
      </w:r>
      <w:r>
        <w:t xml:space="preserve">benefits that could have been gained elsewhere from the </w:t>
      </w:r>
      <w:r w:rsidRPr="00282FF6">
        <w:t xml:space="preserve">alternative use of </w:t>
      </w:r>
      <w:r>
        <w:t xml:space="preserve">these </w:t>
      </w:r>
      <w:r w:rsidRPr="00282FF6">
        <w:t>addi</w:t>
      </w:r>
      <w:r>
        <w:t xml:space="preserve">tional resources </w:t>
      </w:r>
      <w:r w:rsidRPr="00282FF6">
        <w:t>needs to be considered</w:t>
      </w:r>
      <w:r>
        <w:t>.  Therefore, an assessment of</w:t>
      </w:r>
      <w:r w:rsidRPr="00282FF6">
        <w:t xml:space="preserve"> </w:t>
      </w:r>
      <w:r>
        <w:t>health opportunity cost, founded on evidence of the marginal productivity of health care expenditure, is required whether or not heath care is funded through fixed administrative budgets.    The question of affordability is precisely the question that cost-effectiveness analysis seeks to inform, when the criteria for judging whether or not an intervention is cost-effective is founded on an empirical assessment of the likely opportunity costs elsewhere in the health care system.</w:t>
      </w:r>
      <w:r>
        <w:rPr>
          <w:rStyle w:val="FootnoteReference"/>
        </w:rPr>
        <w:footnoteReference w:id="2"/>
      </w:r>
      <w:r>
        <w:t xml:space="preserve">  To say that an alternative is cost-effective but not affordable must mean that the (implicit or explicit) ‘threshold’ used to judge cost-effectiveness does not reflect the opportunity costs incurred given the scale of the impact on health expenditure.</w:t>
      </w:r>
      <w:r>
        <w:rPr>
          <w:rFonts w:eastAsiaTheme="minorEastAsia"/>
        </w:rPr>
        <w:t xml:space="preserve"> </w:t>
      </w:r>
    </w:p>
    <w:p w:rsidR="00A82676" w:rsidRPr="00F767BA" w:rsidRDefault="00A82676" w:rsidP="00A82676">
      <w:pPr>
        <w:spacing w:line="240" w:lineRule="auto"/>
        <w:contextualSpacing/>
      </w:pPr>
      <w:r>
        <w:rPr>
          <w:rFonts w:eastAsiaTheme="minorEastAsia"/>
        </w:rPr>
        <w:lastRenderedPageBreak/>
        <w:t xml:space="preserve"> </w:t>
      </w:r>
    </w:p>
    <w:p w:rsidR="00A82676" w:rsidRDefault="00A82676" w:rsidP="00A82676">
      <w:r>
        <w:t xml:space="preserve">The </w:t>
      </w:r>
      <w:r w:rsidRPr="00D127DC">
        <w:t xml:space="preserve">problem of </w:t>
      </w:r>
      <w:r>
        <w:t>assessing the expected health opportunity costs of a proposed investment</w:t>
      </w:r>
      <w:r w:rsidRPr="00D127DC">
        <w:t xml:space="preserve"> is the same as estimating the relationship between changes in health care expenditure and healt</w:t>
      </w:r>
      <w:r>
        <w:t>h outcome</w:t>
      </w:r>
      <w:r w:rsidRPr="00D127DC">
        <w:t xml:space="preserve">. This is the approach that </w:t>
      </w:r>
      <w:r>
        <w:t>i</w:t>
      </w:r>
      <w:r w:rsidRPr="00D127DC">
        <w:t>s taken in research conducted in the United Kingdom</w:t>
      </w:r>
      <w:r>
        <w:t xml:space="preserve"> </w:t>
      </w:r>
      <w:r>
        <w:fldChar w:fldCharType="begin" w:fldLock="1"/>
      </w:r>
      <w:r>
        <w:instrText>ADDIN CSL_CITATION { "citationItems" : [ { "id" : "ITEM-1", "itemData" : { "DOI" : "10.1016/j.jhealeco.2007.12.002", "ISSN" : "0167-6296", "PMID" : "18261812", "abstract" : "Empirical evidence has hitherto been inconclusive about the strength of the link between health care spending and health outcomes. This paper uses programme budgeting data prepared by 295 English Primary Care Trusts to model the link for two specific programmes of care: cancer and circulatory diseases. A theoretical model is developed in which decision-makers must allocate a fixed budget across programmes of care so as to maximize social welfare, in the light of a health production function for each programme. This yields an expenditure equation and a health outcomes equation for each programme. These are estimated for the two programmes of care using instrumental variables methods. All the equations prove to be well specified. They suggest that the cost of a life year saved in cancer is about 13,100 pounds, and in circulation about 8000 pounds. These results challenge the widely held view that health care has little marginal impact on health. From a policy perspective, they can help set priorities by informing resource allocation across programmes of care. They can also help health technology agencies decide whether their cost-effectiveness thresholds for accepting new technologies are set at the right level.", "author" : [ { "dropping-particle" : "", "family" : "Martin", "given" : "Stephen", "non-dropping-particle" : "", "parse-names" : false, "suffix" : "" }, { "dropping-particle" : "", "family" : "Rice", "given" : "Nigel", "non-dropping-particle" : "", "parse-names" : false, "suffix" : "" }, { "dropping-particle" : "", "family" : "Smith", "given" : "Peter C", "non-dropping-particle" : "", "parse-names" : false, "suffix" : "" } ], "container-title" : "Journal of health economics", "id" : "ITEM-1", "issue" : "4", "issued" : { "date-parts" : [ [ "2008", "7" ] ] }, "page" : "826-42", "title" : "Does health care spending improve health outcomes? Evidence from English programme budgeting data.", "type" : "article-journal", "volume" : "27" }, "uris" : [ "http://www.mendeley.com/documents/?uuid=a33a0e34-3d29-43e2-9a33-7f68c0b2cdc7" ] }, { "id" : "ITEM-2",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"ITEM-2", "issued" : { "date-parts" : [ [ "2015" ] ] }, "title" : "Methods for the estimation of the National Institute for Health and Care Excellence cost-effectiveness threshold.", "type" : "article-journal" }, "uris" : [ "http://www.mendeley.com/documents/?uuid=f50897fe-cb16-44b1-a777-9929195db4cb" ] } ], "mendeley" : { "formattedCitation" : "(Martin et al. 2008; Claxton, Martin, et al. 2015)", "plainTextFormattedCitation" : "(Martin et al. 2008; Claxton, Martin, et al. 2015)", "previouslyFormattedCitation" : "(Martin et al. 2008; Claxton, Martin, et al. 2015)" }, "properties" : { "noteIndex" : 0 }, "schema" : "https://github.com/citation-style-language/schema/raw/master/csl-citation.json" }</w:instrText>
      </w:r>
      <w:r>
        <w:fldChar w:fldCharType="separate"/>
      </w:r>
      <w:r w:rsidRPr="004D4974">
        <w:rPr>
          <w:noProof/>
        </w:rPr>
        <w:t>(Martin et al. 2008; Claxton, Martin, et al. 2015)</w:t>
      </w:r>
      <w:r>
        <w:fldChar w:fldCharType="end"/>
      </w:r>
      <w:r w:rsidRPr="00D127DC">
        <w:t>. The research use</w:t>
      </w:r>
      <w:r>
        <w:t>s</w:t>
      </w:r>
      <w:r w:rsidRPr="00D127DC">
        <w:t xml:space="preserve"> national data on expenditure an</w:t>
      </w:r>
      <w:r>
        <w:t>d outcomes in different</w:t>
      </w:r>
      <w:r w:rsidRPr="00D127DC">
        <w:t xml:space="preserve"> disease</w:t>
      </w:r>
      <w:r>
        <w:t xml:space="preserve"> areas</w:t>
      </w:r>
      <w:r w:rsidRPr="00D127DC">
        <w:t xml:space="preserve"> (programme budget categories</w:t>
      </w:r>
      <w:r>
        <w:t>, PBCs) reported at a local level</w:t>
      </w:r>
      <w:r w:rsidRPr="00D127DC">
        <w:t>.</w:t>
      </w:r>
      <w:r>
        <w:rPr>
          <w:rStyle w:val="FootnoteReference"/>
          <w:rFonts w:eastAsiaTheme="minorEastAsia"/>
        </w:rPr>
        <w:footnoteReference w:id="3"/>
      </w:r>
      <w:r w:rsidRPr="00D127DC">
        <w:t xml:space="preserve"> By exploiting the variation in expenditure and mortality outcomes, the relationship between changes in spending and mortality </w:t>
      </w:r>
      <w:r>
        <w:t>i</w:t>
      </w:r>
      <w:r w:rsidRPr="00D127DC">
        <w:t>s estimated while accoun</w:t>
      </w:r>
      <w:r>
        <w:t>ting for sources of endogeneity</w:t>
      </w:r>
      <w:r w:rsidRPr="00D127DC">
        <w:t xml:space="preserve">. With additional information about age and gender of the patient population these mortality effects can be expressed </w:t>
      </w:r>
      <w:r>
        <w:t>in terms of</w:t>
      </w:r>
      <w:r w:rsidRPr="00D127DC">
        <w:t xml:space="preserve"> cost per life-year (£25 241 per life year). By using the effect of expenditure on the mortality and life-year burden of disease as a surrogate for the effects on a more complete measure of health burden (one that also includes morbidity burden),</w:t>
      </w:r>
      <w:r>
        <w:t xml:space="preserve"> the result can be expressed in terms of cost per QALY, which </w:t>
      </w:r>
      <w:r w:rsidRPr="00D127DC">
        <w:t>reflects the likely impact of expenditure</w:t>
      </w:r>
      <w:r>
        <w:t xml:space="preserve"> at the margin</w:t>
      </w:r>
      <w:r w:rsidRPr="00D127DC">
        <w:t xml:space="preserve"> on both mortality and morbidity (£12 936 per QALY)</w:t>
      </w:r>
      <w:r>
        <w:fldChar w:fldCharType="begin" w:fldLock="1"/>
      </w:r>
      <w: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"plainTextFormattedCitation" : "(Claxton, Martin, et al. 2015)", "previouslyFormattedCitation" : "(Claxton, Martin, et al. 2015)" }, "properties" : { "noteIndex" : 0 }, "schema" : "https://github.com/citation-style-language/schema/raw/master/csl-citation.json" }</w:instrText>
      </w:r>
      <w:r>
        <w:fldChar w:fldCharType="separate"/>
      </w:r>
      <w:r w:rsidRPr="004D4974">
        <w:rPr>
          <w:noProof/>
        </w:rPr>
        <w:t>(Claxton, Martin, et al. 2015)</w:t>
      </w:r>
      <w:r>
        <w:fldChar w:fldCharType="end"/>
      </w:r>
      <w:r w:rsidRPr="00D127DC">
        <w:t>.</w:t>
      </w:r>
      <w:r>
        <w:rPr>
          <w:rStyle w:val="FootnoteReference"/>
          <w:rFonts w:eastAsiaTheme="minorEastAsia"/>
        </w:rPr>
        <w:footnoteReference w:id="4"/>
      </w:r>
      <w:r>
        <w:t xml:space="preserve">  </w:t>
      </w:r>
      <w:r w:rsidRPr="00090378">
        <w:t>This empirical work provides the opportu</w:t>
      </w:r>
      <w:r>
        <w:t>nity to explore how</w:t>
      </w:r>
      <w:r w:rsidRPr="00090378">
        <w:t xml:space="preserve"> health opportunity</w:t>
      </w:r>
      <w:r>
        <w:t xml:space="preserve"> costs are likely to change with the scale of non-marginal or ‘large’</w:t>
      </w:r>
      <w:r>
        <w:rPr>
          <w:rStyle w:val="FootnoteReference"/>
        </w:rPr>
        <w:footnoteReference w:id="5"/>
      </w:r>
      <w:r>
        <w:t xml:space="preserve"> budget impacts. Non-marginal is a term used in </w:t>
      </w:r>
      <w:r>
        <w:fldChar w:fldCharType="begin" w:fldLock="1"/>
      </w:r>
      <w:r>
        <w:instrText>ADDIN CSL_CITATION { "citationItems" : [ { "id" : "ITEM-1", "itemData" : {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"dropping-particle" : "", "family" : "Karl Claxton KarlClaxton", "given" : "Professor", "non-dropping-particle" : "", "parse-names" : false, "suffix" : "" } ], "id" : "ITEM-1", "issued" : { "date-parts" : [ [ "2013" ] ] }, "title" : "Methods for the Estimation of the NICE Cost Effectiveness Threshold Final Report", "type" : "article-journal" }, "uris" : [ "http://www.mendeley.com/documents/?uuid=8ceffc1d-9ca2-3f64-a90f-e55d5c7f5064" ] }, { "id" : "ITEM-2",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"ITEM-2",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et al. 2013; Claxton, Martin, et al. 2015)", "manualFormatting" : "Claxton et al. (2013) and Claxton et al. (2015)", "plainTextFormattedCitation" : "(Claxton et al. 2013; Claxton, Martin, et al. 2015)", "previouslyFormattedCitation" : "(Claxton et al. 2013; Claxton, Martin, et al. 2015)" }, "properties" : { "noteIndex" : 0 }, "schema" : "https://github.com/citation-style-language/schema/raw/master/csl-citation.json" }</w:instrText>
      </w:r>
      <w:r>
        <w:fldChar w:fldCharType="separate"/>
      </w:r>
      <w:r w:rsidRPr="00E51085">
        <w:rPr>
          <w:noProof/>
        </w:rPr>
        <w:t xml:space="preserve">Claxton et al. </w:t>
      </w:r>
      <w:r>
        <w:rPr>
          <w:noProof/>
        </w:rPr>
        <w:t>(</w:t>
      </w:r>
      <w:r w:rsidRPr="00E51085">
        <w:rPr>
          <w:noProof/>
        </w:rPr>
        <w:t>2013</w:t>
      </w:r>
      <w:r>
        <w:rPr>
          <w:noProof/>
        </w:rPr>
        <w:t>) and</w:t>
      </w:r>
      <w:r w:rsidRPr="00E51085">
        <w:rPr>
          <w:noProof/>
        </w:rPr>
        <w:t xml:space="preserve"> Claxton et al. </w:t>
      </w:r>
      <w:r>
        <w:rPr>
          <w:noProof/>
        </w:rPr>
        <w:t>(</w:t>
      </w:r>
      <w:r w:rsidRPr="00E51085">
        <w:rPr>
          <w:noProof/>
        </w:rPr>
        <w:t>2015)</w:t>
      </w:r>
      <w:r>
        <w:fldChar w:fldCharType="end"/>
      </w:r>
      <w:r>
        <w:t xml:space="preserve"> and is defined in </w:t>
      </w:r>
      <w:r>
        <w:fldChar w:fldCharType="begin" w:fldLock="1"/>
      </w:r>
      <w:r>
        <w:instrText>ADDIN CSL_CITATION { "citationItems" : [ { "id" : "ITEM-1", "itemData" : { "DOI" : "10.1177/0272989X16662242", "ISSN" : "0272-989X", "PMID" : "27553208", "abstract" : "The cost-effectiveness threshold in health care systems with a constrained budget should be determined by the cost-effectiveness of displacing health care services to fund new interventions. Using comparative statics, we review some potential determinants of the threshold, including the budget for health care, the demand for existing health care interventions, the technical efficiency of existing interventions, and the development of new health technologies. We consider the anticipated direction of impact that would affect the threshold following a change in each of these determinants. Where the health care system is technically efficient, an increase in the health care budget unambiguously raises the threshold, whereas an increase in the demand for existing, non-marginal health interventions unambiguously lowers the threshold. Improvements in the technical efficiency of existing interventions may raise or lower the threshold, depending on the cause of the improvement in efficiency, whether the intervention is already funded, and, if so, whether it is marginal. New technologies may also raise or lower the threshold, depending on whether the new technology is a substitute for an existing technology and, again, whether the existing technology is marginal. Our analysis permits health economists and decision makers to assess if and in what direction the threshold may change over time. This matters, as threshold changes impact the cost-effectiveness of interventions that require decisions now but have costs and effects that fall in future periods.", "author" : [ { "dropping-particle" : "", "family" : "Paulden", "given" : "Mike", "non-dropping-particle" : "", "parse-names" : false, "suffix" : "" }, { "dropping-particle" : "", "family" : "O\u2019Mahony", "given" : "James", "non-dropping-particle" : "", "parse-names" : false, "suffix" : "" }, { "dropping-particle" : "", "family" : "McCabe", "given" : "Christopher", "non-dropping-particle" : "", "parse-names" : false, "suffix" : "" } ], "container-title" : "Medical Decision Making", "id" : "ITEM-1", "issue" : "2", "issued" : { "date-parts" : [ [ "2017", "2" ] ] }, "page" : "264-276", "title" : "Determinants of Change in the Cost-effectiveness Threshold", "type" : "article-journal", "volume" : "37" }, "uris" : [ "http://www.mendeley.com/documents/?uuid=6a93b463-25ac-3080-b035-e239cb20078b" ] } ], "mendeley" : { "formattedCitation" : "(Paulden et al. 2017)", "manualFormatting" : "Paulden et al. (2017)", "plainTextFormattedCitation" : "(Paulden et al. 2017)", "previouslyFormattedCitation" : "(Paulden et al. 2017)" }, "properties" : { "noteIndex" : 0 }, "schema" : "https://github.com/citation-style-language/schema/raw/master/csl-citation.json" }</w:instrText>
      </w:r>
      <w:r>
        <w:fldChar w:fldCharType="separate"/>
      </w:r>
      <w:r w:rsidRPr="005B7491">
        <w:rPr>
          <w:noProof/>
        </w:rPr>
        <w:t xml:space="preserve">Paulden et al. </w:t>
      </w:r>
      <w:r>
        <w:rPr>
          <w:noProof/>
        </w:rPr>
        <w:t>(</w:t>
      </w:r>
      <w:r w:rsidRPr="005B7491">
        <w:rPr>
          <w:noProof/>
        </w:rPr>
        <w:t>2017)</w:t>
      </w:r>
      <w:r>
        <w:fldChar w:fldCharType="end"/>
      </w:r>
      <w:r>
        <w:t xml:space="preserve"> as when the budget impact is large.</w:t>
      </w:r>
    </w:p>
    <w:p w:rsidR="00A82676" w:rsidRDefault="00A82676" w:rsidP="00A82676">
      <w:pPr>
        <w:pStyle w:val="Heading3"/>
      </w:pPr>
      <w:r>
        <w:t>Empirical work on health opportunity costs of non-marginal expenditures</w:t>
      </w:r>
    </w:p>
    <w:p w:rsidR="00A82676" w:rsidRDefault="00A82676" w:rsidP="00A82676">
      <w:r>
        <w:t xml:space="preserve">While the conceptual basis for expected health opportunity costs of a proposed investment varying with the level of incremental costs or budget impact is well established, see for instance </w:t>
      </w:r>
      <w:r>
        <w:fldChar w:fldCharType="begin" w:fldLock="1"/>
      </w:r>
      <w:r>
        <w:instrText>ADDIN CSL_CITATION { "citationItems" : [ { "id" : "ITEM-1", "itemData" : { "ISSN" : "1170-7690", "PMID" : "18767894", "abstract" : "The National Institute for Health and Clinical Excellence (NICE) has been using a cost-effectiveness threshold range between 20,000 pound sterling and 30,000 pound sterling for over 7 years. What the cost-effectiveness threshold represents, what the appropriate level is for NICE to use, and what the other factors are that NICE should consider have all been the subject of much discussion. In this article, we briefly review these questions, provide a critical assessment of NICE's utilization of the incremental cost-effectiveness ratio (ICER) threshold to inform its guidance, and suggest ways in which NICE's utilization of the ICER threshold could be developed to promote the efficient use of health service resources. We conclude that it is feasible and probably desirable to operate an explicit single threshold rather than the current range; the threshold should be seen as a threshold at which 'other' criteria beyond the ICER itself are taken into account; interventions with a large budgetary impact may need to be subject to a lower threshold as they are likely to displace more than the marginal activities; reimbursement at the threshold transfers the full value of an innovation to the manufacturer. Positive decisions above the threshold on the grounds of innovation reduce population health; the value of the threshold should be reconsidered regularly to ensure that it captures the impact of changes in efficiency and budget over time; the use of equity weights to sustain a positive recommendation when the ICER is above the threshold requires knowledge of the equity characteristics of those patients who bear the opportunity cost. Given the barriers to obtaining this knowledge and knowledge about the characteristics of typical beneficiaries of UK NHS care, caution is warranted before accepting claims from special pleaders; uncertainty in the evidence base should not be used to justify a positive recommendation when the ICER is above the threshold. The development of a programme of disinvestment guidance would enable NICE and the NHS to be more confident that the net health benefit of the Technology Appraisal Programme is positive.", "author" : [ { "dropping-particle" : "", "family" : "McCabe", "given" : "Christopher", "non-dropping-particle" : "", "parse-names" : false, "suffix" : "" }, { "dropping-particle" : "", "family" : "Claxton", "given" : "Karl", "non-dropping-particle" : "", "parse-names" : false, "suffix" : "" }, { "dropping-particle" : "", "family" : "Culyer", "given" : "Anthony J", "non-dropping-particle" : "", "parse-names" : false, "suffix" : "" } ], "container-title" : "PharmacoEconomics", "id" : "ITEM-1", "issue" : "9", "issued" : { "date-parts" : [ [ "2008", "1" ] ] }, "page" : "733-44", "title" : "The NICE cost-effectiveness threshold: what it is and what that means.", "type" : "article-journal", "volume" : "26" }, "uris" : [ "http://www.mendeley.com/documents/?uuid=775f2316-ef6c-4a32-b2c1-b7fab266c830" ] }, { "id" : "ITEM-2", "itemData" : { "DOI" : "10.1177/0272989X16662242", "ISSN" : "0272-989X", "PMID" : "27553208", "abstract" : "The cost-effectiveness threshold in health care systems with a constrained budget should be determined by the cost-effectiveness of displacing health care services to fund new interventions. Using comparative statics, we review some potential determinants of the threshold, including the budget for health care, the demand for existing health care interventions, the technical efficiency of existing interventions, and the development of new health technologies. We consider the anticipated direction of impact that would affect the threshold following a change in each of these determinants. Where the health care system is technically efficient, an increase in the health care budget unambiguously raises the threshold, whereas an increase in the demand for existing, non-marginal health interventions unambiguously lowers the threshold. Improvements in the technical efficiency of existing interventions may raise or lower the threshold, depending on the cause of the improvement in efficiency, whether the intervention is already funded, and, if so, whether it is marginal. New technologies may also raise or lower the threshold, depending on whether the new technology is a substitute for an existing technology and, again, whether the existing technology is marginal. Our analysis permits health economists and decision makers to assess if and in what direction the threshold may change over time. This matters, as threshold changes impact the cost-effectiveness of interventions that require decisions now but have costs and effects that fall in future periods.", "author" : [ { "dropping-particle" : "", "family" : "Paulden", "given" : "Mike", "non-dropping-particle" : "", "parse-names" : false, "suffix" : "" }, { "dropping-particle" : "", "family" : "O\u2019Mahony", "given" : "James", "non-dropping-particle" : "", "parse-names" : false, "suffix" : "" }, { "dropping-particle" : "", "family" : "McCabe", "given" : "Christopher", "non-dropping-particle" : "", "parse-names" : false, "suffix" : "" } ], "container-title" : "Medical Decision Making", "id" : "ITEM-2", "issue" : "2", "issued" : { "date-parts" : [ [ "2017", "2" ] ] }, "page" : "264-276", "title" : "Determinants of Change in the Cost-effectiveness Threshold", "type" : "article-journal", "volume" : "37" }, "uris" : [ "http://www.mendeley.com/documents/?uuid=6a93b463-25ac-3080-b035-e239cb20078b" ] }, { "id" : "ITEM-3", "itemData" : { "DOI" : "10.1017/S1744133116000049", "ISSN" : "1744-1331", "PMID" : "26906561", "abstract" : "&lt;p&gt; There is misunderstanding about both the meaning and the role of cost-effectiveness thresholds in policy decision making. This article dissects the main issues by use of a bookshelf metaphor. Its main conclusions are as follows: it must be possible to compare interventions in terms of their impact on a common measure of health; mere effectiveness is not a persuasive case for inclusion in public insurance plans; public health advocates need to address issues of relative effectiveness; a \u2018first best\u2019 benchmark or threshold ratio of health gain to expenditure identifies the least effective intervention that should be included in a public insurance plan; the reciprocal of this ratio \u2013 the \u2018first best\u2019 cost-effectiveness threshold \u2013 will rise or fall as the health budget rises or falls ( &lt;italic&gt;ceteris paribus&lt;/italic&gt; ); setting thresholds too high or too low costs lives; failure to set any cost-effectiveness threshold at all also involves avertable deaths and morbidity; the threshold cannot be set independently of the health budget; the threshold can be approached from either the demand side or the supply side \u2013 the two are equivalent only in a health-maximising equilibrium; the supply-side approach generates an estimate of a \u2018second best\u2019 cost-effectiveness threshold that is higher than the \u2018first best\u2019; the second best threshold is the one generally to be preferred in decisions about adding or subtracting interventions in an established public insurance package; multiple thresholds are implied by systems having distinct and separable health budgets; disinvestment involves eliminating &lt;italic&gt;effective&lt;/italic&gt; technologies from the insured bundle; differential weighting of beneficiaries\u2019 health gains may affect the threshold; anonymity and identity are factors that may affect the interpretation of the threshold; the true opportunity cost of health care in a community, where the effectiveness of interventions is determined by their impact on health, is not to be measured in money \u2013 but in health itself. &lt;/p&gt;", "author" : [ { "dropping-particle" : "", "family" : "Culyer", "given" : "Anthony J.", "non-dropping-particle" : "", "parse-names" : false, "suffix" : "" } ], "container-title" : "Health Economics, Policy and Law", "id" : "ITEM-3", "issue" : "04", "issued" : { "date-parts" : [ [ "2016", "10", "24" ] ] }, "page" : "415-432", "title" : "Cost-effectiveness thresholds in health care: a bookshelf guide to their meaning and use", "type" : "article-journal", "volume" : "11" }, "uris" : [ "http://www.mendeley.com/documents/?uuid=2b96e6bb-7100-3833-8c41-c8c8ad548e3b" ] } ], "mendeley" : { "formattedCitation" : "(McCabe et al. 2008; Paulden et al. 2017; Culyer 2016)", "manualFormatting" : "McCabe et al. (2008); Paulden et al. (2017) and Culyer (2016)", "plainTextFormattedCitation" : "(McCabe et al. 2008; Paulden et al. 2017; Culyer 2016)", "previouslyFormattedCitation" : "(McCabe et al. 2008; Paulden et al. 2017; Culyer 2016)" }, "properties" : { "noteIndex" : 0 }, "schema" : "https://github.com/citation-style-language/schema/raw/master/csl-citation.json" }</w:instrText>
      </w:r>
      <w:r>
        <w:fldChar w:fldCharType="separate"/>
      </w:r>
      <w:r w:rsidRPr="006C2B39">
        <w:rPr>
          <w:noProof/>
        </w:rPr>
        <w:t xml:space="preserve">McCabe et al. </w:t>
      </w:r>
      <w:r>
        <w:rPr>
          <w:noProof/>
        </w:rPr>
        <w:t>(</w:t>
      </w:r>
      <w:r w:rsidRPr="006C2B39">
        <w:rPr>
          <w:noProof/>
        </w:rPr>
        <w:t>2008</w:t>
      </w:r>
      <w:r>
        <w:rPr>
          <w:noProof/>
        </w:rPr>
        <w:t>)</w:t>
      </w:r>
      <w:r w:rsidRPr="006C2B39">
        <w:rPr>
          <w:noProof/>
        </w:rPr>
        <w:t xml:space="preserve">; Paulden et al. </w:t>
      </w:r>
      <w:r>
        <w:rPr>
          <w:noProof/>
        </w:rPr>
        <w:t>(</w:t>
      </w:r>
      <w:r w:rsidRPr="006C2B39">
        <w:rPr>
          <w:noProof/>
        </w:rPr>
        <w:t>2017</w:t>
      </w:r>
      <w:r>
        <w:rPr>
          <w:noProof/>
        </w:rPr>
        <w:t>) and</w:t>
      </w:r>
      <w:r w:rsidRPr="006C2B39">
        <w:rPr>
          <w:noProof/>
        </w:rPr>
        <w:t xml:space="preserve"> Culyer </w:t>
      </w:r>
      <w:r>
        <w:rPr>
          <w:noProof/>
        </w:rPr>
        <w:t>(</w:t>
      </w:r>
      <w:r w:rsidRPr="006C2B39">
        <w:rPr>
          <w:noProof/>
        </w:rPr>
        <w:t>2016)</w:t>
      </w:r>
      <w:r>
        <w:fldChar w:fldCharType="end"/>
      </w:r>
      <w:r>
        <w:t>, there has only so far been limited empirical work that attempts to quantify this relationship. One study,</w:t>
      </w:r>
      <w:r>
        <w:rPr>
          <w:rFonts w:eastAsiaTheme="minorEastAsia"/>
        </w:rPr>
        <w:t xml:space="preserve"> </w:t>
      </w:r>
      <w:r>
        <w:rPr>
          <w:rFonts w:eastAsiaTheme="minorEastAsia"/>
        </w:rPr>
        <w:fldChar w:fldCharType="begin" w:fldLock="1"/>
      </w:r>
      <w:r>
        <w:rPr>
          <w:rFonts w:eastAsiaTheme="minorEastAsia"/>
        </w:rP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rPr>
          <w:rFonts w:eastAsiaTheme="minorEastAsia"/>
        </w:rPr>
        <w:fldChar w:fldCharType="separate"/>
      </w:r>
      <w:r w:rsidRPr="00884F0F">
        <w:rPr>
          <w:rFonts w:eastAsiaTheme="minorEastAsia"/>
          <w:noProof/>
        </w:rPr>
        <w:t xml:space="preserve">Claxton, Martin, et al. </w:t>
      </w:r>
      <w:r>
        <w:rPr>
          <w:rFonts w:eastAsiaTheme="minorEastAsia"/>
          <w:noProof/>
        </w:rPr>
        <w:t>(</w:t>
      </w:r>
      <w:r w:rsidRPr="00884F0F">
        <w:rPr>
          <w:rFonts w:eastAsiaTheme="minorEastAsia"/>
          <w:noProof/>
        </w:rPr>
        <w:t>2015)</w:t>
      </w:r>
      <w:r>
        <w:rPr>
          <w:rFonts w:eastAsiaTheme="minorEastAsia"/>
        </w:rPr>
        <w:fldChar w:fldCharType="end"/>
      </w:r>
      <w:r>
        <w:rPr>
          <w:rFonts w:eastAsiaTheme="minorEastAsia"/>
        </w:rPr>
        <w:t>, conduct an exploratory analysis where different types of primary care trust (PCT) are found to have different productivity in terms of cost per life-year based on 2006/07 expenditure in the NHS in the 'big four' PBCs.</w:t>
      </w:r>
      <w:r>
        <w:rPr>
          <w:rStyle w:val="FootnoteReference"/>
          <w:rFonts w:eastAsiaTheme="minorEastAsia"/>
        </w:rPr>
        <w:footnoteReference w:id="6"/>
      </w:r>
      <w:r>
        <w:rPr>
          <w:rFonts w:eastAsiaTheme="minorEastAsia"/>
        </w:rPr>
        <w:t xml:space="preserve"> The two types of PCT being considered are those that are 'over target' in terms of their budget allocation and those that are 'under target', where deviations of actual budget allocations from targets occurred due to periodic adjustments of targets based on changes in the results of a needs-based formula. Over target </w:t>
      </w:r>
      <w:r w:rsidRPr="00ED592B">
        <w:t>PCTs receive</w:t>
      </w:r>
      <w:r>
        <w:t>d an actual allocation which wa</w:t>
      </w:r>
      <w:r w:rsidRPr="00ED592B">
        <w:t xml:space="preserve">s greater than their target allocation, </w:t>
      </w:r>
      <w:r>
        <w:t>while</w:t>
      </w:r>
      <w:r w:rsidRPr="00ED592B">
        <w:t xml:space="preserve"> </w:t>
      </w:r>
      <w:r>
        <w:t>under target PCTs were allocated</w:t>
      </w:r>
      <w:r w:rsidRPr="00ED592B">
        <w:t xml:space="preserve"> less than their target allocation</w:t>
      </w:r>
      <w:r>
        <w:t>. The cost per life-year estimates for the big four PBCs are £10,604 for all PCTs combined; £8441 for those PCTs under their target allocation; and £14,083 for PCTs over their target allocation. The results stem from the larger magnitude of outcome elasticities in the big four PBCs when the regression models are estimated on the under target PCTs only, and smaller magnitude of outcome elasticities when estimated on the over target PCTs only. This is consistent with the concept that there are diminishing marginal returns to health care expenditure where PCTs under greater financial pressure prioritise more cost-effective treatments within PBCs compared to PCTs facing less pressure.</w:t>
      </w:r>
    </w:p>
    <w:p w:rsidR="00A82676" w:rsidRDefault="00A82676" w:rsidP="00A82676">
      <w:pPr>
        <w:rPr>
          <w:rFonts w:eastAsiaTheme="minorEastAsia"/>
        </w:rPr>
      </w:pPr>
      <w:r>
        <w:lastRenderedPageBreak/>
        <w:t xml:space="preserve">While the results of </w:t>
      </w:r>
      <w:r>
        <w:rPr>
          <w:rFonts w:eastAsiaTheme="minorEastAsia"/>
        </w:rPr>
        <w:fldChar w:fldCharType="begin" w:fldLock="1"/>
      </w:r>
      <w:r>
        <w:rPr>
          <w:rFonts w:eastAsiaTheme="minorEastAsia"/>
        </w:rP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rPr>
          <w:rFonts w:eastAsiaTheme="minorEastAsia"/>
        </w:rPr>
        <w:fldChar w:fldCharType="separate"/>
      </w:r>
      <w:r w:rsidRPr="00884F0F">
        <w:rPr>
          <w:rFonts w:eastAsiaTheme="minorEastAsia"/>
          <w:noProof/>
        </w:rPr>
        <w:t xml:space="preserve">Claxton, Martin, et al. </w:t>
      </w:r>
      <w:r>
        <w:rPr>
          <w:rFonts w:eastAsiaTheme="minorEastAsia"/>
          <w:noProof/>
        </w:rPr>
        <w:t>(</w:t>
      </w:r>
      <w:r w:rsidRPr="00884F0F">
        <w:rPr>
          <w:rFonts w:eastAsiaTheme="minorEastAsia"/>
          <w:noProof/>
        </w:rPr>
        <w:t>2015)</w:t>
      </w:r>
      <w:r>
        <w:rPr>
          <w:rFonts w:eastAsiaTheme="minorEastAsia"/>
        </w:rPr>
        <w:fldChar w:fldCharType="end"/>
      </w:r>
      <w:r>
        <w:rPr>
          <w:rFonts w:eastAsiaTheme="minorEastAsia"/>
        </w:rPr>
        <w:t xml:space="preserve"> for over and under target PCTs are intuitive and consistent with a health production function that exhibits diminishing marginal returns to health care expenditure, there are a number of limitations to the study: </w:t>
      </w:r>
      <w:proofErr w:type="spellStart"/>
      <w:r>
        <w:rPr>
          <w:rFonts w:eastAsiaTheme="minorEastAsia"/>
        </w:rPr>
        <w:t>i</w:t>
      </w:r>
      <w:proofErr w:type="spellEnd"/>
      <w:r>
        <w:rPr>
          <w:rFonts w:eastAsiaTheme="minorEastAsia"/>
        </w:rPr>
        <w:t>) only differences in outcome elasticities between PCT subgroups are considered when differences in how a change in resources are allocated might also be expected; ii) only the 4 largest PBCs were included in the analysis when differences in productivity and reallocation between all 23 PBCs is possible; iii) only cost per life year were reported rather than using estimated mortality effects as a surrogate for the effects of changes in expenditure on a more complete measure of health outcome (QALYs) and iv) there was no consideration of whether estimated differences between subgroups were likely to reflect systematic differences with adequate power or merely chance variations driven by noise in the data.</w:t>
      </w:r>
    </w:p>
    <w:p w:rsidR="00A82676" w:rsidRDefault="00A82676" w:rsidP="00A82676">
      <w:pPr>
        <w:rPr>
          <w:rFonts w:eastAsiaTheme="minorEastAsia"/>
        </w:rPr>
      </w:pPr>
      <w:r>
        <w:rPr>
          <w:rFonts w:eastAsiaTheme="minorEastAsia"/>
        </w:rPr>
        <w:t xml:space="preserve">This paper contributes to the literature in two main ways. Firstly we are able to overcome the key limitations associated with the exploration undertaken in </w:t>
      </w:r>
      <w:r>
        <w:rPr>
          <w:rFonts w:eastAsiaTheme="minorEastAsia"/>
        </w:rPr>
        <w:fldChar w:fldCharType="begin" w:fldLock="1"/>
      </w:r>
      <w:r>
        <w:rPr>
          <w:rFonts w:eastAsiaTheme="minorEastAsia"/>
        </w:rP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rPr>
          <w:rFonts w:eastAsiaTheme="minorEastAsia"/>
        </w:rPr>
        <w:fldChar w:fldCharType="separate"/>
      </w:r>
      <w:r w:rsidRPr="00884F0F">
        <w:rPr>
          <w:rFonts w:eastAsiaTheme="minorEastAsia"/>
          <w:noProof/>
        </w:rPr>
        <w:t xml:space="preserve">Claxton, Martin, et al. </w:t>
      </w:r>
      <w:r>
        <w:rPr>
          <w:rFonts w:eastAsiaTheme="minorEastAsia"/>
          <w:noProof/>
        </w:rPr>
        <w:t>(</w:t>
      </w:r>
      <w:r w:rsidRPr="00884F0F">
        <w:rPr>
          <w:rFonts w:eastAsiaTheme="minorEastAsia"/>
          <w:noProof/>
        </w:rPr>
        <w:t>2015)</w:t>
      </w:r>
      <w:r>
        <w:rPr>
          <w:rFonts w:eastAsiaTheme="minorEastAsia"/>
        </w:rPr>
        <w:fldChar w:fldCharType="end"/>
      </w:r>
      <w:r>
        <w:rPr>
          <w:rFonts w:eastAsiaTheme="minorEastAsia"/>
        </w:rPr>
        <w:t xml:space="preserve"> by: </w:t>
      </w:r>
      <w:proofErr w:type="spellStart"/>
      <w:r>
        <w:rPr>
          <w:rFonts w:eastAsiaTheme="minorEastAsia"/>
        </w:rPr>
        <w:t>i</w:t>
      </w:r>
      <w:proofErr w:type="spellEnd"/>
      <w:r>
        <w:rPr>
          <w:rFonts w:eastAsiaTheme="minorEastAsia"/>
        </w:rPr>
        <w:t xml:space="preserve">) allowing expenditure and outcome elasticities to differ between the over and under target PCTs; ii) including all PBCs in the analysis; iii) reporting the overall cost per QALY using the same methods and assumptions as used in </w:t>
      </w:r>
      <w:r>
        <w:rPr>
          <w:rFonts w:eastAsiaTheme="minorEastAsia"/>
        </w:rPr>
        <w:fldChar w:fldCharType="begin" w:fldLock="1"/>
      </w:r>
      <w:r>
        <w:rPr>
          <w:rFonts w:eastAsiaTheme="minorEastAsia"/>
        </w:rP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rPr>
          <w:rFonts w:eastAsiaTheme="minorEastAsia"/>
        </w:rPr>
        <w:fldChar w:fldCharType="separate"/>
      </w:r>
      <w:r w:rsidRPr="00884F0F">
        <w:rPr>
          <w:rFonts w:eastAsiaTheme="minorEastAsia"/>
          <w:noProof/>
        </w:rPr>
        <w:t xml:space="preserve">Claxton, Martin, et al. </w:t>
      </w:r>
      <w:r>
        <w:rPr>
          <w:rFonts w:eastAsiaTheme="minorEastAsia"/>
          <w:noProof/>
        </w:rPr>
        <w:t>(</w:t>
      </w:r>
      <w:r w:rsidRPr="00884F0F">
        <w:rPr>
          <w:rFonts w:eastAsiaTheme="minorEastAsia"/>
          <w:noProof/>
        </w:rPr>
        <w:t>2015)</w:t>
      </w:r>
      <w:r>
        <w:rPr>
          <w:rFonts w:eastAsiaTheme="minorEastAsia"/>
        </w:rPr>
        <w:fldChar w:fldCharType="end"/>
      </w:r>
      <w:r>
        <w:rPr>
          <w:rFonts w:eastAsiaTheme="minorEastAsia"/>
        </w:rPr>
        <w:t>; iv) exploring two alternative approaches to estimation and v) considering a range of alternative cut-off points regarding the statistical significance of differences in estimated elasticities. Secondly, we show how these type of estimates can be used to construct a health production function that can be used to report the health opportunity costs associated with a range of budget impacts that a proposed investment might impose, or, equivalently, the appropriate cost per QALY ’threshold’ that should be applied for different budget impacts.</w:t>
      </w:r>
    </w:p>
    <w:p w:rsidR="00A84C24" w:rsidRDefault="00A84C24">
      <w:pPr>
        <w:spacing w:after="160" w:line="259" w:lineRule="auto"/>
        <w:rPr>
          <w:rFonts w:eastAsiaTheme="minorEastAsia"/>
        </w:rPr>
      </w:pPr>
      <w:r>
        <w:rPr>
          <w:rFonts w:eastAsiaTheme="minorEastAsia"/>
        </w:rPr>
        <w:br w:type="page"/>
      </w:r>
    </w:p>
    <w:p w:rsidR="00A82676" w:rsidRDefault="00A82676" w:rsidP="00A82676">
      <w:pPr>
        <w:pStyle w:val="Heading2"/>
        <w:numPr>
          <w:ilvl w:val="0"/>
          <w:numId w:val="6"/>
        </w:numPr>
        <w:spacing w:line="240" w:lineRule="auto"/>
      </w:pPr>
      <w:bookmarkStart w:id="5" w:name="_Toc437279990"/>
      <w:r>
        <w:lastRenderedPageBreak/>
        <w:t>Data</w:t>
      </w:r>
      <w:bookmarkEnd w:id="5"/>
    </w:p>
    <w:p w:rsidR="00A82676" w:rsidRDefault="00A82676" w:rsidP="00A82676">
      <w:pPr>
        <w:pStyle w:val="Heading3"/>
        <w:spacing w:line="240" w:lineRule="auto"/>
      </w:pPr>
      <w:bookmarkStart w:id="6" w:name="_Toc437279991"/>
      <w:r>
        <w:t>Overview</w:t>
      </w:r>
      <w:bookmarkEnd w:id="6"/>
    </w:p>
    <w:p w:rsidR="00A82676" w:rsidRDefault="00A82676" w:rsidP="00A82676">
      <w:pPr>
        <w:spacing w:line="240" w:lineRule="auto"/>
      </w:pPr>
      <w:r>
        <w:t>The core data underlying this has come from two relatively recently created sources. One data set contains mortality rates for various disease categories at the level of geographically defined local health authorities, PCTs. The other data set presents NHS expenditure by PCT on 23 broad programmes of care. This data set comprises most items of publicly funded expenditure, including inpatient, outpatient and community care, and pharmaceutical prescriptions.</w:t>
      </w:r>
    </w:p>
    <w:p w:rsidR="00A82676" w:rsidRDefault="00A82676" w:rsidP="00A82676">
      <w:pPr>
        <w:spacing w:line="240" w:lineRule="auto"/>
      </w:pPr>
      <w:r>
        <w:t xml:space="preserve">The NHS is organised geographically, with devolved responsibility for local administration given to PCTs. PCTs are allocated fixed annual budgets by the Department of Health, within which they are expected to manage the health care in the locality. Funding allocation targets are set for health authorities on the basis of a well-developed allocation formula that takes into account local considerations such as population size and need for healthcare </w:t>
      </w:r>
      <w:r>
        <w:fldChar w:fldCharType="begin" w:fldLock="1"/>
      </w:r>
      <w:r>
        <w:instrText>ADDIN CSL_CITATION { "citationItems" : [ { "id" : "ITEM-1", "itemData" : { "author" : [ { "dropping-particle" : "", "family" : "NHS England", "given" : "", "non-dropping-particle" : "", "parse-names" : false, "suffix" : "" } ], "id" : "ITEM-1", "issued" : { "date-parts" : [ [ "2016" ] ] }, "title" : "Technical Guide to Allocation Formulae and Pace of Change", "type" : "report" }, "uris" : [ "http://www.mendeley.com/documents/?uuid=135987e9-4dc7-302e-bfea-41117626d196" ] } ], "mendeley" : { "formattedCitation" : "(NHS England 2016)", "plainTextFormattedCitation" : "(NHS England 2016)", "previouslyFormattedCitation" : "(NHS England 2016)" }, "properties" : { "noteIndex" : 0 }, "schema" : "https://github.com/citation-style-language/schema/raw/master/csl-citation.json" }</w:instrText>
      </w:r>
      <w:r>
        <w:fldChar w:fldCharType="separate"/>
      </w:r>
      <w:r w:rsidRPr="003479B8">
        <w:rPr>
          <w:noProof/>
        </w:rPr>
        <w:t>(NHS England 2016)</w:t>
      </w:r>
      <w:r>
        <w:fldChar w:fldCharType="end"/>
      </w:r>
      <w:r>
        <w:t xml:space="preserve">. Periodically the formula is updated to better reflect resource allocation needs and a new target is generated for each health authority. The change in target can be significant and so actual allocations of budgets </w:t>
      </w:r>
      <w:proofErr w:type="spellStart"/>
      <w:r>
        <w:t>can not</w:t>
      </w:r>
      <w:proofErr w:type="spellEnd"/>
      <w:r>
        <w:t xml:space="preserve"> be adjusted to match the new target immediately. Instead annual financial allocations are gradually transitioned to the updated target. This means that in any year PCTs receive an actual budget that is greater than their target, in which case they have more financial resources than is required according to the formula. Conversely some PCTs will receive a budget that is less than estimated to be required. We refer to the former group as over target PCTs and the latter as under target PCTs.  In the financial year of 2008/09 there were 151 PCTs in total, 84 of which were under target, 65 over target and 2 on target. Those that are under target can be considered to be relatively more constrained in terms of their budget, which makes disinvestment more likely, and those that are over target are relatively less constrained and may be able to invest more into health services.</w:t>
      </w:r>
    </w:p>
    <w:p w:rsidR="00A82676" w:rsidRDefault="00A82676" w:rsidP="00A82676">
      <w:pPr>
        <w:pStyle w:val="Heading3"/>
        <w:spacing w:line="240" w:lineRule="auto"/>
      </w:pPr>
      <w:bookmarkStart w:id="7" w:name="_Toc437279992"/>
      <w:r>
        <w:t>Expenditure</w:t>
      </w:r>
      <w:bookmarkEnd w:id="7"/>
    </w:p>
    <w:p w:rsidR="00A82676" w:rsidRPr="00CC4A62" w:rsidRDefault="00A82676" w:rsidP="00A82676">
      <w:pPr>
        <w:spacing w:line="240" w:lineRule="auto"/>
      </w:pPr>
      <w:r w:rsidRPr="00831FB2">
        <w:t>Programme budgeting</w:t>
      </w:r>
      <w:r>
        <w:t xml:space="preserve"> (PB)</w:t>
      </w:r>
      <w:r w:rsidRPr="00831FB2">
        <w:t xml:space="preserve"> data collection was initiated by the Department of Health in April 2003 when each PCT was required to prepare expenditure data disaggregated according to 23 programmes of health care. These programmes are defined by reference to ICD-10 codes at the four digit level, and most PBCs reflect ICD-10 chapter headings (e.g. cancer and tumour, circulation problems, renal problems, neonates, problems associated with the skin, problems associated with vision, problems associated with hearing, etc.). </w:t>
      </w:r>
      <w:proofErr w:type="gramStart"/>
      <w:r w:rsidRPr="00831FB2">
        <w:t>In addition, two specific non-clinical groups – ‘healthy individuals’ and ‘social care needs’ – have been created.</w:t>
      </w:r>
      <w:proofErr w:type="gramEnd"/>
      <w:r w:rsidRPr="00831FB2">
        <w:t xml:space="preserve"> These are intended to capture the costs of disease-prevention programmes and the costs of services that support individuals with social rather than health-care needs. In addition, in some cases it is not possible to assign activity by medical condition, preventative activity, or social care need and, in these cases, expenditure is assigned to a residual category (PBC 23) entitled ‘other’. The most important element of this residual programme is expenditure on general practitioner (GP) services (PBC 23a).</w:t>
      </w:r>
    </w:p>
    <w:p w:rsidR="00A82676" w:rsidRDefault="00A82676" w:rsidP="00A82676">
      <w:pPr>
        <w:pStyle w:val="Heading3"/>
        <w:spacing w:line="240" w:lineRule="auto"/>
      </w:pPr>
      <w:bookmarkStart w:id="8" w:name="_Toc437279993"/>
      <w:r>
        <w:t>Mortality</w:t>
      </w:r>
      <w:bookmarkEnd w:id="8"/>
    </w:p>
    <w:p w:rsidR="00A82676" w:rsidRDefault="00A82676" w:rsidP="00A82676">
      <w:pPr>
        <w:spacing w:line="240" w:lineRule="auto"/>
      </w:pPr>
      <w:r>
        <w:t xml:space="preserve">We follow </w:t>
      </w:r>
      <w:r>
        <w:rPr>
          <w:rFonts w:eastAsiaTheme="minorEastAsia"/>
        </w:rPr>
        <w:fldChar w:fldCharType="begin" w:fldLock="1"/>
      </w:r>
      <w:r>
        <w:rPr>
          <w:rFonts w:eastAsiaTheme="minorEastAsia"/>
        </w:rP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rPr>
          <w:rFonts w:eastAsiaTheme="minorEastAsia"/>
        </w:rPr>
        <w:fldChar w:fldCharType="separate"/>
      </w:r>
      <w:r w:rsidRPr="00884F0F">
        <w:rPr>
          <w:rFonts w:eastAsiaTheme="minorEastAsia"/>
          <w:noProof/>
        </w:rPr>
        <w:t xml:space="preserve">Claxton, Martin, et al. </w:t>
      </w:r>
      <w:r>
        <w:rPr>
          <w:rFonts w:eastAsiaTheme="minorEastAsia"/>
          <w:noProof/>
        </w:rPr>
        <w:t>(</w:t>
      </w:r>
      <w:r w:rsidRPr="00884F0F">
        <w:rPr>
          <w:rFonts w:eastAsiaTheme="minorEastAsia"/>
          <w:noProof/>
        </w:rPr>
        <w:t>2015)</w:t>
      </w:r>
      <w:r>
        <w:rPr>
          <w:rFonts w:eastAsiaTheme="minorEastAsia"/>
        </w:rPr>
        <w:fldChar w:fldCharType="end"/>
      </w:r>
      <w:r>
        <w:rPr>
          <w:rFonts w:eastAsiaTheme="minorEastAsia"/>
        </w:rPr>
        <w:t xml:space="preserve"> </w:t>
      </w:r>
      <w:r>
        <w:t>in employing mortality as an outcome measure for two key practical reasons. First, it is a relevant (albeit not comprehensive) measure of the outcome of health-care expenditure; and second, it is available for more disease areas than any other outcome measure at PCT level. Although mortality is available (by PCT) for several disease areas, it is not available for just over a half of all programmes not least because it is not relevant for these programmes (e.g. for learning disabilities, vision problems, hearing problems, dental problems and skin problems). The specific mortality outcome considered is (age) standardised years of life lost rate.</w:t>
      </w:r>
    </w:p>
    <w:p w:rsidR="00A82676" w:rsidRDefault="00A82676" w:rsidP="00A82676">
      <w:pPr>
        <w:pStyle w:val="Heading3"/>
        <w:spacing w:line="240" w:lineRule="auto"/>
      </w:pPr>
      <w:bookmarkStart w:id="9" w:name="_Toc437279994"/>
      <w:r>
        <w:t>Other variables</w:t>
      </w:r>
      <w:bookmarkEnd w:id="9"/>
    </w:p>
    <w:p w:rsidR="00A82676" w:rsidRDefault="00A82676" w:rsidP="00A82676">
      <w:pPr>
        <w:spacing w:line="240" w:lineRule="auto"/>
      </w:pPr>
      <w:r>
        <w:t xml:space="preserve">In addition to outcome and expenditure, variables are required to control for the heterogeneity of different PCTs and also to instrument endogenous variables. In terms of observable heterogeneity, </w:t>
      </w:r>
      <w:r>
        <w:lastRenderedPageBreak/>
        <w:t xml:space="preserve">measures of need are used as covariates within the regression models. The primary measure of need was </w:t>
      </w:r>
      <w:r w:rsidRPr="00167669">
        <w:t>the Department of Health’</w:t>
      </w:r>
      <w:r>
        <w:t>s ‘need for health care’ index.</w:t>
      </w:r>
      <w:r w:rsidRPr="00167669">
        <w:t xml:space="preserve"> </w:t>
      </w:r>
      <w:r>
        <w:rPr>
          <w:rFonts w:eastAsiaTheme="minorEastAsia"/>
        </w:rPr>
        <w:t>T</w:t>
      </w:r>
      <w:r>
        <w:t>here is substantial variation in PCT values of this index, averaging</w:t>
      </w:r>
      <w:r w:rsidRPr="00167669">
        <w:t xml:space="preserve"> a</w:t>
      </w:r>
      <w:r>
        <w:t>round</w:t>
      </w:r>
      <w:r w:rsidRPr="00167669">
        <w:t xml:space="preserve"> 1</w:t>
      </w:r>
      <w:r>
        <w:t>,</w:t>
      </w:r>
      <w:r w:rsidRPr="00167669">
        <w:t xml:space="preserve"> but with some PCTs having a needs index more than 25% below the national average and others facing a need for health care more than 30% above the national average. </w:t>
      </w:r>
      <w:r>
        <w:t xml:space="preserve"> Endogeneity arises due to either (</w:t>
      </w:r>
      <w:proofErr w:type="spellStart"/>
      <w:r>
        <w:t>i</w:t>
      </w:r>
      <w:proofErr w:type="spellEnd"/>
      <w:r>
        <w:t>) own programme expenditure is likely to be endogenous in the outcome equation or (ii) other programme need is likely to be endogenous in the own programme expenditure equation. The instrumental variables (IVs) used reflect factors, such as socioeconomic deprivation and the availability of informal care in the community, which might indirectly impact on mortality rates and/or health-care expenditure levels.  Most of these are taken from the 2001 Population Census and include the proportion of the population providing unpaid care; the proportion of households that are one pensioner households; index of multiple deprivation; and proportion of the population in the white ethnic group.</w:t>
      </w:r>
    </w:p>
    <w:p w:rsidR="00A82676" w:rsidRDefault="00A82676" w:rsidP="00A82676">
      <w:pPr>
        <w:pStyle w:val="Heading3"/>
        <w:spacing w:line="240" w:lineRule="auto"/>
      </w:pPr>
      <w:bookmarkStart w:id="10" w:name="_Toc437279995"/>
      <w:r>
        <w:t>Descriptive statistics</w:t>
      </w:r>
      <w:bookmarkEnd w:id="10"/>
    </w:p>
    <w:p w:rsidR="00A82676" w:rsidRDefault="00A82676" w:rsidP="00A82676">
      <w:pPr>
        <w:pStyle w:val="Caption"/>
        <w:keepNext/>
      </w:pPr>
      <w:r>
        <w:t xml:space="preserve">Table </w:t>
      </w:r>
      <w:fldSimple w:instr=" SEQ Table \* ARABIC ">
        <w:r>
          <w:rPr>
            <w:noProof/>
          </w:rPr>
          <w:t>1</w:t>
        </w:r>
      </w:fldSimple>
      <w:r>
        <w:t xml:space="preserve"> - Descriptive statistics for over and under target PCTs (2008/09)</w:t>
      </w:r>
    </w:p>
    <w:tbl>
      <w:tblPr>
        <w:tblStyle w:val="TableGrid"/>
        <w:tblW w:w="0" w:type="auto"/>
        <w:tblLook w:val="04A0" w:firstRow="1" w:lastRow="0" w:firstColumn="1" w:lastColumn="0" w:noHBand="0" w:noVBand="1"/>
      </w:tblPr>
      <w:tblGrid>
        <w:gridCol w:w="2310"/>
        <w:gridCol w:w="917"/>
        <w:gridCol w:w="3118"/>
        <w:gridCol w:w="2897"/>
      </w:tblGrid>
      <w:tr w:rsidR="00A84C24" w:rsidTr="008F264A">
        <w:tc>
          <w:tcPr>
            <w:tcW w:w="2310" w:type="dxa"/>
          </w:tcPr>
          <w:p w:rsidR="00A84C24" w:rsidRPr="00EF6604" w:rsidRDefault="00A84C24" w:rsidP="008F264A">
            <w:pPr>
              <w:rPr>
                <w:b/>
              </w:rPr>
            </w:pPr>
            <w:bookmarkStart w:id="11" w:name="_Toc437279996"/>
          </w:p>
        </w:tc>
        <w:tc>
          <w:tcPr>
            <w:tcW w:w="917" w:type="dxa"/>
          </w:tcPr>
          <w:p w:rsidR="00A84C24" w:rsidRPr="00EF6604" w:rsidRDefault="00A84C24" w:rsidP="008F264A">
            <w:pPr>
              <w:rPr>
                <w:b/>
              </w:rPr>
            </w:pPr>
            <w:r w:rsidRPr="00EF6604">
              <w:rPr>
                <w:b/>
              </w:rPr>
              <w:t>N</w:t>
            </w:r>
          </w:p>
        </w:tc>
        <w:tc>
          <w:tcPr>
            <w:tcW w:w="3118" w:type="dxa"/>
          </w:tcPr>
          <w:p w:rsidR="00A84C24" w:rsidRPr="00EF6604" w:rsidRDefault="00A84C24" w:rsidP="008F264A">
            <w:pPr>
              <w:rPr>
                <w:b/>
              </w:rPr>
            </w:pPr>
            <w:r w:rsidRPr="00EF6604">
              <w:rPr>
                <w:b/>
              </w:rPr>
              <w:t>Mean amount over (under) target</w:t>
            </w:r>
            <w:r>
              <w:rPr>
                <w:b/>
              </w:rPr>
              <w:t xml:space="preserve"> [range]</w:t>
            </w:r>
          </w:p>
        </w:tc>
        <w:tc>
          <w:tcPr>
            <w:tcW w:w="2897" w:type="dxa"/>
          </w:tcPr>
          <w:p w:rsidR="00A84C24" w:rsidRPr="00EF6604" w:rsidRDefault="00A84C24" w:rsidP="008F264A">
            <w:pPr>
              <w:rPr>
                <w:b/>
              </w:rPr>
            </w:pPr>
            <w:r w:rsidRPr="00EF6604">
              <w:rPr>
                <w:b/>
              </w:rPr>
              <w:t>Mean % over (under) target</w:t>
            </w:r>
            <w:r>
              <w:rPr>
                <w:b/>
              </w:rPr>
              <w:t xml:space="preserve"> [range]</w:t>
            </w:r>
          </w:p>
        </w:tc>
      </w:tr>
      <w:tr w:rsidR="00A84C24" w:rsidTr="008F264A">
        <w:tc>
          <w:tcPr>
            <w:tcW w:w="2310" w:type="dxa"/>
          </w:tcPr>
          <w:p w:rsidR="00A84C24" w:rsidRPr="00EF6604" w:rsidRDefault="00A84C24" w:rsidP="008F264A">
            <w:pPr>
              <w:rPr>
                <w:b/>
              </w:rPr>
            </w:pPr>
            <w:r w:rsidRPr="00EF6604">
              <w:rPr>
                <w:b/>
              </w:rPr>
              <w:t>Over target PCT</w:t>
            </w:r>
          </w:p>
        </w:tc>
        <w:tc>
          <w:tcPr>
            <w:tcW w:w="917" w:type="dxa"/>
          </w:tcPr>
          <w:p w:rsidR="00A84C24" w:rsidRDefault="00A84C24" w:rsidP="008F264A">
            <w:r>
              <w:t>65</w:t>
            </w:r>
          </w:p>
        </w:tc>
        <w:tc>
          <w:tcPr>
            <w:tcW w:w="3118" w:type="dxa"/>
          </w:tcPr>
          <w:p w:rsidR="00A84C24" w:rsidRDefault="00A84C24" w:rsidP="008F264A">
            <w:r>
              <w:t xml:space="preserve">£12,800,040 </w:t>
            </w:r>
            <w:r>
              <w:br/>
              <w:t>[£4,591 -</w:t>
            </w:r>
            <w:r w:rsidRPr="00EF7CA2">
              <w:t xml:space="preserve"> </w:t>
            </w:r>
            <w:r>
              <w:t>£</w:t>
            </w:r>
            <w:r w:rsidRPr="00EF7CA2">
              <w:t>66</w:t>
            </w:r>
            <w:r>
              <w:t>,105,570]</w:t>
            </w:r>
          </w:p>
        </w:tc>
        <w:tc>
          <w:tcPr>
            <w:tcW w:w="2897" w:type="dxa"/>
          </w:tcPr>
          <w:p w:rsidR="00A84C24" w:rsidRDefault="00A84C24" w:rsidP="008F264A">
            <w:r>
              <w:t>3.024544%</w:t>
            </w:r>
            <w:r>
              <w:br/>
              <w:t>[0</w:t>
            </w:r>
            <w:r w:rsidRPr="00EF7CA2">
              <w:t>.001311</w:t>
            </w:r>
            <w:r>
              <w:t>% -</w:t>
            </w:r>
            <w:r w:rsidRPr="00EF7CA2">
              <w:t xml:space="preserve"> 12.95502</w:t>
            </w:r>
            <w:r>
              <w:t>%]</w:t>
            </w:r>
          </w:p>
        </w:tc>
      </w:tr>
      <w:tr w:rsidR="00A84C24" w:rsidTr="008F264A">
        <w:tc>
          <w:tcPr>
            <w:tcW w:w="2310" w:type="dxa"/>
          </w:tcPr>
          <w:p w:rsidR="00A84C24" w:rsidRPr="00EF6604" w:rsidRDefault="00A84C24" w:rsidP="008F264A">
            <w:pPr>
              <w:rPr>
                <w:b/>
              </w:rPr>
            </w:pPr>
            <w:r w:rsidRPr="00EF6604">
              <w:rPr>
                <w:b/>
              </w:rPr>
              <w:t>Under target PCT</w:t>
            </w:r>
          </w:p>
        </w:tc>
        <w:tc>
          <w:tcPr>
            <w:tcW w:w="917" w:type="dxa"/>
          </w:tcPr>
          <w:p w:rsidR="00A84C24" w:rsidRDefault="00A84C24" w:rsidP="008F264A">
            <w:r>
              <w:t>84</w:t>
            </w:r>
          </w:p>
        </w:tc>
        <w:tc>
          <w:tcPr>
            <w:tcW w:w="3118" w:type="dxa"/>
          </w:tcPr>
          <w:p w:rsidR="00A84C24" w:rsidRDefault="00A84C24" w:rsidP="008F264A">
            <w:r>
              <w:t xml:space="preserve">(£9,904,789) </w:t>
            </w:r>
            <w:r>
              <w:br/>
              <w:t>[</w:t>
            </w:r>
            <w:r w:rsidRPr="00EF7CA2">
              <w:t>(£119,850) - (£33,232,770)</w:t>
            </w:r>
            <w:r>
              <w:t>]</w:t>
            </w:r>
          </w:p>
        </w:tc>
        <w:tc>
          <w:tcPr>
            <w:tcW w:w="2897" w:type="dxa"/>
          </w:tcPr>
          <w:p w:rsidR="00A84C24" w:rsidRDefault="00A84C24" w:rsidP="008F264A">
            <w:r>
              <w:t>(2.064847%)</w:t>
            </w:r>
            <w:r>
              <w:br/>
              <w:t>[</w:t>
            </w:r>
            <w:r w:rsidRPr="00EF7CA2">
              <w:t>(0.0351803%) - (3.712661%)</w:t>
            </w:r>
            <w:r>
              <w:t>]</w:t>
            </w:r>
          </w:p>
        </w:tc>
      </w:tr>
      <w:tr w:rsidR="00A84C24" w:rsidTr="008F264A">
        <w:tc>
          <w:tcPr>
            <w:tcW w:w="2310" w:type="dxa"/>
          </w:tcPr>
          <w:p w:rsidR="00A84C24" w:rsidRPr="00EF6604" w:rsidRDefault="00A84C24" w:rsidP="008F264A">
            <w:pPr>
              <w:rPr>
                <w:b/>
              </w:rPr>
            </w:pPr>
            <w:r w:rsidRPr="00EF6604">
              <w:rPr>
                <w:b/>
              </w:rPr>
              <w:t>On target PCT</w:t>
            </w:r>
          </w:p>
        </w:tc>
        <w:tc>
          <w:tcPr>
            <w:tcW w:w="917" w:type="dxa"/>
          </w:tcPr>
          <w:p w:rsidR="00A84C24" w:rsidRDefault="00A84C24" w:rsidP="008F264A">
            <w:r>
              <w:t>2</w:t>
            </w:r>
          </w:p>
        </w:tc>
        <w:tc>
          <w:tcPr>
            <w:tcW w:w="3118" w:type="dxa"/>
          </w:tcPr>
          <w:p w:rsidR="00A84C24" w:rsidRDefault="00A84C24" w:rsidP="008F264A">
            <w:r>
              <w:t xml:space="preserve">£0 </w:t>
            </w:r>
            <w:r>
              <w:br/>
              <w:t>[£0 - £0]</w:t>
            </w:r>
          </w:p>
        </w:tc>
        <w:tc>
          <w:tcPr>
            <w:tcW w:w="2897" w:type="dxa"/>
          </w:tcPr>
          <w:p w:rsidR="00A84C24" w:rsidRDefault="00A84C24" w:rsidP="008F264A">
            <w:r>
              <w:t xml:space="preserve">0% </w:t>
            </w:r>
            <w:r>
              <w:br/>
              <w:t>[0% - 0%]</w:t>
            </w:r>
          </w:p>
        </w:tc>
      </w:tr>
      <w:tr w:rsidR="00A84C24" w:rsidTr="008F264A">
        <w:tc>
          <w:tcPr>
            <w:tcW w:w="2310" w:type="dxa"/>
          </w:tcPr>
          <w:p w:rsidR="00A84C24" w:rsidRPr="00EF6604" w:rsidRDefault="00A84C24" w:rsidP="008F264A">
            <w:pPr>
              <w:rPr>
                <w:b/>
              </w:rPr>
            </w:pPr>
            <w:r w:rsidRPr="00EF6604">
              <w:rPr>
                <w:b/>
              </w:rPr>
              <w:t>All PCT</w:t>
            </w:r>
          </w:p>
        </w:tc>
        <w:tc>
          <w:tcPr>
            <w:tcW w:w="917" w:type="dxa"/>
          </w:tcPr>
          <w:p w:rsidR="00A84C24" w:rsidRDefault="00A84C24" w:rsidP="008F264A">
            <w:r>
              <w:t>151</w:t>
            </w:r>
          </w:p>
        </w:tc>
        <w:tc>
          <w:tcPr>
            <w:tcW w:w="3118" w:type="dxa"/>
          </w:tcPr>
          <w:p w:rsidR="00A84C24" w:rsidRDefault="00A84C24" w:rsidP="008F264A">
            <w:r>
              <w:t>£0</w:t>
            </w:r>
            <w:r>
              <w:br/>
              <w:t>[</w:t>
            </w:r>
            <w:r w:rsidRPr="00EF7CA2">
              <w:t>(£33,232,770)</w:t>
            </w:r>
            <w:r>
              <w:t xml:space="preserve"> - £</w:t>
            </w:r>
            <w:r w:rsidRPr="00EF7CA2">
              <w:t>66</w:t>
            </w:r>
            <w:r>
              <w:t>,105,570]</w:t>
            </w:r>
          </w:p>
        </w:tc>
        <w:tc>
          <w:tcPr>
            <w:tcW w:w="2897" w:type="dxa"/>
          </w:tcPr>
          <w:p w:rsidR="00A84C24" w:rsidRDefault="00A84C24" w:rsidP="008F264A">
            <w:r>
              <w:t>0%</w:t>
            </w:r>
            <w:r>
              <w:br/>
              <w:t>[</w:t>
            </w:r>
            <w:r w:rsidRPr="00EF7CA2">
              <w:t>(3.712661%)</w:t>
            </w:r>
            <w:r>
              <w:t xml:space="preserve"> - </w:t>
            </w:r>
            <w:r w:rsidRPr="00EF7CA2">
              <w:t>12.95502</w:t>
            </w:r>
            <w:r>
              <w:t>%]</w:t>
            </w:r>
          </w:p>
        </w:tc>
      </w:tr>
    </w:tbl>
    <w:p w:rsidR="00A84C24" w:rsidRDefault="00A84C24" w:rsidP="00A84C24">
      <w:pPr>
        <w:pStyle w:val="Heading2"/>
        <w:spacing w:line="240" w:lineRule="auto"/>
      </w:pPr>
    </w:p>
    <w:p w:rsidR="00A84C24" w:rsidRDefault="00A84C24">
      <w:pPr>
        <w:spacing w:after="160" w:line="259" w:lineRule="auto"/>
        <w:rPr>
          <w:rFonts w:asciiTheme="majorHAnsi" w:eastAsiaTheme="majorEastAsia" w:hAnsiTheme="majorHAnsi" w:cstheme="majorBidi"/>
          <w:b/>
          <w:bCs/>
          <w:color w:val="5B9BD5" w:themeColor="accent1"/>
          <w:sz w:val="26"/>
          <w:szCs w:val="26"/>
        </w:rPr>
      </w:pPr>
      <w:r>
        <w:br w:type="page"/>
      </w:r>
    </w:p>
    <w:p w:rsidR="00A82676" w:rsidRDefault="00A82676" w:rsidP="00A82676">
      <w:pPr>
        <w:pStyle w:val="Heading2"/>
        <w:numPr>
          <w:ilvl w:val="0"/>
          <w:numId w:val="7"/>
        </w:numPr>
        <w:spacing w:line="240" w:lineRule="auto"/>
      </w:pPr>
      <w:r>
        <w:lastRenderedPageBreak/>
        <w:t>Estimating health effects of non-marginal changes in expenditure</w:t>
      </w:r>
      <w:bookmarkEnd w:id="11"/>
    </w:p>
    <w:p w:rsidR="00A82676" w:rsidRDefault="00A82676" w:rsidP="00A82676">
      <w:pPr>
        <w:spacing w:line="240" w:lineRule="auto"/>
      </w:pPr>
      <w:r>
        <w:t xml:space="preserve">For all PBCs </w:t>
      </w:r>
      <w:proofErr w:type="gramStart"/>
      <w:r>
        <w:t>an expenditure</w:t>
      </w:r>
      <w:proofErr w:type="gramEnd"/>
      <w:r>
        <w:t xml:space="preserve"> elasticity is estimated as well as an outcome elasticity for those PBCs with associated mortality data.</w:t>
      </w:r>
      <w:r>
        <w:rPr>
          <w:rStyle w:val="FootnoteReference"/>
        </w:rPr>
        <w:footnoteReference w:id="7"/>
      </w:r>
      <w:r>
        <w:t xml:space="preserve"> The estimated expenditure elasticity reflects the percentage change in PBC expenditure following a one percent increase in total NHS PCT expenditure, while the outcome elasticity reflects the percentage change in PBC mortality resulting from a one percent increase in PBC expenditure. The task is to identify the causal effects of changes in expenditure accounting for endogeneity by using an IV approach where this is appropriate.  Throughout this paper we take the approach to estimation, model specifications, the covariates and instrumental variables used for each PBC, from those used in </w:t>
      </w:r>
      <w:r>
        <w:fldChar w:fldCharType="begin" w:fldLock="1"/>
      </w:r>
      <w: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fldChar w:fldCharType="separate"/>
      </w:r>
      <w:r w:rsidRPr="00692A9A">
        <w:rPr>
          <w:noProof/>
        </w:rPr>
        <w:t xml:space="preserve">Claxton, Martin, et al. </w:t>
      </w:r>
      <w:r>
        <w:rPr>
          <w:noProof/>
        </w:rPr>
        <w:t>(</w:t>
      </w:r>
      <w:r w:rsidRPr="00692A9A">
        <w:rPr>
          <w:noProof/>
        </w:rPr>
        <w:t>2015)</w:t>
      </w:r>
      <w:r>
        <w:fldChar w:fldCharType="end"/>
      </w:r>
      <w:r>
        <w:t xml:space="preserve">, chapter 3 and appendix 2 (in particular tables 85, p.316-317, and 86, pp.318-323), as a starting point. We also adopt the same approach and assumptions when using estimated mortality effects of changes in expenditure as a surrogate for the likely effects on a more complete measure of health outcome (QALY). Therefore, for more details on model selection, see chapter 3 and appendix 2 of </w:t>
      </w:r>
      <w:r>
        <w:fldChar w:fldCharType="begin" w:fldLock="1"/>
      </w:r>
      <w: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fldChar w:fldCharType="separate"/>
      </w:r>
      <w:r w:rsidRPr="00692A9A">
        <w:rPr>
          <w:noProof/>
        </w:rPr>
        <w:t xml:space="preserve">Claxton, Martin, et al. </w:t>
      </w:r>
      <w:r>
        <w:rPr>
          <w:noProof/>
        </w:rPr>
        <w:t>(</w:t>
      </w:r>
      <w:r w:rsidRPr="00692A9A">
        <w:rPr>
          <w:noProof/>
        </w:rPr>
        <w:t>2015)</w:t>
      </w:r>
      <w:r>
        <w:fldChar w:fldCharType="end"/>
      </w:r>
      <w:r>
        <w:t xml:space="preserve">, and for data and assumptions required to link estimated elasticities to results expressed in terms of cost per QALY, see chapter 4 of </w:t>
      </w:r>
      <w:r>
        <w:fldChar w:fldCharType="begin" w:fldLock="1"/>
      </w:r>
      <w: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fldChar w:fldCharType="separate"/>
      </w:r>
      <w:r w:rsidRPr="00692A9A">
        <w:rPr>
          <w:noProof/>
        </w:rPr>
        <w:t xml:space="preserve">Claxton, Martin, et al. </w:t>
      </w:r>
      <w:r>
        <w:rPr>
          <w:noProof/>
        </w:rPr>
        <w:t>(</w:t>
      </w:r>
      <w:r w:rsidRPr="00692A9A">
        <w:rPr>
          <w:noProof/>
        </w:rPr>
        <w:t>2015)</w:t>
      </w:r>
      <w:r>
        <w:fldChar w:fldCharType="end"/>
      </w:r>
      <w:r>
        <w:t>.</w:t>
      </w:r>
    </w:p>
    <w:p w:rsidR="00A82676" w:rsidRDefault="00A82676" w:rsidP="00A82676">
      <w:pPr>
        <w:spacing w:line="240" w:lineRule="auto"/>
      </w:pPr>
      <w:r>
        <w:t xml:space="preserve">Given the limited number of observations, with only 84 PCTs in the under target PCT sub-group and 65 in the over target PCT sub-group in 2008/09, there are concerns around the extent to which the data can adequately reflect true signal in the presence of noisy variables. This concern is intensified given the need to control for heterogeneity as well as concerns around endogeneity, with well-known potential losses in precision when using an IV estimator (see e.g. </w:t>
      </w:r>
      <w:r>
        <w:fldChar w:fldCharType="begin" w:fldLock="1"/>
      </w:r>
      <w:r>
        <w:instrText>ADDIN CSL_CITATION { "citationItems" : [ { "id" : "ITEM-1", "itemData" : { "DOI" : "10.1097/01.ede.0000215160.88317.cb", "ISSN" : "1044-3983", "PMID" : "16617274", "abstract" : "To correct for confounding, the method of instrumental variables (IV) has been proposed. Its use in medical literature is still rather limited because of unfamiliarity or inapplicability. By introducing the method in a nontechnical way, we show that IV in a linear model is quite easy to understand and easy to apply once an appropriate instrumental variable has been identified. We also point out some limitations of the IV estimator when the instrumental variable is only weakly correlated with the exposure. The IV estimator will be imprecise (large standard error), biased when sample size is small, and biased in large samples when one of the assumptions is only slightly violated. For these reasons, it is advised to use an IV that is strongly correlated with exposure. However, we further show that under the assumptions required for the validity of the method, this correlation between IV and exposure is limited. Its maximum is low when confounding is strong, such as in case of confounding by indication. Finally, we show that in a study in which strong confounding is to be expected and an IV has been used that is moderately or strongly related to exposure, it is likely that the assumptions of IV are violated, resulting in a biased effect estimate. We conclude that instrumental variables can be useful in case of moderate confounding but are less useful when strong confounding exists, because strong instruments cannot be found and assumptions will be easily violated.", "author" : [ { "dropping-particle" : "", "family" : "Martens", "given" : "Edwin P", "non-dropping-particle" : "", "parse-names" : false, "suffix" : "" }, { "dropping-particle" : "", "family" : "Pestman", "given" : "Wiebe R", "non-dropping-particle" : "", "parse-names" : false, "suffix" : "" }, { "dropping-particle" : "", "family" : "Boer", "given" : "Anthonius", "non-dropping-particle" : "de", "parse-names" : false, "suffix" : "" }, { "dropping-particle" : "V", "family" : "Belitser", "given" : "Svetlana", "non-dropping-particle" : "", "parse-names" : false, "suffix" : "" }, { "dropping-particle" : "", "family" : "Klungel", "given" : "Olaf H", "non-dropping-particle" : "", "parse-names" : false, "suffix" : "" } ], "container-title" : "Epidemiology (Cambridge, Mass.)", "id" : "ITEM-1", "issue" : "3", "issued" : { "date-parts" : [ [ "2006", "5" ] ] }, "page" : "260-7", "title" : "Instrumental variables: application and limitations.", "type" : "article-journal", "volume" : "17" }, "uris" : [ "http://www.mendeley.com/documents/?uuid=1628d212-fc9e-483a-8ec8-0d2d8bbbfdf7" ] } ], "mendeley" : { "formattedCitation" : "(Martens et al. 2006)", "manualFormatting" : "Martens et al., 2006)", "plainTextFormattedCitation" : "(Martens et al. 2006)", "previouslyFormattedCitation" : "(Martens et al. 2006)" }, "properties" : { "noteIndex" : 0 }, "schema" : "https://github.com/citation-style-language/schema/raw/master/csl-citation.json" }</w:instrText>
      </w:r>
      <w:r>
        <w:fldChar w:fldCharType="separate"/>
      </w:r>
      <w:r w:rsidRPr="00BB573B">
        <w:rPr>
          <w:noProof/>
        </w:rPr>
        <w:t>Martens et al.</w:t>
      </w:r>
      <w:r>
        <w:rPr>
          <w:noProof/>
        </w:rPr>
        <w:t>,</w:t>
      </w:r>
      <w:r w:rsidRPr="00BB573B">
        <w:rPr>
          <w:noProof/>
        </w:rPr>
        <w:t xml:space="preserve"> 2006)</w:t>
      </w:r>
      <w:r>
        <w:fldChar w:fldCharType="end"/>
      </w:r>
      <w:r>
        <w:t>. For this reason, we only wish to use sub-group specific elasticities when they are found to be statistically different from the other sub-group. If this is not the case, then we use the elasticity estimated using the whole sample of PCTs. In order to establish in which PBCs there is demonstrated statistical difference between PCT sub-groups we use a rule based on a p-value threshold, where a range of cut-off points are considered. At one extreme a cut-off of p=1 represents an assumption that all variation in elasticities represents signal, and not noise. At the other end of the spectrum a cut-off of p=0 implies that we believe that all variation is noise and that the sub-group specific elasticities do not systematically differ.</w:t>
      </w:r>
    </w:p>
    <w:p w:rsidR="00A82676" w:rsidRDefault="00A82676" w:rsidP="00A82676">
      <w:pPr>
        <w:spacing w:line="240" w:lineRule="auto"/>
      </w:pPr>
      <w:r>
        <w:t xml:space="preserve">The combined effect of significant differences in outcome and expenditure elasticities (productivity within a PBC and allocation between PBCs) are expected to provide results that are consistent with diminishing marginal returns to health expenditure.  For example, our expectation is that the significantly different outcome elasticities will tend to have a higher magnitude for those PCTs that are under their target allocation (are under more financial pressure), possibly reflecting the prioritisation of more cost-effective treatments within each PBC.  We would also expect higher expenditure elasticities for those PBCs that are more productive (offer lower cost per QALY) and lower elasticities for those that are less productive (offer higher cost per QALY).  Although productivity by PBC can be inferred from this type of analysis  (see table 178 of </w:t>
      </w:r>
      <w:r>
        <w:fldChar w:fldCharType="begin" w:fldLock="1"/>
      </w:r>
      <w: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fldChar w:fldCharType="separate"/>
      </w:r>
      <w:r w:rsidRPr="00692A9A">
        <w:rPr>
          <w:noProof/>
        </w:rPr>
        <w:t xml:space="preserve">Claxton, Martin, et al. </w:t>
      </w:r>
      <w:r>
        <w:rPr>
          <w:noProof/>
        </w:rPr>
        <w:t>(</w:t>
      </w:r>
      <w:r w:rsidRPr="00692A9A">
        <w:rPr>
          <w:noProof/>
        </w:rPr>
        <w:t>2015)</w:t>
      </w:r>
      <w:r>
        <w:fldChar w:fldCharType="end"/>
      </w:r>
      <w:r>
        <w:t xml:space="preserve">, differences should not be over-interpreted because expenditure in one PBC may contribute to improvement health outcomes in others. In </w:t>
      </w:r>
      <w:proofErr w:type="spellStart"/>
      <w:r>
        <w:t>addition</w:t>
      </w:r>
      <w:proofErr w:type="gramStart"/>
      <w:r>
        <w:t>,the</w:t>
      </w:r>
      <w:proofErr w:type="spellEnd"/>
      <w:proofErr w:type="gramEnd"/>
      <w:r>
        <w:t xml:space="preserve"> assumption of proportionality between the effect of changes in expenditure on the QALY burden disease and the estimated proportionate effect on mortality burden may be more appropriate for some PBCs than others. </w:t>
      </w:r>
    </w:p>
    <w:p w:rsidR="00A82676" w:rsidRDefault="00A82676" w:rsidP="00A82676">
      <w:pPr>
        <w:pStyle w:val="Heading2"/>
        <w:numPr>
          <w:ilvl w:val="1"/>
          <w:numId w:val="8"/>
        </w:numPr>
        <w:spacing w:line="240" w:lineRule="auto"/>
      </w:pPr>
      <w:bookmarkStart w:id="12" w:name="_Toc437279997"/>
      <w:r>
        <w:lastRenderedPageBreak/>
        <w:t>Two approaches to estimating sub-group specific elasticities: using an interaction term</w:t>
      </w:r>
      <w:bookmarkEnd w:id="12"/>
      <w:r>
        <w:t xml:space="preserve"> and estimating separately on each sub-sample</w:t>
      </w:r>
    </w:p>
    <w:p w:rsidR="00A82676" w:rsidRDefault="00A82676" w:rsidP="00A82676">
      <w:pPr>
        <w:pStyle w:val="Heading3"/>
        <w:spacing w:line="240" w:lineRule="auto"/>
      </w:pPr>
      <w:bookmarkStart w:id="13" w:name="_Toc437279998"/>
      <w:r>
        <w:t>Econometric specification</w:t>
      </w:r>
      <w:bookmarkEnd w:id="13"/>
      <w:r>
        <w:t>s</w:t>
      </w:r>
    </w:p>
    <w:p w:rsidR="00A82676" w:rsidRDefault="00A82676" w:rsidP="00A82676">
      <w:pPr>
        <w:pStyle w:val="Heading4"/>
      </w:pPr>
      <w:r>
        <w:t>Interaction term approach</w:t>
      </w:r>
    </w:p>
    <w:p w:rsidR="00A82676" w:rsidRDefault="00A82676" w:rsidP="00A82676">
      <w:pPr>
        <w:spacing w:line="240" w:lineRule="auto"/>
      </w:pPr>
      <w:r>
        <w:t xml:space="preserve">Our primary interest in looking into the different sub-groups is the different expenditure and outcome elasticities that they might have. As such, the most intuitive approach would be to use the all-PCT model specification, but to include an additional sub-group interaction term applied to the variable of interest. This method restricts the covariates and IVs used to be the same between different PCT sub-groups, and also the </w:t>
      </w:r>
      <w:proofErr w:type="gramStart"/>
      <w:r>
        <w:t>coefficients estimated on these, but allows</w:t>
      </w:r>
      <w:proofErr w:type="gramEnd"/>
      <w:r>
        <w:t xml:space="preserve"> the treatment effect of interest (the expenditure/outcome elasticity) to vary between the sub-groups.</w:t>
      </w:r>
    </w:p>
    <w:p w:rsidR="00A82676" w:rsidRDefault="00A82676" w:rsidP="00A82676">
      <w:pPr>
        <w:spacing w:line="240" w:lineRule="auto"/>
      </w:pPr>
      <w:r>
        <w:t xml:space="preserve">In terms of expenditure equations, this is straightforward to implement owing to the variable of interest, NHS expenditure, being considered as an exogenous variable (with other programme need as endogenous). When estimating outcome equations the variable of interest, PBC expenditure, is itself endogenous, which means that any interaction term involving this variable will also be endogenous. As a result it is necessary to instrument both the PBC expenditure and the interaction term with PCT sub-group. We implement an approach that was discovered suggested by Angrist </w:t>
      </w:r>
      <w:r>
        <w:fldChar w:fldCharType="begin" w:fldLock="1"/>
      </w:r>
      <w:r>
        <w:instrText>ADDIN CSL_CITATION { "citationItems" : [ { "id" : "ITEM-1", "itemData" : { "URL" : "http://www.mostlyharmlesseconometrics.com/2010/02/multiple-endogenous-variables-what-now/", "accessed" : { "date-parts" : [ [ "2015", "12", "7" ] ] }, "author" : [ { "dropping-particle" : "", "family" : "Angrist", "given" : "Joshua D.", "non-dropping-particle" : "", "parse-names" : false, "suffix" : "" }, { "dropping-particle" : "", "family" : "Pischke", "given" : "J\u00f6rn-Steffen", "non-dropping-particle" : "", "parse-names" : false, "suffix" : "" } ], "id" : "ITEM-1", "issued" : { "date-parts" : [ [ "2010" ] ] }, "title" : "Multiple endogenous variables \u2013 now what?!", "type" : "webpage" }, "uris" : [ "http://www.mendeley.com/documents/?uuid=0dcb00e6-b39c-4a68-9f9b-ec9cdb917b49", "http://www.mendeley.com/documents/?uuid=b579aa02-435e-42ba-bb88-70aeaf86d160" ] } ], "mendeley" : { "formattedCitation" : "(Angrist &amp; Pischke 2010)", "plainTextFormattedCitation" : "(Angrist &amp; Pischke 2010)", "previouslyFormattedCitation" : "(Angrist &amp; Pischke 2010)" }, "properties" : { "noteIndex" : 0 }, "schema" : "https://github.com/citation-style-language/schema/raw/master/csl-citation.json" }</w:instrText>
      </w:r>
      <w:r>
        <w:fldChar w:fldCharType="separate"/>
      </w:r>
      <w:r w:rsidRPr="004D321E">
        <w:rPr>
          <w:noProof/>
        </w:rPr>
        <w:t>(Angrist &amp; Pischke 2010)</w:t>
      </w:r>
      <w:r>
        <w:fldChar w:fldCharType="end"/>
      </w:r>
      <w:r>
        <w:t>, which has been applied elsewhere (</w:t>
      </w:r>
      <w:r>
        <w:fldChar w:fldCharType="begin" w:fldLock="1"/>
      </w:r>
      <w:r>
        <w:instrText>ADDIN CSL_CITATION { "citationItems" : [ { "id" : "ITEM-1", "itemData" : { "DOI" : "10.1111/rssa.12048", "ISSN" : "0964-1998", "PMID" : "25598588", "abstract" : "Progress towards universal health coverage involves providing people with access to needed health services without entailing financial hardship and is often advocated on the grounds that it improves population health. The paper offers econometric evidence on the effects of health coverage on mortality outcomes at the national level. We use a large panel data set of countries, examined by using instrumental variable specifications that explicitly allow for potential reverse causality and unobserved country-specific characteristics. We employ various proxies for the coverage level in a health system. Our results indicate that expanded health coverage, particularly through higher levels of publicly funded health spending, results in lower child and adult mortality, with the beneficial effect on child mortality being larger in poorer countries.", "author" : [ { "dropping-particle" : "", "family" : "Moreno-Serra", "given" : "Rodrigo", "non-dropping-particle" : "", "parse-names" : false, "suffix" : "" }, { "dropping-particle" : "", "family" : "Smith", "given" : "Peter C", "non-dropping-particle" : "", "parse-names" : false, "suffix" : "" } ], "container-title" : "Journal of the Royal Statistical Society. Series A, (Statistics in Society)", "id" : "ITEM-1", "issued" : { "date-parts" : [ [ "2015" ] ] }, "title" : "Broader health coverage is good for the nation's health: evidence from country level panel data.", "type" : "article-journal" }, "uris" : [ "http://www.mendeley.com/documents/?uuid=8dcf8ade-1368-4cd3-bc5b-f74731ce225f", "http://www.mendeley.com/documents/?uuid=54d7908c-97d0-436e-8b65-3d7968ea25f5" ] } ], "mendeley" : { "formattedCitation" : "(Moreno-Serra &amp; Smith 2015)", "manualFormatting" : "Moreno-Serra &amp; Smith (2015)", "plainTextFormattedCitation" : "(Moreno-Serra &amp; Smith 2015)", "previouslyFormattedCitation" : "(Moreno-Serra &amp; Smith 2015)" }, "properties" : { "noteIndex" : 0 }, "schema" : "https://github.com/citation-style-language/schema/raw/master/csl-citation.json" }</w:instrText>
      </w:r>
      <w:r>
        <w:fldChar w:fldCharType="separate"/>
      </w:r>
      <w:r w:rsidRPr="004D321E">
        <w:rPr>
          <w:noProof/>
        </w:rPr>
        <w:t xml:space="preserve">Moreno-Serra &amp; Smith </w:t>
      </w:r>
      <w:r>
        <w:rPr>
          <w:noProof/>
        </w:rPr>
        <w:t>(</w:t>
      </w:r>
      <w:r w:rsidRPr="004D321E">
        <w:rPr>
          <w:noProof/>
        </w:rPr>
        <w:t>2015)</w:t>
      </w:r>
      <w:r>
        <w:fldChar w:fldCharType="end"/>
      </w:r>
      <w:r>
        <w:t>), where both the treatment variable and the interaction term are instrumented using treatment variable IVs and these IVs interacted with the sub-group variable. This approach should be valid when the sub-group variable can itself be assumed to be exogenous. In our context this implies instrumenting both PBC expenditure and interaction term with PCT sub-group</w:t>
      </w:r>
      <w:r>
        <w:rPr>
          <w:rStyle w:val="FootnoteReference"/>
        </w:rPr>
        <w:footnoteReference w:id="8"/>
      </w:r>
      <w:r>
        <w:t xml:space="preserve"> using the IVs employed in the all-PCT model for PBC expenditure and each of these interacted the PCT sub-group variable.</w:t>
      </w:r>
    </w:p>
    <w:p w:rsidR="00A82676" w:rsidRDefault="00A82676" w:rsidP="00A82676">
      <w:pPr>
        <w:spacing w:line="240" w:lineRule="auto"/>
      </w:pPr>
      <w:r>
        <w:t>To determine whether the sub-group specific elasticities are statistically different from each other, in both cases of outcome and expenditure equations we use the p-value on the interaction term with the variable of interest.</w:t>
      </w:r>
    </w:p>
    <w:p w:rsidR="00A82676" w:rsidRDefault="00A82676" w:rsidP="00A82676">
      <w:pPr>
        <w:pStyle w:val="Heading4"/>
      </w:pPr>
      <w:r>
        <w:t>Sub-sample estimation approach</w:t>
      </w:r>
    </w:p>
    <w:p w:rsidR="00A82676" w:rsidRDefault="00A82676" w:rsidP="00A82676">
      <w:pPr>
        <w:spacing w:line="240" w:lineRule="auto"/>
      </w:pPr>
      <w:r>
        <w:t>A key assumption in the interaction term approach is that the financial allocation being over or under target for a PCT is randomly assigned, or is at least unrelated to health outcomes. This is unlikely to hold since changes in allocation between PCTs are likely to be based on past and expected health outcomes. In addition, the interaction term method restricts estimated effects of all covariates beside the elasticity under consideration to be the same for both sub-groups of PCT. An alternative approach is to divide the sample and estimate the same equations on each sub-group of PCTs separately.</w:t>
      </w:r>
      <w:r>
        <w:rPr>
          <w:rStyle w:val="FootnoteReference"/>
        </w:rPr>
        <w:footnoteReference w:id="9"/>
      </w:r>
      <w:r>
        <w:t xml:space="preserve"> Clearly, the drawback of this approach is that there are relatively few observations within each sub-sample on which the regression models are estimated.</w:t>
      </w:r>
    </w:p>
    <w:p w:rsidR="00A82676" w:rsidRDefault="00A82676" w:rsidP="00A82676">
      <w:pPr>
        <w:spacing w:line="240" w:lineRule="auto"/>
      </w:pPr>
      <w:r>
        <w:t>To determine whether the sub-group specific elasticities are statistically different from each other, in both cases of outcome and expenditure equations we use the p-value of the difference of the estimated coefficients for each PCT sub-group using Welch’s t-test assuming unequal variances.</w:t>
      </w:r>
    </w:p>
    <w:p w:rsidR="00A82676" w:rsidRDefault="00A82676" w:rsidP="00A82676">
      <w:pPr>
        <w:pStyle w:val="Heading3"/>
      </w:pPr>
      <w:r>
        <w:t>Differences in estimated elasticities using the two approaches</w:t>
      </w:r>
    </w:p>
    <w:p w:rsidR="00A82676" w:rsidRPr="002C1456" w:rsidRDefault="00A82676" w:rsidP="00A82676">
      <w:pPr>
        <w:pStyle w:val="Heading4"/>
      </w:pPr>
      <w:r>
        <w:t>Outcome elasticities</w:t>
      </w:r>
    </w:p>
    <w:p w:rsidR="00A82676" w:rsidRDefault="00A82676" w:rsidP="00A82676">
      <w:pPr>
        <w:spacing w:line="240" w:lineRule="auto"/>
      </w:pPr>
      <w:r>
        <w:t xml:space="preserve">First we consider the differences in outcome elasticities between the under and over target PCTs with the two implemented model specifications. In </w:t>
      </w:r>
      <w:r>
        <w:fldChar w:fldCharType="begin"/>
      </w:r>
      <w:r>
        <w:instrText xml:space="preserve"> REF _Ref446342064 \h </w:instrText>
      </w:r>
      <w:r>
        <w:fldChar w:fldCharType="separate"/>
      </w:r>
      <w:r>
        <w:t xml:space="preserve">Table </w:t>
      </w:r>
      <w:r>
        <w:rPr>
          <w:noProof/>
        </w:rPr>
        <w:t>2</w:t>
      </w:r>
      <w:r>
        <w:fldChar w:fldCharType="end"/>
      </w:r>
      <w:r>
        <w:t xml:space="preserve"> we report the sign of the difference in </w:t>
      </w:r>
      <w:r>
        <w:lastRenderedPageBreak/>
        <w:t>the magnitude, which would be expected to be higher for under target PCTs given the diminishing marginal returns argument, and whether or not the difference is statistically significant (p&lt;0.1).</w:t>
      </w:r>
    </w:p>
    <w:p w:rsidR="00A82676" w:rsidRDefault="00A82676" w:rsidP="00A82676">
      <w:pPr>
        <w:pStyle w:val="Caption"/>
        <w:keepNext/>
      </w:pPr>
      <w:bookmarkStart w:id="14" w:name="_Ref446342064"/>
      <w:r>
        <w:t xml:space="preserve">Table </w:t>
      </w:r>
      <w:fldSimple w:instr=" SEQ Table \* ARABIC ">
        <w:r>
          <w:rPr>
            <w:noProof/>
          </w:rPr>
          <w:t>2</w:t>
        </w:r>
      </w:fldSimple>
      <w:bookmarkEnd w:id="14"/>
      <w:r>
        <w:t xml:space="preserve"> - </w:t>
      </w:r>
      <w:r w:rsidRPr="00F755D7">
        <w:t>Summary of</w:t>
      </w:r>
      <w:r>
        <w:t xml:space="preserve"> outcome</w:t>
      </w:r>
      <w:r w:rsidRPr="00F755D7">
        <w:t xml:space="preserve"> elasticities results for over and under target PCTs by PBCs</w:t>
      </w:r>
    </w:p>
    <w:tbl>
      <w:tblPr>
        <w:tblStyle w:val="TableGrid"/>
        <w:tblW w:w="0" w:type="auto"/>
        <w:tblLook w:val="04A0" w:firstRow="1" w:lastRow="0" w:firstColumn="1" w:lastColumn="0" w:noHBand="0" w:noVBand="1"/>
      </w:tblPr>
      <w:tblGrid>
        <w:gridCol w:w="845"/>
        <w:gridCol w:w="1742"/>
        <w:gridCol w:w="1662"/>
        <w:gridCol w:w="1665"/>
        <w:gridCol w:w="1662"/>
        <w:gridCol w:w="1666"/>
      </w:tblGrid>
      <w:tr w:rsidR="00A84C24" w:rsidTr="008F264A">
        <w:tc>
          <w:tcPr>
            <w:tcW w:w="845" w:type="dxa"/>
          </w:tcPr>
          <w:p w:rsidR="00A84C24" w:rsidRDefault="00A84C24" w:rsidP="008F264A"/>
        </w:tc>
        <w:tc>
          <w:tcPr>
            <w:tcW w:w="1742" w:type="dxa"/>
          </w:tcPr>
          <w:p w:rsidR="00A84C24" w:rsidRDefault="00A84C24" w:rsidP="008F264A"/>
        </w:tc>
        <w:tc>
          <w:tcPr>
            <w:tcW w:w="3327" w:type="dxa"/>
            <w:gridSpan w:val="2"/>
          </w:tcPr>
          <w:p w:rsidR="00A84C24" w:rsidRDefault="00A84C24" w:rsidP="008F264A">
            <w:r>
              <w:t>Interaction term approach</w:t>
            </w:r>
          </w:p>
        </w:tc>
        <w:tc>
          <w:tcPr>
            <w:tcW w:w="3328" w:type="dxa"/>
            <w:gridSpan w:val="2"/>
          </w:tcPr>
          <w:p w:rsidR="00A84C24" w:rsidRDefault="00A84C24" w:rsidP="008F264A">
            <w:r>
              <w:t>Sub-sample estimation approach</w:t>
            </w:r>
          </w:p>
        </w:tc>
      </w:tr>
      <w:tr w:rsidR="00A84C24" w:rsidTr="008F264A">
        <w:tc>
          <w:tcPr>
            <w:tcW w:w="845" w:type="dxa"/>
          </w:tcPr>
          <w:p w:rsidR="00A84C24" w:rsidRDefault="00A84C24" w:rsidP="008F264A">
            <w:r>
              <w:t>PBC</w:t>
            </w:r>
          </w:p>
        </w:tc>
        <w:tc>
          <w:tcPr>
            <w:tcW w:w="1742" w:type="dxa"/>
          </w:tcPr>
          <w:p w:rsidR="00A84C24" w:rsidRDefault="00A84C24" w:rsidP="008F264A">
            <w:r>
              <w:t>PBC label</w:t>
            </w:r>
          </w:p>
        </w:tc>
        <w:tc>
          <w:tcPr>
            <w:tcW w:w="1662" w:type="dxa"/>
          </w:tcPr>
          <w:p w:rsidR="00A84C24" w:rsidRDefault="00A84C24" w:rsidP="008F264A">
            <w:r>
              <w:t>Magnitude of outcome elasticity for under target PCTs relative to over target PCTs</w:t>
            </w:r>
          </w:p>
        </w:tc>
        <w:tc>
          <w:tcPr>
            <w:tcW w:w="1665" w:type="dxa"/>
          </w:tcPr>
          <w:p w:rsidR="00A84C24" w:rsidRDefault="00A84C24" w:rsidP="008F264A">
            <w:r>
              <w:t>Is difference statistically significant using cut-off p=0.1?</w:t>
            </w:r>
          </w:p>
        </w:tc>
        <w:tc>
          <w:tcPr>
            <w:tcW w:w="1662" w:type="dxa"/>
          </w:tcPr>
          <w:p w:rsidR="00A84C24" w:rsidRDefault="00A84C24" w:rsidP="008F264A">
            <w:r>
              <w:t>Magnitude of outcome elasticity for under target PCTs relative to over target PCTs</w:t>
            </w:r>
          </w:p>
        </w:tc>
        <w:tc>
          <w:tcPr>
            <w:tcW w:w="1666" w:type="dxa"/>
          </w:tcPr>
          <w:p w:rsidR="00A84C24" w:rsidRDefault="00A84C24" w:rsidP="008F264A">
            <w:r>
              <w:t>Is difference statistically significant using cut-off p=0.1?</w:t>
            </w:r>
          </w:p>
        </w:tc>
      </w:tr>
      <w:tr w:rsidR="00A84C24" w:rsidTr="008F264A">
        <w:tc>
          <w:tcPr>
            <w:tcW w:w="845" w:type="dxa"/>
          </w:tcPr>
          <w:p w:rsidR="00A84C24" w:rsidRDefault="00A84C24" w:rsidP="008F264A">
            <w:r>
              <w:t>2</w:t>
            </w:r>
          </w:p>
        </w:tc>
        <w:tc>
          <w:tcPr>
            <w:tcW w:w="1742" w:type="dxa"/>
          </w:tcPr>
          <w:p w:rsidR="00A84C24" w:rsidRPr="0009736F" w:rsidRDefault="00A84C24" w:rsidP="008F264A">
            <w:pPr>
              <w:rPr>
                <w:rFonts w:ascii="Calibri" w:hAnsi="Calibri"/>
                <w:color w:val="000000"/>
              </w:rPr>
            </w:pPr>
            <w:r>
              <w:rPr>
                <w:rFonts w:ascii="Calibri" w:hAnsi="Calibri"/>
                <w:color w:val="000000"/>
              </w:rPr>
              <w:t>Cancer</w:t>
            </w:r>
          </w:p>
        </w:tc>
        <w:tc>
          <w:tcPr>
            <w:tcW w:w="1662" w:type="dxa"/>
          </w:tcPr>
          <w:p w:rsidR="00A84C24" w:rsidRDefault="00A84C24" w:rsidP="008F264A">
            <w:r>
              <w:t>Lower</w:t>
            </w:r>
          </w:p>
        </w:tc>
        <w:tc>
          <w:tcPr>
            <w:tcW w:w="1665" w:type="dxa"/>
          </w:tcPr>
          <w:p w:rsidR="00A84C24" w:rsidRDefault="00A84C24" w:rsidP="008F264A">
            <w:r>
              <w:t>No</w:t>
            </w:r>
          </w:p>
        </w:tc>
        <w:tc>
          <w:tcPr>
            <w:tcW w:w="1662" w:type="dxa"/>
          </w:tcPr>
          <w:p w:rsidR="00A84C24" w:rsidRPr="00E55912" w:rsidRDefault="00A84C24" w:rsidP="008F264A">
            <w:pPr>
              <w:rPr>
                <w:b/>
              </w:rPr>
            </w:pPr>
            <w:r w:rsidRPr="00E55912">
              <w:rPr>
                <w:b/>
              </w:rPr>
              <w:t>Higher</w:t>
            </w:r>
          </w:p>
        </w:tc>
        <w:tc>
          <w:tcPr>
            <w:tcW w:w="1666" w:type="dxa"/>
          </w:tcPr>
          <w:p w:rsidR="00A84C24" w:rsidRDefault="00A84C24" w:rsidP="008F264A">
            <w:r>
              <w:t>No</w:t>
            </w:r>
          </w:p>
        </w:tc>
      </w:tr>
      <w:tr w:rsidR="00A84C24" w:rsidTr="008F264A">
        <w:tc>
          <w:tcPr>
            <w:tcW w:w="845" w:type="dxa"/>
          </w:tcPr>
          <w:p w:rsidR="00A84C24" w:rsidRDefault="00A84C24" w:rsidP="008F264A">
            <w:r>
              <w:t>10</w:t>
            </w:r>
          </w:p>
        </w:tc>
        <w:tc>
          <w:tcPr>
            <w:tcW w:w="1742" w:type="dxa"/>
          </w:tcPr>
          <w:p w:rsidR="00A84C24" w:rsidRPr="0009736F" w:rsidRDefault="00A84C24" w:rsidP="008F264A">
            <w:pPr>
              <w:rPr>
                <w:rFonts w:ascii="Calibri" w:hAnsi="Calibri"/>
                <w:color w:val="000000"/>
              </w:rPr>
            </w:pPr>
            <w:r>
              <w:rPr>
                <w:rFonts w:ascii="Calibri" w:hAnsi="Calibri"/>
                <w:color w:val="000000"/>
              </w:rPr>
              <w:t>Circulatory</w:t>
            </w:r>
          </w:p>
        </w:tc>
        <w:tc>
          <w:tcPr>
            <w:tcW w:w="1662" w:type="dxa"/>
          </w:tcPr>
          <w:p w:rsidR="00A84C24" w:rsidRPr="00FA0FB5" w:rsidRDefault="00A84C24" w:rsidP="008F264A">
            <w:pPr>
              <w:rPr>
                <w:b/>
              </w:rPr>
            </w:pPr>
            <w:r w:rsidRPr="00FA0FB5">
              <w:rPr>
                <w:b/>
              </w:rPr>
              <w:t>Higher</w:t>
            </w:r>
          </w:p>
        </w:tc>
        <w:tc>
          <w:tcPr>
            <w:tcW w:w="1665" w:type="dxa"/>
          </w:tcPr>
          <w:p w:rsidR="00A84C24" w:rsidRDefault="00A84C24" w:rsidP="008F264A">
            <w:r>
              <w:t>No</w:t>
            </w:r>
          </w:p>
        </w:tc>
        <w:tc>
          <w:tcPr>
            <w:tcW w:w="1662" w:type="dxa"/>
          </w:tcPr>
          <w:p w:rsidR="00A84C24" w:rsidRPr="00E55912" w:rsidRDefault="00A84C24" w:rsidP="008F264A">
            <w:pPr>
              <w:rPr>
                <w:b/>
              </w:rPr>
            </w:pPr>
            <w:r w:rsidRPr="00E55912">
              <w:rPr>
                <w:b/>
              </w:rPr>
              <w:t>Higher</w:t>
            </w:r>
          </w:p>
        </w:tc>
        <w:tc>
          <w:tcPr>
            <w:tcW w:w="1666" w:type="dxa"/>
          </w:tcPr>
          <w:p w:rsidR="00A84C24" w:rsidRPr="008A30DF" w:rsidRDefault="00A84C24" w:rsidP="008F264A">
            <w:pPr>
              <w:rPr>
                <w:b/>
              </w:rPr>
            </w:pPr>
            <w:r w:rsidRPr="008A30DF">
              <w:rPr>
                <w:b/>
              </w:rPr>
              <w:t>Yes</w:t>
            </w:r>
          </w:p>
        </w:tc>
      </w:tr>
      <w:tr w:rsidR="00A84C24" w:rsidTr="008F264A">
        <w:tc>
          <w:tcPr>
            <w:tcW w:w="845" w:type="dxa"/>
          </w:tcPr>
          <w:p w:rsidR="00A84C24" w:rsidRDefault="00A84C24" w:rsidP="008F264A">
            <w:r>
              <w:t>11</w:t>
            </w:r>
          </w:p>
        </w:tc>
        <w:tc>
          <w:tcPr>
            <w:tcW w:w="1742" w:type="dxa"/>
          </w:tcPr>
          <w:p w:rsidR="00A84C24" w:rsidRPr="0009736F" w:rsidRDefault="00A84C24" w:rsidP="008F264A">
            <w:pPr>
              <w:rPr>
                <w:rFonts w:ascii="Calibri" w:hAnsi="Calibri"/>
                <w:color w:val="000000"/>
              </w:rPr>
            </w:pPr>
            <w:r>
              <w:rPr>
                <w:rFonts w:ascii="Calibri" w:hAnsi="Calibri"/>
                <w:color w:val="000000"/>
              </w:rPr>
              <w:t>Respiratory</w:t>
            </w:r>
          </w:p>
        </w:tc>
        <w:tc>
          <w:tcPr>
            <w:tcW w:w="1662" w:type="dxa"/>
          </w:tcPr>
          <w:p w:rsidR="00A84C24" w:rsidRPr="00FA0FB5" w:rsidRDefault="00A84C24" w:rsidP="008F264A">
            <w:pPr>
              <w:rPr>
                <w:b/>
              </w:rPr>
            </w:pPr>
            <w:r w:rsidRPr="00FA0FB5">
              <w:rPr>
                <w:b/>
              </w:rPr>
              <w:t>Higher</w:t>
            </w:r>
          </w:p>
        </w:tc>
        <w:tc>
          <w:tcPr>
            <w:tcW w:w="1665" w:type="dxa"/>
          </w:tcPr>
          <w:p w:rsidR="00A84C24" w:rsidRPr="00FA0FB5" w:rsidRDefault="00A84C24" w:rsidP="008F264A">
            <w:pPr>
              <w:rPr>
                <w:b/>
              </w:rPr>
            </w:pPr>
            <w:r w:rsidRPr="00FA0FB5">
              <w:rPr>
                <w:b/>
              </w:rPr>
              <w:t>Yes</w:t>
            </w:r>
          </w:p>
        </w:tc>
        <w:tc>
          <w:tcPr>
            <w:tcW w:w="1662" w:type="dxa"/>
          </w:tcPr>
          <w:p w:rsidR="00A84C24" w:rsidRPr="00E55912" w:rsidRDefault="00A84C24" w:rsidP="008F264A">
            <w:pPr>
              <w:rPr>
                <w:b/>
              </w:rPr>
            </w:pPr>
            <w:r w:rsidRPr="00E55912">
              <w:rPr>
                <w:b/>
              </w:rPr>
              <w:t>Higher</w:t>
            </w:r>
          </w:p>
        </w:tc>
        <w:tc>
          <w:tcPr>
            <w:tcW w:w="1666" w:type="dxa"/>
          </w:tcPr>
          <w:p w:rsidR="00A84C24" w:rsidRDefault="00A84C24" w:rsidP="008F264A">
            <w:r w:rsidRPr="008926D1">
              <w:t>No</w:t>
            </w:r>
          </w:p>
        </w:tc>
      </w:tr>
      <w:tr w:rsidR="00A84C24" w:rsidTr="008F264A">
        <w:tc>
          <w:tcPr>
            <w:tcW w:w="845" w:type="dxa"/>
          </w:tcPr>
          <w:p w:rsidR="00A84C24" w:rsidRDefault="00A84C24" w:rsidP="008F264A">
            <w:r>
              <w:t>13</w:t>
            </w:r>
          </w:p>
        </w:tc>
        <w:tc>
          <w:tcPr>
            <w:tcW w:w="1742" w:type="dxa"/>
          </w:tcPr>
          <w:p w:rsidR="00A84C24" w:rsidRPr="0009736F" w:rsidRDefault="00A84C24" w:rsidP="008F264A">
            <w:pPr>
              <w:rPr>
                <w:rFonts w:ascii="Calibri" w:hAnsi="Calibri"/>
                <w:color w:val="000000"/>
              </w:rPr>
            </w:pPr>
            <w:r>
              <w:rPr>
                <w:rFonts w:ascii="Calibri" w:hAnsi="Calibri"/>
                <w:color w:val="000000"/>
              </w:rPr>
              <w:t>Gastrointestinal</w:t>
            </w:r>
          </w:p>
        </w:tc>
        <w:tc>
          <w:tcPr>
            <w:tcW w:w="1662" w:type="dxa"/>
          </w:tcPr>
          <w:p w:rsidR="00A84C24" w:rsidRPr="00FA0FB5" w:rsidRDefault="00A84C24" w:rsidP="008F264A">
            <w:pPr>
              <w:rPr>
                <w:b/>
              </w:rPr>
            </w:pPr>
            <w:r w:rsidRPr="00FA0FB5">
              <w:rPr>
                <w:b/>
              </w:rPr>
              <w:t>Higher</w:t>
            </w:r>
          </w:p>
        </w:tc>
        <w:tc>
          <w:tcPr>
            <w:tcW w:w="1665" w:type="dxa"/>
          </w:tcPr>
          <w:p w:rsidR="00A84C24" w:rsidRPr="00FA0FB5" w:rsidRDefault="00A84C24" w:rsidP="008F264A">
            <w:pPr>
              <w:rPr>
                <w:b/>
              </w:rPr>
            </w:pPr>
            <w:r w:rsidRPr="00FA0FB5">
              <w:rPr>
                <w:b/>
              </w:rPr>
              <w:t>Yes</w:t>
            </w:r>
          </w:p>
        </w:tc>
        <w:tc>
          <w:tcPr>
            <w:tcW w:w="1662" w:type="dxa"/>
          </w:tcPr>
          <w:p w:rsidR="00A84C24" w:rsidRPr="00E55912" w:rsidRDefault="00A84C24" w:rsidP="008F264A">
            <w:pPr>
              <w:rPr>
                <w:b/>
              </w:rPr>
            </w:pPr>
            <w:r w:rsidRPr="00E55912">
              <w:rPr>
                <w:b/>
              </w:rPr>
              <w:t>Higher</w:t>
            </w:r>
          </w:p>
        </w:tc>
        <w:tc>
          <w:tcPr>
            <w:tcW w:w="1666" w:type="dxa"/>
          </w:tcPr>
          <w:p w:rsidR="00A84C24" w:rsidRDefault="00A84C24" w:rsidP="008F264A">
            <w:r w:rsidRPr="008926D1">
              <w:t>No</w:t>
            </w:r>
          </w:p>
        </w:tc>
      </w:tr>
      <w:tr w:rsidR="00A84C24" w:rsidTr="008F264A">
        <w:tc>
          <w:tcPr>
            <w:tcW w:w="845" w:type="dxa"/>
          </w:tcPr>
          <w:p w:rsidR="00A84C24" w:rsidRDefault="00A84C24" w:rsidP="008F264A">
            <w:r>
              <w:t>1</w:t>
            </w:r>
          </w:p>
        </w:tc>
        <w:tc>
          <w:tcPr>
            <w:tcW w:w="1742" w:type="dxa"/>
          </w:tcPr>
          <w:p w:rsidR="00A84C24" w:rsidRPr="0009736F" w:rsidRDefault="00A84C24" w:rsidP="008F264A">
            <w:pPr>
              <w:rPr>
                <w:rFonts w:ascii="Calibri" w:hAnsi="Calibri"/>
                <w:color w:val="000000"/>
              </w:rPr>
            </w:pPr>
            <w:r>
              <w:rPr>
                <w:rFonts w:ascii="Calibri" w:hAnsi="Calibri"/>
                <w:color w:val="000000"/>
              </w:rPr>
              <w:t>Infectious diseases</w:t>
            </w:r>
          </w:p>
        </w:tc>
        <w:tc>
          <w:tcPr>
            <w:tcW w:w="1662" w:type="dxa"/>
          </w:tcPr>
          <w:p w:rsidR="00A84C24" w:rsidRDefault="00A84C24" w:rsidP="008F264A">
            <w:r>
              <w:t>Lower</w:t>
            </w:r>
          </w:p>
        </w:tc>
        <w:tc>
          <w:tcPr>
            <w:tcW w:w="1665" w:type="dxa"/>
          </w:tcPr>
          <w:p w:rsidR="00A84C24" w:rsidRDefault="00A84C24" w:rsidP="008F264A">
            <w:r>
              <w:t>No</w:t>
            </w:r>
          </w:p>
        </w:tc>
        <w:tc>
          <w:tcPr>
            <w:tcW w:w="1662" w:type="dxa"/>
          </w:tcPr>
          <w:p w:rsidR="00A84C24" w:rsidRPr="00E55912" w:rsidRDefault="00A84C24" w:rsidP="008F264A">
            <w:pPr>
              <w:rPr>
                <w:b/>
              </w:rPr>
            </w:pPr>
            <w:r w:rsidRPr="00E55912">
              <w:rPr>
                <w:b/>
              </w:rPr>
              <w:t>Higher</w:t>
            </w:r>
          </w:p>
        </w:tc>
        <w:tc>
          <w:tcPr>
            <w:tcW w:w="1666" w:type="dxa"/>
          </w:tcPr>
          <w:p w:rsidR="00A84C24" w:rsidRDefault="00A84C24" w:rsidP="008F264A">
            <w:r w:rsidRPr="008926D1">
              <w:t>No</w:t>
            </w:r>
          </w:p>
        </w:tc>
      </w:tr>
      <w:tr w:rsidR="00A84C24" w:rsidTr="008F264A">
        <w:tc>
          <w:tcPr>
            <w:tcW w:w="845" w:type="dxa"/>
          </w:tcPr>
          <w:p w:rsidR="00A84C24" w:rsidRDefault="00A84C24" w:rsidP="008F264A">
            <w:r>
              <w:t>4</w:t>
            </w:r>
          </w:p>
        </w:tc>
        <w:tc>
          <w:tcPr>
            <w:tcW w:w="1742" w:type="dxa"/>
          </w:tcPr>
          <w:p w:rsidR="00A84C24" w:rsidRPr="0009736F" w:rsidRDefault="00A84C24" w:rsidP="008F264A">
            <w:pPr>
              <w:rPr>
                <w:rFonts w:ascii="Calibri" w:hAnsi="Calibri"/>
                <w:color w:val="000000"/>
              </w:rPr>
            </w:pPr>
            <w:r>
              <w:rPr>
                <w:rFonts w:ascii="Calibri" w:hAnsi="Calibri"/>
                <w:color w:val="000000"/>
              </w:rPr>
              <w:t>Endocrine</w:t>
            </w:r>
          </w:p>
        </w:tc>
        <w:tc>
          <w:tcPr>
            <w:tcW w:w="1662" w:type="dxa"/>
          </w:tcPr>
          <w:p w:rsidR="00A84C24" w:rsidRDefault="00A84C24" w:rsidP="008F264A">
            <w:r>
              <w:t>Lower</w:t>
            </w:r>
          </w:p>
        </w:tc>
        <w:tc>
          <w:tcPr>
            <w:tcW w:w="1665" w:type="dxa"/>
          </w:tcPr>
          <w:p w:rsidR="00A84C24" w:rsidRPr="00FA0FB5" w:rsidRDefault="00A84C24" w:rsidP="008F264A">
            <w:pPr>
              <w:rPr>
                <w:b/>
              </w:rPr>
            </w:pPr>
            <w:r w:rsidRPr="00FA0FB5">
              <w:rPr>
                <w:b/>
              </w:rPr>
              <w:t>Yes</w:t>
            </w:r>
          </w:p>
        </w:tc>
        <w:tc>
          <w:tcPr>
            <w:tcW w:w="1662" w:type="dxa"/>
          </w:tcPr>
          <w:p w:rsidR="00A84C24" w:rsidRDefault="00A84C24" w:rsidP="008F264A">
            <w:r>
              <w:t>Lower</w:t>
            </w:r>
          </w:p>
        </w:tc>
        <w:tc>
          <w:tcPr>
            <w:tcW w:w="1666" w:type="dxa"/>
          </w:tcPr>
          <w:p w:rsidR="00A84C24" w:rsidRDefault="00A84C24" w:rsidP="008F264A">
            <w:r w:rsidRPr="008926D1">
              <w:t>No</w:t>
            </w:r>
          </w:p>
        </w:tc>
      </w:tr>
      <w:tr w:rsidR="00A84C24" w:rsidTr="008F264A">
        <w:tc>
          <w:tcPr>
            <w:tcW w:w="845" w:type="dxa"/>
          </w:tcPr>
          <w:p w:rsidR="00A84C24" w:rsidRDefault="00A84C24" w:rsidP="008F264A">
            <w:r>
              <w:t>7</w:t>
            </w:r>
          </w:p>
        </w:tc>
        <w:tc>
          <w:tcPr>
            <w:tcW w:w="1742" w:type="dxa"/>
          </w:tcPr>
          <w:p w:rsidR="00A84C24" w:rsidRPr="0009736F" w:rsidRDefault="00A84C24" w:rsidP="008F264A">
            <w:pPr>
              <w:rPr>
                <w:rFonts w:ascii="Calibri" w:hAnsi="Calibri"/>
                <w:color w:val="000000"/>
              </w:rPr>
            </w:pPr>
            <w:r>
              <w:rPr>
                <w:rFonts w:ascii="Calibri" w:hAnsi="Calibri"/>
                <w:color w:val="000000"/>
              </w:rPr>
              <w:t>Neurological</w:t>
            </w:r>
          </w:p>
        </w:tc>
        <w:tc>
          <w:tcPr>
            <w:tcW w:w="1662" w:type="dxa"/>
          </w:tcPr>
          <w:p w:rsidR="00A84C24" w:rsidRDefault="00A84C24" w:rsidP="008F264A">
            <w:r>
              <w:t>Lower</w:t>
            </w:r>
          </w:p>
        </w:tc>
        <w:tc>
          <w:tcPr>
            <w:tcW w:w="1665" w:type="dxa"/>
          </w:tcPr>
          <w:p w:rsidR="00A84C24" w:rsidRPr="00FA0FB5" w:rsidRDefault="00A84C24" w:rsidP="008F264A">
            <w:pPr>
              <w:rPr>
                <w:b/>
              </w:rPr>
            </w:pPr>
            <w:r w:rsidRPr="00FA0FB5">
              <w:rPr>
                <w:b/>
              </w:rPr>
              <w:t>Yes</w:t>
            </w:r>
          </w:p>
        </w:tc>
        <w:tc>
          <w:tcPr>
            <w:tcW w:w="1662" w:type="dxa"/>
          </w:tcPr>
          <w:p w:rsidR="00A84C24" w:rsidRPr="00E55912" w:rsidRDefault="00A84C24" w:rsidP="008F264A">
            <w:pPr>
              <w:rPr>
                <w:b/>
              </w:rPr>
            </w:pPr>
            <w:r w:rsidRPr="00E55912">
              <w:rPr>
                <w:b/>
              </w:rPr>
              <w:t>Higher</w:t>
            </w:r>
          </w:p>
        </w:tc>
        <w:tc>
          <w:tcPr>
            <w:tcW w:w="1666" w:type="dxa"/>
          </w:tcPr>
          <w:p w:rsidR="00A84C24" w:rsidRDefault="00A84C24" w:rsidP="008F264A">
            <w:r w:rsidRPr="008926D1">
              <w:t>No</w:t>
            </w:r>
          </w:p>
        </w:tc>
      </w:tr>
      <w:tr w:rsidR="00A84C24" w:rsidTr="008F264A">
        <w:tc>
          <w:tcPr>
            <w:tcW w:w="845" w:type="dxa"/>
          </w:tcPr>
          <w:p w:rsidR="00A84C24" w:rsidRDefault="00A84C24" w:rsidP="008F264A">
            <w:r>
              <w:t>17</w:t>
            </w:r>
          </w:p>
        </w:tc>
        <w:tc>
          <w:tcPr>
            <w:tcW w:w="1742" w:type="dxa"/>
          </w:tcPr>
          <w:p w:rsidR="00A84C24" w:rsidRPr="0009736F" w:rsidRDefault="00A84C24" w:rsidP="008F264A">
            <w:pPr>
              <w:rPr>
                <w:rFonts w:ascii="Calibri" w:hAnsi="Calibri"/>
                <w:color w:val="000000"/>
              </w:rPr>
            </w:pPr>
            <w:r>
              <w:rPr>
                <w:rFonts w:ascii="Calibri" w:hAnsi="Calibri"/>
                <w:color w:val="000000"/>
              </w:rPr>
              <w:t>Genitourinary</w:t>
            </w:r>
          </w:p>
        </w:tc>
        <w:tc>
          <w:tcPr>
            <w:tcW w:w="1662" w:type="dxa"/>
          </w:tcPr>
          <w:p w:rsidR="00A84C24" w:rsidRDefault="00A84C24" w:rsidP="008F264A">
            <w:r>
              <w:t>Lower</w:t>
            </w:r>
          </w:p>
        </w:tc>
        <w:tc>
          <w:tcPr>
            <w:tcW w:w="1665" w:type="dxa"/>
          </w:tcPr>
          <w:p w:rsidR="00A84C24" w:rsidRDefault="00A84C24" w:rsidP="008F264A">
            <w:r>
              <w:t>No</w:t>
            </w:r>
          </w:p>
        </w:tc>
        <w:tc>
          <w:tcPr>
            <w:tcW w:w="1662" w:type="dxa"/>
          </w:tcPr>
          <w:p w:rsidR="00A84C24" w:rsidRDefault="00A84C24" w:rsidP="008F264A">
            <w:r>
              <w:t>Lower</w:t>
            </w:r>
          </w:p>
        </w:tc>
        <w:tc>
          <w:tcPr>
            <w:tcW w:w="1666" w:type="dxa"/>
          </w:tcPr>
          <w:p w:rsidR="00A84C24" w:rsidRDefault="00A84C24" w:rsidP="008F264A">
            <w:r>
              <w:t>No</w:t>
            </w:r>
          </w:p>
        </w:tc>
      </w:tr>
      <w:tr w:rsidR="00A84C24" w:rsidTr="008F264A">
        <w:tc>
          <w:tcPr>
            <w:tcW w:w="845" w:type="dxa"/>
          </w:tcPr>
          <w:p w:rsidR="00A84C24" w:rsidRDefault="00A84C24" w:rsidP="008F264A">
            <w:r>
              <w:t>16</w:t>
            </w:r>
          </w:p>
        </w:tc>
        <w:tc>
          <w:tcPr>
            <w:tcW w:w="1742" w:type="dxa"/>
          </w:tcPr>
          <w:p w:rsidR="00A84C24" w:rsidRPr="0009736F" w:rsidRDefault="00A84C24" w:rsidP="008F264A">
            <w:pPr>
              <w:rPr>
                <w:rFonts w:ascii="Calibri" w:hAnsi="Calibri"/>
                <w:color w:val="000000"/>
              </w:rPr>
            </w:pPr>
            <w:r>
              <w:rPr>
                <w:rFonts w:ascii="Calibri" w:hAnsi="Calibri"/>
                <w:color w:val="000000"/>
              </w:rPr>
              <w:t>Trauma and injuries</w:t>
            </w:r>
          </w:p>
        </w:tc>
        <w:tc>
          <w:tcPr>
            <w:tcW w:w="1662" w:type="dxa"/>
          </w:tcPr>
          <w:p w:rsidR="00A84C24" w:rsidRDefault="00A84C24" w:rsidP="008F264A">
            <w:r>
              <w:t>N/A</w:t>
            </w:r>
          </w:p>
        </w:tc>
        <w:tc>
          <w:tcPr>
            <w:tcW w:w="1665" w:type="dxa"/>
          </w:tcPr>
          <w:p w:rsidR="00A84C24" w:rsidRDefault="00A84C24" w:rsidP="008F264A">
            <w:r>
              <w:t>N/A</w:t>
            </w:r>
          </w:p>
        </w:tc>
        <w:tc>
          <w:tcPr>
            <w:tcW w:w="1662" w:type="dxa"/>
          </w:tcPr>
          <w:p w:rsidR="00A84C24" w:rsidRDefault="00A84C24" w:rsidP="008F264A">
            <w:r>
              <w:t>N/A</w:t>
            </w:r>
          </w:p>
        </w:tc>
        <w:tc>
          <w:tcPr>
            <w:tcW w:w="1666" w:type="dxa"/>
          </w:tcPr>
          <w:p w:rsidR="00A84C24" w:rsidRDefault="00A84C24" w:rsidP="008F264A">
            <w:r>
              <w:t>N/A</w:t>
            </w:r>
          </w:p>
        </w:tc>
      </w:tr>
      <w:tr w:rsidR="00A84C24" w:rsidTr="008F264A">
        <w:tc>
          <w:tcPr>
            <w:tcW w:w="845" w:type="dxa"/>
          </w:tcPr>
          <w:p w:rsidR="00A84C24" w:rsidRDefault="00A84C24" w:rsidP="008F264A">
            <w:r>
              <w:t>18+19</w:t>
            </w:r>
          </w:p>
        </w:tc>
        <w:tc>
          <w:tcPr>
            <w:tcW w:w="1742" w:type="dxa"/>
          </w:tcPr>
          <w:p w:rsidR="00A84C24" w:rsidRPr="0009736F" w:rsidRDefault="00A84C24" w:rsidP="008F264A">
            <w:pPr>
              <w:rPr>
                <w:rFonts w:ascii="Calibri" w:hAnsi="Calibri"/>
                <w:color w:val="000000"/>
              </w:rPr>
            </w:pPr>
            <w:r>
              <w:rPr>
                <w:rFonts w:ascii="Calibri" w:hAnsi="Calibri"/>
                <w:color w:val="000000"/>
              </w:rPr>
              <w:t>Maternity and neonates</w:t>
            </w:r>
          </w:p>
        </w:tc>
        <w:tc>
          <w:tcPr>
            <w:tcW w:w="1662" w:type="dxa"/>
          </w:tcPr>
          <w:p w:rsidR="00A84C24" w:rsidRPr="00FA0FB5" w:rsidRDefault="00A84C24" w:rsidP="008F264A">
            <w:pPr>
              <w:rPr>
                <w:b/>
              </w:rPr>
            </w:pPr>
            <w:r w:rsidRPr="00FA0FB5">
              <w:rPr>
                <w:b/>
              </w:rPr>
              <w:t>Higher</w:t>
            </w:r>
          </w:p>
        </w:tc>
        <w:tc>
          <w:tcPr>
            <w:tcW w:w="1665" w:type="dxa"/>
          </w:tcPr>
          <w:p w:rsidR="00A84C24" w:rsidRDefault="00A84C24" w:rsidP="008F264A">
            <w:r>
              <w:t>No</w:t>
            </w:r>
          </w:p>
        </w:tc>
        <w:tc>
          <w:tcPr>
            <w:tcW w:w="1662" w:type="dxa"/>
          </w:tcPr>
          <w:p w:rsidR="00A84C24" w:rsidRDefault="00A84C24" w:rsidP="008F264A">
            <w:r w:rsidRPr="00E55912">
              <w:rPr>
                <w:b/>
              </w:rPr>
              <w:t>Higher</w:t>
            </w:r>
          </w:p>
        </w:tc>
        <w:tc>
          <w:tcPr>
            <w:tcW w:w="1666" w:type="dxa"/>
          </w:tcPr>
          <w:p w:rsidR="00A84C24" w:rsidRPr="008A30DF" w:rsidRDefault="00A84C24" w:rsidP="008F264A">
            <w:pPr>
              <w:rPr>
                <w:b/>
              </w:rPr>
            </w:pPr>
            <w:r w:rsidRPr="008A30DF">
              <w:rPr>
                <w:b/>
              </w:rPr>
              <w:t>Yes</w:t>
            </w:r>
          </w:p>
        </w:tc>
      </w:tr>
    </w:tbl>
    <w:p w:rsidR="00A82676" w:rsidRDefault="00A82676" w:rsidP="00A82676">
      <w:pPr>
        <w:spacing w:line="240" w:lineRule="auto"/>
      </w:pPr>
      <w:r>
        <w:t>Looking first at the results from the interaction term approach, of the 9 PBCs with an outcome indicator, and estimated outcome elasticity, 4 PBCs exhibit the expected direction of difference between under and over target PCTs. Only in 2 of these 4 PBCs is the difference found to be statistically significant, respiratory (PBC 11) and gastrointestinal (PBC 13), which are both in the big four PBCs group. This contrasts with results from the sub-sample estimation approach where 7 of the 9 PBCs exhibit the expected direction of difference between under and over target PCTs, but with only 2 of these 7 PBCs where the difference found to be statistically significant, circulatory (PBC 10), one of the big four PBCs, and maternity and neonates (PBC 18+19).</w:t>
      </w:r>
    </w:p>
    <w:p w:rsidR="00A82676" w:rsidRDefault="00A82676" w:rsidP="00A82676">
      <w:pPr>
        <w:spacing w:line="240" w:lineRule="auto"/>
      </w:pPr>
      <w:r>
        <w:t xml:space="preserve">The interaction term approach gives 5 PBCs where the differences in the outcome elasticity are in the unexpected direction, 2 are statistically significant: endocrine (PBC 4) and neurological (PBC 7). With the sub-sample estimation approach there are only 2 PBCs where the differences in the outcome elasticity are in the unexpected direction, endocrine (PBC 4) and genitourinary (PBC 17), neither of which </w:t>
      </w:r>
      <w:proofErr w:type="gramStart"/>
      <w:r>
        <w:t>are</w:t>
      </w:r>
      <w:proofErr w:type="gramEnd"/>
      <w:r>
        <w:t xml:space="preserve"> statistically significant.</w:t>
      </w:r>
    </w:p>
    <w:p w:rsidR="00A82676" w:rsidRDefault="00A82676" w:rsidP="00A82676">
      <w:pPr>
        <w:spacing w:line="240" w:lineRule="auto"/>
      </w:pPr>
      <w:r>
        <w:lastRenderedPageBreak/>
        <w:t>The results from the sub-sample estimation approach appear more intuitive than those generated using the interaction term specification. This makes sense given the concerns regarding the endogeneity of the PCT sub-group variable. Also intuitively, however, the sub-sample estimation approach seems to lack statistical power, with a smaller number of statistically significant estimated differences.</w:t>
      </w:r>
    </w:p>
    <w:p w:rsidR="00A82676" w:rsidRDefault="00A82676" w:rsidP="00A82676">
      <w:pPr>
        <w:pStyle w:val="Heading4"/>
      </w:pPr>
      <w:r>
        <w:t>Expenditure elasticities</w:t>
      </w:r>
    </w:p>
    <w:p w:rsidR="00A82676" w:rsidRDefault="00A82676" w:rsidP="00A82676">
      <w:pPr>
        <w:spacing w:line="240" w:lineRule="auto"/>
      </w:pPr>
      <w:r>
        <w:t xml:space="preserve">Second, we consider the differences between different PCT groups in terms of the estimated expenditure elasticities. As discussed earlier we cannot state the expected direction here, </w:t>
      </w:r>
      <w:r>
        <w:rPr>
          <w:i/>
        </w:rPr>
        <w:t>a priori</w:t>
      </w:r>
      <w:r>
        <w:t xml:space="preserve">, since it is not possible to know exactly the productivity of each PBC. </w:t>
      </w:r>
      <w:r>
        <w:fldChar w:fldCharType="begin"/>
      </w:r>
      <w:r>
        <w:instrText xml:space="preserve"> REF _Ref446342089 \h </w:instrText>
      </w:r>
      <w:r>
        <w:fldChar w:fldCharType="separate"/>
      </w:r>
      <w:r>
        <w:t xml:space="preserve">Table </w:t>
      </w:r>
      <w:r>
        <w:rPr>
          <w:noProof/>
        </w:rPr>
        <w:t>3</w:t>
      </w:r>
      <w:r>
        <w:fldChar w:fldCharType="end"/>
      </w:r>
      <w:r>
        <w:t xml:space="preserve"> presents a summary of the results with the direction of the difference in the magnitudes of the estimated expenditure elasticities and if these differences are found to be statistically significant (p&lt;0.1).</w:t>
      </w:r>
    </w:p>
    <w:p w:rsidR="00A84C24" w:rsidRDefault="00A84C24" w:rsidP="00A84C24">
      <w:pPr>
        <w:spacing w:line="240" w:lineRule="auto"/>
      </w:pPr>
      <w:r>
        <w:t xml:space="preserve">As expected, under both specifications, there is a mix of direction of differences in the relative magnitude of PBC expenditure elasticities, since under target PCTs must reallocate to prioritise certain PBCs by allocating away from other PBCs. It is hard to assess how intuitive these results are, for a number of reasons. The first is the caution with which it is necessary to interpret the results of Table 178 in </w:t>
      </w:r>
      <w:r w:rsidRPr="00CC2AA4">
        <w:t>Claxton, Martin, et al. (2015)</w:t>
      </w:r>
      <w:r>
        <w:t xml:space="preserve"> with potential ‘</w:t>
      </w:r>
      <w:proofErr w:type="spellStart"/>
      <w:r>
        <w:t>spillovers</w:t>
      </w:r>
      <w:proofErr w:type="spellEnd"/>
      <w:r>
        <w:t>’ between PBCs and the assumption of proportionality between the effect of changes in expenditure on the QALY burden disease and the estimated proportionate effect on the mortality burden may be more appropriate for some PBCs than others even if regarded as reasonable overall</w:t>
      </w:r>
      <w:r w:rsidRPr="00A022D8">
        <w:t>.</w:t>
      </w:r>
      <w:r>
        <w:t xml:space="preserve"> </w:t>
      </w:r>
    </w:p>
    <w:p w:rsidR="00A84C24" w:rsidRDefault="00A84C24" w:rsidP="00A84C24">
      <w:pPr>
        <w:spacing w:line="240" w:lineRule="auto"/>
      </w:pPr>
      <w:r>
        <w:t>Using the interaction term approach there are 13 PBCs that are prioritised and 9 that are reallocated away from when the budget is squeezed. The expenditure elasticities between over and under target PCTs are found to be significantly different in 5 of the 22 PBCs. Focusing on these 5 PBCs, the results suggest that there is reallocation by under target PCTs toward cancer (PBC 2), healthy individuals (PBC 21) and other (PBC 23), and reallocation away from disorders of blood (PBC 3) and social care needs (PBC 22). However, if taken at face value, our results imply that there is reallocation away from PBC 3 (disorders of blood) with cost per QALY of £9,419 by under target PCTs and towards PBCs 2 (cancer) and 21 (healthy individuals) with higher cost per QALY productivities of £16,997 and £526,771</w:t>
      </w:r>
      <w:r>
        <w:rPr>
          <w:rStyle w:val="FootnoteReference"/>
        </w:rPr>
        <w:footnoteReference w:id="10"/>
      </w:r>
      <w:r>
        <w:t>, respectively.</w:t>
      </w:r>
    </w:p>
    <w:p w:rsidR="00A84C24" w:rsidRDefault="00A84C24" w:rsidP="00A84C24">
      <w:pPr>
        <w:spacing w:line="240" w:lineRule="auto"/>
      </w:pPr>
      <w:r>
        <w:t>Results for expenditure elasticities with the sub-sample estimation approach are similarly mixed, but again are perhaps more intuitive than the interaction term approach results. There are 13 PBCs that are prioritised and 9 that are reallocated away from. Only 3 PBCs have a significant difference in estimated elasticity, all of which indicate prioritisation of these PBCs by under target PCTs: PBC 16 (trauma and injuries), PBC 5 (mental health) and PBC 9 (problems of hearing).  While the cost per QALY associated with trauma (PBC 16), one can envisage a situation where expenditure on trauma is relatively more influential in PCTs under financial pressure, since they have little choice but to provide care for these. And PBCs 5 (mental health) and 9 (problems of hearing) are associated with middling and relatively high productivity, respectively</w:t>
      </w:r>
      <w:proofErr w:type="gramStart"/>
      <w:r>
        <w:t>,  according</w:t>
      </w:r>
      <w:proofErr w:type="gramEnd"/>
      <w:r>
        <w:t xml:space="preserve"> to </w:t>
      </w:r>
      <w:r w:rsidRPr="00CC2AA4">
        <w:t>Claxton, Martin, et al. (2015)</w:t>
      </w:r>
      <w:r>
        <w:t xml:space="preserve"> with estimated cost per QALY productivities of £18,744 and £6,239</w:t>
      </w:r>
      <w:r>
        <w:rPr>
          <w:rStyle w:val="FootnoteReference"/>
        </w:rPr>
        <w:footnoteReference w:id="11"/>
      </w:r>
      <w:r>
        <w:t>, respectively.</w:t>
      </w:r>
    </w:p>
    <w:p w:rsidR="00A84C24" w:rsidRDefault="00A84C24" w:rsidP="00A84C24">
      <w:pPr>
        <w:spacing w:line="240" w:lineRule="auto"/>
      </w:pPr>
    </w:p>
    <w:p w:rsidR="00A84C24" w:rsidRPr="00E25DA5" w:rsidRDefault="00A84C24" w:rsidP="00A82676">
      <w:pPr>
        <w:spacing w:line="240" w:lineRule="auto"/>
      </w:pPr>
    </w:p>
    <w:p w:rsidR="00A82676" w:rsidRDefault="00A82676" w:rsidP="00A82676">
      <w:pPr>
        <w:pStyle w:val="Caption"/>
        <w:keepNext/>
      </w:pPr>
      <w:bookmarkStart w:id="15" w:name="_Ref446342089"/>
      <w:r>
        <w:lastRenderedPageBreak/>
        <w:t xml:space="preserve">Table </w:t>
      </w:r>
      <w:fldSimple w:instr=" SEQ Table \* ARABIC ">
        <w:r>
          <w:rPr>
            <w:noProof/>
          </w:rPr>
          <w:t>3</w:t>
        </w:r>
      </w:fldSimple>
      <w:bookmarkEnd w:id="15"/>
      <w:r>
        <w:t xml:space="preserve"> - Summary of expenditure elasticities results for over and under target PCTs by PBCs</w:t>
      </w:r>
    </w:p>
    <w:tbl>
      <w:tblPr>
        <w:tblStyle w:val="TableGrid"/>
        <w:tblW w:w="0" w:type="auto"/>
        <w:tblLook w:val="04A0" w:firstRow="1" w:lastRow="0" w:firstColumn="1" w:lastColumn="0" w:noHBand="0" w:noVBand="1"/>
      </w:tblPr>
      <w:tblGrid>
        <w:gridCol w:w="832"/>
        <w:gridCol w:w="1717"/>
        <w:gridCol w:w="1678"/>
        <w:gridCol w:w="1668"/>
        <w:gridCol w:w="1678"/>
        <w:gridCol w:w="1669"/>
      </w:tblGrid>
      <w:tr w:rsidR="00A84C24" w:rsidRPr="00EB793F" w:rsidTr="008F264A">
        <w:trPr>
          <w:trHeight w:val="20"/>
        </w:trPr>
        <w:tc>
          <w:tcPr>
            <w:tcW w:w="832" w:type="dxa"/>
          </w:tcPr>
          <w:p w:rsidR="00A84C24" w:rsidRPr="00EB793F" w:rsidRDefault="00A84C24" w:rsidP="008F264A">
            <w:pPr>
              <w:rPr>
                <w:sz w:val="18"/>
              </w:rPr>
            </w:pPr>
          </w:p>
        </w:tc>
        <w:tc>
          <w:tcPr>
            <w:tcW w:w="1717" w:type="dxa"/>
          </w:tcPr>
          <w:p w:rsidR="00A84C24" w:rsidRPr="00EB793F" w:rsidRDefault="00A84C24" w:rsidP="008F264A">
            <w:pPr>
              <w:rPr>
                <w:sz w:val="18"/>
              </w:rPr>
            </w:pPr>
          </w:p>
        </w:tc>
        <w:tc>
          <w:tcPr>
            <w:tcW w:w="3346" w:type="dxa"/>
            <w:gridSpan w:val="2"/>
          </w:tcPr>
          <w:p w:rsidR="00A84C24" w:rsidRPr="00EB793F" w:rsidRDefault="00A84C24" w:rsidP="008F264A">
            <w:pPr>
              <w:rPr>
                <w:sz w:val="18"/>
              </w:rPr>
            </w:pPr>
            <w:r w:rsidRPr="00EB793F">
              <w:rPr>
                <w:sz w:val="18"/>
              </w:rPr>
              <w:t>Interaction term approach</w:t>
            </w:r>
          </w:p>
        </w:tc>
        <w:tc>
          <w:tcPr>
            <w:tcW w:w="3347" w:type="dxa"/>
            <w:gridSpan w:val="2"/>
          </w:tcPr>
          <w:p w:rsidR="00A84C24" w:rsidRPr="00EB793F" w:rsidRDefault="00A84C24" w:rsidP="008F264A">
            <w:pPr>
              <w:rPr>
                <w:sz w:val="18"/>
              </w:rPr>
            </w:pPr>
            <w:r w:rsidRPr="00EB793F">
              <w:rPr>
                <w:sz w:val="18"/>
              </w:rPr>
              <w:t>Sub-sample estimation approach</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PBC</w:t>
            </w:r>
          </w:p>
        </w:tc>
        <w:tc>
          <w:tcPr>
            <w:tcW w:w="1717" w:type="dxa"/>
          </w:tcPr>
          <w:p w:rsidR="00A84C24" w:rsidRPr="00EB793F" w:rsidRDefault="00A84C24" w:rsidP="008F264A">
            <w:pPr>
              <w:rPr>
                <w:sz w:val="18"/>
              </w:rPr>
            </w:pPr>
            <w:r w:rsidRPr="00EB793F">
              <w:rPr>
                <w:sz w:val="18"/>
              </w:rPr>
              <w:t>PBC label</w:t>
            </w:r>
          </w:p>
        </w:tc>
        <w:tc>
          <w:tcPr>
            <w:tcW w:w="1678" w:type="dxa"/>
          </w:tcPr>
          <w:p w:rsidR="00A84C24" w:rsidRPr="00EB793F" w:rsidRDefault="00A84C24" w:rsidP="008F264A">
            <w:pPr>
              <w:rPr>
                <w:sz w:val="18"/>
              </w:rPr>
            </w:pPr>
            <w:r w:rsidRPr="00EB793F">
              <w:rPr>
                <w:sz w:val="18"/>
              </w:rPr>
              <w:t>Magnitude of expenditure elasticity for under target PCTs relative to over target PCTs</w:t>
            </w:r>
          </w:p>
        </w:tc>
        <w:tc>
          <w:tcPr>
            <w:tcW w:w="1668" w:type="dxa"/>
          </w:tcPr>
          <w:p w:rsidR="00A84C24" w:rsidRPr="00EB793F" w:rsidRDefault="00A84C24" w:rsidP="008F264A">
            <w:pPr>
              <w:rPr>
                <w:sz w:val="18"/>
              </w:rPr>
            </w:pPr>
            <w:r w:rsidRPr="00EB793F">
              <w:rPr>
                <w:sz w:val="18"/>
              </w:rPr>
              <w:t>Is difference statistically significant using cut-off p=0.1?</w:t>
            </w:r>
          </w:p>
        </w:tc>
        <w:tc>
          <w:tcPr>
            <w:tcW w:w="1678" w:type="dxa"/>
          </w:tcPr>
          <w:p w:rsidR="00A84C24" w:rsidRPr="00EB793F" w:rsidRDefault="00A84C24" w:rsidP="008F264A">
            <w:pPr>
              <w:rPr>
                <w:sz w:val="18"/>
              </w:rPr>
            </w:pPr>
            <w:r w:rsidRPr="00EB793F">
              <w:rPr>
                <w:sz w:val="18"/>
              </w:rPr>
              <w:t>Magnitude of expenditure elasticity for under target PCTs relative to over target PCTs</w:t>
            </w:r>
          </w:p>
        </w:tc>
        <w:tc>
          <w:tcPr>
            <w:tcW w:w="1669" w:type="dxa"/>
          </w:tcPr>
          <w:p w:rsidR="00A84C24" w:rsidRPr="00EB793F" w:rsidRDefault="00A84C24" w:rsidP="008F264A">
            <w:pPr>
              <w:rPr>
                <w:sz w:val="18"/>
              </w:rPr>
            </w:pPr>
            <w:r w:rsidRPr="00EB793F">
              <w:rPr>
                <w:sz w:val="18"/>
              </w:rPr>
              <w:t>Is difference statistically significant using cut-off p=0.1?</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2</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Cancer</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b/>
                <w:sz w:val="18"/>
              </w:rPr>
            </w:pPr>
            <w:r w:rsidRPr="00EB793F">
              <w:rPr>
                <w:b/>
                <w:sz w:val="18"/>
              </w:rPr>
              <w:t>Yes</w:t>
            </w:r>
          </w:p>
        </w:tc>
        <w:tc>
          <w:tcPr>
            <w:tcW w:w="1678" w:type="dxa"/>
          </w:tcPr>
          <w:p w:rsidR="00A84C24" w:rsidRPr="00EB793F" w:rsidRDefault="00A84C24" w:rsidP="008F264A">
            <w:pPr>
              <w:rPr>
                <w:sz w:val="18"/>
              </w:rPr>
            </w:pPr>
            <w:r w:rsidRPr="00EB793F">
              <w:rPr>
                <w:sz w:val="18"/>
              </w:rPr>
              <w:t xml:space="preserve">Higher </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10</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Circulatory</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11</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Respiratory</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13</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Gastrointestinal</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Infectious diseases</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4</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Endocrine</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7</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Neurological</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17</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Genitourinary</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16</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Trauma and injuries</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b/>
                <w:sz w:val="18"/>
              </w:rPr>
            </w:pPr>
            <w:r w:rsidRPr="00EB793F">
              <w:rPr>
                <w:b/>
                <w:sz w:val="18"/>
              </w:rPr>
              <w:t>Yes</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18+19</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Maternity and neonates</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3</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Disorders of blood</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b/>
                <w:sz w:val="18"/>
              </w:rPr>
            </w:pPr>
            <w:r w:rsidRPr="00EB793F">
              <w:rPr>
                <w:b/>
                <w:sz w:val="18"/>
              </w:rPr>
              <w:t>Yes</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b/>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5</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Mental health</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b/>
                <w:sz w:val="18"/>
              </w:rPr>
            </w:pPr>
            <w:r w:rsidRPr="00EB793F">
              <w:rPr>
                <w:b/>
                <w:sz w:val="18"/>
              </w:rPr>
              <w:t>Yes</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6</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Learning disability</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8</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Problems of vision</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9</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Problems of hearing</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b/>
                <w:sz w:val="18"/>
              </w:rPr>
            </w:pPr>
            <w:r w:rsidRPr="00EB793F">
              <w:rPr>
                <w:b/>
                <w:sz w:val="18"/>
              </w:rPr>
              <w:t>Yes</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12</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Dental problems</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b/>
                <w:sz w:val="18"/>
              </w:rPr>
            </w:pPr>
            <w:r w:rsidRPr="00EB793F">
              <w:rPr>
                <w:b/>
                <w:sz w:val="18"/>
              </w:rPr>
              <w:t>Yes</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14</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Skin</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15</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Musculoskeletal</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20</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Poisoning and adverse events</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sz w:val="18"/>
              </w:rPr>
            </w:pPr>
            <w:r w:rsidRPr="00EB793F">
              <w:rPr>
                <w:sz w:val="18"/>
              </w:rPr>
              <w:t>No</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21</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Healthy individuals</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b/>
                <w:sz w:val="18"/>
              </w:rPr>
            </w:pPr>
            <w:r w:rsidRPr="00EB793F">
              <w:rPr>
                <w:b/>
                <w:sz w:val="18"/>
              </w:rPr>
              <w:t>Yes</w:t>
            </w:r>
          </w:p>
        </w:tc>
        <w:tc>
          <w:tcPr>
            <w:tcW w:w="1678" w:type="dxa"/>
          </w:tcPr>
          <w:p w:rsidR="00A84C24" w:rsidRPr="00EB793F" w:rsidRDefault="00A84C24" w:rsidP="008F264A">
            <w:pPr>
              <w:rPr>
                <w:sz w:val="18"/>
              </w:rPr>
            </w:pPr>
            <w:r w:rsidRPr="00EB793F">
              <w:rPr>
                <w:sz w:val="18"/>
              </w:rPr>
              <w:t>Higher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22</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Social care needs</w:t>
            </w:r>
          </w:p>
        </w:tc>
        <w:tc>
          <w:tcPr>
            <w:tcW w:w="1678" w:type="dxa"/>
          </w:tcPr>
          <w:p w:rsidR="00A84C24" w:rsidRPr="00EB793F" w:rsidRDefault="00A84C24" w:rsidP="008F264A">
            <w:pPr>
              <w:rPr>
                <w:sz w:val="18"/>
              </w:rPr>
            </w:pPr>
            <w:r w:rsidRPr="00EB793F">
              <w:rPr>
                <w:sz w:val="18"/>
              </w:rPr>
              <w:t>Lower</w:t>
            </w:r>
          </w:p>
        </w:tc>
        <w:tc>
          <w:tcPr>
            <w:tcW w:w="1668" w:type="dxa"/>
          </w:tcPr>
          <w:p w:rsidR="00A84C24" w:rsidRPr="00EB793F" w:rsidRDefault="00A84C24" w:rsidP="008F264A">
            <w:pPr>
              <w:rPr>
                <w:b/>
                <w:sz w:val="18"/>
              </w:rPr>
            </w:pPr>
            <w:r w:rsidRPr="00EB793F">
              <w:rPr>
                <w:b/>
                <w:sz w:val="18"/>
              </w:rPr>
              <w:t>Yes</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r w:rsidR="00A84C24" w:rsidRPr="00EB793F" w:rsidTr="008F264A">
        <w:trPr>
          <w:trHeight w:val="20"/>
        </w:trPr>
        <w:tc>
          <w:tcPr>
            <w:tcW w:w="832" w:type="dxa"/>
          </w:tcPr>
          <w:p w:rsidR="00A84C24" w:rsidRPr="00EB793F" w:rsidRDefault="00A84C24" w:rsidP="008F264A">
            <w:pPr>
              <w:rPr>
                <w:sz w:val="18"/>
              </w:rPr>
            </w:pPr>
            <w:r w:rsidRPr="00EB793F">
              <w:rPr>
                <w:sz w:val="18"/>
              </w:rPr>
              <w:t>23</w:t>
            </w:r>
          </w:p>
        </w:tc>
        <w:tc>
          <w:tcPr>
            <w:tcW w:w="1717" w:type="dxa"/>
          </w:tcPr>
          <w:p w:rsidR="00A84C24" w:rsidRPr="00EB793F" w:rsidRDefault="00A84C24" w:rsidP="008F264A">
            <w:pPr>
              <w:rPr>
                <w:rFonts w:ascii="Calibri" w:hAnsi="Calibri"/>
                <w:color w:val="000000"/>
                <w:sz w:val="18"/>
              </w:rPr>
            </w:pPr>
            <w:r w:rsidRPr="00EB793F">
              <w:rPr>
                <w:rFonts w:ascii="Calibri" w:hAnsi="Calibri"/>
                <w:color w:val="000000"/>
                <w:sz w:val="18"/>
              </w:rPr>
              <w:t>Other</w:t>
            </w:r>
          </w:p>
        </w:tc>
        <w:tc>
          <w:tcPr>
            <w:tcW w:w="1678" w:type="dxa"/>
          </w:tcPr>
          <w:p w:rsidR="00A84C24" w:rsidRPr="00EB793F" w:rsidRDefault="00A84C24" w:rsidP="008F264A">
            <w:pPr>
              <w:rPr>
                <w:sz w:val="18"/>
              </w:rPr>
            </w:pPr>
            <w:r w:rsidRPr="00EB793F">
              <w:rPr>
                <w:sz w:val="18"/>
              </w:rPr>
              <w:t>Higher</w:t>
            </w:r>
          </w:p>
        </w:tc>
        <w:tc>
          <w:tcPr>
            <w:tcW w:w="1668" w:type="dxa"/>
          </w:tcPr>
          <w:p w:rsidR="00A84C24" w:rsidRPr="00EB793F" w:rsidRDefault="00A84C24" w:rsidP="008F264A">
            <w:pPr>
              <w:rPr>
                <w:b/>
                <w:sz w:val="18"/>
              </w:rPr>
            </w:pPr>
            <w:r w:rsidRPr="00EB793F">
              <w:rPr>
                <w:b/>
                <w:sz w:val="18"/>
              </w:rPr>
              <w:t>Yes</w:t>
            </w:r>
          </w:p>
        </w:tc>
        <w:tc>
          <w:tcPr>
            <w:tcW w:w="1678" w:type="dxa"/>
          </w:tcPr>
          <w:p w:rsidR="00A84C24" w:rsidRPr="00EB793F" w:rsidRDefault="00A84C24" w:rsidP="008F264A">
            <w:pPr>
              <w:rPr>
                <w:sz w:val="18"/>
              </w:rPr>
            </w:pPr>
            <w:r w:rsidRPr="00EB793F">
              <w:rPr>
                <w:sz w:val="18"/>
              </w:rPr>
              <w:t>Lower</w:t>
            </w:r>
          </w:p>
        </w:tc>
        <w:tc>
          <w:tcPr>
            <w:tcW w:w="1669" w:type="dxa"/>
          </w:tcPr>
          <w:p w:rsidR="00A84C24" w:rsidRPr="00EB793F" w:rsidRDefault="00A84C24" w:rsidP="008F264A">
            <w:pPr>
              <w:rPr>
                <w:sz w:val="18"/>
              </w:rPr>
            </w:pPr>
            <w:r w:rsidRPr="00EB793F">
              <w:rPr>
                <w:sz w:val="18"/>
              </w:rPr>
              <w:t>No</w:t>
            </w:r>
          </w:p>
        </w:tc>
      </w:tr>
    </w:tbl>
    <w:p w:rsidR="00A82676" w:rsidRDefault="00A82676" w:rsidP="00A82676">
      <w:pPr>
        <w:pStyle w:val="Heading2"/>
        <w:numPr>
          <w:ilvl w:val="0"/>
          <w:numId w:val="8"/>
        </w:numPr>
        <w:spacing w:line="240" w:lineRule="auto"/>
      </w:pPr>
      <w:bookmarkStart w:id="16" w:name="_Toc437280003"/>
      <w:r>
        <w:lastRenderedPageBreak/>
        <w:t>Discussion</w:t>
      </w:r>
      <w:bookmarkEnd w:id="16"/>
    </w:p>
    <w:p w:rsidR="00A82676" w:rsidRDefault="00A82676" w:rsidP="00A82676">
      <w:pPr>
        <w:pStyle w:val="Heading3"/>
        <w:spacing w:line="240" w:lineRule="auto"/>
      </w:pPr>
      <w:r>
        <w:t>Overview</w:t>
      </w:r>
    </w:p>
    <w:p w:rsidR="00A82676" w:rsidRDefault="00A82676" w:rsidP="00A82676">
      <w:pPr>
        <w:rPr>
          <w:rFonts w:eastAsiaTheme="minorEastAsia"/>
        </w:rPr>
      </w:pPr>
      <w:r>
        <w:rPr>
          <w:rFonts w:eastAsiaTheme="minorEastAsia"/>
        </w:rPr>
        <w:t xml:space="preserve">The results above are used to inform health opportunity costs of non-marginal budget impacts, where non-marginal means that the scale of the budget impact is large. It is expected that health opportunity costs will occur at a greater rate for a large budget impact as more health care is displaced and there are diminishing returns </w:t>
      </w:r>
      <w:r>
        <w:rPr>
          <w:rFonts w:eastAsiaTheme="minorEastAsia"/>
        </w:rPr>
        <w:fldChar w:fldCharType="begin" w:fldLock="1"/>
      </w:r>
      <w:r>
        <w:rPr>
          <w:rFonts w:eastAsiaTheme="minorEastAsia"/>
        </w:rPr>
        <w:instrText>ADDIN CSL_CITATION { "citationItems" : [ { "id" : "ITEM-1", "itemData" : { "ISSN" : "1170-7690", "PMID" : "18767894", "abstract" : "The National Institute for Health and Clinical Excellence (NICE) has been using a cost-effectiveness threshold range between 20,000 pound sterling and 30,000 pound sterling for over 7 years. What the cost-effectiveness threshold represents, what the appropriate level is for NICE to use, and what the other factors are that NICE should consider have all been the subject of much discussion. In this article, we briefly review these questions, provide a critical assessment of NICE's utilization of the incremental cost-effectiveness ratio (ICER) threshold to inform its guidance, and suggest ways in which NICE's utilization of the ICER threshold could be developed to promote the efficient use of health service resources. We conclude that it is feasible and probably desirable to operate an explicit single threshold rather than the current range; the threshold should be seen as a threshold at which 'other' criteria beyond the ICER itself are taken into account; interventions with a large budgetary impact may need to be subject to a lower threshold as they are likely to displace more than the marginal activities; reimbursement at the threshold transfers the full value of an innovation to the manufacturer. Positive decisions above the threshold on the grounds of innovation reduce population health; the value of the threshold should be reconsidered regularly to ensure that it captures the impact of changes in efficiency and budget over time; the use of equity weights to sustain a positive recommendation when the ICER is above the threshold requires knowledge of the equity characteristics of those patients who bear the opportunity cost. Given the barriers to obtaining this knowledge and knowledge about the characteristics of typical beneficiaries of UK NHS care, caution is warranted before accepting claims from special pleaders; uncertainty in the evidence base should not be used to justify a positive recommendation when the ICER is above the threshold. The development of a programme of disinvestment guidance would enable NICE and the NHS to be more confident that the net health benefit of the Technology Appraisal Programme is positive.", "author" : [ { "dropping-particle" : "", "family" : "McCabe", "given" : "Christopher", "non-dropping-particle" : "", "parse-names" : false, "suffix" : "" }, { "dropping-particle" : "", "family" : "Claxton", "given" : "Karl", "non-dropping-particle" : "", "parse-names" : false, "suffix" : "" }, { "dropping-particle" : "", "family" : "Culyer", "given" : "Anthony J", "non-dropping-particle" : "", "parse-names" : false, "suffix" : "" } ], "container-title" : "PharmacoEconomics", "id" : "ITEM-1", "issue" : "9", "issued" : { "date-parts" : [ [ "2008", "1" ] ] }, "page" : "733-44", "title" : "The NICE cost-effectiveness threshold: what it is and what that means.", "type" : "article-journal", "volume" : "26" }, "uris" : [ "http://www.mendeley.com/documents/?uuid=775f2316-ef6c-4a32-b2c1-b7fab266c830" ] }, { "id" : "ITEM-2", "itemData" : { "DOI" : "10.1177/0272989X16662242", "ISSN" : "0272-989X", "PMID" : "27553208", "abstract" : "The cost-effectiveness threshold in health care systems with a constrained budget should be determined by the cost-effectiveness of displacing health care services to fund new interventions. Using comparative statics, we review some potential determinants of the threshold, including the budget for health care, the demand for existing health care interventions, the technical efficiency of existing interventions, and the development of new health technologies. We consider the anticipated direction of impact that would affect the threshold following a change in each of these determinants. Where the health care system is technically efficient, an increase in the health care budget unambiguously raises the threshold, whereas an increase in the demand for existing, non-marginal health interventions unambiguously lowers the threshold. Improvements in the technical efficiency of existing interventions may raise or lower the threshold, depending on the cause of the improvement in efficiency, whether the intervention is already funded, and, if so, whether it is marginal. New technologies may also raise or lower the threshold, depending on whether the new technology is a substitute for an existing technology and, again, whether the existing technology is marginal. Our analysis permits health economists and decision makers to assess if and in what direction the threshold may change over time. This matters, as threshold changes impact the cost-effectiveness of interventions that require decisions now but have costs and effects that fall in future periods.", "author" : [ { "dropping-particle" : "", "family" : "Paulden", "given" : "Mike", "non-dropping-particle" : "", "parse-names" : false, "suffix" : "" }, { "dropping-particle" : "", "family" : "O\u2019Mahony", "given" : "James", "non-dropping-particle" : "", "parse-names" : false, "suffix" : "" }, { "dropping-particle" : "", "family" : "McCabe", "given" : "Christopher", "non-dropping-particle" : "", "parse-names" : false, "suffix" : "" } ], "container-title" : "Medical Decision Making", "id" : "ITEM-2", "issue" : "2", "issued" : { "date-parts" : [ [ "2017", "2" ] ] }, "page" : "264-276", "title" : "Determinants of Change in the Cost-effectiveness Threshold", "type" : "article-journal", "volume" : "37" }, "uris" : [ "http://www.mendeley.com/documents/?uuid=6a93b463-25ac-3080-b035-e239cb20078b" ] } ], "mendeley" : { "formattedCitation" : "(McCabe et al. 2008; Paulden et al. 2017)", "plainTextFormattedCitation" : "(McCabe et al. 2008; Paulden et al. 2017)", "previouslyFormattedCitation" : "(McCabe et al. 2008; Paulden et al. 2017)" }, "properties" : { "noteIndex" : 7 }, "schema" : "https://github.com/citation-style-language/schema/raw/master/csl-citation.json" }</w:instrText>
      </w:r>
      <w:r>
        <w:rPr>
          <w:rFonts w:eastAsiaTheme="minorEastAsia"/>
        </w:rPr>
        <w:fldChar w:fldCharType="separate"/>
      </w:r>
      <w:r w:rsidRPr="00A354FC">
        <w:rPr>
          <w:rFonts w:eastAsiaTheme="minorEastAsia"/>
          <w:noProof/>
        </w:rPr>
        <w:t>(McCabe et al. 2008; Paulden et al. 2017)</w:t>
      </w:r>
      <w:r>
        <w:rPr>
          <w:rFonts w:eastAsiaTheme="minorEastAsia"/>
        </w:rPr>
        <w:fldChar w:fldCharType="end"/>
      </w:r>
      <w:r>
        <w:rPr>
          <w:rFonts w:eastAsiaTheme="minorEastAsia"/>
        </w:rPr>
        <w:t xml:space="preserve">. However, whether this occurs and to what extent is an empirical question.  </w:t>
      </w:r>
    </w:p>
    <w:p w:rsidR="00A82676" w:rsidRDefault="00A82676" w:rsidP="00A82676">
      <w:r>
        <w:rPr>
          <w:rFonts w:eastAsiaTheme="minorEastAsia"/>
        </w:rPr>
        <w:t xml:space="preserve">Due to theoretical reasons to favour the sub-sample estimation approach, and practical issues of difficulties in interpreting the implausible results from the interaction term approach, the sub-sample estimation approach forms the preferred econometric analysis. The results from this approach imply estimates of </w:t>
      </w:r>
      <w:r>
        <w:t>cost per QALY of £12,047 for under target PCTs and £13,464 for over target PCTs, when sub-group specific elasticities are inputted according to being significantly different from the all-PCT elasticity estimates.</w:t>
      </w:r>
      <w:r>
        <w:rPr>
          <w:rFonts w:eastAsiaTheme="minorEastAsia"/>
        </w:rPr>
        <w:t xml:space="preserve"> </w:t>
      </w:r>
      <w:r w:rsidRPr="008E7E16">
        <w:rPr>
          <w:rFonts w:eastAsiaTheme="minorEastAsia"/>
        </w:rPr>
        <w:t>The</w:t>
      </w:r>
      <w:r>
        <w:rPr>
          <w:rFonts w:eastAsiaTheme="minorEastAsia"/>
        </w:rPr>
        <w:t>se</w:t>
      </w:r>
      <w:r w:rsidRPr="008E7E16">
        <w:rPr>
          <w:rFonts w:eastAsiaTheme="minorEastAsia"/>
        </w:rPr>
        <w:t xml:space="preserve"> </w:t>
      </w:r>
      <w:proofErr w:type="gramStart"/>
      <w:r>
        <w:rPr>
          <w:rFonts w:eastAsiaTheme="minorEastAsia"/>
        </w:rPr>
        <w:t>cost</w:t>
      </w:r>
      <w:proofErr w:type="gramEnd"/>
      <w:r>
        <w:rPr>
          <w:rFonts w:eastAsiaTheme="minorEastAsia"/>
        </w:rPr>
        <w:t xml:space="preserve"> per QALY estimates</w:t>
      </w:r>
      <w:r w:rsidRPr="008E7E16">
        <w:rPr>
          <w:rFonts w:eastAsiaTheme="minorEastAsia"/>
        </w:rPr>
        <w:t xml:space="preserve"> are consistent with diminishing marginal returns to health expenditure and allow a portion of the heath production function to be derived; from which estimates of the health opportunity costs of a range of budget impacts can be inferred.  These results indicate that health opportunity costs are </w:t>
      </w:r>
      <w:r>
        <w:rPr>
          <w:rFonts w:eastAsiaTheme="minorEastAsia"/>
        </w:rPr>
        <w:t xml:space="preserve">likely to </w:t>
      </w:r>
      <w:r w:rsidRPr="008E7E16">
        <w:rPr>
          <w:rFonts w:eastAsiaTheme="minorEastAsia"/>
        </w:rPr>
        <w:t>underestimate unless account is take</w:t>
      </w:r>
      <w:r>
        <w:rPr>
          <w:rFonts w:eastAsiaTheme="minorEastAsia"/>
        </w:rPr>
        <w:t>n of the scale of budget impact</w:t>
      </w:r>
      <w:r w:rsidRPr="008E7E16">
        <w:rPr>
          <w:rFonts w:eastAsiaTheme="minorEastAsia"/>
        </w:rPr>
        <w:t>.</w:t>
      </w:r>
      <w:r>
        <w:rPr>
          <w:rFonts w:eastAsiaTheme="minorEastAsia"/>
        </w:rPr>
        <w:t xml:space="preserve"> In an illustrative example, it is found that the health opportunity costs of a recent hepatitis C treatment would be underestimated by 3.9% when calculated using the </w:t>
      </w:r>
      <w:r>
        <w:rPr>
          <w:rFonts w:eastAsiaTheme="minorEastAsia"/>
        </w:rPr>
        <w:fldChar w:fldCharType="begin" w:fldLock="1"/>
      </w:r>
      <w:r>
        <w:rPr>
          <w:rFonts w:eastAsiaTheme="minorEastAsia"/>
        </w:rP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et al. (2015)", "plainTextFormattedCitation" : "(Claxton, Martin, et al. 2015)", "previouslyFormattedCitation" : "(Claxton, Martin, et al. 2015)" }, "properties" : { "noteIndex" : 8 }, "schema" : "https://github.com/citation-style-language/schema/raw/master/csl-citation.json" }</w:instrText>
      </w:r>
      <w:r>
        <w:rPr>
          <w:rFonts w:eastAsiaTheme="minorEastAsia"/>
        </w:rPr>
        <w:fldChar w:fldCharType="separate"/>
      </w:r>
      <w:r w:rsidRPr="00A354FC">
        <w:rPr>
          <w:rFonts w:eastAsiaTheme="minorEastAsia"/>
          <w:noProof/>
        </w:rPr>
        <w:t xml:space="preserve">Claxton et al. </w:t>
      </w:r>
      <w:r>
        <w:rPr>
          <w:rFonts w:eastAsiaTheme="minorEastAsia"/>
          <w:noProof/>
        </w:rPr>
        <w:t>(</w:t>
      </w:r>
      <w:r w:rsidRPr="00A354FC">
        <w:rPr>
          <w:rFonts w:eastAsiaTheme="minorEastAsia"/>
          <w:noProof/>
        </w:rPr>
        <w:t>2015)</w:t>
      </w:r>
      <w:r>
        <w:rPr>
          <w:rFonts w:eastAsiaTheme="minorEastAsia"/>
        </w:rPr>
        <w:fldChar w:fldCharType="end"/>
      </w:r>
      <w:r>
        <w:rPr>
          <w:rFonts w:eastAsiaTheme="minorEastAsia"/>
        </w:rPr>
        <w:t xml:space="preserve"> cost per QALY estimate rather than using this analysis.</w:t>
      </w:r>
    </w:p>
    <w:p w:rsidR="00A82676" w:rsidRDefault="00A82676" w:rsidP="00A82676">
      <w:pPr>
        <w:pStyle w:val="Heading3"/>
        <w:spacing w:line="240" w:lineRule="auto"/>
      </w:pPr>
      <w:r>
        <w:t>Preferred analysis</w:t>
      </w:r>
    </w:p>
    <w:p w:rsidR="00A82676" w:rsidRDefault="00A82676" w:rsidP="00A82676">
      <w:pPr>
        <w:spacing w:line="240" w:lineRule="auto"/>
      </w:pPr>
      <w:r>
        <w:t>Our preferred analysis is where we use estimates based on models estimated on separate sub-samples of observations, with a p-value threshold of p=0.1. First, we have argued that the interaction term approach is valid only if we can be sure that financial allocation relative to health care need is randomly assigned, which seems unlikely. Second, we feel that somewhere in between believing that all variation in estimated coefficients between sub-groups is signal and believing that all is due to noise lies the truth and so we illustrate our findings for such a point: cut-off p=0.1. This means that we use the sub-group specific estimated elasticities when the difference between elasticities is found to be significantly different, but use the all PCT elasticities where no such significant difference is observed. The results are a cost per QALY of £12,047 for under target PCTs and £13,464 for over target PCTs.  These estimates are associated with a mean 2.06% reduction and a 3.02% increase in available resources (see Table 1).</w:t>
      </w:r>
    </w:p>
    <w:p w:rsidR="00A82676" w:rsidRDefault="00A82676" w:rsidP="00A82676">
      <w:pPr>
        <w:spacing w:line="240" w:lineRule="auto"/>
      </w:pPr>
      <w:r>
        <w:t xml:space="preserve">We can investigate the implications of our estimates for PCT sub-groups in terms of the relationship between the expected health opportunity costs and scale of total additional expenditure (budget impact) of a proposed investment.  Consider a new intervention that will lead to a significant net expenditure on the NHS. The health that will be generated by funding such an intervention should be compared to the health that could have been generated with the heath care resources required.  Our interest is the total health that is foregone by displaced activity, which therefore can be expressed as the integral of the marginal </w:t>
      </w:r>
      <w:proofErr w:type="gramStart"/>
      <w:r>
        <w:t>productivity  function</w:t>
      </w:r>
      <w:proofErr w:type="gramEnd"/>
      <w:r>
        <w:t xml:space="preserve"> over the increased expenditure (£EXP) (where marginal productivity is measured in terms of QALY per £NHS):</w:t>
      </w:r>
    </w:p>
    <w:p w:rsidR="00A82676" w:rsidRDefault="00A82676" w:rsidP="00A82676">
      <w:pPr>
        <w:spacing w:line="240" w:lineRule="auto"/>
      </w:pPr>
      <m:oMathPara>
        <m:oMath>
          <m:r>
            <w:rPr>
              <w:rFonts w:ascii="Cambria Math" w:hAnsi="Cambria Math"/>
            </w:rPr>
            <m:t>Health opportunity cost= -</m:t>
          </m:r>
          <m:nary>
            <m:naryPr>
              <m:limLoc m:val="subSup"/>
              <m:ctrlPr>
                <w:rPr>
                  <w:rFonts w:ascii="Cambria Math" w:hAnsi="Cambria Math"/>
                  <w:i/>
                </w:rPr>
              </m:ctrlPr>
            </m:naryPr>
            <m:sub>
              <m:r>
                <w:rPr>
                  <w:rFonts w:ascii="Cambria Math" w:hAnsi="Cambria Math"/>
                </w:rPr>
                <m:t>0</m:t>
              </m:r>
            </m:sub>
            <m:sup>
              <m:r>
                <w:rPr>
                  <w:rFonts w:ascii="Cambria Math" w:hAnsi="Cambria Math"/>
                </w:rPr>
                <m:t>-EXP</m:t>
              </m:r>
            </m:sup>
            <m:e>
              <m:r>
                <w:rPr>
                  <w:rFonts w:ascii="Cambria Math" w:hAnsi="Cambria Math"/>
                </w:rPr>
                <m:t>MP</m:t>
              </m:r>
            </m:e>
          </m:nary>
          <m:d>
            <m:dPr>
              <m:ctrlPr>
                <w:rPr>
                  <w:rFonts w:ascii="Cambria Math" w:hAnsi="Cambria Math"/>
                  <w:i/>
                </w:rPr>
              </m:ctrlPr>
            </m:dPr>
            <m:e>
              <m:r>
                <w:rPr>
                  <w:rFonts w:ascii="Cambria Math" w:hAnsi="Cambria Math"/>
                </w:rPr>
                <m:t>exp</m:t>
              </m:r>
            </m:e>
          </m:d>
          <m:r>
            <w:rPr>
              <w:rFonts w:ascii="Cambria Math" w:hAnsi="Cambria Math"/>
            </w:rPr>
            <m:t xml:space="preserve"> dexp</m:t>
          </m:r>
        </m:oMath>
      </m:oMathPara>
    </w:p>
    <w:p w:rsidR="00A82676" w:rsidRDefault="00A82676" w:rsidP="00A82676">
      <w:pPr>
        <w:spacing w:line="240" w:lineRule="auto"/>
      </w:pPr>
      <w:r>
        <w:t xml:space="preserve">In the equation above, </w:t>
      </w:r>
      <m:oMath>
        <m:r>
          <w:rPr>
            <w:rFonts w:ascii="Cambria Math" w:hAnsi="Cambria Math"/>
          </w:rPr>
          <m:t>exp</m:t>
        </m:r>
      </m:oMath>
      <w:r>
        <w:rPr>
          <w:rFonts w:eastAsiaTheme="minorEastAsia"/>
        </w:rPr>
        <w:t xml:space="preserve"> represents expenditure and </w:t>
      </w:r>
      <m:oMath>
        <m:r>
          <w:rPr>
            <w:rFonts w:ascii="Cambria Math" w:eastAsiaTheme="minorEastAsia" w:hAnsi="Cambria Math"/>
          </w:rPr>
          <m:t>MP</m:t>
        </m:r>
      </m:oMath>
      <w:r>
        <w:rPr>
          <w:rFonts w:eastAsiaTheme="minorEastAsia"/>
        </w:rPr>
        <w:t xml:space="preserve"> represents marginal productivity (QALY-per-cost), which may be a function </w:t>
      </w:r>
      <w:proofErr w:type="gramStart"/>
      <w:r>
        <w:rPr>
          <w:rFonts w:eastAsiaTheme="minorEastAsia"/>
        </w:rPr>
        <w:t xml:space="preserve">of </w:t>
      </w:r>
      <w:proofErr w:type="gramEnd"/>
      <m:oMath>
        <m:r>
          <w:rPr>
            <w:rFonts w:ascii="Cambria Math" w:eastAsiaTheme="minorEastAsia" w:hAnsi="Cambria Math"/>
          </w:rPr>
          <m:t>exp</m:t>
        </m:r>
      </m:oMath>
      <w:r>
        <w:rPr>
          <w:rFonts w:eastAsiaTheme="minorEastAsia"/>
        </w:rPr>
        <w:t xml:space="preserve">. When </w:t>
      </w:r>
      <m:oMath>
        <m:r>
          <w:rPr>
            <w:rFonts w:ascii="Cambria Math" w:eastAsiaTheme="minorEastAsia" w:hAnsi="Cambria Math"/>
          </w:rPr>
          <m:t>MP</m:t>
        </m:r>
      </m:oMath>
      <w:r>
        <w:rPr>
          <w:rFonts w:eastAsiaTheme="minorEastAsia"/>
        </w:rPr>
        <w:t xml:space="preserve"> is regarded as a constant with respect to </w:t>
      </w:r>
      <w:r>
        <w:rPr>
          <w:rFonts w:eastAsiaTheme="minorEastAsia"/>
        </w:rPr>
        <w:lastRenderedPageBreak/>
        <w:t>expenditure (as is typically the case) the above equation reduces to the health opportunity cost being equal to the product of expenditure and marginal productivity.</w:t>
      </w:r>
    </w:p>
    <w:p w:rsidR="00A82676" w:rsidRDefault="00A82676" w:rsidP="00A82676">
      <w:pPr>
        <w:spacing w:line="240" w:lineRule="auto"/>
      </w:pPr>
      <w:r>
        <w:t>Using the results from the earlier section we can approximate the relationship between marginal productivity and expenditure. Because of the limited results (an over target PCT estimate of marginal productivity and an under target PCT estimate of marginal productivity) and for ease of calculation and exposition, we represent the relationship between marginal productivity and expenditure by using a linear approximation. In the figure below, we plot the estimated marginal productivity against expenditure, where expenditure is calculated by assuming that the whole NHS budget is over (under) target by the same percentage that over (under) target PCTs exceed (fall short of) their target allocation.</w:t>
      </w:r>
    </w:p>
    <w:p w:rsidR="00A82676" w:rsidRDefault="00A84C24" w:rsidP="00A82676">
      <w:pPr>
        <w:pStyle w:val="Caption"/>
      </w:pPr>
      <w:bookmarkStart w:id="17" w:name="_Ref437270644"/>
      <w:r>
        <w:rPr>
          <w:noProof/>
          <w:lang w:eastAsia="en-GB"/>
        </w:rPr>
        <w:drawing>
          <wp:inline distT="0" distB="0" distL="0" distR="0" wp14:anchorId="18C41671" wp14:editId="359DB86E">
            <wp:extent cx="5731510" cy="37236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3723640"/>
                    </a:xfrm>
                    <a:prstGeom prst="rect">
                      <a:avLst/>
                    </a:prstGeom>
                  </pic:spPr>
                </pic:pic>
              </a:graphicData>
            </a:graphic>
          </wp:inline>
        </w:drawing>
      </w:r>
      <w:r w:rsidR="00A82676">
        <w:t xml:space="preserve">Figure </w:t>
      </w:r>
      <w:fldSimple w:instr=" SEQ Figure \* ARABIC ">
        <w:r w:rsidR="00A82676">
          <w:rPr>
            <w:noProof/>
          </w:rPr>
          <w:t>1</w:t>
        </w:r>
      </w:fldSimple>
      <w:bookmarkEnd w:id="17"/>
      <w:r w:rsidR="00A82676">
        <w:t xml:space="preserve"> - Linear approximation of relationship between marginal productivity and expenditure</w:t>
      </w:r>
    </w:p>
    <w:p w:rsidR="00A82676" w:rsidRDefault="00A82676" w:rsidP="00A82676">
      <w:pPr>
        <w:spacing w:line="240" w:lineRule="auto"/>
      </w:pPr>
      <w:r>
        <w:t>The all-PCT estimate of marginal productivity of 0.000077 QALYs per £NHS (= 1/£12,936, indicated by the diamond) does not exactly fit on the linear approximation (marginal productivity at zero change in expenditure is estimated to be 0.000079 QALYS per £NHS). This is expected, since linearity is inconsistent with the conceptualisation of the econometric modelling, which is based on a Cobb-Douglas health production function (HPF) where the first derivative of marginal productivity with respect to expenditure is not constant, but decreasing at an decreasing rate (second derivative is positive).</w:t>
      </w:r>
      <w:r>
        <w:rPr>
          <w:rStyle w:val="FootnoteReference"/>
        </w:rPr>
        <w:footnoteReference w:id="12"/>
      </w:r>
      <w:r>
        <w:t xml:space="preserve">  </w:t>
      </w:r>
    </w:p>
    <w:p w:rsidR="00A82676" w:rsidRDefault="00A82676" w:rsidP="00A82676">
      <w:pPr>
        <w:spacing w:line="240" w:lineRule="auto"/>
        <w:rPr>
          <w:rFonts w:eastAsiaTheme="minorEastAsia"/>
        </w:rPr>
      </w:pPr>
      <w:r>
        <w:t xml:space="preserve">The linear approximation to the relationship between marginal productivity and changes in expenditure in Figure 1 is consistent with diminishing marginal returns, albeit diminishing at a constant rate.  Although it is clearly an approximation, in the absence of more than two points it is useful for demonstrating how health opportunity costs for different sizes of budget impact can be derived from understanding this relationship. The health opportunity cost of a budget impact can be </w:t>
      </w:r>
      <w:r>
        <w:lastRenderedPageBreak/>
        <w:t xml:space="preserve">calculated by integrating the marginal productivity function over the net expenditure, which visually can be thought of as the area under the line in </w:t>
      </w:r>
      <w:r>
        <w:fldChar w:fldCharType="begin"/>
      </w:r>
      <w:r>
        <w:instrText xml:space="preserve"> REF _Ref437270644 \h </w:instrText>
      </w:r>
      <w:r>
        <w:fldChar w:fldCharType="separate"/>
      </w:r>
      <w:r>
        <w:t xml:space="preserve">Figure </w:t>
      </w:r>
      <w:r>
        <w:rPr>
          <w:noProof/>
        </w:rPr>
        <w:t>1</w:t>
      </w:r>
      <w:r>
        <w:fldChar w:fldCharType="end"/>
      </w:r>
      <w:r>
        <w:t xml:space="preserve"> between the two points of interest (for a budget impact with net expenditure of £EXP it will be the area between the line and the </w:t>
      </w:r>
      <m:oMath>
        <m:r>
          <w:rPr>
            <w:rFonts w:ascii="Cambria Math" w:hAnsi="Cambria Math"/>
          </w:rPr>
          <m:t>exp</m:t>
        </m:r>
      </m:oMath>
      <w:r>
        <w:t xml:space="preserve">-axis from </w:t>
      </w:r>
      <m:oMath>
        <m:r>
          <w:rPr>
            <w:rFonts w:ascii="Cambria Math" w:hAnsi="Cambria Math"/>
          </w:rPr>
          <m:t>exp=0</m:t>
        </m:r>
      </m:oMath>
      <w:r>
        <w:rPr>
          <w:rFonts w:eastAsiaTheme="minorEastAsia"/>
        </w:rPr>
        <w:t xml:space="preserve"> to </w:t>
      </w:r>
      <m:oMath>
        <m:r>
          <w:rPr>
            <w:rFonts w:ascii="Cambria Math" w:eastAsiaTheme="minorEastAsia" w:hAnsi="Cambria Math"/>
          </w:rPr>
          <m:t>exp=-EXP</m:t>
        </m:r>
      </m:oMath>
      <w:r>
        <w:rPr>
          <w:rFonts w:eastAsiaTheme="minorEastAsia"/>
        </w:rPr>
        <w:t>), given by the equation (following the visual analogy it is clear that the integral will be equal to the area of a trapezium):</w:t>
      </w:r>
    </w:p>
    <w:p w:rsidR="00A82676" w:rsidRPr="00225C67" w:rsidRDefault="00A82676" w:rsidP="00A82676">
      <w:pPr>
        <w:spacing w:line="240" w:lineRule="auto"/>
        <w:rPr>
          <w:rFonts w:eastAsiaTheme="minorEastAsia"/>
        </w:rPr>
      </w:pPr>
      <m:oMathPara>
        <m:oMath>
          <m:r>
            <w:rPr>
              <w:rFonts w:ascii="Cambria Math" w:hAnsi="Cambria Math"/>
            </w:rPr>
            <m:t>Health opportunity cost= -</m:t>
          </m:r>
          <m:nary>
            <m:naryPr>
              <m:limLoc m:val="subSup"/>
              <m:ctrlPr>
                <w:rPr>
                  <w:rFonts w:ascii="Cambria Math" w:hAnsi="Cambria Math"/>
                  <w:i/>
                </w:rPr>
              </m:ctrlPr>
            </m:naryPr>
            <m:sub>
              <m:r>
                <w:rPr>
                  <w:rFonts w:ascii="Cambria Math" w:hAnsi="Cambria Math"/>
                </w:rPr>
                <m:t>0</m:t>
              </m:r>
            </m:sub>
            <m:sup>
              <m:r>
                <w:rPr>
                  <w:rFonts w:ascii="Cambria Math" w:hAnsi="Cambria Math"/>
                </w:rPr>
                <m:t>-EXP</m:t>
              </m:r>
            </m:sup>
            <m:e>
              <m:r>
                <w:rPr>
                  <w:rFonts w:ascii="Cambria Math" w:hAnsi="Cambria Math"/>
                </w:rPr>
                <m:t>MP</m:t>
              </m:r>
            </m:e>
          </m:nary>
          <m:d>
            <m:dPr>
              <m:ctrlPr>
                <w:rPr>
                  <w:rFonts w:ascii="Cambria Math" w:hAnsi="Cambria Math"/>
                  <w:i/>
                </w:rPr>
              </m:ctrlPr>
            </m:dPr>
            <m:e>
              <m:r>
                <w:rPr>
                  <w:rFonts w:ascii="Cambria Math" w:hAnsi="Cambria Math"/>
                </w:rPr>
                <m:t>exp</m:t>
              </m:r>
            </m:e>
          </m:d>
          <m:r>
            <w:rPr>
              <w:rFonts w:ascii="Cambria Math" w:hAnsi="Cambria Math"/>
            </w:rPr>
            <m:t xml:space="preserve"> dexp=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MP</m:t>
                      </m:r>
                    </m:e>
                    <m:sub>
                      <m:r>
                        <w:rPr>
                          <w:rFonts w:ascii="Cambria Math" w:hAnsi="Cambria Math"/>
                        </w:rPr>
                        <m:t>-EXP</m:t>
                      </m:r>
                    </m:sub>
                  </m:sSub>
                  <m:r>
                    <w:rPr>
                      <w:rFonts w:ascii="Cambria Math" w:hAnsi="Cambria Math"/>
                    </w:rPr>
                    <m:t>+</m:t>
                  </m:r>
                  <m:sSub>
                    <m:sSubPr>
                      <m:ctrlPr>
                        <w:rPr>
                          <w:rFonts w:ascii="Cambria Math" w:hAnsi="Cambria Math"/>
                          <w:i/>
                        </w:rPr>
                      </m:ctrlPr>
                    </m:sSubPr>
                    <m:e>
                      <m:r>
                        <w:rPr>
                          <w:rFonts w:ascii="Cambria Math" w:hAnsi="Cambria Math"/>
                        </w:rPr>
                        <m:t>MP</m:t>
                      </m:r>
                    </m:e>
                    <m:sub>
                      <m:r>
                        <w:rPr>
                          <w:rFonts w:ascii="Cambria Math" w:hAnsi="Cambria Math"/>
                        </w:rPr>
                        <m:t>0</m:t>
                      </m:r>
                    </m:sub>
                  </m:sSub>
                </m:num>
                <m:den>
                  <m:r>
                    <w:rPr>
                      <w:rFonts w:ascii="Cambria Math" w:hAnsi="Cambria Math"/>
                    </w:rPr>
                    <m:t>2</m:t>
                  </m:r>
                </m:den>
              </m:f>
            </m:e>
          </m:d>
          <m:r>
            <w:rPr>
              <w:rFonts w:ascii="Cambria Math" w:hAnsi="Cambria Math"/>
            </w:rPr>
            <m:t>.EXP</m:t>
          </m:r>
        </m:oMath>
      </m:oMathPara>
      <w:bookmarkStart w:id="18" w:name="_Ref437270595"/>
    </w:p>
    <w:p w:rsidR="00A82676" w:rsidRDefault="00A82676" w:rsidP="00A82676">
      <w:pPr>
        <w:spacing w:line="240" w:lineRule="auto"/>
      </w:pPr>
      <w:r>
        <w:rPr>
          <w:rFonts w:eastAsiaTheme="minorEastAsia"/>
        </w:rPr>
        <w:t xml:space="preserve">Using this information the health production function (HPF) can be represented </w:t>
      </w:r>
      <w:r>
        <w:t xml:space="preserve">graphically, as in </w:t>
      </w:r>
      <w:r>
        <w:fldChar w:fldCharType="begin"/>
      </w:r>
      <w:r>
        <w:instrText xml:space="preserve"> REF _Ref455578924 \h </w:instrText>
      </w:r>
      <w:r>
        <w:fldChar w:fldCharType="separate"/>
      </w:r>
      <w:r>
        <w:t xml:space="preserve">Figure </w:t>
      </w:r>
      <w:r>
        <w:rPr>
          <w:noProof/>
        </w:rPr>
        <w:t>2</w:t>
      </w:r>
      <w:r>
        <w:fldChar w:fldCharType="end"/>
      </w:r>
      <w:r>
        <w:t>, where health effects resulting from changes in expenditure can be reported.</w:t>
      </w:r>
    </w:p>
    <w:p w:rsidR="00A82676" w:rsidRDefault="00A84C24" w:rsidP="00A82676">
      <w:pPr>
        <w:pStyle w:val="Caption"/>
      </w:pPr>
      <w:bookmarkStart w:id="19" w:name="_Ref455578924"/>
      <w:r>
        <w:rPr>
          <w:noProof/>
          <w:lang w:eastAsia="en-GB"/>
        </w:rPr>
        <w:drawing>
          <wp:inline distT="0" distB="0" distL="0" distR="0" wp14:anchorId="5C5C1523" wp14:editId="53A3D6B3">
            <wp:extent cx="5731510" cy="37312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731260"/>
                    </a:xfrm>
                    <a:prstGeom prst="rect">
                      <a:avLst/>
                    </a:prstGeom>
                  </pic:spPr>
                </pic:pic>
              </a:graphicData>
            </a:graphic>
          </wp:inline>
        </w:drawing>
      </w:r>
      <w:r w:rsidR="00A82676">
        <w:t xml:space="preserve">Figure </w:t>
      </w:r>
      <w:fldSimple w:instr=" SEQ Figure \* ARABIC ">
        <w:r w:rsidR="00A82676">
          <w:rPr>
            <w:noProof/>
          </w:rPr>
          <w:t>2</w:t>
        </w:r>
      </w:fldSimple>
      <w:bookmarkEnd w:id="19"/>
      <w:r w:rsidR="00A82676">
        <w:t xml:space="preserve"> - Health production function for 2008/09 assuming linear approximation</w:t>
      </w:r>
    </w:p>
    <w:p w:rsidR="00A84C24" w:rsidRDefault="00A82676" w:rsidP="00A82676">
      <w:pPr>
        <w:spacing w:line="240" w:lineRule="auto"/>
      </w:pPr>
      <w:r>
        <w:t>The HPF is not linear, because the marginal productivity is non-constant over different levels of expenditure. It is now possible to pick points from the graph in order to estimate the expected health opportunity cost of different budget impacts associated with proposed investments. In order to make this clearer to the reader, and to pick out a specific result relating to our case study, we present a range of results in Table 4.</w:t>
      </w:r>
    </w:p>
    <w:p w:rsidR="00A84C24" w:rsidRDefault="00A84C24">
      <w:pPr>
        <w:spacing w:after="160" w:line="259" w:lineRule="auto"/>
      </w:pPr>
      <w:r>
        <w:br w:type="page"/>
      </w:r>
    </w:p>
    <w:p w:rsidR="00A82676" w:rsidRDefault="00A82676" w:rsidP="00A82676">
      <w:pPr>
        <w:pStyle w:val="Caption"/>
        <w:keepNext/>
      </w:pPr>
      <w:r>
        <w:lastRenderedPageBreak/>
        <w:t xml:space="preserve">Table </w:t>
      </w:r>
      <w:fldSimple w:instr=" SEQ Table \* ARABIC ">
        <w:r>
          <w:rPr>
            <w:noProof/>
          </w:rPr>
          <w:t>4</w:t>
        </w:r>
      </w:fldSimple>
      <w:bookmarkEnd w:id="18"/>
      <w:r>
        <w:t xml:space="preserve"> – Health opportunity costs for different scales of budget impact</w:t>
      </w:r>
    </w:p>
    <w:tbl>
      <w:tblPr>
        <w:tblStyle w:val="TableGrid"/>
        <w:tblW w:w="9606" w:type="dxa"/>
        <w:tblLayout w:type="fixed"/>
        <w:tblLook w:val="04A0" w:firstRow="1" w:lastRow="0" w:firstColumn="1" w:lastColumn="0" w:noHBand="0" w:noVBand="1"/>
      </w:tblPr>
      <w:tblGrid>
        <w:gridCol w:w="1526"/>
        <w:gridCol w:w="1346"/>
        <w:gridCol w:w="1347"/>
        <w:gridCol w:w="1134"/>
        <w:gridCol w:w="1559"/>
        <w:gridCol w:w="1276"/>
        <w:gridCol w:w="1418"/>
      </w:tblGrid>
      <w:tr w:rsidR="00A84C24" w:rsidRPr="00894623" w:rsidTr="008F264A">
        <w:trPr>
          <w:trHeight w:val="300"/>
        </w:trPr>
        <w:tc>
          <w:tcPr>
            <w:tcW w:w="1526" w:type="dxa"/>
            <w:noWrap/>
          </w:tcPr>
          <w:p w:rsidR="00A84C24" w:rsidRPr="006C3435" w:rsidRDefault="00A84C24" w:rsidP="008F264A">
            <w:pPr>
              <w:rPr>
                <w:rFonts w:ascii="Calibri" w:eastAsia="Times New Roman" w:hAnsi="Calibri" w:cs="Times New Roman"/>
                <w:b/>
                <w:i/>
                <w:color w:val="000000"/>
                <w:sz w:val="18"/>
                <w:szCs w:val="18"/>
                <w:lang w:eastAsia="en-GB"/>
              </w:rPr>
            </w:pPr>
            <w:r w:rsidRPr="006C3435">
              <w:rPr>
                <w:rFonts w:ascii="Calibri" w:eastAsia="Times New Roman" w:hAnsi="Calibri" w:cs="Times New Roman"/>
                <w:b/>
                <w:i/>
                <w:color w:val="000000"/>
                <w:sz w:val="18"/>
                <w:szCs w:val="18"/>
                <w:lang w:eastAsia="en-GB"/>
              </w:rPr>
              <w:t>(1)</w:t>
            </w:r>
          </w:p>
        </w:tc>
        <w:tc>
          <w:tcPr>
            <w:tcW w:w="1346" w:type="dxa"/>
            <w:noWrap/>
          </w:tcPr>
          <w:p w:rsidR="00A84C24" w:rsidRPr="006C3435" w:rsidRDefault="00A84C24" w:rsidP="008F264A">
            <w:pPr>
              <w:rPr>
                <w:rFonts w:ascii="Calibri" w:eastAsia="Times New Roman" w:hAnsi="Calibri" w:cs="Times New Roman"/>
                <w:b/>
                <w:i/>
                <w:color w:val="000000"/>
                <w:sz w:val="18"/>
                <w:szCs w:val="18"/>
                <w:lang w:eastAsia="en-GB"/>
              </w:rPr>
            </w:pPr>
            <w:r w:rsidRPr="006C3435">
              <w:rPr>
                <w:rFonts w:ascii="Calibri" w:eastAsia="Times New Roman" w:hAnsi="Calibri" w:cs="Times New Roman"/>
                <w:b/>
                <w:i/>
                <w:color w:val="000000"/>
                <w:sz w:val="18"/>
                <w:szCs w:val="18"/>
                <w:lang w:eastAsia="en-GB"/>
              </w:rPr>
              <w:t>(2)</w:t>
            </w:r>
          </w:p>
        </w:tc>
        <w:tc>
          <w:tcPr>
            <w:tcW w:w="1347" w:type="dxa"/>
            <w:noWrap/>
          </w:tcPr>
          <w:p w:rsidR="00A84C24" w:rsidRPr="006C3435" w:rsidRDefault="00A84C24" w:rsidP="008F264A">
            <w:pPr>
              <w:rPr>
                <w:rFonts w:ascii="Calibri" w:eastAsia="Times New Roman" w:hAnsi="Calibri" w:cs="Times New Roman"/>
                <w:b/>
                <w:i/>
                <w:color w:val="000000"/>
                <w:sz w:val="18"/>
                <w:szCs w:val="18"/>
                <w:lang w:eastAsia="en-GB"/>
              </w:rPr>
            </w:pPr>
            <w:r w:rsidRPr="006C3435">
              <w:rPr>
                <w:rFonts w:ascii="Calibri" w:eastAsia="Times New Roman" w:hAnsi="Calibri" w:cs="Times New Roman"/>
                <w:b/>
                <w:i/>
                <w:color w:val="000000"/>
                <w:sz w:val="18"/>
                <w:szCs w:val="18"/>
                <w:lang w:eastAsia="en-GB"/>
              </w:rPr>
              <w:t>(3)</w:t>
            </w:r>
          </w:p>
        </w:tc>
        <w:tc>
          <w:tcPr>
            <w:tcW w:w="1134" w:type="dxa"/>
          </w:tcPr>
          <w:p w:rsidR="00A84C24" w:rsidRPr="006C3435" w:rsidRDefault="00A84C24" w:rsidP="008F264A">
            <w:pPr>
              <w:rPr>
                <w:rFonts w:ascii="Calibri" w:eastAsia="Times New Roman" w:hAnsi="Calibri" w:cs="Times New Roman"/>
                <w:b/>
                <w:i/>
                <w:color w:val="000000"/>
                <w:sz w:val="18"/>
                <w:szCs w:val="18"/>
                <w:lang w:eastAsia="en-GB"/>
              </w:rPr>
            </w:pPr>
            <w:r w:rsidRPr="006C3435">
              <w:rPr>
                <w:rFonts w:ascii="Calibri" w:eastAsia="Times New Roman" w:hAnsi="Calibri" w:cs="Times New Roman"/>
                <w:b/>
                <w:i/>
                <w:color w:val="000000"/>
                <w:sz w:val="18"/>
                <w:szCs w:val="18"/>
                <w:lang w:eastAsia="en-GB"/>
              </w:rPr>
              <w:t>(4)</w:t>
            </w:r>
          </w:p>
        </w:tc>
        <w:tc>
          <w:tcPr>
            <w:tcW w:w="1559" w:type="dxa"/>
          </w:tcPr>
          <w:p w:rsidR="00A84C24" w:rsidRPr="006C3435" w:rsidRDefault="00A84C24" w:rsidP="008F264A">
            <w:pPr>
              <w:rPr>
                <w:rFonts w:ascii="Calibri" w:eastAsia="Times New Roman" w:hAnsi="Calibri" w:cs="Times New Roman"/>
                <w:b/>
                <w:i/>
                <w:color w:val="000000"/>
                <w:sz w:val="18"/>
                <w:szCs w:val="18"/>
                <w:lang w:eastAsia="en-GB"/>
              </w:rPr>
            </w:pPr>
            <w:r w:rsidRPr="006C3435">
              <w:rPr>
                <w:rFonts w:ascii="Calibri" w:eastAsia="Times New Roman" w:hAnsi="Calibri" w:cs="Times New Roman"/>
                <w:b/>
                <w:i/>
                <w:color w:val="000000"/>
                <w:sz w:val="18"/>
                <w:szCs w:val="18"/>
                <w:lang w:eastAsia="en-GB"/>
              </w:rPr>
              <w:t>(5)</w:t>
            </w:r>
          </w:p>
        </w:tc>
        <w:tc>
          <w:tcPr>
            <w:tcW w:w="1276" w:type="dxa"/>
          </w:tcPr>
          <w:p w:rsidR="00A84C24" w:rsidRPr="006C3435" w:rsidRDefault="00A84C24" w:rsidP="008F264A">
            <w:pPr>
              <w:rPr>
                <w:rFonts w:ascii="Calibri" w:eastAsia="Times New Roman" w:hAnsi="Calibri" w:cs="Times New Roman"/>
                <w:b/>
                <w:i/>
                <w:color w:val="000000"/>
                <w:sz w:val="18"/>
                <w:szCs w:val="18"/>
                <w:lang w:eastAsia="en-GB"/>
              </w:rPr>
            </w:pPr>
            <w:r w:rsidRPr="006C3435">
              <w:rPr>
                <w:rFonts w:ascii="Calibri" w:eastAsia="Times New Roman" w:hAnsi="Calibri" w:cs="Times New Roman"/>
                <w:b/>
                <w:i/>
                <w:color w:val="000000"/>
                <w:sz w:val="18"/>
                <w:szCs w:val="18"/>
                <w:lang w:eastAsia="en-GB"/>
              </w:rPr>
              <w:t>(6)</w:t>
            </w:r>
          </w:p>
        </w:tc>
        <w:tc>
          <w:tcPr>
            <w:tcW w:w="1418" w:type="dxa"/>
          </w:tcPr>
          <w:p w:rsidR="00A84C24" w:rsidRPr="006C3435" w:rsidRDefault="00A84C24" w:rsidP="008F264A">
            <w:pPr>
              <w:rPr>
                <w:rFonts w:ascii="Calibri" w:eastAsia="Times New Roman" w:hAnsi="Calibri" w:cs="Times New Roman"/>
                <w:b/>
                <w:i/>
                <w:color w:val="000000"/>
                <w:sz w:val="18"/>
                <w:szCs w:val="18"/>
                <w:lang w:eastAsia="en-GB"/>
              </w:rPr>
            </w:pPr>
            <w:r w:rsidRPr="006C3435">
              <w:rPr>
                <w:rFonts w:ascii="Calibri" w:eastAsia="Times New Roman" w:hAnsi="Calibri" w:cs="Times New Roman"/>
                <w:b/>
                <w:i/>
                <w:color w:val="000000"/>
                <w:sz w:val="18"/>
                <w:szCs w:val="18"/>
                <w:lang w:eastAsia="en-GB"/>
              </w:rPr>
              <w:t>(7)</w:t>
            </w:r>
          </w:p>
        </w:tc>
      </w:tr>
      <w:tr w:rsidR="00A84C24" w:rsidRPr="00894623" w:rsidTr="008F264A">
        <w:trPr>
          <w:trHeight w:val="300"/>
        </w:trPr>
        <w:tc>
          <w:tcPr>
            <w:tcW w:w="1526" w:type="dxa"/>
            <w:noWrap/>
            <w:hideMark/>
          </w:tcPr>
          <w:p w:rsidR="00A84C24" w:rsidRPr="00EF6604" w:rsidRDefault="00A84C24" w:rsidP="008F264A">
            <w:pPr>
              <w:rPr>
                <w:rFonts w:ascii="Calibri" w:eastAsia="Times New Roman" w:hAnsi="Calibri" w:cs="Times New Roman"/>
                <w:b/>
                <w:color w:val="000000"/>
                <w:sz w:val="18"/>
                <w:szCs w:val="18"/>
                <w:lang w:eastAsia="en-GB"/>
              </w:rPr>
            </w:pPr>
            <w:r>
              <w:rPr>
                <w:rFonts w:ascii="Calibri" w:eastAsia="Times New Roman" w:hAnsi="Calibri" w:cs="Times New Roman"/>
                <w:b/>
                <w:color w:val="000000"/>
                <w:sz w:val="18"/>
                <w:szCs w:val="18"/>
                <w:lang w:eastAsia="en-GB"/>
              </w:rPr>
              <w:t>Budget impact</w:t>
            </w:r>
            <w:r w:rsidRPr="00EF6604">
              <w:rPr>
                <w:rFonts w:ascii="Calibri" w:eastAsia="Times New Roman" w:hAnsi="Calibri" w:cs="Times New Roman"/>
                <w:b/>
                <w:color w:val="000000"/>
                <w:sz w:val="18"/>
                <w:szCs w:val="18"/>
                <w:lang w:eastAsia="en-GB"/>
              </w:rPr>
              <w:t xml:space="preserve"> (£</w:t>
            </w:r>
            <w:r>
              <w:rPr>
                <w:rFonts w:ascii="Calibri" w:eastAsia="Times New Roman" w:hAnsi="Calibri" w:cs="Times New Roman"/>
                <w:b/>
                <w:color w:val="000000"/>
                <w:sz w:val="18"/>
                <w:szCs w:val="18"/>
                <w:lang w:eastAsia="en-GB"/>
              </w:rPr>
              <w:t>m of NHS expenditure</w:t>
            </w:r>
            <w:r w:rsidRPr="00EF6604">
              <w:rPr>
                <w:rFonts w:ascii="Calibri" w:eastAsia="Times New Roman" w:hAnsi="Calibri" w:cs="Times New Roman"/>
                <w:b/>
                <w:color w:val="000000"/>
                <w:sz w:val="18"/>
                <w:szCs w:val="18"/>
                <w:lang w:eastAsia="en-GB"/>
              </w:rPr>
              <w:t>)</w:t>
            </w:r>
          </w:p>
        </w:tc>
        <w:tc>
          <w:tcPr>
            <w:tcW w:w="1346" w:type="dxa"/>
            <w:noWrap/>
            <w:hideMark/>
          </w:tcPr>
          <w:p w:rsidR="00A84C24" w:rsidRPr="00EF6604" w:rsidRDefault="00A84C24" w:rsidP="008F264A">
            <w:pPr>
              <w:rPr>
                <w:rFonts w:ascii="Calibri" w:eastAsia="Times New Roman" w:hAnsi="Calibri" w:cs="Times New Roman"/>
                <w:b/>
                <w:color w:val="000000"/>
                <w:sz w:val="18"/>
                <w:szCs w:val="18"/>
                <w:lang w:eastAsia="en-GB"/>
              </w:rPr>
            </w:pPr>
            <w:r w:rsidRPr="00EF6604">
              <w:rPr>
                <w:rFonts w:ascii="Calibri" w:eastAsia="Times New Roman" w:hAnsi="Calibri" w:cs="Times New Roman"/>
                <w:b/>
                <w:color w:val="000000"/>
                <w:sz w:val="18"/>
                <w:szCs w:val="18"/>
                <w:lang w:eastAsia="en-GB"/>
              </w:rPr>
              <w:t xml:space="preserve">Health opportunity costs accounting for </w:t>
            </w:r>
            <w:r>
              <w:rPr>
                <w:rFonts w:ascii="Calibri" w:eastAsia="Times New Roman" w:hAnsi="Calibri" w:cs="Times New Roman"/>
                <w:b/>
                <w:color w:val="000000"/>
                <w:sz w:val="18"/>
                <w:szCs w:val="18"/>
                <w:lang w:eastAsia="en-GB"/>
              </w:rPr>
              <w:t>non-marginal</w:t>
            </w:r>
            <w:r w:rsidRPr="00EF6604">
              <w:rPr>
                <w:rFonts w:ascii="Calibri" w:eastAsia="Times New Roman" w:hAnsi="Calibri" w:cs="Times New Roman"/>
                <w:b/>
                <w:color w:val="000000"/>
                <w:sz w:val="18"/>
                <w:szCs w:val="18"/>
                <w:lang w:eastAsia="en-GB"/>
              </w:rPr>
              <w:t xml:space="preserve"> impact (QALYs)</w:t>
            </w:r>
          </w:p>
        </w:tc>
        <w:tc>
          <w:tcPr>
            <w:tcW w:w="1347" w:type="dxa"/>
            <w:noWrap/>
            <w:hideMark/>
          </w:tcPr>
          <w:p w:rsidR="00A84C24" w:rsidRPr="00EF6604" w:rsidRDefault="00A84C24" w:rsidP="008F264A">
            <w:pPr>
              <w:rPr>
                <w:rFonts w:ascii="Calibri" w:eastAsia="Times New Roman" w:hAnsi="Calibri" w:cs="Times New Roman"/>
                <w:b/>
                <w:color w:val="000000"/>
                <w:sz w:val="18"/>
                <w:szCs w:val="18"/>
                <w:lang w:eastAsia="en-GB"/>
              </w:rPr>
            </w:pPr>
            <w:r w:rsidRPr="00EF6604">
              <w:rPr>
                <w:rFonts w:ascii="Calibri" w:eastAsia="Times New Roman" w:hAnsi="Calibri" w:cs="Times New Roman"/>
                <w:b/>
                <w:color w:val="000000"/>
                <w:sz w:val="18"/>
                <w:szCs w:val="18"/>
                <w:lang w:eastAsia="en-GB"/>
              </w:rPr>
              <w:t>Health opportunity costs of a marginal impact, Claxton et al., (2015) estimates</w:t>
            </w:r>
            <w:r>
              <w:rPr>
                <w:rFonts w:ascii="Calibri" w:eastAsia="Times New Roman" w:hAnsi="Calibri" w:cs="Times New Roman"/>
                <w:b/>
                <w:color w:val="000000"/>
                <w:sz w:val="18"/>
                <w:szCs w:val="18"/>
                <w:lang w:eastAsia="en-GB"/>
              </w:rPr>
              <w:t xml:space="preserve"> </w:t>
            </w:r>
            <w:r w:rsidRPr="00EF6604">
              <w:rPr>
                <w:rFonts w:ascii="Calibri" w:eastAsia="Times New Roman" w:hAnsi="Calibri" w:cs="Times New Roman"/>
                <w:b/>
                <w:color w:val="000000"/>
                <w:sz w:val="18"/>
                <w:szCs w:val="18"/>
                <w:lang w:eastAsia="en-GB"/>
              </w:rPr>
              <w:t>(QALYs)</w:t>
            </w:r>
          </w:p>
        </w:tc>
        <w:tc>
          <w:tcPr>
            <w:tcW w:w="1134" w:type="dxa"/>
          </w:tcPr>
          <w:p w:rsidR="00A84C24" w:rsidRPr="00EF6604" w:rsidRDefault="00A84C24" w:rsidP="008F264A">
            <w:pPr>
              <w:rPr>
                <w:rFonts w:ascii="Calibri" w:eastAsia="Times New Roman" w:hAnsi="Calibri" w:cs="Times New Roman"/>
                <w:b/>
                <w:color w:val="000000"/>
                <w:sz w:val="18"/>
                <w:szCs w:val="18"/>
                <w:lang w:eastAsia="en-GB"/>
              </w:rPr>
            </w:pPr>
            <w:r w:rsidRPr="00EF6604">
              <w:rPr>
                <w:rFonts w:ascii="Calibri" w:eastAsia="Times New Roman" w:hAnsi="Calibri" w:cs="Times New Roman"/>
                <w:b/>
                <w:color w:val="000000"/>
                <w:sz w:val="18"/>
                <w:szCs w:val="18"/>
                <w:lang w:eastAsia="en-GB"/>
              </w:rPr>
              <w:t>Health benefit of smoothing so marginal</w:t>
            </w:r>
            <w:r>
              <w:rPr>
                <w:rFonts w:ascii="Calibri" w:eastAsia="Times New Roman" w:hAnsi="Calibri" w:cs="Times New Roman"/>
                <w:b/>
                <w:color w:val="000000"/>
                <w:sz w:val="18"/>
                <w:szCs w:val="18"/>
                <w:lang w:eastAsia="en-GB"/>
              </w:rPr>
              <w:t xml:space="preserve"> (QALYs)</w:t>
            </w:r>
          </w:p>
        </w:tc>
        <w:tc>
          <w:tcPr>
            <w:tcW w:w="1559" w:type="dxa"/>
          </w:tcPr>
          <w:p w:rsidR="00A84C24" w:rsidRPr="00EF6604" w:rsidRDefault="00A84C24" w:rsidP="008F264A">
            <w:pPr>
              <w:rPr>
                <w:rFonts w:ascii="Calibri" w:eastAsia="Times New Roman" w:hAnsi="Calibri" w:cs="Times New Roman"/>
                <w:b/>
                <w:color w:val="000000"/>
                <w:sz w:val="18"/>
                <w:szCs w:val="18"/>
                <w:lang w:eastAsia="en-GB"/>
              </w:rPr>
            </w:pPr>
            <w:r w:rsidRPr="00EF6604">
              <w:rPr>
                <w:rFonts w:ascii="Calibri" w:eastAsia="Times New Roman" w:hAnsi="Calibri" w:cs="Times New Roman"/>
                <w:b/>
                <w:color w:val="000000"/>
                <w:sz w:val="18"/>
                <w:szCs w:val="18"/>
                <w:lang w:eastAsia="en-GB"/>
              </w:rPr>
              <w:t xml:space="preserve">Monetary benefit of smoothing </w:t>
            </w:r>
            <w:r>
              <w:rPr>
                <w:rFonts w:ascii="Calibri" w:eastAsia="Times New Roman" w:hAnsi="Calibri" w:cs="Times New Roman"/>
                <w:b/>
                <w:color w:val="000000"/>
                <w:sz w:val="18"/>
                <w:szCs w:val="18"/>
                <w:lang w:eastAsia="en-GB"/>
              </w:rPr>
              <w:t>budget impacts (£m of NHS expenditure)</w:t>
            </w:r>
          </w:p>
        </w:tc>
        <w:tc>
          <w:tcPr>
            <w:tcW w:w="1276" w:type="dxa"/>
          </w:tcPr>
          <w:p w:rsidR="00A84C24" w:rsidRPr="00EF6604" w:rsidRDefault="00A84C24" w:rsidP="008F264A">
            <w:pPr>
              <w:rPr>
                <w:rFonts w:ascii="Calibri" w:eastAsia="Times New Roman" w:hAnsi="Calibri" w:cs="Times New Roman"/>
                <w:b/>
                <w:color w:val="000000"/>
                <w:sz w:val="18"/>
                <w:szCs w:val="18"/>
                <w:lang w:eastAsia="en-GB"/>
              </w:rPr>
            </w:pPr>
            <w:r w:rsidRPr="00EF6604">
              <w:rPr>
                <w:rFonts w:ascii="Calibri" w:eastAsia="Times New Roman" w:hAnsi="Calibri" w:cs="Times New Roman"/>
                <w:b/>
                <w:color w:val="000000"/>
                <w:sz w:val="18"/>
                <w:szCs w:val="18"/>
                <w:lang w:eastAsia="en-GB"/>
              </w:rPr>
              <w:t>Marginal k</w:t>
            </w:r>
            <w:r>
              <w:rPr>
                <w:rFonts w:ascii="Calibri" w:eastAsia="Times New Roman" w:hAnsi="Calibri" w:cs="Times New Roman"/>
                <w:b/>
                <w:color w:val="000000"/>
                <w:sz w:val="18"/>
                <w:szCs w:val="18"/>
                <w:lang w:eastAsia="en-GB"/>
              </w:rPr>
              <w:t xml:space="preserve"> = 1/MP(£NHS)</w:t>
            </w:r>
          </w:p>
        </w:tc>
        <w:tc>
          <w:tcPr>
            <w:tcW w:w="1418" w:type="dxa"/>
          </w:tcPr>
          <w:p w:rsidR="00A84C24" w:rsidRPr="00EF6604" w:rsidRDefault="00A84C24" w:rsidP="008F264A">
            <w:pPr>
              <w:rPr>
                <w:rFonts w:ascii="Calibri" w:eastAsia="Times New Roman" w:hAnsi="Calibri" w:cs="Times New Roman"/>
                <w:b/>
                <w:color w:val="000000"/>
                <w:sz w:val="18"/>
                <w:szCs w:val="18"/>
                <w:lang w:eastAsia="en-GB"/>
              </w:rPr>
            </w:pPr>
            <w:r w:rsidRPr="00EF6604">
              <w:rPr>
                <w:rFonts w:ascii="Calibri" w:eastAsia="Times New Roman" w:hAnsi="Calibri" w:cs="Times New Roman"/>
                <w:b/>
                <w:color w:val="000000"/>
                <w:sz w:val="18"/>
                <w:szCs w:val="18"/>
                <w:lang w:eastAsia="en-GB"/>
              </w:rPr>
              <w:t>Average k</w:t>
            </w:r>
            <w:r>
              <w:rPr>
                <w:rFonts w:ascii="Calibri" w:eastAsia="Times New Roman" w:hAnsi="Calibri" w:cs="Times New Roman"/>
                <w:b/>
                <w:color w:val="000000"/>
                <w:sz w:val="18"/>
                <w:szCs w:val="18"/>
                <w:lang w:eastAsia="en-GB"/>
              </w:rPr>
              <w:t xml:space="preserve"> = 1/(0.5*MP(0) + 0.5*MP(£NHS))</w:t>
            </w:r>
          </w:p>
        </w:tc>
      </w:tr>
      <w:tr w:rsidR="00A84C24" w:rsidRPr="00894623" w:rsidTr="008F264A">
        <w:trPr>
          <w:trHeight w:val="20"/>
        </w:trPr>
        <w:tc>
          <w:tcPr>
            <w:tcW w:w="1526"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-£250</w:t>
            </w:r>
          </w:p>
        </w:tc>
        <w:tc>
          <w:tcPr>
            <w:tcW w:w="1346" w:type="dxa"/>
            <w:noWrap/>
            <w:hideMark/>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-19,934 </w:t>
            </w:r>
          </w:p>
        </w:tc>
        <w:tc>
          <w:tcPr>
            <w:tcW w:w="1347"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-19,325</w:t>
            </w:r>
          </w:p>
        </w:tc>
        <w:tc>
          <w:tcPr>
            <w:tcW w:w="1134"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608 </w:t>
            </w:r>
          </w:p>
        </w:tc>
        <w:tc>
          <w:tcPr>
            <w:tcW w:w="1559"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 £7.87 </w:t>
            </w:r>
          </w:p>
        </w:tc>
        <w:tc>
          <w:tcPr>
            <w:tcW w:w="1276"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2,498.65 </w:t>
            </w:r>
          </w:p>
        </w:tc>
        <w:tc>
          <w:tcPr>
            <w:tcW w:w="1418"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2,541.56 </w:t>
            </w:r>
          </w:p>
        </w:tc>
      </w:tr>
      <w:tr w:rsidR="00A84C24" w:rsidRPr="00894623" w:rsidTr="008F264A">
        <w:trPr>
          <w:trHeight w:val="20"/>
        </w:trPr>
        <w:tc>
          <w:tcPr>
            <w:tcW w:w="1526"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-£500</w:t>
            </w:r>
          </w:p>
        </w:tc>
        <w:tc>
          <w:tcPr>
            <w:tcW w:w="1346" w:type="dxa"/>
            <w:noWrap/>
            <w:hideMark/>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-40,004 </w:t>
            </w:r>
          </w:p>
        </w:tc>
        <w:tc>
          <w:tcPr>
            <w:tcW w:w="1347"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-38,65</w:t>
            </w:r>
            <w:r>
              <w:rPr>
                <w:rFonts w:ascii="Calibri" w:eastAsia="Times New Roman" w:hAnsi="Calibri" w:cs="Times New Roman"/>
                <w:color w:val="000000"/>
                <w:sz w:val="18"/>
                <w:szCs w:val="18"/>
                <w:lang w:eastAsia="en-GB"/>
              </w:rPr>
              <w:t>1</w:t>
            </w:r>
          </w:p>
        </w:tc>
        <w:tc>
          <w:tcPr>
            <w:tcW w:w="1134"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1,354 </w:t>
            </w:r>
          </w:p>
        </w:tc>
        <w:tc>
          <w:tcPr>
            <w:tcW w:w="1559"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 £17.51 </w:t>
            </w:r>
          </w:p>
        </w:tc>
        <w:tc>
          <w:tcPr>
            <w:tcW w:w="1276"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2,413.73 </w:t>
            </w:r>
          </w:p>
        </w:tc>
        <w:tc>
          <w:tcPr>
            <w:tcW w:w="1418"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2,498.65 </w:t>
            </w:r>
          </w:p>
        </w:tc>
      </w:tr>
      <w:tr w:rsidR="00A84C24" w:rsidRPr="0063693D" w:rsidTr="008F264A">
        <w:trPr>
          <w:trHeight w:val="20"/>
        </w:trPr>
        <w:tc>
          <w:tcPr>
            <w:tcW w:w="1526" w:type="dxa"/>
            <w:noWrap/>
            <w:hideMark/>
          </w:tcPr>
          <w:p w:rsidR="00A84C24" w:rsidRPr="0063693D" w:rsidRDefault="00A84C24" w:rsidP="008F264A">
            <w:pPr>
              <w:jc w:val="right"/>
              <w:rPr>
                <w:rFonts w:ascii="Calibri" w:eastAsia="Times New Roman" w:hAnsi="Calibri" w:cs="Times New Roman"/>
                <w:color w:val="000000"/>
                <w:sz w:val="18"/>
                <w:szCs w:val="18"/>
                <w:lang w:eastAsia="en-GB"/>
              </w:rPr>
            </w:pPr>
            <w:r w:rsidRPr="0063693D">
              <w:rPr>
                <w:rFonts w:ascii="Calibri" w:eastAsia="Times New Roman" w:hAnsi="Calibri" w:cs="Times New Roman"/>
                <w:color w:val="000000"/>
                <w:sz w:val="18"/>
                <w:szCs w:val="18"/>
                <w:lang w:eastAsia="en-GB"/>
              </w:rPr>
              <w:t>-£772</w:t>
            </w:r>
          </w:p>
        </w:tc>
        <w:tc>
          <w:tcPr>
            <w:tcW w:w="1346" w:type="dxa"/>
            <w:noWrap/>
            <w:hideMark/>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-61,997 </w:t>
            </w:r>
          </w:p>
        </w:tc>
        <w:tc>
          <w:tcPr>
            <w:tcW w:w="1347" w:type="dxa"/>
            <w:noWrap/>
            <w:hideMark/>
          </w:tcPr>
          <w:p w:rsidR="00A84C24" w:rsidRPr="0063693D" w:rsidRDefault="00A84C24" w:rsidP="008F264A">
            <w:pPr>
              <w:jc w:val="right"/>
              <w:rPr>
                <w:rFonts w:ascii="Calibri" w:eastAsia="Times New Roman" w:hAnsi="Calibri" w:cs="Times New Roman"/>
                <w:color w:val="000000"/>
                <w:sz w:val="18"/>
                <w:szCs w:val="18"/>
                <w:lang w:eastAsia="en-GB"/>
              </w:rPr>
            </w:pPr>
            <w:r w:rsidRPr="0063693D">
              <w:rPr>
                <w:rFonts w:ascii="Calibri" w:eastAsia="Times New Roman" w:hAnsi="Calibri" w:cs="Times New Roman"/>
                <w:color w:val="000000"/>
                <w:sz w:val="18"/>
                <w:szCs w:val="18"/>
                <w:lang w:eastAsia="en-GB"/>
              </w:rPr>
              <w:t>-59,677</w:t>
            </w:r>
          </w:p>
        </w:tc>
        <w:tc>
          <w:tcPr>
            <w:tcW w:w="1134"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2,320 </w:t>
            </w:r>
          </w:p>
        </w:tc>
        <w:tc>
          <w:tcPr>
            <w:tcW w:w="1559"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 £30.01 </w:t>
            </w:r>
          </w:p>
        </w:tc>
        <w:tc>
          <w:tcPr>
            <w:tcW w:w="1276"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2,322.63 </w:t>
            </w:r>
          </w:p>
        </w:tc>
        <w:tc>
          <w:tcPr>
            <w:tcW w:w="1418"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2,452.31 </w:t>
            </w:r>
          </w:p>
        </w:tc>
      </w:tr>
      <w:tr w:rsidR="00A84C24" w:rsidRPr="00894623" w:rsidTr="008F264A">
        <w:trPr>
          <w:trHeight w:val="20"/>
        </w:trPr>
        <w:tc>
          <w:tcPr>
            <w:tcW w:w="1526"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-£1,000</w:t>
            </w:r>
          </w:p>
        </w:tc>
        <w:tc>
          <w:tcPr>
            <w:tcW w:w="1346" w:type="dxa"/>
            <w:noWrap/>
            <w:hideMark/>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-80,556 </w:t>
            </w:r>
          </w:p>
        </w:tc>
        <w:tc>
          <w:tcPr>
            <w:tcW w:w="1347"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-77,301</w:t>
            </w:r>
          </w:p>
        </w:tc>
        <w:tc>
          <w:tcPr>
            <w:tcW w:w="1134"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3,255 </w:t>
            </w:r>
          </w:p>
        </w:tc>
        <w:tc>
          <w:tcPr>
            <w:tcW w:w="1559"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 £42.10 </w:t>
            </w:r>
          </w:p>
        </w:tc>
        <w:tc>
          <w:tcPr>
            <w:tcW w:w="1276"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2,247.29 </w:t>
            </w:r>
          </w:p>
        </w:tc>
        <w:tc>
          <w:tcPr>
            <w:tcW w:w="1418"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2,413.73 </w:t>
            </w:r>
          </w:p>
        </w:tc>
      </w:tr>
      <w:tr w:rsidR="00A84C24" w:rsidRPr="00894623" w:rsidTr="008F264A">
        <w:trPr>
          <w:trHeight w:val="20"/>
        </w:trPr>
        <w:tc>
          <w:tcPr>
            <w:tcW w:w="1526"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-£1,500</w:t>
            </w:r>
          </w:p>
        </w:tc>
        <w:tc>
          <w:tcPr>
            <w:tcW w:w="1346" w:type="dxa"/>
            <w:noWrap/>
            <w:hideMark/>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-121,655 </w:t>
            </w:r>
          </w:p>
        </w:tc>
        <w:tc>
          <w:tcPr>
            <w:tcW w:w="1347"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-115,952</w:t>
            </w:r>
          </w:p>
        </w:tc>
        <w:tc>
          <w:tcPr>
            <w:tcW w:w="1134"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5,703 </w:t>
            </w:r>
          </w:p>
        </w:tc>
        <w:tc>
          <w:tcPr>
            <w:tcW w:w="1559"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 £73.78 </w:t>
            </w:r>
          </w:p>
        </w:tc>
        <w:tc>
          <w:tcPr>
            <w:tcW w:w="1276"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2,085.25 </w:t>
            </w:r>
          </w:p>
        </w:tc>
        <w:tc>
          <w:tcPr>
            <w:tcW w:w="1418"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2,329.95 </w:t>
            </w:r>
          </w:p>
        </w:tc>
      </w:tr>
      <w:tr w:rsidR="00A84C24" w:rsidRPr="00894623" w:rsidTr="008F264A">
        <w:trPr>
          <w:trHeight w:val="20"/>
        </w:trPr>
        <w:tc>
          <w:tcPr>
            <w:tcW w:w="1526"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-£1,619</w:t>
            </w:r>
          </w:p>
        </w:tc>
        <w:tc>
          <w:tcPr>
            <w:tcW w:w="1346" w:type="dxa"/>
            <w:noWrap/>
            <w:hideMark/>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-131,517 </w:t>
            </w:r>
          </w:p>
        </w:tc>
        <w:tc>
          <w:tcPr>
            <w:tcW w:w="1347"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-125,151</w:t>
            </w:r>
          </w:p>
        </w:tc>
        <w:tc>
          <w:tcPr>
            <w:tcW w:w="1134"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6,366 </w:t>
            </w:r>
          </w:p>
        </w:tc>
        <w:tc>
          <w:tcPr>
            <w:tcW w:w="1559"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 £82.36 </w:t>
            </w:r>
          </w:p>
        </w:tc>
        <w:tc>
          <w:tcPr>
            <w:tcW w:w="1276"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2,047.32 </w:t>
            </w:r>
          </w:p>
        </w:tc>
        <w:tc>
          <w:tcPr>
            <w:tcW w:w="1418"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2,310.17 </w:t>
            </w:r>
          </w:p>
        </w:tc>
      </w:tr>
      <w:tr w:rsidR="00A84C24" w:rsidRPr="00894623" w:rsidTr="008F264A">
        <w:trPr>
          <w:trHeight w:val="20"/>
        </w:trPr>
        <w:tc>
          <w:tcPr>
            <w:tcW w:w="1526"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-£2,000</w:t>
            </w:r>
          </w:p>
        </w:tc>
        <w:tc>
          <w:tcPr>
            <w:tcW w:w="1346" w:type="dxa"/>
            <w:noWrap/>
            <w:hideMark/>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-163,301 </w:t>
            </w:r>
          </w:p>
        </w:tc>
        <w:tc>
          <w:tcPr>
            <w:tcW w:w="1347"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-154,603</w:t>
            </w:r>
          </w:p>
        </w:tc>
        <w:tc>
          <w:tcPr>
            <w:tcW w:w="1134"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8,699 </w:t>
            </w:r>
          </w:p>
        </w:tc>
        <w:tc>
          <w:tcPr>
            <w:tcW w:w="1559"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 £112.53 </w:t>
            </w:r>
          </w:p>
        </w:tc>
        <w:tc>
          <w:tcPr>
            <w:tcW w:w="1276"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1,927.45 </w:t>
            </w:r>
          </w:p>
        </w:tc>
        <w:tc>
          <w:tcPr>
            <w:tcW w:w="1418"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2,247.29 </w:t>
            </w:r>
          </w:p>
        </w:tc>
      </w:tr>
      <w:tr w:rsidR="00A84C24" w:rsidRPr="00894623" w:rsidTr="008F264A">
        <w:trPr>
          <w:trHeight w:val="20"/>
        </w:trPr>
        <w:tc>
          <w:tcPr>
            <w:tcW w:w="1526"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-£2,500</w:t>
            </w:r>
          </w:p>
        </w:tc>
        <w:tc>
          <w:tcPr>
            <w:tcW w:w="1346" w:type="dxa"/>
            <w:noWrap/>
            <w:hideMark/>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-205,495 </w:t>
            </w:r>
          </w:p>
        </w:tc>
        <w:tc>
          <w:tcPr>
            <w:tcW w:w="1347" w:type="dxa"/>
            <w:noWrap/>
            <w:hideMark/>
          </w:tcPr>
          <w:p w:rsidR="00A84C24" w:rsidRPr="00EF6604" w:rsidRDefault="00A84C24" w:rsidP="008F264A">
            <w:pPr>
              <w:jc w:val="right"/>
              <w:rPr>
                <w:rFonts w:ascii="Calibri" w:eastAsia="Times New Roman" w:hAnsi="Calibri" w:cs="Times New Roman"/>
                <w:color w:val="000000"/>
                <w:sz w:val="18"/>
                <w:szCs w:val="18"/>
                <w:lang w:eastAsia="en-GB"/>
              </w:rPr>
            </w:pPr>
            <w:r w:rsidRPr="00EF6604">
              <w:rPr>
                <w:rFonts w:ascii="Calibri" w:eastAsia="Times New Roman" w:hAnsi="Calibri" w:cs="Times New Roman"/>
                <w:color w:val="000000"/>
                <w:sz w:val="18"/>
                <w:szCs w:val="18"/>
                <w:lang w:eastAsia="en-GB"/>
              </w:rPr>
              <w:t>-193,253</w:t>
            </w:r>
          </w:p>
        </w:tc>
        <w:tc>
          <w:tcPr>
            <w:tcW w:w="1134"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12,242 </w:t>
            </w:r>
          </w:p>
        </w:tc>
        <w:tc>
          <w:tcPr>
            <w:tcW w:w="1559" w:type="dxa"/>
          </w:tcPr>
          <w:p w:rsidR="00A84C24" w:rsidRPr="00FE1ED4" w:rsidRDefault="00A84C24" w:rsidP="008F264A">
            <w:pPr>
              <w:jc w:val="right"/>
              <w:rPr>
                <w:rFonts w:ascii="Calibri" w:hAnsi="Calibri"/>
                <w:color w:val="000000"/>
                <w:sz w:val="18"/>
                <w:szCs w:val="18"/>
              </w:rPr>
            </w:pPr>
            <w:r w:rsidRPr="00FE1ED4">
              <w:rPr>
                <w:rFonts w:ascii="Calibri" w:hAnsi="Calibri"/>
                <w:color w:val="000000"/>
                <w:sz w:val="18"/>
                <w:szCs w:val="18"/>
              </w:rPr>
              <w:t xml:space="preserve"> £158.37 </w:t>
            </w:r>
          </w:p>
        </w:tc>
        <w:tc>
          <w:tcPr>
            <w:tcW w:w="1276"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1,773.72 </w:t>
            </w:r>
          </w:p>
        </w:tc>
        <w:tc>
          <w:tcPr>
            <w:tcW w:w="1418" w:type="dxa"/>
          </w:tcPr>
          <w:p w:rsidR="00A84C24" w:rsidRPr="0063693D" w:rsidRDefault="00A84C24" w:rsidP="008F264A">
            <w:pPr>
              <w:jc w:val="right"/>
              <w:rPr>
                <w:rFonts w:ascii="Calibri" w:hAnsi="Calibri"/>
                <w:color w:val="000000"/>
                <w:sz w:val="18"/>
                <w:szCs w:val="18"/>
              </w:rPr>
            </w:pPr>
            <w:r w:rsidRPr="0063693D">
              <w:rPr>
                <w:rFonts w:ascii="Calibri" w:hAnsi="Calibri"/>
                <w:color w:val="000000"/>
                <w:sz w:val="18"/>
                <w:szCs w:val="18"/>
              </w:rPr>
              <w:t xml:space="preserve"> </w:t>
            </w:r>
            <w:r>
              <w:rPr>
                <w:rFonts w:ascii="Calibri" w:hAnsi="Calibri"/>
                <w:color w:val="000000"/>
                <w:sz w:val="18"/>
                <w:szCs w:val="18"/>
              </w:rPr>
              <w:t>£1</w:t>
            </w:r>
            <w:r w:rsidRPr="0063693D">
              <w:rPr>
                <w:rFonts w:ascii="Calibri" w:hAnsi="Calibri"/>
                <w:color w:val="000000"/>
                <w:sz w:val="18"/>
                <w:szCs w:val="18"/>
              </w:rPr>
              <w:t xml:space="preserve">2,165.73 </w:t>
            </w:r>
          </w:p>
        </w:tc>
      </w:tr>
    </w:tbl>
    <w:p w:rsidR="00A82676" w:rsidRDefault="00A82676" w:rsidP="00A82676">
      <w:pPr>
        <w:spacing w:line="240" w:lineRule="auto"/>
      </w:pPr>
      <w:r>
        <w:t xml:space="preserve">The results in Table 4 are presented for a range of budget impacts following the linear approximation depicted in </w:t>
      </w:r>
      <w:r>
        <w:fldChar w:fldCharType="begin"/>
      </w:r>
      <w:r>
        <w:instrText xml:space="preserve"> REF _Ref437270644 \h  \* MERGEFORMAT </w:instrText>
      </w:r>
      <w:r>
        <w:fldChar w:fldCharType="separate"/>
      </w:r>
      <w:r>
        <w:t>Figure 1</w:t>
      </w:r>
      <w:r>
        <w:fldChar w:fldCharType="end"/>
      </w:r>
      <w:r>
        <w:t>. Column (2) reports health opportunity costs when accounting for the results of estimation in section 3 and the linear approximation in Figure 1.  Column (3) indicates what the health opportunity costs would be thought to be if the scale of budget impact was ignored or if the budget impact was actually a marginal one, i.e., evaluated the full sample £12,936 per QALY estimate. The differences between the these values ((2)-(3)) is reported in column (4) and indicates either the potential to underestimate health opportunity costs if the scale of budget impact is not accounted for, or the benefit of avoiding non-marginal changes in expenditure through smoothing of expenditure over time. T</w:t>
      </w:r>
      <w:r w:rsidRPr="000C6D76">
        <w:t xml:space="preserve">he cost </w:t>
      </w:r>
      <w:r>
        <w:t xml:space="preserve">to the NHS </w:t>
      </w:r>
      <w:r w:rsidRPr="000C6D76">
        <w:t>of not being able to perfectly smooth expenditures over time</w:t>
      </w:r>
      <w:r>
        <w:t xml:space="preserve"> is reported in column (5).</w:t>
      </w:r>
      <w:r w:rsidRPr="000C6D76">
        <w:t xml:space="preserve"> </w:t>
      </w:r>
      <w:r>
        <w:t xml:space="preserve">These values represent the maximum amount of NHS resources (£NHS) that could be given up to smooth non-marginal effects.  </w:t>
      </w:r>
    </w:p>
    <w:p w:rsidR="00A82676" w:rsidRDefault="00A82676" w:rsidP="00A82676">
      <w:pPr>
        <w:spacing w:line="240" w:lineRule="auto"/>
      </w:pPr>
      <w:r>
        <w:t>Finally, in columns (6) and (7) we present two values of the NHS cost (£NHS) per QALY. Column (6), ‘marginal k’, is the rate at which the NHS spends to produce QALYs after the change in spending has occurred (this is the inverse of the marginal productivity at the change in spending</w:t>
      </w:r>
      <w:proofErr w:type="gramStart"/>
      <w:r>
        <w:t xml:space="preserve">, </w:t>
      </w:r>
      <w:proofErr w:type="gramEnd"/>
      <m:oMath>
        <m:sSub>
          <m:sSubPr>
            <m:ctrlPr>
              <w:rPr>
                <w:rFonts w:ascii="Cambria Math" w:hAnsi="Cambria Math"/>
                <w:i/>
              </w:rPr>
            </m:ctrlPr>
          </m:sSubPr>
          <m:e>
            <m:r>
              <w:rPr>
                <w:rFonts w:ascii="Cambria Math" w:hAnsi="Cambria Math"/>
              </w:rPr>
              <m:t>MP</m:t>
            </m:r>
          </m:e>
          <m:sub>
            <m:r>
              <w:rPr>
                <w:rFonts w:ascii="Cambria Math" w:hAnsi="Cambria Math"/>
              </w:rPr>
              <m:t>+/-EXP</m:t>
            </m:r>
          </m:sub>
        </m:sSub>
      </m:oMath>
      <w:r>
        <w:rPr>
          <w:rFonts w:eastAsiaTheme="minorEastAsia"/>
        </w:rPr>
        <w:t>)</w:t>
      </w:r>
      <w:r>
        <w:t>. Column (7), ‘average k’, presents the rate at which the NHS spends to produce QALYs on average for the change in spending itself. Column (7) can be obtained by dividing column (1) by column (2).  It is the values in Column (7) that represent the cost per QALY ‘threshold’ that would represent health opportunity costs for a particular scale of budget impact.  For example, the ‘threshold’ for an investment with a budget impact of £1,000m would be £12,414 per QALY, i.e., lower than a threshold that represents the health opportunity costs of a marginal change (</w:t>
      </w:r>
      <w:proofErr w:type="spellStart"/>
      <w:r>
        <w:t>i.e</w:t>
      </w:r>
      <w:proofErr w:type="spellEnd"/>
      <w:r>
        <w:t xml:space="preserve">, </w:t>
      </w:r>
      <w:r w:rsidRPr="004A096B">
        <w:t>£12,936</w:t>
      </w:r>
      <w:r>
        <w:t xml:space="preserve"> per QALY).</w:t>
      </w:r>
      <w:r w:rsidRPr="004A096B">
        <w:t xml:space="preserve"> </w:t>
      </w:r>
    </w:p>
    <w:p w:rsidR="00A82676" w:rsidRDefault="00A82676" w:rsidP="00A82676">
      <w:pPr>
        <w:spacing w:line="240" w:lineRule="auto"/>
      </w:pPr>
      <w:bookmarkStart w:id="20" w:name="_Toc437280005"/>
      <w:r>
        <w:t>The results in Table 4 can be used to address the motivating example of the health opportunity costs of new hepatitis C treatments.</w:t>
      </w:r>
      <w:bookmarkEnd w:id="20"/>
      <w:r>
        <w:t xml:space="preserve"> In order to estimate the health opportunity costs of these treatments fully, we would need to know the time profile of expenditures, the time profile of marginal productivity and how the relationship between expected health opportunity cost of a proposed </w:t>
      </w:r>
      <w:r>
        <w:lastRenderedPageBreak/>
        <w:t xml:space="preserve">investment and level of expenditure will change over time, and the appropriate discount rate. However, for illustration, assuming that the estimated discounted additional costs fall in a single expenditure year the opportunity costs of estimated </w:t>
      </w:r>
      <w:r w:rsidRPr="002D069B">
        <w:t>£772mn (NICE 2015b)</w:t>
      </w:r>
      <w:r>
        <w:t xml:space="preserve"> of potential net budget impact would be expected to result in health opportunity costs of 61,997</w:t>
      </w:r>
      <w:r w:rsidRPr="002D069B">
        <w:t xml:space="preserve"> QALYs</w:t>
      </w:r>
      <w:r>
        <w:t xml:space="preserve"> rather than 59,677</w:t>
      </w:r>
      <w:r w:rsidRPr="002D069B">
        <w:t xml:space="preserve"> QALYs</w:t>
      </w:r>
      <w:r>
        <w:t xml:space="preserve"> if the non-marginal impact was not accounted. So, a cost per QALY ‘threshold’ that reflects health opportunity cost should be lower </w:t>
      </w:r>
      <w:r w:rsidRPr="007A52E4">
        <w:t xml:space="preserve">for this scale of budget impact </w:t>
      </w:r>
      <w:r>
        <w:t xml:space="preserve">at </w:t>
      </w:r>
      <w:r w:rsidRPr="0079513B">
        <w:t>£12,4</w:t>
      </w:r>
      <w:r>
        <w:t xml:space="preserve">52 rather than </w:t>
      </w:r>
      <w:r w:rsidRPr="0079513B">
        <w:t>£12,936 per QALY</w:t>
      </w:r>
      <w:r>
        <w:t>.</w:t>
      </w:r>
      <w:r w:rsidRPr="0079513B">
        <w:t xml:space="preserve"> </w:t>
      </w:r>
      <w:r>
        <w:t xml:space="preserve">  </w:t>
      </w:r>
    </w:p>
    <w:p w:rsidR="00A82676" w:rsidRDefault="00A82676" w:rsidP="00A82676">
      <w:pPr>
        <w:spacing w:line="240" w:lineRule="auto"/>
      </w:pPr>
      <w:r>
        <w:t>The health b</w:t>
      </w:r>
      <w:r w:rsidRPr="007A52E4">
        <w:t>enefit</w:t>
      </w:r>
      <w:r>
        <w:t>s</w:t>
      </w:r>
      <w:r w:rsidRPr="007A52E4">
        <w:t xml:space="preserve"> of avoiding </w:t>
      </w:r>
      <w:r>
        <w:t xml:space="preserve">this scale of </w:t>
      </w:r>
      <w:r w:rsidRPr="007A52E4">
        <w:t>non</w:t>
      </w:r>
      <w:r>
        <w:t>-marginal impact by having an opportunity to smooth the additional</w:t>
      </w:r>
      <w:r w:rsidRPr="007A52E4">
        <w:t xml:space="preserve"> expenditure over time</w:t>
      </w:r>
      <w:r>
        <w:t xml:space="preserve"> are </w:t>
      </w:r>
      <w:r w:rsidRPr="007A52E4">
        <w:t>2,</w:t>
      </w:r>
      <w:r>
        <w:t>320</w:t>
      </w:r>
      <w:r w:rsidRPr="007A52E4">
        <w:t xml:space="preserve"> QALYs</w:t>
      </w:r>
      <w:r>
        <w:t>.</w:t>
      </w:r>
      <w:r w:rsidRPr="007A52E4">
        <w:t xml:space="preserve">  </w:t>
      </w:r>
      <w:r>
        <w:t>Rather than accepting the single year impact of £772mn, the NHS could in principle smooth this budget impact by borrowing from future expected budget allocations at a rate relevant to public expenditure.  Alternatively manufacturers could smooth this budget impact by offering a ‘mortgage like’ repayment at a real rate of return that reflects their real return to capital (analogous to private finance initiative financing of upfront costs in the NHS).</w:t>
      </w:r>
      <w:r>
        <w:rPr>
          <w:rStyle w:val="FootnoteReference"/>
        </w:rPr>
        <w:footnoteReference w:id="13"/>
      </w:r>
      <w:r>
        <w:t xml:space="preserve"> The </w:t>
      </w:r>
      <w:r w:rsidRPr="004C53A0">
        <w:t xml:space="preserve">maximum amount of NHS resources (£NHS) that could be given up to smooth </w:t>
      </w:r>
      <w:r>
        <w:t xml:space="preserve">the budget impact of the hepatitis C treatments is £30m. A potential benefit of £30m to the NHS on a total upfront expenditure of £772m (3.9%) </w:t>
      </w:r>
      <w:r w:rsidRPr="00C834DD">
        <w:t>may be worthwhile given the value of smoothing is greater than the real rate used by HM Treasury</w:t>
      </w:r>
      <w:r>
        <w:t xml:space="preserve"> (3.5%) and the real rates on current government borrowing</w:t>
      </w:r>
      <w:r w:rsidRPr="00C834DD">
        <w:t>, however may not be worthwhile if compared to opportunity cost of capital for manufacturers</w:t>
      </w:r>
      <w:r>
        <w:t xml:space="preserve"> as this is likely to require a</w:t>
      </w:r>
      <w:r w:rsidRPr="00C834DD">
        <w:t xml:space="preserve"> real rate of return greater than 3.9%</w:t>
      </w:r>
      <w:r>
        <w:t>.</w:t>
      </w:r>
      <w:r>
        <w:rPr>
          <w:rStyle w:val="FootnoteReference"/>
        </w:rPr>
        <w:footnoteReference w:id="14"/>
      </w:r>
    </w:p>
    <w:p w:rsidR="00A82676" w:rsidRPr="00671641" w:rsidRDefault="00A82676" w:rsidP="00A82676">
      <w:pPr>
        <w:pStyle w:val="Heading2"/>
        <w:numPr>
          <w:ilvl w:val="0"/>
          <w:numId w:val="8"/>
        </w:numPr>
        <w:spacing w:line="240" w:lineRule="auto"/>
      </w:pPr>
      <w:bookmarkStart w:id="21" w:name="_Toc437280008"/>
      <w:r>
        <w:t>Conclusions</w:t>
      </w:r>
      <w:bookmarkEnd w:id="21"/>
    </w:p>
    <w:p w:rsidR="00A82676" w:rsidRDefault="00A82676" w:rsidP="00A82676">
      <w:pPr>
        <w:spacing w:line="240" w:lineRule="auto"/>
        <w:rPr>
          <w:rFonts w:eastAsiaTheme="minorEastAsia"/>
        </w:rPr>
      </w:pPr>
      <w:r>
        <w:rPr>
          <w:rFonts w:eastAsiaTheme="minorEastAsia"/>
        </w:rPr>
        <w:t xml:space="preserve">The </w:t>
      </w:r>
      <w:r w:rsidRPr="000677F3">
        <w:rPr>
          <w:rFonts w:eastAsiaTheme="minorEastAsia"/>
        </w:rPr>
        <w:t xml:space="preserve">'cost-effective but unaffordable' </w:t>
      </w:r>
      <w:r>
        <w:rPr>
          <w:rFonts w:eastAsiaTheme="minorEastAsia"/>
        </w:rPr>
        <w:t xml:space="preserve">paradox is more apparent than real and turns on whether </w:t>
      </w:r>
      <w:r w:rsidRPr="00880756">
        <w:rPr>
          <w:rFonts w:eastAsiaTheme="minorEastAsia"/>
        </w:rPr>
        <w:t>the criteria for judging whether or not an intervention is cost-effective is founded on an empirical assessment of the likely opportunity costs elsewhere in the health care system.  To say that an alternative is cost-effective but not affordable must mean that the (implicit or explicit) ‘threshold’ used to judge cost-effectiveness does not reflect the scale and value of the opportunity costs.</w:t>
      </w:r>
      <w:r>
        <w:rPr>
          <w:rFonts w:eastAsiaTheme="minorEastAsia"/>
        </w:rPr>
        <w:t xml:space="preserve"> Therefore, some assessment of how the </w:t>
      </w:r>
      <w:r>
        <w:t>expected health opportunity cost of a proposed investment</w:t>
      </w:r>
      <w:r>
        <w:rPr>
          <w:rFonts w:eastAsiaTheme="minorEastAsia"/>
        </w:rPr>
        <w:t xml:space="preserve"> is likely to vary with the scale of the total additional costs (budget impact) is required. </w:t>
      </w:r>
    </w:p>
    <w:p w:rsidR="00A82676" w:rsidRDefault="00A82676" w:rsidP="00A82676">
      <w:pPr>
        <w:spacing w:line="240" w:lineRule="auto"/>
        <w:rPr>
          <w:rFonts w:eastAsiaTheme="minorEastAsia"/>
        </w:rPr>
      </w:pPr>
      <w:r w:rsidRPr="00847C7E">
        <w:rPr>
          <w:rFonts w:eastAsiaTheme="minorEastAsia"/>
        </w:rPr>
        <w:t>This paper provides an account of a methodology for analysing existing data in order to look at how the expected health opportunity cost of a proposed investment varies by sub-groups of PCT, in particular over and under target PCTs where the results can be used to investigate the relationship between expected health opportunity cost of a proposed investment and budget impact. We spec</w:t>
      </w:r>
      <w:r>
        <w:rPr>
          <w:rFonts w:eastAsiaTheme="minorEastAsia"/>
        </w:rPr>
        <w:t xml:space="preserve">ify a preferred analysis, where </w:t>
      </w:r>
      <w:r w:rsidRPr="00847C7E">
        <w:rPr>
          <w:rFonts w:eastAsiaTheme="minorEastAsia"/>
        </w:rPr>
        <w:t>sub-group specific elasticity estimates</w:t>
      </w:r>
      <w:r>
        <w:rPr>
          <w:rFonts w:eastAsiaTheme="minorEastAsia"/>
        </w:rPr>
        <w:t xml:space="preserve"> are used</w:t>
      </w:r>
      <w:r w:rsidRPr="00847C7E">
        <w:rPr>
          <w:rFonts w:eastAsiaTheme="minorEastAsia"/>
        </w:rPr>
        <w:t xml:space="preserve"> when differences are likely to be signal rather than noise, and find that the appropriate health opportunity cost for a given change in expenditure when there is a large budget impact is – as expected – higher than the marginal estimate as reported by Claxton, Martin, et al. (2015).</w:t>
      </w:r>
      <w:r>
        <w:rPr>
          <w:rFonts w:eastAsiaTheme="minorEastAsia"/>
        </w:rPr>
        <w:t xml:space="preserve"> Despite the limited number of observations available across the two sub groups the analysis demonstrates that an empirical examination of this relationship is possible. Future work could extend this approach to look at different waves of data or to analyse this relationship with multiple waves of data in a panel setting. </w:t>
      </w:r>
      <w:r w:rsidRPr="008E7E16">
        <w:rPr>
          <w:rFonts w:eastAsiaTheme="minorEastAsia"/>
        </w:rPr>
        <w:t xml:space="preserve">The results are consistent with diminishing marginal returns to health expenditure and allow a portion of the heath production function to be derived; from which estimates of the health opportunity costs of a range of budget impacts can be inferred.  These results indicate that health opportunity costs are </w:t>
      </w:r>
      <w:r>
        <w:rPr>
          <w:rFonts w:eastAsiaTheme="minorEastAsia"/>
        </w:rPr>
        <w:t xml:space="preserve">likely to </w:t>
      </w:r>
      <w:r w:rsidRPr="008E7E16">
        <w:rPr>
          <w:rFonts w:eastAsiaTheme="minorEastAsia"/>
        </w:rPr>
        <w:t>underestimate unless account is take</w:t>
      </w:r>
      <w:r>
        <w:rPr>
          <w:rFonts w:eastAsiaTheme="minorEastAsia"/>
        </w:rPr>
        <w:t>n of the scale of budget impact</w:t>
      </w:r>
      <w:r w:rsidRPr="008E7E16">
        <w:rPr>
          <w:rFonts w:eastAsiaTheme="minorEastAsia"/>
        </w:rPr>
        <w:t xml:space="preserve">.  </w:t>
      </w:r>
      <w:r>
        <w:rPr>
          <w:rFonts w:eastAsiaTheme="minorEastAsia"/>
        </w:rPr>
        <w:t xml:space="preserve">It should be noted that there may be many other factors besides the relationship between </w:t>
      </w:r>
      <w:r>
        <w:rPr>
          <w:rFonts w:eastAsiaTheme="minorEastAsia"/>
        </w:rPr>
        <w:lastRenderedPageBreak/>
        <w:t xml:space="preserve">opportunity costs and budget impact that might prohibit the immediate implementation of a new technology </w:t>
      </w:r>
      <w:r>
        <w:rPr>
          <w:rFonts w:eastAsiaTheme="minorEastAsia"/>
        </w:rPr>
        <w:fldChar w:fldCharType="begin" w:fldLock="1"/>
      </w:r>
      <w:r>
        <w:rPr>
          <w:rFonts w:eastAsiaTheme="minorEastAsia"/>
        </w:rPr>
        <w:instrText>ADDIN CSL_CITATION { "citationItems" : [ { "id" : "ITEM-1", "itemData" : { "DOI" : "10.1080/23288604.2015.1124170", "ISSN" : "2328-8604", "abstract" : "Abstract\u2014The methods and application of cost-effectiveness analysis have reached an advanced stage of development. Many decision makers consider cost-effectiveness analysis (CEA) to be a valid and feasible approach toward setting health priorities, and it has been extensively applied in evaluating interventions and developing evidence-based clinical guidelines. However, the recommendations arising from cost-effectiveness analysis are often not implemented as intended. A fundamental reason for the failure to implement is that CEA assumes a single constraint, in the form of the budget constraint, whereas in reality decision makers may be faced with numerous other constraints. The objective of this article is to develop a typology of constraints that may act as barriers to implementation of cost-effectiveness recommendations. Six categories of constraints are considered: the design of the health system; costs of implementing change; system interactions between interventions; uncertainty in estimates of costs...", "author" : [ { "dropping-particle" : "", "family" : "Hauck", "given" : "Katharina", "non-dropping-particle" : "", "parse-names" : false, "suffix" : "" }, { "dropping-particle" : "", "family" : "Thomas", "given" : "Ranjeeta", "non-dropping-particle" : "", "parse-names" : false, "suffix" : "" }, { "dropping-particle" : "", "family" : "Smith", "given" : "Peter C.", "non-dropping-particle" : "", "parse-names" : false, "suffix" : "" } ], "container-title" : "Health Systems &amp; Reform", "id" : "ITEM-1", "issue" : "1", "issued" : { "date-parts" : [ [ "2016", "1", "2" ] ] }, "page" : "61-70", "publisher" : "Taylor &amp; Francis", "title" : "Departures from Cost-Effectiveness Recommendations: The Impact of Health System Constraints on Priority Setting", "type" : "article-journal", "volume" : "2" }, "uris" : [ "http://www.mendeley.com/documents/?uuid=1396a6e0-91b8-3299-b29f-3449ca089554" ] } ], "mendeley" : { "formattedCitation" : "(Hauck et al. 2016)", "plainTextFormattedCitation" : "(Hauck et al. 2016)", "previouslyFormattedCitation" : "(Hauck et al. 2016)" }, "properties" : { "noteIndex" : 0 }, "schema" : "https://github.com/citation-style-language/schema/raw/master/csl-citation.json" }</w:instrText>
      </w:r>
      <w:r>
        <w:rPr>
          <w:rFonts w:eastAsiaTheme="minorEastAsia"/>
        </w:rPr>
        <w:fldChar w:fldCharType="separate"/>
      </w:r>
      <w:r w:rsidRPr="00C52C4A">
        <w:rPr>
          <w:rFonts w:eastAsiaTheme="minorEastAsia"/>
          <w:noProof/>
        </w:rPr>
        <w:t>(Hauck et al. 2016)</w:t>
      </w:r>
      <w:r>
        <w:rPr>
          <w:rFonts w:eastAsiaTheme="minorEastAsia"/>
        </w:rPr>
        <w:fldChar w:fldCharType="end"/>
      </w:r>
      <w:r>
        <w:rPr>
          <w:rFonts w:eastAsiaTheme="minorEastAsia"/>
        </w:rPr>
        <w:t>.</w:t>
      </w:r>
    </w:p>
    <w:p w:rsidR="00A82676" w:rsidRDefault="00A82676" w:rsidP="00A82676">
      <w:pPr>
        <w:spacing w:line="240" w:lineRule="auto"/>
        <w:rPr>
          <w:rFonts w:eastAsiaTheme="minorEastAsia"/>
        </w:rPr>
      </w:pPr>
      <w:r>
        <w:rPr>
          <w:rFonts w:eastAsiaTheme="minorEastAsia"/>
        </w:rPr>
        <w:t xml:space="preserve">Recognising the importance of non-marginal effects , how they might change over time and the profile of the total additional cost imposed (accounting for future cost saving) opens the possibility of considering whether other policy options might reduce health opportunity costs of simply accepting the current profile of budget impact, e.g., by: ‘smoothing’ the profile using public resources (at a discount rate that represents opportunity cost to the public purse); or inviting manufacturers to ‘smooth’ these impacts using their resources at a discount rate that reflects their opportunity cost of capital </w:t>
      </w:r>
      <w:r>
        <w:rPr>
          <w:rFonts w:eastAsiaTheme="minorEastAsia"/>
        </w:rPr>
        <w:fldChar w:fldCharType="begin" w:fldLock="1"/>
      </w:r>
      <w:r>
        <w:rPr>
          <w:rFonts w:eastAsiaTheme="minorEastAsia"/>
        </w:rPr>
        <w:instrText>ADDIN CSL_CITATION { "citationItems" : [ { "id" : "ITEM-1", "itemData" : { "DOI" : "10.1177/0272989X06297396", "ISSN" : "0272-989X", "PMID" : "17409363", "abstract" : "The standard decision rules of cost-effectiveness analysis either require the decision maker to set a threshold willingness to pay for additional health care or to set an overall fixed budget. In practice, neither are generally taken, but instead an arbitrary decision rule is followed that may not be consistent with the overall budget, lead to an allocation of resources that is less than optimal, and is unable to identify the program that should be displaced at the margin. Recent work has shown how mathematical programming can be used as a generalization of the standard decision rules. The authors extend the use of mathematical programming, first to incorporate more complex budgetary rules about when expenditure can be incurred, and show the opportunity loss, in terms of health benefit forgone, of each budgetary policy. Second, the authors demonstrate that indivisibility in a patient population can be regarded as essentially a concern for horizontal equity and represent this and other equity concerns as constraints in the program. Third, the authors estimate the different opportunity costs of a range of equity concerns applied to particular patient populations, and when imposed on all patient populations. They apply this framework of analysis to a realistic and policy-relevant problem.", "author" : [ { "dropping-particle" : "", "family" : "Epstein", "given" : "David M", "non-dropping-particle" : "", "parse-names" : false, "suffix" : "" }, { "dropping-particle" : "", "family" : "Chalabi", "given" : "Zaid", "non-dropping-particle" : "", "parse-names" : false, "suffix" : "" }, { "dropping-particle" : "", "family" : "Claxton", "given" : "Karl", "non-dropping-particle" : "", "parse-names" : false, "suffix" : "" }, { "dropping-particle" : "", "family" : "Sculpher", "given" : "Mark", "non-dropping-particle" : "", "parse-names" : false, "suffix" : "" } ], "container-title" : "Medical decision making : an international journal of the Society for Medical Decision Making", "id" : "ITEM-1", "issue" : "2", "issued" : { "date-parts" : [ [ "2007", "1" ] ] }, "page" : "128-37", "title" : "Efficiency, equity, and budgetary policies: informing decisions using mathematical programming.", "type" : "article-journal", "volume" : "27" }, "uris" : [ "http://www.mendeley.com/documents/?uuid=ae8e46a6-467f-4933-b101-65a99d02d57d" ] } ], "mendeley" : { "formattedCitation" : "(Epstein et al. 2007)", "plainTextFormattedCitation" : "(Epstein et al. 2007)", "previouslyFormattedCitation" : "(Epstein et al. 2007)" }, "properties" : { "noteIndex" : 0 }, "schema" : "https://github.com/citation-style-language/schema/raw/master/csl-citation.json" }</w:instrText>
      </w:r>
      <w:r>
        <w:rPr>
          <w:rFonts w:eastAsiaTheme="minorEastAsia"/>
        </w:rPr>
        <w:fldChar w:fldCharType="separate"/>
      </w:r>
      <w:r w:rsidRPr="00884F0F">
        <w:rPr>
          <w:rFonts w:eastAsiaTheme="minorEastAsia"/>
          <w:noProof/>
        </w:rPr>
        <w:t>(Epstein et al. 2007)</w:t>
      </w:r>
      <w:r>
        <w:rPr>
          <w:rFonts w:eastAsiaTheme="minorEastAsia"/>
        </w:rPr>
        <w:fldChar w:fldCharType="end"/>
      </w:r>
      <w:r>
        <w:rPr>
          <w:rFonts w:eastAsiaTheme="minorEastAsia"/>
        </w:rPr>
        <w:t xml:space="preserve">.  </w:t>
      </w:r>
    </w:p>
    <w:p w:rsidR="00A82676" w:rsidRDefault="00A82676" w:rsidP="00A82676">
      <w:pPr>
        <w:spacing w:line="240" w:lineRule="auto"/>
        <w:rPr>
          <w:rFonts w:asciiTheme="majorHAnsi" w:eastAsiaTheme="majorEastAsia" w:hAnsiTheme="majorHAnsi" w:cstheme="majorBidi"/>
          <w:b/>
          <w:bCs/>
          <w:color w:val="5B9BD5" w:themeColor="accent1"/>
          <w:sz w:val="26"/>
          <w:szCs w:val="26"/>
        </w:rPr>
      </w:pPr>
      <w:r>
        <w:rPr>
          <w:rFonts w:eastAsiaTheme="minorEastAsia"/>
        </w:rPr>
        <w:t>The current methods of NICE appraisal do not properly account for the scale of budget impacts or their time profile so they are likely to underestimate health opportunity costs even if they adopted a cost per QALY ‘threshold’ that reflected the balance of evidence of the health opportunity costs of marginal changes in health expenditure.  Once proper account is taken of the scale of budget impacts other policy options become available which may offer net gains that can be shared between the NHS (through lower health opportunity costs) and manufacturers (higher prices can be charged if larger budget impacts are smoothed).  Whether or not there are net gains to be shared depends on the real discount rated faced, as well as the estimated relationship between the marginal productivity of NHS expenditure and the scale of total expenditure.</w:t>
      </w:r>
      <w:bookmarkStart w:id="22" w:name="_Toc437280009"/>
      <w:r>
        <w:br w:type="page"/>
      </w:r>
    </w:p>
    <w:p w:rsidR="00A82676" w:rsidRDefault="00A82676" w:rsidP="00A82676">
      <w:pPr>
        <w:pStyle w:val="Heading2"/>
        <w:spacing w:line="240" w:lineRule="auto"/>
      </w:pPr>
      <w:r>
        <w:lastRenderedPageBreak/>
        <w:t>References</w:t>
      </w:r>
      <w:bookmarkEnd w:id="22"/>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fldChar w:fldCharType="begin" w:fldLock="1"/>
      </w:r>
      <w:r>
        <w:instrText xml:space="preserve">ADDIN Mendeley Bibliography CSL_BIBLIOGRAPHY </w:instrText>
      </w:r>
      <w:r>
        <w:fldChar w:fldCharType="separate"/>
      </w:r>
      <w:r w:rsidRPr="004D4974">
        <w:rPr>
          <w:rFonts w:ascii="Calibri" w:hAnsi="Calibri" w:cs="Times New Roman"/>
          <w:noProof/>
          <w:szCs w:val="24"/>
        </w:rPr>
        <w:t>Angrist, J.D. &amp; Pischke, J.-S., 2010. Multiple endogenous variables – now what?! Available at: http://www.mostlyharmlesseconometrics.com/2010/02/multiple-endogenous-variables-what-now/ [Accessed December 7,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Barnsley, P. et al., 2013. Critique of CHE Research Paper 81: Methods for the Estimation of the NICE Cost Effectiveness Threshold. Available at: https://www.ohe.org/system/files/private/publications/392 - Critique of CHE Research Paper 81 Barnsley 2013.pdf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Claxton, K. et al., 2010. </w:t>
      </w:r>
      <w:r w:rsidRPr="004D4974">
        <w:rPr>
          <w:rFonts w:ascii="Calibri" w:hAnsi="Calibri" w:cs="Times New Roman"/>
          <w:i/>
          <w:iCs/>
          <w:noProof/>
          <w:szCs w:val="24"/>
        </w:rPr>
        <w:t>Appropriate Perspectives for Health Care Decisions</w:t>
      </w:r>
      <w:r w:rsidRPr="004D4974">
        <w:rPr>
          <w:rFonts w:ascii="Calibri" w:hAnsi="Calibri" w:cs="Times New Roman"/>
          <w:noProof/>
          <w:szCs w:val="24"/>
        </w:rPr>
        <w:t>, Centre for Health Economics, University of York.</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Claxton, K., Sculpher, M., et al., 2015. Causes for concern: is NICE failing to uphold its responsibilities to all NHS patients? </w:t>
      </w:r>
      <w:r w:rsidRPr="004D4974">
        <w:rPr>
          <w:rFonts w:ascii="Calibri" w:hAnsi="Calibri" w:cs="Times New Roman"/>
          <w:i/>
          <w:iCs/>
          <w:noProof/>
          <w:szCs w:val="24"/>
        </w:rPr>
        <w:t>Health economics</w:t>
      </w:r>
      <w:r w:rsidRPr="004D4974">
        <w:rPr>
          <w:rFonts w:ascii="Calibri" w:hAnsi="Calibri" w:cs="Times New Roman"/>
          <w:noProof/>
          <w:szCs w:val="24"/>
        </w:rPr>
        <w:t>, 24(1), pp.1–7. Available at: http://www.ncbi.nlm.nih.gov/pubmed/25488707 [Accessed November 27,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Claxton, K. et al., 2011. Discounting and decision making in the economic evaluation of health-care technologies. </w:t>
      </w:r>
      <w:r w:rsidRPr="004D4974">
        <w:rPr>
          <w:rFonts w:ascii="Calibri" w:hAnsi="Calibri" w:cs="Times New Roman"/>
          <w:i/>
          <w:iCs/>
          <w:noProof/>
          <w:szCs w:val="24"/>
        </w:rPr>
        <w:t>Health Economics</w:t>
      </w:r>
      <w:r w:rsidRPr="004D4974">
        <w:rPr>
          <w:rFonts w:ascii="Calibri" w:hAnsi="Calibri" w:cs="Times New Roman"/>
          <w:noProof/>
          <w:szCs w:val="24"/>
        </w:rPr>
        <w:t>, 20(1), pp.2–15. Available at: http://doi.wiley.com/10.1002/hec.1612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Claxton, K., Martin, S., et al., 2015. Methods for the estimation of the National Institute for Health and Care Excellence cost-effectiveness threshold. </w:t>
      </w:r>
      <w:r w:rsidRPr="004D4974">
        <w:rPr>
          <w:rFonts w:ascii="Calibri" w:hAnsi="Calibri" w:cs="Times New Roman"/>
          <w:i/>
          <w:iCs/>
          <w:noProof/>
          <w:szCs w:val="24"/>
        </w:rPr>
        <w:t>Health technology assessment (Winchester, England)</w:t>
      </w:r>
      <w:r w:rsidRPr="004D4974">
        <w:rPr>
          <w:rFonts w:ascii="Calibri" w:hAnsi="Calibri" w:cs="Times New Roman"/>
          <w:noProof/>
          <w:szCs w:val="24"/>
        </w:rPr>
        <w:t>.</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Claxton, K. et al., 2013. Methods for the Estimation of the NICE Cost Effectiveness Threshold Final Report. Available at: https://www.york.ac.uk/media/che/documents/papers/researchpapers/CHERP81_methods_estimation_NICE_costeffectiveness_threshold_(Nov2013).pdf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Claxton, K. &amp; Sculpher, M., Response to the OHE critique of CHE Research paper 81. Available at: https://www.york.ac.uk/media/che/documents/Response to the OHE critique of CHE Research paper 81.pdf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Culyer, A.J., 2016. Cost-effectiveness thresholds in health care: a bookshelf guide to their meaning and use. </w:t>
      </w:r>
      <w:r w:rsidRPr="004D4974">
        <w:rPr>
          <w:rFonts w:ascii="Calibri" w:hAnsi="Calibri" w:cs="Times New Roman"/>
          <w:i/>
          <w:iCs/>
          <w:noProof/>
          <w:szCs w:val="24"/>
        </w:rPr>
        <w:t>Health Economics, Policy and Law</w:t>
      </w:r>
      <w:r w:rsidRPr="004D4974">
        <w:rPr>
          <w:rFonts w:ascii="Calibri" w:hAnsi="Calibri" w:cs="Times New Roman"/>
          <w:noProof/>
          <w:szCs w:val="24"/>
        </w:rPr>
        <w:t>, 11(4), pp.415–432. Available at: http://www.ncbi.nlm.nih.gov/pubmed/26906561 [Accessed May 17,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Drummond, M. et al., 2015. </w:t>
      </w:r>
      <w:r w:rsidRPr="004D4974">
        <w:rPr>
          <w:rFonts w:ascii="Calibri" w:hAnsi="Calibri" w:cs="Times New Roman"/>
          <w:i/>
          <w:iCs/>
          <w:noProof/>
          <w:szCs w:val="24"/>
        </w:rPr>
        <w:t>Methods for the Economic Evaluation of Health Care Programmes</w:t>
      </w:r>
      <w:r w:rsidRPr="004D4974">
        <w:rPr>
          <w:rFonts w:ascii="Calibri" w:hAnsi="Calibri" w:cs="Times New Roman"/>
          <w:noProof/>
          <w:szCs w:val="24"/>
        </w:rPr>
        <w:t>,</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Epstein, D.M. et al., 2007. Efficiency, equity, and budgetary policies: informing decisions using mathematical programming. </w:t>
      </w:r>
      <w:r w:rsidRPr="004D4974">
        <w:rPr>
          <w:rFonts w:ascii="Calibri" w:hAnsi="Calibri" w:cs="Times New Roman"/>
          <w:i/>
          <w:iCs/>
          <w:noProof/>
          <w:szCs w:val="24"/>
        </w:rPr>
        <w:t>Medical decision making : an international journal of the Society for Medical Decision Making</w:t>
      </w:r>
      <w:r w:rsidRPr="004D4974">
        <w:rPr>
          <w:rFonts w:ascii="Calibri" w:hAnsi="Calibri" w:cs="Times New Roman"/>
          <w:noProof/>
          <w:szCs w:val="24"/>
        </w:rPr>
        <w:t>, 27(2), pp.128–37. Available at: http://www.ncbi.nlm.nih.gov/pubmed/17409363 [Accessed November 30,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Harris, A.H., 2016. Beyond the threshold. </w:t>
      </w:r>
      <w:r w:rsidRPr="004D4974">
        <w:rPr>
          <w:rFonts w:ascii="Calibri" w:hAnsi="Calibri" w:cs="Times New Roman"/>
          <w:i/>
          <w:iCs/>
          <w:noProof/>
          <w:szCs w:val="24"/>
        </w:rPr>
        <w:t>Health Economics, Policy and Law</w:t>
      </w:r>
      <w:r w:rsidRPr="004D4974">
        <w:rPr>
          <w:rFonts w:ascii="Calibri" w:hAnsi="Calibri" w:cs="Times New Roman"/>
          <w:noProof/>
          <w:szCs w:val="24"/>
        </w:rPr>
        <w:t>, 11, pp.433–438. Available at: http://dx.doi.org/10.1017/S1744133116000050 [Accessed November 4, 2016].</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Hauck, K., Thomas, R. &amp; Smith, P.C., 2016. Departures from Cost-Effectiveness Recommendations: The Impact of Health System Constraints on Priority Setting. </w:t>
      </w:r>
      <w:r w:rsidRPr="004D4974">
        <w:rPr>
          <w:rFonts w:ascii="Calibri" w:hAnsi="Calibri" w:cs="Times New Roman"/>
          <w:i/>
          <w:iCs/>
          <w:noProof/>
          <w:szCs w:val="24"/>
        </w:rPr>
        <w:t>Health Systems &amp; Reform</w:t>
      </w:r>
      <w:r w:rsidRPr="004D4974">
        <w:rPr>
          <w:rFonts w:ascii="Calibri" w:hAnsi="Calibri" w:cs="Times New Roman"/>
          <w:noProof/>
          <w:szCs w:val="24"/>
        </w:rPr>
        <w:t>, 2(1), pp.61–70. Available at: http://www.tandfonline.com/doi/full/10.1080/23288604.2015.1124170 [Accessed May 17,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ICER, 2017. Overview of the ICER value framework and proposals for an update for 2017-2018. </w:t>
      </w:r>
      <w:r w:rsidRPr="004D4974">
        <w:rPr>
          <w:rFonts w:ascii="Calibri" w:hAnsi="Calibri" w:cs="Times New Roman"/>
          <w:noProof/>
          <w:szCs w:val="24"/>
        </w:rPr>
        <w:lastRenderedPageBreak/>
        <w:t>Available at: http://icer-review.org/wp-content/uploads/2016/02/ICER-VAF-Update-Proposals-020117.pdf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Martens, E.P. et al., 2006. Instrumental variables: application and limitations. </w:t>
      </w:r>
      <w:r w:rsidRPr="004D4974">
        <w:rPr>
          <w:rFonts w:ascii="Calibri" w:hAnsi="Calibri" w:cs="Times New Roman"/>
          <w:i/>
          <w:iCs/>
          <w:noProof/>
          <w:szCs w:val="24"/>
        </w:rPr>
        <w:t>Epidemiology (Cambridge, Mass.)</w:t>
      </w:r>
      <w:r w:rsidRPr="004D4974">
        <w:rPr>
          <w:rFonts w:ascii="Calibri" w:hAnsi="Calibri" w:cs="Times New Roman"/>
          <w:noProof/>
          <w:szCs w:val="24"/>
        </w:rPr>
        <w:t>, 17(3), pp.260–7. Available at: http://www.ncbi.nlm.nih.gov/pubmed/16617274 [Accessed November 6,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Martin, S., Rice, N. &amp; Smith, P.C., 2008. Does health care spending improve health outcomes? Evidence from English programme budgeting data. </w:t>
      </w:r>
      <w:r w:rsidRPr="004D4974">
        <w:rPr>
          <w:rFonts w:ascii="Calibri" w:hAnsi="Calibri" w:cs="Times New Roman"/>
          <w:i/>
          <w:iCs/>
          <w:noProof/>
          <w:szCs w:val="24"/>
        </w:rPr>
        <w:t>Journal of health economics</w:t>
      </w:r>
      <w:r w:rsidRPr="004D4974">
        <w:rPr>
          <w:rFonts w:ascii="Calibri" w:hAnsi="Calibri" w:cs="Times New Roman"/>
          <w:noProof/>
          <w:szCs w:val="24"/>
        </w:rPr>
        <w:t>, 27(4), pp.826–42. Available at: http://www.ncbi.nlm.nih.gov/pubmed/18261812 [Accessed December 6,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McCabe, C., Claxton, K. &amp; Culyer, A.J., 2008. The NICE cost-effectiveness threshold: what it is and what that means. </w:t>
      </w:r>
      <w:r w:rsidRPr="004D4974">
        <w:rPr>
          <w:rFonts w:ascii="Calibri" w:hAnsi="Calibri" w:cs="Times New Roman"/>
          <w:i/>
          <w:iCs/>
          <w:noProof/>
          <w:szCs w:val="24"/>
        </w:rPr>
        <w:t>PharmacoEconomics</w:t>
      </w:r>
      <w:r w:rsidRPr="004D4974">
        <w:rPr>
          <w:rFonts w:ascii="Calibri" w:hAnsi="Calibri" w:cs="Times New Roman"/>
          <w:noProof/>
          <w:szCs w:val="24"/>
        </w:rPr>
        <w:t>, 26(9), pp.733–44. Available at: http://www.ncbi.nlm.nih.gov/pubmed/18767894 [Accessed November 17,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Montazerhodjat, V., Weinstock, D.M. &amp; Lo, A.W., 2016. Buying cures versus renting health: Financing health care with consumer loans. </w:t>
      </w:r>
      <w:r w:rsidRPr="004D4974">
        <w:rPr>
          <w:rFonts w:ascii="Calibri" w:hAnsi="Calibri" w:cs="Times New Roman"/>
          <w:i/>
          <w:iCs/>
          <w:noProof/>
          <w:szCs w:val="24"/>
        </w:rPr>
        <w:t>Science Translational Medicine</w:t>
      </w:r>
      <w:r w:rsidRPr="004D4974">
        <w:rPr>
          <w:rFonts w:ascii="Calibri" w:hAnsi="Calibri" w:cs="Times New Roman"/>
          <w:noProof/>
          <w:szCs w:val="24"/>
        </w:rPr>
        <w:t>, 8(327), p.327ps6-327ps6. Available at: http://www.ncbi.nlm.nih.gov/pubmed/26912902 [Accessed May 17,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Moreno-Serra, R. &amp; Smith, P.C., 2015. Broader health coverage is good for the nation’s health: evidence from country level panel data. </w:t>
      </w:r>
      <w:r w:rsidRPr="004D4974">
        <w:rPr>
          <w:rFonts w:ascii="Calibri" w:hAnsi="Calibri" w:cs="Times New Roman"/>
          <w:i/>
          <w:iCs/>
          <w:noProof/>
          <w:szCs w:val="24"/>
        </w:rPr>
        <w:t>Journal of the Royal Statistical Society. Series A, (Statistics in Society)</w:t>
      </w:r>
      <w:r w:rsidRPr="004D4974">
        <w:rPr>
          <w:rFonts w:ascii="Calibri" w:hAnsi="Calibri" w:cs="Times New Roman"/>
          <w:noProof/>
          <w:szCs w:val="24"/>
        </w:rPr>
        <w:t>.</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NHS England, 2016. </w:t>
      </w:r>
      <w:r w:rsidRPr="004D4974">
        <w:rPr>
          <w:rFonts w:ascii="Calibri" w:hAnsi="Calibri" w:cs="Times New Roman"/>
          <w:i/>
          <w:iCs/>
          <w:noProof/>
          <w:szCs w:val="24"/>
        </w:rPr>
        <w:t>Technical Guide to Allocation Formulae and Pace of Change</w:t>
      </w:r>
      <w:r w:rsidRPr="004D4974">
        <w:rPr>
          <w:rFonts w:ascii="Calibri" w:hAnsi="Calibri" w:cs="Times New Roman"/>
          <w:noProof/>
          <w:szCs w:val="24"/>
        </w:rPr>
        <w:t>, Available at: https://www.england.nhs.uk/wp-content/uploads/2016/04/1-allctins-16-17-tech-guid-formulae.pdf [Accessed May 17,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NICE, 2016. Consultation on changes to technology appraisals and highly specialised technologies. Available at: https://www.nice.org.uk/about/what-we-do/our-programmes/nice-guidance/nice-technology-appraisal-guidance/consultation-on-changes-to-technology-appraisals-and-highly-specialised-technologies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NICE, 2015a. Daclatasvir for treating chronic hepatitis C. Available at: https://www.nice.org.uk/guidance/ta364 [Accessed December 6,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NICE, 2015b. Ledipasvir–sofosbuvir for treating chronic hepatitis C. Available at: https://www.nice.org.uk/guidance/ta363 [Accessed December 6,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NICE, 2015c. Ombitasvir–paritaprevir–ritonavir with or without dasabuvir for treating chronic hepatitis C. Available at: https://www.nice.org.uk/guidance/ta365 [Accessed December 6, 2015].</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NICE, 2017. Procedure for varying the funding requirement to take account of net budget impact. Available at: https://www.nice.org.uk/Media/Default/About/what-we-do/NICE-guidance/NICE-technology-appraisals/TA-HST-procedure-varying-the-funding-direction.pdf [Accessed June 1,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Paulden, M. &amp; Claxton, K., 2012. Budget allocation and the revealed social rate of time preference for health. </w:t>
      </w:r>
      <w:r w:rsidRPr="004D4974">
        <w:rPr>
          <w:rFonts w:ascii="Calibri" w:hAnsi="Calibri" w:cs="Times New Roman"/>
          <w:i/>
          <w:iCs/>
          <w:noProof/>
          <w:szCs w:val="24"/>
        </w:rPr>
        <w:t>Health Economics</w:t>
      </w:r>
      <w:r w:rsidRPr="004D4974">
        <w:rPr>
          <w:rFonts w:ascii="Calibri" w:hAnsi="Calibri" w:cs="Times New Roman"/>
          <w:noProof/>
          <w:szCs w:val="24"/>
        </w:rPr>
        <w:t>, 21(5), pp.612–618. Available at: http://www.ncbi.nlm.nih.gov/pubmed/21438069 [Accessed May 17,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Paulden, M., O’Mahony, J. &amp; McCabe, C., 2017. Determinants of Change in the Cost-effectiveness Threshold. </w:t>
      </w:r>
      <w:r w:rsidRPr="004D4974">
        <w:rPr>
          <w:rFonts w:ascii="Calibri" w:hAnsi="Calibri" w:cs="Times New Roman"/>
          <w:i/>
          <w:iCs/>
          <w:noProof/>
          <w:szCs w:val="24"/>
        </w:rPr>
        <w:t>Medical Decision Making</w:t>
      </w:r>
      <w:r w:rsidRPr="004D4974">
        <w:rPr>
          <w:rFonts w:ascii="Calibri" w:hAnsi="Calibri" w:cs="Times New Roman"/>
          <w:noProof/>
          <w:szCs w:val="24"/>
        </w:rPr>
        <w:t>, 37(2), pp.264–276. Available at: http://www.ncbi.nlm.nih.gov/pubmed/27553208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lastRenderedPageBreak/>
        <w:t xml:space="preserve">Raftery, J.P., 2014. NICE’s Cost-Effectiveness Range: Should it be Lowered? </w:t>
      </w:r>
      <w:r w:rsidRPr="004D4974">
        <w:rPr>
          <w:rFonts w:ascii="Calibri" w:hAnsi="Calibri" w:cs="Times New Roman"/>
          <w:i/>
          <w:iCs/>
          <w:noProof/>
          <w:szCs w:val="24"/>
        </w:rPr>
        <w:t>PharmacoEconomics</w:t>
      </w:r>
      <w:r w:rsidRPr="004D4974">
        <w:rPr>
          <w:rFonts w:ascii="Calibri" w:hAnsi="Calibri" w:cs="Times New Roman"/>
          <w:noProof/>
          <w:szCs w:val="24"/>
        </w:rPr>
        <w:t>, 32(7), pp.613–615. Available at: http://link.springer.com/10.1007/s40273-014-0158-6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Schaffer, S.K. et al., 2016. Shaping the Research Agenda to Estimate Relevant Cost- effectiveness Thresholds for Health Technology Assessment Decision Making: Report for ABPI. Available at: https://www.ohe.org/system/files/private/publications/Shaping the research agenda to estimate cost-effectiveness thresholds FOR PUBLICATION.pdf [Accessed May 16, 2017].</w:t>
      </w:r>
    </w:p>
    <w:p w:rsidR="00A82676" w:rsidRPr="004D4974" w:rsidRDefault="00A82676" w:rsidP="00A82676">
      <w:pPr>
        <w:widowControl w:val="0"/>
        <w:autoSpaceDE w:val="0"/>
        <w:autoSpaceDN w:val="0"/>
        <w:adjustRightInd w:val="0"/>
        <w:spacing w:line="240" w:lineRule="auto"/>
        <w:ind w:left="480" w:hanging="480"/>
        <w:rPr>
          <w:rFonts w:ascii="Calibri" w:hAnsi="Calibri" w:cs="Times New Roman"/>
          <w:noProof/>
          <w:szCs w:val="24"/>
        </w:rPr>
      </w:pPr>
      <w:r w:rsidRPr="004D4974">
        <w:rPr>
          <w:rFonts w:ascii="Calibri" w:hAnsi="Calibri" w:cs="Times New Roman"/>
          <w:noProof/>
          <w:szCs w:val="24"/>
        </w:rPr>
        <w:t xml:space="preserve">Soares, M. &amp; Claxton, K., 2016. Implications of uncertainty for assessing expected health opportunity costs. In </w:t>
      </w:r>
      <w:r w:rsidRPr="004D4974">
        <w:rPr>
          <w:rFonts w:ascii="Calibri" w:hAnsi="Calibri" w:cs="Times New Roman"/>
          <w:i/>
          <w:iCs/>
          <w:noProof/>
          <w:szCs w:val="24"/>
        </w:rPr>
        <w:t>UK Health Economics Study Group Meeting, Manchester</w:t>
      </w:r>
      <w:r w:rsidRPr="004D4974">
        <w:rPr>
          <w:rFonts w:ascii="Calibri" w:hAnsi="Calibri" w:cs="Times New Roman"/>
          <w:noProof/>
          <w:szCs w:val="24"/>
        </w:rPr>
        <w:t>.</w:t>
      </w:r>
    </w:p>
    <w:p w:rsidR="00A82676" w:rsidRPr="004D4974" w:rsidRDefault="00A82676" w:rsidP="00A82676">
      <w:pPr>
        <w:widowControl w:val="0"/>
        <w:autoSpaceDE w:val="0"/>
        <w:autoSpaceDN w:val="0"/>
        <w:adjustRightInd w:val="0"/>
        <w:spacing w:line="240" w:lineRule="auto"/>
        <w:ind w:left="480" w:hanging="480"/>
        <w:rPr>
          <w:rFonts w:ascii="Calibri" w:hAnsi="Calibri"/>
          <w:noProof/>
        </w:rPr>
      </w:pPr>
      <w:r w:rsidRPr="004D4974">
        <w:rPr>
          <w:rFonts w:ascii="Calibri" w:hAnsi="Calibri" w:cs="Times New Roman"/>
          <w:noProof/>
          <w:szCs w:val="24"/>
        </w:rPr>
        <w:t xml:space="preserve">Vallejo-Torres, L. et al., 2016. On the Estimation of the Cost-Effectiveness Threshold: Why, What, How? </w:t>
      </w:r>
      <w:r w:rsidRPr="004D4974">
        <w:rPr>
          <w:rFonts w:ascii="Calibri" w:hAnsi="Calibri" w:cs="Times New Roman"/>
          <w:i/>
          <w:iCs/>
          <w:noProof/>
          <w:szCs w:val="24"/>
        </w:rPr>
        <w:t>Value in Health</w:t>
      </w:r>
      <w:r w:rsidRPr="004D4974">
        <w:rPr>
          <w:rFonts w:ascii="Calibri" w:hAnsi="Calibri" w:cs="Times New Roman"/>
          <w:noProof/>
          <w:szCs w:val="24"/>
        </w:rPr>
        <w:t>, 19(5), pp.558–566. Available at: http://linkinghub.elsevier.com/retrieve/pii/S1098301516000693 [Accessed May 16, 2017].</w:t>
      </w:r>
    </w:p>
    <w:p w:rsidR="00A82676" w:rsidRDefault="00A82676" w:rsidP="00A82676">
      <w:pPr>
        <w:widowControl w:val="0"/>
        <w:autoSpaceDE w:val="0"/>
        <w:autoSpaceDN w:val="0"/>
        <w:adjustRightInd w:val="0"/>
        <w:spacing w:line="240" w:lineRule="auto"/>
        <w:ind w:left="480" w:hanging="480"/>
        <w:rPr>
          <w:rFonts w:asciiTheme="majorHAnsi" w:eastAsiaTheme="majorEastAsia" w:hAnsiTheme="majorHAnsi" w:cstheme="majorBidi"/>
          <w:b/>
          <w:bCs/>
          <w:color w:val="5B9BD5" w:themeColor="accent1"/>
          <w:sz w:val="26"/>
          <w:szCs w:val="26"/>
        </w:rPr>
      </w:pPr>
      <w:r>
        <w:fldChar w:fldCharType="end"/>
      </w:r>
    </w:p>
    <w:p w:rsidR="00A82676" w:rsidRDefault="00A82676" w:rsidP="00A82676">
      <w:pPr>
        <w:rPr>
          <w:rFonts w:asciiTheme="majorHAnsi" w:eastAsiaTheme="majorEastAsia" w:hAnsiTheme="majorHAnsi" w:cstheme="majorBidi"/>
          <w:b/>
          <w:bCs/>
          <w:color w:val="5B9BD5" w:themeColor="accent1"/>
          <w:sz w:val="26"/>
          <w:szCs w:val="26"/>
        </w:rPr>
      </w:pPr>
    </w:p>
    <w:p w:rsidR="00A82676" w:rsidRDefault="00A82676">
      <w:pPr>
        <w:spacing w:after="160" w:line="259" w:lineRule="auto"/>
      </w:pPr>
      <w:r>
        <w:br w:type="page"/>
      </w:r>
    </w:p>
    <w:p w:rsidR="00A82676" w:rsidRDefault="00A82676" w:rsidP="00A82676">
      <w:pPr>
        <w:pStyle w:val="Heading2"/>
        <w:spacing w:line="240" w:lineRule="auto"/>
      </w:pPr>
      <w:r>
        <w:lastRenderedPageBreak/>
        <w:t>Appendix A</w:t>
      </w:r>
    </w:p>
    <w:tbl>
      <w:tblPr>
        <w:tblStyle w:val="TableGrid"/>
        <w:tblW w:w="0" w:type="auto"/>
        <w:tblLook w:val="04A0" w:firstRow="1" w:lastRow="0" w:firstColumn="1" w:lastColumn="0" w:noHBand="0" w:noVBand="1"/>
      </w:tblPr>
      <w:tblGrid>
        <w:gridCol w:w="1342"/>
        <w:gridCol w:w="1664"/>
        <w:gridCol w:w="1233"/>
        <w:gridCol w:w="1299"/>
        <w:gridCol w:w="1234"/>
        <w:gridCol w:w="1235"/>
        <w:gridCol w:w="1235"/>
      </w:tblGrid>
      <w:tr w:rsidR="00A82676" w:rsidRPr="004D1336" w:rsidTr="008F264A">
        <w:tc>
          <w:tcPr>
            <w:tcW w:w="1342" w:type="dxa"/>
          </w:tcPr>
          <w:p w:rsidR="00A82676" w:rsidRPr="004D1336" w:rsidRDefault="00A82676" w:rsidP="008F264A">
            <w:pPr>
              <w:rPr>
                <w:sz w:val="12"/>
              </w:rPr>
            </w:pPr>
            <w:r w:rsidRPr="004D1336">
              <w:rPr>
                <w:sz w:val="12"/>
              </w:rPr>
              <w:t>Interaction specification estimation</w:t>
            </w:r>
          </w:p>
        </w:tc>
        <w:tc>
          <w:tcPr>
            <w:tcW w:w="1664" w:type="dxa"/>
          </w:tcPr>
          <w:p w:rsidR="00A82676" w:rsidRPr="004D1336" w:rsidRDefault="00A82676" w:rsidP="008F264A">
            <w:pPr>
              <w:rPr>
                <w:sz w:val="12"/>
              </w:rPr>
            </w:pPr>
          </w:p>
        </w:tc>
        <w:tc>
          <w:tcPr>
            <w:tcW w:w="1233" w:type="dxa"/>
          </w:tcPr>
          <w:p w:rsidR="00A82676" w:rsidRPr="004D1336" w:rsidRDefault="00A82676" w:rsidP="008F264A">
            <w:pPr>
              <w:rPr>
                <w:sz w:val="12"/>
              </w:rPr>
            </w:pPr>
          </w:p>
        </w:tc>
        <w:tc>
          <w:tcPr>
            <w:tcW w:w="1299" w:type="dxa"/>
          </w:tcPr>
          <w:p w:rsidR="00A82676" w:rsidRPr="004D1336" w:rsidRDefault="00A82676" w:rsidP="008F264A">
            <w:pPr>
              <w:rPr>
                <w:sz w:val="12"/>
              </w:rPr>
            </w:pPr>
            <w:r w:rsidRPr="004D1336">
              <w:rPr>
                <w:sz w:val="12"/>
              </w:rPr>
              <w:t>Expenditure equation</w:t>
            </w:r>
          </w:p>
        </w:tc>
        <w:tc>
          <w:tcPr>
            <w:tcW w:w="1234" w:type="dxa"/>
          </w:tcPr>
          <w:p w:rsidR="00A82676" w:rsidRPr="004D1336" w:rsidRDefault="00A82676" w:rsidP="008F264A">
            <w:pPr>
              <w:rPr>
                <w:sz w:val="12"/>
              </w:rPr>
            </w:pPr>
          </w:p>
        </w:tc>
        <w:tc>
          <w:tcPr>
            <w:tcW w:w="1235" w:type="dxa"/>
          </w:tcPr>
          <w:p w:rsidR="00A82676" w:rsidRPr="004D1336" w:rsidRDefault="00A82676" w:rsidP="008F264A">
            <w:pPr>
              <w:rPr>
                <w:sz w:val="12"/>
              </w:rPr>
            </w:pPr>
            <w:r w:rsidRPr="004D1336">
              <w:rPr>
                <w:sz w:val="12"/>
              </w:rPr>
              <w:t>Outcome equation</w:t>
            </w:r>
          </w:p>
        </w:tc>
        <w:tc>
          <w:tcPr>
            <w:tcW w:w="1235" w:type="dxa"/>
          </w:tcPr>
          <w:p w:rsidR="00A82676" w:rsidRPr="004D1336" w:rsidRDefault="00A82676" w:rsidP="008F264A">
            <w:pPr>
              <w:rPr>
                <w:sz w:val="12"/>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PBC</w:t>
            </w: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99"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Coefficient of interest</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p-value of difference</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Coefficient of interest</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p-value of difference</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2</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Cancer</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0.525</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0.307</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0.728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0.285</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0.721</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0.088</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0.285</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0.865</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10</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Circulatory</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0.648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1.319</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0.716</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1.34</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0.714</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0.657</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1.335</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0.506</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11</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Respiratory</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0.652</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1.808</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0.586</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1.597</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0.588</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0.659</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1.573</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0.043</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13</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Gastrointestinal</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0.456</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1.364</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0.346</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0.933</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0.351</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0.2</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0.894</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0.001</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Infectious diseases</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1.546</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0.504</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1.518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0.315</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1.522</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0.473</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0.332</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0.347</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4</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Endocrine</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0.484</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1.17</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0.928</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0.575</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0.174</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0.968</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0.03</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7</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Neurological</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0.98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0.417</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1.038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0.424</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1.035</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0.476</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0.454</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0.073</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17</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Genitourinary</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0.697</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1.615</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0.683</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1.171</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0.683</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0.905</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1.193</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0.554</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16</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Trauma and injuries</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1.344</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1.314</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1.322</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0.155</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w:t>
            </w: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18+19</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Maternity and neonates</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0.975</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0.125</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1.158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0.141</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1.151</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0.138</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0.138</w:t>
            </w:r>
          </w:p>
        </w:tc>
        <w:tc>
          <w:tcPr>
            <w:tcW w:w="1235"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0.737</w:t>
            </w: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3</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Disorders of blood</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1.171</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0.66</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0.681</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0.006</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5</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Mental health</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1.036</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1.008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1.01</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0.504</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6</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Learning disability</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0.205</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0.263</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0.259</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0.579</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8</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Problems of vision</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0.654</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0.758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0.752</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0.206</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9</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Problems of hearing</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1.191</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1.237</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1.236</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0.897</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12</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Dental problems</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0.513</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0.483</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0.492</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0.038</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14</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Skin</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0.674</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0.698</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0.614</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15</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Musculoskeletal</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0.505</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0.728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0.719</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0.112</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20</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Poisoning and adverse events</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0.562</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0.772</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0.766</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0.253</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21</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Healthy individuals</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1.097</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2.049</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2.012</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22</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Social care needs</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0.911</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0.084</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0.109</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0.085</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23</w:t>
            </w:r>
          </w:p>
        </w:tc>
        <w:tc>
          <w:tcPr>
            <w:tcW w:w="1664" w:type="dxa"/>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Other</w:t>
            </w: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All</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0.494</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Under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0.568</w:t>
            </w:r>
          </w:p>
        </w:tc>
        <w:tc>
          <w:tcPr>
            <w:tcW w:w="1234"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r w:rsidR="00A82676" w:rsidRPr="004D1336" w:rsidTr="008F264A">
        <w:trPr>
          <w:trHeight w:val="300"/>
        </w:trPr>
        <w:tc>
          <w:tcPr>
            <w:tcW w:w="1342"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664" w:type="dxa"/>
          </w:tcPr>
          <w:p w:rsidR="00A82676" w:rsidRPr="004D1336" w:rsidRDefault="00A82676" w:rsidP="008F264A">
            <w:pPr>
              <w:rPr>
                <w:rFonts w:ascii="Calibri" w:eastAsia="Times New Roman" w:hAnsi="Calibri" w:cs="Times New Roman"/>
                <w:color w:val="000000"/>
                <w:sz w:val="12"/>
                <w:lang w:eastAsia="en-GB"/>
              </w:rPr>
            </w:pPr>
          </w:p>
        </w:tc>
        <w:tc>
          <w:tcPr>
            <w:tcW w:w="1233" w:type="dxa"/>
            <w:noWrap/>
            <w:hideMark/>
          </w:tcPr>
          <w:p w:rsidR="00A82676" w:rsidRPr="004D1336" w:rsidRDefault="00A82676" w:rsidP="008F264A">
            <w:pPr>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Over</w:t>
            </w:r>
          </w:p>
        </w:tc>
        <w:tc>
          <w:tcPr>
            <w:tcW w:w="1299"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0.564</w:t>
            </w:r>
          </w:p>
        </w:tc>
        <w:tc>
          <w:tcPr>
            <w:tcW w:w="1234" w:type="dxa"/>
            <w:noWrap/>
            <w:hideMark/>
          </w:tcPr>
          <w:p w:rsidR="00A82676" w:rsidRPr="004D1336" w:rsidRDefault="00A82676" w:rsidP="008F264A">
            <w:pPr>
              <w:jc w:val="right"/>
              <w:rPr>
                <w:rFonts w:ascii="Calibri" w:eastAsia="Times New Roman" w:hAnsi="Calibri" w:cs="Times New Roman"/>
                <w:color w:val="000000"/>
                <w:sz w:val="12"/>
                <w:lang w:eastAsia="en-GB"/>
              </w:rPr>
            </w:pPr>
            <w:r w:rsidRPr="004D1336">
              <w:rPr>
                <w:rFonts w:ascii="Calibri" w:eastAsia="Times New Roman" w:hAnsi="Calibri" w:cs="Times New Roman"/>
                <w:color w:val="000000"/>
                <w:sz w:val="12"/>
                <w:lang w:eastAsia="en-GB"/>
              </w:rPr>
              <w:t>0.09</w:t>
            </w: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c>
          <w:tcPr>
            <w:tcW w:w="1235" w:type="dxa"/>
            <w:noWrap/>
            <w:hideMark/>
          </w:tcPr>
          <w:p w:rsidR="00A82676" w:rsidRPr="004D1336" w:rsidRDefault="00A82676" w:rsidP="008F264A">
            <w:pPr>
              <w:rPr>
                <w:rFonts w:ascii="Calibri" w:eastAsia="Times New Roman" w:hAnsi="Calibri" w:cs="Times New Roman"/>
                <w:color w:val="000000"/>
                <w:sz w:val="12"/>
                <w:lang w:eastAsia="en-GB"/>
              </w:rPr>
            </w:pPr>
          </w:p>
        </w:tc>
      </w:tr>
    </w:tbl>
    <w:p w:rsidR="00A82676" w:rsidRPr="005131B3" w:rsidRDefault="00A82676" w:rsidP="00A82676">
      <w:pPr>
        <w:spacing w:line="240" w:lineRule="auto"/>
      </w:pPr>
    </w:p>
    <w:p w:rsidR="00A82676" w:rsidRDefault="00A82676" w:rsidP="00A82676">
      <w:pPr>
        <w:spacing w:line="240" w:lineRule="auto"/>
        <w:rPr>
          <w:rFonts w:asciiTheme="majorHAnsi" w:eastAsiaTheme="majorEastAsia" w:hAnsiTheme="majorHAnsi" w:cstheme="majorBidi"/>
          <w:color w:val="5B9BD5" w:themeColor="accent1"/>
          <w:sz w:val="26"/>
          <w:szCs w:val="26"/>
        </w:rPr>
      </w:pPr>
      <w:r>
        <w:br w:type="page"/>
      </w:r>
    </w:p>
    <w:p w:rsidR="00A82676" w:rsidRDefault="00A82676" w:rsidP="00A82676">
      <w:pPr>
        <w:pStyle w:val="Heading2"/>
        <w:spacing w:line="240" w:lineRule="auto"/>
      </w:pPr>
      <w:bookmarkStart w:id="23" w:name="_Toc437280011"/>
      <w:r>
        <w:lastRenderedPageBreak/>
        <w:t>Appendix B</w:t>
      </w:r>
      <w:bookmarkEnd w:id="23"/>
    </w:p>
    <w:tbl>
      <w:tblPr>
        <w:tblStyle w:val="TableGrid"/>
        <w:tblW w:w="0" w:type="auto"/>
        <w:tblLook w:val="04A0" w:firstRow="1" w:lastRow="0" w:firstColumn="1" w:lastColumn="0" w:noHBand="0" w:noVBand="1"/>
      </w:tblPr>
      <w:tblGrid>
        <w:gridCol w:w="1256"/>
        <w:gridCol w:w="1662"/>
        <w:gridCol w:w="1256"/>
        <w:gridCol w:w="1298"/>
        <w:gridCol w:w="1256"/>
        <w:gridCol w:w="1257"/>
        <w:gridCol w:w="1257"/>
      </w:tblGrid>
      <w:tr w:rsidR="00A82676" w:rsidRPr="004D1336" w:rsidTr="008F264A">
        <w:tc>
          <w:tcPr>
            <w:tcW w:w="1256" w:type="dxa"/>
          </w:tcPr>
          <w:p w:rsidR="00A82676" w:rsidRPr="004D1336" w:rsidRDefault="00A82676" w:rsidP="008F264A">
            <w:pPr>
              <w:rPr>
                <w:sz w:val="12"/>
                <w:szCs w:val="12"/>
              </w:rPr>
            </w:pPr>
            <w:r w:rsidRPr="004D1336">
              <w:rPr>
                <w:sz w:val="12"/>
                <w:szCs w:val="12"/>
              </w:rPr>
              <w:t>Separate sample estimation</w:t>
            </w:r>
          </w:p>
        </w:tc>
        <w:tc>
          <w:tcPr>
            <w:tcW w:w="1662" w:type="dxa"/>
          </w:tcPr>
          <w:p w:rsidR="00A82676" w:rsidRPr="004D1336" w:rsidRDefault="00A82676" w:rsidP="008F264A">
            <w:pPr>
              <w:rPr>
                <w:sz w:val="12"/>
                <w:szCs w:val="12"/>
              </w:rPr>
            </w:pPr>
          </w:p>
        </w:tc>
        <w:tc>
          <w:tcPr>
            <w:tcW w:w="1256" w:type="dxa"/>
          </w:tcPr>
          <w:p w:rsidR="00A82676" w:rsidRPr="004D1336" w:rsidRDefault="00A82676" w:rsidP="008F264A">
            <w:pPr>
              <w:rPr>
                <w:sz w:val="12"/>
                <w:szCs w:val="12"/>
              </w:rPr>
            </w:pPr>
          </w:p>
        </w:tc>
        <w:tc>
          <w:tcPr>
            <w:tcW w:w="1298" w:type="dxa"/>
          </w:tcPr>
          <w:p w:rsidR="00A82676" w:rsidRPr="004D1336" w:rsidRDefault="00A82676" w:rsidP="008F264A">
            <w:pPr>
              <w:rPr>
                <w:sz w:val="12"/>
                <w:szCs w:val="12"/>
              </w:rPr>
            </w:pPr>
            <w:r w:rsidRPr="004D1336">
              <w:rPr>
                <w:sz w:val="12"/>
                <w:szCs w:val="12"/>
              </w:rPr>
              <w:t>Expenditure equation</w:t>
            </w:r>
          </w:p>
        </w:tc>
        <w:tc>
          <w:tcPr>
            <w:tcW w:w="1256" w:type="dxa"/>
          </w:tcPr>
          <w:p w:rsidR="00A82676" w:rsidRPr="004D1336" w:rsidRDefault="00A82676" w:rsidP="008F264A">
            <w:pPr>
              <w:rPr>
                <w:sz w:val="12"/>
                <w:szCs w:val="12"/>
              </w:rPr>
            </w:pPr>
          </w:p>
        </w:tc>
        <w:tc>
          <w:tcPr>
            <w:tcW w:w="1257" w:type="dxa"/>
          </w:tcPr>
          <w:p w:rsidR="00A82676" w:rsidRPr="004D1336" w:rsidRDefault="00A82676" w:rsidP="008F264A">
            <w:pPr>
              <w:rPr>
                <w:sz w:val="12"/>
                <w:szCs w:val="12"/>
              </w:rPr>
            </w:pPr>
            <w:r w:rsidRPr="004D1336">
              <w:rPr>
                <w:sz w:val="12"/>
                <w:szCs w:val="12"/>
              </w:rPr>
              <w:t>Outcome equation</w:t>
            </w:r>
          </w:p>
        </w:tc>
        <w:tc>
          <w:tcPr>
            <w:tcW w:w="1257" w:type="dxa"/>
          </w:tcPr>
          <w:p w:rsidR="00A82676" w:rsidRPr="004D1336" w:rsidRDefault="00A82676" w:rsidP="008F264A">
            <w:pPr>
              <w:rPr>
                <w:sz w:val="12"/>
                <w:szCs w:val="12"/>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PBC</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98"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Coefficient of interest</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p-value of difference</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Coefficient of interest</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p-value of difference</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2</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Cancer</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0.525</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0.307</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0.754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0.381</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0.677</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0.903</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0.247</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0.442</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10</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Circulatory</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0.648</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1.319</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0.115</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1.813</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0.725</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0.573</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0.895</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0.019</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11</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Respiratory</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0.652</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1.808</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0.176</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2.142</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0.697</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0.418</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1.058</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0.258</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13</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Gastrointestinal</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0.456</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1.364</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0.171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1.511</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0.487</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0.592</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0.35</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0.196</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Infectious diseases</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1.546</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0.504</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1.118</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0.991</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1.967</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0.134</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0.172</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0.261</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4</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Endocrine</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0.484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1.17</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0.781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0.441</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0.372</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0.359</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0.992</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0.506</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7</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Neurological</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0.98</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0.417</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1.131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0.823</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0.793</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0.473</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0.298</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0.604</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17</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Genitourinary</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0.697</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1.615</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0.625</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-0.658</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0.744</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0.784</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6.495</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0.126</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16</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Trauma and injuries</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1.344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1.747</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0.641</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0.02</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w:t>
            </w: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18+19</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Maternity and neonates</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0.975</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0.125</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1.316</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0.49</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0.687</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0.374</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w:t>
            </w:r>
          </w:p>
        </w:tc>
        <w:tc>
          <w:tcPr>
            <w:tcW w:w="1257"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0.075</w:t>
            </w: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3</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Disorders of blood</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1.171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0.934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0.58</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0.718</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lastRenderedPageBreak/>
              <w:t>5</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Mental health</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1.036</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1.506</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0.653</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0.048</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6</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Learning disability</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0.205</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0.534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0.281</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0.858</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8</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Problems of vision</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0.654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0.546</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0.562</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9</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Problems of hearing</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1.191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2.83</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-0.15</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0.035</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12</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Dental problems</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0.513</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0.175</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0.271</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14</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Skin</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0.674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0.771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0.645</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0.839</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15</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Musculoskeletal</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0.505</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0.894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0.505</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0.618</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20</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Poisoning and adverse events</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0.562</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0.651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0.821</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0.797</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21</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Healthy individuals</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1.097</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2.203</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1.968</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0.862</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22</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Social care needs</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0.911</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-0.009</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0.281</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0.896</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23</w:t>
            </w: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Other</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All</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0.494</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Under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0.385</w:t>
            </w: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r w:rsidR="00A82676" w:rsidRPr="004D1336" w:rsidTr="008F264A">
        <w:trPr>
          <w:trHeight w:val="300"/>
        </w:trPr>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662" w:type="dxa"/>
          </w:tcPr>
          <w:p w:rsidR="00A82676" w:rsidRPr="004D1336" w:rsidRDefault="00A82676" w:rsidP="008F264A">
            <w:pPr>
              <w:rPr>
                <w:rFonts w:ascii="Calibri" w:eastAsia="Times New Roman" w:hAnsi="Calibri" w:cs="Times New Roman"/>
                <w:color w:val="000000"/>
                <w:sz w:val="12"/>
                <w:szCs w:val="12"/>
                <w:lang w:eastAsia="en-GB"/>
              </w:rPr>
            </w:pPr>
          </w:p>
        </w:tc>
        <w:tc>
          <w:tcPr>
            <w:tcW w:w="1256" w:type="dxa"/>
            <w:noWrap/>
            <w:hideMark/>
          </w:tcPr>
          <w:p w:rsidR="00A82676" w:rsidRPr="004D1336" w:rsidRDefault="00A82676" w:rsidP="008F264A">
            <w:pPr>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Over</w:t>
            </w:r>
          </w:p>
        </w:tc>
        <w:tc>
          <w:tcPr>
            <w:tcW w:w="1298"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0.675</w:t>
            </w:r>
          </w:p>
        </w:tc>
        <w:tc>
          <w:tcPr>
            <w:tcW w:w="1256" w:type="dxa"/>
            <w:noWrap/>
            <w:hideMark/>
          </w:tcPr>
          <w:p w:rsidR="00A82676" w:rsidRPr="004D1336" w:rsidRDefault="00A82676" w:rsidP="008F264A">
            <w:pPr>
              <w:jc w:val="right"/>
              <w:rPr>
                <w:rFonts w:ascii="Calibri" w:eastAsia="Times New Roman" w:hAnsi="Calibri" w:cs="Times New Roman"/>
                <w:color w:val="000000"/>
                <w:sz w:val="12"/>
                <w:szCs w:val="12"/>
                <w:lang w:eastAsia="en-GB"/>
              </w:rPr>
            </w:pPr>
            <w:r w:rsidRPr="004D1336">
              <w:rPr>
                <w:rFonts w:ascii="Calibri" w:eastAsia="Times New Roman" w:hAnsi="Calibri" w:cs="Times New Roman"/>
                <w:color w:val="000000"/>
                <w:sz w:val="12"/>
                <w:szCs w:val="12"/>
                <w:lang w:eastAsia="en-GB"/>
              </w:rPr>
              <w:t>0.306</w:t>
            </w: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c>
          <w:tcPr>
            <w:tcW w:w="1257" w:type="dxa"/>
            <w:noWrap/>
            <w:hideMark/>
          </w:tcPr>
          <w:p w:rsidR="00A82676" w:rsidRPr="004D1336" w:rsidRDefault="00A82676" w:rsidP="008F264A">
            <w:pPr>
              <w:rPr>
                <w:rFonts w:ascii="Calibri" w:eastAsia="Times New Roman" w:hAnsi="Calibri" w:cs="Times New Roman"/>
                <w:color w:val="000000"/>
                <w:sz w:val="12"/>
                <w:szCs w:val="12"/>
                <w:lang w:eastAsia="en-GB"/>
              </w:rPr>
            </w:pPr>
          </w:p>
        </w:tc>
      </w:tr>
    </w:tbl>
    <w:p w:rsidR="00A82676" w:rsidRPr="009779E0" w:rsidRDefault="00A82676" w:rsidP="00A82676">
      <w:pPr>
        <w:spacing w:line="240" w:lineRule="auto"/>
      </w:pPr>
    </w:p>
    <w:p w:rsidR="00A82676" w:rsidRDefault="00A82676" w:rsidP="00A82676"/>
    <w:p w:rsidR="00E75137" w:rsidRDefault="00E75137" w:rsidP="00E75137"/>
    <w:sectPr w:rsidR="00E751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676" w:rsidRDefault="00A82676" w:rsidP="00A82676">
      <w:pPr>
        <w:spacing w:after="0" w:line="240" w:lineRule="auto"/>
      </w:pPr>
      <w:r>
        <w:separator/>
      </w:r>
    </w:p>
  </w:endnote>
  <w:endnote w:type="continuationSeparator" w:id="0">
    <w:p w:rsidR="00A82676" w:rsidRDefault="00A82676" w:rsidP="00A8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676" w:rsidRDefault="00A82676" w:rsidP="00A82676">
      <w:pPr>
        <w:spacing w:after="0" w:line="240" w:lineRule="auto"/>
      </w:pPr>
      <w:r>
        <w:separator/>
      </w:r>
    </w:p>
  </w:footnote>
  <w:footnote w:type="continuationSeparator" w:id="0">
    <w:p w:rsidR="00A82676" w:rsidRDefault="00A82676" w:rsidP="00A82676">
      <w:pPr>
        <w:spacing w:after="0" w:line="240" w:lineRule="auto"/>
      </w:pPr>
      <w:r>
        <w:continuationSeparator/>
      </w:r>
    </w:p>
  </w:footnote>
  <w:footnote w:id="1">
    <w:p w:rsidR="00A82676" w:rsidRDefault="00A82676" w:rsidP="00A82676">
      <w:pPr>
        <w:pStyle w:val="FootnoteText"/>
      </w:pPr>
      <w:r>
        <w:rPr>
          <w:rStyle w:val="FootnoteReference"/>
        </w:rPr>
        <w:footnoteRef/>
      </w:r>
      <w:r>
        <w:t xml:space="preserve"> Cost-effectiveness was judged according to the standard ‘cost-effectiveness threshold’ applied by NICE of £20,000 to £30,000 per QALY. It is worth noting that PBAC made judgements requiring lower cost per QALY than usual given the large budget impact </w:t>
      </w:r>
      <w:r>
        <w:fldChar w:fldCharType="begin" w:fldLock="1"/>
      </w:r>
      <w:r>
        <w:instrText>ADDIN CSL_CITATION { "citationItems" : [ { "id" : "ITEM-1", "itemData" : { "DOI" : "10.1017/S1744133116000050", "abstract" : "The question of how to determine coverage in a national health insurance system involves issues of both principle and practice. What are these benefits that we are trying to achieve? Is it the maximisation of population health, assuring a right to health care, or maximising individual life potentials? In any of these are we able calculate the effectiveness of interventions or our marginal social willingness to pay with sufficient rigour to give us confidence in the wisdom of our decisions? Last, given vested interests how do we resolve the practical and political issues of covering new interventions in place of those that are covered now? Culyer approaches these questions with an elegantly illustrated lesson in the analytics of priority setting, and a clear focussed approach to decision making. The general theme is that weighing up the opportunities foregone in any funding decision, whatever the objective, is always subject to considerable error but a guide to decision making that is open and honest will improve health. He illustrates this lesson using the classic approach popularised by Weinstein and Stason (1977). This parable imagines a world in which the community has decided how much public money to spend on health improvement. The public funding agency then has to decide on what particular health interventions are covered by the insurance system. In this simple world, where the decision makers have access to complete information on the benefits and costs of all current and future perfectly divisible linear health programmes, ranking the programmes by total benefit per dollar and then running down the list until we run out of money will achieve the goal of maximising a unidimensional health gain [e.g. quality-adjusted life-years (QALYs)]. This is what Weinstein describes as a shopping spree and in Culyer this becomes a trip to the bookshop for a new book and a reorganisation of the older ones on the shelf at home. Culyer gives us a particularly clear exposition, not least because it unusually concentrates on the marginal gain per dollar. It starts with the idea that the health gain per dollar for the last funded programme reveals the health gains foregone from not spending that last dollar, as", "author" : [ { "dropping-particle" : "", "family" : "Harris", "given" : "Anthony H", "non-dropping-particle" : "", "parse-names" : false, "suffix" : "" } ], "container-title" : "Health Economics, Policy and Law", "id" : "ITEM-1", "issued" : { "date-parts" : [ [ "2016" ] ] }, "page" : "433-438", "publisher" : "Cambridge University Press", "title" : "Beyond the threshold", "type" : "article-journal", "volume" : "11" }, "uris" : [ "http://www.mendeley.com/documents/?uuid=f75ae421-39f8-393b-8cb9-9c8cae34702e" ] } ], "mendeley" : { "formattedCitation" : "(Harris 2016)", "plainTextFormattedCitation" : "(Harris 2016)", "previouslyFormattedCitation" : "(Harris 2016)" }, "properties" : { "noteIndex" : 0 }, "schema" : "https://github.com/citation-style-language/schema/raw/master/csl-citation.json" }</w:instrText>
      </w:r>
      <w:r>
        <w:fldChar w:fldCharType="separate"/>
      </w:r>
      <w:r w:rsidRPr="00EF05AF">
        <w:rPr>
          <w:noProof/>
        </w:rPr>
        <w:t>(Harris 2016)</w:t>
      </w:r>
      <w:r>
        <w:fldChar w:fldCharType="end"/>
      </w:r>
      <w:r>
        <w:t>.</w:t>
      </w:r>
    </w:p>
  </w:footnote>
  <w:footnote w:id="2">
    <w:p w:rsidR="00A82676" w:rsidRDefault="00A82676" w:rsidP="00A82676">
      <w:pPr>
        <w:pStyle w:val="FootnoteText"/>
      </w:pPr>
      <w:r>
        <w:rPr>
          <w:rStyle w:val="FootnoteReference"/>
        </w:rPr>
        <w:footnoteRef/>
      </w:r>
      <w:r>
        <w:t xml:space="preserve"> </w:t>
      </w:r>
      <w:r>
        <w:rPr>
          <w:rFonts w:eastAsiaTheme="minorEastAsia"/>
        </w:rPr>
        <w:t xml:space="preserve">Such an empirical assessment is described in </w:t>
      </w:r>
      <w:r>
        <w:rPr>
          <w:rFonts w:eastAsiaTheme="minorEastAsia"/>
        </w:rPr>
        <w:fldChar w:fldCharType="begin" w:fldLock="1"/>
      </w:r>
      <w:r>
        <w:rPr>
          <w:rFonts w:eastAsiaTheme="minorEastAsia"/>
        </w:rPr>
        <w:instrText>ADDIN CSL_CITATION { "citationItems" : [ { "id" : "ITEM-1", "itemData" : { "DOI" : "10.1016/j.jval.2016.02.020", "ISSN" : "10983015", "author" : [ { "dropping-particle" : "", "family" : "Vallejo-Torres", "given" : "Laura", "non-dropping-particle" : "", "parse-names" : false, "suffix" : "" }, { "dropping-particle" : "", "family" : "Garc\u00eda-Lorenzo", "given" : "Borja", "non-dropping-particle" : "", "parse-names" : false, "suffix" : "" }, { "dropping-particle" : "", "family" : "Castilla", "given" : "Iv\u00e1n", "non-dropping-particle" : "", "parse-names" : false, "suffix" : "" }, { "dropping-particle" : "", "family" : "Valc\u00e1rcel-Nazco", "given" : "Cristina", "non-dropping-particle" : "", "parse-names" : false, "suffix" : "" }, { "dropping-particle" : "", "family" : "Garc\u00eda-P\u00e9rez", "given" : "Lidia", "non-dropping-particle" : "", "parse-names" : false, "suffix" : "" }, { "dropping-particle" : "", "family" : "Linertov\u00e1", "given" : "Renata", "non-dropping-particle" : "", "parse-names" : false, "suffix" : "" }, { "dropping-particle" : "", "family" : "Polentinos-Castro", "given" : "Elena", "non-dropping-particle" : "", "parse-names" : false, "suffix" : "" }, { "dropping-particle" : "", "family" : "Serrano-Aguilar", "given" : "Pedro", "non-dropping-particle" : "", "parse-names" : false, "suffix" : "" } ], "container-title" : "Value in Health", "id" : "ITEM-1", "issue" : "5", "issued" : { "date-parts" : [ [ "2016", "7" ] ] }, "page" : "558-566", "title" : "On the Estimation of the Cost-Effectiveness Threshold: Why, What, How?", "type" : "article-journal", "volume" : "19" }, "uris" : [ "http://www.mendeley.com/documents/?uuid=b8451cb1-8c07-3586-8934-9d1e2a5115a0" ] } ], "mendeley" : { "formattedCitation" : "(Vallejo-Torres et al. 2016)", "manualFormatting" : "Vallejo-Torres et al. (2016)", "plainTextFormattedCitation" : "(Vallejo-Torres et al. 2016)", "previouslyFormattedCitation" : "(Vallejo-Torres et al. 2016)" }, "properties" : { "noteIndex" : 0 }, "schema" : "https://github.com/citation-style-language/schema/raw/master/csl-citation.json" }</w:instrText>
      </w:r>
      <w:r>
        <w:rPr>
          <w:rFonts w:eastAsiaTheme="minorEastAsia"/>
        </w:rPr>
        <w:fldChar w:fldCharType="separate"/>
      </w:r>
      <w:r w:rsidRPr="008174CC">
        <w:rPr>
          <w:rFonts w:eastAsiaTheme="minorEastAsia"/>
          <w:noProof/>
        </w:rPr>
        <w:t xml:space="preserve">Vallejo-Torres et al. </w:t>
      </w:r>
      <w:r>
        <w:rPr>
          <w:rFonts w:eastAsiaTheme="minorEastAsia"/>
          <w:noProof/>
        </w:rPr>
        <w:t>(</w:t>
      </w:r>
      <w:r w:rsidRPr="008174CC">
        <w:rPr>
          <w:rFonts w:eastAsiaTheme="minorEastAsia"/>
          <w:noProof/>
        </w:rPr>
        <w:t>2016)</w:t>
      </w:r>
      <w:r>
        <w:rPr>
          <w:rFonts w:eastAsiaTheme="minorEastAsia"/>
        </w:rPr>
        <w:fldChar w:fldCharType="end"/>
      </w:r>
      <w:r>
        <w:rPr>
          <w:rFonts w:eastAsiaTheme="minorEastAsia"/>
        </w:rPr>
        <w:t xml:space="preserve"> as a ‘supply side’ assessment of opportunity costs, which is relevant (</w:t>
      </w:r>
      <w:r>
        <w:rPr>
          <w:rFonts w:eastAsiaTheme="minorEastAsia"/>
        </w:rPr>
        <w:fldChar w:fldCharType="begin" w:fldLock="1"/>
      </w:r>
      <w:r>
        <w:rPr>
          <w:rFonts w:eastAsiaTheme="minorEastAsia"/>
        </w:rPr>
        <w:instrText>ADDIN CSL_CITATION { "citationItems" : [ { "id" : "ITEM-1", "itemData" : { "author" : [ { "dropping-particle" : "", "family" : "Schaffer", "given" : "Sarah Karlsberg", "non-dropping-particle" : "", "parse-names" : false, "suffix" : "" }, { "dropping-particle" : "", "family" : "Cubi-Molla", "given" : "Patricia", "non-dropping-particle" : "", "parse-names" : false, "suffix" : "" }, { "dropping-particle" : "", "family" : "Devlin", "given" : "Nancy", "non-dropping-particle" : "", "parse-names" : false, "suffix" : "" }, { "dropping-particle" : "", "family" : "Towse", "given" : "Adrian", "non-dropping-particle" : "", "parse-names" : false, "suffix" : "" } ], "id" : "ITEM-1", "issued" : { "date-parts" : [ [ "2016" ] ] }, "title" : "Shaping the Research Agenda to Estimate Relevant Cost- effectiveness Thresholds for Health Technology Assessment Decision Making: Report for ABPI", "type" : "article-journal" }, "uris" : [ "http://www.mendeley.com/documents/?uuid=f6f4c854-c647-3f7d-a65e-a537739e3657" ] } ], "mendeley" : { "formattedCitation" : "(Schaffer et al. 2016)", "manualFormatting" : "Schaffer et al. (2016)", "plainTextFormattedCitation" : "(Schaffer et al. 2016)", "previouslyFormattedCitation" : "(Schaffer et al. 2016)" }, "properties" : { "noteIndex" : 0 }, "schema" : "https://github.com/citation-style-language/schema/raw/master/csl-citation.json" }</w:instrText>
      </w:r>
      <w:r>
        <w:rPr>
          <w:rFonts w:eastAsiaTheme="minorEastAsia"/>
        </w:rPr>
        <w:fldChar w:fldCharType="separate"/>
      </w:r>
      <w:r w:rsidRPr="00CE3292">
        <w:rPr>
          <w:rFonts w:eastAsiaTheme="minorEastAsia"/>
          <w:noProof/>
        </w:rPr>
        <w:t xml:space="preserve">Schaffer et al. </w:t>
      </w:r>
      <w:r>
        <w:rPr>
          <w:rFonts w:eastAsiaTheme="minorEastAsia"/>
          <w:noProof/>
        </w:rPr>
        <w:t>(</w:t>
      </w:r>
      <w:r w:rsidRPr="00CE3292">
        <w:rPr>
          <w:rFonts w:eastAsiaTheme="minorEastAsia"/>
          <w:noProof/>
        </w:rPr>
        <w:t>2016)</w:t>
      </w:r>
      <w:r>
        <w:rPr>
          <w:rFonts w:eastAsiaTheme="minorEastAsia"/>
        </w:rPr>
        <w:fldChar w:fldCharType="end"/>
      </w:r>
      <w:r>
        <w:rPr>
          <w:rFonts w:eastAsiaTheme="minorEastAsia"/>
        </w:rPr>
        <w:t xml:space="preserve">) when the additional costs of an investment must be accommodated within existing expenditure or when health expenditure is increased to accommodate it. When non health impacts on private consumption are considered important, some assessment of the equivalent consumption value of health is required, i.e., ‘demand side empirical research’ </w:t>
      </w:r>
      <w:r>
        <w:rPr>
          <w:rFonts w:eastAsiaTheme="minorEastAsia"/>
        </w:rPr>
        <w:fldChar w:fldCharType="begin" w:fldLock="1"/>
      </w:r>
      <w:r>
        <w:rPr>
          <w:rFonts w:eastAsiaTheme="minorEastAsia"/>
        </w:rPr>
        <w:instrText>ADDIN CSL_CITATION { "citationItems" : [ { "id" : "ITEM-1", "itemData" : { "DOI" : "10.1016/j.jval.2016.02.020", "ISSN" : "10983015", "author" : [ { "dropping-particle" : "", "family" : "Vallejo-Torres", "given" : "Laura", "non-dropping-particle" : "", "parse-names" : false, "suffix" : "" }, { "dropping-particle" : "", "family" : "Garc\u00eda-Lorenzo", "given" : "Borja", "non-dropping-particle" : "", "parse-names" : false, "suffix" : "" }, { "dropping-particle" : "", "family" : "Castilla", "given" : "Iv\u00e1n", "non-dropping-particle" : "", "parse-names" : false, "suffix" : "" }, { "dropping-particle" : "", "family" : "Valc\u00e1rcel-Nazco", "given" : "Cristina", "non-dropping-particle" : "", "parse-names" : false, "suffix" : "" }, { "dropping-particle" : "", "family" : "Garc\u00eda-P\u00e9rez", "given" : "Lidia", "non-dropping-particle" : "", "parse-names" : false, "suffix" : "" }, { "dropping-particle" : "", "family" : "Linertov\u00e1", "given" : "Renata", "non-dropping-particle" : "", "parse-names" : false, "suffix" : "" }, { "dropping-particle" : "", "family" : "Polentinos-Castro", "given" : "Elena", "non-dropping-particle" : "", "parse-names" : false, "suffix" : "" }, { "dropping-particle" : "", "family" : "Serrano-Aguilar", "given" : "Pedro", "non-dropping-particle" : "", "parse-names" : false, "suffix" : "" } ], "container-title" : "Value in Health", "id" : "ITEM-1", "issue" : "5", "issued" : { "date-parts" : [ [ "2016", "7" ] ] }, "page" : "558-566", "title" : "On the Estimation of the Cost-Effectiveness Threshold: Why, What, How?", "type" : "article-journal", "volume" : "19" }, "uris" : [ "http://www.mendeley.com/documents/?uuid=b8451cb1-8c07-3586-8934-9d1e2a5115a0" ] } ], "mendeley" : { "formattedCitation" : "(Vallejo-Torres et al. 2016)", "plainTextFormattedCitation" : "(Vallejo-Torres et al. 2016)", "previouslyFormattedCitation" : "(Vallejo-Torres et al. 2016)" }, "properties" : { "noteIndex" : 0 }, "schema" : "https://github.com/citation-style-language/schema/raw/master/csl-citation.json" }</w:instrText>
      </w:r>
      <w:r>
        <w:rPr>
          <w:rFonts w:eastAsiaTheme="minorEastAsia"/>
        </w:rPr>
        <w:fldChar w:fldCharType="separate"/>
      </w:r>
      <w:r w:rsidRPr="0080353E">
        <w:rPr>
          <w:rFonts w:eastAsiaTheme="minorEastAsia"/>
          <w:noProof/>
        </w:rPr>
        <w:t>(Vallejo-Torres et al. 2016)</w:t>
      </w:r>
      <w:r>
        <w:rPr>
          <w:rFonts w:eastAsiaTheme="minorEastAsia"/>
        </w:rPr>
        <w:fldChar w:fldCharType="end"/>
      </w:r>
      <w:r>
        <w:rPr>
          <w:rFonts w:eastAsiaTheme="minorEastAsia"/>
        </w:rPr>
        <w:t xml:space="preserve">.  However, some assessment of the opportunity costs of health expenditure on private consumption or ‘net production’ is also necessary and possible </w:t>
      </w:r>
      <w:r>
        <w:rPr>
          <w:rFonts w:eastAsiaTheme="minorEastAsia"/>
        </w:rPr>
        <w:fldChar w:fldCharType="begin" w:fldLock="1"/>
      </w:r>
      <w:r>
        <w:rPr>
          <w:rFonts w:eastAsiaTheme="minorEastAsia"/>
        </w:rPr>
        <w:instrText>ADDIN CSL_CITATION { "citationItems" : [ { "id" : "ITEM-1", "itemData" : { "DOI" : "10.1002/hec.3130", "ISSN" : "1099-1050", "PMID" : "25488707", "abstract" : "Organisations across diverse health care systems making decisions about the funding of new medical technologies face extensive stakeholder and political pressures. As a consequence, there is quite understandable pressure to take account of other attributes of benefit and to fund technologies, even when the opportunity costs are likely exceed the benefits they offer. Recent evidence suggests that NICE technology appraisal is already approving drugs where more health is likely to be lost than gained. Also, NICE recently proposed increasing the upper bound of the cost-effectiveness threshold to reflect other attributes of benefit but without a proper assessment of the type of benefits that are expected to be displaced. It appears that NICE has taken a direction of travel, which means that more harm than good is being, and will continue to be, done, but it is unidentified NHS patients who bear the real opportunity costs.", "author" : [ { "dropping-particle" : "", "family" : "Claxton", "given" : "Karl", "non-dropping-particle" : "", "parse-names" : false, "suffix" : "" }, { "dropping-particle" : "", "family" : "Sculpher", "given" : "Mark", "non-dropping-particle" : "", "parse-names" : false, "suffix" : "" }, { "dropping-particle" : "", "family" : "Palmer", "given" : "Stephen", "non-dropping-particle" : "", "parse-names" : false, "suffix" : "" }, { "dropping-particle" : "", "family" : "Culyer", "given" : "Anthony J", "non-dropping-particle" : "", "parse-names" : false, "suffix" : "" } ], "container-title" : "Health economics", "id" : "ITEM-1", "issue" : "1", "issued" : { "date-parts" : [ [ "2015", "1" ] ] }, "page" : "1-7", "title" : "Causes for concern: is NICE failing to uphold its responsibilities to all NHS patients?", "type" : "article-journal", "volume" : "24" }, "uris" : [ "http://www.mendeley.com/documents/?uuid=18a7c1ee-47a5-4f0f-bb5f-cc20d230e194" ] } ], "mendeley" : { "formattedCitation" : "(Claxton, Sculpher, et al. 2015)", "plainTextFormattedCitation" : "(Claxton, Sculpher, et al. 2015)", "previouslyFormattedCitation" : "(Claxton, Sculpher, et al. 2015)" }, "properties" : { "noteIndex" : 1 }, "schema" : "https://github.com/citation-style-language/schema/raw/master/csl-citation.json" }</w:instrText>
      </w:r>
      <w:r>
        <w:rPr>
          <w:rFonts w:eastAsiaTheme="minorEastAsia"/>
        </w:rPr>
        <w:fldChar w:fldCharType="separate"/>
      </w:r>
      <w:r w:rsidRPr="004D4974">
        <w:rPr>
          <w:rFonts w:eastAsiaTheme="minorEastAsia"/>
          <w:noProof/>
        </w:rPr>
        <w:t>(Claxton, Sculpher, et al. 2015)</w:t>
      </w:r>
      <w:r>
        <w:rPr>
          <w:rFonts w:eastAsiaTheme="minorEastAsia"/>
        </w:rPr>
        <w:fldChar w:fldCharType="end"/>
      </w:r>
      <w:r>
        <w:rPr>
          <w:rFonts w:eastAsiaTheme="minorEastAsia"/>
        </w:rPr>
        <w:t xml:space="preserve">.  Both are important but are beyond the scope of this paper (for a discussion of decision rules when there are multiple sectoral effects see </w:t>
      </w:r>
      <w:r>
        <w:rPr>
          <w:rFonts w:eastAsiaTheme="minorEastAsia"/>
        </w:rPr>
        <w:fldChar w:fldCharType="begin" w:fldLock="1"/>
      </w:r>
      <w:r>
        <w:rPr>
          <w:rFonts w:eastAsiaTheme="minorEastAsia"/>
        </w:rPr>
        <w:instrText>ADDIN CSL_CITATION { "citationItems" : [ { "id" : "ITEM-1", "itemData" : { "abstract" : "NICE uses cost-effectiveness analysis to compare the health benefits expected to be gained by using a technology with the health that is likely to be forgone due to additional costs falling on the health care budget and displacing other activities that improve health. This approach to informing decisions will be appropriate if the social objective is to improve health, the measure of health is adequate and the budget for health care can reasonably be regarded as fixed. If NICE were to recommend a broader =societal perspective\u2018, wider effects impacting on other areas of the public sector and the wider economy would be formally incorporated into analyses and decisions. The problem for policy is that, in the face of budgets legitimately set by government, it is not clear how or whether a societal perspective can be implemented, particularly if transfers between sectors are not possible. It poses the question of how the trade-offs between health, consumption and other social arguments, as well as the valuation of market and non market activities, ought to be undertaken.", "author" : [ { "dropping-particle" : "", "family" : "Claxton", "given" : "Karl", "non-dropping-particle" : "", "parse-names" : false, "suffix" : "" }, { "dropping-particle" : "", "family" : "Walker", "given" : "Simon", "non-dropping-particle" : "", "parse-names" : false, "suffix" : "" }, { "dropping-particle" : "", "family" : "Palmer", "given" : "Steven", "non-dropping-particle" : "", "parse-names" : false, "suffix" : "" }, { "dropping-particle" : "", "family" : "Sculpher", "given" : "Mark", "non-dropping-particle" : "", "parse-names" : false, "suffix" : "" } ], "genre" : "Working Paper", "id" : "ITEM-1", "issued" : { "date-parts" : [ [ "2010" ] ] }, "number" : "CHE RP 54", "publisher" : "Centre for Health Economics, University of York", "title" : "Appropriate Perspectives for Health Care Decisions", "type" : "report" }, "uris" : [ "http://www.mendeley.com/documents/?uuid=17f73508-a659-473d-a04f-06a482408eaf" ] }, { "id" : "ITEM-2", "itemData" : { "DOI" : "10.1002/hec.1612", "ISSN" : "10579230", "author" : [ { "dropping-particle" : "", "family" : "Claxton", "given" : "Karl", "non-dropping-particle" : "", "parse-names" : false, "suffix" : "" }, { "dropping-particle" : "", "family" : "Paulden", "given" : "Mike", "non-dropping-particle" : "", "parse-names" : false, "suffix" : "" }, { "dropping-particle" : "", "family" : "Gravelle", "given" : "Hugh", "non-dropping-particle" : "", "parse-names" : false, "suffix" : "" }, { "dropping-particle" : "", "family" : "Brouwer", "given" : "Werner", "non-dropping-particle" : "", "parse-names" : false, "suffix" : "" }, { "dropping-particle" : "", "family" : "Culyer", "given" : "Anthony J.", "non-dropping-particle" : "", "parse-names" : false, "suffix" : "" } ], "container-title" : "Health Economics", "id" : "ITEM-2", "issue" : "1", "issued" : { "date-parts" : [ [ "2011", "1" ] ] }, "page" : "2-15", "publisher" : "John Wiley &amp; Sons, Ltd.", "title" : "Discounting and decision making in the economic evaluation of health-care technologies", "type" : "article-journal", "volume" : "20" }, "uris" : [ "http://www.mendeley.com/documents/?uuid=bfd775a0-dd56-3acb-a9dd-b1590aafe0c2" ] }, { "id" : "ITEM-3", "itemData" : { "author" : [ { "dropping-particle" : "", "family" : "Drummond", "given" : "MF", "non-dropping-particle" : "", "parse-names" : false, "suffix" : "" }, { "dropping-particle" : "", "family" : "Sculpher", "given" : "MJ", "non-dropping-particle" : "", "parse-names" : false, "suffix" : "" }, { "dropping-particle" : "", "family" : "Claxton", "given" : "K", "non-dropping-particle" : "", "parse-names" : false, "suffix" : "" }, { "dropping-particle" : "", "family" : "Stoddart", "given" : "GL", "non-dropping-particle" : "", "parse-names" : false, "suffix" : "" }, { "dropping-particle" : "", "family" : "Torrance", "given" : "GW", "non-dropping-particle" : "", "parse-names" : false, "suffix" : "" } ], "id" : "ITEM-3", "issued" : { "date-parts" : [ [ "2015" ] ] }, "title" : "Methods for the Economic Evaluation of Health Care Programmes", "type" : "book" }, "uris" : [ "http://www.mendeley.com/documents/?uuid=9fb3f0ca-bd85-43c9-858f-08dd5ea4f6c1" ] } ], "mendeley" : { "formattedCitation" : "(Claxton et al. 2010; Claxton et al. 2011; Drummond et al. 2015)", "manualFormatting" : "Claxton et al., 2010; Claxton et al., 2011 and Drummond et al. 2015", "plainTextFormattedCitation" : "(Claxton et al. 2010; Claxton et al. 2011; Drummond et al. 2015)", "previouslyFormattedCitation" : "(Claxton et al. 2010; Claxton et al. 2011; Drummond et al. 2015)" }, "properties" : { "noteIndex" : 1 }, "schema" : "https://github.com/citation-style-language/schema/raw/master/csl-citation.json" }</w:instrText>
      </w:r>
      <w:r>
        <w:rPr>
          <w:rFonts w:eastAsiaTheme="minorEastAsia"/>
        </w:rPr>
        <w:fldChar w:fldCharType="separate"/>
      </w:r>
      <w:r>
        <w:rPr>
          <w:rFonts w:eastAsiaTheme="minorEastAsia"/>
          <w:noProof/>
        </w:rPr>
        <w:t>Claxton et al., 2010; Claxton et al., 2011 and</w:t>
      </w:r>
      <w:r w:rsidRPr="001C4482">
        <w:rPr>
          <w:rFonts w:eastAsiaTheme="minorEastAsia"/>
          <w:noProof/>
        </w:rPr>
        <w:t xml:space="preserve"> Drummond et al. 2015</w:t>
      </w:r>
      <w:r>
        <w:rPr>
          <w:rFonts w:eastAsiaTheme="minorEastAsia"/>
        </w:rPr>
        <w:fldChar w:fldCharType="end"/>
      </w:r>
      <w:r>
        <w:rPr>
          <w:rFonts w:eastAsiaTheme="minorEastAsia"/>
        </w:rPr>
        <w:t>.</w:t>
      </w:r>
    </w:p>
  </w:footnote>
  <w:footnote w:id="3">
    <w:p w:rsidR="00A82676" w:rsidRDefault="00A82676" w:rsidP="00A82676">
      <w:pPr>
        <w:pStyle w:val="FootnoteText"/>
      </w:pPr>
      <w:r>
        <w:rPr>
          <w:rStyle w:val="FootnoteReference"/>
        </w:rPr>
        <w:footnoteRef/>
      </w:r>
      <w:r>
        <w:t xml:space="preserve"> A key limitation of this work is that data is collected at the level of the health authority, rather than at the level of the individual. Such data </w:t>
      </w:r>
      <w:proofErr w:type="spellStart"/>
      <w:r>
        <w:t>can not</w:t>
      </w:r>
      <w:proofErr w:type="spellEnd"/>
      <w:r>
        <w:t xml:space="preserve"> be obtained at individual-level, but may be available in other national settings.</w:t>
      </w:r>
    </w:p>
  </w:footnote>
  <w:footnote w:id="4">
    <w:p w:rsidR="00A82676" w:rsidRDefault="00A82676" w:rsidP="00A82676">
      <w:pPr>
        <w:pStyle w:val="FootnoteText"/>
      </w:pPr>
      <w:r>
        <w:rPr>
          <w:rStyle w:val="FootnoteReference"/>
        </w:rPr>
        <w:footnoteRef/>
      </w:r>
      <w:r>
        <w:t xml:space="preserve"> Since the publication of </w:t>
      </w:r>
      <w:r>
        <w:fldChar w:fldCharType="begin" w:fldLock="1"/>
      </w:r>
      <w:r>
        <w:instrText>ADDIN CSL_CITATION { "citationItems" : [ { "id" : "ITEM-1", "itemData" : {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"dropping-particle" : "", "family" : "Karl Claxton KarlClaxton", "given" : "Professor", "non-dropping-particle" : "", "parse-names" : false, "suffix" : "" } ], "id" : "ITEM-1", "issued" : { "date-parts" : [ [ "2013" ] ] }, "title" : "Methods for the Estimation of the NICE Cost Effectiveness Threshold Final Report", "type" : "article-journal" }, "uris" : [ "http://www.mendeley.com/documents/?uuid=8ceffc1d-9ca2-3f64-a90f-e55d5c7f5064" ] } ], "mendeley" : { "formattedCitation" : "(Claxton et al. 2013)", "manualFormatting" : "Claxton et al. (2013)", "plainTextFormattedCitation" : "(Claxton et al. 2013)", "previouslyFormattedCitation" : "(Claxton et al. 2013)" }, "properties" : { "noteIndex" : 0 }, "schema" : "https://github.com/citation-style-language/schema/raw/master/csl-citation.json" }</w:instrText>
      </w:r>
      <w:r>
        <w:fldChar w:fldCharType="separate"/>
      </w:r>
      <w:r w:rsidRPr="007E5098">
        <w:rPr>
          <w:noProof/>
        </w:rPr>
        <w:t xml:space="preserve">Claxton et al. </w:t>
      </w:r>
      <w:r>
        <w:rPr>
          <w:noProof/>
        </w:rPr>
        <w:t>(</w:t>
      </w:r>
      <w:r w:rsidRPr="007E5098">
        <w:rPr>
          <w:noProof/>
        </w:rPr>
        <w:t>2013)</w:t>
      </w:r>
      <w:r>
        <w:fldChar w:fldCharType="end"/>
      </w:r>
      <w:r>
        <w:t xml:space="preserve"> and </w:t>
      </w:r>
      <w:r>
        <w:fldChar w:fldCharType="begin" w:fldLock="1"/>
      </w:r>
      <w: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et al. (2015)", "plainTextFormattedCitation" : "(Claxton, Martin, et al. 2015)", "previouslyFormattedCitation" : "(Claxton, Martin, et al. 2015)" }, "properties" : { "noteIndex" : 0 }, "schema" : "https://github.com/citation-style-language/schema/raw/master/csl-citation.json" }</w:instrText>
      </w:r>
      <w:r>
        <w:fldChar w:fldCharType="separate"/>
      </w:r>
      <w:r w:rsidRPr="007E5098">
        <w:rPr>
          <w:noProof/>
        </w:rPr>
        <w:t xml:space="preserve">Claxton et al. </w:t>
      </w:r>
      <w:r>
        <w:rPr>
          <w:noProof/>
        </w:rPr>
        <w:t>(</w:t>
      </w:r>
      <w:r w:rsidRPr="007E5098">
        <w:rPr>
          <w:noProof/>
        </w:rPr>
        <w:t>2015)</w:t>
      </w:r>
      <w:r>
        <w:fldChar w:fldCharType="end"/>
      </w:r>
      <w:r>
        <w:t>, a number of other articles have been published that discuss the assumptions made in the paper: critical discussion (</w:t>
      </w:r>
      <w:r>
        <w:fldChar w:fldCharType="begin" w:fldLock="1"/>
      </w:r>
      <w:r>
        <w:instrText>ADDIN CSL_CITATION { "citationItems" : [ { "id" : "ITEM-1", "itemData" : { "author" : [ { "dropping-particle" : "", "family" : "Barnsley", "given" : "Paul", "non-dropping-particle" : "", "parse-names" : false, "suffix" : "" }, { "dropping-particle" : "", "family" : "Towse", "given" : "Adrian", "non-dropping-particle" : "", "parse-names" : false, "suffix" : "" }, { "dropping-particle" : "", "family" : "Schaffer", "given" : "Sarah Karlsberg", "non-dropping-particle" : "", "parse-names" : false, "suffix" : "" }, { "dropping-particle" : "", "family" : "Sussex", "given" : "Jon", "non-dropping-particle" : "", "parse-names" : false, "suffix" : "" } ], "id" : "ITEM-1", "issued" : { "date-parts" : [ [ "2013" ] ] }, "title" : "Critique of CHE Research Paper 81: Methods for the Estimation of the NICE Cost Effectiveness Threshold", "type" : "article-journal" }, "uris" : [ "http://www.mendeley.com/documents/?uuid=fbe9c8bc-8b10-380d-bba0-dcb952153c59" ] } ], "mendeley" : { "formattedCitation" : "(Barnsley et al. 2013)", "manualFormatting" : "Barnsley et al., 2013", "plainTextFormattedCitation" : "(Barnsley et al. 2013)", "previouslyFormattedCitation" : "(Barnsley et al. 2013)" }, "properties" : { "noteIndex" : 0 }, "schema" : "https://github.com/citation-style-language/schema/raw/master/csl-citation.json" }</w:instrText>
      </w:r>
      <w:r>
        <w:fldChar w:fldCharType="separate"/>
      </w:r>
      <w:r w:rsidRPr="007E5098">
        <w:rPr>
          <w:noProof/>
        </w:rPr>
        <w:t>Barnsley et al.</w:t>
      </w:r>
      <w:r>
        <w:rPr>
          <w:noProof/>
        </w:rPr>
        <w:t>,</w:t>
      </w:r>
      <w:r w:rsidRPr="007E5098">
        <w:rPr>
          <w:noProof/>
        </w:rPr>
        <w:t xml:space="preserve"> 2013</w:t>
      </w:r>
      <w:r>
        <w:fldChar w:fldCharType="end"/>
      </w:r>
      <w:r>
        <w:t xml:space="preserve"> and </w:t>
      </w:r>
      <w:r>
        <w:fldChar w:fldCharType="begin" w:fldLock="1"/>
      </w:r>
      <w:r>
        <w:instrText>ADDIN CSL_CITATION { "citationItems" : [ { "id" : "ITEM-1", "itemData" : { "DOI" : "10.1007/s40273-014-0158-6", "ISSN" : "1170-7690", "author" : [ { "dropping-particle" : "", "family" : "Raftery", "given" : "J. P.", "non-dropping-particle" : "", "parse-names" : false, "suffix" : "" } ], "container-title" : "PharmacoEconomics", "id" : "ITEM-1", "issue" : "7", "issued" : { "date-parts" : [ [ "2014", "7", "9" ] ] }, "page" : "613-615", "publisher" : "Springer International Publishing", "title" : "NICE\u2019s Cost-Effectiveness Range: Should it be Lowered?", "type" : "article-journal", "volume" : "32" }, "uris" : [ "http://www.mendeley.com/documents/?uuid=259b6a1f-5c0c-32bb-8c2b-039357cf1cca" ] } ], "mendeley" : { "formattedCitation" : "(Raftery 2014)", "manualFormatting" : "Raftery 2014", "plainTextFormattedCitation" : "(Raftery 2014)", "previouslyFormattedCitation" : "(Raftery 2014)" }, "properties" : { "noteIndex" : 0 }, "schema" : "https://github.com/citation-style-language/schema/raw/master/csl-citation.json" }</w:instrText>
      </w:r>
      <w:r>
        <w:fldChar w:fldCharType="separate"/>
      </w:r>
      <w:r w:rsidRPr="00CE3292">
        <w:rPr>
          <w:noProof/>
        </w:rPr>
        <w:t>Raftery 2014</w:t>
      </w:r>
      <w:r>
        <w:fldChar w:fldCharType="end"/>
      </w:r>
      <w:r>
        <w:t>), response to critique (</w:t>
      </w:r>
      <w:r>
        <w:fldChar w:fldCharType="begin" w:fldLock="1"/>
      </w:r>
      <w:r>
        <w:instrText>ADDIN CSL_CITATION { "citationItems" : [ { "id" : "ITEM-1", "itemData" : { "abstract" : "The Office of Health Economics (OHE) published a critique of CHE Research Paper 81 in December 2013 (OHE Occasional paper 13/07). We responded in great detail and considerable length to an earlier draft of this critique in February 2013. The revised OHE critique comments that \" There is much to admire in the approach, detailed analysis, and reporting set out in CHERP81 and we recommend detailed reading of it. \" We welcome this comment and would suggest reading Chapter 5 of CHERP81 and especially Section 5.4, which includes an important summary of key assumptions (Box 5.1 page 82-83), and their qualitative effect (optimistic 1-4, conservative 5-6 or unknown when the effect is an empirical matter that current evidence cannot resolve, 8-10). This Box also provides links to text and footnotes where these assumptions are examined in greater detail elsewhere in the report.", "author" : [ { "dropping-particle" : "", "family" : "Claxton", "given" : "Karl", "non-dropping-particle" : "", "parse-names" : false, "suffix" : "" }, { "dropping-particle" : "", "family" : "Sculpher", "given" : "Mark", "non-dropping-particle" : "", "parse-names" : false, "suffix" : "" } ], "id" : "ITEM-1", "issued" : { "date-parts" : [ [ "0" ] ] }, "title" : "Response to the OHE critique of CHE Research paper 81", "type" : "article-journal" }, "uris" : [ "http://www.mendeley.com/documents/?uuid=b838cb38-7480-3122-b49c-c5cd3d5cd7fe" ] } ], "mendeley" : { "formattedCitation" : "(Claxton &amp; Sculpher n.d.)", "manualFormatting" : "Claxton &amp; Sculpher", "plainTextFormattedCitation" : "(Claxton &amp; Sculpher n.d.)", "previouslyFormattedCitation" : "(Claxton &amp; Sculpher n.d.)" }, "properties" : { "noteIndex" : 0 }, "schema" : "https://github.com/citation-style-language/schema/raw/master/csl-citation.json" }</w:instrText>
      </w:r>
      <w:r>
        <w:fldChar w:fldCharType="separate"/>
      </w:r>
      <w:r w:rsidRPr="00E9098D">
        <w:rPr>
          <w:noProof/>
        </w:rPr>
        <w:t>Claxton &amp; Sculpher</w:t>
      </w:r>
      <w:r>
        <w:fldChar w:fldCharType="end"/>
      </w:r>
      <w:r>
        <w:t>) and additional sensitivity analysis (</w:t>
      </w:r>
      <w:r>
        <w:fldChar w:fldCharType="begin" w:fldLock="1"/>
      </w:r>
      <w:r>
        <w:instrText>ADDIN CSL_CITATION { "citationItems" : [ { "id" : "ITEM-1", "itemData" : { "author" : [ { "dropping-particle" : "", "family" : "Soares", "given" : "Marta", "non-dropping-particle" : "", "parse-names" : false, "suffix" : "" }, { "dropping-particle" : "", "family" : "Claxton", "given" : "Karl", "non-dropping-particle" : "", "parse-names" : false, "suffix" : "" } ], "container-title" : "UK Health Economics Study Group Meeting, Manchester", "id" : "ITEM-1", "issued" : { "date-parts" : [ [ "2016" ] ] }, "title" : "Implications of uncertainty for assessing expected health opportunity costs", "type" : "paper-conference" }, "uris" : [ "http://www.mendeley.com/documents/?uuid=4798db50-bbd7-42aa-a0dc-41d778cb94cb" ] } ], "mendeley" : { "formattedCitation" : "(Soares &amp; Claxton 2016)", "manualFormatting" : "Soares &amp; Claxton 2016", "plainTextFormattedCitation" : "(Soares &amp; Claxton 2016)", "previouslyFormattedCitation" : "(Soares &amp; Claxton 2016)" }, "properties" : { "noteIndex" : 0 }, "schema" : "https://github.com/citation-style-language/schema/raw/master/csl-citation.json" }</w:instrText>
      </w:r>
      <w:r>
        <w:fldChar w:fldCharType="separate"/>
      </w:r>
      <w:r w:rsidRPr="00CE3292">
        <w:rPr>
          <w:noProof/>
        </w:rPr>
        <w:t>Soares &amp; Claxton 2016</w:t>
      </w:r>
      <w:r>
        <w:fldChar w:fldCharType="end"/>
      </w:r>
      <w:r>
        <w:t>).</w:t>
      </w:r>
    </w:p>
  </w:footnote>
  <w:footnote w:id="5">
    <w:p w:rsidR="00A82676" w:rsidRDefault="00A82676" w:rsidP="00A82676">
      <w:pPr>
        <w:pStyle w:val="FootnoteText"/>
      </w:pPr>
      <w:r>
        <w:rPr>
          <w:rStyle w:val="FootnoteReference"/>
        </w:rPr>
        <w:footnoteRef/>
      </w:r>
      <w:r>
        <w:t xml:space="preserve"> Large in this context should be judged relative to total expenditure and the significance of the scale of the budget impact depends upon the resulting health opportunity cost.</w:t>
      </w:r>
    </w:p>
  </w:footnote>
  <w:footnote w:id="6">
    <w:p w:rsidR="00A82676" w:rsidRDefault="00A82676" w:rsidP="00A82676">
      <w:pPr>
        <w:pStyle w:val="FootnoteText"/>
      </w:pPr>
      <w:r>
        <w:rPr>
          <w:rStyle w:val="FootnoteReference"/>
        </w:rPr>
        <w:footnoteRef/>
      </w:r>
      <w:r>
        <w:t xml:space="preserve"> </w:t>
      </w:r>
      <w:proofErr w:type="gramStart"/>
      <w:r>
        <w:t>Cancer, circulatory disease, respiratory problems and gastrointestinal problems.</w:t>
      </w:r>
      <w:proofErr w:type="gramEnd"/>
    </w:p>
  </w:footnote>
  <w:footnote w:id="7">
    <w:p w:rsidR="00A82676" w:rsidRDefault="00A82676" w:rsidP="00A82676">
      <w:pPr>
        <w:pStyle w:val="FootnoteText"/>
      </w:pPr>
      <w:r>
        <w:rPr>
          <w:rStyle w:val="FootnoteReference"/>
        </w:rPr>
        <w:footnoteRef/>
      </w:r>
      <w:r>
        <w:t xml:space="preserve"> Elasticities are directly estimated since variables are log-transformed prior to estimation of regression models. This specification is consistent with a conceptual model where the health production function follows the Cobb-Douglas form.</w:t>
      </w:r>
    </w:p>
  </w:footnote>
  <w:footnote w:id="8">
    <w:p w:rsidR="00A82676" w:rsidRDefault="00A82676" w:rsidP="00A82676">
      <w:pPr>
        <w:pStyle w:val="FootnoteText"/>
      </w:pPr>
      <w:r>
        <w:rPr>
          <w:rStyle w:val="FootnoteReference"/>
        </w:rPr>
        <w:footnoteRef/>
      </w:r>
      <w:r>
        <w:t xml:space="preserve"> The PCT sub-group variable takes a </w:t>
      </w:r>
      <w:r w:rsidRPr="001931A0">
        <w:t>value</w:t>
      </w:r>
      <w:r>
        <w:t xml:space="preserve"> of</w:t>
      </w:r>
      <w:r w:rsidRPr="001931A0">
        <w:t xml:space="preserve"> 0 assigned if under-target PCT and 1 if over-target PCT, </w:t>
      </w:r>
      <w:r>
        <w:t xml:space="preserve">while </w:t>
      </w:r>
      <w:r w:rsidRPr="001931A0">
        <w:t>on-ta</w:t>
      </w:r>
      <w:r>
        <w:t>rget PCTs are dropped from analysis.</w:t>
      </w:r>
    </w:p>
  </w:footnote>
  <w:footnote w:id="9">
    <w:p w:rsidR="00A82676" w:rsidRDefault="00A82676" w:rsidP="00A82676">
      <w:pPr>
        <w:pStyle w:val="FootnoteText"/>
      </w:pPr>
      <w:r>
        <w:rPr>
          <w:rStyle w:val="FootnoteReference"/>
        </w:rPr>
        <w:footnoteRef/>
      </w:r>
      <w:r>
        <w:t xml:space="preserve"> This approach follows what is done in the exploratory work on this issue within </w:t>
      </w:r>
      <w:r>
        <w:fldChar w:fldCharType="begin" w:fldLock="1"/>
      </w:r>
      <w:r>
        <w:instrText>ADDIN CSL_CITATION { "citationItems" : [ { "id" : "ITEM-1", "itemData" : { "DOI" : "10.3310/hta19140", "ISSN" : "2046-4924", "PMID" : "25692211",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\u00a312,936 per QALY (2008 expenditure, 2008-10 mortality). Uncertainty analysis indicates that the probability that the threshold is &lt;\u2009\u00a320,000 per QALY is 0.89 and the probability that it is &lt;\u2009\u00a330,000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impos\u2026", "author" : [ { "dropping-particle" : "", "family" : "Claxton", "given" : "Karl", "non-dropping-particle" : "", "parse-names" : false, "suffix" : "" }, { "dropping-particle" : "", "family" : "Martin", "given" : "Steve", "non-dropping-particle" : "", "parse-names" : false, "suffix" : "" }, { "dropping-particle" : "", "family" : "Soares", "given" : "Marta", "non-dropping-particle" : "", "parse-names" : false, "suffix" : "" }, { "dropping-particle" : "", "family" : "Rice", "given" : "Nigel", "non-dropping-particle" : "", "parse-names" : false, "suffix" : "" }, { "dropping-particle" : "", "family" : "Spackman", "given" : "Eldon", "non-dropping-particle" : "", "parse-names" : false, "suffix" : "" }, { "dropping-particle" : "", "family" : "Hinde", "given" : "Sebastian", "non-dropping-particle" : "", "parse-names" : false, "suffix" : "" }, { "dropping-particle" : "", "family" : "Devlin", "given" : "Nancy", "non-dropping-particle" : "", "parse-names" : false, "suffix" : "" }, { "dropping-particle" : "", "family" : "Smith", "given" : "Peter C", "non-dropping-particle" : "", "parse-names" : false, "suffix" : "" }, { "dropping-particle" : "", "family" : "Sculpher", "given" : "Mark", "non-dropping-particle" : "", "parse-names" : false, "suffix" : "" } ], "container-title" : "Health technology assessment (Winchester, England)", "id" : "ITEM-1", "issued" : { "date-parts" : [ [ "2015" ] ] }, "title" : "Methods for the estimation of the National Institute for Health and Care Excellence cost-effectiveness threshold.", "type" : "article-journal" }, "uris" : [ "http://www.mendeley.com/documents/?uuid=f50897fe-cb16-44b1-a777-9929195db4cb" ] } ], "mendeley" : { "formattedCitation" : "(Claxton, Martin, et al. 2015)", "manualFormatting" : "Claxton, Martin, et al. (2015)", "plainTextFormattedCitation" : "(Claxton, Martin, et al. 2015)", "previouslyFormattedCitation" : "(Claxton, Martin, et al. 2015)" }, "properties" : { "noteIndex" : 0 }, "schema" : "https://github.com/citation-style-language/schema/raw/master/csl-citation.json" }</w:instrText>
      </w:r>
      <w:r>
        <w:fldChar w:fldCharType="separate"/>
      </w:r>
      <w:r w:rsidRPr="00D0441E">
        <w:rPr>
          <w:noProof/>
        </w:rPr>
        <w:t xml:space="preserve">Claxton, Martin, et al. </w:t>
      </w:r>
      <w:r>
        <w:rPr>
          <w:noProof/>
        </w:rPr>
        <w:t>(</w:t>
      </w:r>
      <w:r w:rsidRPr="00D0441E">
        <w:rPr>
          <w:noProof/>
        </w:rPr>
        <w:t>2015)</w:t>
      </w:r>
      <w:r>
        <w:fldChar w:fldCharType="end"/>
      </w:r>
      <w:r>
        <w:t>.</w:t>
      </w:r>
    </w:p>
  </w:footnote>
  <w:footnote w:id="10">
    <w:p w:rsidR="00A84C24" w:rsidRDefault="00A84C24" w:rsidP="00A84C24">
      <w:pPr>
        <w:pStyle w:val="FootnoteText"/>
      </w:pPr>
      <w:r>
        <w:rPr>
          <w:rStyle w:val="FootnoteReference"/>
        </w:rPr>
        <w:footnoteRef/>
      </w:r>
      <w:r>
        <w:t xml:space="preserve"> Of 19 estimated PBC productivities, PBC 2 is the 9th most productive and PBC 21 is the 18th most productive.</w:t>
      </w:r>
    </w:p>
  </w:footnote>
  <w:footnote w:id="11">
    <w:p w:rsidR="00A84C24" w:rsidRDefault="00A84C24" w:rsidP="00A84C24">
      <w:pPr>
        <w:pStyle w:val="FootnoteText"/>
      </w:pPr>
      <w:r>
        <w:rPr>
          <w:rStyle w:val="FootnoteReference"/>
        </w:rPr>
        <w:footnoteRef/>
      </w:r>
      <w:r>
        <w:t xml:space="preserve"> Of 19 estimated PBC productivities, PBC 5 is the 10th most productive and PBC 9 is the 4th most productive.</w:t>
      </w:r>
    </w:p>
  </w:footnote>
  <w:footnote w:id="12">
    <w:p w:rsidR="00A82676" w:rsidRDefault="00A82676" w:rsidP="00A82676">
      <w:pPr>
        <w:pStyle w:val="FootnoteText"/>
      </w:pPr>
      <w:r>
        <w:rPr>
          <w:rStyle w:val="FootnoteReference"/>
        </w:rPr>
        <w:footnoteRef/>
      </w:r>
      <w:r>
        <w:t xml:space="preserve"> That marginal productivity is linear in expenditure would imply a quadratic health production function, note that in the econometric analysis the log of mortality is modelled as a linear function of the log of expenditure based on a Cobb-Douglas health production function.</w:t>
      </w:r>
    </w:p>
  </w:footnote>
  <w:footnote w:id="13">
    <w:p w:rsidR="00A82676" w:rsidRDefault="00A82676" w:rsidP="00A82676">
      <w:pPr>
        <w:pStyle w:val="FootnoteText"/>
      </w:pPr>
      <w:r>
        <w:rPr>
          <w:rStyle w:val="FootnoteReference"/>
        </w:rPr>
        <w:footnoteRef/>
      </w:r>
      <w:r>
        <w:t xml:space="preserve">A related idea is discussed in </w:t>
      </w:r>
      <w:r>
        <w:fldChar w:fldCharType="begin" w:fldLock="1"/>
      </w:r>
      <w:r>
        <w:instrText>ADDIN CSL_CITATION { "citationItems" : [ { "id" : "ITEM-1", "itemData" : { "DOI" : "10.1126/scitranslmed.aad6913", "ISSN" : "1946-6234", "PMID" : "26912902", "abstract" : "A crisis is building over the prices of new transformative therapies for cancer, hepatitis C virus infection, and rare diseases. The clinical imperative is to offer these therapies as broadly and rapidly as possible. We propose a practical way to increase drug affordability through health care loans (HCLs)-the equivalent of mortgages for large health care expenses. HCLs allow patients in both multipayer and single-payer markets to access a broader set of therapeutics, including expensive short-duration treatments that are curative. HCLs also link payment to clinical benefit and should help lower per-patient cost while incentivizing the development of transformative therapies rather than those that offer small incremental advances. Moreover, we propose the use of securitization-a well-known financial engineering method-to finance a large diversified pool of HCLs through both debt and equity. Numerical simulations suggest that securitization is viable for a wide range of economic environments and cost parameters, allowing a much broader patient population to access transformative therapies while also aligning the interests of patients, payers, and the pharmaceutical industry.", "author" : [ { "dropping-particle" : "", "family" : "Montazerhodjat", "given" : "V.", "non-dropping-particle" : "", "parse-names" : false, "suffix" : "" }, { "dropping-particle" : "", "family" : "Weinstock", "given" : "D. M.", "non-dropping-particle" : "", "parse-names" : false, "suffix" : "" }, { "dropping-particle" : "", "family" : "Lo", "given" : "A. W.", "non-dropping-particle" : "", "parse-names" : false, "suffix" : "" } ], "container-title" : "Science Translational Medicine", "id" : "ITEM-1", "issue" : "327", "issued" : { "date-parts" : [ [ "2016", "2", "24" ] ] }, "page" : "327ps6-327ps6", "title" : "Buying cures versus renting health: Financing health care with consumer loans", "type" : "article-journal", "volume" : "8" }, "uris" : [ "http://www.mendeley.com/documents/?uuid=1411b4c1-17ba-37e9-b014-c9d6233d6e7e" ] } ], "mendeley" : { "formattedCitation" : "(Montazerhodjat et al. 2016)", "manualFormatting" : "Montazerhodjat et al. (2016)", "plainTextFormattedCitation" : "(Montazerhodjat et al. 2016)", "previouslyFormattedCitation" : "(Montazerhodjat et al. 2016)" }, "properties" : { "noteIndex" : 0 }, "schema" : "https://github.com/citation-style-language/schema/raw/master/csl-citation.json" }</w:instrText>
      </w:r>
      <w:r>
        <w:fldChar w:fldCharType="separate"/>
      </w:r>
      <w:r w:rsidRPr="004A05A8">
        <w:rPr>
          <w:noProof/>
        </w:rPr>
        <w:t xml:space="preserve">Montazerhodjat et al. </w:t>
      </w:r>
      <w:r>
        <w:rPr>
          <w:noProof/>
        </w:rPr>
        <w:t>(</w:t>
      </w:r>
      <w:r w:rsidRPr="004A05A8">
        <w:rPr>
          <w:noProof/>
        </w:rPr>
        <w:t>2016)</w:t>
      </w:r>
      <w:r>
        <w:fldChar w:fldCharType="end"/>
      </w:r>
      <w:r>
        <w:t xml:space="preserve"> where the decision-making unit of interest is the individual and not the social decision maker, which is the focus here.</w:t>
      </w:r>
    </w:p>
  </w:footnote>
  <w:footnote w:id="14">
    <w:p w:rsidR="00A82676" w:rsidRDefault="00A82676" w:rsidP="00A82676">
      <w:pPr>
        <w:pStyle w:val="FootnoteText"/>
      </w:pPr>
      <w:r>
        <w:rPr>
          <w:rStyle w:val="FootnoteReference"/>
        </w:rPr>
        <w:footnoteRef/>
      </w:r>
      <w:r>
        <w:t xml:space="preserve">It is worth acknowledging that the most appropriate discount rate for this kind of appraisal is disputed, see for instance </w:t>
      </w:r>
      <w:r>
        <w:fldChar w:fldCharType="begin" w:fldLock="1"/>
      </w:r>
      <w:r>
        <w:instrText>ADDIN CSL_CITATION { "citationItems" : [ { "id" : "ITEM-1", "itemData" : { "DOI" : "10.1002/hec.1730", "ISSN" : "10579230", "PMID" : "21438069", "abstract" : "Appropriate decisions based on cost-effectiveness evaluations of health-care technologies depend upon the cost-effectiveness threshold and its rate of growth as well as some social rate of time preference for health. A more traditional approach to this problem is outlined before a social decision-making approach is developed, which demonstrates that social time preference for health is revealed through the budget allocations made by a socially legitimate higher authority. The relationship between the social time preference rate for health, the growth rate of the cost-effectiveness threshold and the rate at which the higher authority can borrow or invest is then examined. We establish that the social time preference rate for health is implied by the budget allocation and the health production functions in each period. As such, the social time preference rate for health depends not on the social time preference rate for consumption or growth in the consumption value of health but on growth in the cost-effectiveness threshold and the rate at which the higher authority can save or borrow between periods. The implications for discounting and the policies of bodies such as NICE are then discussed.", "author" : [ { "dropping-particle" : "", "family" : "Paulden", "given" : "Mike", "non-dropping-particle" : "", "parse-names" : false, "suffix" : "" }, { "dropping-particle" : "", "family" : "Claxton", "given" : "Karl", "non-dropping-particle" : "", "parse-names" : false, "suffix" : "" } ], "container-title" : "Health Economics", "id" : "ITEM-1", "issue" : "5", "issued" : { "date-parts" : [ [ "2012", "5" ] ] }, "page" : "612-618", "title" : "Budget allocation and the revealed social rate of time preference for health", "type" : "article-journal", "volume" : "21" }, "uris" : [ "http://www.mendeley.com/documents/?uuid=162d6573-b258-3b2e-b36f-71b0b5c799e5" ] } ], "mendeley" : { "formattedCitation" : "(Paulden &amp; Claxton 2012)", "manualFormatting" : "Paulden &amp; Claxton (2012)", "plainTextFormattedCitation" : "(Paulden &amp; Claxton 2012)", "previouslyFormattedCitation" : "(Paulden &amp; Claxton 2012)" }, "properties" : { "noteIndex" : 0 }, "schema" : "https://github.com/citation-style-language/schema/raw/master/csl-citation.json" }</w:instrText>
      </w:r>
      <w:r>
        <w:fldChar w:fldCharType="separate"/>
      </w:r>
      <w:r w:rsidRPr="004A05A8">
        <w:rPr>
          <w:noProof/>
        </w:rPr>
        <w:t xml:space="preserve">Paulden &amp; Claxton </w:t>
      </w:r>
      <w:r>
        <w:rPr>
          <w:noProof/>
        </w:rPr>
        <w:t>(</w:t>
      </w:r>
      <w:r w:rsidRPr="004A05A8">
        <w:rPr>
          <w:noProof/>
        </w:rPr>
        <w:t>2012)</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82C"/>
    <w:multiLevelType w:val="hybridMultilevel"/>
    <w:tmpl w:val="FDD80736"/>
    <w:lvl w:ilvl="0" w:tplc="F87678C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3520EE"/>
    <w:multiLevelType w:val="hybridMultilevel"/>
    <w:tmpl w:val="0B90E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BD09ED"/>
    <w:multiLevelType w:val="hybridMultilevel"/>
    <w:tmpl w:val="17F6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DB1189"/>
    <w:multiLevelType w:val="hybridMultilevel"/>
    <w:tmpl w:val="099E6FAA"/>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F5377D"/>
    <w:multiLevelType w:val="hybridMultilevel"/>
    <w:tmpl w:val="099E6FAA"/>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907ED7"/>
    <w:multiLevelType w:val="multilevel"/>
    <w:tmpl w:val="0D2A5E42"/>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553923E1"/>
    <w:multiLevelType w:val="hybridMultilevel"/>
    <w:tmpl w:val="D3702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936B0E"/>
    <w:multiLevelType w:val="multilevel"/>
    <w:tmpl w:val="3EDCCDE6"/>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5443511"/>
    <w:multiLevelType w:val="multilevel"/>
    <w:tmpl w:val="3EDCCDE6"/>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3781B02"/>
    <w:multiLevelType w:val="hybridMultilevel"/>
    <w:tmpl w:val="271A9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4"/>
  </w:num>
  <w:num w:numId="5">
    <w:abstractNumId w:val="1"/>
  </w:num>
  <w:num w:numId="6">
    <w:abstractNumId w:val="0"/>
  </w:num>
  <w:num w:numId="7">
    <w:abstractNumId w:val="5"/>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83"/>
    <w:rsid w:val="00023C0F"/>
    <w:rsid w:val="002E71B8"/>
    <w:rsid w:val="00597ED8"/>
    <w:rsid w:val="00665747"/>
    <w:rsid w:val="006F5005"/>
    <w:rsid w:val="00815983"/>
    <w:rsid w:val="0090769D"/>
    <w:rsid w:val="009A00D5"/>
    <w:rsid w:val="00A82676"/>
    <w:rsid w:val="00A84C24"/>
    <w:rsid w:val="00AA6247"/>
    <w:rsid w:val="00B67890"/>
    <w:rsid w:val="00E3718E"/>
    <w:rsid w:val="00E75137"/>
    <w:rsid w:val="00EA0AAC"/>
    <w:rsid w:val="00F2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83"/>
    <w:pPr>
      <w:spacing w:after="200" w:line="276" w:lineRule="auto"/>
    </w:pPr>
  </w:style>
  <w:style w:type="paragraph" w:styleId="Heading1">
    <w:name w:val="heading 1"/>
    <w:basedOn w:val="Normal"/>
    <w:next w:val="Normal"/>
    <w:link w:val="Heading1Char"/>
    <w:uiPriority w:val="9"/>
    <w:qFormat/>
    <w:rsid w:val="00A826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751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8267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8267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13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E75137"/>
    <w:pPr>
      <w:ind w:left="720"/>
      <w:contextualSpacing/>
    </w:pPr>
  </w:style>
  <w:style w:type="character" w:customStyle="1" w:styleId="Heading1Char">
    <w:name w:val="Heading 1 Char"/>
    <w:basedOn w:val="DefaultParagraphFont"/>
    <w:link w:val="Heading1"/>
    <w:uiPriority w:val="9"/>
    <w:rsid w:val="00A82676"/>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A8267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A82676"/>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A82676"/>
    <w:rPr>
      <w:color w:val="0563C1" w:themeColor="hyperlink"/>
      <w:u w:val="single"/>
    </w:rPr>
  </w:style>
  <w:style w:type="paragraph" w:styleId="TOCHeading">
    <w:name w:val="TOC Heading"/>
    <w:basedOn w:val="Heading1"/>
    <w:next w:val="Normal"/>
    <w:uiPriority w:val="39"/>
    <w:semiHidden/>
    <w:unhideWhenUsed/>
    <w:qFormat/>
    <w:rsid w:val="00A82676"/>
    <w:pPr>
      <w:outlineLvl w:val="9"/>
    </w:pPr>
    <w:rPr>
      <w:lang w:val="en-US" w:eastAsia="ja-JP"/>
    </w:rPr>
  </w:style>
  <w:style w:type="paragraph" w:styleId="TOC1">
    <w:name w:val="toc 1"/>
    <w:basedOn w:val="Normal"/>
    <w:next w:val="Normal"/>
    <w:autoRedefine/>
    <w:uiPriority w:val="39"/>
    <w:unhideWhenUsed/>
    <w:rsid w:val="00A82676"/>
    <w:pPr>
      <w:spacing w:after="100"/>
    </w:pPr>
  </w:style>
  <w:style w:type="paragraph" w:styleId="TOC2">
    <w:name w:val="toc 2"/>
    <w:basedOn w:val="Normal"/>
    <w:next w:val="Normal"/>
    <w:autoRedefine/>
    <w:uiPriority w:val="39"/>
    <w:unhideWhenUsed/>
    <w:rsid w:val="00A82676"/>
    <w:pPr>
      <w:spacing w:after="100"/>
      <w:ind w:left="220"/>
    </w:pPr>
  </w:style>
  <w:style w:type="paragraph" w:styleId="BalloonText">
    <w:name w:val="Balloon Text"/>
    <w:basedOn w:val="Normal"/>
    <w:link w:val="BalloonTextChar"/>
    <w:uiPriority w:val="99"/>
    <w:semiHidden/>
    <w:unhideWhenUsed/>
    <w:rsid w:val="00A82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676"/>
    <w:rPr>
      <w:rFonts w:ascii="Tahoma" w:hAnsi="Tahoma" w:cs="Tahoma"/>
      <w:sz w:val="16"/>
      <w:szCs w:val="16"/>
    </w:rPr>
  </w:style>
  <w:style w:type="character" w:styleId="PlaceholderText">
    <w:name w:val="Placeholder Text"/>
    <w:basedOn w:val="DefaultParagraphFont"/>
    <w:uiPriority w:val="99"/>
    <w:semiHidden/>
    <w:rsid w:val="00A82676"/>
    <w:rPr>
      <w:color w:val="808080"/>
    </w:rPr>
  </w:style>
  <w:style w:type="character" w:styleId="CommentReference">
    <w:name w:val="annotation reference"/>
    <w:basedOn w:val="DefaultParagraphFont"/>
    <w:uiPriority w:val="99"/>
    <w:semiHidden/>
    <w:unhideWhenUsed/>
    <w:rsid w:val="00A82676"/>
    <w:rPr>
      <w:sz w:val="16"/>
      <w:szCs w:val="16"/>
    </w:rPr>
  </w:style>
  <w:style w:type="paragraph" w:styleId="CommentText">
    <w:name w:val="annotation text"/>
    <w:basedOn w:val="Normal"/>
    <w:link w:val="CommentTextChar"/>
    <w:uiPriority w:val="99"/>
    <w:unhideWhenUsed/>
    <w:rsid w:val="00A82676"/>
    <w:pPr>
      <w:spacing w:line="240" w:lineRule="auto"/>
    </w:pPr>
    <w:rPr>
      <w:sz w:val="20"/>
      <w:szCs w:val="20"/>
    </w:rPr>
  </w:style>
  <w:style w:type="character" w:customStyle="1" w:styleId="CommentTextChar">
    <w:name w:val="Comment Text Char"/>
    <w:basedOn w:val="DefaultParagraphFont"/>
    <w:link w:val="CommentText"/>
    <w:uiPriority w:val="99"/>
    <w:rsid w:val="00A82676"/>
    <w:rPr>
      <w:sz w:val="20"/>
      <w:szCs w:val="20"/>
    </w:rPr>
  </w:style>
  <w:style w:type="paragraph" w:styleId="CommentSubject">
    <w:name w:val="annotation subject"/>
    <w:basedOn w:val="CommentText"/>
    <w:next w:val="CommentText"/>
    <w:link w:val="CommentSubjectChar"/>
    <w:uiPriority w:val="99"/>
    <w:semiHidden/>
    <w:unhideWhenUsed/>
    <w:rsid w:val="00A82676"/>
    <w:rPr>
      <w:b/>
      <w:bCs/>
    </w:rPr>
  </w:style>
  <w:style w:type="character" w:customStyle="1" w:styleId="CommentSubjectChar">
    <w:name w:val="Comment Subject Char"/>
    <w:basedOn w:val="CommentTextChar"/>
    <w:link w:val="CommentSubject"/>
    <w:uiPriority w:val="99"/>
    <w:semiHidden/>
    <w:rsid w:val="00A82676"/>
    <w:rPr>
      <w:b/>
      <w:bCs/>
      <w:sz w:val="20"/>
      <w:szCs w:val="20"/>
    </w:rPr>
  </w:style>
  <w:style w:type="paragraph" w:styleId="FootnoteText">
    <w:name w:val="footnote text"/>
    <w:basedOn w:val="Normal"/>
    <w:link w:val="FootnoteTextChar"/>
    <w:uiPriority w:val="99"/>
    <w:semiHidden/>
    <w:unhideWhenUsed/>
    <w:rsid w:val="00A82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676"/>
    <w:rPr>
      <w:sz w:val="20"/>
      <w:szCs w:val="20"/>
    </w:rPr>
  </w:style>
  <w:style w:type="character" w:styleId="FootnoteReference">
    <w:name w:val="footnote reference"/>
    <w:basedOn w:val="DefaultParagraphFont"/>
    <w:uiPriority w:val="99"/>
    <w:semiHidden/>
    <w:unhideWhenUsed/>
    <w:rsid w:val="00A82676"/>
    <w:rPr>
      <w:vertAlign w:val="superscript"/>
    </w:rPr>
  </w:style>
  <w:style w:type="paragraph" w:styleId="Caption">
    <w:name w:val="caption"/>
    <w:basedOn w:val="Normal"/>
    <w:next w:val="Normal"/>
    <w:uiPriority w:val="35"/>
    <w:unhideWhenUsed/>
    <w:qFormat/>
    <w:rsid w:val="00A82676"/>
    <w:pPr>
      <w:spacing w:line="240" w:lineRule="auto"/>
    </w:pPr>
    <w:rPr>
      <w:b/>
      <w:bCs/>
      <w:color w:val="5B9BD5" w:themeColor="accent1"/>
      <w:sz w:val="18"/>
      <w:szCs w:val="18"/>
    </w:rPr>
  </w:style>
  <w:style w:type="table" w:styleId="TableGrid">
    <w:name w:val="Table Grid"/>
    <w:basedOn w:val="TableNormal"/>
    <w:uiPriority w:val="59"/>
    <w:rsid w:val="00A8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676"/>
    <w:pPr>
      <w:spacing w:after="100"/>
      <w:ind w:left="440"/>
    </w:pPr>
  </w:style>
  <w:style w:type="paragraph" w:styleId="Header">
    <w:name w:val="header"/>
    <w:basedOn w:val="Normal"/>
    <w:link w:val="HeaderChar"/>
    <w:uiPriority w:val="99"/>
    <w:unhideWhenUsed/>
    <w:rsid w:val="00A82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676"/>
  </w:style>
  <w:style w:type="paragraph" w:styleId="Footer">
    <w:name w:val="footer"/>
    <w:basedOn w:val="Normal"/>
    <w:link w:val="FooterChar"/>
    <w:uiPriority w:val="99"/>
    <w:unhideWhenUsed/>
    <w:rsid w:val="00A82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676"/>
  </w:style>
  <w:style w:type="paragraph" w:styleId="Revision">
    <w:name w:val="Revision"/>
    <w:hidden/>
    <w:uiPriority w:val="99"/>
    <w:semiHidden/>
    <w:rsid w:val="00A826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83"/>
    <w:pPr>
      <w:spacing w:after="200" w:line="276" w:lineRule="auto"/>
    </w:pPr>
  </w:style>
  <w:style w:type="paragraph" w:styleId="Heading1">
    <w:name w:val="heading 1"/>
    <w:basedOn w:val="Normal"/>
    <w:next w:val="Normal"/>
    <w:link w:val="Heading1Char"/>
    <w:uiPriority w:val="9"/>
    <w:qFormat/>
    <w:rsid w:val="00A826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751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8267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8267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13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E75137"/>
    <w:pPr>
      <w:ind w:left="720"/>
      <w:contextualSpacing/>
    </w:pPr>
  </w:style>
  <w:style w:type="character" w:customStyle="1" w:styleId="Heading1Char">
    <w:name w:val="Heading 1 Char"/>
    <w:basedOn w:val="DefaultParagraphFont"/>
    <w:link w:val="Heading1"/>
    <w:uiPriority w:val="9"/>
    <w:rsid w:val="00A82676"/>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A8267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A82676"/>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A82676"/>
    <w:rPr>
      <w:color w:val="0563C1" w:themeColor="hyperlink"/>
      <w:u w:val="single"/>
    </w:rPr>
  </w:style>
  <w:style w:type="paragraph" w:styleId="TOCHeading">
    <w:name w:val="TOC Heading"/>
    <w:basedOn w:val="Heading1"/>
    <w:next w:val="Normal"/>
    <w:uiPriority w:val="39"/>
    <w:semiHidden/>
    <w:unhideWhenUsed/>
    <w:qFormat/>
    <w:rsid w:val="00A82676"/>
    <w:pPr>
      <w:outlineLvl w:val="9"/>
    </w:pPr>
    <w:rPr>
      <w:lang w:val="en-US" w:eastAsia="ja-JP"/>
    </w:rPr>
  </w:style>
  <w:style w:type="paragraph" w:styleId="TOC1">
    <w:name w:val="toc 1"/>
    <w:basedOn w:val="Normal"/>
    <w:next w:val="Normal"/>
    <w:autoRedefine/>
    <w:uiPriority w:val="39"/>
    <w:unhideWhenUsed/>
    <w:rsid w:val="00A82676"/>
    <w:pPr>
      <w:spacing w:after="100"/>
    </w:pPr>
  </w:style>
  <w:style w:type="paragraph" w:styleId="TOC2">
    <w:name w:val="toc 2"/>
    <w:basedOn w:val="Normal"/>
    <w:next w:val="Normal"/>
    <w:autoRedefine/>
    <w:uiPriority w:val="39"/>
    <w:unhideWhenUsed/>
    <w:rsid w:val="00A82676"/>
    <w:pPr>
      <w:spacing w:after="100"/>
      <w:ind w:left="220"/>
    </w:pPr>
  </w:style>
  <w:style w:type="paragraph" w:styleId="BalloonText">
    <w:name w:val="Balloon Text"/>
    <w:basedOn w:val="Normal"/>
    <w:link w:val="BalloonTextChar"/>
    <w:uiPriority w:val="99"/>
    <w:semiHidden/>
    <w:unhideWhenUsed/>
    <w:rsid w:val="00A82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676"/>
    <w:rPr>
      <w:rFonts w:ascii="Tahoma" w:hAnsi="Tahoma" w:cs="Tahoma"/>
      <w:sz w:val="16"/>
      <w:szCs w:val="16"/>
    </w:rPr>
  </w:style>
  <w:style w:type="character" w:styleId="PlaceholderText">
    <w:name w:val="Placeholder Text"/>
    <w:basedOn w:val="DefaultParagraphFont"/>
    <w:uiPriority w:val="99"/>
    <w:semiHidden/>
    <w:rsid w:val="00A82676"/>
    <w:rPr>
      <w:color w:val="808080"/>
    </w:rPr>
  </w:style>
  <w:style w:type="character" w:styleId="CommentReference">
    <w:name w:val="annotation reference"/>
    <w:basedOn w:val="DefaultParagraphFont"/>
    <w:uiPriority w:val="99"/>
    <w:semiHidden/>
    <w:unhideWhenUsed/>
    <w:rsid w:val="00A82676"/>
    <w:rPr>
      <w:sz w:val="16"/>
      <w:szCs w:val="16"/>
    </w:rPr>
  </w:style>
  <w:style w:type="paragraph" w:styleId="CommentText">
    <w:name w:val="annotation text"/>
    <w:basedOn w:val="Normal"/>
    <w:link w:val="CommentTextChar"/>
    <w:uiPriority w:val="99"/>
    <w:unhideWhenUsed/>
    <w:rsid w:val="00A82676"/>
    <w:pPr>
      <w:spacing w:line="240" w:lineRule="auto"/>
    </w:pPr>
    <w:rPr>
      <w:sz w:val="20"/>
      <w:szCs w:val="20"/>
    </w:rPr>
  </w:style>
  <w:style w:type="character" w:customStyle="1" w:styleId="CommentTextChar">
    <w:name w:val="Comment Text Char"/>
    <w:basedOn w:val="DefaultParagraphFont"/>
    <w:link w:val="CommentText"/>
    <w:uiPriority w:val="99"/>
    <w:rsid w:val="00A82676"/>
    <w:rPr>
      <w:sz w:val="20"/>
      <w:szCs w:val="20"/>
    </w:rPr>
  </w:style>
  <w:style w:type="paragraph" w:styleId="CommentSubject">
    <w:name w:val="annotation subject"/>
    <w:basedOn w:val="CommentText"/>
    <w:next w:val="CommentText"/>
    <w:link w:val="CommentSubjectChar"/>
    <w:uiPriority w:val="99"/>
    <w:semiHidden/>
    <w:unhideWhenUsed/>
    <w:rsid w:val="00A82676"/>
    <w:rPr>
      <w:b/>
      <w:bCs/>
    </w:rPr>
  </w:style>
  <w:style w:type="character" w:customStyle="1" w:styleId="CommentSubjectChar">
    <w:name w:val="Comment Subject Char"/>
    <w:basedOn w:val="CommentTextChar"/>
    <w:link w:val="CommentSubject"/>
    <w:uiPriority w:val="99"/>
    <w:semiHidden/>
    <w:rsid w:val="00A82676"/>
    <w:rPr>
      <w:b/>
      <w:bCs/>
      <w:sz w:val="20"/>
      <w:szCs w:val="20"/>
    </w:rPr>
  </w:style>
  <w:style w:type="paragraph" w:styleId="FootnoteText">
    <w:name w:val="footnote text"/>
    <w:basedOn w:val="Normal"/>
    <w:link w:val="FootnoteTextChar"/>
    <w:uiPriority w:val="99"/>
    <w:semiHidden/>
    <w:unhideWhenUsed/>
    <w:rsid w:val="00A82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676"/>
    <w:rPr>
      <w:sz w:val="20"/>
      <w:szCs w:val="20"/>
    </w:rPr>
  </w:style>
  <w:style w:type="character" w:styleId="FootnoteReference">
    <w:name w:val="footnote reference"/>
    <w:basedOn w:val="DefaultParagraphFont"/>
    <w:uiPriority w:val="99"/>
    <w:semiHidden/>
    <w:unhideWhenUsed/>
    <w:rsid w:val="00A82676"/>
    <w:rPr>
      <w:vertAlign w:val="superscript"/>
    </w:rPr>
  </w:style>
  <w:style w:type="paragraph" w:styleId="Caption">
    <w:name w:val="caption"/>
    <w:basedOn w:val="Normal"/>
    <w:next w:val="Normal"/>
    <w:uiPriority w:val="35"/>
    <w:unhideWhenUsed/>
    <w:qFormat/>
    <w:rsid w:val="00A82676"/>
    <w:pPr>
      <w:spacing w:line="240" w:lineRule="auto"/>
    </w:pPr>
    <w:rPr>
      <w:b/>
      <w:bCs/>
      <w:color w:val="5B9BD5" w:themeColor="accent1"/>
      <w:sz w:val="18"/>
      <w:szCs w:val="18"/>
    </w:rPr>
  </w:style>
  <w:style w:type="table" w:styleId="TableGrid">
    <w:name w:val="Table Grid"/>
    <w:basedOn w:val="TableNormal"/>
    <w:uiPriority w:val="59"/>
    <w:rsid w:val="00A8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676"/>
    <w:pPr>
      <w:spacing w:after="100"/>
      <w:ind w:left="440"/>
    </w:pPr>
  </w:style>
  <w:style w:type="paragraph" w:styleId="Header">
    <w:name w:val="header"/>
    <w:basedOn w:val="Normal"/>
    <w:link w:val="HeaderChar"/>
    <w:uiPriority w:val="99"/>
    <w:unhideWhenUsed/>
    <w:rsid w:val="00A82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676"/>
  </w:style>
  <w:style w:type="paragraph" w:styleId="Footer">
    <w:name w:val="footer"/>
    <w:basedOn w:val="Normal"/>
    <w:link w:val="FooterChar"/>
    <w:uiPriority w:val="99"/>
    <w:unhideWhenUsed/>
    <w:rsid w:val="00A82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676"/>
  </w:style>
  <w:style w:type="paragraph" w:styleId="Revision">
    <w:name w:val="Revision"/>
    <w:hidden/>
    <w:uiPriority w:val="99"/>
    <w:semiHidden/>
    <w:rsid w:val="00A82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99056">
      <w:bodyDiv w:val="1"/>
      <w:marLeft w:val="0"/>
      <w:marRight w:val="0"/>
      <w:marTop w:val="0"/>
      <w:marBottom w:val="0"/>
      <w:divBdr>
        <w:top w:val="none" w:sz="0" w:space="0" w:color="auto"/>
        <w:left w:val="none" w:sz="0" w:space="0" w:color="auto"/>
        <w:bottom w:val="none" w:sz="0" w:space="0" w:color="auto"/>
        <w:right w:val="none" w:sz="0" w:space="0" w:color="auto"/>
      </w:divBdr>
      <w:divsChild>
        <w:div w:id="685061092">
          <w:marLeft w:val="0"/>
          <w:marRight w:val="0"/>
          <w:marTop w:val="30"/>
          <w:marBottom w:val="0"/>
          <w:divBdr>
            <w:top w:val="none" w:sz="0" w:space="0" w:color="auto"/>
            <w:left w:val="none" w:sz="0" w:space="0" w:color="auto"/>
            <w:bottom w:val="none" w:sz="0" w:space="0" w:color="auto"/>
            <w:right w:val="none" w:sz="0" w:space="0" w:color="auto"/>
          </w:divBdr>
          <w:divsChild>
            <w:div w:id="72537190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13956445">
          <w:marLeft w:val="0"/>
          <w:marRight w:val="0"/>
          <w:marTop w:val="0"/>
          <w:marBottom w:val="0"/>
          <w:divBdr>
            <w:top w:val="none" w:sz="0" w:space="0" w:color="auto"/>
            <w:left w:val="none" w:sz="0" w:space="0" w:color="auto"/>
            <w:bottom w:val="none" w:sz="0" w:space="0" w:color="auto"/>
            <w:right w:val="none" w:sz="0" w:space="0" w:color="auto"/>
          </w:divBdr>
          <w:divsChild>
            <w:div w:id="9454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A849919B.dotm</Template>
  <TotalTime>0</TotalTime>
  <Pages>24</Pages>
  <Words>24506</Words>
  <Characters>139687</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163866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Lomas</dc:creator>
  <cp:lastModifiedBy>James Lomas</cp:lastModifiedBy>
  <cp:revision>2</cp:revision>
  <dcterms:created xsi:type="dcterms:W3CDTF">2017-10-11T12:31:00Z</dcterms:created>
  <dcterms:modified xsi:type="dcterms:W3CDTF">2017-10-11T12:31:00Z</dcterms:modified>
</cp:coreProperties>
</file>