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463955C" w14:textId="77777777" w:rsidR="00F62C8B" w:rsidRPr="00270DD5" w:rsidRDefault="000F3A41" w:rsidP="00304399">
      <w:pPr>
        <w:pStyle w:val="RSCB04AHeadingSection"/>
      </w:pPr>
      <w:r w:rsidRPr="00270DD5">
        <w:rPr>
          <w:lang w:val="pt-PT" w:eastAsia="pt-PT"/>
        </w:rPr>
        <mc:AlternateContent>
          <mc:Choice Requires="wps">
            <w:drawing>
              <wp:anchor distT="180340" distB="0" distL="114300" distR="114300" simplePos="0" relativeHeight="251662336" behindDoc="1" locked="1" layoutInCell="0" allowOverlap="0" wp14:anchorId="5905799F" wp14:editId="42179CD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927FBC0" w14:textId="77777777" w:rsidR="00126027" w:rsidRPr="00C405FD" w:rsidRDefault="00E3194C" w:rsidP="00E3194C">
                            <w:pPr>
                              <w:pStyle w:val="RSCF01FootnoteAuthorAddress"/>
                            </w:pPr>
                            <w:r w:rsidRPr="00E3194C">
                              <w:t>CICECO - Aveiro Institute of Materials, Department of Chemistry, University of Aveiro, 3810-193 Aveiro, Portugal</w:t>
                            </w:r>
                            <w:r w:rsidR="008C682F" w:rsidRPr="00C405FD">
                              <w:t>.</w:t>
                            </w:r>
                          </w:p>
                          <w:p w14:paraId="7DF1ACA5" w14:textId="77777777" w:rsidR="00126027" w:rsidRPr="00E3194C" w:rsidRDefault="00E3194C" w:rsidP="00E3194C">
                            <w:pPr>
                              <w:pStyle w:val="RSCF01FootnoteAuthorAddress"/>
                              <w:rPr>
                                <w:lang w:val="pt-PT"/>
                              </w:rPr>
                            </w:pPr>
                            <w:r w:rsidRPr="00E3194C">
                              <w:rPr>
                                <w:lang w:val="pt-PT"/>
                              </w:rPr>
                              <w:t>Centro de Química Estrutural, Instituto Superior Técnico, 1049-001 Lisboa, Portugal</w:t>
                            </w:r>
                            <w:r w:rsidR="00126027" w:rsidRPr="00E3194C">
                              <w:rPr>
                                <w:lang w:val="pt-PT"/>
                              </w:rPr>
                              <w:t>.</w:t>
                            </w:r>
                          </w:p>
                          <w:p w14:paraId="3B79231D" w14:textId="77777777" w:rsidR="000D6963" w:rsidRDefault="00E3194C" w:rsidP="00E3194C">
                            <w:pPr>
                              <w:pStyle w:val="RSCF01FootnoteAuthorAddress"/>
                            </w:pPr>
                            <w:r w:rsidRPr="00E3194C">
                              <w:rPr>
                                <w:lang w:val="pt-PT"/>
                              </w:rPr>
                              <w:t xml:space="preserve">Instituto de Tecnologia Química e Biológica, UNL, AV. </w:t>
                            </w:r>
                            <w:r w:rsidRPr="00E3194C">
                              <w:t>República Ap. 127, 2780-901 Oeiras, Portugal</w:t>
                            </w:r>
                            <w:r w:rsidR="000D6963" w:rsidRPr="00C405FD">
                              <w:t>.</w:t>
                            </w:r>
                          </w:p>
                          <w:p w14:paraId="39294B65" w14:textId="69BA35DC" w:rsidR="00EA477E" w:rsidRPr="00C405FD" w:rsidRDefault="00EA477E" w:rsidP="00D41F0B">
                            <w:pPr>
                              <w:pStyle w:val="RSCF01FootnoteAuthorAddress"/>
                            </w:pPr>
                            <w:r>
                              <w:t>York Structural Biology Laboratory, Department of Chemistry, University of York,</w:t>
                            </w:r>
                            <w:r w:rsidR="00244EDB">
                              <w:t xml:space="preserve"> </w:t>
                            </w:r>
                            <w:r>
                              <w:t>Heslington, York YO10 5DD, UK</w:t>
                            </w:r>
                          </w:p>
                          <w:p w14:paraId="3144DC0A" w14:textId="77777777" w:rsidR="00C405FD" w:rsidRPr="00123945" w:rsidRDefault="00126027" w:rsidP="00241ACD">
                            <w:pPr>
                              <w:pStyle w:val="RSCF02FootnotestoTitleAuthors"/>
                              <w:rPr>
                                <w:color w:val="FF0000"/>
                              </w:rPr>
                            </w:pPr>
                            <w:r w:rsidRPr="00241ACD">
                              <w:t>†</w:t>
                            </w:r>
                            <w:r w:rsidR="00123945">
                              <w:t xml:space="preserve"> </w:t>
                            </w:r>
                            <w:r w:rsidR="008C682F" w:rsidRPr="00241ACD">
                              <w:t xml:space="preserve">Electronic Supplementary Information (ESI) available: </w:t>
                            </w:r>
                            <w:r w:rsidR="00496C31">
                              <w:t>Supporting figures and tables</w:t>
                            </w:r>
                            <w:r w:rsidR="008C682F" w:rsidRPr="00123945">
                              <w:rPr>
                                <w:color w:val="FF0000"/>
                              </w:rPr>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905799F"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927FBC0" w14:textId="77777777" w:rsidR="00126027" w:rsidRPr="00C405FD" w:rsidRDefault="00E3194C" w:rsidP="00E3194C">
                      <w:pPr>
                        <w:pStyle w:val="RSCF01FootnoteAuthorAddress"/>
                      </w:pPr>
                      <w:r w:rsidRPr="00E3194C">
                        <w:t>CICECO - Aveiro Institute of Materials, Department of Chemistry, University of Aveiro, 3810-193 Aveiro, Portugal</w:t>
                      </w:r>
                      <w:r w:rsidR="008C682F" w:rsidRPr="00C405FD">
                        <w:t>.</w:t>
                      </w:r>
                    </w:p>
                    <w:p w14:paraId="7DF1ACA5" w14:textId="77777777" w:rsidR="00126027" w:rsidRPr="00E3194C" w:rsidRDefault="00E3194C" w:rsidP="00E3194C">
                      <w:pPr>
                        <w:pStyle w:val="RSCF01FootnoteAuthorAddress"/>
                        <w:rPr>
                          <w:lang w:val="pt-PT"/>
                        </w:rPr>
                      </w:pPr>
                      <w:r w:rsidRPr="00E3194C">
                        <w:rPr>
                          <w:lang w:val="pt-PT"/>
                        </w:rPr>
                        <w:t>Centro de Química Estrutural, Instituto Superior Técnico, 1049-001 Lisboa, Portugal</w:t>
                      </w:r>
                      <w:r w:rsidR="00126027" w:rsidRPr="00E3194C">
                        <w:rPr>
                          <w:lang w:val="pt-PT"/>
                        </w:rPr>
                        <w:t>.</w:t>
                      </w:r>
                    </w:p>
                    <w:p w14:paraId="3B79231D" w14:textId="77777777" w:rsidR="000D6963" w:rsidRDefault="00E3194C" w:rsidP="00E3194C">
                      <w:pPr>
                        <w:pStyle w:val="RSCF01FootnoteAuthorAddress"/>
                      </w:pPr>
                      <w:r w:rsidRPr="00E3194C">
                        <w:rPr>
                          <w:lang w:val="pt-PT"/>
                        </w:rPr>
                        <w:t xml:space="preserve">Instituto de Tecnologia Química e Biológica, UNL, AV. </w:t>
                      </w:r>
                      <w:r w:rsidRPr="00E3194C">
                        <w:t>República Ap. 127, 2780-901 Oeiras, Portugal</w:t>
                      </w:r>
                      <w:r w:rsidR="000D6963" w:rsidRPr="00C405FD">
                        <w:t>.</w:t>
                      </w:r>
                    </w:p>
                    <w:p w14:paraId="39294B65" w14:textId="69BA35DC" w:rsidR="00EA477E" w:rsidRPr="00C405FD" w:rsidRDefault="00EA477E" w:rsidP="00D41F0B">
                      <w:pPr>
                        <w:pStyle w:val="RSCF01FootnoteAuthorAddress"/>
                      </w:pPr>
                      <w:r>
                        <w:t>York Structural Biology Laboratory, Department of Chemistry, University of York,</w:t>
                      </w:r>
                      <w:r w:rsidR="00244EDB">
                        <w:t xml:space="preserve"> </w:t>
                      </w:r>
                      <w:r>
                        <w:t>Heslington, York YO10 5DD, UK</w:t>
                      </w:r>
                    </w:p>
                    <w:p w14:paraId="3144DC0A" w14:textId="77777777" w:rsidR="00C405FD" w:rsidRPr="00123945" w:rsidRDefault="00126027" w:rsidP="00241ACD">
                      <w:pPr>
                        <w:pStyle w:val="RSCF02FootnotestoTitleAuthors"/>
                        <w:rPr>
                          <w:color w:val="FF0000"/>
                        </w:rPr>
                      </w:pPr>
                      <w:r w:rsidRPr="00241ACD">
                        <w:t>†</w:t>
                      </w:r>
                      <w:r w:rsidR="00123945">
                        <w:t xml:space="preserve"> </w:t>
                      </w:r>
                      <w:r w:rsidR="008C682F" w:rsidRPr="00241ACD">
                        <w:t xml:space="preserve">Electronic Supplementary Information (ESI) available: </w:t>
                      </w:r>
                      <w:r w:rsidR="00496C31">
                        <w:t>Supporting figures and tables</w:t>
                      </w:r>
                      <w:r w:rsidR="008C682F" w:rsidRPr="00123945">
                        <w:rPr>
                          <w:color w:val="FF0000"/>
                        </w:rPr>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B65A551" w14:textId="77777777" w:rsidR="00F62C8B" w:rsidRPr="00270DD5" w:rsidRDefault="00F62C8B" w:rsidP="004C531E">
      <w:pPr>
        <w:pStyle w:val="RSCM01ReceivedAccepted"/>
      </w:pPr>
      <w:r w:rsidRPr="00270DD5">
        <w:t>Accepted 00th January 20</w:t>
      </w:r>
      <w:r w:rsidR="00F15F90" w:rsidRPr="00270DD5">
        <w:t>xx</w:t>
      </w:r>
    </w:p>
    <w:p w14:paraId="1583E56D" w14:textId="77777777" w:rsidR="00F62C8B" w:rsidRPr="0092278F" w:rsidRDefault="00F62C8B" w:rsidP="004C531E">
      <w:pPr>
        <w:pStyle w:val="RSCM02DOI"/>
        <w:rPr>
          <w:lang w:val="pt-PT"/>
        </w:rPr>
      </w:pPr>
      <w:r w:rsidRPr="0092278F">
        <w:rPr>
          <w:lang w:val="pt-PT"/>
        </w:rPr>
        <w:t>DOI: 10.1039/x0xx00000x</w:t>
      </w:r>
    </w:p>
    <w:p w14:paraId="000547A4" w14:textId="77777777" w:rsidR="00A9649E" w:rsidRPr="0092278F" w:rsidRDefault="00A9649E" w:rsidP="004C531E">
      <w:pPr>
        <w:pStyle w:val="RSCM03Website"/>
        <w:rPr>
          <w:lang w:val="pt-PT"/>
        </w:rPr>
      </w:pPr>
      <w:r w:rsidRPr="0092278F">
        <w:rPr>
          <w:lang w:val="pt-PT"/>
        </w:rPr>
        <w:t>www.rsc.org/</w:t>
      </w:r>
    </w:p>
    <w:p w14:paraId="659A052A" w14:textId="77777777" w:rsidR="004414A5" w:rsidRPr="00C32EDF" w:rsidRDefault="00F62C8B" w:rsidP="00C32EDF">
      <w:pPr>
        <w:pStyle w:val="RSCH01PaperTitle"/>
      </w:pPr>
      <w:r w:rsidRPr="0092278F">
        <w:rPr>
          <w:lang w:val="en-US"/>
        </w:rPr>
        <w:br w:type="column"/>
      </w:r>
      <w:r w:rsidR="00E45D82" w:rsidRPr="00E45D82">
        <w:rPr>
          <w:lang w:val="en-US"/>
        </w:rPr>
        <w:t>Enhanced dissolution of ibuprofen using ionic liquids as catanionic hydrotrope</w:t>
      </w:r>
    </w:p>
    <w:p w14:paraId="60C50B00" w14:textId="6132C43C" w:rsidR="00FA2DA2" w:rsidRPr="00EA477E" w:rsidRDefault="00897BBD" w:rsidP="00F21465">
      <w:pPr>
        <w:pStyle w:val="RSCH02PaperAuthorsandByline"/>
        <w:rPr>
          <w:vertAlign w:val="superscript"/>
        </w:rPr>
      </w:pPr>
      <w:r w:rsidRPr="00EA477E">
        <w:t>T</w:t>
      </w:r>
      <w:r w:rsidR="00CC7C64" w:rsidRPr="00EA477E">
        <w:t xml:space="preserve">. </w:t>
      </w:r>
      <w:r w:rsidRPr="00EA477E">
        <w:t>E</w:t>
      </w:r>
      <w:r w:rsidR="00CC7C64" w:rsidRPr="00EA477E">
        <w:t xml:space="preserve">. </w:t>
      </w:r>
      <w:r w:rsidRPr="00EA477E">
        <w:t>Sintra</w:t>
      </w:r>
      <w:r w:rsidR="00CC7C64" w:rsidRPr="00EA477E">
        <w:t>,</w:t>
      </w:r>
      <w:r w:rsidR="00CC7C64" w:rsidRPr="00EA477E">
        <w:rPr>
          <w:vertAlign w:val="superscript"/>
        </w:rPr>
        <w:t>a</w:t>
      </w:r>
      <w:r w:rsidR="00CC7C64" w:rsidRPr="00EA477E">
        <w:t xml:space="preserve"> </w:t>
      </w:r>
      <w:r w:rsidRPr="00EA477E">
        <w:t>K</w:t>
      </w:r>
      <w:r w:rsidR="00CC7C64" w:rsidRPr="00EA477E">
        <w:t xml:space="preserve">. </w:t>
      </w:r>
      <w:r w:rsidRPr="00EA477E">
        <w:t>Shimizu,</w:t>
      </w:r>
      <w:r w:rsidR="00CC7C64" w:rsidRPr="00EA477E">
        <w:rPr>
          <w:vertAlign w:val="superscript"/>
        </w:rPr>
        <w:t>b</w:t>
      </w:r>
      <w:r w:rsidR="00123945" w:rsidRPr="00EA477E">
        <w:rPr>
          <w:vertAlign w:val="superscript"/>
        </w:rPr>
        <w:t>,c</w:t>
      </w:r>
      <w:r w:rsidR="00CC7C64" w:rsidRPr="00EA477E">
        <w:t xml:space="preserve"> </w:t>
      </w:r>
      <w:r w:rsidRPr="00EA477E">
        <w:t>S. P. M. Ventura,</w:t>
      </w:r>
      <w:r w:rsidRPr="00EA477E">
        <w:rPr>
          <w:vertAlign w:val="superscript"/>
        </w:rPr>
        <w:t>a</w:t>
      </w:r>
      <w:r w:rsidRPr="00EA477E">
        <w:t xml:space="preserve"> </w:t>
      </w:r>
      <w:r w:rsidR="000156B6" w:rsidRPr="00EA477E">
        <w:t>S</w:t>
      </w:r>
      <w:r w:rsidR="000156B6">
        <w:t>. Shimizu,</w:t>
      </w:r>
      <w:r w:rsidR="00EA477E" w:rsidRPr="00EA477E">
        <w:rPr>
          <w:vertAlign w:val="superscript"/>
        </w:rPr>
        <w:t>d</w:t>
      </w:r>
      <w:r w:rsidR="000156B6">
        <w:t xml:space="preserve"> </w:t>
      </w:r>
      <w:r w:rsidRPr="00EA477E">
        <w:t>J. N. Canongia Lopes</w:t>
      </w:r>
      <w:r w:rsidRPr="00EA477E">
        <w:rPr>
          <w:vertAlign w:val="superscript"/>
        </w:rPr>
        <w:t>b</w:t>
      </w:r>
      <w:r w:rsidR="00123945" w:rsidRPr="00EA477E">
        <w:rPr>
          <w:vertAlign w:val="superscript"/>
        </w:rPr>
        <w:t>,c</w:t>
      </w:r>
      <w:r w:rsidRPr="00EA477E">
        <w:t xml:space="preserve"> </w:t>
      </w:r>
      <w:r w:rsidR="00CC7C64" w:rsidRPr="00EA477E">
        <w:t xml:space="preserve">and </w:t>
      </w:r>
      <w:r w:rsidRPr="00EA477E">
        <w:t>J</w:t>
      </w:r>
      <w:r w:rsidR="00CC7C64" w:rsidRPr="00EA477E">
        <w:t xml:space="preserve">. </w:t>
      </w:r>
      <w:r w:rsidRPr="00EA477E">
        <w:t>A</w:t>
      </w:r>
      <w:r w:rsidR="00CC7C64" w:rsidRPr="00EA477E">
        <w:t>.</w:t>
      </w:r>
      <w:r w:rsidRPr="00EA477E">
        <w:t xml:space="preserve"> P.</w:t>
      </w:r>
      <w:r w:rsidR="00CC7C64" w:rsidRPr="00EA477E">
        <w:t xml:space="preserve"> </w:t>
      </w:r>
      <w:r w:rsidRPr="00EA477E">
        <w:t>Coutinho*</w:t>
      </w:r>
      <w:r w:rsidRPr="00EA477E">
        <w:rPr>
          <w:vertAlign w:val="superscript"/>
        </w:rPr>
        <w:t>a</w:t>
      </w:r>
    </w:p>
    <w:p w14:paraId="0243F88A" w14:textId="77777777" w:rsidR="00BA5F39" w:rsidRPr="00FA2DA2" w:rsidRDefault="00897BBD" w:rsidP="00FA2DA2">
      <w:pPr>
        <w:pStyle w:val="RSCB01ARTAbstract"/>
        <w:sectPr w:rsidR="00BA5F39"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897BBD">
        <w:t>The therapeutic effectiveness of a drug largely depends on its bioavailability, and thus ultimately on its aqueous solubility. Hydrotropes are compounds able to enhance the solubility of hydrophobic substances in aqueous media and therefore are extensively used in the formulation of drugs and personal care products. Recently, some ionic liquids were shown to display a strong ability to enhance the solubility of biomolecules through hydrotropy. In this work, the impact of the ionic liquid chemical structures and their concentration on the solubility of ibuprofen were evaluated and compared with the performance of conventional hydrotropes. The results obtained clearly evidence the exceptional capacity of ionic liquids to enhance the solubility of ibuprofen. [C</w:t>
      </w:r>
      <w:r w:rsidRPr="00897BBD">
        <w:rPr>
          <w:vertAlign w:val="subscript"/>
        </w:rPr>
        <w:t>4</w:t>
      </w:r>
      <w:r w:rsidRPr="00897BBD">
        <w:t>C</w:t>
      </w:r>
      <w:r w:rsidRPr="00897BBD">
        <w:rPr>
          <w:vertAlign w:val="subscript"/>
        </w:rPr>
        <w:t>1</w:t>
      </w:r>
      <w:r w:rsidRPr="00897BBD">
        <w:t>im][SCN] and [C</w:t>
      </w:r>
      <w:r w:rsidRPr="00897BBD">
        <w:rPr>
          <w:vertAlign w:val="subscript"/>
        </w:rPr>
        <w:t>4</w:t>
      </w:r>
      <w:r w:rsidRPr="00897BBD">
        <w:t>C</w:t>
      </w:r>
      <w:r w:rsidRPr="00897BBD">
        <w:rPr>
          <w:vertAlign w:val="subscript"/>
        </w:rPr>
        <w:t>1</w:t>
      </w:r>
      <w:r w:rsidRPr="00897BBD">
        <w:t>im][N(CN)</w:t>
      </w:r>
      <w:r w:rsidRPr="00897BBD">
        <w:rPr>
          <w:vertAlign w:val="subscript"/>
        </w:rPr>
        <w:t>2</w:t>
      </w:r>
      <w:r w:rsidRPr="00897BBD">
        <w:t xml:space="preserve">] seem to be the most promising ionic liquids for ibuprofen solubilisation, where an increase in the solubility of 60- and 120-fold was observed with ionic liquids concentrations of </w:t>
      </w:r>
      <w:r w:rsidRPr="00EA477E">
        <w:rPr>
          <w:i/>
        </w:rPr>
        <w:t>circa</w:t>
      </w:r>
      <w:r w:rsidRPr="00897BBD">
        <w:t xml:space="preserve"> 1 mol∙kg</w:t>
      </w:r>
      <w:r w:rsidRPr="00897BBD">
        <w:rPr>
          <w:vertAlign w:val="superscript"/>
        </w:rPr>
        <w:t>-1</w:t>
      </w:r>
      <w:r w:rsidRPr="00897BBD">
        <w:t>, respectively. Dynamic light scattering and molecular dynamics simulations were used to investigate the mechanism of the IL-mediated drug solubility and the results obtained indicate that the structure of aqueous solutions of ionic liquids and the role it plays on the formation of ionic liquids-drug aggregates is</w:t>
      </w:r>
      <w:r w:rsidR="00AC3BB5">
        <w:t xml:space="preserve"> the</w:t>
      </w:r>
      <w:r w:rsidRPr="00897BBD">
        <w:t xml:space="preserve"> mechanism driving the hydrotropic dissolution.</w:t>
      </w:r>
    </w:p>
    <w:p w14:paraId="04A26B14" w14:textId="77777777" w:rsidR="00FA2DA2" w:rsidRDefault="00FA2DA2" w:rsidP="00FA2DA2">
      <w:pPr>
        <w:pStyle w:val="RSCB04AHeadingSection"/>
      </w:pPr>
      <w:r w:rsidRPr="00017239">
        <w:t>Introduction</w:t>
      </w:r>
    </w:p>
    <w:p w14:paraId="65F2806F" w14:textId="40B7C04C" w:rsidR="00BA5F39" w:rsidRDefault="00BA5F39" w:rsidP="00BA5F39">
      <w:pPr>
        <w:pStyle w:val="RSCB02ArticleText"/>
      </w:pPr>
      <w:r w:rsidRPr="002C58C4">
        <w:t xml:space="preserve">The solubilisation of poorly water-soluble drugs has been a very important issue in the screening of new drugs as well as </w:t>
      </w:r>
      <w:r>
        <w:t xml:space="preserve">in </w:t>
      </w:r>
      <w:r w:rsidRPr="002C58C4">
        <w:t xml:space="preserve">their formulation. </w:t>
      </w:r>
      <w:r>
        <w:t>M</w:t>
      </w:r>
      <w:r w:rsidRPr="002C58C4">
        <w:t>ore than 40% of the failures in the development of new drugs have been attributed to poor biopharmaceutical properties, including poor water solubility.</w:t>
      </w:r>
      <w:r>
        <w:fldChar w:fldCharType="begin" w:fldLock="1"/>
      </w:r>
      <w:r>
        <w:instrText>ADDIN CSL_CITATION { "citationItems" : [ { "id" : "ITEM-1", "itemData" : { "ISBN" : "9781420009552", "abstract" : "2nd ed. 1. Introduction / Rong (Ron) Liu -- 2. Solubility theories / Steven H. Neau -- 3. Prediction of solubility / Yisheng Chen, Xiaohong Qi, and Rong (Ron) Liu -- 4. Preformulation aspects of insoluble compounds / Wei-Qin (Tony) Tong and Hong Wen -- 5. Water-insoluble drugs and their pharmacokinetic behaviors / Honghui Zhou -- 6. Regulatory aspects of dissolution for low solubility drug products / Pradeep Sathe [and others] -- 7. Formulation strategies and practice used for drug candidates with water-insoluble properties for toxicology, biology, and pharmacology studies in discovery support / Lian-Feng Huang [and others] -- 8. Applications of complexation in the formulation of insoluble compounds / Wei-Qin (Tony) Tong and Hong Wen -- 9. Solubilization using cosolvent approach / Jay S. Trivedi -- 10. Emulsions, microemulsions, and lipid-based drug delivery systems for drug solubilization and delivery: pt. 1. Parenteral aplications / John B. Cannon, Yi Shi, and Pramod Gupta -- 11. Emulsions, microemulsions, and lipid-based drug delivery systems for drug solubilization and delivery: pt. 2. Oral applications / John B. Cannon and Michelle A. Long.", "author" : [ { "dropping-particle" : "", "family" : "Liu", "given" : "Rong", "non-dropping-particle" : "", "parse-names" : false, "suffix" : "" } ], "id" : "ITEM-1", "issued" : { "date-parts" : [ [ "2008" ] ] }, "number-of-pages" : "669", "publisher" : "CRC Press", "title" : "Water-insoluble drug formulation", "type" : "book" }, "uris" : [ "http://www.mendeley.com/documents/?uuid=0ed6fc30-acef-3004-b3e1-e346cfb0fdf4"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615FB0">
        <w:rPr>
          <w:noProof/>
          <w:vertAlign w:val="superscript"/>
        </w:rPr>
        <w:t>1</w:t>
      </w:r>
      <w:r>
        <w:fldChar w:fldCharType="end"/>
      </w:r>
      <w:r w:rsidRPr="002C58C4">
        <w:t xml:space="preserve"> In fact, the therapeutic effectiveness of a drug can be severely li</w:t>
      </w:r>
      <w:r>
        <w:t>mited by its aqueous solubility</w:t>
      </w:r>
      <w:r w:rsidRPr="002C58C4">
        <w:t>.</w:t>
      </w:r>
      <w:r>
        <w:fldChar w:fldCharType="begin" w:fldLock="1"/>
      </w:r>
      <w:r>
        <w:instrText>ADDIN CSL_CITATION { "citationItems" : [ { "id" : "ITEM-1", "itemData" : { "author" : [ { "dropping-particle" : "", "family" : "Jain", "given" : "Purwa", "non-dropping-particle" : "", "parse-names" : false, "suffix" : "" }, { "dropping-particle" : "", "family" : "Goel", "given" : "Achhrish", "non-dropping-particle" : "", "parse-names" : false, "suffix" : "" }, { "dropping-particle" : "", "family" : "Sharma", "given" : "Shweta", "non-dropping-particle" : "", "parse-names" : false, "suffix" : "" }, { "dropping-particle" : "", "family" : "Parmar", "given" : "Meghal", "non-dropping-particle" : "", "parse-names" : false, "suffix" : "" } ], "chapter-number" : "34", "container-title" : "International Journal Of Pharma Professional\u2019s Research", "id" : "ITEM-1", "issue" : "1", "issued" : { "date-parts" : [ [ "2010" ] ] }, "page" : "34-45", "title" : "Solubility enhancement techniques with special emphasis on hydrotropy", "type" : "article-journal", "volume" : "1" }, "uris" : [ "http://www.mendeley.com/documents/?uuid=d7f78ad0-08c3-4469-b3cc-a8259e608a76" ] } ], "mendeley" : { "formattedCitation" : "&lt;sup&gt;2&lt;/sup&gt;", "plainTextFormattedCitation" : "2", "previouslyFormattedCitation" : "&lt;sup&gt;2&lt;/sup&gt;" }, "properties" : { "noteIndex" : 0 }, "schema" : "https://github.com/citation-style-language/schema/raw/master/csl-citation.json" }</w:instrText>
      </w:r>
      <w:r>
        <w:fldChar w:fldCharType="separate"/>
      </w:r>
      <w:r w:rsidRPr="00615FB0">
        <w:rPr>
          <w:noProof/>
          <w:vertAlign w:val="superscript"/>
        </w:rPr>
        <w:t>2</w:t>
      </w:r>
      <w:r>
        <w:fldChar w:fldCharType="end"/>
      </w:r>
      <w:r w:rsidRPr="002C58C4">
        <w:t xml:space="preserve"> Among the various </w:t>
      </w:r>
      <w:r w:rsidR="00AC3BB5">
        <w:t>approaches</w:t>
      </w:r>
      <w:r w:rsidRPr="002C58C4">
        <w:t xml:space="preserve"> employed to enhance the aqueous solubility of poorly water-soluble drugs, such as </w:t>
      </w:r>
      <w:r>
        <w:t xml:space="preserve">the </w:t>
      </w:r>
      <w:r w:rsidRPr="002C58C4">
        <w:t xml:space="preserve">use of surfactants, salt forms and </w:t>
      </w:r>
      <w:r>
        <w:t>change</w:t>
      </w:r>
      <w:r w:rsidRPr="002C58C4">
        <w:t xml:space="preserve"> of pH, the hydrotropic solubilisation is one of the most studied due t</w:t>
      </w:r>
      <w:r>
        <w:t>o its simplicity and efficiency</w:t>
      </w:r>
      <w:r w:rsidRPr="002C58C4">
        <w:t>.</w:t>
      </w:r>
      <w:r>
        <w:fldChar w:fldCharType="begin" w:fldLock="1"/>
      </w:r>
      <w:r>
        <w:instrText>ADDIN CSL_CITATION { "citationItems" : [ { "id" : "ITEM-1", "itemData" : { "DOI" : "10.1002/ceat.201100484", "ISBN" : "1521-4125", "author" : [ { "dropping-particle" : "V", "family" : "Subbarao", "given" : "C", "non-dropping-particle" : "", "parse-names" : false, "suffix" : "" }, { "dropping-particle" : "", "family" : "Chakravarthy", "given" : "I P K", "non-dropping-particle" : "", "parse-names" : false, "suffix" : "" }, { "dropping-particle" : "", "family" : "Sai Bharadwaj", "given" : "A V S L", "non-dropping-particle" : "", "parse-names" : false, "suffix" : "" }, { "dropping-particle" : "", "family" : "Prasad", "given" : "K M M", "non-dropping-particle" : "", "parse-names" : false, "suffix" : "" } ], "container-title" : "Chemical Engineering &amp; Technology", "id" : "ITEM-1", "issue" : "2", "issued" : { "date-parts" : [ [ "2012" ] ] }, "page" : "225-237", "publisher" : "WILEY-VCH Verlag", "title" : "Functions of Hydrotropes in Solutions", "type" : "article-journal", "volume" : "35" }, "uris" : [ "http://www.mendeley.com/documents/?uuid=5fd4aa80-76b8-47d2-8ba7-b571572707d5"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Pr="00615FB0">
        <w:rPr>
          <w:noProof/>
          <w:vertAlign w:val="superscript"/>
        </w:rPr>
        <w:t>3</w:t>
      </w:r>
      <w:r>
        <w:fldChar w:fldCharType="end"/>
      </w:r>
      <w:r w:rsidRPr="002C58C4">
        <w:t xml:space="preserve"> </w:t>
      </w:r>
      <w:r>
        <w:t>Furthermore</w:t>
      </w:r>
      <w:r w:rsidRPr="002C58C4">
        <w:t>, hydrotropes</w:t>
      </w:r>
      <w:r>
        <w:t>, in general,</w:t>
      </w:r>
      <w:r w:rsidRPr="002C58C4">
        <w:t xml:space="preserve"> present low toxicity and low bioaccumulation potential due to their low octan</w:t>
      </w:r>
      <w:r>
        <w:t>ol-water partition coefficients</w:t>
      </w:r>
      <w:r w:rsidRPr="002C58C4">
        <w:t>.</w:t>
      </w:r>
      <w:r>
        <w:fldChar w:fldCharType="begin" w:fldLock="1"/>
      </w:r>
      <w:r>
        <w:instrText>ADDIN CSL_CITATION { "citationItems" : [ { "id" : "ITEM-1", "itemData" : { "DOI" : "10.1897/ieam_2009-019.1", "ISBN" : "1551-3793", "author" : [ { "dropping-particle" : "", "family" : "Stanton", "given" : "Kathleen", "non-dropping-particle" : "", "parse-names" : false, "suffix" : "" }, { "dropping-particle" : "", "family" : "Tibazarwa", "given" : "Caritas", "non-dropping-particle" : "", "parse-names" : false, "suffix" : "" }, { "dropping-particle" : "", "family" : "Certa", "given" : "Hans", "non-dropping-particle" : "", "parse-names" : false, "suffix" : "" }, { "dropping-particle" : "", "family" : "Greggs", "given" : "William", "non-dropping-particle" : "", "parse-names" : false, "suffix" : "" }, { "dropping-particle" : "", "family" : "Hillebold", "given" : "Donna", "non-dropping-particle" : "", "parse-names" : false, "suffix" : "" }, { "dropping-particle" : "", "family" : "Jovanovich", "given" : "Lela", "non-dropping-particle" : "", "parse-names" : false, "suffix" : "" }, { "dropping-particle" : "", "family" : "Woltering", "given" : "Daniel", "non-dropping-particle" : "", "parse-names" : false, "suffix" : "" }, { "dropping-particle" : "", "family" : "Sedlak", "given" : "Richard", "non-dropping-particle" : "", "parse-names" : false, "suffix" : "" } ], "container-title" : "Integrated Environmental Assessment and Management", "id" : "ITEM-1", "issue" : "1", "issued" : { "date-parts" : [ [ "2010" ] ] }, "page" : "155-163", "publisher" : "John Wiley &amp; Sons, Inc.", "title" : "Environmental risk assessment of hydrotropes in the United States, Europe, and Australia", "type" : "article-journal", "volume" : "6" }, "uris" : [ "http://www.mendeley.com/documents/?uuid=fbf97837-c43e-4c32-a9b3-d8408f734725"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615FB0">
        <w:rPr>
          <w:noProof/>
          <w:vertAlign w:val="superscript"/>
        </w:rPr>
        <w:t>4</w:t>
      </w:r>
      <w:r>
        <w:fldChar w:fldCharType="end"/>
      </w:r>
      <w:r w:rsidRPr="002C58C4">
        <w:t xml:space="preserve"> The term hydrotropic agent was firs</w:t>
      </w:r>
      <w:r>
        <w:t>t introduced by Neuberg in 1916</w:t>
      </w:r>
      <w:r w:rsidRPr="002C58C4">
        <w:t>.</w:t>
      </w:r>
      <w:r>
        <w:fldChar w:fldCharType="begin" w:fldLock="1"/>
      </w:r>
      <w:r>
        <w:instrText>ADDIN CSL_CITATION { "citationItems" : [ { "id" : "ITEM-1", "itemData" : { "author" : [ { "dropping-particle" : "", "family" : "Neuberg", "given" : "C", "non-dropping-particle" : "", "parse-names" : false, "suffix" : "" } ], "chapter-number" : "107", "container-title" : "Biochem. Z.", "id" : "ITEM-1", "issued" : { "date-parts" : [ [ "1916" ] ] }, "page" : "107\u2013176", "title" : "No Title", "type" : "article-journal", "volume" : "76" }, "uris" : [ "http://www.mendeley.com/documents/?uuid=5ffb7363-e299-4b38-98ea-860bcfccfee7"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615FB0">
        <w:rPr>
          <w:noProof/>
          <w:vertAlign w:val="superscript"/>
        </w:rPr>
        <w:t>5</w:t>
      </w:r>
      <w:r>
        <w:fldChar w:fldCharType="end"/>
      </w:r>
      <w:r w:rsidRPr="002C58C4">
        <w:t xml:space="preserve"> By definition, hydrotropes are compounds capable to substantially increase the solubility of hydrophobic substances in water. Conventional hydrotropes are typically composed of a hydrophobic aromatic ring with an anionic group (hydrophilic part) where ammonium, calcium, </w:t>
      </w:r>
      <w:r w:rsidRPr="002C58C4">
        <w:t>potassiu</w:t>
      </w:r>
      <w:r>
        <w:t>m or sodium act as counter ions</w:t>
      </w:r>
      <w:r w:rsidRPr="002C58C4">
        <w:t>.</w:t>
      </w:r>
      <w:r>
        <w:fldChar w:fldCharType="begin" w:fldLock="1"/>
      </w:r>
      <w:r>
        <w:instrText>ADDIN CSL_CITATION { "citationItems" : [ { "id" : "ITEM-1", "itemData" : { "DOI" : "http://dx.doi.org/10.1016/j.cocis.2007.06.004", "ISBN" : "1359-0294", "abstract" : "Hydrotropes are a class of amphiphilic molecules that cannot form well organized structures, such as micelles, in water but do increase the aqueous solubility of organic molecules. Often strong synergistic effects are observed when hydrotropes are added to aqueous surfactant or polymer solutions. Recent studies regarding the effects of hydrotropes on phase behavior, aggregation, surface tension, viscosity, solubility, and microstructure formation are reviewed. Novel applications of hydrotropes as molecular probes and for controlled release of pharmaceuticals are also discussed.", "author" : [ { "dropping-particle" : "", "family" : "Hodgdon", "given" : "Travis K", "non-dropping-particle" : "", "parse-names" : false, "suffix" : "" }, { "dropping-particle" : "", "family" : "Kaler", "given" : "Eric W", "non-dropping-particle" : "", "parse-names" : false, "suffix" : "" } ], "container-title" : "Current Opinion in Colloid &amp; Interface Science", "id" : "ITEM-1", "issue" : "3", "issued" : { "date-parts" : [ [ "2007" ] ] }, "page" : "121-128", "title" : "Hydrotropic solutions", "type" : "article-journal", "volume" : "12" }, "uris" : [ "http://www.mendeley.com/documents/?uuid=1fa2363d-1815-47d3-8d5b-ef631a615183"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615FB0">
        <w:rPr>
          <w:noProof/>
          <w:vertAlign w:val="superscript"/>
        </w:rPr>
        <w:t>6</w:t>
      </w:r>
      <w:r>
        <w:fldChar w:fldCharType="end"/>
      </w:r>
      <w:r w:rsidRPr="002C58C4">
        <w:t xml:space="preserve"> The cationic hydrotropes are a minority, an example being the salts of aromatic </w:t>
      </w:r>
      <w:r>
        <w:t>amines (procaine hydrochloride)</w:t>
      </w:r>
      <w:r w:rsidRPr="002C58C4">
        <w:t>.</w:t>
      </w:r>
      <w:r>
        <w:fldChar w:fldCharType="begin" w:fldLock="1"/>
      </w:r>
      <w:r>
        <w:instrText>ADDIN CSL_CITATION { "citationItems" : [ { "id" : "ITEM-1", "itemData" : { "DOI" : "http://dx.doi.org/10.1016/S0927-7757(01)01099-8", "ISBN" : "0927-7757", "abstract" : "The possibility of self-aggregation of the hydrotropes, sodium salicylate, proline, resorcinol, pyrogallol and urea has been tested by viscometric and calorimetric methods. The influence of hydrotropes on: (a) the phase forming behavior of water/Triton X-100+BuOH (1:1 w/w)/isooctane; (b) the percolation of conductance of w/o microemulsion system (water/AOT/isooctane); (c) the micellization of cetylpyridiniumchloride; and (d) the clouding behavior of TX-100 and methyl cellulose have been studied. An attempt has been made to rationalize the results.", "author" : [ { "dropping-particle" : "", "family" : "Roy", "given" : "B K", "non-dropping-particle" : "", "parse-names" : false, "suffix" : "" }, { "dropping-particle" : "", "family" : "Moulik", "given" : "S P", "non-dropping-particle" : "", "parse-names" : false, "suffix" : "" } ], "container-title" : "Colloids and Surfaces A: Physicochemical and Engineering Aspects", "id" : "ITEM-1", "issue" : "1\u20133", "issued" : { "date-parts" : [ [ "2002" ] ] }, "page" : "155-166", "title" : "Functions of hydrotropes (sodium salicylate, proline, pyrogallol, resorcinol and urea) in solution with special reference to amphiphile behaviors", "type" : "article-journal", "volume" : "203" }, "uris" : [ "http://www.mendeley.com/documents/?uuid=5e8e3401-eec5-4fac-8b8d-852511ad0994"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Pr="00615FB0">
        <w:rPr>
          <w:noProof/>
          <w:vertAlign w:val="superscript"/>
        </w:rPr>
        <w:t>7</w:t>
      </w:r>
      <w:r>
        <w:fldChar w:fldCharType="end"/>
      </w:r>
      <w:r w:rsidRPr="002C58C4">
        <w:t xml:space="preserve"> Although these compounds </w:t>
      </w:r>
      <w:r>
        <w:t>exhibit</w:t>
      </w:r>
      <w:r w:rsidRPr="002C58C4">
        <w:t xml:space="preserve"> an amphiphilic nature, they are not surfactants. </w:t>
      </w:r>
      <w:r>
        <w:t>Actually</w:t>
      </w:r>
      <w:r w:rsidRPr="002C58C4">
        <w:t xml:space="preserve">, due to their short hydrophobic moiety, hydrotropes have a weak tendency to self-aggregate in water and therefore do not form micelles, nor do they present a </w:t>
      </w:r>
      <w:r>
        <w:t>CMC</w:t>
      </w:r>
      <w:r w:rsidRPr="002C58C4">
        <w:t>.</w:t>
      </w:r>
      <w:r w:rsidRPr="00204C61">
        <w:rPr>
          <w:b/>
        </w:rPr>
        <w:fldChar w:fldCharType="begin" w:fldLock="1"/>
      </w:r>
      <w:r>
        <w:rPr>
          <w:b/>
        </w:rPr>
        <w:instrText>ADDIN CSL_CITATION { "citationItems" : [ { "id" : "ITEM-1", "itemData" : { "DOI" : "10.1039/c3fd00070b", "ISBN" : "1359-6640", "abstract" : "Small amphiphilic molecules, also known as hydrotropes, are too small to form micelles in aqueous solutions. However, aqueous solutions of nonionic hydrotropes show the presence of a dynamic, loose, non-covalent clustering in the water-rich region. This clustering can be viewed as \"micelle-like structural fluctuations\". Although these fluctuations are short ranged ([similar]1 nm) and short lived (10 ps-50 ps), they may lead to thermodynamic anomalies. In addition, many experiments on aqueous solutions of hydrotropes show the occasional presence of mesoscale ([similar]100 nm) inhomogeneities. We have combined results obtained from molecular dynamics simulations, small-angle neutron scattering, and dynamic light-scattering experiments carried out on tertiary butyl alcohol (hydrotrope)-water solutions and on tertiary butyl alcohol-water-cyclohexane (hydrophobe) solutions to elucidate the nature and structure of these inhomogeneities. We have shown that stable mesoscale inhomogeneities occur in aqueous solutions of nonionic hydrotropes only when the solution contains a third, more hydrophobic, component. Moreover, these inhomogeneities exist in ternary systems only in the concentration range where structural fluctuations and thermodynamic anomalies are observed in the binary water-hydrotrope solutions. Addition of a hydrophobe seems to stabilize the water-hydrotrope structural fluctuations, and leads to the formation of larger (mesoscopic) droplets. The structure of these mesoscopic droplets is such that they have a hydrophobe-rich core, surrounded by a hydrogen-bonded shell of water and hydrotrope molecules. These droplets can be extremely long-lived, being stable for over a year. We refer to the phenomenon of formation of mesoscopic droplets in aqueous solutions of nonionic hydrotropes containing hydrophobes, as mesoscale solubilization. This phenomenon may represent a ubiquitous feature of nonionic hydrotropes that exhibit clustering in water, and may have important practical applications in areas, such as drug delivery, where the replacement of traditional surfactants may be necessary.", "author" : [ { "dropping-particle" : "", "family" : "Subramanian", "given" : "Deepa", "non-dropping-particle" : "", "parse-names" : false, "suffix" : "" }, { "dropping-particle" : "", "family" : "Boughter", "given" : "Christopher T", "non-dropping-particle" : "", "parse-names" : false, "suffix" : "" }, { "dropping-particle" : "", "family" : "Klauda", "given" : "Jeffery B", "non-dropping-particle" : "", "parse-names" : false, "suffix" : "" }, { "dropping-particle" : "", "family" : "Hammouda", "given" : "Boualem", "non-dropping-particle" : "", "parse-names" : false, "suffix" : "" }, { "dropping-particle" : "", "family" : "Anisimov", "given" : "Mikhail A", "non-dropping-particle" : "", "parse-names" : false, "suffix" : "" } ], "container-title" : "Faraday Discussions", "id" : "ITEM-1", "issue" : "0", "issued" : { "date-parts" : [ [ "2013" ] ] }, "page" : "217-238", "publisher" : "The Royal Society of Chemistry", "title" : "Mesoscale inhomogeneities in aqueous solutions of small amphiphilic molecules", "type" : "article-journal", "volume" : "167" }, "uris" : [ "http://www.mendeley.com/documents/?uuid=293f5183-5034-43b0-a289-3d82a1acc131" ] } ], "mendeley" : { "formattedCitation" : "&lt;sup&gt;8&lt;/sup&gt;", "plainTextFormattedCitation" : "8", "previouslyFormattedCitation" : "&lt;sup&gt;8&lt;/sup&gt;" }, "properties" : { "noteIndex" : 0 }, "schema" : "https://github.com/citation-style-language/schema/raw/master/csl-citation.json" }</w:instrText>
      </w:r>
      <w:r w:rsidRPr="00204C61">
        <w:rPr>
          <w:b/>
        </w:rPr>
        <w:fldChar w:fldCharType="separate"/>
      </w:r>
      <w:r w:rsidRPr="00615FB0">
        <w:rPr>
          <w:noProof/>
          <w:vertAlign w:val="superscript"/>
        </w:rPr>
        <w:t>8</w:t>
      </w:r>
      <w:r w:rsidRPr="00204C61">
        <w:rPr>
          <w:b/>
        </w:rPr>
        <w:fldChar w:fldCharType="end"/>
      </w:r>
      <w:r w:rsidRPr="002C58C4">
        <w:t xml:space="preserve"> Despite the large number of reviews addressing the hydrotrop</w:t>
      </w:r>
      <w:r>
        <w:t>y</w:t>
      </w:r>
      <w:r w:rsidRPr="002C58C4">
        <w:t>, its mechanism of action is not yet clearly underst</w:t>
      </w:r>
      <w:r>
        <w:t>ood</w:t>
      </w:r>
      <w:r w:rsidRPr="002C58C4">
        <w:t>.</w:t>
      </w:r>
      <w:r>
        <w:fldChar w:fldCharType="begin" w:fldLock="1"/>
      </w:r>
      <w:r>
        <w:instrText>ADDIN CSL_CITATION { "citationItems" : [ { "id" : "ITEM-1", "itemData" : { "DOI" : "10.1002/ceat.201100484", "ISBN" : "1521-4125", "author" : [ { "dropping-particle" : "V", "family" : "Subbarao", "given" : "C", "non-dropping-particle" : "", "parse-names" : false, "suffix" : "" }, { "dropping-particle" : "", "family" : "Chakravarthy", "given" : "I P K", "non-dropping-particle" : "", "parse-names" : false, "suffix" : "" }, { "dropping-particle" : "", "family" : "Sai Bharadwaj", "given" : "A V S L", "non-dropping-particle" : "", "parse-names" : false, "suffix" : "" }, { "dropping-particle" : "", "family" : "Prasad", "given" : "K M M", "non-dropping-particle" : "", "parse-names" : false, "suffix" : "" } ], "container-title" : "Chemical Engineering &amp; Technology", "id" : "ITEM-1", "issue" : "2", "issued" : { "date-parts" : [ [ "2012" ] ] }, "page" : "225-237", "publisher" : "WILEY-VCH Verlag", "title" : "Functions of Hydrotropes in Solutions", "type" : "article-journal", "volume" : "35" }, "uris" : [ "http://www.mendeley.com/documents/?uuid=5fd4aa80-76b8-47d2-8ba7-b571572707d5" ] }, { "id" : "ITEM-2", "itemData" : { "DOI" : "10.1039/c1sm05138e", "ISBN" : "1744-683X", "abstract" : "Hydrotropes are small molecule amphiphiles, having considerable industrial importance as agents for solubilization of hydrophobic substances in aqueous systems. The physico-chemical origin and mechanism of hydrotrope action has been a subject of academic debate and controversy for many years. One important issue is how close the solution physical chemistry of hydrotropes resembles that of common surfactants. This article seeks to improve the appreciation of this field by comparing thermodynamic, phase, spectroscopic and scattering studies of hydrotrope aqueous solutions. In addition, alkyl-hydrotropes are discussed, which represent a structural evolution from classic hydrotropes towards common surfactants, having solution properties more reminiscent of surfactants.", "author" : [ { "dropping-particle" : "", "family" : "Eastoe", "given" : "Julian", "non-dropping-particle" : "", "parse-names" : false, "suffix" : "" }, { "dropping-particle" : "", "family" : "Hatzopoulos", "given" : "Marios Hopkins", "non-dropping-particle" : "", "parse-names" : false, "suffix" : "" }, { "dropping-particle" : "", "family" : "Dowding", "given" : "Peter J", "non-dropping-particle" : "", "parse-names" : false, "suffix" : "" } ], "container-title" : "Soft Matter", "id" : "ITEM-2", "issue" : "13", "issued" : { "date-parts" : [ [ "2011" ] ] }, "page" : "5917-5925", "publisher" : "The Royal Society of Chemistry", "title" : "Action of hydrotropes and alkyl-hydrotropes", "type" : "article-journal", "volume" : "7" }, "uris" : [ "http://www.mendeley.com/documents/?uuid=700ded13-a09e-4bfd-81c6-241d9970c0f7" ] }, { "id" : "ITEM-3", "itemData" : { "DOI" : "http://dx.doi.org/10.1016/j.spjpm.2015.12.006", "ISBN" : "2405-7223", "abstract" : "Approximately a century ago, in 1916, the term \u2018hydrotropy\u2019 was coined by the scientist Carl A. Neuberg to address anionic organic salts which considerably augmented the aqueous solubility of poorly soluble solutes. Currently hydrotropic solutions possess high industrial demand due to their unique features such as easy availability, good recovery, absence of fire hazards, higher separation factors without any solutes emulsification problem and eco-friendly nature. The present review takes the readers through a concise overview, geometrical features of hydrotropic agents, hypothetical mechanisms and their different advances toward drug delivery. Moreover, this review would provide an insight of the future perspectives concerned with the drug delivery and hydrotropism.", "author" : [ { "dropping-particle" : "", "family" : "Dhapte", "given" : "Vividha", "non-dropping-particle" : "", "parse-names" : false, "suffix" : "" }, { "dropping-particle" : "", "family" : "Mehta", "given" : "Piyush", "non-dropping-particle" : "", "parse-names" : false, "suffix" : "" } ], "container-title" : "St. Petersburg Polytechnical University Journal: Physics and Mathematics", "id" : "ITEM-3", "issue" : "4", "issued" : { "date-parts" : [ [ "2015" ] ] }, "page" : "424-435", "title" : "Advances in hydrotropic solutions: An updated review", "type" : "article-journal", "volume" : "1" }, "uris" : [ "http://www.mendeley.com/documents/?uuid=39d005e7-4470-409e-9079-940fd56a3b56" ] } ], "mendeley" : { "formattedCitation" : "&lt;sup&gt;3,9,10&lt;/sup&gt;", "plainTextFormattedCitation" : "3,9,10", "previouslyFormattedCitation" : "&lt;sup&gt;3,9,10&lt;/sup&gt;" }, "properties" : { "noteIndex" : 0 }, "schema" : "https://github.com/citation-style-language/schema/raw/master/csl-citation.json" }</w:instrText>
      </w:r>
      <w:r>
        <w:fldChar w:fldCharType="separate"/>
      </w:r>
      <w:r w:rsidRPr="00615FB0">
        <w:rPr>
          <w:noProof/>
          <w:vertAlign w:val="superscript"/>
        </w:rPr>
        <w:t>3,9,10</w:t>
      </w:r>
      <w:r>
        <w:fldChar w:fldCharType="end"/>
      </w:r>
      <w:r w:rsidRPr="002C58C4">
        <w:t xml:space="preserve"> Three main hypotheses have been proposed in order to explain the hydrotropic-mediated solubilisation. Some authors justify this phenomenon with the formation of a complex betwee</w:t>
      </w:r>
      <w:r>
        <w:t>n the solute and the hydrotrope</w:t>
      </w:r>
      <w:r w:rsidRPr="002C58C4">
        <w:t>.</w:t>
      </w:r>
      <w:r>
        <w:fldChar w:fldCharType="begin" w:fldLock="1"/>
      </w:r>
      <w:r>
        <w:instrText>ADDIN CSL_CITATION { "citationItems" : [ { "id" : "ITEM-1", "itemData" : { "DOI" : "http://dx.doi.org/10.1016/j.ijpharm.2006.11.025", "ISBN" : "0378-5173", "abstract" : "The solubility enhancement of 11 poorly soluble drugs by complexation using nicotinamide has been studied. The solubilization efficiency of nicotinamide has been compared to that of hydroxypropyl-\u03b2-cyclodextrin and sulfobutylether-\u03b2-cyclodextrin. Solubility enhancements as high as 4000-fold are observed in 20% (w/v) nicotinamide solution. Furthermore, nicotinamide is more effective than cyclodextrins for solubilizing some of the drugs. The mechanism of drug solubilization by nicotinamide is investigated by studying the effects of nicotinamide concentration on the surface tension and the conductivity of water. A slight break in both, the surface tension and conductivity is noticed at around 10% (w/v), suggesting self-association at higher concentrations. Corresponding breaks in the solubility profiles of estrone and griseofulvin at similar concentrations support self-association. Based on this observation it appears that at low concentrations, one molecule of nicotinamide undergoes complexation with one drug molecule to form a 1:1 complex. At higher concentrations, two molecules of nicotinamide undergo complexation with one drug molecule forming a 1:2 complex. The complexation constants have been calculated for all the drugs and the data are well described by this model. Expectedly, increasing the temperature reduces the complexation constants.", "author" : [ { "dropping-particle" : "", "family" : "Sanghvi", "given" : "Ritesh", "non-dropping-particle" : "", "parse-names" : false, "suffix" : "" }, { "dropping-particle" : "", "family" : "Evans", "given" : "Daniel", "non-dropping-particle" : "", "parse-names" : false, "suffix" : "" }, { "dropping-particle" : "", "family" : "Yalkowsky", "given" : "Samuel H", "non-dropping-particle" : "", "parse-names" : false, "suffix" : "" } ], "container-title" : "International Journal of Pharmaceutics", "id" : "ITEM-1", "issue" : "1", "issued" : { "date-parts" : [ [ "2007" ] ] }, "page" : "35-41", "title" : "Stacking complexation by nicotinamide: A useful way of enhancing drug solubility", "type" : "article-journal", "volume" : "336" }, "uris" : [ "http://www.mendeley.com/documents/?uuid=97eaac1d-c9cd-4963-b91f-8e21fec8deba" ] }, { "id" : "ITEM-2", "itemData" : { "DOI" : "10.1002/jps.2600820117", "ISBN" : "1520-6017", "author" : [ { "dropping-particle" : "", "family" : "Hussain", "given" : "Munir A", "non-dropping-particle" : "", "parse-names" : false, "suffix" : "" }, { "dropping-particle" : "", "family" : "Diluccio", "given" : "Robert C", "non-dropping-particle" : "", "parse-names" : false, "suffix" : "" }, { "dropping-particle" : "", "family" : "Maurin", "given" : "Michael B", "non-dropping-particle" : "", "parse-names" : false, "suffix" : "" } ], "container-title" : "Journal of Pharmaceutical Sciences", "id" : "ITEM-2", "issue" : "1", "issued" : { "date-parts" : [ [ "1993" ] ] }, "page" : "77-79", "publisher" : "Wiley Subscription Services, Inc., A Wiley Company", "title" : "Complexation of moricizine with nicotinamide and evaluation of the complexation constants by various methods", "type" : "article-journal", "volume" : "82" }, "uris" : [ "http://www.mendeley.com/documents/?uuid=07ce0557-5175-4817-b7c8-2e9223aaa4bc" ] } ], "mendeley" : { "formattedCitation" : "&lt;sup&gt;11,12&lt;/sup&gt;", "plainTextFormattedCitation" : "11,12", "previouslyFormattedCitation" : "&lt;sup&gt;11,12&lt;/sup&gt;" }, "properties" : { "noteIndex" : 0 }, "schema" : "https://github.com/citation-style-language/schema/raw/master/csl-citation.json" }</w:instrText>
      </w:r>
      <w:r>
        <w:fldChar w:fldCharType="separate"/>
      </w:r>
      <w:r w:rsidRPr="00615FB0">
        <w:rPr>
          <w:noProof/>
          <w:vertAlign w:val="superscript"/>
        </w:rPr>
        <w:t>11,12</w:t>
      </w:r>
      <w:r>
        <w:fldChar w:fldCharType="end"/>
      </w:r>
      <w:r w:rsidRPr="002C58C4">
        <w:t xml:space="preserve"> On the other hand, some works suggest that the hydrotropes may change the solvent structure around the solute and can be therefore considered </w:t>
      </w:r>
      <w:r>
        <w:t>as structure makers or breakers</w:t>
      </w:r>
      <w:r w:rsidRPr="002C58C4">
        <w:t>.</w:t>
      </w:r>
      <w:r>
        <w:fldChar w:fldCharType="begin" w:fldLock="1"/>
      </w:r>
      <w:r>
        <w:instrText>ADDIN CSL_CITATION { "citationItems" : [ { "id" : "ITEM-1", "itemData" : { "DOI" : "10.1007/s11743-998-0046-y", "ISBN" : "1558-9293", "abstract" : "The hydrotropic effect of different alkyl polyglucosides (APG) has been studied and compared with a model hydrotrope, toluol-4-sulfonic acid. The effect has been assessed by two different methods: (i) as the cloud point elevation of a solution containing different nonionic surfactants upon addition of the hydrotrope and (ii) the destabilization of liquid crystaline phases in a ternary system. The effect of the hydrophobic alkyl group length was found to be opposite in the two methods. APG with intermediate alkyl chain lengths (octyl and decyl) was shown to be very effective in elevating the cloud point, while APG with a short (butyl) group was the most efficient in destabilizing liquid crystalline phases in the system of water, sodium dodecyl sulfate and pentanol. Effects on phase behavior and cloud point elevation with addition of an APG are highly dependent on its structure. However, the correlation between structural effects, as observed in the two methods requires further study.", "author" : [ { "dropping-particle" : "", "family" : "Matero", "given" : "Anna", "non-dropping-particle" : "", "parse-names" : false, "suffix" : "" }, { "dropping-particle" : "", "family" : "Mattsson", "given" : "\u00c5sa", "non-dropping-particle" : "", "parse-names" : false, "suffix" : "" }, { "dropping-particle" : "", "family" : "Svensson", "given" : "Martin", "non-dropping-particle" : "", "parse-names" : false, "suffix" : "" } ], "container-title" : "Journal of Surfactants and Detergents", "id" : "ITEM-1", "issue" : "4", "issued" : { "date-parts" : [ [ "1998" ] ] }, "page" : "485-489", "title" : "Alkyl polyglucosides as hydrotropes", "type" : "article-journal", "volume" : "1" }, "uris" : [ "http://www.mendeley.com/documents/?uuid=bdd5c192-dd12-41f3-bd6c-b4b523b60602" ] }, { "id" : "ITEM-2", "itemData" : { "DOI" : "10.1021/la050554l", "ISBN" : "0743-7463", "author" : [ { "dropping-particle" : "", "family" : "Bauduin", "given" : "P", "non-dropping-particle" : "", "parse-names" : false, "suffix" : "" }, { "dropping-particle" : "", "family" : "Renoncourt", "given" : "A", "non-dropping-particle" : "", "parse-names" : false, "suffix" : "" }, { "dropping-particle" : "", "family" : "Kopf", "given" : "A", "non-dropping-particle" : "", "parse-names" : false, "suffix" : "" }, { "dropping-particle" : "", "family" : "Touraud", "given" : "D", "non-dropping-particle" : "", "parse-names" : false, "suffix" : "" }, { "dropping-particle" : "", "family" : "Kunz", "given" : "W", "non-dropping-particle" : "", "parse-names" : false, "suffix" : "" } ], "container-title" : "Langmuir", "id" : "ITEM-2", "issue" : "15", "issued" : { "date-parts" : [ [ "2005" ] ] }, "page" : "6769-6775", "publisher" : "American Chemical Society", "title" : "Unified Concept of Solubilization in Water by Hydrotropes and Cosolvents", "type" : "article-journal", "volume" : "21" }, "uris" : [ "http://www.mendeley.com/documents/?uuid=68500a71-2fe1-40e7-b719-55580ca4df7a" ] } ], "mendeley" : { "formattedCitation" : "&lt;sup&gt;13,14&lt;/sup&gt;", "plainTextFormattedCitation" : "13,14", "previouslyFormattedCitation" : "&lt;sup&gt;13,14&lt;/sup&gt;" }, "properties" : { "noteIndex" : 0 }, "schema" : "https://github.com/citation-style-language/schema/raw/master/csl-citation.json" }</w:instrText>
      </w:r>
      <w:r>
        <w:fldChar w:fldCharType="separate"/>
      </w:r>
      <w:r w:rsidRPr="00615FB0">
        <w:rPr>
          <w:noProof/>
          <w:vertAlign w:val="superscript"/>
        </w:rPr>
        <w:t>13,14</w:t>
      </w:r>
      <w:r>
        <w:fldChar w:fldCharType="end"/>
      </w:r>
      <w:r w:rsidRPr="002C58C4">
        <w:t xml:space="preserve"> In recent years, co-aggregation of the solute with the hydrotropes above a minimum hydrotrope concentration (MHC) has been proposed as the main mechanism</w:t>
      </w:r>
      <w:r>
        <w:t xml:space="preserve"> behind the enhanced solubility</w:t>
      </w:r>
      <w:r w:rsidRPr="002C58C4">
        <w:t>.</w:t>
      </w:r>
      <w:r>
        <w:fldChar w:fldCharType="begin" w:fldLock="1"/>
      </w:r>
      <w:r>
        <w:instrText>ADDIN CSL_CITATION { "citationItems" : [ { "id" : "ITEM-1", "itemData" : { "DOI" : "10.1023/a:1024458206032", "ISBN" : "1573-904X", "abstract" : "Purpose. To identify hydrotropic agents that can increase aqueous paclitaxel (PTX) solubility and to study the chemical structures necessary for hydrotropic properties so that polymeric hydrotropic agents can be synthesized.", "author" : [ { "dropping-particle" : "", "family" : "Lee", "given" : "Jaehwi", "non-dropping-particle" : "", "parse-names" : false, "suffix" : "" }, { "dropping-particle" : "", "family" : "Lee", "given" : "Sang Cheon", "non-dropping-particle" : "", "parse-names" : false, "suffix" : "" }, { "dropping-particle" : "", "family" : "Acharya", "given" : "Ghanashyam", "non-dropping-particle" : "", "parse-names" : false, "suffix" : "" }, { "dropping-particle" : "", "family" : "Chang", "given" : "Ching-jer", "non-dropping-particle" : "", "parse-names" : false, "suffix" : "" }, { "dropping-particle" : "", "family" : "Park", "given" : "Kinam", "non-dropping-particle" : "", "parse-names" : false, "suffix" : "" } ], "container-title" : "Pharmaceutical Research", "id" : "ITEM-1", "issue" : "7", "issued" : { "date-parts" : [ [ "2003" ] ] }, "page" : "1022-1030", "title" : "Hydrotropic Solubilization of Paclitaxel: Analysis of Chemical Structures for Hydrotropic Property", "type" : "article-journal", "volume" : "20" }, "uris" : [ "http://www.mendeley.com/documents/?uuid=db0a0751-5208-484b-a151-a44804422f5d" ] }, { "id" : "ITEM-2", "itemData" : { "DOI" : "http://dx.doi.org/10.1016/j.jcis.2007.07.020", "ISBN" : "0021-9797", "abstract" : "A method based on the aggregate to monomol emission ratio, I aggr / I monomol , was used to determine the minimal hydrotropic concentration (MHC) of aromatic hydrotropes. The main advantage of this method is that it does not require the use of probes or other additives, which might disrupt the aggregation process. Also, it relies on spectrophotometric measurements, which are more sensitive and less arduous than others, like conductivity, light scattering and surface tension.", "author" : [ { "dropping-particle" : "", "family" : "Neumann", "given" : "Miguel G", "non-dropping-particle" : "", "parse-names" : false, "suffix" : "" }, { "dropping-particle" : "", "family" : "Schmitt", "given" : "Carla C", "non-dropping-particle" : "", "parse-names" : false, "suffix" : "" }, { "dropping-particle" : "", "family" : "Prieto", "given" : "Katia R", "non-dropping-particle" : "", "parse-names" : false, "suffix" : "" }, { "dropping-particle" : "", "family" : "Goi", "given" : "Beatriz E", "non-dropping-particle" : "", "parse-names" : false, "suffix" : "" } ], "container-title" : "Journal of Colloid and Interface Science", "id" : "ITEM-2", "issue" : "2", "issued" : { "date-parts" : [ [ "2007" ] ] }, "page" : "810-813", "title" : "The photophysical determination of the minimum hydrotrope concentration of aromatic hydrotropes", "type" : "article-journal", "volume" : "315" }, "uris" : [ "http://www.mendeley.com/documents/?uuid=a21d53fb-3da1-434f-b77c-d1b1f3903b2b" ] }, { "id" : "ITEM-3", "itemData" : { "DOI" : "10.1021/jp309819r", "ISBN" : "1520-6106", "author" : [ { "dropping-particle" : "", "family" : "Booth", "given" : "Jonathan J", "non-dropping-particle" : "", "parse-names" : false, "suffix" : "" }, { "dropping-particle" : "", "family" : "Abbott", "given" : "Steven", "non-dropping-particle" : "", "parse-names" : false, "suffix" : "" }, { "dropping-particle" : "", "family" : "Shimizu", "given" : "Seishi", "non-dropping-particle" : "", "parse-names" : false, "suffix" : "" } ], "container-title" : "The Journal of Physical Chemistry B", "id" : "ITEM-3", "issue" : "51", "issued" : { "date-parts" : [ [ "2012" ] ] }, "page" : "14915-14921", "publisher" : "American Chemical Society", "title" : "Mechanism of Hydrophobic Drug Solubilization by Small Molecule Hydrotropes", "type" : "article-journal", "volume" : "116" }, "uris" : [ "http://www.mendeley.com/documents/?uuid=3dea8f44-5c4b-4093-b336-7139d5e227b1" ] }, { "id" : "ITEM-4", "itemData" : { "DOI" : "10.1021/jp505869m", "ISBN" : "1520-6106", "author" : [ { "dropping-particle" : "", "family" : "Shimizu", "given" : "Seishi", "non-dropping-particle" : "", "parse-names" : false, "suffix" : "" }, { "dropping-particle" : "", "family" : "Matubayasi", "given" : "Nobuyuki", "non-dropping-particle" : "", "parse-names" : false, "suffix" : "" } ], "container-title" : "The Journal of Physical Chemistry B", "id" : "ITEM-4", "issue" : "35", "issued" : { "date-parts" : [ [ "2014" ] ] }, "page" : "10515-10524", "publisher" : "American Chemical Society", "title" : "Hydrotropy: Monomer\u2013Micelle Equilibrium and Minimum Hydrotrope Concentration", "type" : "article-journal", "volume" : "118" }, "uris" : [ "http://www.mendeley.com/documents/?uuid=37bd5cd4-ca47-464f-adf9-a47956b686ef" ] }, { "id" : "ITEM-5", "itemData" : { "DOI" : "10.1039/c6cp04823d", "ISSN" : "1463-9084", "PMID" : "27711657", "abstract" : "The signature of hydrotropic solubilisation is the sigmoidal solubility curve; when plotted against hydrotrope concentration, solubility increases suddenly after the minimum hydrotrope concentration (MHC), and reaches a plateau at higher hydrotrope concentrations. This sigmoidal curve is characteristic of cooperative phenomena, yet the true molecular basis of hydrotropic cooperativity has long remained unclear. Here we develop a theory, derived from the first principles of statistical thermodynamics using partially-open ensembles, to identify the origin of hydrophobic cooperativity. Our theory bears a close resemblance to the cooperative binding model used for protein-ligand binding. The cause of cooperativity is the enhancement of the hydrotrope m-body interaction induced by the presence of the solute; m can be estimated from the experimental solubility data.", "author" : [ { "dropping-particle" : "", "family" : "Shimizu", "given" : "Seishi", "non-dropping-particle" : "", "parse-names" : false, "suffix" : "" }, { "dropping-particle" : "", "family" : "Matubayasi", "given" : "Nobuyuki", "non-dropping-particle" : "", "parse-names" : false, "suffix" : "" } ], "container-title" : "Physical chemistry chemical physics : PCCP", "id" : "ITEM-5", "issue" : "36", "issued" : { "date-parts" : [ [ "2016", "9", "14" ] ] }, "page" : "25621-25628", "title" : "The origin of cooperative solubilisation by hydrotropes.", "type" : "article-journal", "volume" : "18" }, "uris" : [ "http://www.mendeley.com/documents/?uuid=7684f45c-e1df-3f3e-85f4-e3692a908cc9" ] }, { "id" : "ITEM-6", "itemData" : { "DOI" : "10.1039/C4CP05414H", "ISSN" : "1463-9076", "abstract" : "Nicotinamide is an effective non-micellar hydrotrope (solubilizer) for drugs with low aqueous solubility. To clarify the molecular basis of nicotinamide\u2019s hydrotropic effectiveness, we present here a rigorous statistical thermodynamic theory, based on the Kirkwood\u2013Buff theory of solutions, and our recent application of it to hydrotropy. We have shown that (i) nicotinamide self-association reduces solubilization efficiency, contrary to the previous hypothesis which claimed that self-association drives solubilization and (ii) the minimum hydrotrope concentration (MHC), namely, the threshold concentration above which solubility suddenly increases, is caused not by the bulk-phase self-association of nicotinamides as has been postulated previously, but by the enhancement of nicotinamide\u2013nicotinamide interaction around the drug molecules. We have thus established a new view of hydrotropy \u2013 it is nicotinamide\u2019s non-stoichiometric accumulation around the drug that is the basis of solubility increase above MHC.", "author" : [ { "dropping-particle" : "", "family" : "Booth", "given" : "Jonathan J.", "non-dropping-particle" : "", "parse-names" : false, "suffix" : "" }, { "dropping-particle" : "", "family" : "Omar", "given" : "Muhiadin", "non-dropping-particle" : "", "parse-names" : false, "suffix" : "" }, { "dropping-particle" : "", "family" : "Abbott", "given" : "Steven", "non-dropping-particle" : "", "parse-names" : false, "suffix" : "" }, { "dropping-particle" : "", "family" : "Shimizu", "given" : "Seishi", "non-dropping-particle" : "", "parse-names" : false, "suffix" : "" }, { "dropping-particle" : "", "family" : "Anisimov", "given" : "M. A.", "non-dropping-particle" : "", "parse-names" : false, "suffix" : "" } ], "container-title" : "Phys. Chem. Chem. Phys.", "id" : "ITEM-6", "issue" : "12", "issued" : { "date-parts" : [ [ "2015", "3", "11" ] ] }, "page" : "8028-8037", "publisher" : "The Royal Society of Chemistry", "title" : "Hydrotrope accumulation around the drug: the driving force for solubilization and minimum hydrotrope concentration for nicotinamide and urea", "type" : "article-journal", "volume" : "17" }, "uris" : [ "http://www.mendeley.com/documents/?uuid=ba9a0585-f429-376e-ace5-fc54e6abbeb8" ] }, { "id" : "ITEM-7", "itemData" : { "DOI" : "10.1039/c3cp53791a", "ISBN" : "1463-9076", "ISSN" : "1463-9076", "abstract" : "Hydrophobic drugs can often be solubilized by the addition of hydrotropes. We have previously shown that preferential drug-hydrotrope association is one of the major factors of increased solubility (but not \"hydrotrope clustering\" or changes in \"water structure\"). How, then, can we understand this drug-hydrotrope interaction at a molecular level? Thermodynamic models based upon stoichiometric solute-water and solute-hydrotrope binding have long been used to understand solubilization microscopically. Such binding models have shown that the solvation numbers or coordination numbers of the water and hydrotrope molecules around the drug solute is the key quantity for solute-water and solute-hydrotrope interaction. However, we show that a rigorous statistical thermodynamic theory (the fluctuation solution theory originated by Kirkwood and Buff) requires the total reconsideration of such a paradigm. Here we show that (i) the excess solvation number (the net increase or decrease, relative to the bulk, of the solvent molecules around the solute), not the coordination number, is the key quantity for describing the solute-hydrotrope interaction; (ii) solute-hydrotrope binding is beyond the reach of the stoichiometric models because long-range solvation structure plays an important role.", "author" : [ { "dropping-particle" : "", "family" : "Shimizu", "given" : "Seishi", "non-dropping-particle" : "", "parse-names" : false, "suffix" : "" }, { "dropping-particle" : "", "family" : "Booth", "given" : "Jonathan J", "non-dropping-particle" : "", "parse-names" : false, "suffix" : "" }, { "dropping-particle" : "", "family" : "Abbott", "given" : "Steven", "non-dropping-particle" : "", "parse-names" : false, "suffix" : "" } ], "container-title" : "Physical Chemistry Chemical Physics", "id" : "ITEM-7", "issue" : "47", "issued" : { "date-parts" : [ [ "2013" ] ] }, "page" : "20625-20632", "publisher" : "The Royal Society of Chemistry", "title" : "Hydrotropy: binding models vs. statistical thermodynamics", "type" : "article-journal", "volume" : "15" }, "uris" : [ "http://www.mendeley.com/documents/?uuid=87be8ec6-c176-4263-8598-940ccbd3fa7a" ] } ], "mendeley" : { "formattedCitation" : "&lt;sup&gt;15\u201321&lt;/sup&gt;", "plainTextFormattedCitation" : "15\u201321", "previouslyFormattedCitation" : "&lt;sup&gt;15\u201321&lt;/sup&gt;" }, "properties" : { "noteIndex" : 0 }, "schema" : "https://github.com/citation-style-language/schema/raw/master/csl-citation.json" }</w:instrText>
      </w:r>
      <w:r>
        <w:fldChar w:fldCharType="separate"/>
      </w:r>
      <w:r w:rsidRPr="00615FB0">
        <w:rPr>
          <w:noProof/>
          <w:vertAlign w:val="superscript"/>
        </w:rPr>
        <w:t>15–21</w:t>
      </w:r>
      <w:r>
        <w:fldChar w:fldCharType="end"/>
      </w:r>
      <w:r w:rsidRPr="002C58C4">
        <w:t xml:space="preserve"> The MHC of a hydrotrope is considered as a measure of the stability of its aggregation form relative</w:t>
      </w:r>
      <w:r>
        <w:t>ly</w:t>
      </w:r>
      <w:r w:rsidRPr="002C58C4">
        <w:t xml:space="preserve"> to its monomeric form. Thus, the lower the MHC</w:t>
      </w:r>
      <w:r>
        <w:t>, the greater is the hydrotrope stability</w:t>
      </w:r>
      <w:r w:rsidRPr="002C58C4">
        <w:t>.</w:t>
      </w:r>
      <w:r>
        <w:fldChar w:fldCharType="begin" w:fldLock="1"/>
      </w:r>
      <w:r>
        <w:instrText>ADDIN CSL_CITATION { "citationItems" : [ { "id" : "ITEM-1", "itemData" : { "DOI" : "10.1002/ceat.201100484", "ISBN" : "1521-4125", "author" : [ { "dropping-particle" : "V", "family" : "Subbarao", "given" : "C", "non-dropping-particle" : "", "parse-names" : false, "suffix" : "" }, { "dropping-particle" : "", "family" : "Chakravarthy", "given" : "I P K", "non-dropping-particle" : "", "parse-names" : false, "suffix" : "" }, { "dropping-particle" : "", "family" : "Sai Bharadwaj", "given" : "A V S L", "non-dropping-particle" : "", "parse-names" : false, "suffix" : "" }, { "dropping-particle" : "", "family" : "Prasad", "given" : "K M M", "non-dropping-particle" : "", "parse-names" : false, "suffix" : "" } ], "container-title" : "Chemical Engineering &amp; Technology", "id" : "ITEM-1", "issue" : "2", "issued" : { "date-parts" : [ [ "2012" ] ] }, "page" : "225-237", "publisher" : "WILEY-VCH Verlag", "title" : "Functions of Hydrotropes in Solutions", "type" : "article-journal", "volume" : "35" }, "uris" : [ "http://www.mendeley.com/documents/?uuid=5fd4aa80-76b8-47d2-8ba7-b571572707d5"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Pr="00615FB0">
        <w:rPr>
          <w:noProof/>
          <w:vertAlign w:val="superscript"/>
        </w:rPr>
        <w:t>3</w:t>
      </w:r>
      <w:r>
        <w:fldChar w:fldCharType="end"/>
      </w:r>
    </w:p>
    <w:p w14:paraId="23360C91" w14:textId="77777777" w:rsidR="00BA5F39" w:rsidRDefault="00BA5F39" w:rsidP="00BA5F39">
      <w:pPr>
        <w:pStyle w:val="RSCB02ArticleText"/>
      </w:pPr>
      <w:r w:rsidRPr="00A57707">
        <w:t>During the last years</w:t>
      </w:r>
      <w:r w:rsidR="00AC3BB5">
        <w:t>,</w:t>
      </w:r>
      <w:r w:rsidRPr="00A57707">
        <w:t xml:space="preserve"> the application of </w:t>
      </w:r>
      <w:r w:rsidR="00AC3BB5">
        <w:t>ionic liquids (</w:t>
      </w:r>
      <w:r>
        <w:t>ILs</w:t>
      </w:r>
      <w:r w:rsidR="00AC3BB5">
        <w:t>)</w:t>
      </w:r>
      <w:r w:rsidRPr="00A57707">
        <w:t xml:space="preserve"> was extended from solvents in “green” chemistry to pharmaceutical application</w:t>
      </w:r>
      <w:r w:rsidR="00355671">
        <w:t>s</w:t>
      </w:r>
      <w:r w:rsidRPr="00A57707">
        <w:t xml:space="preserve"> with the ultimate aim to improve the </w:t>
      </w:r>
      <w:r w:rsidRPr="00ED6E0C">
        <w:t xml:space="preserve">active pharmaceutical ingredient </w:t>
      </w:r>
      <w:r>
        <w:t>(API)</w:t>
      </w:r>
      <w:r w:rsidRPr="00A57707">
        <w:t xml:space="preserve"> dissolution, solubility and bioavailabili</w:t>
      </w:r>
      <w:r>
        <w:t>ty and to prevent polymorphism</w:t>
      </w:r>
      <w:r w:rsidRPr="00A57707">
        <w:t>.</w:t>
      </w:r>
      <w:r>
        <w:fldChar w:fldCharType="begin" w:fldLock="1"/>
      </w:r>
      <w:r>
        <w:instrText>ADDIN CSL_CITATION { "citationItems" : [ { "id" : "ITEM-1", "itemData" : { "DOI" : "10.1002/cmdc.201100082", "ISBN" : "1860-7187", "author" : [ { "dropping-particle" : "", "family" : "Ferraz", "given" : "Ricardo", "non-dropping-particle" : "", "parse-names" : false, "suffix" : "" }, { "dropping-particle" : "", "family" : "Branco", "given" : "Lu\u00eds C", "non-dropping-particle" : "", "parse-names" : false, "suffix" : "" }, { "dropping-particle" : "", "family" : "Prud\u00eancio", "given" : "Cristina", "non-dropping-particle" : "", "parse-names" : false, "suffix" : "" }, { "dropping-particle" : "", "family" : "Noronha", "given" : "Jo\u00e3o Paulo", "non-dropping-particle" : "", "parse-names" : false, "suffix" : "" }, { "dropping-particle" : "", "family" : "Petrovski", "given" : "\u017deljko", "non-dropping-particle" : "", "parse-names" : false, "suffix" : "" } ], "container-title" : "ChemMedChem", "id" : "ITEM-1", "issue" : "6", "issued" : { "date-parts" : [ [ "2011" ] ] }, "page" : "975-985", "publisher" : "WILEY-VCH Verlag", "title" : "Ionic Liquids as Active Pharmaceutical Ingredients", "type" : "article-journal", "volume" : "6" }, "uris" : [ "http://www.mendeley.com/documents/?uuid=5ed42108-3569-4b57-90a1-31b9f6ed25bd" ] }, { "id" : "ITEM-2", "itemData" : { "DOI" : "10.1246/bcsj.80.2262", "author" : [ { "dropping-particle" : "", "family" : "Hough", "given" : "Whitney L", "non-dropping-particle" : "", "parse-names" : false, "suffix" : "" }, { "dropping-particle" : "", "family" : "Rogers", "given" : "Robin D", "non-dropping-particle" : "", "parse-names" : false, "suffix" : "" } ], "container-title" : "Bulletin of the Chemical Society of Japan", "id" : "ITEM-2", "issue" : "12", "issued" : { "date-parts" : [ [ "2007" ] ] }, "page" : "2262-2269", "title" : "Ionic Liquids Then and Now: From Solvents to Materials to Active Pharmaceutical Ingredients", "type" : "article-journal", "volume" : "80" }, "uris" : [ "http://www.mendeley.com/documents/?uuid=24f82c76-3057-47bb-98a3-494d8443a50b" ] }, { "id" : "ITEM-3", "itemData" : { "DOI" : "10.1039/b925147b", "ISBN" : "1359-7345", "abstract" : "We present a strategy to expand the liquid and compositional ranges of ionic liquids, specifically pharmaceutically active ionic liquids, by simple mixing with a solid acid or base to form oligomeric ions.", "author" : [ { "dropping-particle" : "", "family" : "Bica", "given" : "Katharina", "non-dropping-particle" : "", "parse-names" : false, "suffix" : "" }, { "dropping-particle" : "", "family" : "Rogers", "given" : "Robin D", "non-dropping-particle" : "", "parse-names" : false, "suffix" : "" } ], "container-title" : "Chemical Communications", "id" : "ITEM-3", "issue" : "8", "issued" : { "date-parts" : [ [ "2010" ] ] }, "page" : "1215-1217", "publisher" : "The Royal Society of Chemistry", "title" : "Confused ionic liquid ions-a \"liquification\" and dosage strategy for pharmaceutically active salts", "type" : "article-journal", "volume" : "46" }, "uris" : [ "http://www.mendeley.com/documents/?uuid=9f6fa3d0-b6aa-4b73-9fe7-556a6d73c92d" ] }, { "id" : "ITEM-4", "itemData" : { "DOI" : "10.1039/c1cc14314j", "ISBN" : "1359-7345", "abstract" : "We show that pharmaceutically active protic ionic liquids can be designed to rapidly transport through model membranes as neutral hydrogen bonded clusters.", "author" : [ { "dropping-particle" : "", "family" : "Stoimenovski", "given" : "Jelena", "non-dropping-particle" : "", "parse-names" : false, "suffix" : "" }, { "dropping-particle" : "", "family" : "MacFarlane", "given" : "Douglas R", "non-dropping-particle" : "", "parse-names" : false, "suffix" : "" } ], "container-title" : "Chemical Communications", "id" : "ITEM-4", "issue" : "41", "issued" : { "date-parts" : [ [ "2011" ] ] }, "page" : "11429-11431", "publisher" : "The Royal Society of Chemistry", "title" : "Enhanced membrane transport of pharmaceutically active protic ionic liquids", "type" : "article-journal", "volume" : "47" }, "uris" : [ "http://www.mendeley.com/documents/?uuid=be6d4221-2a5d-4338-ac43-c58d1974736c" ] }, { "id" : "ITEM-5", "itemData" : { "DOI" : "10.1039/c2cc30959a", "author" : [ { "dropping-particle" : "", "family" : "Bica", "given" : "K", "non-dropping-particle" : "", "parse-names" : false, "suffix" : "" }, { "dropping-particle" : "", "family" : "Rodr\u00edguez", "given" : "H", "non-dropping-particle" : "", "parse-names" : false, "suffix" : "" }, { "dropping-particle" : "", "family" : "Gurau", "given" : "G", "non-dropping-particle" : "", "parse-names" : false, "suffix" : "" }, { "dropping-particle" : "", "family" : "Andreea Cojocaru", "given" : "O", "non-dropping-particle" : "", "parse-names" : false, "suffix" : "" }, { "dropping-particle" : "", "family" : "Riisager", "given" : "A", "non-dropping-particle" : "", "parse-names" : false, "suffix" : "" }, { "dropping-particle" : "", "family" : "Fehrmann", "given" : "R", "non-dropping-particle" : "", "parse-names" : false, "suffix" : "" }, { "dropping-particle" : "", "family" : "Rogers", "given" : "R D", "non-dropping-particle" : "", "parse-names" : false, "suffix" : "" } ], "container-title" : "Chemical Communications", "id" : "ITEM-5", "issue" : "44", "issued" : { "date-parts" : [ [ "2012" ] ] }, "page" : "5422-5424", "title" : "Pharmaceutically active ionic liquids with solids handling, enhanced thermal stability, and fast release", "type" : "article-journal", "volume" : "48" }, "uris" : [ "http://www.mendeley.com/documents/?uuid=54999a24-1599-477b-8765-5046adb6580f" ] }, { "id" : "ITEM-6", "itemData" : { "DOI" : "10.1039/b706677p", "ISBN" : "1144-0546", "abstract" : "A modular, ionic liquid (IL)-based strategy allows compartmentalized molecular level design of a wide range of new materials with tunable biological, as well as the well known physical and chemical, properties of ILs, which thus deserve consideration as 'tunable' active pharmaceutical ingredients (APIs) with novel performance enhancement and delivery options. IL strategies can take advantage of the dual nature (discrete ions) of ILs to realize enhancements which may include controlled solubility (e.g., both hydrophilic and hydrophobic ILs are possible), bioavailability or bioactivity, stability, elimination of polymorphism, new delivery options (e.g., slow release or the IL-API as 'solvent'), or even customized pharmaceutical cocktails. Here we exemplify this approach with, among others, lidocaine docusate (LD), a hydrophobic room temperature IL which, when compared to lidocaine hydrochloride, exhibits modified solubility, increased thermal stability, and a significant enhancement in the efficacy of topical analgesia in two different models of mouse antinociception. Studies of the suppression of nerve growth factor mediated neuronal differentiation in rat pheochromocytoma (PC12) cells suggests potential differences between LD and lidocaine hydrochloride at the cellular level indicating an entirely different mechanism of action. Taken together these results suggest that the unique physiochemical properties of ILs in general, may confer a novel effect for the bioactivity of an API due to (at least) slow-release properties in addition to novel delivery mechanisms.", "author" : [ { "dropping-particle" : "", "family" : "Hough", "given" : "Whitney L", "non-dropping-particle" : "", "parse-names" : false, "suffix" : "" }, { "dropping-particle" : "", "family" : "Smiglak", "given" : "Marcin", "non-dropping-particle" : "", "parse-names" : false, "suffix" : "" }, { "dropping-particle" : "", "family" : "Rodriguez", "given" : "Hector", "non-dropping-particle" : "", "parse-names" : false, "suffix" : "" }, { "dropping-particle" : "", "family" : "Swatloski", "given" : "Richard P", "non-dropping-particle" : "", "parse-names" : false, "suffix" : "" }, { "dropping-particle" : "", "family" : "Spear", "given" : "Scott K", "non-dropping-particle" : "", "parse-names" : false, "suffix" : "" }, { "dropping-particle" : "", "family" : "Daly", "given" : "Daniel T", "non-dropping-particle" : "", "parse-names" : false, "suffix" : "" }, { "dropping-particle" : "", "family" : "Pernak", "given" : "Juliusz", "non-dropping-particle" : "", "parse-names" : false, "suffix" : "" }, { "dropping-particle" : "", "family" : "Grisel", "given" : "Judith E", "non-dropping-particle" : "", "parse-names" : false, "suffix" : "" }, { "dropping-particle" : "", "family" : "Carliss", "given" : "Richard D", "non-dropping-particle" : "", "parse-names" : false, "suffix" : "" }, { "dropping-particle" : "", "family" : "Soutullo", "given" : "Morgan D", "non-dropping-particle" : "", "parse-names" : false, "suffix" : "" }, { "dropping-particle" : "", "family" : "Davis", "given" : "Jr James H", "non-dropping-particle" : "", "parse-names" : false, "suffix" : "" }, { "dropping-particle" : "", "family" : "Rogers", "given" : "Robin D", "non-dropping-particle" : "", "parse-names" : false, "suffix" : "" } ], "container-title" : "New Journal of Chemistry", "id" : "ITEM-6", "issue" : "8", "issued" : { "date-parts" : [ [ "2007" ] ] }, "page" : "1429-1436", "publisher" : "The Royal Society of Chemistry", "title" : "The third evolution of ionic liquids: active pharmaceutical ingredients", "type" : "article-journal", "volume" : "31" }, "uris" : [ "http://www.mendeley.com/documents/?uuid=dbb5a719-a74c-49b6-b048-887f8fdb77ba" ] }, { "id" : "ITEM-7", "itemData" : { "DOI" : "10.1039/b923855g", "ISBN" : "1463-9076", "abstract" : "We present an ionic liquid (IL) approach towards a dual functional liquid salt form of aspirin using different pharmaceutically active cations composed of antibacterials, analgesics, local anesthetics, and antiarrhythmic drugs in combination with acetylsalicylic acid or its metabolite salicylic acid and discuss stability of these ILs in comparison to solid salts. Several low-melting or liquid salts of salicylic acid with dual functionality and promising properties were isolated and characterized; however, although such ILs with aspirin could be prepared, they suffer from limited stability and slowly decompose into the corresponding salicylate ILs when exposed to moisture.", "author" : [ { "dropping-particle" : "", "family" : "Bica", "given" : "Katharina", "non-dropping-particle" : "", "parse-names" : false, "suffix" : "" }, { "dropping-particle" : "", "family" : "Rijksen", "given" : "Christiaan", "non-dropping-particle" : "", "parse-names" : false, "suffix" : "" }, { "dropping-particle" : "", "family" : "Nieuwenhuyzen", "given" : "Mark", "non-dropping-particle" : "", "parse-names" : false, "suffix" : "" }, { "dropping-particle" : "", "family" : "Rogers", "given" : "Robin D", "non-dropping-particle" : "", "parse-names" : false, "suffix" : "" } ], "container-title" : "Physical Chemistry Chemical Physics", "id" : "ITEM-7", "issue" : "8", "issued" : { "date-parts" : [ [ "2010" ] ] }, "page" : "2011-2017", "publisher" : "The Royal Society of Chemistry", "title" : "In search of pure liquid salt forms of aspirin: ionic liquid approaches with acetylsalicylic acid and salicylic acid", "type" : "article-journal", "volume" : "12" }, "uris" : [ "http://www.mendeley.com/documents/?uuid=d608411e-6930-4bbc-a160-d2bb6df1ce35" ] }, { "id" : "ITEM-8", "itemData" : { "DOI" : "http://dx.doi.org/10.1016/j.ejpb.2015.04.034", "ISBN" : "0939-6411", "abstract" : "Poor water solubility of active pharmaceutical ingredients (API) is a major challenge in drug development impairing bioavailability and therapeutic benefit. This study is addressing the possibility to tailor pharmaceutical and physical properties of APIs by transforming these into tetrabutylphosphonium (TBP) salts, including the generation of ionic liquids (IL). Therefore, poorly water soluble acidic APIs (Diclofenac, Ibuprofen, Ketoprofen, Naproxen, Sulfadiazine, Sulfamethoxazole, and Tolbutamide) were converted into TBP ILs or low melting salts and compared to the corresponding sodium salts. Free acids and TBP salts were characterized by NMR and IR spectroscopy, DSC and XRPD, DVS and dissolution rate measurements, release profiles, and saturation concentration measurements. TBP salts had lower melting points and glass transition temperatures and dissolution rates were improved up to a factor of 1000 as compared to the corresponding free acid. An increase in dissolution rates was at the expense of increased hygroscopicity. In conclusion, the creation of TBP ionic liquids or solid salts from APIs is a valuable concept addressing dissolution and solubility challenges of poorly water soluble acidic compounds. The data suggested that tailor-made counterions may substantially expand the formulation scientist\u2019s armamentarium to meet challenges of poorly water soluble drugs.", "author" : [ { "dropping-particle" : "", "family" : "Balk", "given" : "Anja", "non-dropping-particle" : "", "parse-names" : false, "suffix" : "" }, { "dropping-particle" : "", "family" : "Wiest", "given" : "Johannes", "non-dropping-particle" : "", "parse-names" : false, "suffix" : "" }, { "dropping-particle" : "", "family" : "Widmer", "given" : "Toni", "non-dropping-particle" : "", "parse-names" : false, "suffix" : "" }, { "dropping-particle" : "", "family" : "Galli", "given" : "Bruno", "non-dropping-particle" : "", "parse-names" : false, "suffix" : "" }, { "dropping-particle" : "", "family" : "Holzgrabe", "given" : "Ulrike", "non-dropping-particle" : "", "parse-names" : false, "suffix" : "" }, { "dropping-particle" : "", "family" : "Meinel", "given" : "Lorenz", "non-dropping-particle" : "", "parse-names" : false, "suffix" : "" } ], "container-title" : "European Journal of Pharmaceutics and Biopharmaceutics", "id" : "ITEM-8", "issued" : { "date-parts" : [ [ "2015" ] ] }, "page" : "73-82", "title" : "Transformation of acidic poorly water soluble drugs into ionic liquids", "type" : "article-journal", "volume" : "94" }, "uris" : [ "http://www.mendeley.com/documents/?uuid=4ab8402d-05b4-40bd-8555-723aec50e31a" ] }, { "id" : "ITEM-9", "itemData" : { "DOI" : "10.1021/acssuschemeng.5b00751", "author" : [ { "dropping-particle" : "", "family" : "Sintra", "given" : "T\u00e2nia E", "non-dropping-particle" : "", "parse-names" : false, "suffix" : "" }, { "dropping-particle" : "", "family" : "Lu\u00eds", "given" : "Andreia", "non-dropping-particle" : "", "parse-names" : false, "suffix" : "" }, { "dropping-particle" : "", "family" : "Rocha", "given" : "Samuel N", "non-dropping-particle" : "", "parse-names" : false, "suffix" : "" }, { "dropping-particle" : "", "family" : "Lobo Ferreira", "given" : "Ana I M C", "non-dropping-particle" : "", "parse-names" : false, "suffix" : "" }, { "dropping-particle" : "", "family" : "Gon\u00e7alves", "given" : "Fernando", "non-dropping-particle" : "", "parse-names" : false, "suffix" : "" }, { "dropping-particle" : "", "family" : "Santos", "given" : "Lu\u00eds M N B F", "non-dropping-particle" : "", "parse-names" : false, "suffix" : "" }, { "dropping-particle" : "", "family" : "Neves", "given" : "Bruno M", "non-dropping-particle" : "", "parse-names" : false, "suffix" : "" }, { "dropping-particle" : "", "family" : "Freire", "given" : "Mara G", "non-dropping-particle" : "", "parse-names" : false, "suffix" : "" }, { "dropping-particle" : "", "family" : "Ventura", "given" : "S\u00f3nia P M", "non-dropping-particle" : "", "parse-names" : false, "suffix" : "" }, { "dropping-particle" : "", "family" : "Coutinho", "given" : "Jo\u00e3o A P", "non-dropping-particle" : "", "parse-names" : false, "suffix" : "" } ], "container-title" : "ACS Sustainable Chemistry &amp; Engineering", "id" : "ITEM-9", "issue" : "10", "issued" : { "date-parts" : [ [ "2015" ] ] }, "page" : "2558-2565", "publisher" : "American Chemical Society", "title" : "Enhancing the Antioxidant Characteristics of Phenolic Acids by Their Conversion into Cholinium Salts", "type" : "article-journal", "volume" : "3" }, "uris" : [ "http://www.mendeley.com/documents/?uuid=f09b9751-34f8-487b-b16f-0e5fa246a68e" ] } ], "mendeley" : { "formattedCitation" : "&lt;sup&gt;22\u201330&lt;/sup&gt;", "plainTextFormattedCitation" : "22\u201330", "previouslyFormattedCitation" : "&lt;sup&gt;22\u201330&lt;/sup&gt;" }, "properties" : { "noteIndex" : 0 }, "schema" : "https://github.com/citation-style-language/schema/raw/master/csl-citation.json" }</w:instrText>
      </w:r>
      <w:r>
        <w:fldChar w:fldCharType="separate"/>
      </w:r>
      <w:r w:rsidRPr="00615FB0">
        <w:rPr>
          <w:noProof/>
          <w:vertAlign w:val="superscript"/>
        </w:rPr>
        <w:t>22–30</w:t>
      </w:r>
      <w:r>
        <w:fldChar w:fldCharType="end"/>
      </w:r>
      <w:r w:rsidRPr="00A57707">
        <w:t xml:space="preserve"> Rengstl and co-authors </w:t>
      </w:r>
      <w:r>
        <w:t>showed</w:t>
      </w:r>
      <w:r w:rsidRPr="00A57707">
        <w:t xml:space="preserve"> the capacity of the short chain choline carboxylates to act as hydrotropes for Dis</w:t>
      </w:r>
      <w:r>
        <w:t>perse Red 13, a hydrophobic dye</w:t>
      </w:r>
      <w:r w:rsidRPr="00A57707">
        <w:t>.</w:t>
      </w:r>
      <w:r>
        <w:fldChar w:fldCharType="begin" w:fldLock="1"/>
      </w:r>
      <w:r>
        <w:instrText>ADDIN CSL_CITATION { "citationItems" : [ { "id" : "ITEM-1", "itemData" : { "DOI" : "http://dx.doi.org/10.1016/j.colsurfb.2014.09.057", "ISBN" : "0927-7765", "abstract" : "Choline carboxylates, ChCm, with m = 2\u201310 and choline oleate are known as biocompatible substances, yet their influence on biological membranes is not well-known, and the effect on human skin has not previously been investigated. The short chain choline carboxylates ChCm with m = 2, 4, 6 act as hydrotropes, solubilizing hydrophobic compounds in aqueous solution, while the longer chain choline carboxylates ChCm with m = 8, 10 and oleate are able to form micelles. In the present study, the cytotoxicity of choline carboxylates was tested using HeLa and SK-MEL-28 cells. The influence of these substances on liposomes prepared from dipalmitoylphosphatidylcholine (DPPC) was also evaluated to provide insights on membrane interactions. It was observed that the choline carboxylates with a chain length of m &amp;gt; 8 distinctly influence the bilayer, while the shorter ones had minimal interaction with the liposomes.", "author" : [ { "dropping-particle" : "", "family" : "Rengstl", "given" : "Doris", "non-dropping-particle" : "", "parse-names" : false, "suffix" : "" }, { "dropping-particle" : "", "family" : "Kraus", "given" : "Birgit", "non-dropping-particle" : "", "parse-names" : false, "suffix" : "" }, { "dropping-particle" : "", "family" : "Vorst", "given" : "Matthew", "non-dropping-particle" : "Van", "parse-names" : false, "suffix" : "" }, { "dropping-particle" : "", "family" : "Elliott", "given" : "Gloria D", "non-dropping-particle" : "", "parse-names" : false, "suffix" : "" }, { "dropping-particle" : "", "family" : "Kunz", "given" : "Werner", "non-dropping-particle" : "", "parse-names" : false, "suffix" : "" } ], "container-title" : "Colloids and Surfaces B: Biointerfaces", "id" : "ITEM-1", "issued" : { "date-parts" : [ [ "2014" ] ] }, "page" : "575-581", "title" : "Effect of choline carboxylate ionic liquids on biological membranes", "type" : "article-journal", "volume" : "123" }, "uris" : [ "http://www.mendeley.com/documents/?uuid=fac55cb7-4a77-4a36-b3b9-bfada28cc89d" ] } ], "mendeley" : { "formattedCitation" : "&lt;sup&gt;31&lt;/sup&gt;", "plainTextFormattedCitation" : "31", "previouslyFormattedCitation" : "&lt;sup&gt;31&lt;/sup&gt;" }, "properties" : { "noteIndex" : 0 }, "schema" : "https://github.com/citation-style-language/schema/raw/master/csl-citation.json" }</w:instrText>
      </w:r>
      <w:r>
        <w:fldChar w:fldCharType="separate"/>
      </w:r>
      <w:r w:rsidRPr="00615FB0">
        <w:rPr>
          <w:noProof/>
          <w:vertAlign w:val="superscript"/>
        </w:rPr>
        <w:t>31</w:t>
      </w:r>
      <w:r>
        <w:fldChar w:fldCharType="end"/>
      </w:r>
      <w:r w:rsidRPr="00A57707">
        <w:t xml:space="preserve"> Recently, </w:t>
      </w:r>
      <w:r>
        <w:t>ILs</w:t>
      </w:r>
      <w:r w:rsidRPr="00A57707">
        <w:t xml:space="preserve"> were reported as a promising </w:t>
      </w:r>
      <w:r w:rsidRPr="00A57707">
        <w:lastRenderedPageBreak/>
        <w:t>class of catanionic hydrotropes since both the IL cation and anion contribute to enhance the solubility of hydrophobic compo</w:t>
      </w:r>
      <w:r>
        <w:t>unds in aqueous solution</w:t>
      </w:r>
      <w:r w:rsidRPr="00A57707">
        <w:t>.</w:t>
      </w:r>
      <w:r>
        <w:fldChar w:fldCharType="begin" w:fldLock="1"/>
      </w:r>
      <w:r>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fldChar w:fldCharType="separate"/>
      </w:r>
      <w:r w:rsidRPr="00615FB0">
        <w:rPr>
          <w:noProof/>
          <w:vertAlign w:val="superscript"/>
        </w:rPr>
        <w:t>32</w:t>
      </w:r>
      <w:r>
        <w:fldChar w:fldCharType="end"/>
      </w:r>
      <w:r w:rsidRPr="00A57707">
        <w:t xml:space="preserve"> The aqueous solutions of ILs showed a much higher capacity to solubilize the two antioxidants studied than any of the pure solvents, with solubili</w:t>
      </w:r>
      <w:r>
        <w:t>ty enhancements of up to 40-fold</w:t>
      </w:r>
      <w:r w:rsidRPr="00A57707">
        <w:t>.</w:t>
      </w:r>
      <w:r>
        <w:fldChar w:fldCharType="begin" w:fldLock="1"/>
      </w:r>
      <w:r>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fldChar w:fldCharType="separate"/>
      </w:r>
      <w:r w:rsidRPr="00615FB0">
        <w:rPr>
          <w:noProof/>
          <w:vertAlign w:val="superscript"/>
        </w:rPr>
        <w:t>32</w:t>
      </w:r>
      <w:r>
        <w:fldChar w:fldCharType="end"/>
      </w:r>
      <w:r w:rsidRPr="00A57707">
        <w:t xml:space="preserve"> In this context, ILs appear as promising candidates to enhance the aqueous solubility of hydrophobic drugs by the selection of the adequate cation/anion combinations. </w:t>
      </w:r>
    </w:p>
    <w:p w14:paraId="6B8CD098" w14:textId="3BD9C212" w:rsidR="00FA2DA2" w:rsidRDefault="00BA5F39" w:rsidP="00BA5F39">
      <w:pPr>
        <w:pStyle w:val="RSCB02ArticleText"/>
      </w:pPr>
      <w:r>
        <w:t>T</w:t>
      </w:r>
      <w:r w:rsidRPr="00A57707">
        <w:t xml:space="preserve">he present work proposes to investigate the effect of the </w:t>
      </w:r>
      <w:r>
        <w:t>IL</w:t>
      </w:r>
      <w:r w:rsidRPr="00A57707">
        <w:t xml:space="preserve"> chemical structures and their concentration on the solubility of</w:t>
      </w:r>
      <w:r>
        <w:t xml:space="preserve"> ibuprofen, a</w:t>
      </w:r>
      <w:r w:rsidRPr="00A57707">
        <w:t xml:space="preserve"> </w:t>
      </w:r>
      <w:r>
        <w:t>poorly water-soluble compound</w:t>
      </w:r>
      <w:r w:rsidRPr="00A57707">
        <w:t xml:space="preserve"> </w:t>
      </w:r>
      <w:r>
        <w:t>whose chemical structure is</w:t>
      </w:r>
      <w:r w:rsidRPr="004F476C">
        <w:t xml:space="preserve"> shown </w:t>
      </w:r>
      <w:r w:rsidRPr="000B4DD8">
        <w:t xml:space="preserve">in Figure 1. </w:t>
      </w:r>
      <w:r w:rsidRPr="00A57707">
        <w:t>Th</w:t>
      </w:r>
      <w:r>
        <w:t>is</w:t>
      </w:r>
      <w:r w:rsidRPr="00A57707">
        <w:t xml:space="preserve"> anti-</w:t>
      </w:r>
      <w:r>
        <w:t>inflammatory drug</w:t>
      </w:r>
      <w:r w:rsidRPr="00A57707">
        <w:t xml:space="preserve"> belong</w:t>
      </w:r>
      <w:r>
        <w:t>s</w:t>
      </w:r>
      <w:r w:rsidRPr="00A57707">
        <w:t xml:space="preserve"> to BCS Class II (BCS 2), which </w:t>
      </w:r>
      <w:r>
        <w:t>drugs are</w:t>
      </w:r>
      <w:r w:rsidRPr="00A57707">
        <w:t xml:space="preserve"> characterized by a low solubility and high permeability.</w:t>
      </w:r>
      <w:r>
        <w:fldChar w:fldCharType="begin" w:fldLock="1"/>
      </w:r>
      <w:r>
        <w:instrText>ADDIN CSL_CITATION { "citationItems" : [ { "id" : "ITEM-1", "itemData" : { "DOI" : "10.1002/JPS.20444", "ISSN" : "0022-3549", "container-title" : "Journal of Pharmaceutical Sciences", "id" : "ITEM-1", "issue" : "10", "issued" : { "date-parts" : [ [ "2005", "10", "1" ] ] }, "page" : "2121-2131", "publisher" : "Elsevier", "title" : "Biowaiver Monographs for Immediate Release Solid Oral Dosage Forms: Ibuprofen", "type" : "article-journal", "volume" : "94" }, "uris" : [ "http://www.mendeley.com/documents/?uuid=fdd30948-3d63-3b72-b397-dd5fbcac5b22" ] } ], "mendeley" : { "formattedCitation" : "&lt;sup&gt;33&lt;/sup&gt;", "plainTextFormattedCitation" : "33", "previouslyFormattedCitation" : "&lt;sup&gt;33&lt;/sup&gt;" }, "properties" : { "noteIndex" : 0 }, "schema" : "https://github.com/citation-style-language/schema/raw/master/csl-citation.json" }</w:instrText>
      </w:r>
      <w:r>
        <w:fldChar w:fldCharType="separate"/>
      </w:r>
      <w:r w:rsidRPr="00294D46">
        <w:rPr>
          <w:noProof/>
          <w:vertAlign w:val="superscript"/>
        </w:rPr>
        <w:t>33</w:t>
      </w:r>
      <w:r>
        <w:fldChar w:fldCharType="end"/>
      </w:r>
      <w:r w:rsidRPr="00A57707">
        <w:t xml:space="preserve"> To achieve an acceptable absorption after oral administration, APIs should present both, enough aqueous solubility and permeability </w:t>
      </w:r>
      <w:r>
        <w:t>through gastrointestinal mucosa</w:t>
      </w:r>
      <w:r w:rsidRPr="00A57707">
        <w:t>.</w:t>
      </w:r>
      <w:r>
        <w:fldChar w:fldCharType="begin" w:fldLock="1"/>
      </w:r>
      <w:r>
        <w:instrText>ADDIN CSL_CITATION { "citationItems" : [ { "id" : "ITEM-1", "itemData" : { "ISBN" : "9781461411444", "author" : [ { "dropping-particle" : "", "family" : "Williams", "given" : "R O", "non-dropping-particle" : "", "parse-names" : false, "suffix" : "" }, { "dropping-particle" : "", "family" : "Watts", "given" : "A B", "non-dropping-particle" : "", "parse-names" : false, "suffix" : "" }, { "dropping-particle" : "", "family" : "Miller", "given" : "D A", "non-dropping-particle" : "", "parse-names" : false, "suffix" : "" } ], "id" : "ITEM-1", "issued" : { "date-parts" : [ [ "2011" ] ] }, "publisher" : "Springer New York", "title" : "Formulating Poorly Water Soluble Drugs", "type" : "book" }, "uris" : [ "http://www.mendeley.com/documents/?uuid=09e30c8e-380b-4cf5-97ef-205d748fd5aa" ] } ], "mendeley" : { "formattedCitation" : "&lt;sup&gt;34&lt;/sup&gt;", "plainTextFormattedCitation" : "34", "previouslyFormattedCitation" : "&lt;sup&gt;34&lt;/sup&gt;" }, "properties" : { "noteIndex" : 0 }, "schema" : "https://github.com/citation-style-language/schema/raw/master/csl-citation.json" }</w:instrText>
      </w:r>
      <w:r>
        <w:fldChar w:fldCharType="separate"/>
      </w:r>
      <w:r w:rsidRPr="00294D46">
        <w:rPr>
          <w:noProof/>
          <w:vertAlign w:val="superscript"/>
        </w:rPr>
        <w:t>34</w:t>
      </w:r>
      <w:r>
        <w:fldChar w:fldCharType="end"/>
      </w:r>
      <w:r w:rsidRPr="00A57707">
        <w:t xml:space="preserve"> Therefore, a solubility improvement is a powerful formulation strategy for compounds of this class to optimize t</w:t>
      </w:r>
      <w:r>
        <w:t>heir biopharmaceutical profiles</w:t>
      </w:r>
      <w:r w:rsidRPr="00A57707">
        <w:t>.</w:t>
      </w:r>
      <w:r>
        <w:fldChar w:fldCharType="begin" w:fldLock="1"/>
      </w:r>
      <w:r>
        <w:instrText>ADDIN CSL_CITATION { "citationItems" : [ { "id" : "ITEM-1", "itemData" : { "ISBN" : "9781461411444", "author" : [ { "dropping-particle" : "", "family" : "Williams", "given" : "R O", "non-dropping-particle" : "", "parse-names" : false, "suffix" : "" }, { "dropping-particle" : "", "family" : "Watts", "given" : "A B", "non-dropping-particle" : "", "parse-names" : false, "suffix" : "" }, { "dropping-particle" : "", "family" : "Miller", "given" : "D A", "non-dropping-particle" : "", "parse-names" : false, "suffix" : "" } ], "id" : "ITEM-1", "issued" : { "date-parts" : [ [ "2011" ] ] }, "publisher" : "Springer New York", "title" : "Formulating Poorly Water Soluble Drugs", "type" : "book" }, "uris" : [ "http://www.mendeley.com/documents/?uuid=09e30c8e-380b-4cf5-97ef-205d748fd5aa" ] }, { "id" : "ITEM-2", "itemData" : { "DOI" : "10.1208/s12248-009-9144-x", "ISBN" : "1550-7416", "abstract" : "The Biopharmaceutics Classification System (BCS) categorizes drugs into one of four biopharmaceutical classes according to their water solubility and membrane permeability characteristics and broadly allows the prediction of the rate-limiting step in the intestinal absorption process following oral administration. Since its introduction in 1995, the BCS has generated remarkable impact on the global pharmaceutical sciences arena, in drug discovery, development, and regulation, and extensive validation/discussion/extension of the BCS is continuously published in the literature. The BCS has been effectively implanted by drug regulatory agencies around the world in setting bioavailability/bioequivalence standards for immediate-release (IR) oral drug product approval. In this review, we describe the BCS scientific framework and impact on regulatory practice of oral drug products and review the provisional BCS classification of the top drugs on the global market. The Biopharmaceutical Drug Disposition Classification System and its association with the BCS are discussed as well. One notable finding of the provisional BCS classification is that the clinical performance of the majority of approved IR oral drug products essential for human health can be assured with an in vitro dissolution test, rather than empirical in vivo human studies.", "author" : [ { "dropping-particle" : "", "family" : "Dahan", "given" : "Arik", "non-dropping-particle" : "", "parse-names" : false, "suffix" : "" }, { "dropping-particle" : "", "family" : "Miller", "given" : "Jonathan M", "non-dropping-particle" : "", "parse-names" : false, "suffix" : "" }, { "dropping-particle" : "", "family" : "Amidon", "given" : "Gordon L", "non-dropping-particle" : "", "parse-names" : false, "suffix" : "" } ], "container-title" : "The AAPS Journal", "id" : "ITEM-2", "issue" : "4", "issued" : { "date-parts" : [ [ "2009" ] ] }, "page" : "740-746", "title" : "Prediction of Solubility and Permeability Class Membership: Provisional BCS Classification of the World\u2019s Top Oral Drugs", "type" : "article-journal", "volume" : "11" }, "uris" : [ "http://www.mendeley.com/documents/?uuid=f527bce3-b590-4519-a7db-6021f411a28b" ] } ], "mendeley" : { "formattedCitation" : "&lt;sup&gt;34,35&lt;/sup&gt;", "plainTextFormattedCitation" : "34,35", "previouslyFormattedCitation" : "&lt;sup&gt;34,35&lt;/sup&gt;" }, "properties" : { "noteIndex" : 0 }, "schema" : "https://github.com/citation-style-language/schema/raw/master/csl-citation.json" }</w:instrText>
      </w:r>
      <w:r>
        <w:fldChar w:fldCharType="separate"/>
      </w:r>
      <w:r w:rsidRPr="00294D46">
        <w:rPr>
          <w:noProof/>
          <w:vertAlign w:val="superscript"/>
        </w:rPr>
        <w:t>34,35</w:t>
      </w:r>
      <w:r>
        <w:fldChar w:fldCharType="end"/>
      </w:r>
      <w:r>
        <w:t xml:space="preserve"> </w:t>
      </w:r>
      <w:r w:rsidRPr="000A4A74">
        <w:t xml:space="preserve">Finally, the </w:t>
      </w:r>
      <w:r w:rsidRPr="0094104D">
        <w:t>hydrotropic solubilization</w:t>
      </w:r>
      <w:r w:rsidRPr="000A4A74">
        <w:t xml:space="preserve"> </w:t>
      </w:r>
      <w:r w:rsidR="00557E87" w:rsidRPr="000A4A74">
        <w:t xml:space="preserve">mechanism </w:t>
      </w:r>
      <w:r w:rsidRPr="000A4A74">
        <w:t xml:space="preserve">induced by </w:t>
      </w:r>
      <w:r>
        <w:t>ILs</w:t>
      </w:r>
      <w:r w:rsidRPr="000A4A74">
        <w:t xml:space="preserve"> </w:t>
      </w:r>
      <w:r>
        <w:t>for ibuprofen is investigated using</w:t>
      </w:r>
      <w:r w:rsidRPr="000A4A74">
        <w:t xml:space="preserve"> molecular dynamics simulations.</w:t>
      </w:r>
    </w:p>
    <w:p w14:paraId="142B40B9" w14:textId="77777777" w:rsidR="00244FAD" w:rsidRDefault="00244FAD" w:rsidP="00FA2DA2">
      <w:pPr>
        <w:pStyle w:val="RSCB06BHeadingSub-Section"/>
        <w:sectPr w:rsidR="00244FAD" w:rsidSect="00514CBA">
          <w:type w:val="continuous"/>
          <w:pgSz w:w="11907" w:h="16840" w:code="9"/>
          <w:pgMar w:top="1009" w:right="851" w:bottom="1758" w:left="851" w:header="851" w:footer="1049" w:gutter="0"/>
          <w:cols w:num="2" w:space="227"/>
          <w:titlePg/>
          <w:docGrid w:linePitch="360"/>
        </w:sectPr>
      </w:pPr>
    </w:p>
    <w:p w14:paraId="4E036345" w14:textId="59DC91CE" w:rsidR="00B51F4D" w:rsidRDefault="00B51F4D" w:rsidP="00184D22">
      <w:pPr>
        <w:pStyle w:val="RSCI01FigureSchemeChartwithbottombar"/>
        <w:rPr>
          <w:b/>
        </w:rPr>
      </w:pPr>
      <w:r>
        <w:rPr>
          <w:noProof/>
          <w:lang w:val="pt-PT" w:eastAsia="pt-PT"/>
        </w:rPr>
        <w:drawing>
          <wp:anchor distT="0" distB="0" distL="114300" distR="114300" simplePos="0" relativeHeight="251663360" behindDoc="0" locked="0" layoutInCell="1" allowOverlap="1" wp14:anchorId="1EE86994" wp14:editId="55271035">
            <wp:simplePos x="0" y="0"/>
            <wp:positionH relativeFrom="column">
              <wp:posOffset>720090</wp:posOffset>
            </wp:positionH>
            <wp:positionV relativeFrom="page">
              <wp:posOffset>2752725</wp:posOffset>
            </wp:positionV>
            <wp:extent cx="5040000" cy="4238210"/>
            <wp:effectExtent l="0" t="0" r="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4238210"/>
                    </a:xfrm>
                    <a:prstGeom prst="rect">
                      <a:avLst/>
                    </a:prstGeom>
                    <a:noFill/>
                  </pic:spPr>
                </pic:pic>
              </a:graphicData>
            </a:graphic>
            <wp14:sizeRelH relativeFrom="page">
              <wp14:pctWidth>0</wp14:pctWidth>
            </wp14:sizeRelH>
            <wp14:sizeRelV relativeFrom="page">
              <wp14:pctHeight>0</wp14:pctHeight>
            </wp14:sizeRelV>
          </wp:anchor>
        </w:drawing>
      </w:r>
    </w:p>
    <w:p w14:paraId="73043923" w14:textId="77777777" w:rsidR="00244FAD" w:rsidRDefault="00F3725C" w:rsidP="00184D22">
      <w:pPr>
        <w:pStyle w:val="RSCI01FigureSchemeChartwithbottombar"/>
      </w:pPr>
      <w:r w:rsidRPr="00D0363A">
        <w:rPr>
          <w:rStyle w:val="RSCI05CaptiontoFigureSchemeChartwithbottombarChar"/>
          <w:b/>
        </w:rPr>
        <w:t>Figure 1.</w:t>
      </w:r>
      <w:r w:rsidRPr="00D0363A">
        <w:rPr>
          <w:rStyle w:val="RSCI05CaptiontoFigureSchemeChartwithbottombarChar"/>
        </w:rPr>
        <w:t xml:space="preserve"> Chemical structure of the ILs and salts studied as hydrotropes and ibuprofen</w:t>
      </w:r>
      <w:r>
        <w:t>.</w:t>
      </w:r>
    </w:p>
    <w:p w14:paraId="0410E336" w14:textId="77777777" w:rsidR="00244FAD" w:rsidRDefault="00244FAD" w:rsidP="00FA2DA2">
      <w:pPr>
        <w:pStyle w:val="RSCB06BHeadingSub-Section"/>
        <w:sectPr w:rsidR="00244FAD" w:rsidSect="00244FAD">
          <w:type w:val="continuous"/>
          <w:pgSz w:w="11907" w:h="16840" w:code="9"/>
          <w:pgMar w:top="1009" w:right="851" w:bottom="1758" w:left="851" w:header="851" w:footer="1049" w:gutter="0"/>
          <w:cols w:space="227"/>
          <w:titlePg/>
          <w:docGrid w:linePitch="360"/>
        </w:sectPr>
      </w:pPr>
    </w:p>
    <w:p w14:paraId="16E94CE3" w14:textId="77777777" w:rsidR="00244FAD" w:rsidRDefault="00B51F4D" w:rsidP="00B51F4D">
      <w:pPr>
        <w:pStyle w:val="RSCB04AHeadingSection"/>
      </w:pPr>
      <w:r>
        <w:t>Experimental Section</w:t>
      </w:r>
    </w:p>
    <w:p w14:paraId="0F3751C5" w14:textId="77777777" w:rsidR="00733A83" w:rsidRDefault="00733A83" w:rsidP="00733A83">
      <w:pPr>
        <w:pStyle w:val="RSCB02ArticleText"/>
        <w:rPr>
          <w:szCs w:val="24"/>
        </w:rPr>
      </w:pPr>
      <w:r w:rsidRPr="00733A83">
        <w:rPr>
          <w:rStyle w:val="RSCB06BHeadingSub-SectionChar"/>
        </w:rPr>
        <w:t>Materials.</w:t>
      </w:r>
      <w:r>
        <w:t xml:space="preserve"> </w:t>
      </w:r>
      <w:r w:rsidRPr="009C2838">
        <w:rPr>
          <w:szCs w:val="24"/>
        </w:rPr>
        <w:t xml:space="preserve">In this work, </w:t>
      </w:r>
      <w:r>
        <w:rPr>
          <w:szCs w:val="24"/>
        </w:rPr>
        <w:t>ten</w:t>
      </w:r>
      <w:r w:rsidRPr="009C2838">
        <w:rPr>
          <w:szCs w:val="24"/>
        </w:rPr>
        <w:t xml:space="preserve"> ILs were investigated in terms of their capacity to enhance the solubility in water of </w:t>
      </w:r>
      <w:r>
        <w:rPr>
          <w:szCs w:val="24"/>
        </w:rPr>
        <w:t>ibuprofen</w:t>
      </w:r>
      <w:r w:rsidRPr="009C2838">
        <w:rPr>
          <w:szCs w:val="24"/>
        </w:rPr>
        <w:t>, namely 1-butyl-3-methylimidazolium thiocyanate, [C</w:t>
      </w:r>
      <w:r w:rsidRPr="009C2838">
        <w:rPr>
          <w:szCs w:val="24"/>
          <w:vertAlign w:val="subscript"/>
        </w:rPr>
        <w:t>4</w:t>
      </w:r>
      <w:r w:rsidRPr="009C2838">
        <w:rPr>
          <w:szCs w:val="24"/>
        </w:rPr>
        <w:t>C</w:t>
      </w:r>
      <w:r w:rsidRPr="009C2838">
        <w:rPr>
          <w:szCs w:val="24"/>
          <w:vertAlign w:val="subscript"/>
        </w:rPr>
        <w:t>1</w:t>
      </w:r>
      <w:r w:rsidRPr="009C2838">
        <w:rPr>
          <w:szCs w:val="24"/>
        </w:rPr>
        <w:t>im][SCN]; 1-butyl-3-methylimidazolium tosylate, [C</w:t>
      </w:r>
      <w:r w:rsidRPr="009C2838">
        <w:rPr>
          <w:szCs w:val="24"/>
          <w:vertAlign w:val="subscript"/>
        </w:rPr>
        <w:t>4</w:t>
      </w:r>
      <w:r w:rsidRPr="009C2838">
        <w:rPr>
          <w:szCs w:val="24"/>
        </w:rPr>
        <w:t>C</w:t>
      </w:r>
      <w:r w:rsidRPr="009C2838">
        <w:rPr>
          <w:szCs w:val="24"/>
          <w:vertAlign w:val="subscript"/>
        </w:rPr>
        <w:t>1</w:t>
      </w:r>
      <w:r w:rsidRPr="009C2838">
        <w:rPr>
          <w:szCs w:val="24"/>
        </w:rPr>
        <w:t>im][TOS]; 1-butyl-3-methylimidazolium chloride, [C</w:t>
      </w:r>
      <w:r w:rsidRPr="009C2838">
        <w:rPr>
          <w:szCs w:val="24"/>
          <w:vertAlign w:val="subscript"/>
        </w:rPr>
        <w:t>4</w:t>
      </w:r>
      <w:r w:rsidRPr="009C2838">
        <w:rPr>
          <w:szCs w:val="24"/>
        </w:rPr>
        <w:t>C</w:t>
      </w:r>
      <w:r w:rsidRPr="009C2838">
        <w:rPr>
          <w:szCs w:val="24"/>
          <w:vertAlign w:val="subscript"/>
        </w:rPr>
        <w:t>1</w:t>
      </w:r>
      <w:r w:rsidRPr="009C2838">
        <w:rPr>
          <w:szCs w:val="24"/>
        </w:rPr>
        <w:t>im]Cl; 1-butyl-3-methylimidazolium dicyanamide, [C</w:t>
      </w:r>
      <w:r w:rsidRPr="009C2838">
        <w:rPr>
          <w:szCs w:val="24"/>
          <w:vertAlign w:val="subscript"/>
        </w:rPr>
        <w:t>4</w:t>
      </w:r>
      <w:r w:rsidRPr="009C2838">
        <w:rPr>
          <w:szCs w:val="24"/>
        </w:rPr>
        <w:t>C</w:t>
      </w:r>
      <w:r w:rsidRPr="009C2838">
        <w:rPr>
          <w:szCs w:val="24"/>
          <w:vertAlign w:val="subscript"/>
        </w:rPr>
        <w:t>1</w:t>
      </w:r>
      <w:r w:rsidRPr="009C2838">
        <w:rPr>
          <w:szCs w:val="24"/>
        </w:rPr>
        <w:t>im][N(CN)</w:t>
      </w:r>
      <w:r w:rsidRPr="009C2838">
        <w:rPr>
          <w:szCs w:val="24"/>
          <w:vertAlign w:val="subscript"/>
        </w:rPr>
        <w:t>2</w:t>
      </w:r>
      <w:r w:rsidRPr="009C2838">
        <w:rPr>
          <w:szCs w:val="24"/>
        </w:rPr>
        <w:t>]; 1-butyl-3-methylpyridinium chloride, [C</w:t>
      </w:r>
      <w:r w:rsidRPr="009C2838">
        <w:rPr>
          <w:szCs w:val="24"/>
          <w:vertAlign w:val="subscript"/>
        </w:rPr>
        <w:t>4</w:t>
      </w:r>
      <w:r w:rsidRPr="009C2838">
        <w:rPr>
          <w:szCs w:val="24"/>
        </w:rPr>
        <w:t>C</w:t>
      </w:r>
      <w:r w:rsidRPr="009C2838">
        <w:rPr>
          <w:szCs w:val="24"/>
          <w:vertAlign w:val="subscript"/>
        </w:rPr>
        <w:t>1</w:t>
      </w:r>
      <w:r w:rsidRPr="009C2838">
        <w:rPr>
          <w:szCs w:val="24"/>
        </w:rPr>
        <w:t>py]Cl; 1-butyl-1-methylpiperidinium chloride, [C</w:t>
      </w:r>
      <w:r w:rsidRPr="009C2838">
        <w:rPr>
          <w:szCs w:val="24"/>
          <w:vertAlign w:val="subscript"/>
        </w:rPr>
        <w:t>4</w:t>
      </w:r>
      <w:r w:rsidRPr="009C2838">
        <w:rPr>
          <w:szCs w:val="24"/>
        </w:rPr>
        <w:t>C</w:t>
      </w:r>
      <w:r w:rsidRPr="009C2838">
        <w:rPr>
          <w:szCs w:val="24"/>
          <w:vertAlign w:val="subscript"/>
        </w:rPr>
        <w:t>1</w:t>
      </w:r>
      <w:r w:rsidRPr="009C2838">
        <w:rPr>
          <w:szCs w:val="24"/>
        </w:rPr>
        <w:t>pip]Cl; 1-butyl-1-methylpyrrolidinium chloride, [C</w:t>
      </w:r>
      <w:r w:rsidRPr="009C2838">
        <w:rPr>
          <w:szCs w:val="24"/>
          <w:vertAlign w:val="subscript"/>
        </w:rPr>
        <w:t>4</w:t>
      </w:r>
      <w:r w:rsidRPr="009C2838">
        <w:rPr>
          <w:szCs w:val="24"/>
        </w:rPr>
        <w:t>C</w:t>
      </w:r>
      <w:r w:rsidRPr="009C2838">
        <w:rPr>
          <w:szCs w:val="24"/>
          <w:vertAlign w:val="subscript"/>
        </w:rPr>
        <w:t>1</w:t>
      </w:r>
      <w:r w:rsidRPr="009C2838">
        <w:rPr>
          <w:szCs w:val="24"/>
        </w:rPr>
        <w:t>pyrr]Cl, tetrabutylammonium chloride, [N</w:t>
      </w:r>
      <w:r w:rsidRPr="009C2838">
        <w:rPr>
          <w:szCs w:val="24"/>
          <w:vertAlign w:val="subscript"/>
        </w:rPr>
        <w:t>4,4,4,4</w:t>
      </w:r>
      <w:r w:rsidRPr="009C2838">
        <w:rPr>
          <w:szCs w:val="24"/>
        </w:rPr>
        <w:t>]Cl, tetrabutylphosphonium chloride, [P</w:t>
      </w:r>
      <w:r w:rsidRPr="009C2838">
        <w:rPr>
          <w:szCs w:val="24"/>
          <w:vertAlign w:val="subscript"/>
        </w:rPr>
        <w:t>4,4,4,4</w:t>
      </w:r>
      <w:r>
        <w:rPr>
          <w:szCs w:val="24"/>
        </w:rPr>
        <w:t>]Cl and</w:t>
      </w:r>
      <w:r w:rsidRPr="009C2838">
        <w:rPr>
          <w:szCs w:val="24"/>
        </w:rPr>
        <w:t xml:space="preserve"> cholinium chloride, [N</w:t>
      </w:r>
      <w:r w:rsidRPr="009C2838">
        <w:rPr>
          <w:szCs w:val="24"/>
          <w:vertAlign w:val="subscript"/>
        </w:rPr>
        <w:t>1,1,1,2(OH)</w:t>
      </w:r>
      <w:r>
        <w:rPr>
          <w:szCs w:val="24"/>
        </w:rPr>
        <w:t>]Cl</w:t>
      </w:r>
      <w:r w:rsidRPr="009C2838">
        <w:rPr>
          <w:szCs w:val="24"/>
        </w:rPr>
        <w:t>. The imidazolium-, pyridinium-, piperidinium- and pyrrolidinium-based ILs were purchased from Iolitec. [N</w:t>
      </w:r>
      <w:r w:rsidRPr="009C2838">
        <w:rPr>
          <w:szCs w:val="24"/>
          <w:vertAlign w:val="subscript"/>
        </w:rPr>
        <w:t>4,4,4,4</w:t>
      </w:r>
      <w:r>
        <w:rPr>
          <w:szCs w:val="24"/>
        </w:rPr>
        <w:t>]Cl and</w:t>
      </w:r>
      <w:r w:rsidRPr="009C2838">
        <w:rPr>
          <w:szCs w:val="24"/>
        </w:rPr>
        <w:t xml:space="preserve"> [N</w:t>
      </w:r>
      <w:r w:rsidRPr="009C2838">
        <w:rPr>
          <w:szCs w:val="24"/>
          <w:vertAlign w:val="subscript"/>
        </w:rPr>
        <w:t>1,1,1,2(OH)</w:t>
      </w:r>
      <w:r w:rsidRPr="009C2838">
        <w:rPr>
          <w:szCs w:val="24"/>
        </w:rPr>
        <w:t>]Cl were obtained from Sigma-Aldrich. [P</w:t>
      </w:r>
      <w:r w:rsidRPr="009C2838">
        <w:rPr>
          <w:szCs w:val="24"/>
          <w:vertAlign w:val="subscript"/>
        </w:rPr>
        <w:t>4,4,4,4</w:t>
      </w:r>
      <w:r w:rsidRPr="009C2838">
        <w:rPr>
          <w:szCs w:val="24"/>
        </w:rPr>
        <w:t xml:space="preserve">]Cl was kindly </w:t>
      </w:r>
      <w:r>
        <w:rPr>
          <w:szCs w:val="24"/>
        </w:rPr>
        <w:t>supplied</w:t>
      </w:r>
      <w:r w:rsidRPr="009C2838">
        <w:rPr>
          <w:szCs w:val="24"/>
        </w:rPr>
        <w:t xml:space="preserve"> by Cytec Industries Inc. </w:t>
      </w:r>
      <w:r>
        <w:rPr>
          <w:szCs w:val="24"/>
        </w:rPr>
        <w:t>The</w:t>
      </w:r>
      <w:r w:rsidRPr="009C2838">
        <w:rPr>
          <w:szCs w:val="24"/>
        </w:rPr>
        <w:t xml:space="preserve"> ILs used have a stated supplier purity of at least 98 wt %, which were further checked by their </w:t>
      </w:r>
      <w:r w:rsidRPr="009C2838">
        <w:rPr>
          <w:szCs w:val="24"/>
          <w:vertAlign w:val="superscript"/>
        </w:rPr>
        <w:t>1</w:t>
      </w:r>
      <w:r w:rsidRPr="009C2838">
        <w:rPr>
          <w:szCs w:val="24"/>
        </w:rPr>
        <w:t xml:space="preserve">H and </w:t>
      </w:r>
      <w:r w:rsidRPr="009C2838">
        <w:rPr>
          <w:szCs w:val="24"/>
          <w:vertAlign w:val="superscript"/>
        </w:rPr>
        <w:t>13</w:t>
      </w:r>
      <w:r w:rsidRPr="009C2838">
        <w:rPr>
          <w:szCs w:val="24"/>
        </w:rPr>
        <w:t xml:space="preserve">C NMR spectra. </w:t>
      </w:r>
      <w:r>
        <w:rPr>
          <w:szCs w:val="24"/>
        </w:rPr>
        <w:t>S</w:t>
      </w:r>
      <w:r w:rsidRPr="009C2838">
        <w:rPr>
          <w:szCs w:val="24"/>
        </w:rPr>
        <w:t>odium thiocyanate, Na[SCN] (98.0 wt % pure) was supplied by Fluka; sodium tosylate, Na[TOS] (95.0 wt % pure), was from TCI; and sodium dicyanamide, Na[N(CN)</w:t>
      </w:r>
      <w:r w:rsidRPr="009C2838">
        <w:rPr>
          <w:szCs w:val="24"/>
          <w:vertAlign w:val="subscript"/>
        </w:rPr>
        <w:t>2</w:t>
      </w:r>
      <w:r w:rsidRPr="009C2838">
        <w:rPr>
          <w:szCs w:val="24"/>
        </w:rPr>
        <w:t xml:space="preserve">] (96.0 wt % pure) </w:t>
      </w:r>
      <w:r>
        <w:rPr>
          <w:szCs w:val="24"/>
        </w:rPr>
        <w:t>was</w:t>
      </w:r>
      <w:r w:rsidRPr="009C2838">
        <w:rPr>
          <w:szCs w:val="24"/>
        </w:rPr>
        <w:t xml:space="preserve"> from Sigma-Aldrich. Ibuprofen (98.0 wt % pure) w</w:t>
      </w:r>
      <w:r>
        <w:rPr>
          <w:szCs w:val="24"/>
        </w:rPr>
        <w:t>as</w:t>
      </w:r>
      <w:r w:rsidRPr="009C2838">
        <w:rPr>
          <w:szCs w:val="24"/>
        </w:rPr>
        <w:t xml:space="preserve"> supplied by Sigma-Aldrich.</w:t>
      </w:r>
      <w:r w:rsidRPr="009C2838">
        <w:rPr>
          <w:color w:val="FF0000"/>
          <w:szCs w:val="24"/>
        </w:rPr>
        <w:t xml:space="preserve"> </w:t>
      </w:r>
      <w:r w:rsidRPr="009C2838">
        <w:rPr>
          <w:szCs w:val="24"/>
        </w:rPr>
        <w:t xml:space="preserve">The mobile phase used in the HPLC analysis was composed of ammonium acetate, (99.99 wt % pure) and acetic acid, (99.99 wt % pure), both from Sigma-Aldrich, HPLC grade acetonitrile from HiPerSolv Chromanorm® and ultrapure water, which was double distilled, passed by a reverse osmosis system and further treated with a Milli-Q plus 185 water purification apparatus. The ionic structure of all ILs and salts studied are </w:t>
      </w:r>
      <w:r w:rsidRPr="000B4DD8">
        <w:rPr>
          <w:szCs w:val="24"/>
        </w:rPr>
        <w:t xml:space="preserve">depicted in Figure 1. The filters </w:t>
      </w:r>
      <w:r w:rsidRPr="009C2838">
        <w:rPr>
          <w:szCs w:val="24"/>
        </w:rPr>
        <w:t>used during the filtration steps were syringe filters (0.45 μm) and regenerated cellulose membrane filters (0.45 μm), acquired at Specanalitica and Sartorius Stedim Biotech, respectively.</w:t>
      </w:r>
    </w:p>
    <w:p w14:paraId="5848B9F9" w14:textId="01E29375" w:rsidR="00733A83" w:rsidRDefault="00733A83" w:rsidP="00733A83">
      <w:pPr>
        <w:pStyle w:val="RSCB02ArticleText"/>
        <w:rPr>
          <w:szCs w:val="24"/>
        </w:rPr>
      </w:pPr>
      <w:r w:rsidRPr="00733A83">
        <w:rPr>
          <w:rStyle w:val="RSCB06BHeadingSub-SectionChar"/>
        </w:rPr>
        <w:t xml:space="preserve">Solubility of </w:t>
      </w:r>
      <w:r>
        <w:rPr>
          <w:rStyle w:val="RSCB06BHeadingSub-SectionChar"/>
        </w:rPr>
        <w:t>I</w:t>
      </w:r>
      <w:r w:rsidRPr="00733A83">
        <w:rPr>
          <w:rStyle w:val="RSCB06BHeadingSub-SectionChar"/>
        </w:rPr>
        <w:t>buprofen</w:t>
      </w:r>
      <w:r>
        <w:rPr>
          <w:rStyle w:val="RSCB06BHeadingSub-SectionChar"/>
        </w:rPr>
        <w:t>.</w:t>
      </w:r>
      <w:r>
        <w:t xml:space="preserve"> Ibuprofen was added in excess to the IL aqueous solutions, pure water or pure IL. Then, it was equilibrated in an air oven at (303.1 ± 0.5) K, under constant agitation (750 rpm) and an equilibration time of 72h, using an Eppendorf Thermomixer Comfort equipment. The equilibration conditions were previously optimized. After the saturation was achieved, all samples were centrifuged at </w:t>
      </w:r>
      <w:r w:rsidRPr="00ED140C">
        <w:t>(303.1 ± 0.5) K</w:t>
      </w:r>
      <w:r>
        <w:t xml:space="preserve"> during 20 minutes at 4500 rpm, using a Hettich Mikro 120 centrifuge. In order to quantify the pharmaceutical drug, </w:t>
      </w:r>
      <w:r w:rsidRPr="00CC502C">
        <w:t xml:space="preserve">the samples of the liquid phase were collected and filtered using syringe filters, in order to remove all solids particles in suspension. The saturated solution was diluted in a mixture of </w:t>
      </w:r>
      <w:r>
        <w:t>acetonitrile</w:t>
      </w:r>
      <w:r w:rsidRPr="00CC502C">
        <w:t xml:space="preserve"> and ultrapure water in a volumetric ratio of 30 : 70 when required, and the amount of ibuprofen was quantified by HPLC-DAD (HPLC Elite LaChrom, VWR Hitachi</w:t>
      </w:r>
      <w:r>
        <w:t xml:space="preserve">, with a </w:t>
      </w:r>
      <w:r w:rsidRPr="00AA29AC">
        <w:t>diode array detector l-2455</w:t>
      </w:r>
      <w:r w:rsidRPr="00CC502C">
        <w:t>), using an analytical method previously developed by our group.</w:t>
      </w:r>
      <w:r>
        <w:fldChar w:fldCharType="begin" w:fldLock="1"/>
      </w:r>
      <w:r>
        <w:instrText>ADDIN CSL_CITATION { "citationItems" : [ { "id" : "ITEM-1", "itemData" : { "DOI" : "10.1039/c6gc00261g", "ISBN" : "1463-9262", "abstract" : "This work aims at developing a process to valorise pharmaceutical wastes through the recovery of pharmaceutically active compounds. The ibuprofen extraction and isolation from solid pharmaceutical wastes is used here as a case study and an integrated approach comprising the ibuprofen solid-liquid extraction, the removal of the insoluble excipients present in the pills, the target drug recovery and the recycling of the aqueous solutions is proposed. The present work is centred on the optimization of the first (solid-liquid extraction) and third (drug recovery) steps mentioned above. For the solid-liquid extraction step, various ionic liquid aqueous solutions were tested, tetrabutylammonium chloride ([N4444]Cl) being adopted to further optimize the process. A solution composed of 45 wt% of [N4444]Cl + 5 wt% of citrate buffer + 50 wt% of H2O led to the highest ibuprofen extraction efficiency (EEIBU = 97.92 +/- 2.65%) while in the absence of citrate the extraction efficiency was somewhat lower (EEIBU = 93.53 +/- 0.62%). The polishing task was affected by the type of aqueous solution utilized during the solid-liquid extraction step: in the presence of citrate buffer water was not prone to induce significant ibuprofen precipitation (maximum REIBU of 34.71 +/- 4.00%) the aqueous KCl solution being the best option (maximum REIBU of 87.97 +/- 1.00%); when no citrate buffer is used water can be used as an anti-solvent with a maximum REIBU of 91.60 +/- 0.19% while aqueous KCl solutions lead to an REIBU up to 97.07 +/- 0.14%. Based on these results an integrated process is proposed for the ibuprofen recovery and isolation aimed at adding value to pharmaceutical wastes.", "author" : [ { "dropping-particle" : "", "family" : "e Silva", "given" : "Francisca A", "non-dropping-particle" : "", "parse-names" : false, "suffix" : "" }, { "dropping-particle" : "", "family" : "Caban", "given" : "Magda", "non-dropping-particle" : "", "parse-names" : false, "suffix" : "" }, { "dropping-particle" : "", "family" : "Stepnowski", "given" : "Piotr", "non-dropping-particle" : "", "parse-names" : false, "suffix" : "" }, { "dropping-particle" : "", "family" : "Coutinho", "given" : "Joao A P", "non-dropping-particle" : "", "parse-names" : false, "suffix" : "" }, { "dropping-particle" : "", "family" : "Ventura", "given" : "Sonia P M", "non-dropping-particle" : "", "parse-names" : false, "suffix" : "" } ], "container-title" : "Green Chemistry", "id" : "ITEM-1", "issue" : "13", "issued" : { "date-parts" : [ [ "2016" ] ] }, "page" : "3749-3757", "publisher" : "The Royal Society of Chemistry", "title" : "Recovery of ibuprofen from pharmaceutical wastes using ionic liquids", "type" : "article-journal", "volume" : "18" }, "uris" : [ "http://www.mendeley.com/documents/?uuid=0e819811-2c68-4b4c-9a32-f927eb8d1c1e" ] } ], "mendeley" : { "formattedCitation" : "&lt;sup&gt;36&lt;/sup&gt;", "plainTextFormattedCitation" : "36", "previouslyFormattedCitation" : "&lt;sup&gt;36&lt;/sup&gt;" }, "properties" : { "noteIndex" : 0 }, "schema" : "https://github.com/citation-style-language/schema/raw/master/csl-citation.json" }</w:instrText>
      </w:r>
      <w:r>
        <w:fldChar w:fldCharType="separate"/>
      </w:r>
      <w:r w:rsidRPr="00294D46">
        <w:rPr>
          <w:noProof/>
          <w:vertAlign w:val="superscript"/>
        </w:rPr>
        <w:t>36</w:t>
      </w:r>
      <w:r>
        <w:fldChar w:fldCharType="end"/>
      </w:r>
      <w:r>
        <w:t xml:space="preserve"> </w:t>
      </w:r>
      <w:r w:rsidRPr="000561F3">
        <w:t>DAD was set to measure the amount of ibuprofen at 230 nm</w:t>
      </w:r>
      <w:r>
        <w:t xml:space="preserve"> using </w:t>
      </w:r>
      <w:r w:rsidR="00ED56E8">
        <w:t xml:space="preserve">a </w:t>
      </w:r>
      <w:r>
        <w:t>calibration curve</w:t>
      </w:r>
      <w:r w:rsidRPr="000561F3">
        <w:t xml:space="preserve"> previously established, </w:t>
      </w:r>
      <w:r w:rsidR="00ED56E8">
        <w:t xml:space="preserve">and </w:t>
      </w:r>
      <w:r w:rsidRPr="000561F3">
        <w:t xml:space="preserve">reported </w:t>
      </w:r>
      <w:r w:rsidRPr="00EE1984">
        <w:t xml:space="preserve">in </w:t>
      </w:r>
      <w:r w:rsidRPr="009A3105">
        <w:t xml:space="preserve">the Supporting Information, Table S1. </w:t>
      </w:r>
      <w:r w:rsidRPr="00EE1984">
        <w:t>Triplicates</w:t>
      </w:r>
      <w:r w:rsidRPr="000561F3">
        <w:t xml:space="preserve"> </w:t>
      </w:r>
      <w:r w:rsidRPr="003175F0">
        <w:t xml:space="preserve">were performed for </w:t>
      </w:r>
      <w:r>
        <w:t>each assay.</w:t>
      </w:r>
    </w:p>
    <w:p w14:paraId="79136344" w14:textId="586A545B" w:rsidR="00733A83" w:rsidRDefault="00733A83" w:rsidP="00733A83">
      <w:pPr>
        <w:pStyle w:val="RSCB02ArticleText"/>
      </w:pPr>
      <w:r w:rsidRPr="00733A83">
        <w:rPr>
          <w:rStyle w:val="RSCB06BHeadingSub-SectionChar"/>
        </w:rPr>
        <w:t xml:space="preserve">Dynamic </w:t>
      </w:r>
      <w:r>
        <w:rPr>
          <w:rStyle w:val="RSCB06BHeadingSub-SectionChar"/>
        </w:rPr>
        <w:t>L</w:t>
      </w:r>
      <w:r w:rsidRPr="00733A83">
        <w:rPr>
          <w:rStyle w:val="RSCB06BHeadingSub-SectionChar"/>
        </w:rPr>
        <w:t xml:space="preserve">ight </w:t>
      </w:r>
      <w:r>
        <w:rPr>
          <w:rStyle w:val="RSCB06BHeadingSub-SectionChar"/>
        </w:rPr>
        <w:t>S</w:t>
      </w:r>
      <w:r w:rsidRPr="00733A83">
        <w:rPr>
          <w:rStyle w:val="RSCB06BHeadingSub-SectionChar"/>
        </w:rPr>
        <w:t>cattering (DLS)</w:t>
      </w:r>
      <w:r>
        <w:rPr>
          <w:rStyle w:val="RSCB06BHeadingSub-SectionChar"/>
        </w:rPr>
        <w:t>.</w:t>
      </w:r>
      <w:r>
        <w:t xml:space="preserve"> </w:t>
      </w:r>
      <w:r w:rsidRPr="009A3105">
        <w:t>To evaluate the presence of IL–solute aggregates, as well as to determine their size</w:t>
      </w:r>
      <w:r>
        <w:t>,</w:t>
      </w:r>
      <w:r w:rsidRPr="00602AF4">
        <w:t xml:space="preserve"> </w:t>
      </w:r>
      <w:r>
        <w:t>aqueous solutions</w:t>
      </w:r>
      <w:r w:rsidRPr="00602AF4">
        <w:t xml:space="preserve"> with 2.5 mol∙</w:t>
      </w:r>
      <w:r w:rsidR="00ED56E8">
        <w:t>k</w:t>
      </w:r>
      <w:r w:rsidRPr="00602AF4">
        <w:t>g</w:t>
      </w:r>
      <w:r w:rsidRPr="00602AF4">
        <w:rPr>
          <w:vertAlign w:val="superscript"/>
        </w:rPr>
        <w:t>-1</w:t>
      </w:r>
      <w:r w:rsidRPr="00602AF4">
        <w:t xml:space="preserve"> </w:t>
      </w:r>
      <w:r w:rsidRPr="009A3105">
        <w:t>of [C</w:t>
      </w:r>
      <w:r w:rsidRPr="009A3105">
        <w:rPr>
          <w:vertAlign w:val="subscript"/>
        </w:rPr>
        <w:t>4</w:t>
      </w:r>
      <w:r w:rsidRPr="009A3105">
        <w:t>C</w:t>
      </w:r>
      <w:r w:rsidRPr="009A3105">
        <w:rPr>
          <w:vertAlign w:val="subscript"/>
        </w:rPr>
        <w:t>1</w:t>
      </w:r>
      <w:r w:rsidRPr="009A3105">
        <w:t>im][N(CN)</w:t>
      </w:r>
      <w:r w:rsidRPr="009A3105">
        <w:rPr>
          <w:vertAlign w:val="subscript"/>
        </w:rPr>
        <w:t>2</w:t>
      </w:r>
      <w:r w:rsidRPr="009A3105">
        <w:t>] / [C</w:t>
      </w:r>
      <w:r w:rsidRPr="009A3105">
        <w:rPr>
          <w:vertAlign w:val="subscript"/>
        </w:rPr>
        <w:t>4</w:t>
      </w:r>
      <w:r w:rsidRPr="009A3105">
        <w:t>C</w:t>
      </w:r>
      <w:r w:rsidRPr="009A3105">
        <w:rPr>
          <w:vertAlign w:val="subscript"/>
        </w:rPr>
        <w:t>1</w:t>
      </w:r>
      <w:r w:rsidRPr="009A3105">
        <w:t xml:space="preserve">im][SCN] </w:t>
      </w:r>
      <w:r w:rsidRPr="00602AF4">
        <w:t xml:space="preserve"> </w:t>
      </w:r>
      <w:r>
        <w:t xml:space="preserve">were </w:t>
      </w:r>
      <w:r w:rsidRPr="00602AF4">
        <w:t>prepared and saturated with</w:t>
      </w:r>
      <w:r w:rsidRPr="009A3105">
        <w:t xml:space="preserve"> </w:t>
      </w:r>
      <w:r>
        <w:t xml:space="preserve">ibuprofen at 303 K. </w:t>
      </w:r>
      <w:r w:rsidRPr="0030478B">
        <w:t>The saturated solution</w:t>
      </w:r>
      <w:r>
        <w:t>s were filtrated using a 0.45 μm PTFE membrane and then</w:t>
      </w:r>
      <w:r w:rsidRPr="009A3105">
        <w:t xml:space="preserve"> analyzed by dynamic light scattering (DLS) using a Malvern Zetasizer Nano-ZS from Malvern Instruments.</w:t>
      </w:r>
      <w:r>
        <w:t xml:space="preserve"> Samples were irradiated with red light (HeNe laser, wavelength of 565 nm) and the intensity fluctuations of the scattering light (detected at a backscattering angle of 173°) were analyzed to obtain an autocorrelation function. The respective software (DTS v 7.03) provides the particles’ size average and their distribution. The radii of each aggregate were determined from the DLS measurements using the Stokes–Einstein equation assuming spherical aggregates, and a low volume fraction of the dispersed phase. Consequently, the determined values must be considered with caution and regarded as approximate ones. Samples were measured in disposable polystyrene cuvettes at a temperature of 303 K. Data were then acquired in the automatic mode, ensuring that enough photons were accumulated for the result to be statistically relevant. The software also incorporates a ‘data quality report’. The solution viscosities and refractive indexes were previously measured by the DLS measurements.</w:t>
      </w:r>
    </w:p>
    <w:p w14:paraId="77D4116D" w14:textId="377B1DA6" w:rsidR="00733A83" w:rsidRDefault="00733A83" w:rsidP="0000122E">
      <w:pPr>
        <w:pStyle w:val="RSCB02ArticleText"/>
      </w:pPr>
      <w:r w:rsidRPr="00733A83">
        <w:rPr>
          <w:rStyle w:val="RSCB06BHeadingSub-SectionChar"/>
        </w:rPr>
        <w:t>Crystal Structure Analysis</w:t>
      </w:r>
      <w:r>
        <w:rPr>
          <w:rStyle w:val="RSCB06BHeadingSub-SectionChar"/>
        </w:rPr>
        <w:t>.</w:t>
      </w:r>
      <w:r w:rsidRPr="00BA50E6">
        <w:t xml:space="preserve"> A suitable amount of the </w:t>
      </w:r>
      <w:r>
        <w:t>ibuprofen</w:t>
      </w:r>
      <w:r w:rsidRPr="00BA50E6">
        <w:t xml:space="preserve"> was dissolved</w:t>
      </w:r>
      <w:r>
        <w:t xml:space="preserve"> in</w:t>
      </w:r>
      <w:r w:rsidRPr="00BA50E6">
        <w:t xml:space="preserve"> </w:t>
      </w:r>
      <w:r>
        <w:t>2 mL of the solvent (</w:t>
      </w:r>
      <w:r w:rsidRPr="009A3105">
        <w:t>[C</w:t>
      </w:r>
      <w:r w:rsidRPr="009A3105">
        <w:rPr>
          <w:vertAlign w:val="subscript"/>
        </w:rPr>
        <w:t>4</w:t>
      </w:r>
      <w:r w:rsidRPr="009A3105">
        <w:t>C</w:t>
      </w:r>
      <w:r w:rsidRPr="009A3105">
        <w:rPr>
          <w:vertAlign w:val="subscript"/>
        </w:rPr>
        <w:t>1</w:t>
      </w:r>
      <w:r w:rsidRPr="009A3105">
        <w:t>im][SCN]</w:t>
      </w:r>
      <w:r w:rsidRPr="00BA50E6">
        <w:t xml:space="preserve"> </w:t>
      </w:r>
      <w:r>
        <w:t xml:space="preserve">with </w:t>
      </w:r>
      <w:r w:rsidRPr="00BA50E6">
        <w:t>2.5 mol∙</w:t>
      </w:r>
      <w:r w:rsidR="00AB2ACF">
        <w:t>k</w:t>
      </w:r>
      <w:r w:rsidRPr="00BA50E6">
        <w:t>g</w:t>
      </w:r>
      <w:r w:rsidRPr="00BA50E6">
        <w:rPr>
          <w:vertAlign w:val="superscript"/>
        </w:rPr>
        <w:t>-1</w:t>
      </w:r>
      <w:r>
        <w:t xml:space="preserve"> or ethanol). In order to precipitate the drug, an equal volume of cold water was added. The crystals were analyzed in solution and after their filtration using </w:t>
      </w:r>
      <w:r w:rsidRPr="00340CAE">
        <w:t>a BX51 Olympus optical microscope (Oly</w:t>
      </w:r>
      <w:r>
        <w:t xml:space="preserve">mpus Co., Tokyo, Japan). </w:t>
      </w:r>
      <w:r w:rsidR="0000122E">
        <w:t xml:space="preserve">The crystals </w:t>
      </w:r>
      <w:r w:rsidR="0000122E" w:rsidRPr="0000122E">
        <w:t>were further investigated through</w:t>
      </w:r>
      <w:r w:rsidR="009F1BB4">
        <w:t>: (i)</w:t>
      </w:r>
      <w:r w:rsidR="0000122E">
        <w:t xml:space="preserve"> powder X-ray diffractometry using an Empyrean powder diffractometer (PANalytical, Almelo, Netherlands) at room temperature, with nickel filter, Cu−K</w:t>
      </w:r>
      <w:r w:rsidR="0000122E" w:rsidRPr="0000122E">
        <w:rPr>
          <w:i/>
        </w:rPr>
        <w:t>α</w:t>
      </w:r>
      <w:r w:rsidR="0000122E">
        <w:t xml:space="preserve"> radiation (λ = 1.54180 Å), step-scanned in 0.04°</w:t>
      </w:r>
      <w:r w:rsidR="009F1BB4">
        <w:t xml:space="preserve"> (2θ) at each 30 s;</w:t>
      </w:r>
      <w:r w:rsidR="0000122E" w:rsidRPr="0000122E">
        <w:t xml:space="preserve"> </w:t>
      </w:r>
      <w:r w:rsidR="009F1BB4">
        <w:t>and</w:t>
      </w:r>
      <w:r>
        <w:t xml:space="preserve"> </w:t>
      </w:r>
      <w:r w:rsidR="009F1BB4">
        <w:t xml:space="preserve">(ii) </w:t>
      </w:r>
      <w:r>
        <w:t>single crystal x-ray diffraction at 180 K with monochromated Mo−K</w:t>
      </w:r>
      <w:r w:rsidRPr="00D271F6">
        <w:rPr>
          <w:vertAlign w:val="subscript"/>
        </w:rPr>
        <w:t>α</w:t>
      </w:r>
      <w:r>
        <w:t xml:space="preserve"> radiation (λ = 0.71073 Å) on a Bruker SMART Apex II diffractometer (Bruker, Billerica, USA) eq</w:t>
      </w:r>
      <w:r w:rsidR="0000122E">
        <w:t xml:space="preserve">uipped with a CCD area detector. </w:t>
      </w:r>
    </w:p>
    <w:p w14:paraId="1DAD67D4" w14:textId="77777777" w:rsidR="00733A83" w:rsidRDefault="00733A83" w:rsidP="00733A83">
      <w:pPr>
        <w:pStyle w:val="RSCB02ArticleText"/>
      </w:pPr>
      <w:r w:rsidRPr="00733A83">
        <w:rPr>
          <w:rStyle w:val="RSCB06BHeadingSub-SectionChar"/>
        </w:rPr>
        <w:t>Molecular Dynamics (MD) Simulations.</w:t>
      </w:r>
      <w:r>
        <w:t xml:space="preserve"> </w:t>
      </w:r>
      <w:r w:rsidRPr="00D60723">
        <w:t>The atomistic description of water, ibuprofen and the [C</w:t>
      </w:r>
      <w:r w:rsidRPr="00D60723">
        <w:rPr>
          <w:vertAlign w:val="subscript"/>
        </w:rPr>
        <w:t>4</w:t>
      </w:r>
      <w:r w:rsidRPr="00D60723">
        <w:t>C</w:t>
      </w:r>
      <w:r w:rsidRPr="00D60723">
        <w:rPr>
          <w:vertAlign w:val="subscript"/>
        </w:rPr>
        <w:t>1</w:t>
      </w:r>
      <w:r w:rsidRPr="00D60723">
        <w:t>im][N(CN)</w:t>
      </w:r>
      <w:r w:rsidRPr="00D60723">
        <w:rPr>
          <w:vertAlign w:val="subscript"/>
        </w:rPr>
        <w:t>2</w:t>
      </w:r>
      <w:r w:rsidRPr="00D60723">
        <w:t>] and [C</w:t>
      </w:r>
      <w:r w:rsidRPr="00D60723">
        <w:rPr>
          <w:vertAlign w:val="subscript"/>
        </w:rPr>
        <w:t>4</w:t>
      </w:r>
      <w:r w:rsidRPr="00D60723">
        <w:t>C</w:t>
      </w:r>
      <w:r w:rsidRPr="00D60723">
        <w:rPr>
          <w:vertAlign w:val="subscript"/>
        </w:rPr>
        <w:t>1</w:t>
      </w:r>
      <w:r w:rsidRPr="00D60723">
        <w:t>im][SCN] ionic liquids was implemented using the SPC,</w:t>
      </w:r>
      <w:r>
        <w:fldChar w:fldCharType="begin" w:fldLock="1"/>
      </w:r>
      <w:r>
        <w:instrText>ADDIN CSL_CITATION { "citationItems" : [ { "id" : "ITEM-1", "itemData" : { "DOI" : "10.1021/jp046158d", "ISSN" : "1089-5639", "abstract" : "Vibrational spectroscopy studies show that the bulk water bending band becomes narrower with increasing temperature (Mar\u00e9chal, Y. J. Mol. Struct. 1994, 322, 105). Since this counterintuitive effect is not associated with the quantum nature of nuclear motion a molecular dynamics (MD) simulation is expected to reproduce it even in the classical limit. We have performed a classical MD simulation of the flexible simple point charge (SPC) and extended SPC (SPC/E) water models to determine the temperature dependence of the bulk water vibrational spectrum. The intramolecular water potential proposed by Toukan and Rahman, including a stretch\u2212bend coupling term, was applied. We performed MD simulations at \u22124 and 80 \u00b0C to compare the calculated vibrational spectra, in particular, the band associated with the bending mode, with the experiment. The experimentally determined narrowing of the bending band with increasing temperature is not reproducible by MD simulation with the applied force field. However, the results...", "author" : [ { "dropping-particle" : "", "family" : "Praprotnik", "given" : "Matej", "non-dropping-particle" : "", "parse-names" : false, "suffix" : "" }, { "dropping-particle" : "", "family" : "Jane\u017eic\u030c", "given" : "Du\u0161anka", "non-dropping-particle" : "", "parse-names" : false, "suffix" : "" }, { "dropping-particle" : "", "family" : "Mavri", "given" : "Janez", "non-dropping-particle" : "", "parse-names" : false, "suffix" : "" } ], "container-title" : "The Journal of Physical Chemistry A", "id" : "ITEM-1", "issue" : "50", "issued" : { "date-parts" : [ [ "2004", "12" ] ] }, "page" : "11056-11062", "publisher" : "American Chemical Society", "title" : "Temperature Dependence of Water Vibrational Spectrum: A Molecular Dynamics Simulation Study", "type" : "article-journal", "volume" : "108" }, "uris" : [ "http://www.mendeley.com/documents/?uuid=c1e870ff-49be-38da-9da0-540f47bdd107" ] } ], "mendeley" : { "formattedCitation" : "&lt;sup&gt;37&lt;/sup&gt;", "plainTextFormattedCitation" : "37", "previouslyFormattedCitation" : "&lt;sup&gt;37&lt;/sup&gt;" }, "properties" : { "noteIndex" : 0 }, "schema" : "https://github.com/citation-style-language/schema/raw/master/csl-citation.json" }</w:instrText>
      </w:r>
      <w:r>
        <w:fldChar w:fldCharType="separate"/>
      </w:r>
      <w:r w:rsidRPr="00294D46">
        <w:rPr>
          <w:noProof/>
          <w:vertAlign w:val="superscript"/>
        </w:rPr>
        <w:t>37</w:t>
      </w:r>
      <w:r>
        <w:fldChar w:fldCharType="end"/>
      </w:r>
      <w:r w:rsidRPr="00D60723">
        <w:t xml:space="preserve"> OPLS</w:t>
      </w:r>
      <w:r>
        <w:fldChar w:fldCharType="begin" w:fldLock="1"/>
      </w:r>
      <w:r>
        <w:instrText>ADDIN CSL_CITATION { "citationItems" : [ { "id" : "ITEM-1", "itemData" : { "DOI" : "10.1021/ja9621760", "ISSN" : "0002-7863", "abstract" : "The parametrization and testing of the OPLS all-atom force field for organic molecules and peptides are described. Parameters for both torsional and nonbonded energetics have been derived, while the bond stretching and angle bending parameters have been adopted mostly from the AMBER all-atom force field. The torsional parameters were determined by fitting to rotational energy profiles obtained from ab initio molecular orbital calculations at the RHF/6-31G*//RHF/6-31G* level for more than 50 organic molecules and ions. The quality of the fits was high with average errors for conformational energies of less than 0.2 kcal/mol. The force-field results for molecular structures are also demonstrated to closely match the ab initio predictions. The nonbonded parameters were developed in conjunction with Monte Carlo statistical mechanics simulations by computing thermodynamic and structural properties for 34 pure organic liquids including alkanes, alkenes, alcohols, ethers, acetals, thiols, sulfides, disulfides, a...", "author" : [ { "dropping-particle" : "", "family" : "Jorgensen", "given" : "William L.", "non-dropping-particle" : "", "parse-names" : false, "suffix" : "" }, { "dropping-particle" : "", "family" : "Maxwell", "given" : "David S.", "non-dropping-particle" : "", "parse-names" : false, "suffix" : "" }, { "dropping-particle" : "", "family" : "Tirado-Rives", "given" : "Julian", "non-dropping-particle" : "", "parse-names" : false, "suffix" : "" } ], "container-title" : "Journal of the American Chemical Society", "id" : "ITEM-1", "issue" : "45", "issued" : { "date-parts" : [ [ "1996", "1" ] ] }, "page" : "11225-11236", "publisher" : "American Chemical Society", "title" : "Development and Testing of the OPLS All-Atom Force Field on Conformational Energetics and Properties of Organic Liquids", "type" : "article-journal", "volume" : "118" }, "uris" : [ "http://www.mendeley.com/documents/?uuid=f4b14862-e724-3e44-a415-194515501db6" ] } ], "mendeley" : { "formattedCitation" : "&lt;sup&gt;38&lt;/sup&gt;", "plainTextFormattedCitation" : "38", "previouslyFormattedCitation" : "&lt;sup&gt;38&lt;/sup&gt;" }, "properties" : { "noteIndex" : 0 }, "schema" : "https://github.com/citation-style-language/schema/raw/master/csl-citation.json" }</w:instrText>
      </w:r>
      <w:r>
        <w:fldChar w:fldCharType="separate"/>
      </w:r>
      <w:r w:rsidRPr="00294D46">
        <w:rPr>
          <w:noProof/>
          <w:vertAlign w:val="superscript"/>
        </w:rPr>
        <w:t>38</w:t>
      </w:r>
      <w:r>
        <w:fldChar w:fldCharType="end"/>
      </w:r>
      <w:r>
        <w:t xml:space="preserve"> </w:t>
      </w:r>
      <w:r w:rsidRPr="00D60723">
        <w:t>and CL&amp;P</w:t>
      </w:r>
      <w:r w:rsidRPr="003F0B86">
        <w:fldChar w:fldCharType="begin" w:fldLock="1"/>
      </w:r>
      <w:r>
        <w:instrText>ADDIN CSL_CITATION { "citationItems" : [ { "id" : "ITEM-1", "itemData" : { "DOI" : "10.1021/jp0362133", "ISSN" : "1520-6106", "abstract" : "A new force field for the molecular modeling of ionic liquids of the dialkylimidazolium cation family was constructed. The model is based on the OPLS-AA/AMBER framework. Ab initio calculations were performed to obtain several terms in the force field not yet defined in the literature. These include torsion energy profiles and distributions of atomic charges that blend smoothly with the OPLS-AA specification for alkyl chains. Validation was carried out by comparing simulated and experimental data on fourteen different salts, comprising three types of anion and five lengths of alkyl chain, in both the crystalline and liquid phases. The present model can be regarded as a step toward a general force field for ionic liquids of the imidazolium cation family that was built in a systematic way, is easily integrated with OPLS-AA/AMBER, and is transferable between different combinations of cation\u2212anion.", "author" : [ { "dropping-particle" : "", "family" : "Canongia Lopes", "given" : "Jos\u00e9 N.", "non-dropping-particle" : "", "parse-names" : false, "suffix" : "" }, { "dropping-particle" : "", "family" : "Deschamps", "given" : "Johnny", "non-dropping-particle" : "", "parse-names" : false, "suffix" : "" }, { "dropping-particle" : "", "family" : "P\u00e1dua", "given" : "Ag\u00edlio A. H.", "non-dropping-particle" : "", "parse-names" : false, "suffix" : "" } ], "container-title" : "The Journal of Physical Chemistry B", "id" : "ITEM-1", "issue" : "6", "issued" : { "date-parts" : [ [ "2004", "2" ] ] }, "page" : "2038-2047", "publisher" : "American Chemical Society", "title" : "Modeling Ionic Liquids Using a Systematic All-Atom Force Field", "type" : "article-journal", "volume" : "108" }, "uris" : [ "http://www.mendeley.com/documents/?uuid=5b2a3765-b878-3c4e-b11c-3c50b506b482" ] }, { "id" : "ITEM-2", "itemData" : { "DOI" : "10.1021/jp0476545", "ISSN" : "1520-6106", "abstract" : "A set of force field parameters is proposed for the molecular simulation of ionic liquids containing the anions trifluoromethylsufate and bis(trifluoromethylsulfonyl)imide, also known as triflate and bistriflylimide, respectively. The new set can be combined with existing force fields for cations in order to simulate common room-temperature ionic liquids, such as those of the dialkylimidazolium family, and can be integrated with the OPLS-AA or similar force fields. Ab initio quantum chemical calculations were employed to obtain molecular geometry, torsional energy profiles, and partial charge distribution in the triflate and bistriflylimide anions. One of the torsions in bistriflylimide, corresponding to the dihedral angle S\u2212N\u2212S\u2212C, has a complex energy profile which is precisely reproduced by the present parameter set. A new set of partial electrostatic charges is also proposed for the pyrrolidinium and tri- and tetra-alkylammonium cations. Again, these parameters can be combined with the OPLS-AA specific...", "author" : [ { "dropping-particle" : "", "family" : "Canongia Lopes", "given" : "Jos\u00e9 N.", "non-dropping-particle" : "", "parse-names" : false, "suffix" : "" }, { "dropping-particle" : "", "family" : "P\u00e1dua", "given" : "Ag\u00edlio A. H.", "non-dropping-particle" : "", "parse-names" : false, "suffix" : "" } ], "container-title" : "The Journal of Physical Chemistry B", "id" : "ITEM-2", "issue" : "43", "issued" : { "date-parts" : [ [ "2004", "10" ] ] }, "page" : "16893-16898", "publisher" : "American Chemical Society", "title" : "Molecular Force Field for Ionic Liquids Composed of Triflate or Bistriflylimide Anions", "type" : "article-journal", "volume" : "108" }, "uris" : [ "http://www.mendeley.com/documents/?uuid=2d47aa68-33e5-3cda-97a5-e0ffafedf386" ] }, { "id" : "ITEM-3", "itemData" : { "DOI" : "10.1007/s00214-012-1129-7", "ISSN" : "1432-881X", "author" : [ { "dropping-particle" : "", "family" : "Canongia Lopes", "given" : "Jos\u00e9 N.", "non-dropping-particle" : "", "parse-names" : false, "suffix" : "" }, { "dropping-particle" : "", "family" : "P\u00e1dua", "given" : "Ag\u00edlio A. H.", "non-dropping-particle" : "", "parse-names" : false, "suffix" : "" } ], "container-title" : "Theoretical Chemistry Accounts", "id" : "ITEM-3", "issue" : "3", "issued" : { "date-parts" : [ [ "2012", "3", "17" ] ] }, "page" : "1129", "publisher" : "Springer-Verlag", "title" : "CL&amp;amp;P: A generic and systematic force field for ionic liquids modeling", "type" : "article-journal", "volume" : "131" }, "uris" : [ "http://www.mendeley.com/documents/?uuid=83783067-7cd2-3038-93d5-ee7f4832601f" ] } ], "mendeley" : { "formattedCitation" : "&lt;sup&gt;39\u201341&lt;/sup&gt;", "plainTextFormattedCitation" : "39\u201341", "previouslyFormattedCitation" : "&lt;sup&gt;39\u201341&lt;/sup&gt;" }, "properties" : { "noteIndex" : 0 }, "schema" : "https://github.com/citation-style-language/schema/raw/master/csl-citation.json" }</w:instrText>
      </w:r>
      <w:r w:rsidRPr="003F0B86">
        <w:fldChar w:fldCharType="separate"/>
      </w:r>
      <w:r w:rsidRPr="00294D46">
        <w:rPr>
          <w:noProof/>
          <w:vertAlign w:val="superscript"/>
        </w:rPr>
        <w:t>39–41</w:t>
      </w:r>
      <w:r w:rsidRPr="003F0B86">
        <w:fldChar w:fldCharType="end"/>
      </w:r>
      <w:r w:rsidRPr="00D60723">
        <w:t xml:space="preserve"> force-fields, respectively.</w:t>
      </w:r>
      <w:r w:rsidRPr="003F0B86">
        <w:t xml:space="preserve"> The MD simulations were carried out using the DL_POLY 2.20</w:t>
      </w:r>
      <w:r>
        <w:fldChar w:fldCharType="begin" w:fldLock="1"/>
      </w:r>
      <w:r>
        <w:instrText>ADDIN CSL_CITATION { "citationItems" : [ { "id" : "ITEM-1", "itemData" : { "author" : [ { "dropping-particle" : "", "family" : "Smith", "given" : "W.", "non-dropping-particle" : "", "parse-names" : false, "suffix" : "" }, { "dropping-particle" : "", "family" : "Forester", "given" : "T. R.", "non-dropping-particle" : "", "parse-names" : false, "suffix" : "" } ], "id" : "ITEM-1", "issued" : { "date-parts" : [ [ "2006" ] ] }, "title" : "The DL_POLY Package of Molecular Simulation Routines (v.2.2); The Council for The Central Laboratory of Research Councils. Warrington: Daresbury Laboratory", "type" : "article" }, "uris" : [ "http://www.mendeley.com/documents/?uuid=e890dde9-c7e7-4297-a7d3-ab62ca6410d5" ] } ], "mendeley" : { "formattedCitation" : "&lt;sup&gt;42&lt;/sup&gt;", "plainTextFormattedCitation" : "42", "previouslyFormattedCitation" : "&lt;sup&gt;42&lt;/sup&gt;" }, "properties" : { "noteIndex" : 0 }, "schema" : "https://github.com/citation-style-language/schema/raw/master/csl-citation.json" }</w:instrText>
      </w:r>
      <w:r>
        <w:fldChar w:fldCharType="separate"/>
      </w:r>
      <w:r w:rsidRPr="00294D46">
        <w:rPr>
          <w:noProof/>
          <w:vertAlign w:val="superscript"/>
        </w:rPr>
        <w:t>42</w:t>
      </w:r>
      <w:r>
        <w:fldChar w:fldCharType="end"/>
      </w:r>
      <w:r w:rsidRPr="003F0B86">
        <w:t xml:space="preserve"> and Gromacs</w:t>
      </w:r>
      <w:r>
        <w:fldChar w:fldCharType="begin" w:fldLock="1"/>
      </w:r>
      <w:r>
        <w:instrText>ADDIN CSL_CITATION { "citationItems" : [ { "id" : "ITEM-1", "itemData" : { "DOI" : "10.1016/0010-4655(95)00042-E", "ISSN" : "00104655", "author" : [ { "dropping-particle" : "", "family" : "Berendsen", "given" : "H.J.C.", "non-dropping-particle" : "", "parse-names" : false, "suffix" : "" }, { "dropping-particle" : "", "family" : "Spoel", "given" : "D.", "non-dropping-particle" : "van der", "parse-names" : false, "suffix" : "" }, { "dropping-particle" : "", "family" : "Drunen", "given" : "R.", "non-dropping-particle" : "van", "parse-names" : false, "suffix" : "" } ], "container-title" : "Computer Physics Communications", "id" : "ITEM-1", "issue" : "1-3", "issued" : { "date-parts" : [ [ "1995", "9" ] ] }, "page" : "43-56", "title" : "GROMACS: A message-passing parallel molecular dynamics implementation", "type" : "article-journal", "volume" : "91" }, "uris" : [ "http://www.mendeley.com/documents/?uuid=a35f3ed0-3ab3-3e4e-be28-ad1b40122731" ] }, { "id" : "ITEM-2", "itemData" : { "DOI" : "10.1007/978-3-319-15976-8_1", "author" : [ { "dropping-particle" : "", "family" : "P\u00e1ll", "given" : "Szil\u00e1rd", "non-dropping-particle" : "", "parse-names" : false, "suffix" : "" }, { "dropping-particle" : "", "family" : "Abraham", "given" : "Mark James", "non-dropping-particle" : "", "parse-names" : false, "suffix" : "" }, { "dropping-particle" : "", "family" : "Kutzner", "given" : "Carsten", "non-dropping-particle" : "", "parse-names" : false, "suffix" : "" }, { "dropping-particle" : "", "family" : "Hess", "given" : "Berk", "non-dropping-particle" : "", "parse-names" : false, "suffix" : "" }, { "dropping-particle" : "", "family" : "Lindahl", "given" : "Erik", "non-dropping-particle" : "", "parse-names" : false, "suffix" : "" } ], "container-title" : "Solving Software Challenges for Exascale. Vol. 8759", "id" : "ITEM-2", "issued" : { "date-parts" : [ [ "2015" ] ] }, "page" : "3-27", "publisher" : "Springer, Cham", "title" : "Tackling Exascale Software Challenges in Molecular Dynamics Simulations with GROMACS", "type" : "chapter" }, "uris" : [ "http://www.mendeley.com/documents/?uuid=84c5c071-53fd-3c10-9e1c-bcf4432958ea" ] }, { "id" : "ITEM-3", "itemData" : { "DOI" : "10.1016/j.softx.2015.06.001", "ISSN" : "23527110", "abstract" : "GROMACS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CPU\u2013GPU acceleration, state-of-the-art 3D domain decomposition, and ensemble-level parallelization through built-in replica exchange and the separate Copernicus framework. The latest best-in-class compressed trajectory storage format is supported.", "author" : [ { "dropping-particle" : "", "family" : "Abraham", "given" : "Mark James", "non-dropping-particle" : "", "parse-names" : false, "suffix" : "" }, { "dropping-particle" : "", "family" : "Murtola", "given" : "Teemu", "non-dropping-particle" : "", "parse-names" : false, "suffix" : "" }, { "dropping-particle" : "", "family" : "Schulz", "given" : "Roland", "non-dropping-particle" : "", "parse-names" : false, "suffix" : "" }, { "dropping-particle" : "", "family" : "P\u00e1ll", "given" : "Szil\u00e1rd", "non-dropping-particle" : "", "parse-names" : false, "suffix" : "" }, { "dropping-particle" : "", "family" : "Smith", "given" : "Jeremy C.", "non-dropping-particle" : "", "parse-names" : false, "suffix" : "" }, { "dropping-particle" : "", "family" : "Hess", "given" : "Berk", "non-dropping-particle" : "", "parse-names" : false, "suffix" : "" }, { "dropping-particle" : "", "family" : "Lindahl", "given" : "Erik", "non-dropping-particle" : "", "parse-names" : false, "suffix" : "" } ], "container-title" : "SoftwareX", "id" : "ITEM-3", "issued" : { "date-parts" : [ [ "2015", "9" ] ] }, "page" : "19-25", "title" : "GROMACS: High performance molecular simulations through multi-level parallelism from laptops to supercomputers", "type" : "article-journal", "volume" : "1-2" }, "uris" : [ "http://www.mendeley.com/documents/?uuid=bd2a120a-17bf-38da-856c-1fdea202a948" ] } ], "mendeley" : { "formattedCitation" : "&lt;sup&gt;43\u201345&lt;/sup&gt;", "plainTextFormattedCitation" : "43\u201345", "previouslyFormattedCitation" : "&lt;sup&gt;43\u201345&lt;/sup&gt;" }, "properties" : { "noteIndex" : 0 }, "schema" : "https://github.com/citation-style-language/schema/raw/master/csl-citation.json" }</w:instrText>
      </w:r>
      <w:r>
        <w:fldChar w:fldCharType="separate"/>
      </w:r>
      <w:r w:rsidRPr="00294D46">
        <w:rPr>
          <w:noProof/>
          <w:vertAlign w:val="superscript"/>
        </w:rPr>
        <w:t>43–45</w:t>
      </w:r>
      <w:r>
        <w:fldChar w:fldCharType="end"/>
      </w:r>
      <w:r w:rsidRPr="003F0B86">
        <w:t xml:space="preserve"> packages.</w:t>
      </w:r>
    </w:p>
    <w:p w14:paraId="2074F2C7" w14:textId="77777777" w:rsidR="00733A83" w:rsidRDefault="00733A83" w:rsidP="00733A83">
      <w:pPr>
        <w:pStyle w:val="RSCB02ArticleText"/>
      </w:pPr>
      <w:r w:rsidRPr="0079672F">
        <w:t xml:space="preserve">The runs in DL_POLY </w:t>
      </w:r>
      <w:r>
        <w:t xml:space="preserve">(systems 1 </w:t>
      </w:r>
      <w:r w:rsidRPr="000B4DD8">
        <w:t xml:space="preserve">to 5 in Table </w:t>
      </w:r>
      <w:r>
        <w:t xml:space="preserve">1) </w:t>
      </w:r>
      <w:r w:rsidRPr="0079672F">
        <w:t>started from low-density configurations</w:t>
      </w:r>
      <w:r>
        <w:t xml:space="preserve"> and were</w:t>
      </w:r>
      <w:r w:rsidRPr="0079672F">
        <w:t xml:space="preserve"> </w:t>
      </w:r>
      <w:r>
        <w:t>performed using 2 fs time-</w:t>
      </w:r>
      <w:r w:rsidRPr="0079672F">
        <w:t>step</w:t>
      </w:r>
      <w:r>
        <w:t>s and</w:t>
      </w:r>
      <w:r w:rsidRPr="0079672F">
        <w:t xml:space="preserve"> 2 nm cuto</w:t>
      </w:r>
      <w:r>
        <w:t>ff distances, with</w:t>
      </w:r>
      <w:r w:rsidRPr="0079672F">
        <w:t xml:space="preserve"> Ewald summation corrections performed beyond </w:t>
      </w:r>
      <w:r>
        <w:t>the</w:t>
      </w:r>
      <w:r w:rsidRPr="0079672F">
        <w:t xml:space="preserve"> cutoff</w:t>
      </w:r>
      <w:r>
        <w:t>s</w:t>
      </w:r>
      <w:r w:rsidRPr="0079672F">
        <w:t>. All simulations were subjected to equilibration runs under isobaric isothermal ensemble conditions (</w:t>
      </w:r>
      <w:r w:rsidRPr="005D6C68">
        <w:rPr>
          <w:i/>
        </w:rPr>
        <w:t>p</w:t>
      </w:r>
      <w:r w:rsidRPr="0079672F">
        <w:t xml:space="preserve"> = 0.1 MPa and </w:t>
      </w:r>
      <w:r w:rsidRPr="005D6C68">
        <w:rPr>
          <w:i/>
        </w:rPr>
        <w:t>T</w:t>
      </w:r>
      <w:r w:rsidRPr="0079672F">
        <w:t xml:space="preserve"> = 300 K with Nosé−Hoover thermostats and barostats with relaxation time constants of 1 and 4 ps, respectively). After 1.3 ns, the density of each system reached constant and consistent values, indicating that equilibrium had been attained and possible ergodicity problems had been overcome. Finally, </w:t>
      </w:r>
      <w:r>
        <w:t xml:space="preserve">at least six </w:t>
      </w:r>
      <w:r w:rsidRPr="0079672F">
        <w:t>consecutive production stages of 1.0 ns each were performed, and the combined results were used for the aggregation analyses of all studied ionic liquids (see below).</w:t>
      </w:r>
    </w:p>
    <w:p w14:paraId="41929010" w14:textId="77777777" w:rsidR="00733A83" w:rsidRDefault="00733A83" w:rsidP="00733A83">
      <w:pPr>
        <w:pStyle w:val="RSCB02ArticleText"/>
      </w:pPr>
      <w:r w:rsidRPr="000B4DD8">
        <w:t>Gromacs simulations (systems 6 to 8 in Table 1</w:t>
      </w:r>
      <w:r>
        <w:t xml:space="preserve">) </w:t>
      </w:r>
      <w:r w:rsidRPr="0079672F">
        <w:t>were started from configurations</w:t>
      </w:r>
      <w:r>
        <w:t xml:space="preserve"> built with the PACKMOL </w:t>
      </w:r>
      <w:r w:rsidRPr="00C70008">
        <w:t>package</w:t>
      </w:r>
      <w:r w:rsidRPr="00C70008">
        <w:rPr>
          <w:vertAlign w:val="superscript"/>
        </w:rPr>
        <w:fldChar w:fldCharType="begin" w:fldLock="1"/>
      </w:r>
      <w:r>
        <w:rPr>
          <w:vertAlign w:val="superscript"/>
        </w:rPr>
        <w:instrText>ADDIN CSL_CITATION { "citationItems" : [ { "id" : "ITEM-1", "itemData" : { "DOI" : "10.1002/jcc.21224", "ISSN" : "01928651", "author" : [ { "dropping-particle" : "", "family" : "Mart\u00ednez", "given" : "L.", "non-dropping-particle" : "", "parse-names" : false, "suffix" : "" }, { "dropping-particle" : "", "family" : "Andrade", "given" : "R.", "non-dropping-particle" : "", "parse-names" : false, "suffix" : "" }, { "dropping-particle" : "", "family" : "Birgin", "given" : "E. G.", "non-dropping-particle" : "", "parse-names" : false, "suffix" : "" }, { "dropping-particle" : "", "family" : "Mart\u00ednez", "given" : "J. M.", "non-dropping-particle" : "", "parse-names" : false, "suffix" : "" } ], "container-title" : "Journal of Computational Chemistry", "id" : "ITEM-1", "issue" : "13", "issued" : { "date-parts" : [ [ "2009", "10", "1" ] ] }, "page" : "2157-2164", "publisher" : "Wiley Subscription Services, Inc., A Wiley Company", "title" : "PACKMOL: A package for building initial configurations for molecular dynamics simulations", "type" : "article-journal", "volume" : "30" }, "uris" : [ "http://www.mendeley.com/documents/?uuid=59bdb5ed-caa2-31a6-b00c-eecadeb2b26b" ] } ], "mendeley" : { "formattedCitation" : "&lt;sup&gt;46&lt;/sup&gt;", "plainTextFormattedCitation" : "46", "previouslyFormattedCitation" : "&lt;sup&gt;46&lt;/sup&gt;" }, "properties" : { "noteIndex" : 0 }, "schema" : "https://github.com/citation-style-language/schema/raw/master/csl-citation.json" }</w:instrText>
      </w:r>
      <w:r w:rsidRPr="00C70008">
        <w:rPr>
          <w:vertAlign w:val="superscript"/>
        </w:rPr>
        <w:fldChar w:fldCharType="separate"/>
      </w:r>
      <w:r w:rsidRPr="00294D46">
        <w:rPr>
          <w:noProof/>
          <w:vertAlign w:val="superscript"/>
        </w:rPr>
        <w:t>46</w:t>
      </w:r>
      <w:r w:rsidRPr="00C70008">
        <w:rPr>
          <w:vertAlign w:val="superscript"/>
        </w:rPr>
        <w:fldChar w:fldCharType="end"/>
      </w:r>
      <w:r w:rsidRPr="00C70008">
        <w:t xml:space="preserve"> a</w:t>
      </w:r>
      <w:r>
        <w:t>nd were</w:t>
      </w:r>
      <w:r w:rsidRPr="0079672F">
        <w:t xml:space="preserve"> </w:t>
      </w:r>
      <w:r>
        <w:t>performed using 1 fs time-</w:t>
      </w:r>
      <w:r w:rsidRPr="0079672F">
        <w:t>step</w:t>
      </w:r>
      <w:r>
        <w:t>s and</w:t>
      </w:r>
      <w:r w:rsidRPr="0079672F">
        <w:t xml:space="preserve"> 2 nm cuto</w:t>
      </w:r>
      <w:r>
        <w:t>ff distances, with</w:t>
      </w:r>
      <w:r w:rsidRPr="0079672F">
        <w:t xml:space="preserve"> Ewald summation corrections performed beyond </w:t>
      </w:r>
      <w:r>
        <w:t>the</w:t>
      </w:r>
      <w:r w:rsidRPr="0079672F">
        <w:t xml:space="preserve"> cutoff</w:t>
      </w:r>
      <w:r>
        <w:t>s</w:t>
      </w:r>
      <w:r w:rsidRPr="0079672F">
        <w:t>.</w:t>
      </w:r>
      <w:r>
        <w:t xml:space="preserve"> The isothermal-isobaric ensemble conditions used during equilibration were </w:t>
      </w:r>
      <w:r w:rsidRPr="005D6C68">
        <w:rPr>
          <w:i/>
        </w:rPr>
        <w:t>p</w:t>
      </w:r>
      <w:r w:rsidRPr="0079672F">
        <w:t xml:space="preserve"> = 0.1 MPa and </w:t>
      </w:r>
      <w:r w:rsidRPr="005D6C68">
        <w:rPr>
          <w:i/>
        </w:rPr>
        <w:t>T</w:t>
      </w:r>
      <w:r w:rsidRPr="0079672F">
        <w:t xml:space="preserve"> = 300 K with Nosé−Hoover thermostats and Parrinello-Rahman barostats with relaxation time consta</w:t>
      </w:r>
      <w:r>
        <w:t>nts of 1 and 4 ps, respectively</w:t>
      </w:r>
      <w:r w:rsidRPr="0079672F">
        <w:t>. The systems wer</w:t>
      </w:r>
      <w:r>
        <w:t xml:space="preserve">e equilibrated for 4 ns and six </w:t>
      </w:r>
      <w:r w:rsidRPr="0079672F">
        <w:t xml:space="preserve">consecutive production runs of 1.0 ns </w:t>
      </w:r>
      <w:r>
        <w:t xml:space="preserve">each </w:t>
      </w:r>
      <w:r w:rsidRPr="0079672F">
        <w:t>were carried out.</w:t>
      </w:r>
    </w:p>
    <w:p w14:paraId="2EAD9280" w14:textId="7F50E714" w:rsidR="006D69CB" w:rsidRDefault="00D92D15" w:rsidP="00733A83">
      <w:pPr>
        <w:pStyle w:val="RSCB02ArticleText"/>
        <w:sectPr w:rsidR="006D69CB" w:rsidSect="00244FAD">
          <w:type w:val="continuous"/>
          <w:pgSz w:w="11907" w:h="16840" w:code="9"/>
          <w:pgMar w:top="1009" w:right="851" w:bottom="1758" w:left="851" w:header="851" w:footer="1049" w:gutter="0"/>
          <w:cols w:num="2" w:space="227"/>
          <w:titlePg/>
          <w:docGrid w:linePitch="360"/>
        </w:sectPr>
      </w:pPr>
      <w:r w:rsidRPr="0079672F">
        <w:t>The aggregation analyses of the [C</w:t>
      </w:r>
      <w:r w:rsidRPr="0079672F">
        <w:rPr>
          <w:vertAlign w:val="subscript"/>
        </w:rPr>
        <w:t>4</w:t>
      </w:r>
      <w:r w:rsidRPr="0079672F">
        <w:t>C</w:t>
      </w:r>
      <w:r w:rsidRPr="0079672F">
        <w:rPr>
          <w:vertAlign w:val="subscript"/>
        </w:rPr>
        <w:t>1</w:t>
      </w:r>
      <w:r w:rsidRPr="0079672F">
        <w:t>im][N(CN)</w:t>
      </w:r>
      <w:r w:rsidRPr="0079672F">
        <w:rPr>
          <w:vertAlign w:val="subscript"/>
        </w:rPr>
        <w:t>2</w:t>
      </w:r>
      <w:r w:rsidRPr="0079672F">
        <w:t>], [C</w:t>
      </w:r>
      <w:r w:rsidRPr="0079672F">
        <w:rPr>
          <w:vertAlign w:val="subscript"/>
        </w:rPr>
        <w:t>4</w:t>
      </w:r>
      <w:r w:rsidRPr="0079672F">
        <w:t>C</w:t>
      </w:r>
      <w:r w:rsidRPr="0079672F">
        <w:rPr>
          <w:vertAlign w:val="subscript"/>
        </w:rPr>
        <w:t>1</w:t>
      </w:r>
      <w:r w:rsidRPr="0079672F">
        <w:t xml:space="preserve">im][SCN] ionic liquids and their mixtures with water and ibuprofen focused on four types of issues: (i) the evaluation of the connectivity between the charged moieties of the molecular ions that compose the so-called polar network; (ii) the evaluation of the connectivity </w:t>
      </w:r>
      <w:r>
        <w:t>within</w:t>
      </w:r>
      <w:r w:rsidRPr="0079672F">
        <w:t xml:space="preserve"> </w:t>
      </w:r>
      <w:r>
        <w:t xml:space="preserve">the </w:t>
      </w:r>
      <w:r w:rsidRPr="0079672F">
        <w:t xml:space="preserve">molecular solute and an estimation of the </w:t>
      </w:r>
      <w:r>
        <w:t xml:space="preserve">corresponding </w:t>
      </w:r>
      <w:r w:rsidRPr="0079672F">
        <w:t xml:space="preserve">aggregate size; (iii) the calculation of the connectivity between </w:t>
      </w:r>
      <w:r>
        <w:t xml:space="preserve">the </w:t>
      </w:r>
      <w:r w:rsidRPr="0079672F">
        <w:t>molecular solute and the ionic liquids; and (iv) the evaluation of the connectivity between</w:t>
      </w:r>
      <w:r>
        <w:t xml:space="preserve"> the anion of the</w:t>
      </w:r>
      <w:r w:rsidRPr="0079672F">
        <w:t xml:space="preserve"> ionic liquids and water.</w:t>
      </w:r>
      <w:r>
        <w:t xml:space="preserve"> </w:t>
      </w:r>
      <w:r w:rsidRPr="0079672F">
        <w:t>The connectivity analyses are based on algorithms</w:t>
      </w:r>
      <w:r>
        <w:fldChar w:fldCharType="begin" w:fldLock="1"/>
      </w:r>
      <w:r>
        <w:instrText>ADDIN CSL_CITATION { "citationItems" : [ { "id" : "ITEM-1", "itemData" : { "DOI" : "10.1021/jp409987d", "ISSN" : "1520-6106", "abstract" : "A new comprehensive Molecular Dynamics study using large simulation boxes has been performed in order to complete and extend the structural analysis on the mesoscopic segregation observed in the ionic liquids of the 1-alkyl-3-methylimidazolium bis(trifluoromethylsulfonyl)imide homologous series, [CnC1im][Ntf2] (2 \u2264 n \u2264 10). The analysis includes the discussion along the whole family of the corresponding structure factors, S(q), in the low-q range (1.6 \u2264 q/nm\u20131 \u2264 20); the confirmation of the periodicity of the polar network of the ionic liquid and its intermediate low-q peak equivalence; and the introduction of five statistical functions that probe the existence and characterize the polar network and the nonpolar aggregates that are formed along the [CnC1im][Ntf2] series. The later functions comprise aggregate size distributions, average number of contact neighbors within an aggregate, neighbor distributions, distributions of aggregate maximum length, and distributions of aggregate volume.", "author" : [ { "dropping-particle" : "", "family" : "Shimizu", "given" : "Karina", "non-dropping-particle" : "", "parse-names" : false, "suffix" : "" }, { "dropping-particle" : "", "family" : "Bernardes", "given" : "Carlos E. S.", "non-dropping-particle" : "", "parse-names" : false, "suffix" : "" }, { "dropping-particle" : "", "family" : "Canongia Lopes", "given" : "Jos\u00e9 N.", "non-dropping-particle" : "", "parse-names" : false, "suffix" : "" } ], "container-title" : "The Journal of Physical Chemistry B", "id" : "ITEM-1", "issue" : "2", "issued" : { "date-parts" : [ [ "2014", "1", "16" ] ] }, "page" : "567-576", "publisher" : "American Chemical Society", "title" : "Structure and Aggregation in the 1-Alkyl-3-Methylimidazolium Bis(trifluoromethylsulfonyl)imide Ionic Liquid Homologous Series", "type" : "article-journal", "volume" : "118" }, "uris" : [ "http://www.mendeley.com/documents/?uuid=5ad65173-0f1a-3861-bff0-d069bd56d742" ] }, { "id" : "ITEM-2", "itemData" : { "DOI" : "10.1021/jp1113202", "ISSN" : "1520-6106", "PMID" : "21322619", "abstract" : "Several structural features of aqueous solutions of the ionic liquid 1-ethyl-3-methylimidazolium ethylsulfate were analyzed in the entire concentration range using molecular dynamics simulation results. Different analysis tools developed in-house were applied to describe the size and connectivity of different water and ion aggregates as a function of the solution concentration. Four concentration ranges-x(H(2)O)&lt;0.5, 0.5&lt;x(H(2)O)&lt;0.8, 0.8&lt;x(H(2)O)&lt;0.95, and x(H(2)O)&gt;0.95-with four distinct structural regimes--isolated water molecules, chain-like water aggregates, bicontinuous system, and isolated ions or small ion clusters--were identified and discussed, including two different percolation limits: that of water in the ionic liquid network (around x(H(2)O)=0.8) and that of the ionic liquid in water (around x(H(2)O)=0.95).", "author" : [ { "dropping-particle" : "", "family" : "Bernardes", "given" : "Carlos E. S.", "non-dropping-particle" : "", "parse-names" : false, "suffix" : "" }, { "dropping-particle" : "", "family" : "Minas da Piedade", "given" : "Manuel E.", "non-dropping-particle" : "", "parse-names" : false, "suffix" : "" }, { "dropping-particle" : "", "family" : "Canongia Lopes", "given" : "Jose\u0301 N.", "non-dropping-particle" : "", "parse-names" : false, "suffix" : "" } ], "container-title" : "The Journal of Physical Chemistry B", "id" : "ITEM-2", "issue" : "9", "issued" : { "date-parts" : [ [ "2011", "3", "10" ] ] }, "page" : "2067-2074", "title" : "The Structure of Aqueous Solutions of a Hydrophilic Ionic Liquid: The Full Concentration Range of 1-Ethyl-3-methylimidazolium Ethylsulfate and Water", "type" : "article-journal", "volume" : "115" }, "uris" : [ "http://www.mendeley.com/documents/?uuid=b749e0bc-6a90-35f5-b7ab-3436024b84cb" ] }, { "id" : "ITEM-3",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"ITEM-3",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"&lt;sup&gt;32,47,48&lt;/sup&gt;", "plainTextFormattedCitation" : "32,47,48", "previouslyFormattedCitation" : "&lt;sup&gt;32,47,48&lt;/sup&gt;" }, "properties" : { "noteIndex" : 0 }, "schema" : "https://github.com/citation-style-language/schema/raw/master/csl-citation.json" }</w:instrText>
      </w:r>
      <w:r>
        <w:fldChar w:fldCharType="separate"/>
      </w:r>
      <w:r w:rsidRPr="00294D46">
        <w:rPr>
          <w:noProof/>
          <w:vertAlign w:val="superscript"/>
        </w:rPr>
        <w:t>32,47,48</w:t>
      </w:r>
      <w:r>
        <w:fldChar w:fldCharType="end"/>
      </w:r>
      <w:r w:rsidRPr="0079672F">
        <w:t xml:space="preserve"> </w:t>
      </w:r>
      <w:r w:rsidR="00946565" w:rsidRPr="0079672F">
        <w:t xml:space="preserve">previously described </w:t>
      </w:r>
      <w:r>
        <w:t>based on</w:t>
      </w:r>
      <w:r w:rsidRPr="0079672F">
        <w:t xml:space="preserve"> neighbo</w:t>
      </w:r>
      <w:r w:rsidR="00355671">
        <w:t>u</w:t>
      </w:r>
      <w:r w:rsidRPr="0079672F">
        <w:t xml:space="preserve">r lists </w:t>
      </w:r>
      <w:r>
        <w:t xml:space="preserve">and interaction distance criteria, adapted to take into account the interaction </w:t>
      </w:r>
      <w:r w:rsidR="00355671">
        <w:t>centres</w:t>
      </w:r>
      <w:r>
        <w:t xml:space="preserve"> of ibuprofen.</w:t>
      </w:r>
    </w:p>
    <w:p w14:paraId="53DA066D" w14:textId="77777777" w:rsidR="009F1BB4" w:rsidRDefault="009F1BB4" w:rsidP="00733A83">
      <w:pPr>
        <w:pStyle w:val="RSCB02ArticleText"/>
      </w:pPr>
    </w:p>
    <w:p w14:paraId="6E3559D6" w14:textId="77777777" w:rsidR="006D69CB" w:rsidRDefault="006D69CB" w:rsidP="00733A83">
      <w:pPr>
        <w:pStyle w:val="RSCB02ArticleText"/>
      </w:pPr>
    </w:p>
    <w:p w14:paraId="0FC46992" w14:textId="77777777" w:rsidR="00D92D15" w:rsidRDefault="00D533BB" w:rsidP="00D533BB">
      <w:pPr>
        <w:pStyle w:val="RSCT02Tabletitlewithouttopbar"/>
      </w:pPr>
      <w:r w:rsidRPr="00D533BB">
        <w:rPr>
          <w:b/>
        </w:rPr>
        <w:t>Table 1.</w:t>
      </w:r>
      <w:r w:rsidRPr="00D533BB">
        <w:t xml:space="preserve"> Simulation conditions, size of the equilibrated boxes and concentrations.</w:t>
      </w:r>
      <w:r>
        <w:t xml:space="preserve"> </w:t>
      </w:r>
    </w:p>
    <w:tbl>
      <w:tblPr>
        <w:tblStyle w:val="TableGrid"/>
        <w:tblW w:w="94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1928"/>
        <w:gridCol w:w="1020"/>
        <w:gridCol w:w="1020"/>
        <w:gridCol w:w="1020"/>
        <w:gridCol w:w="1020"/>
        <w:gridCol w:w="1020"/>
        <w:gridCol w:w="1020"/>
        <w:gridCol w:w="1020"/>
      </w:tblGrid>
      <w:tr w:rsidR="00D533BB" w14:paraId="13FA679B" w14:textId="77777777" w:rsidTr="00042F6B">
        <w:trPr>
          <w:jc w:val="center"/>
        </w:trPr>
        <w:tc>
          <w:tcPr>
            <w:tcW w:w="340" w:type="dxa"/>
            <w:tcBorders>
              <w:bottom w:val="single" w:sz="4" w:space="0" w:color="auto"/>
            </w:tcBorders>
            <w:vAlign w:val="center"/>
          </w:tcPr>
          <w:p w14:paraId="7D12BF35" w14:textId="77777777" w:rsidR="00D533BB" w:rsidRDefault="00D533BB" w:rsidP="00042F6B">
            <w:pPr>
              <w:pStyle w:val="RSCT03TableBody"/>
            </w:pPr>
          </w:p>
        </w:tc>
        <w:tc>
          <w:tcPr>
            <w:tcW w:w="1928" w:type="dxa"/>
            <w:tcBorders>
              <w:bottom w:val="single" w:sz="4" w:space="0" w:color="auto"/>
            </w:tcBorders>
            <w:vAlign w:val="center"/>
          </w:tcPr>
          <w:p w14:paraId="533E44CC" w14:textId="77777777" w:rsidR="00D533BB" w:rsidRPr="00D533BB" w:rsidRDefault="00D533BB" w:rsidP="00042F6B">
            <w:pPr>
              <w:pStyle w:val="RSCT03TableBody"/>
            </w:pPr>
            <w:r w:rsidRPr="00D533BB">
              <w:t>System</w:t>
            </w:r>
          </w:p>
        </w:tc>
        <w:tc>
          <w:tcPr>
            <w:tcW w:w="1020" w:type="dxa"/>
            <w:tcBorders>
              <w:bottom w:val="single" w:sz="4" w:space="0" w:color="auto"/>
            </w:tcBorders>
            <w:vAlign w:val="center"/>
          </w:tcPr>
          <w:p w14:paraId="16E2195C" w14:textId="422E2DE8" w:rsidR="00D533BB" w:rsidRPr="00523226" w:rsidRDefault="00D533BB">
            <w:pPr>
              <w:pStyle w:val="RSCT03TableBody"/>
            </w:pPr>
            <w:r w:rsidRPr="00523226">
              <w:t>n</w:t>
            </w:r>
            <w:r w:rsidR="00946565">
              <w:rPr>
                <w:vertAlign w:val="subscript"/>
              </w:rPr>
              <w:t>I</w:t>
            </w:r>
            <w:r w:rsidRPr="00523226">
              <w:rPr>
                <w:vertAlign w:val="subscript"/>
              </w:rPr>
              <w:t>bu</w:t>
            </w:r>
          </w:p>
        </w:tc>
        <w:tc>
          <w:tcPr>
            <w:tcW w:w="1020" w:type="dxa"/>
            <w:tcBorders>
              <w:bottom w:val="single" w:sz="4" w:space="0" w:color="auto"/>
            </w:tcBorders>
            <w:vAlign w:val="center"/>
          </w:tcPr>
          <w:p w14:paraId="7AF38A54" w14:textId="77777777" w:rsidR="00D533BB" w:rsidRPr="00523226" w:rsidRDefault="00D533BB" w:rsidP="00042F6B">
            <w:pPr>
              <w:pStyle w:val="RSCT03TableBody"/>
            </w:pPr>
            <w:r w:rsidRPr="00523226">
              <w:t>n</w:t>
            </w:r>
            <w:r w:rsidRPr="00523226">
              <w:rPr>
                <w:vertAlign w:val="subscript"/>
              </w:rPr>
              <w:t>IL</w:t>
            </w:r>
          </w:p>
        </w:tc>
        <w:tc>
          <w:tcPr>
            <w:tcW w:w="1020" w:type="dxa"/>
            <w:tcBorders>
              <w:bottom w:val="single" w:sz="4" w:space="0" w:color="auto"/>
            </w:tcBorders>
            <w:vAlign w:val="center"/>
          </w:tcPr>
          <w:p w14:paraId="6C0EA349" w14:textId="77777777" w:rsidR="00D533BB" w:rsidRPr="00523226" w:rsidRDefault="00D533BB" w:rsidP="00042F6B">
            <w:pPr>
              <w:pStyle w:val="RSCT03TableBody"/>
            </w:pPr>
            <w:r w:rsidRPr="00523226">
              <w:t>n</w:t>
            </w:r>
            <w:r w:rsidRPr="00523226">
              <w:rPr>
                <w:vertAlign w:val="subscript"/>
              </w:rPr>
              <w:t>w</w:t>
            </w:r>
          </w:p>
        </w:tc>
        <w:tc>
          <w:tcPr>
            <w:tcW w:w="1020" w:type="dxa"/>
            <w:tcBorders>
              <w:bottom w:val="single" w:sz="4" w:space="0" w:color="auto"/>
            </w:tcBorders>
            <w:vAlign w:val="center"/>
          </w:tcPr>
          <w:p w14:paraId="089B2195" w14:textId="77777777" w:rsidR="00D533BB" w:rsidRPr="00523226" w:rsidRDefault="00D533BB" w:rsidP="00042F6B">
            <w:pPr>
              <w:pStyle w:val="RSCT03TableBody"/>
              <w:rPr>
                <w:vertAlign w:val="subscript"/>
              </w:rPr>
            </w:pPr>
            <w:r w:rsidRPr="00523226">
              <w:t>l</w:t>
            </w:r>
            <w:r w:rsidRPr="00523226">
              <w:rPr>
                <w:vertAlign w:val="subscript"/>
              </w:rPr>
              <w:t>box</w:t>
            </w:r>
          </w:p>
          <w:p w14:paraId="4264008F" w14:textId="77777777" w:rsidR="00D533BB" w:rsidRPr="00523226" w:rsidRDefault="00D533BB" w:rsidP="00042F6B">
            <w:pPr>
              <w:pStyle w:val="RSCT03TableBody"/>
            </w:pPr>
            <w:r w:rsidRPr="00523226">
              <w:t>nm</w:t>
            </w:r>
          </w:p>
        </w:tc>
        <w:tc>
          <w:tcPr>
            <w:tcW w:w="1020" w:type="dxa"/>
            <w:tcBorders>
              <w:bottom w:val="single" w:sz="4" w:space="0" w:color="auto"/>
            </w:tcBorders>
            <w:vAlign w:val="center"/>
          </w:tcPr>
          <w:p w14:paraId="117646F8" w14:textId="77777777" w:rsidR="00D533BB" w:rsidRPr="00523226" w:rsidRDefault="00D533BB" w:rsidP="00042F6B">
            <w:pPr>
              <w:pStyle w:val="RSCT03TableBody"/>
              <w:rPr>
                <w:vertAlign w:val="subscript"/>
              </w:rPr>
            </w:pPr>
            <w:r w:rsidRPr="00523226">
              <w:t>V</w:t>
            </w:r>
            <w:r w:rsidRPr="00523226">
              <w:rPr>
                <w:vertAlign w:val="subscript"/>
              </w:rPr>
              <w:t>box</w:t>
            </w:r>
          </w:p>
          <w:p w14:paraId="018D437B" w14:textId="77777777" w:rsidR="00D533BB" w:rsidRPr="00523226" w:rsidRDefault="00D533BB" w:rsidP="00042F6B">
            <w:pPr>
              <w:pStyle w:val="RSCT03TableBody"/>
            </w:pPr>
            <w:r w:rsidRPr="00523226">
              <w:t>nm</w:t>
            </w:r>
            <w:r w:rsidRPr="00523226">
              <w:rPr>
                <w:vertAlign w:val="superscript"/>
              </w:rPr>
              <w:t>3</w:t>
            </w:r>
          </w:p>
        </w:tc>
        <w:tc>
          <w:tcPr>
            <w:tcW w:w="1020" w:type="dxa"/>
            <w:tcBorders>
              <w:bottom w:val="single" w:sz="4" w:space="0" w:color="auto"/>
            </w:tcBorders>
            <w:vAlign w:val="center"/>
          </w:tcPr>
          <w:p w14:paraId="23627FAE" w14:textId="77777777" w:rsidR="00D533BB" w:rsidRPr="00523226" w:rsidRDefault="00D533BB" w:rsidP="00042F6B">
            <w:pPr>
              <w:pStyle w:val="RSCT03TableBody"/>
              <w:rPr>
                <w:vertAlign w:val="subscript"/>
              </w:rPr>
            </w:pPr>
            <w:r w:rsidRPr="00523226">
              <w:t>[</w:t>
            </w:r>
            <w:r>
              <w:t>Ibu</w:t>
            </w:r>
            <w:r w:rsidRPr="00523226">
              <w:t>]</w:t>
            </w:r>
          </w:p>
          <w:p w14:paraId="14C90052" w14:textId="77777777" w:rsidR="00D533BB" w:rsidRPr="00523226" w:rsidRDefault="00D533BB" w:rsidP="00042F6B">
            <w:pPr>
              <w:pStyle w:val="RSCT03TableBody"/>
            </w:pPr>
            <w:r w:rsidRPr="00523226">
              <w:t>mol.L</w:t>
            </w:r>
            <w:r w:rsidRPr="00523226">
              <w:rPr>
                <w:vertAlign w:val="superscript"/>
              </w:rPr>
              <w:t>-1</w:t>
            </w:r>
          </w:p>
        </w:tc>
        <w:tc>
          <w:tcPr>
            <w:tcW w:w="1020" w:type="dxa"/>
            <w:tcBorders>
              <w:bottom w:val="single" w:sz="4" w:space="0" w:color="auto"/>
            </w:tcBorders>
            <w:vAlign w:val="center"/>
          </w:tcPr>
          <w:p w14:paraId="7E1DFB0D" w14:textId="77777777" w:rsidR="00D533BB" w:rsidRPr="00523226" w:rsidRDefault="00D533BB" w:rsidP="00042F6B">
            <w:pPr>
              <w:pStyle w:val="RSCT03TableBody"/>
              <w:rPr>
                <w:vertAlign w:val="subscript"/>
              </w:rPr>
            </w:pPr>
            <w:r w:rsidRPr="00523226">
              <w:t>[IL]</w:t>
            </w:r>
          </w:p>
          <w:p w14:paraId="5F351F30" w14:textId="77777777" w:rsidR="00D533BB" w:rsidRPr="00523226" w:rsidRDefault="00D533BB" w:rsidP="00042F6B">
            <w:pPr>
              <w:pStyle w:val="RSCT03TableBody"/>
            </w:pPr>
            <w:r w:rsidRPr="00523226">
              <w:t>mol.L</w:t>
            </w:r>
            <w:r w:rsidRPr="00523226">
              <w:rPr>
                <w:vertAlign w:val="superscript"/>
              </w:rPr>
              <w:t>-1</w:t>
            </w:r>
          </w:p>
        </w:tc>
      </w:tr>
      <w:tr w:rsidR="00D533BB" w14:paraId="75E1B982" w14:textId="77777777" w:rsidTr="00C34673">
        <w:trPr>
          <w:jc w:val="center"/>
        </w:trPr>
        <w:tc>
          <w:tcPr>
            <w:tcW w:w="340" w:type="dxa"/>
            <w:tcBorders>
              <w:top w:val="single" w:sz="4" w:space="0" w:color="auto"/>
            </w:tcBorders>
            <w:vAlign w:val="center"/>
          </w:tcPr>
          <w:p w14:paraId="08655FC2" w14:textId="77777777" w:rsidR="00D533BB" w:rsidRDefault="00D533BB" w:rsidP="00D533BB">
            <w:pPr>
              <w:pStyle w:val="RSCT03TableBody"/>
            </w:pPr>
            <w:r>
              <w:t>1</w:t>
            </w:r>
          </w:p>
        </w:tc>
        <w:tc>
          <w:tcPr>
            <w:tcW w:w="1928" w:type="dxa"/>
            <w:tcBorders>
              <w:top w:val="single" w:sz="4" w:space="0" w:color="auto"/>
            </w:tcBorders>
            <w:vAlign w:val="center"/>
          </w:tcPr>
          <w:p w14:paraId="34173CAA" w14:textId="4DB706AC" w:rsidR="00D533BB" w:rsidRPr="00523226" w:rsidRDefault="00D533BB" w:rsidP="00C34673">
            <w:pPr>
              <w:pStyle w:val="RSCT03TableBody"/>
              <w:jc w:val="left"/>
            </w:pPr>
            <w:r w:rsidRPr="00523226">
              <w:t>[C</w:t>
            </w:r>
            <w:r w:rsidRPr="00523226">
              <w:rPr>
                <w:vertAlign w:val="subscript"/>
              </w:rPr>
              <w:t>4</w:t>
            </w:r>
            <w:r>
              <w:t>C</w:t>
            </w:r>
            <w:r w:rsidRPr="00C71A30">
              <w:rPr>
                <w:vertAlign w:val="subscript"/>
              </w:rPr>
              <w:t>1</w:t>
            </w:r>
            <w:r w:rsidRPr="00523226">
              <w:t>im][N(CN)</w:t>
            </w:r>
            <w:r w:rsidRPr="00523226">
              <w:rPr>
                <w:vertAlign w:val="subscript"/>
              </w:rPr>
              <w:t>2</w:t>
            </w:r>
            <w:r w:rsidRPr="00523226">
              <w:t>] + water</w:t>
            </w:r>
          </w:p>
        </w:tc>
        <w:tc>
          <w:tcPr>
            <w:tcW w:w="1020" w:type="dxa"/>
            <w:tcBorders>
              <w:top w:val="single" w:sz="4" w:space="0" w:color="auto"/>
            </w:tcBorders>
            <w:vAlign w:val="center"/>
          </w:tcPr>
          <w:p w14:paraId="7A7F1F85" w14:textId="77777777" w:rsidR="00D533BB" w:rsidRPr="00523226" w:rsidRDefault="00D533BB" w:rsidP="00D533BB">
            <w:pPr>
              <w:pStyle w:val="RSCT03TableBody"/>
            </w:pPr>
            <w:r w:rsidRPr="00523226">
              <w:t>0</w:t>
            </w:r>
          </w:p>
        </w:tc>
        <w:tc>
          <w:tcPr>
            <w:tcW w:w="1020" w:type="dxa"/>
            <w:tcBorders>
              <w:top w:val="single" w:sz="4" w:space="0" w:color="auto"/>
            </w:tcBorders>
            <w:vAlign w:val="center"/>
          </w:tcPr>
          <w:p w14:paraId="79E92261" w14:textId="77777777" w:rsidR="00D533BB" w:rsidRPr="00523226" w:rsidRDefault="00D533BB" w:rsidP="00D533BB">
            <w:pPr>
              <w:pStyle w:val="RSCT03TableBody"/>
            </w:pPr>
            <w:r w:rsidRPr="00523226">
              <w:t>101</w:t>
            </w:r>
          </w:p>
        </w:tc>
        <w:tc>
          <w:tcPr>
            <w:tcW w:w="1020" w:type="dxa"/>
            <w:tcBorders>
              <w:top w:val="single" w:sz="4" w:space="0" w:color="auto"/>
            </w:tcBorders>
            <w:vAlign w:val="center"/>
          </w:tcPr>
          <w:p w14:paraId="7FD8E72F" w14:textId="77777777" w:rsidR="00D533BB" w:rsidRPr="00523226" w:rsidRDefault="00D533BB" w:rsidP="00D533BB">
            <w:pPr>
              <w:pStyle w:val="RSCT03TableBody"/>
            </w:pPr>
            <w:r w:rsidRPr="00523226">
              <w:t>4600</w:t>
            </w:r>
          </w:p>
        </w:tc>
        <w:tc>
          <w:tcPr>
            <w:tcW w:w="1020" w:type="dxa"/>
            <w:tcBorders>
              <w:top w:val="single" w:sz="4" w:space="0" w:color="auto"/>
            </w:tcBorders>
            <w:vAlign w:val="center"/>
          </w:tcPr>
          <w:p w14:paraId="3F29F155" w14:textId="77777777" w:rsidR="00D533BB" w:rsidRPr="00523226" w:rsidRDefault="00D533BB" w:rsidP="00D533BB">
            <w:pPr>
              <w:pStyle w:val="RSCT03TableBody"/>
            </w:pPr>
            <w:r w:rsidRPr="00523226">
              <w:t>5.568</w:t>
            </w:r>
          </w:p>
        </w:tc>
        <w:tc>
          <w:tcPr>
            <w:tcW w:w="1020" w:type="dxa"/>
            <w:tcBorders>
              <w:top w:val="single" w:sz="4" w:space="0" w:color="auto"/>
            </w:tcBorders>
            <w:vAlign w:val="center"/>
          </w:tcPr>
          <w:p w14:paraId="471C1C13" w14:textId="77777777" w:rsidR="00D533BB" w:rsidRPr="00523226" w:rsidRDefault="00D533BB" w:rsidP="00D533BB">
            <w:pPr>
              <w:pStyle w:val="RSCT03TableBody"/>
            </w:pPr>
            <w:r w:rsidRPr="00523226">
              <w:t>172.6</w:t>
            </w:r>
          </w:p>
        </w:tc>
        <w:tc>
          <w:tcPr>
            <w:tcW w:w="1020" w:type="dxa"/>
            <w:tcBorders>
              <w:top w:val="single" w:sz="4" w:space="0" w:color="auto"/>
            </w:tcBorders>
            <w:vAlign w:val="center"/>
          </w:tcPr>
          <w:p w14:paraId="1C6DE8B6" w14:textId="77777777" w:rsidR="00D533BB" w:rsidRPr="00523226" w:rsidRDefault="00D533BB" w:rsidP="00D533BB">
            <w:pPr>
              <w:pStyle w:val="RSCT03TableBody"/>
            </w:pPr>
            <w:r w:rsidRPr="00523226">
              <w:t>0.000</w:t>
            </w:r>
          </w:p>
        </w:tc>
        <w:tc>
          <w:tcPr>
            <w:tcW w:w="1020" w:type="dxa"/>
            <w:tcBorders>
              <w:top w:val="single" w:sz="4" w:space="0" w:color="auto"/>
            </w:tcBorders>
            <w:vAlign w:val="center"/>
          </w:tcPr>
          <w:p w14:paraId="3F853F7F" w14:textId="77777777" w:rsidR="00D533BB" w:rsidRPr="00523226" w:rsidRDefault="00D533BB" w:rsidP="00D533BB">
            <w:pPr>
              <w:pStyle w:val="RSCT03TableBody"/>
            </w:pPr>
            <w:r w:rsidRPr="00523226">
              <w:t>0.971</w:t>
            </w:r>
          </w:p>
        </w:tc>
      </w:tr>
      <w:tr w:rsidR="00D533BB" w14:paraId="77050095" w14:textId="77777777" w:rsidTr="00C34673">
        <w:trPr>
          <w:jc w:val="center"/>
        </w:trPr>
        <w:tc>
          <w:tcPr>
            <w:tcW w:w="340" w:type="dxa"/>
            <w:vAlign w:val="center"/>
          </w:tcPr>
          <w:p w14:paraId="6F96B047" w14:textId="77777777" w:rsidR="00D533BB" w:rsidRDefault="00D533BB" w:rsidP="00D533BB">
            <w:pPr>
              <w:pStyle w:val="RSCT03TableBody"/>
            </w:pPr>
            <w:r>
              <w:t>2</w:t>
            </w:r>
          </w:p>
        </w:tc>
        <w:tc>
          <w:tcPr>
            <w:tcW w:w="1928" w:type="dxa"/>
            <w:vAlign w:val="center"/>
          </w:tcPr>
          <w:p w14:paraId="02F57DF8" w14:textId="77777777" w:rsidR="00D533BB" w:rsidRPr="00523226" w:rsidRDefault="00D533BB" w:rsidP="00C34673">
            <w:pPr>
              <w:pStyle w:val="RSCT03TableBody"/>
              <w:jc w:val="left"/>
            </w:pPr>
            <w:r w:rsidRPr="00523226">
              <w:t>[C</w:t>
            </w:r>
            <w:r w:rsidRPr="00523226">
              <w:rPr>
                <w:vertAlign w:val="subscript"/>
              </w:rPr>
              <w:t>4</w:t>
            </w:r>
            <w:r>
              <w:t>C</w:t>
            </w:r>
            <w:r w:rsidRPr="00C71A30">
              <w:rPr>
                <w:vertAlign w:val="subscript"/>
              </w:rPr>
              <w:t>1</w:t>
            </w:r>
            <w:r w:rsidRPr="00523226">
              <w:t>im][SCN] + water</w:t>
            </w:r>
          </w:p>
        </w:tc>
        <w:tc>
          <w:tcPr>
            <w:tcW w:w="1020" w:type="dxa"/>
            <w:vAlign w:val="center"/>
          </w:tcPr>
          <w:p w14:paraId="1EEE5568" w14:textId="77777777" w:rsidR="00D533BB" w:rsidRPr="00523226" w:rsidRDefault="00D533BB" w:rsidP="00D533BB">
            <w:pPr>
              <w:pStyle w:val="RSCT03TableBody"/>
            </w:pPr>
            <w:r w:rsidRPr="00523226">
              <w:t>0</w:t>
            </w:r>
          </w:p>
        </w:tc>
        <w:tc>
          <w:tcPr>
            <w:tcW w:w="1020" w:type="dxa"/>
            <w:vAlign w:val="center"/>
          </w:tcPr>
          <w:p w14:paraId="384F471C" w14:textId="77777777" w:rsidR="00D533BB" w:rsidRPr="00523226" w:rsidRDefault="00D533BB" w:rsidP="00D533BB">
            <w:pPr>
              <w:pStyle w:val="RSCT03TableBody"/>
            </w:pPr>
            <w:r w:rsidRPr="00523226">
              <w:t>105</w:t>
            </w:r>
          </w:p>
        </w:tc>
        <w:tc>
          <w:tcPr>
            <w:tcW w:w="1020" w:type="dxa"/>
            <w:vAlign w:val="center"/>
          </w:tcPr>
          <w:p w14:paraId="5467BCDC" w14:textId="77777777" w:rsidR="00D533BB" w:rsidRPr="00523226" w:rsidRDefault="00D533BB" w:rsidP="00D533BB">
            <w:pPr>
              <w:pStyle w:val="RSCT03TableBody"/>
            </w:pPr>
            <w:r w:rsidRPr="00523226">
              <w:t>4600</w:t>
            </w:r>
          </w:p>
        </w:tc>
        <w:tc>
          <w:tcPr>
            <w:tcW w:w="1020" w:type="dxa"/>
            <w:vAlign w:val="center"/>
          </w:tcPr>
          <w:p w14:paraId="2AC52CE6" w14:textId="77777777" w:rsidR="00D533BB" w:rsidRPr="00523226" w:rsidRDefault="00D533BB" w:rsidP="00D533BB">
            <w:pPr>
              <w:pStyle w:val="RSCT03TableBody"/>
            </w:pPr>
            <w:r w:rsidRPr="00523226">
              <w:t>5.566</w:t>
            </w:r>
          </w:p>
        </w:tc>
        <w:tc>
          <w:tcPr>
            <w:tcW w:w="1020" w:type="dxa"/>
            <w:vAlign w:val="center"/>
          </w:tcPr>
          <w:p w14:paraId="69583963" w14:textId="77777777" w:rsidR="00D533BB" w:rsidRPr="00523226" w:rsidRDefault="00D533BB" w:rsidP="00D533BB">
            <w:pPr>
              <w:pStyle w:val="RSCT03TableBody"/>
            </w:pPr>
            <w:r w:rsidRPr="00523226">
              <w:t>172.4</w:t>
            </w:r>
          </w:p>
        </w:tc>
        <w:tc>
          <w:tcPr>
            <w:tcW w:w="1020" w:type="dxa"/>
            <w:vAlign w:val="center"/>
          </w:tcPr>
          <w:p w14:paraId="789E6FE4" w14:textId="77777777" w:rsidR="00D533BB" w:rsidRPr="00523226" w:rsidRDefault="00D533BB" w:rsidP="00D533BB">
            <w:pPr>
              <w:pStyle w:val="RSCT03TableBody"/>
            </w:pPr>
            <w:r w:rsidRPr="00523226">
              <w:t>0.000</w:t>
            </w:r>
          </w:p>
        </w:tc>
        <w:tc>
          <w:tcPr>
            <w:tcW w:w="1020" w:type="dxa"/>
            <w:vAlign w:val="center"/>
          </w:tcPr>
          <w:p w14:paraId="7137715D" w14:textId="77777777" w:rsidR="00D533BB" w:rsidRPr="00523226" w:rsidRDefault="00D533BB" w:rsidP="00D533BB">
            <w:pPr>
              <w:pStyle w:val="RSCT03TableBody"/>
            </w:pPr>
            <w:r w:rsidRPr="00523226">
              <w:t>1.011</w:t>
            </w:r>
          </w:p>
        </w:tc>
      </w:tr>
      <w:tr w:rsidR="00D533BB" w14:paraId="59509AE5" w14:textId="77777777" w:rsidTr="00C34673">
        <w:trPr>
          <w:jc w:val="center"/>
        </w:trPr>
        <w:tc>
          <w:tcPr>
            <w:tcW w:w="340" w:type="dxa"/>
            <w:vAlign w:val="center"/>
          </w:tcPr>
          <w:p w14:paraId="15F44174" w14:textId="77777777" w:rsidR="00D533BB" w:rsidRDefault="00D533BB" w:rsidP="00D533BB">
            <w:pPr>
              <w:pStyle w:val="RSCT03TableBody"/>
            </w:pPr>
            <w:r>
              <w:t>3</w:t>
            </w:r>
          </w:p>
        </w:tc>
        <w:tc>
          <w:tcPr>
            <w:tcW w:w="1928" w:type="dxa"/>
            <w:vAlign w:val="center"/>
          </w:tcPr>
          <w:p w14:paraId="567FB337" w14:textId="77777777" w:rsidR="00D533BB" w:rsidRPr="00523226" w:rsidRDefault="00D533BB" w:rsidP="00C34673">
            <w:pPr>
              <w:pStyle w:val="RSCT03TableBody"/>
              <w:jc w:val="left"/>
            </w:pPr>
            <w:r w:rsidRPr="00523226">
              <w:t>ibuprofen + water</w:t>
            </w:r>
          </w:p>
        </w:tc>
        <w:tc>
          <w:tcPr>
            <w:tcW w:w="1020" w:type="dxa"/>
            <w:vAlign w:val="center"/>
          </w:tcPr>
          <w:p w14:paraId="7C0B2808" w14:textId="77777777" w:rsidR="00D533BB" w:rsidRPr="00523226" w:rsidRDefault="00D533BB" w:rsidP="00D533BB">
            <w:pPr>
              <w:pStyle w:val="RSCT03TableBody"/>
            </w:pPr>
            <w:r w:rsidRPr="00523226">
              <w:t>130</w:t>
            </w:r>
          </w:p>
        </w:tc>
        <w:tc>
          <w:tcPr>
            <w:tcW w:w="1020" w:type="dxa"/>
            <w:vAlign w:val="center"/>
          </w:tcPr>
          <w:p w14:paraId="530BC00E" w14:textId="77777777" w:rsidR="00D533BB" w:rsidRPr="00523226" w:rsidRDefault="00D533BB" w:rsidP="00D533BB">
            <w:pPr>
              <w:pStyle w:val="RSCT03TableBody"/>
            </w:pPr>
            <w:r w:rsidRPr="00523226">
              <w:t>0</w:t>
            </w:r>
          </w:p>
        </w:tc>
        <w:tc>
          <w:tcPr>
            <w:tcW w:w="1020" w:type="dxa"/>
            <w:vAlign w:val="center"/>
          </w:tcPr>
          <w:p w14:paraId="04D3AA63" w14:textId="77777777" w:rsidR="00D533BB" w:rsidRPr="00523226" w:rsidRDefault="00D533BB" w:rsidP="00D533BB">
            <w:pPr>
              <w:pStyle w:val="RSCT03TableBody"/>
            </w:pPr>
            <w:r w:rsidRPr="00523226">
              <w:t>4600</w:t>
            </w:r>
          </w:p>
        </w:tc>
        <w:tc>
          <w:tcPr>
            <w:tcW w:w="1020" w:type="dxa"/>
            <w:vAlign w:val="center"/>
          </w:tcPr>
          <w:p w14:paraId="473C4E83" w14:textId="77777777" w:rsidR="00D533BB" w:rsidRPr="00523226" w:rsidRDefault="00D533BB" w:rsidP="00D533BB">
            <w:pPr>
              <w:pStyle w:val="RSCT03TableBody"/>
            </w:pPr>
            <w:r w:rsidRPr="00523226">
              <w:t>5.696</w:t>
            </w:r>
          </w:p>
        </w:tc>
        <w:tc>
          <w:tcPr>
            <w:tcW w:w="1020" w:type="dxa"/>
            <w:vAlign w:val="center"/>
          </w:tcPr>
          <w:p w14:paraId="6F9CDA6B" w14:textId="77777777" w:rsidR="00D533BB" w:rsidRPr="00523226" w:rsidRDefault="00D533BB" w:rsidP="00D533BB">
            <w:pPr>
              <w:pStyle w:val="RSCT03TableBody"/>
            </w:pPr>
            <w:r w:rsidRPr="00523226">
              <w:t>184.8</w:t>
            </w:r>
          </w:p>
        </w:tc>
        <w:tc>
          <w:tcPr>
            <w:tcW w:w="1020" w:type="dxa"/>
            <w:vAlign w:val="center"/>
          </w:tcPr>
          <w:p w14:paraId="6F742B1C" w14:textId="77777777" w:rsidR="00D533BB" w:rsidRPr="00523226" w:rsidRDefault="00D533BB" w:rsidP="00D533BB">
            <w:pPr>
              <w:pStyle w:val="RSCT03TableBody"/>
            </w:pPr>
            <w:r w:rsidRPr="00523226">
              <w:t>1.168</w:t>
            </w:r>
          </w:p>
        </w:tc>
        <w:tc>
          <w:tcPr>
            <w:tcW w:w="1020" w:type="dxa"/>
            <w:vAlign w:val="center"/>
          </w:tcPr>
          <w:p w14:paraId="56A6D545" w14:textId="77777777" w:rsidR="00D533BB" w:rsidRPr="00523226" w:rsidRDefault="00D533BB" w:rsidP="00D533BB">
            <w:pPr>
              <w:pStyle w:val="RSCT03TableBody"/>
            </w:pPr>
            <w:r w:rsidRPr="00523226">
              <w:t>0.000</w:t>
            </w:r>
          </w:p>
        </w:tc>
      </w:tr>
      <w:tr w:rsidR="00D533BB" w14:paraId="478441FB" w14:textId="77777777" w:rsidTr="00C34673">
        <w:trPr>
          <w:jc w:val="center"/>
        </w:trPr>
        <w:tc>
          <w:tcPr>
            <w:tcW w:w="340" w:type="dxa"/>
            <w:vAlign w:val="center"/>
          </w:tcPr>
          <w:p w14:paraId="04533370" w14:textId="77777777" w:rsidR="00D533BB" w:rsidRDefault="00D533BB" w:rsidP="00D533BB">
            <w:pPr>
              <w:pStyle w:val="RSCT03TableBody"/>
            </w:pPr>
            <w:r>
              <w:t>4</w:t>
            </w:r>
          </w:p>
        </w:tc>
        <w:tc>
          <w:tcPr>
            <w:tcW w:w="1928" w:type="dxa"/>
            <w:vAlign w:val="center"/>
          </w:tcPr>
          <w:p w14:paraId="06E906EA" w14:textId="77777777" w:rsidR="00D533BB" w:rsidRPr="00523226" w:rsidRDefault="00D533BB" w:rsidP="00C34673">
            <w:pPr>
              <w:pStyle w:val="RSCT03TableBody"/>
              <w:jc w:val="left"/>
            </w:pPr>
            <w:r w:rsidRPr="00523226">
              <w:t>[N(CN)</w:t>
            </w:r>
            <w:r w:rsidRPr="00523226">
              <w:rPr>
                <w:vertAlign w:val="subscript"/>
              </w:rPr>
              <w:t>2</w:t>
            </w:r>
            <w:r w:rsidRPr="00523226">
              <w:t>]-based ternary</w:t>
            </w:r>
          </w:p>
        </w:tc>
        <w:tc>
          <w:tcPr>
            <w:tcW w:w="1020" w:type="dxa"/>
            <w:vAlign w:val="center"/>
          </w:tcPr>
          <w:p w14:paraId="34BAED77" w14:textId="77777777" w:rsidR="00D533BB" w:rsidRPr="00523226" w:rsidRDefault="00D533BB" w:rsidP="00D533BB">
            <w:pPr>
              <w:pStyle w:val="RSCT03TableBody"/>
            </w:pPr>
            <w:r w:rsidRPr="00523226">
              <w:t>130</w:t>
            </w:r>
          </w:p>
        </w:tc>
        <w:tc>
          <w:tcPr>
            <w:tcW w:w="1020" w:type="dxa"/>
            <w:vAlign w:val="center"/>
          </w:tcPr>
          <w:p w14:paraId="0234B963" w14:textId="77777777" w:rsidR="00D533BB" w:rsidRPr="00523226" w:rsidRDefault="00D533BB" w:rsidP="00D533BB">
            <w:pPr>
              <w:pStyle w:val="RSCT03TableBody"/>
            </w:pPr>
            <w:r w:rsidRPr="00523226">
              <w:t>101</w:t>
            </w:r>
          </w:p>
        </w:tc>
        <w:tc>
          <w:tcPr>
            <w:tcW w:w="1020" w:type="dxa"/>
            <w:vAlign w:val="center"/>
          </w:tcPr>
          <w:p w14:paraId="3BB8C58F" w14:textId="77777777" w:rsidR="00D533BB" w:rsidRPr="00523226" w:rsidRDefault="00D533BB" w:rsidP="00D533BB">
            <w:pPr>
              <w:pStyle w:val="RSCT03TableBody"/>
            </w:pPr>
            <w:r w:rsidRPr="00523226">
              <w:t>4600</w:t>
            </w:r>
          </w:p>
        </w:tc>
        <w:tc>
          <w:tcPr>
            <w:tcW w:w="1020" w:type="dxa"/>
            <w:vAlign w:val="center"/>
          </w:tcPr>
          <w:p w14:paraId="3A7FDA71" w14:textId="77777777" w:rsidR="00D533BB" w:rsidRPr="00523226" w:rsidRDefault="00D533BB" w:rsidP="00D533BB">
            <w:pPr>
              <w:pStyle w:val="RSCT03TableBody"/>
            </w:pPr>
            <w:r w:rsidRPr="00523226">
              <w:t>6.000</w:t>
            </w:r>
          </w:p>
        </w:tc>
        <w:tc>
          <w:tcPr>
            <w:tcW w:w="1020" w:type="dxa"/>
            <w:vAlign w:val="center"/>
          </w:tcPr>
          <w:p w14:paraId="55EBE336" w14:textId="77777777" w:rsidR="00D533BB" w:rsidRPr="00523226" w:rsidRDefault="00D533BB" w:rsidP="00D533BB">
            <w:pPr>
              <w:pStyle w:val="RSCT03TableBody"/>
            </w:pPr>
            <w:r w:rsidRPr="00523226">
              <w:t>216.0</w:t>
            </w:r>
          </w:p>
        </w:tc>
        <w:tc>
          <w:tcPr>
            <w:tcW w:w="1020" w:type="dxa"/>
            <w:vAlign w:val="center"/>
          </w:tcPr>
          <w:p w14:paraId="5578775E" w14:textId="77777777" w:rsidR="00D533BB" w:rsidRPr="00523226" w:rsidRDefault="00D533BB" w:rsidP="00D533BB">
            <w:pPr>
              <w:pStyle w:val="RSCT03TableBody"/>
            </w:pPr>
            <w:r w:rsidRPr="00523226">
              <w:t>0.999</w:t>
            </w:r>
          </w:p>
        </w:tc>
        <w:tc>
          <w:tcPr>
            <w:tcW w:w="1020" w:type="dxa"/>
            <w:vAlign w:val="center"/>
          </w:tcPr>
          <w:p w14:paraId="09882872" w14:textId="77777777" w:rsidR="00D533BB" w:rsidRPr="00523226" w:rsidRDefault="00D533BB" w:rsidP="00D533BB">
            <w:pPr>
              <w:pStyle w:val="RSCT03TableBody"/>
            </w:pPr>
            <w:r w:rsidRPr="00523226">
              <w:t>0.776</w:t>
            </w:r>
          </w:p>
        </w:tc>
      </w:tr>
      <w:tr w:rsidR="00D533BB" w14:paraId="5526B421" w14:textId="77777777" w:rsidTr="00C34673">
        <w:trPr>
          <w:jc w:val="center"/>
        </w:trPr>
        <w:tc>
          <w:tcPr>
            <w:tcW w:w="340" w:type="dxa"/>
            <w:vAlign w:val="center"/>
          </w:tcPr>
          <w:p w14:paraId="37E4063D" w14:textId="77777777" w:rsidR="00D533BB" w:rsidRDefault="00D533BB" w:rsidP="00D533BB">
            <w:pPr>
              <w:pStyle w:val="RSCT03TableBody"/>
            </w:pPr>
            <w:r>
              <w:t>5</w:t>
            </w:r>
          </w:p>
        </w:tc>
        <w:tc>
          <w:tcPr>
            <w:tcW w:w="1928" w:type="dxa"/>
            <w:vAlign w:val="center"/>
          </w:tcPr>
          <w:p w14:paraId="41D013A6" w14:textId="77777777" w:rsidR="00D533BB" w:rsidRPr="00523226" w:rsidRDefault="00D533BB" w:rsidP="00C34673">
            <w:pPr>
              <w:pStyle w:val="RSCT03TableBody"/>
              <w:jc w:val="left"/>
            </w:pPr>
            <w:r w:rsidRPr="00523226">
              <w:t>[SCN]-based ternary</w:t>
            </w:r>
          </w:p>
        </w:tc>
        <w:tc>
          <w:tcPr>
            <w:tcW w:w="1020" w:type="dxa"/>
            <w:vAlign w:val="center"/>
          </w:tcPr>
          <w:p w14:paraId="668E97B3" w14:textId="77777777" w:rsidR="00D533BB" w:rsidRPr="00523226" w:rsidRDefault="00D533BB" w:rsidP="00D533BB">
            <w:pPr>
              <w:pStyle w:val="RSCT03TableBody"/>
            </w:pPr>
            <w:r w:rsidRPr="00523226">
              <w:t>130</w:t>
            </w:r>
          </w:p>
        </w:tc>
        <w:tc>
          <w:tcPr>
            <w:tcW w:w="1020" w:type="dxa"/>
            <w:vAlign w:val="center"/>
          </w:tcPr>
          <w:p w14:paraId="075EAA69" w14:textId="77777777" w:rsidR="00D533BB" w:rsidRPr="00523226" w:rsidRDefault="00D533BB" w:rsidP="00D533BB">
            <w:pPr>
              <w:pStyle w:val="RSCT03TableBody"/>
            </w:pPr>
            <w:r w:rsidRPr="00523226">
              <w:t>105</w:t>
            </w:r>
          </w:p>
        </w:tc>
        <w:tc>
          <w:tcPr>
            <w:tcW w:w="1020" w:type="dxa"/>
            <w:vAlign w:val="center"/>
          </w:tcPr>
          <w:p w14:paraId="55BC45B3" w14:textId="77777777" w:rsidR="00D533BB" w:rsidRPr="00523226" w:rsidRDefault="00D533BB" w:rsidP="00D533BB">
            <w:pPr>
              <w:pStyle w:val="RSCT03TableBody"/>
            </w:pPr>
            <w:r w:rsidRPr="00523226">
              <w:t>4600</w:t>
            </w:r>
          </w:p>
        </w:tc>
        <w:tc>
          <w:tcPr>
            <w:tcW w:w="1020" w:type="dxa"/>
            <w:vAlign w:val="center"/>
          </w:tcPr>
          <w:p w14:paraId="32CACFC6" w14:textId="77777777" w:rsidR="00D533BB" w:rsidRPr="00523226" w:rsidRDefault="00D533BB" w:rsidP="00D533BB">
            <w:pPr>
              <w:pStyle w:val="RSCT03TableBody"/>
            </w:pPr>
            <w:r w:rsidRPr="00523226">
              <w:t>5.988</w:t>
            </w:r>
          </w:p>
        </w:tc>
        <w:tc>
          <w:tcPr>
            <w:tcW w:w="1020" w:type="dxa"/>
            <w:vAlign w:val="center"/>
          </w:tcPr>
          <w:p w14:paraId="2991C06A" w14:textId="77777777" w:rsidR="00D533BB" w:rsidRPr="00523226" w:rsidRDefault="00D533BB" w:rsidP="00D533BB">
            <w:pPr>
              <w:pStyle w:val="RSCT03TableBody"/>
            </w:pPr>
            <w:r w:rsidRPr="00523226">
              <w:t>214.7</w:t>
            </w:r>
          </w:p>
        </w:tc>
        <w:tc>
          <w:tcPr>
            <w:tcW w:w="1020" w:type="dxa"/>
            <w:vAlign w:val="center"/>
          </w:tcPr>
          <w:p w14:paraId="578F620C" w14:textId="77777777" w:rsidR="00D533BB" w:rsidRPr="00523226" w:rsidRDefault="00D533BB" w:rsidP="00D533BB">
            <w:pPr>
              <w:pStyle w:val="RSCT03TableBody"/>
            </w:pPr>
            <w:r w:rsidRPr="00523226">
              <w:t>1.005</w:t>
            </w:r>
          </w:p>
        </w:tc>
        <w:tc>
          <w:tcPr>
            <w:tcW w:w="1020" w:type="dxa"/>
            <w:vAlign w:val="center"/>
          </w:tcPr>
          <w:p w14:paraId="32B14166" w14:textId="77777777" w:rsidR="00D533BB" w:rsidRPr="00523226" w:rsidRDefault="00D533BB" w:rsidP="00D533BB">
            <w:pPr>
              <w:pStyle w:val="RSCT03TableBody"/>
            </w:pPr>
            <w:r w:rsidRPr="00523226">
              <w:t>0.812</w:t>
            </w:r>
          </w:p>
        </w:tc>
      </w:tr>
      <w:tr w:rsidR="00D533BB" w14:paraId="2A28C8CD" w14:textId="77777777" w:rsidTr="00C34673">
        <w:trPr>
          <w:jc w:val="center"/>
        </w:trPr>
        <w:tc>
          <w:tcPr>
            <w:tcW w:w="340" w:type="dxa"/>
            <w:vAlign w:val="center"/>
          </w:tcPr>
          <w:p w14:paraId="48D93A2B" w14:textId="77777777" w:rsidR="00D533BB" w:rsidRDefault="00D533BB" w:rsidP="00D533BB">
            <w:pPr>
              <w:pStyle w:val="RSCT03TableBody"/>
            </w:pPr>
            <w:r>
              <w:t>6</w:t>
            </w:r>
          </w:p>
        </w:tc>
        <w:tc>
          <w:tcPr>
            <w:tcW w:w="1928" w:type="dxa"/>
            <w:vAlign w:val="center"/>
          </w:tcPr>
          <w:p w14:paraId="509957D7" w14:textId="77777777" w:rsidR="00D533BB" w:rsidRPr="00523226" w:rsidRDefault="00D533BB" w:rsidP="00C34673">
            <w:pPr>
              <w:pStyle w:val="RSCT03TableBody"/>
              <w:jc w:val="left"/>
            </w:pPr>
            <w:r w:rsidRPr="00523226">
              <w:t>ibuprofen + water</w:t>
            </w:r>
          </w:p>
        </w:tc>
        <w:tc>
          <w:tcPr>
            <w:tcW w:w="1020" w:type="dxa"/>
            <w:vAlign w:val="center"/>
          </w:tcPr>
          <w:p w14:paraId="25CBB33E" w14:textId="77777777" w:rsidR="00D533BB" w:rsidRPr="00523226" w:rsidRDefault="00D533BB" w:rsidP="00D533BB">
            <w:pPr>
              <w:pStyle w:val="RSCT03TableBody"/>
            </w:pPr>
            <w:r w:rsidRPr="00523226">
              <w:t>10</w:t>
            </w:r>
          </w:p>
        </w:tc>
        <w:tc>
          <w:tcPr>
            <w:tcW w:w="1020" w:type="dxa"/>
            <w:vAlign w:val="center"/>
          </w:tcPr>
          <w:p w14:paraId="12A806BA" w14:textId="77777777" w:rsidR="00D533BB" w:rsidRPr="00523226" w:rsidRDefault="00D533BB" w:rsidP="00D533BB">
            <w:pPr>
              <w:pStyle w:val="RSCT03TableBody"/>
            </w:pPr>
            <w:r w:rsidRPr="00523226">
              <w:t>0</w:t>
            </w:r>
          </w:p>
        </w:tc>
        <w:tc>
          <w:tcPr>
            <w:tcW w:w="1020" w:type="dxa"/>
            <w:vAlign w:val="center"/>
          </w:tcPr>
          <w:p w14:paraId="5316BFB2" w14:textId="77777777" w:rsidR="00D533BB" w:rsidRPr="00523226" w:rsidRDefault="00D533BB" w:rsidP="00D533BB">
            <w:pPr>
              <w:pStyle w:val="RSCT03TableBody"/>
            </w:pPr>
            <w:r w:rsidRPr="00523226">
              <w:t>4600</w:t>
            </w:r>
          </w:p>
        </w:tc>
        <w:tc>
          <w:tcPr>
            <w:tcW w:w="1020" w:type="dxa"/>
            <w:vAlign w:val="center"/>
          </w:tcPr>
          <w:p w14:paraId="2AC4FD5C" w14:textId="77777777" w:rsidR="00D533BB" w:rsidRPr="00523226" w:rsidRDefault="00D533BB" w:rsidP="00D533BB">
            <w:pPr>
              <w:pStyle w:val="RSCT03TableBody"/>
            </w:pPr>
            <w:r w:rsidRPr="00523226">
              <w:t>5.246</w:t>
            </w:r>
          </w:p>
        </w:tc>
        <w:tc>
          <w:tcPr>
            <w:tcW w:w="1020" w:type="dxa"/>
            <w:vAlign w:val="center"/>
          </w:tcPr>
          <w:p w14:paraId="62388943" w14:textId="77777777" w:rsidR="00D533BB" w:rsidRPr="00523226" w:rsidRDefault="00D533BB" w:rsidP="00D533BB">
            <w:pPr>
              <w:pStyle w:val="RSCT03TableBody"/>
            </w:pPr>
            <w:r w:rsidRPr="00523226">
              <w:t>144.3</w:t>
            </w:r>
          </w:p>
        </w:tc>
        <w:tc>
          <w:tcPr>
            <w:tcW w:w="1020" w:type="dxa"/>
            <w:vAlign w:val="center"/>
          </w:tcPr>
          <w:p w14:paraId="2DF6BD30" w14:textId="77777777" w:rsidR="00D533BB" w:rsidRPr="00523226" w:rsidRDefault="00D533BB" w:rsidP="00D533BB">
            <w:pPr>
              <w:pStyle w:val="RSCT03TableBody"/>
            </w:pPr>
            <w:r w:rsidRPr="00523226">
              <w:t>0.115</w:t>
            </w:r>
          </w:p>
        </w:tc>
        <w:tc>
          <w:tcPr>
            <w:tcW w:w="1020" w:type="dxa"/>
            <w:vAlign w:val="center"/>
          </w:tcPr>
          <w:p w14:paraId="6DC498DA" w14:textId="77777777" w:rsidR="00D533BB" w:rsidRPr="00523226" w:rsidRDefault="00D533BB" w:rsidP="00D533BB">
            <w:pPr>
              <w:pStyle w:val="RSCT03TableBody"/>
            </w:pPr>
            <w:r w:rsidRPr="00523226">
              <w:t>0.000</w:t>
            </w:r>
          </w:p>
        </w:tc>
      </w:tr>
      <w:tr w:rsidR="00D533BB" w14:paraId="26610594" w14:textId="77777777" w:rsidTr="00C34673">
        <w:trPr>
          <w:jc w:val="center"/>
        </w:trPr>
        <w:tc>
          <w:tcPr>
            <w:tcW w:w="340" w:type="dxa"/>
            <w:vAlign w:val="center"/>
          </w:tcPr>
          <w:p w14:paraId="79AC1FA2" w14:textId="77777777" w:rsidR="00D533BB" w:rsidRDefault="00D533BB" w:rsidP="00D533BB">
            <w:pPr>
              <w:pStyle w:val="RSCT03TableBody"/>
            </w:pPr>
            <w:r>
              <w:t>7</w:t>
            </w:r>
          </w:p>
        </w:tc>
        <w:tc>
          <w:tcPr>
            <w:tcW w:w="1928" w:type="dxa"/>
            <w:vAlign w:val="center"/>
          </w:tcPr>
          <w:p w14:paraId="5B468EC6" w14:textId="77777777" w:rsidR="00D533BB" w:rsidRPr="00523226" w:rsidRDefault="00D533BB" w:rsidP="00C34673">
            <w:pPr>
              <w:pStyle w:val="RSCT03TableBody"/>
              <w:jc w:val="left"/>
            </w:pPr>
            <w:r w:rsidRPr="00523226">
              <w:t>[N(CN)</w:t>
            </w:r>
            <w:r w:rsidRPr="00523226">
              <w:rPr>
                <w:vertAlign w:val="subscript"/>
              </w:rPr>
              <w:t>2</w:t>
            </w:r>
            <w:r w:rsidRPr="00523226">
              <w:t>]-based ternary</w:t>
            </w:r>
          </w:p>
        </w:tc>
        <w:tc>
          <w:tcPr>
            <w:tcW w:w="1020" w:type="dxa"/>
            <w:vAlign w:val="center"/>
          </w:tcPr>
          <w:p w14:paraId="3CE024C3" w14:textId="77777777" w:rsidR="00D533BB" w:rsidRPr="00523226" w:rsidRDefault="00D533BB" w:rsidP="00D533BB">
            <w:pPr>
              <w:pStyle w:val="RSCT03TableBody"/>
            </w:pPr>
            <w:r w:rsidRPr="00523226">
              <w:t>10</w:t>
            </w:r>
          </w:p>
        </w:tc>
        <w:tc>
          <w:tcPr>
            <w:tcW w:w="1020" w:type="dxa"/>
            <w:vAlign w:val="center"/>
          </w:tcPr>
          <w:p w14:paraId="7DEF16B7" w14:textId="77777777" w:rsidR="00D533BB" w:rsidRPr="00523226" w:rsidRDefault="00D533BB" w:rsidP="00D533BB">
            <w:pPr>
              <w:pStyle w:val="RSCT03TableBody"/>
            </w:pPr>
            <w:r w:rsidRPr="00523226">
              <w:t>101</w:t>
            </w:r>
          </w:p>
        </w:tc>
        <w:tc>
          <w:tcPr>
            <w:tcW w:w="1020" w:type="dxa"/>
            <w:vAlign w:val="center"/>
          </w:tcPr>
          <w:p w14:paraId="58476E6E" w14:textId="77777777" w:rsidR="00D533BB" w:rsidRPr="00523226" w:rsidRDefault="00D533BB" w:rsidP="00D533BB">
            <w:pPr>
              <w:pStyle w:val="RSCT03TableBody"/>
            </w:pPr>
            <w:r w:rsidRPr="00523226">
              <w:t>4600</w:t>
            </w:r>
          </w:p>
        </w:tc>
        <w:tc>
          <w:tcPr>
            <w:tcW w:w="1020" w:type="dxa"/>
            <w:vAlign w:val="center"/>
          </w:tcPr>
          <w:p w14:paraId="476446DB" w14:textId="77777777" w:rsidR="00D533BB" w:rsidRPr="00523226" w:rsidRDefault="00D533BB" w:rsidP="00D533BB">
            <w:pPr>
              <w:pStyle w:val="RSCT03TableBody"/>
            </w:pPr>
            <w:r w:rsidRPr="00523226">
              <w:t>5.631</w:t>
            </w:r>
          </w:p>
        </w:tc>
        <w:tc>
          <w:tcPr>
            <w:tcW w:w="1020" w:type="dxa"/>
            <w:vAlign w:val="center"/>
          </w:tcPr>
          <w:p w14:paraId="6CFF11AD" w14:textId="77777777" w:rsidR="00D533BB" w:rsidRPr="00523226" w:rsidRDefault="00D533BB" w:rsidP="00D533BB">
            <w:pPr>
              <w:pStyle w:val="RSCT03TableBody"/>
            </w:pPr>
            <w:r w:rsidRPr="00523226">
              <w:t>178.5</w:t>
            </w:r>
          </w:p>
        </w:tc>
        <w:tc>
          <w:tcPr>
            <w:tcW w:w="1020" w:type="dxa"/>
            <w:vAlign w:val="center"/>
          </w:tcPr>
          <w:p w14:paraId="10561D0D" w14:textId="77777777" w:rsidR="00D533BB" w:rsidRPr="00523226" w:rsidRDefault="00D533BB" w:rsidP="00D533BB">
            <w:pPr>
              <w:pStyle w:val="RSCT03TableBody"/>
            </w:pPr>
            <w:r w:rsidRPr="00523226">
              <w:t>0.093</w:t>
            </w:r>
          </w:p>
        </w:tc>
        <w:tc>
          <w:tcPr>
            <w:tcW w:w="1020" w:type="dxa"/>
            <w:vAlign w:val="center"/>
          </w:tcPr>
          <w:p w14:paraId="52A5314C" w14:textId="77777777" w:rsidR="00D533BB" w:rsidRPr="00523226" w:rsidRDefault="00D533BB" w:rsidP="00D533BB">
            <w:pPr>
              <w:pStyle w:val="RSCT03TableBody"/>
            </w:pPr>
            <w:r w:rsidRPr="00523226">
              <w:t>0.939</w:t>
            </w:r>
          </w:p>
        </w:tc>
      </w:tr>
      <w:tr w:rsidR="00D533BB" w14:paraId="2C9A239B" w14:textId="77777777" w:rsidTr="00C34673">
        <w:trPr>
          <w:jc w:val="center"/>
        </w:trPr>
        <w:tc>
          <w:tcPr>
            <w:tcW w:w="340" w:type="dxa"/>
            <w:tcBorders>
              <w:bottom w:val="single" w:sz="4" w:space="0" w:color="auto"/>
            </w:tcBorders>
            <w:vAlign w:val="center"/>
          </w:tcPr>
          <w:p w14:paraId="731FD7DA" w14:textId="77777777" w:rsidR="00D533BB" w:rsidRDefault="00D533BB" w:rsidP="00D533BB">
            <w:pPr>
              <w:pStyle w:val="RSCT03TableBody"/>
            </w:pPr>
            <w:r>
              <w:t>8</w:t>
            </w:r>
          </w:p>
        </w:tc>
        <w:tc>
          <w:tcPr>
            <w:tcW w:w="1928" w:type="dxa"/>
            <w:tcBorders>
              <w:bottom w:val="single" w:sz="4" w:space="0" w:color="auto"/>
            </w:tcBorders>
            <w:vAlign w:val="center"/>
          </w:tcPr>
          <w:p w14:paraId="27A8C547" w14:textId="77777777" w:rsidR="00D533BB" w:rsidRPr="00523226" w:rsidRDefault="00D533BB" w:rsidP="00C34673">
            <w:pPr>
              <w:pStyle w:val="RSCT03TableBody"/>
              <w:jc w:val="left"/>
            </w:pPr>
            <w:r w:rsidRPr="00523226">
              <w:t>[SCN]-based ternary</w:t>
            </w:r>
          </w:p>
        </w:tc>
        <w:tc>
          <w:tcPr>
            <w:tcW w:w="1020" w:type="dxa"/>
            <w:tcBorders>
              <w:bottom w:val="single" w:sz="4" w:space="0" w:color="auto"/>
            </w:tcBorders>
            <w:vAlign w:val="center"/>
          </w:tcPr>
          <w:p w14:paraId="10A4EAAB" w14:textId="77777777" w:rsidR="00D533BB" w:rsidRPr="00523226" w:rsidRDefault="00D533BB" w:rsidP="00D533BB">
            <w:pPr>
              <w:pStyle w:val="RSCT03TableBody"/>
            </w:pPr>
            <w:r w:rsidRPr="00523226">
              <w:t>10</w:t>
            </w:r>
          </w:p>
        </w:tc>
        <w:tc>
          <w:tcPr>
            <w:tcW w:w="1020" w:type="dxa"/>
            <w:tcBorders>
              <w:bottom w:val="single" w:sz="4" w:space="0" w:color="auto"/>
            </w:tcBorders>
            <w:vAlign w:val="center"/>
          </w:tcPr>
          <w:p w14:paraId="21CB6C9A" w14:textId="77777777" w:rsidR="00D533BB" w:rsidRPr="00523226" w:rsidRDefault="00D533BB" w:rsidP="00D533BB">
            <w:pPr>
              <w:pStyle w:val="RSCT03TableBody"/>
            </w:pPr>
            <w:r w:rsidRPr="00523226">
              <w:t>105</w:t>
            </w:r>
          </w:p>
        </w:tc>
        <w:tc>
          <w:tcPr>
            <w:tcW w:w="1020" w:type="dxa"/>
            <w:tcBorders>
              <w:bottom w:val="single" w:sz="4" w:space="0" w:color="auto"/>
            </w:tcBorders>
            <w:vAlign w:val="center"/>
          </w:tcPr>
          <w:p w14:paraId="1412188E" w14:textId="77777777" w:rsidR="00D533BB" w:rsidRPr="00523226" w:rsidRDefault="00D533BB" w:rsidP="00D533BB">
            <w:pPr>
              <w:pStyle w:val="RSCT03TableBody"/>
            </w:pPr>
            <w:r w:rsidRPr="00523226">
              <w:t>4600</w:t>
            </w:r>
          </w:p>
        </w:tc>
        <w:tc>
          <w:tcPr>
            <w:tcW w:w="1020" w:type="dxa"/>
            <w:tcBorders>
              <w:bottom w:val="single" w:sz="4" w:space="0" w:color="auto"/>
            </w:tcBorders>
            <w:vAlign w:val="center"/>
          </w:tcPr>
          <w:p w14:paraId="1544B370" w14:textId="77777777" w:rsidR="00D533BB" w:rsidRPr="00523226" w:rsidRDefault="00D533BB" w:rsidP="00D533BB">
            <w:pPr>
              <w:pStyle w:val="RSCT03TableBody"/>
            </w:pPr>
            <w:r w:rsidRPr="00523226">
              <w:t>5.597</w:t>
            </w:r>
          </w:p>
        </w:tc>
        <w:tc>
          <w:tcPr>
            <w:tcW w:w="1020" w:type="dxa"/>
            <w:tcBorders>
              <w:bottom w:val="single" w:sz="4" w:space="0" w:color="auto"/>
            </w:tcBorders>
            <w:vAlign w:val="center"/>
          </w:tcPr>
          <w:p w14:paraId="07A49DD7" w14:textId="77777777" w:rsidR="00D533BB" w:rsidRPr="00523226" w:rsidRDefault="00D533BB" w:rsidP="00D533BB">
            <w:pPr>
              <w:pStyle w:val="RSCT03TableBody"/>
            </w:pPr>
            <w:r w:rsidRPr="00523226">
              <w:t>175.3</w:t>
            </w:r>
          </w:p>
        </w:tc>
        <w:tc>
          <w:tcPr>
            <w:tcW w:w="1020" w:type="dxa"/>
            <w:tcBorders>
              <w:bottom w:val="single" w:sz="4" w:space="0" w:color="auto"/>
            </w:tcBorders>
            <w:vAlign w:val="center"/>
          </w:tcPr>
          <w:p w14:paraId="514805E4" w14:textId="77777777" w:rsidR="00D533BB" w:rsidRPr="00523226" w:rsidRDefault="00D533BB" w:rsidP="00D533BB">
            <w:pPr>
              <w:pStyle w:val="RSCT03TableBody"/>
            </w:pPr>
            <w:r w:rsidRPr="00523226">
              <w:t>0.095</w:t>
            </w:r>
          </w:p>
        </w:tc>
        <w:tc>
          <w:tcPr>
            <w:tcW w:w="1020" w:type="dxa"/>
            <w:tcBorders>
              <w:bottom w:val="single" w:sz="4" w:space="0" w:color="auto"/>
            </w:tcBorders>
            <w:vAlign w:val="center"/>
          </w:tcPr>
          <w:p w14:paraId="5316CBED" w14:textId="77777777" w:rsidR="00D533BB" w:rsidRPr="00523226" w:rsidRDefault="00D533BB" w:rsidP="00D533BB">
            <w:pPr>
              <w:pStyle w:val="RSCT03TableBody"/>
            </w:pPr>
            <w:r w:rsidRPr="00523226">
              <w:t>0.994</w:t>
            </w:r>
          </w:p>
        </w:tc>
      </w:tr>
    </w:tbl>
    <w:p w14:paraId="3054C95A" w14:textId="77777777" w:rsidR="00042F6B" w:rsidRDefault="00042F6B" w:rsidP="00733A83">
      <w:pPr>
        <w:pStyle w:val="RSCB02ArticleText"/>
      </w:pPr>
    </w:p>
    <w:p w14:paraId="3FBD4595" w14:textId="77777777" w:rsidR="00D92D15" w:rsidRDefault="00D92D15" w:rsidP="00FA2DA2">
      <w:pPr>
        <w:pStyle w:val="RSCB08CHeadingIn-line"/>
        <w:sectPr w:rsidR="00D92D15" w:rsidSect="00D92D15">
          <w:headerReference w:type="first" r:id="rId15"/>
          <w:type w:val="continuous"/>
          <w:pgSz w:w="11907" w:h="16840" w:code="9"/>
          <w:pgMar w:top="1009" w:right="851" w:bottom="1758" w:left="851" w:header="851" w:footer="1049" w:gutter="0"/>
          <w:cols w:space="227"/>
          <w:titlePg/>
          <w:docGrid w:linePitch="360"/>
        </w:sectPr>
      </w:pPr>
    </w:p>
    <w:p w14:paraId="5B232E55" w14:textId="77777777" w:rsidR="00FA2DA2" w:rsidRDefault="00C6517C" w:rsidP="00C6517C">
      <w:pPr>
        <w:pStyle w:val="RSCB04AHeadingSection"/>
      </w:pPr>
      <w:r w:rsidRPr="00C6517C">
        <w:t xml:space="preserve">Results and </w:t>
      </w:r>
      <w:r>
        <w:t>D</w:t>
      </w:r>
      <w:r w:rsidRPr="00C6517C">
        <w:t>iscussion</w:t>
      </w:r>
    </w:p>
    <w:p w14:paraId="6FB55E79" w14:textId="77777777" w:rsidR="00C6517C" w:rsidRDefault="00C6517C" w:rsidP="00C6517C">
      <w:pPr>
        <w:pStyle w:val="RSCB02ArticleText"/>
      </w:pPr>
      <w:r w:rsidRPr="003B34AB">
        <w:t xml:space="preserve">In order to evaluate the hydrotropic capability of ILs for </w:t>
      </w:r>
      <w:r>
        <w:t xml:space="preserve">the dissolution of hydrophobic </w:t>
      </w:r>
      <w:r w:rsidRPr="003B34AB">
        <w:t>dru</w:t>
      </w:r>
      <w:r>
        <w:t>gs, the solubility of ibuprofen</w:t>
      </w:r>
      <w:r w:rsidRPr="003B34AB">
        <w:t xml:space="preserve"> </w:t>
      </w:r>
      <w:r>
        <w:t>was</w:t>
      </w:r>
      <w:r w:rsidRPr="003B34AB">
        <w:t xml:space="preserve"> determined in several aqueous solutions of ILs, </w:t>
      </w:r>
      <w:r>
        <w:t>at</w:t>
      </w:r>
      <w:r w:rsidRPr="003B34AB">
        <w:t xml:space="preserve"> various concentrations, and compared with the results obtained with conv</w:t>
      </w:r>
      <w:r>
        <w:t>entional hydrotropes. The value</w:t>
      </w:r>
      <w:r w:rsidRPr="003B34AB">
        <w:t xml:space="preserve"> obtained for the solubility of ibuprofen in water at (303.15 ± 0.50) K </w:t>
      </w:r>
      <w:r>
        <w:t>was</w:t>
      </w:r>
      <w:r w:rsidRPr="003B34AB">
        <w:t xml:space="preserve"> (37.54 ± 0.93) mg</w:t>
      </w:r>
      <w:r w:rsidRPr="003B34AB">
        <w:rPr>
          <w:rFonts w:cs="Calibri"/>
        </w:rPr>
        <w:t>∙</w:t>
      </w:r>
      <w:r w:rsidRPr="003B34AB">
        <w:t>L</w:t>
      </w:r>
      <w:r w:rsidRPr="003B34AB">
        <w:rPr>
          <w:vertAlign w:val="superscript"/>
        </w:rPr>
        <w:t>-1</w:t>
      </w:r>
      <w:r w:rsidRPr="003B34AB">
        <w:t>,</w:t>
      </w:r>
      <w:r>
        <w:t xml:space="preserve"> which is</w:t>
      </w:r>
      <w:r w:rsidRPr="003B34AB">
        <w:t xml:space="preserve"> in good agreement with literature</w:t>
      </w:r>
      <w:r>
        <w:t xml:space="preserve">, </w:t>
      </w:r>
      <w:r w:rsidRPr="003335C2">
        <w:t>ranging from</w:t>
      </w:r>
      <w:r w:rsidRPr="003B34AB">
        <w:t xml:space="preserve"> </w:t>
      </w:r>
      <w:r>
        <w:t>15.48 to 66.84</w:t>
      </w:r>
      <w:r w:rsidRPr="003B34AB">
        <w:t xml:space="preserve"> mg</w:t>
      </w:r>
      <w:r w:rsidRPr="003B34AB">
        <w:rPr>
          <w:rFonts w:cs="Calibri"/>
        </w:rPr>
        <w:t>∙</w:t>
      </w:r>
      <w:r w:rsidRPr="003B34AB">
        <w:t>L</w:t>
      </w:r>
      <w:r w:rsidRPr="003B34AB">
        <w:rPr>
          <w:vertAlign w:val="superscript"/>
        </w:rPr>
        <w:t>-1</w:t>
      </w:r>
      <w:r>
        <w:t xml:space="preserve"> at same temperature</w:t>
      </w:r>
      <w:r w:rsidRPr="003B34AB">
        <w:t xml:space="preserve">. All the solubility data, as well as the respective standard deviations, are presented </w:t>
      </w:r>
      <w:r w:rsidRPr="00C71A30">
        <w:t xml:space="preserve">in Supporting Information (Table S2). </w:t>
      </w:r>
    </w:p>
    <w:p w14:paraId="1BF641DE" w14:textId="307C8754" w:rsidR="00C6517C" w:rsidRDefault="00C6517C" w:rsidP="00C6517C">
      <w:pPr>
        <w:pStyle w:val="RSCB02ArticleText"/>
      </w:pPr>
      <w:r>
        <w:t>Minimum hydrotrope concentration (MHC) is the lowest concentration of hydrotrope required for the solubility of a certain compound in water to start increasing significantly, being used in the interpretation of the hydrotropic behavior.</w:t>
      </w:r>
      <w:r>
        <w:fldChar w:fldCharType="begin" w:fldLock="1"/>
      </w:r>
      <w:r>
        <w:instrText>ADDIN CSL_CITATION { "citationItems" : [ { "id" : "ITEM-1", "itemData" : { "DOI" : "10.1002/ceat.201100484", "ISBN" : "1521-4125", "author" : [ { "dropping-particle" : "V", "family" : "Subbarao", "given" : "C", "non-dropping-particle" : "", "parse-names" : false, "suffix" : "" }, { "dropping-particle" : "", "family" : "Chakravarthy", "given" : "I P K", "non-dropping-particle" : "", "parse-names" : false, "suffix" : "" }, { "dropping-particle" : "", "family" : "Sai Bharadwaj", "given" : "A V S L", "non-dropping-particle" : "", "parse-names" : false, "suffix" : "" }, { "dropping-particle" : "", "family" : "Prasad", "given" : "K M M", "non-dropping-particle" : "", "parse-names" : false, "suffix" : "" } ], "container-title" : "Chemical Engineering &amp; Technology", "id" : "ITEM-1", "issue" : "2", "issued" : { "date-parts" : [ [ "2012" ] ] }, "page" : "225-237", "publisher" : "WILEY-VCH Verlag", "title" : "Functions of Hydrotropes in Solutions", "type" : "article-journal", "volume" : "35" }, "uris" : [ "http://www.mendeley.com/documents/?uuid=5fd4aa80-76b8-47d2-8ba7-b571572707d5"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Pr="00615FB0">
        <w:rPr>
          <w:noProof/>
          <w:vertAlign w:val="superscript"/>
        </w:rPr>
        <w:t>3</w:t>
      </w:r>
      <w:r>
        <w:fldChar w:fldCharType="end"/>
      </w:r>
      <w:r>
        <w:rPr>
          <w:sz w:val="16"/>
          <w:szCs w:val="16"/>
        </w:rPr>
        <w:t xml:space="preserve"> </w:t>
      </w:r>
      <w:r>
        <w:t>In order to investigate the MHC for [C</w:t>
      </w:r>
      <w:r w:rsidRPr="008852B5">
        <w:rPr>
          <w:sz w:val="16"/>
          <w:szCs w:val="16"/>
          <w:vertAlign w:val="subscript"/>
        </w:rPr>
        <w:t>4</w:t>
      </w:r>
      <w:r>
        <w:t>C</w:t>
      </w:r>
      <w:r w:rsidRPr="008852B5">
        <w:rPr>
          <w:sz w:val="16"/>
          <w:szCs w:val="16"/>
          <w:vertAlign w:val="subscript"/>
        </w:rPr>
        <w:t>1</w:t>
      </w:r>
      <w:r>
        <w:t>im][N(CN)</w:t>
      </w:r>
      <w:r w:rsidRPr="008852B5">
        <w:rPr>
          <w:sz w:val="16"/>
          <w:szCs w:val="16"/>
          <w:vertAlign w:val="subscript"/>
        </w:rPr>
        <w:t>2</w:t>
      </w:r>
      <w:r>
        <w:t>], [C</w:t>
      </w:r>
      <w:r w:rsidRPr="008852B5">
        <w:rPr>
          <w:sz w:val="16"/>
          <w:szCs w:val="16"/>
          <w:vertAlign w:val="subscript"/>
        </w:rPr>
        <w:t>4</w:t>
      </w:r>
      <w:r>
        <w:t>C</w:t>
      </w:r>
      <w:r w:rsidRPr="008852B5">
        <w:rPr>
          <w:sz w:val="16"/>
          <w:szCs w:val="16"/>
          <w:vertAlign w:val="subscript"/>
        </w:rPr>
        <w:t>1</w:t>
      </w:r>
      <w:r>
        <w:t>im][SCN], [P</w:t>
      </w:r>
      <w:r w:rsidRPr="008852B5">
        <w:rPr>
          <w:sz w:val="16"/>
          <w:szCs w:val="16"/>
          <w:vertAlign w:val="subscript"/>
        </w:rPr>
        <w:t>4,4,4,4</w:t>
      </w:r>
      <w:r>
        <w:t>]Cl, [C</w:t>
      </w:r>
      <w:r w:rsidRPr="008852B5">
        <w:rPr>
          <w:sz w:val="16"/>
          <w:szCs w:val="16"/>
          <w:vertAlign w:val="subscript"/>
        </w:rPr>
        <w:t>4</w:t>
      </w:r>
      <w:r>
        <w:t>C</w:t>
      </w:r>
      <w:r w:rsidRPr="008852B5">
        <w:rPr>
          <w:sz w:val="16"/>
          <w:szCs w:val="16"/>
          <w:vertAlign w:val="subscript"/>
        </w:rPr>
        <w:t>1</w:t>
      </w:r>
      <w:r>
        <w:t>pip]Cl and [C</w:t>
      </w:r>
      <w:r w:rsidRPr="008852B5">
        <w:rPr>
          <w:sz w:val="16"/>
          <w:szCs w:val="16"/>
          <w:vertAlign w:val="subscript"/>
        </w:rPr>
        <w:t>4</w:t>
      </w:r>
      <w:r>
        <w:t>C</w:t>
      </w:r>
      <w:r w:rsidRPr="008852B5">
        <w:rPr>
          <w:sz w:val="16"/>
          <w:szCs w:val="16"/>
          <w:vertAlign w:val="subscript"/>
        </w:rPr>
        <w:t>1</w:t>
      </w:r>
      <w:r>
        <w:t>pyrr]Cl, the solubility of ibuprofen was measured in aqueous solution with hydrotrope concentrations between 0.02 and 1.3 mol</w:t>
      </w:r>
      <w:r>
        <w:rPr>
          <w:sz w:val="16"/>
          <w:szCs w:val="16"/>
        </w:rPr>
        <w:t>Hyd</w:t>
      </w:r>
      <w:r>
        <w:t>∙kg</w:t>
      </w:r>
      <w:r>
        <w:rPr>
          <w:sz w:val="16"/>
          <w:szCs w:val="16"/>
        </w:rPr>
        <w:t>water</w:t>
      </w:r>
      <w:r w:rsidRPr="00355671">
        <w:rPr>
          <w:sz w:val="16"/>
          <w:szCs w:val="16"/>
          <w:vertAlign w:val="superscript"/>
        </w:rPr>
        <w:t>-1</w:t>
      </w:r>
      <w:r>
        <w:t xml:space="preserve">. </w:t>
      </w:r>
      <w:r>
        <w:rPr>
          <w:lang w:val="en-US"/>
        </w:rPr>
        <w:t xml:space="preserve">According to the slope </w:t>
      </w:r>
      <w:r w:rsidRPr="005863FF">
        <w:rPr>
          <w:lang w:val="en-US"/>
        </w:rPr>
        <w:t xml:space="preserve">changes </w:t>
      </w:r>
      <w:r>
        <w:rPr>
          <w:lang w:val="en-US"/>
        </w:rPr>
        <w:t>observed in Figure 2, the MHC value</w:t>
      </w:r>
      <w:r w:rsidRPr="005863FF">
        <w:rPr>
          <w:lang w:val="en-US"/>
        </w:rPr>
        <w:t xml:space="preserve"> </w:t>
      </w:r>
      <w:r>
        <w:rPr>
          <w:lang w:val="en-US"/>
        </w:rPr>
        <w:t xml:space="preserve">appears to be approximately </w:t>
      </w:r>
      <w:r>
        <w:t>0.10 mol∙</w:t>
      </w:r>
      <w:r w:rsidR="005F56B9">
        <w:t>kg</w:t>
      </w:r>
      <w:r w:rsidR="005F56B9" w:rsidRPr="000A5528">
        <w:rPr>
          <w:vertAlign w:val="subscript"/>
        </w:rPr>
        <w:t>water</w:t>
      </w:r>
      <w:r w:rsidRPr="000A5528">
        <w:rPr>
          <w:vertAlign w:val="superscript"/>
        </w:rPr>
        <w:t>-1</w:t>
      </w:r>
      <w:r>
        <w:t xml:space="preserve"> for</w:t>
      </w:r>
      <w:r w:rsidRPr="00EB3849">
        <w:t xml:space="preserve"> </w:t>
      </w:r>
      <w:r>
        <w:t>[C</w:t>
      </w:r>
      <w:r w:rsidRPr="008852B5">
        <w:rPr>
          <w:sz w:val="16"/>
          <w:szCs w:val="16"/>
          <w:vertAlign w:val="subscript"/>
        </w:rPr>
        <w:t>4</w:t>
      </w:r>
      <w:r>
        <w:t>C</w:t>
      </w:r>
      <w:r w:rsidRPr="008852B5">
        <w:rPr>
          <w:sz w:val="16"/>
          <w:szCs w:val="16"/>
          <w:vertAlign w:val="subscript"/>
        </w:rPr>
        <w:t>1</w:t>
      </w:r>
      <w:r>
        <w:t>im][N(CN)</w:t>
      </w:r>
      <w:r w:rsidRPr="008852B5">
        <w:rPr>
          <w:sz w:val="16"/>
          <w:szCs w:val="16"/>
          <w:vertAlign w:val="subscript"/>
        </w:rPr>
        <w:t>2</w:t>
      </w:r>
      <w:r>
        <w:t>] and [C</w:t>
      </w:r>
      <w:r w:rsidRPr="008852B5">
        <w:rPr>
          <w:sz w:val="16"/>
          <w:szCs w:val="16"/>
          <w:vertAlign w:val="subscript"/>
        </w:rPr>
        <w:t>4</w:t>
      </w:r>
      <w:r>
        <w:t>C</w:t>
      </w:r>
      <w:r w:rsidRPr="008852B5">
        <w:rPr>
          <w:sz w:val="16"/>
          <w:szCs w:val="16"/>
          <w:vertAlign w:val="subscript"/>
        </w:rPr>
        <w:t>1</w:t>
      </w:r>
      <w:r>
        <w:t>im][SCN], and 0.18 mol∙</w:t>
      </w:r>
      <w:r w:rsidR="005F56B9">
        <w:t>kg</w:t>
      </w:r>
      <w:r w:rsidR="005F56B9" w:rsidRPr="000A5528">
        <w:rPr>
          <w:vertAlign w:val="subscript"/>
        </w:rPr>
        <w:t>water</w:t>
      </w:r>
      <w:r w:rsidRPr="000A5528">
        <w:rPr>
          <w:vertAlign w:val="superscript"/>
        </w:rPr>
        <w:t>-1</w:t>
      </w:r>
      <w:r>
        <w:t xml:space="preserve"> for [P</w:t>
      </w:r>
      <w:r w:rsidRPr="008852B5">
        <w:rPr>
          <w:sz w:val="16"/>
          <w:szCs w:val="16"/>
          <w:vertAlign w:val="subscript"/>
        </w:rPr>
        <w:t>4,4,4,4</w:t>
      </w:r>
      <w:r>
        <w:t>]Cl. On the other hand</w:t>
      </w:r>
      <w:r w:rsidRPr="004548BD">
        <w:t>, a continuous variation in the solubility of ibuprofen</w:t>
      </w:r>
      <w:r>
        <w:t xml:space="preserve"> was observed for [C</w:t>
      </w:r>
      <w:r w:rsidRPr="008852B5">
        <w:rPr>
          <w:sz w:val="16"/>
          <w:szCs w:val="16"/>
          <w:vertAlign w:val="subscript"/>
        </w:rPr>
        <w:t>4</w:t>
      </w:r>
      <w:r>
        <w:t>C</w:t>
      </w:r>
      <w:r w:rsidRPr="008852B5">
        <w:rPr>
          <w:sz w:val="16"/>
          <w:szCs w:val="16"/>
          <w:vertAlign w:val="subscript"/>
        </w:rPr>
        <w:t>1</w:t>
      </w:r>
      <w:r>
        <w:t>pip]Cl and [C</w:t>
      </w:r>
      <w:r w:rsidRPr="008852B5">
        <w:rPr>
          <w:sz w:val="16"/>
          <w:szCs w:val="16"/>
          <w:vertAlign w:val="subscript"/>
        </w:rPr>
        <w:t>4</w:t>
      </w:r>
      <w:r>
        <w:t>C</w:t>
      </w:r>
      <w:r w:rsidRPr="008852B5">
        <w:rPr>
          <w:sz w:val="16"/>
          <w:szCs w:val="16"/>
          <w:vertAlign w:val="subscript"/>
        </w:rPr>
        <w:t>1</w:t>
      </w:r>
      <w:r>
        <w:t xml:space="preserve">pyrr]Cl. </w:t>
      </w:r>
      <w:r w:rsidRPr="004548BD">
        <w:t xml:space="preserve">In fact, although the MHC has been extensively </w:t>
      </w:r>
      <w:r w:rsidR="00355671">
        <w:t>used</w:t>
      </w:r>
      <w:r w:rsidRPr="004548BD">
        <w:t xml:space="preserve">, </w:t>
      </w:r>
      <w:r w:rsidR="00355671">
        <w:t xml:space="preserve">various </w:t>
      </w:r>
      <w:r w:rsidRPr="004548BD">
        <w:t xml:space="preserve">authors have been </w:t>
      </w:r>
      <w:r w:rsidR="00355671" w:rsidRPr="004548BD">
        <w:t xml:space="preserve">recently </w:t>
      </w:r>
      <w:r w:rsidRPr="004548BD">
        <w:t>questioning this concept and relate it with less accurate experimental measurements (such as due to the presence of impurities) and with an incorrect interpretation of the experimental data.</w:t>
      </w:r>
      <w:r>
        <w:fldChar w:fldCharType="begin" w:fldLock="1"/>
      </w:r>
      <w:r>
        <w:instrText>ADDIN CSL_CITATION { "citationItems" : [ { "id" : "ITEM-1", "itemData" : { "DOI" : "10.1021/je200659c", "ISBN" : "0021-9568", "author" : [ { "dropping-particle" : "", "family" : "Russo", "given" : "Joseph W", "non-dropping-particle" : "", "parse-names" : false, "suffix" : "" }, { "dropping-particle" : "", "family" : "Hoffmann", "given" : "Markus M", "non-dropping-particle" : "", "parse-names" : false, "suffix" : "" } ], "container-title" : "Journal of Chemical &amp; Engineering Data", "id" : "ITEM-1", "issue" : "9", "issued" : { "date-parts" : [ [ "2011" ] ] }, "page" : "3703-3710", "publisher" : "American Chemical Society", "title" : "Measurements of Surface Tension and Chemical Shift on Several Binary Mixtures of Water and Ionic Liquids and Their Comparison for Assessing Aggregation", "type" : "article-journal", "volume" : "56" }, "uris" : [ "http://www.mendeley.com/documents/?uuid=70a47f34-a545-429f-b03d-c586a678d33b" ] }, { "id" : "ITEM-2", "itemData" : { "DOI" : "10.1021/je101125e", "ISBN" : "0021-9568", "author" : [ { "dropping-particle" : "", "family" : "Subramanian", "given" : "Deepa", "non-dropping-particle" : "", "parse-names" : false, "suffix" : "" }, { "dropping-particle" : "", "family" : "Ivanov", "given" : "Dmitry A", "non-dropping-particle" : "", "parse-names" : false, "suffix" : "" }, { "dropping-particle" : "", "family" : "Yudin", "given" : "Igor K", "non-dropping-particle" : "", "parse-names" : false, "suffix" : "" }, { "dropping-particle" : "", "family" : "Anisimov", "given" : "Mikhail A", "non-dropping-particle" : "", "parse-names" : false, "suffix" : "" }, { "dropping-particle" : "V", "family" : "Sengers", "given" : "Jan", "non-dropping-particle" : "", "parse-names" : false, "suffix" : "" } ], "container-title" : "Journal of Chemical &amp; Engineering Data", "id" : "ITEM-2", "issue" : "4", "issued" : { "date-parts" : [ [ "2011" ] ] }, "page" : "1238-1248", "publisher" : "American Chemical Society", "title" : "Mesoscale Inhomogeneities in Aqueous Solutions of 3-Methylpyridine and Tertiary Butyl Alcohol", "type" : "article-journal", "volume" : "56" }, "uris" : [ "http://www.mendeley.com/documents/?uuid=c7ca6e51-f974-4d68-aee4-b14513424dd4" ] }, { "id" : "ITEM-3", "itemData" : { "DOI" : "http://dx.doi.org/10.1016/j.fluid.2013.09.064", "ISBN" : "0378-3812", "abstract" : "Hydrotropes are amphiphilic molecules that are too small to spontaneously form equilibrium structures in aqueous solutions, but form dynamic, non-covalent assemblies, referred to as clusters. In the presence of a hydrophobic compound, these clusters seem to get stabilized leading to the formation of long-lived, highly stable mesoscopic droplets, a phenomenon that we call \u201cmesoscale solubilization\u201d. In this work, we focus on the unusual mesoscopic properties of aqueous solutions of a nonionic hydrotrope, namely tertiary butyl alcohol (TBA), on addition of various hydrophobic compounds. Aqueous TBA solutions, in about 3\u20138 mol% TBA concentration range and about 0\u201325 \u00b0C temperature range, show the presence of short-ranged (\u223c0.5 nm), short-lived (tens of picoseconds) molecular clusters which result in anomalies of the thermodynamic properties. These clusters are transient but do not relax by diffusion, thus distinctly different from conventional concentration fluctuations. In this concentration and temperature range, upon the addition of a third (more hydrophobic) component to TBA\u2013water solutions, long-lived mesoscopic droplets of about 100 nm size are observed. In this work, we clarify the ambiguity behind the definition of solubility and elucidate the phenomenon of mesoscale solubilization. A systematic study of the macroscopic and mesoscopic phase behavior of three ternary systems TBA\u2013water-propylene oxide, TBA\u2013water-isobutyl alcohol, and TBA\u2013water-cyclohexane has been carried out. We differentiate between molecular solubility, mesoscale solubilization, and macroscopic phase separation. We have confirmed that practically stable aqueous colloids can be created from small molecules, without addition of surfactants or polymers. Such kind of novel materials may find applications in the design of various processes and products, ranging from pharmaceuticals to cosmetics and agrochemicals.", "author" : [ { "dropping-particle" : "", "family" : "Subramanian", "given" : "Deepa", "non-dropping-particle" : "", "parse-names" : false, "suffix" : "" }, { "dropping-particle" : "", "family" : "Anisimov", "given" : "Mikhail A", "non-dropping-particle" : "", "parse-names" : false, "suffix" : "" } ], "container-title" : "Fluid Phase Equilibria", "id" : "ITEM-3", "issued" : { "date-parts" : [ [ "2014" ] ] }, "page" : "170-176", "title" : "Phase behavior and mesoscale solubilization in aqueous solutions of hydrotropes", "type" : "article-journal", "volume" : "362" }, "uris" : [ "http://www.mendeley.com/documents/?uuid=b239a53f-7faf-453a-a51e-b57727386cf1" ] }, { "id" : "ITEM-4",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"ITEM-4",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"id" : "ITEM-5", "itemData" : { "DOI" : "10.1039/c3cp53791a", "ISBN" : "1463-9076", "ISSN" : "1463-9076", "abstract" : "Hydrophobic drugs can often be solubilized by the addition of hydrotropes. We have previously shown that preferential drug-hydrotrope association is one of the major factors of increased solubility (but not \"hydrotrope clustering\" or changes in \"water structure\"). How, then, can we understand this drug-hydrotrope interaction at a molecular level? Thermodynamic models based upon stoichiometric solute-water and solute-hydrotrope binding have long been used to understand solubilization microscopically. Such binding models have shown that the solvation numbers or coordination numbers of the water and hydrotrope molecules around the drug solute is the key quantity for solute-water and solute-hydrotrope interaction. However, we show that a rigorous statistical thermodynamic theory (the fluctuation solution theory originated by Kirkwood and Buff) requires the total reconsideration of such a paradigm. Here we show that (i) the excess solvation number (the net increase or decrease, relative to the bulk, of the solvent molecules around the solute), not the coordination number, is the key quantity for describing the solute-hydrotrope interaction; (ii) solute-hydrotrope binding is beyond the reach of the stoichiometric models because long-range solvation structure plays an important role.", "author" : [ { "dropping-particle" : "", "family" : "Shimizu", "given" : "Seishi", "non-dropping-particle" : "", "parse-names" : false, "suffix" : "" }, { "dropping-particle" : "", "family" : "Booth", "given" : "Jonathan J", "non-dropping-particle" : "", "parse-names" : false, "suffix" : "" }, { "dropping-particle" : "", "family" : "Abbott", "given" : "Steven", "non-dropping-particle" : "", "parse-names" : false, "suffix" : "" } ], "container-title" : "Physical Chemistry Chemical Physics", "id" : "ITEM-5", "issue" : "47", "issued" : { "date-parts" : [ [ "2013" ] ] }, "page" : "20625-20632", "publisher" : "The Royal Society of Chemistry", "title" : "Hydrotropy: binding models vs. statistical thermodynamics", "type" : "article-journal", "volume" : "15" }, "uris" : [ "http://www.mendeley.com/documents/?uuid=87be8ec6-c176-4263-8598-940ccbd3fa7a" ] }, { "id" : "ITEM-6", "itemData" : { "DOI" : "10.1021/la2025846", "ISBN" : "0743-7463", "author" : [ { "dropping-particle" : "", "family" : "Hopkins Hatzopoulos", "given" : "Marios", "non-dropping-particle" : "", "parse-names" : false, "suffix" : "" }, { "dropping-particle" : "", "family" : "Eastoe", "given" : "Julian", "non-dropping-particle" : "", "parse-names" : false, "suffix" : "" }, { "dropping-particle" : "", "family" : "Dowding", "given" : "Peter J", "non-dropping-particle" : "", "parse-names" : false, "suffix" : "" }, { "dropping-particle" : "", "family" : "Rogers", "given" : "Sarah E", "non-dropping-particle" : "", "parse-names" : false, "suffix" : "" }, { "dropping-particle" : "", "family" : "Heenan", "given" : "Richard", "non-dropping-particle" : "", "parse-names" : false, "suffix" : "" }, { "dropping-particle" : "", "family" : "Dyer", "given" : "Robert", "non-dropping-particle" : "", "parse-names" : false, "suffix" : "" } ], "container-title" : "Langmuir", "id" : "ITEM-6", "issue" : "20", "issued" : { "date-parts" : [ [ "2011" ] ] }, "page" : "12346-12353", "publisher" : "American Chemical Society", "title" : "Are Hydrotropes Distinct from Surfactants?", "type" : "article-journal", "volume" : "27" }, "uris" : [ "http://www.mendeley.com/documents/?uuid=ff514c04-02c6-493c-ada5-f8dd3e9dc5f1" ] } ], "mendeley" : { "formattedCitation" : "&lt;sup&gt;21,32,49\u201352&lt;/sup&gt;", "plainTextFormattedCitation" : "21,32,49\u201352", "previouslyFormattedCitation" : "&lt;sup&gt;21,32,49\u201352&lt;/sup&gt;" }, "properties" : { "noteIndex" : 0 }, "schema" : "https://github.com/citation-style-language/schema/raw/master/csl-citation.json" }</w:instrText>
      </w:r>
      <w:r>
        <w:fldChar w:fldCharType="separate"/>
      </w:r>
      <w:r w:rsidRPr="00294D46">
        <w:rPr>
          <w:noProof/>
          <w:vertAlign w:val="superscript"/>
        </w:rPr>
        <w:t>21,32,49–52</w:t>
      </w:r>
      <w:r>
        <w:fldChar w:fldCharType="end"/>
      </w:r>
    </w:p>
    <w:p w14:paraId="5149A981" w14:textId="77777777" w:rsidR="00C6517C" w:rsidRDefault="00C6517C" w:rsidP="00C6517C">
      <w:pPr>
        <w:pStyle w:val="RSCB02ArticleText"/>
      </w:pPr>
      <w:r>
        <w:t xml:space="preserve">The set of ILs here investigated was chosen to evaluate the influence of the anion nature and cation core upon its capacity to enhance the solubility of the drug. The results of the influence of ILs, as well as some common hydrotropes, on the solubility enhancement of ibuprofen are presented in </w:t>
      </w:r>
      <w:r w:rsidRPr="00DE34EE">
        <w:t xml:space="preserve">Figure </w:t>
      </w:r>
      <w:r>
        <w:t>3</w:t>
      </w:r>
      <w:r w:rsidRPr="00DE34EE">
        <w:t xml:space="preserve">. </w:t>
      </w:r>
      <w:r>
        <w:t xml:space="preserve">It is shown that </w:t>
      </w:r>
      <w:r w:rsidRPr="00DE34EE">
        <w:t xml:space="preserve">their performance as hydrotropes is much superior to that of conventional hydrotropes and </w:t>
      </w:r>
      <w:r w:rsidRPr="0094104D">
        <w:t>chaotropic (</w:t>
      </w:r>
      <w:r w:rsidRPr="00DE34EE">
        <w:t>salt</w:t>
      </w:r>
      <w:r>
        <w:t>ing-in inducing) salts (</w:t>
      </w:r>
      <w:r w:rsidRPr="00DE34EE">
        <w:t>Na[TOS), Na[SCN], Na[N(CN)</w:t>
      </w:r>
      <w:r w:rsidRPr="008852B5">
        <w:rPr>
          <w:vertAlign w:val="subscript"/>
        </w:rPr>
        <w:t>2</w:t>
      </w:r>
      <w:r w:rsidRPr="00DE34EE">
        <w:t>]).</w:t>
      </w:r>
      <w:r w:rsidRPr="00AB5D49">
        <w:t xml:space="preserve"> </w:t>
      </w:r>
      <w:r>
        <w:t>In order to obtain a quantitative</w:t>
      </w:r>
      <w:r w:rsidRPr="002D2691">
        <w:t xml:space="preserve"> assessment</w:t>
      </w:r>
      <w:r>
        <w:t xml:space="preserve"> of the influence of the ILs chemical structure on the solubility enhancement, the solubility data was correlated with the hydrotrope concentration using the modified Setschenow equation below:</w:t>
      </w:r>
    </w:p>
    <w:p w14:paraId="11F89B20" w14:textId="77777777" w:rsidR="00C6517C" w:rsidRDefault="00C6517C" w:rsidP="00C6517C">
      <w:pPr>
        <w:pStyle w:val="RSCB02ArticleText"/>
      </w:pPr>
      <w:r w:rsidRPr="00C6517C">
        <w:rPr>
          <w:i/>
        </w:rPr>
        <w:t xml:space="preserve"> </w:t>
      </w:r>
      <w:r w:rsidRPr="00B329C7">
        <w:rPr>
          <w:i/>
        </w:rPr>
        <w:t>S</w:t>
      </w:r>
      <w:r>
        <w:t>/</w:t>
      </w:r>
      <w:r w:rsidRPr="00B329C7">
        <w:rPr>
          <w:i/>
        </w:rPr>
        <w:t>S</w:t>
      </w:r>
      <w:r w:rsidRPr="00B329C7">
        <w:rPr>
          <w:i/>
          <w:vertAlign w:val="subscript"/>
        </w:rPr>
        <w:t>0</w:t>
      </w:r>
      <w:r>
        <w:t xml:space="preserve"> = 1 + </w:t>
      </w:r>
      <w:r w:rsidRPr="00B329C7">
        <w:rPr>
          <w:i/>
        </w:rPr>
        <w:t>K</w:t>
      </w:r>
      <w:r w:rsidRPr="00B329C7">
        <w:rPr>
          <w:vertAlign w:val="subscript"/>
        </w:rPr>
        <w:t>Hyd</w:t>
      </w:r>
      <w:r>
        <w:t xml:space="preserve"> </w:t>
      </w:r>
      <w:r w:rsidRPr="00F71A7D">
        <w:rPr>
          <w:i/>
        </w:rPr>
        <w:t>C</w:t>
      </w:r>
      <w:r w:rsidRPr="00B329C7">
        <w:rPr>
          <w:vertAlign w:val="subscript"/>
        </w:rPr>
        <w:t>Hyd</w:t>
      </w:r>
      <w:r>
        <w:rPr>
          <w:vertAlign w:val="subscript"/>
        </w:rPr>
        <w:tab/>
      </w:r>
      <w:r>
        <w:rPr>
          <w:vertAlign w:val="subscript"/>
        </w:rPr>
        <w:tab/>
      </w:r>
      <w:r w:rsidR="00355671">
        <w:rPr>
          <w:vertAlign w:val="subscript"/>
        </w:rPr>
        <w:tab/>
      </w:r>
      <w:r w:rsidR="00355671">
        <w:rPr>
          <w:vertAlign w:val="subscript"/>
        </w:rPr>
        <w:tab/>
      </w:r>
      <w:r w:rsidR="00355671">
        <w:rPr>
          <w:vertAlign w:val="subscript"/>
        </w:rPr>
        <w:tab/>
      </w:r>
      <w:r w:rsidR="00355671">
        <w:rPr>
          <w:vertAlign w:val="subscript"/>
        </w:rPr>
        <w:tab/>
      </w:r>
      <w:r w:rsidR="00355671">
        <w:rPr>
          <w:vertAlign w:val="subscript"/>
        </w:rPr>
        <w:tab/>
      </w:r>
      <w:r w:rsidR="00355671">
        <w:rPr>
          <w:vertAlign w:val="subscript"/>
        </w:rPr>
        <w:tab/>
      </w:r>
      <w:r w:rsidR="00355671">
        <w:rPr>
          <w:vertAlign w:val="subscript"/>
        </w:rPr>
        <w:tab/>
      </w:r>
      <w:r>
        <w:tab/>
        <w:t>(1</w:t>
      </w:r>
      <w:r w:rsidRPr="00B329C7">
        <w:t>)</w:t>
      </w:r>
    </w:p>
    <w:p w14:paraId="0963C543" w14:textId="77777777" w:rsidR="006D69CB" w:rsidRDefault="006D69CB" w:rsidP="00C6517C">
      <w:pPr>
        <w:pStyle w:val="RSCB02ArticleText"/>
      </w:pPr>
    </w:p>
    <w:p w14:paraId="53935C60" w14:textId="77777777" w:rsidR="00C6517C" w:rsidRDefault="00C6517C" w:rsidP="00C6517C">
      <w:pPr>
        <w:pStyle w:val="RSCB02ArticleText"/>
      </w:pPr>
      <w:r w:rsidRPr="001957DE">
        <w:t xml:space="preserve">where </w:t>
      </w:r>
      <w:r w:rsidRPr="001957DE">
        <w:rPr>
          <w:i/>
        </w:rPr>
        <w:t>S</w:t>
      </w:r>
      <w:r w:rsidRPr="001957DE">
        <w:t xml:space="preserve"> and </w:t>
      </w:r>
      <w:r w:rsidRPr="001957DE">
        <w:rPr>
          <w:i/>
        </w:rPr>
        <w:t>S</w:t>
      </w:r>
      <w:r w:rsidRPr="001957DE">
        <w:rPr>
          <w:vertAlign w:val="subscript"/>
        </w:rPr>
        <w:t>0</w:t>
      </w:r>
      <w:r w:rsidRPr="001957DE">
        <w:t xml:space="preserve"> are the  solubility (mol</w:t>
      </w:r>
      <w:r>
        <w:rPr>
          <w:rFonts w:cs="Calibri"/>
        </w:rPr>
        <w:t>∙</w:t>
      </w:r>
      <w:r w:rsidRPr="001957DE">
        <w:t>L</w:t>
      </w:r>
      <w:r w:rsidRPr="001957DE">
        <w:rPr>
          <w:vertAlign w:val="superscript"/>
        </w:rPr>
        <w:t>-1</w:t>
      </w:r>
      <w:r w:rsidRPr="001957DE">
        <w:t xml:space="preserve">) of </w:t>
      </w:r>
      <w:r>
        <w:t>the</w:t>
      </w:r>
      <w:r w:rsidRPr="001957DE">
        <w:t xml:space="preserve"> drug in the hydrotrope aqueous solution and in pure water, respectively, </w:t>
      </w:r>
      <w:r w:rsidRPr="001957DE">
        <w:rPr>
          <w:i/>
        </w:rPr>
        <w:t>C</w:t>
      </w:r>
      <w:r w:rsidRPr="001957DE">
        <w:rPr>
          <w:vertAlign w:val="subscript"/>
        </w:rPr>
        <w:t>Hyd</w:t>
      </w:r>
      <w:r w:rsidRPr="001957DE">
        <w:t xml:space="preserve"> is the concentration of hydrotrope in aqueous solution (mol</w:t>
      </w:r>
      <w:r w:rsidRPr="00DF4F1F">
        <w:rPr>
          <w:vertAlign w:val="subscript"/>
        </w:rPr>
        <w:t>Hyd</w:t>
      </w:r>
      <w:r>
        <w:rPr>
          <w:rFonts w:cs="Calibri"/>
        </w:rPr>
        <w:t>∙</w:t>
      </w:r>
      <w:r w:rsidRPr="001957DE">
        <w:t>kg</w:t>
      </w:r>
      <w:r w:rsidRPr="00DF4F1F">
        <w:rPr>
          <w:vertAlign w:val="subscript"/>
        </w:rPr>
        <w:t>water</w:t>
      </w:r>
      <w:r w:rsidRPr="001957DE">
        <w:rPr>
          <w:vertAlign w:val="superscript"/>
        </w:rPr>
        <w:t>-1</w:t>
      </w:r>
      <w:r w:rsidRPr="001957DE">
        <w:t xml:space="preserve">). The hydrotropy constants, </w:t>
      </w:r>
      <w:r w:rsidRPr="001957DE">
        <w:rPr>
          <w:i/>
        </w:rPr>
        <w:t>K</w:t>
      </w:r>
      <w:r w:rsidRPr="001957DE">
        <w:rPr>
          <w:vertAlign w:val="subscript"/>
        </w:rPr>
        <w:t>Hyd</w:t>
      </w:r>
      <w:r w:rsidRPr="001957DE">
        <w:t xml:space="preserve">, and the respective standard deviations, were estimated for each </w:t>
      </w:r>
      <w:r>
        <w:t>hydrotrope</w:t>
      </w:r>
      <w:r w:rsidRPr="001957DE">
        <w:t xml:space="preserve"> and </w:t>
      </w:r>
      <w:r w:rsidRPr="0082055F">
        <w:t>listed in Table 2.</w:t>
      </w:r>
    </w:p>
    <w:p w14:paraId="574BC230" w14:textId="77777777" w:rsidR="009214FA" w:rsidRDefault="009214FA" w:rsidP="00C6517C">
      <w:pPr>
        <w:pStyle w:val="RSCB02ArticleText"/>
      </w:pPr>
    </w:p>
    <w:p w14:paraId="10659A2F" w14:textId="77777777" w:rsidR="009214FA" w:rsidRDefault="009214FA" w:rsidP="006D1C53">
      <w:pPr>
        <w:pStyle w:val="RSCI05CaptiontoFigureSchemeChartwithbottombar"/>
        <w:rPr>
          <w:szCs w:val="14"/>
        </w:rPr>
      </w:pPr>
      <w:r w:rsidRPr="006D1C53">
        <w:rPr>
          <w:noProof/>
          <w:lang w:val="pt-PT" w:eastAsia="pt-PT"/>
        </w:rPr>
        <w:drawing>
          <wp:inline distT="0" distB="0" distL="0" distR="0" wp14:anchorId="56A598FE" wp14:editId="29EB3D03">
            <wp:extent cx="3167139" cy="1956021"/>
            <wp:effectExtent l="0" t="0" r="0" b="635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pic:cNvPicPr>
                      <a:picLocks noChangeAspect="1"/>
                    </pic:cNvPicPr>
                  </pic:nvPicPr>
                  <pic:blipFill rotWithShape="1">
                    <a:blip r:embed="rId16">
                      <a:extLst>
                        <a:ext uri="{28A0092B-C50C-407E-A947-70E740481C1C}">
                          <a14:useLocalDpi xmlns:a14="http://schemas.microsoft.com/office/drawing/2010/main" val="0"/>
                        </a:ext>
                      </a:extLst>
                    </a:blip>
                    <a:srcRect t="2334" b="1947"/>
                    <a:stretch/>
                  </pic:blipFill>
                  <pic:spPr bwMode="auto">
                    <a:xfrm>
                      <a:off x="0" y="0"/>
                      <a:ext cx="3168015" cy="1956562"/>
                    </a:xfrm>
                    <a:prstGeom prst="rect">
                      <a:avLst/>
                    </a:prstGeom>
                    <a:ln>
                      <a:noFill/>
                    </a:ln>
                    <a:extLst>
                      <a:ext uri="{53640926-AAD7-44D8-BBD7-CCE9431645EC}">
                        <a14:shadowObscured xmlns:a14="http://schemas.microsoft.com/office/drawing/2010/main"/>
                      </a:ext>
                    </a:extLst>
                  </pic:spPr>
                </pic:pic>
              </a:graphicData>
            </a:graphic>
          </wp:inline>
        </w:drawing>
      </w:r>
    </w:p>
    <w:p w14:paraId="24D8C263" w14:textId="77777777" w:rsidR="006D1C53" w:rsidRPr="006D1C53" w:rsidRDefault="006D1C53" w:rsidP="006D1C53">
      <w:pPr>
        <w:pStyle w:val="RSCI05CaptiontoFigureSchemeChartwithbottombar"/>
      </w:pPr>
      <w:r w:rsidRPr="006D1C53">
        <w:rPr>
          <w:b/>
        </w:rPr>
        <w:t>Figure 2.</w:t>
      </w:r>
      <w:r w:rsidRPr="006D1C53">
        <w:t xml:space="preserve"> Impact of the IL concentration on the solubility of ibuprofen in aqueous solutions of (</w:t>
      </w:r>
      <w:r w:rsidRPr="004C6A76">
        <w:rPr>
          <w:color w:val="C00000"/>
          <w:szCs w:val="24"/>
        </w:rPr>
        <w:sym w:font="Webdings" w:char="F03C"/>
      </w:r>
      <w:r w:rsidRPr="006D1C53">
        <w:t>) [C</w:t>
      </w:r>
      <w:r w:rsidRPr="006D1C53">
        <w:rPr>
          <w:vertAlign w:val="subscript"/>
        </w:rPr>
        <w:t>4</w:t>
      </w:r>
      <w:r w:rsidRPr="006D1C53">
        <w:t>C</w:t>
      </w:r>
      <w:r w:rsidRPr="006D1C53">
        <w:rPr>
          <w:vertAlign w:val="subscript"/>
        </w:rPr>
        <w:t>1</w:t>
      </w:r>
      <w:r w:rsidRPr="006D1C53">
        <w:t>im][N(CN)</w:t>
      </w:r>
      <w:r w:rsidRPr="006D1C53">
        <w:rPr>
          <w:vertAlign w:val="subscript"/>
        </w:rPr>
        <w:t>2</w:t>
      </w:r>
      <w:r w:rsidRPr="006D1C53">
        <w:t>], (</w:t>
      </w:r>
      <w:r w:rsidRPr="004C6A76">
        <w:rPr>
          <w:color w:val="00B050"/>
        </w:rPr>
        <w:sym w:font="Wingdings 3" w:char="F070"/>
      </w:r>
      <w:r w:rsidRPr="006D1C53">
        <w:t>) [C</w:t>
      </w:r>
      <w:r w:rsidRPr="006D1C53">
        <w:rPr>
          <w:vertAlign w:val="subscript"/>
        </w:rPr>
        <w:t>4</w:t>
      </w:r>
      <w:r w:rsidRPr="006D1C53">
        <w:t>C</w:t>
      </w:r>
      <w:r w:rsidRPr="006D1C53">
        <w:rPr>
          <w:vertAlign w:val="subscript"/>
        </w:rPr>
        <w:t>1</w:t>
      </w:r>
      <w:r w:rsidRPr="006D1C53">
        <w:t>im][SCN], (</w:t>
      </w:r>
      <w:r w:rsidRPr="004C6A76">
        <w:rPr>
          <w:color w:val="FF0000"/>
        </w:rPr>
        <w:sym w:font="Webdings" w:char="F072"/>
      </w:r>
      <w:r w:rsidRPr="006D1C53">
        <w:t>) [P</w:t>
      </w:r>
      <w:r w:rsidRPr="006D1C53">
        <w:rPr>
          <w:vertAlign w:val="subscript"/>
        </w:rPr>
        <w:t>4,4,4,4</w:t>
      </w:r>
      <w:r w:rsidRPr="006D1C53">
        <w:t>]Cl, (</w:t>
      </w:r>
      <w:r w:rsidRPr="006D1C53">
        <w:rPr>
          <w:color w:val="FF6600"/>
          <w:szCs w:val="24"/>
        </w:rPr>
        <w:sym w:font="Wingdings" w:char="F075"/>
      </w:r>
      <w:r w:rsidRPr="006D1C53">
        <w:t>) [C</w:t>
      </w:r>
      <w:r w:rsidRPr="006D1C53">
        <w:rPr>
          <w:vertAlign w:val="subscript"/>
        </w:rPr>
        <w:t>4</w:t>
      </w:r>
      <w:r w:rsidRPr="006D1C53">
        <w:t>C</w:t>
      </w:r>
      <w:r w:rsidRPr="006D1C53">
        <w:rPr>
          <w:vertAlign w:val="subscript"/>
        </w:rPr>
        <w:t>1</w:t>
      </w:r>
      <w:r w:rsidRPr="006D1C53">
        <w:t>pip]Cl and (</w:t>
      </w:r>
      <w:r w:rsidRPr="006D1C53">
        <w:rPr>
          <w:rFonts w:ascii="Wingdings 3" w:hAnsi="Wingdings 3" w:cs="Wingdings 3"/>
          <w:szCs w:val="14"/>
        </w:rPr>
        <w:t></w:t>
      </w:r>
      <w:r w:rsidRPr="006D1C53">
        <w:t>) [C</w:t>
      </w:r>
      <w:r w:rsidRPr="006D1C53">
        <w:rPr>
          <w:vertAlign w:val="subscript"/>
        </w:rPr>
        <w:t>4</w:t>
      </w:r>
      <w:r w:rsidRPr="006D1C53">
        <w:t>C</w:t>
      </w:r>
      <w:r w:rsidRPr="006D1C53">
        <w:rPr>
          <w:vertAlign w:val="subscript"/>
        </w:rPr>
        <w:t>1</w:t>
      </w:r>
      <w:r w:rsidRPr="006D1C53">
        <w:t>pyrr]Cl, in order to evaluate the MHC. Lines are guides for the eye</w:t>
      </w:r>
      <w:r>
        <w:t>.</w:t>
      </w:r>
    </w:p>
    <w:p w14:paraId="2AA6041E" w14:textId="77777777" w:rsidR="006D1C53" w:rsidRDefault="006D1C53" w:rsidP="006D1C53">
      <w:pPr>
        <w:pStyle w:val="RSCB02ArticleText"/>
      </w:pPr>
    </w:p>
    <w:p w14:paraId="3DF8B68F" w14:textId="77777777" w:rsidR="006D1C53" w:rsidRDefault="006D1C53" w:rsidP="009214FA">
      <w:pPr>
        <w:pStyle w:val="RSCI05CaptiontoFigureSchemeChartwithbottombar"/>
        <w:rPr>
          <w:szCs w:val="14"/>
        </w:rPr>
      </w:pPr>
      <w:r w:rsidRPr="009214FA">
        <w:rPr>
          <w:b/>
          <w:noProof/>
          <w:lang w:val="pt-PT" w:eastAsia="pt-PT"/>
        </w:rPr>
        <w:drawing>
          <wp:inline distT="0" distB="0" distL="0" distR="0" wp14:anchorId="409075C8" wp14:editId="01033D65">
            <wp:extent cx="3166768" cy="1947545"/>
            <wp:effectExtent l="0" t="0" r="0" b="0"/>
            <wp:docPr id="2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3"/>
                    <pic:cNvPicPr>
                      <a:picLocks noChangeAspect="1"/>
                    </pic:cNvPicPr>
                  </pic:nvPicPr>
                  <pic:blipFill rotWithShape="1">
                    <a:blip r:embed="rId17">
                      <a:extLst>
                        <a:ext uri="{28A0092B-C50C-407E-A947-70E740481C1C}">
                          <a14:useLocalDpi xmlns:a14="http://schemas.microsoft.com/office/drawing/2010/main" val="0"/>
                        </a:ext>
                      </a:extLst>
                    </a:blip>
                    <a:srcRect t="1954" b="2285"/>
                    <a:stretch/>
                  </pic:blipFill>
                  <pic:spPr bwMode="auto">
                    <a:xfrm>
                      <a:off x="0" y="0"/>
                      <a:ext cx="3168015" cy="1948312"/>
                    </a:xfrm>
                    <a:prstGeom prst="rect">
                      <a:avLst/>
                    </a:prstGeom>
                    <a:ln>
                      <a:noFill/>
                    </a:ln>
                    <a:extLst>
                      <a:ext uri="{53640926-AAD7-44D8-BBD7-CCE9431645EC}">
                        <a14:shadowObscured xmlns:a14="http://schemas.microsoft.com/office/drawing/2010/main"/>
                      </a:ext>
                    </a:extLst>
                  </pic:spPr>
                </pic:pic>
              </a:graphicData>
            </a:graphic>
          </wp:inline>
        </w:drawing>
      </w:r>
    </w:p>
    <w:p w14:paraId="0980669E" w14:textId="77777777" w:rsidR="00A64ADB" w:rsidRDefault="00A64ADB" w:rsidP="00A64ADB">
      <w:pPr>
        <w:pStyle w:val="RSCI05CaptiontoFigureSchemeChartwithbottombar"/>
      </w:pPr>
      <w:r w:rsidRPr="005965F3">
        <w:rPr>
          <w:b/>
        </w:rPr>
        <w:t xml:space="preserve">Figure </w:t>
      </w:r>
      <w:r>
        <w:rPr>
          <w:b/>
        </w:rPr>
        <w:t>3</w:t>
      </w:r>
      <w:r w:rsidRPr="005965F3">
        <w:rPr>
          <w:b/>
        </w:rPr>
        <w:t>.</w:t>
      </w:r>
      <w:r>
        <w:t xml:space="preserve"> </w:t>
      </w:r>
      <w:r w:rsidRPr="009927C5">
        <w:t>Impact of the hydrotrope concentration on the solubility of</w:t>
      </w:r>
      <w:r>
        <w:t xml:space="preserve"> </w:t>
      </w:r>
      <w:r w:rsidRPr="009927C5">
        <w:t>ibuprofen in aqueous solutions of</w:t>
      </w:r>
      <w:r w:rsidRPr="00ED2D03">
        <w:t xml:space="preserve"> </w:t>
      </w:r>
      <w:r w:rsidRPr="00ED2D03">
        <w:rPr>
          <w:szCs w:val="24"/>
        </w:rPr>
        <w:t>(</w:t>
      </w:r>
      <w:r w:rsidRPr="004C6A76">
        <w:rPr>
          <w:color w:val="C00000"/>
          <w:szCs w:val="24"/>
        </w:rPr>
        <w:sym w:font="Webdings" w:char="F03C"/>
      </w:r>
      <w:r w:rsidRPr="00ED2D03">
        <w:rPr>
          <w:szCs w:val="24"/>
        </w:rPr>
        <w:t xml:space="preserve">) </w:t>
      </w:r>
      <w:r w:rsidRPr="00ED2D03">
        <w:t>[C</w:t>
      </w:r>
      <w:r w:rsidRPr="00ED2D03">
        <w:rPr>
          <w:vertAlign w:val="subscript"/>
        </w:rPr>
        <w:t>4</w:t>
      </w:r>
      <w:r w:rsidRPr="00ED2D03">
        <w:t>C</w:t>
      </w:r>
      <w:r w:rsidRPr="00ED2D03">
        <w:rPr>
          <w:vertAlign w:val="subscript"/>
        </w:rPr>
        <w:t>1</w:t>
      </w:r>
      <w:r w:rsidRPr="00ED2D03">
        <w:t>im][N(CN)</w:t>
      </w:r>
      <w:r w:rsidRPr="00ED2D03">
        <w:rPr>
          <w:vertAlign w:val="subscript"/>
        </w:rPr>
        <w:t>2</w:t>
      </w:r>
      <w:r w:rsidRPr="00ED2D03">
        <w:t>], (</w:t>
      </w:r>
      <w:r w:rsidRPr="004C6A76">
        <w:rPr>
          <w:color w:val="00B050"/>
        </w:rPr>
        <w:sym w:font="Wingdings 2" w:char="F098"/>
      </w:r>
      <w:r w:rsidRPr="00ED2D03">
        <w:t>) [C</w:t>
      </w:r>
      <w:r w:rsidRPr="00ED2D03">
        <w:rPr>
          <w:vertAlign w:val="subscript"/>
        </w:rPr>
        <w:t>4</w:t>
      </w:r>
      <w:r w:rsidRPr="00ED2D03">
        <w:t>C</w:t>
      </w:r>
      <w:r w:rsidRPr="00ED2D03">
        <w:rPr>
          <w:vertAlign w:val="subscript"/>
        </w:rPr>
        <w:t>1</w:t>
      </w:r>
      <w:r w:rsidRPr="00ED2D03">
        <w:t xml:space="preserve">im][SCN], </w:t>
      </w:r>
      <w:r>
        <w:rPr>
          <w:szCs w:val="24"/>
        </w:rPr>
        <w:t>(</w:t>
      </w:r>
      <w:r w:rsidRPr="004C6A76">
        <w:rPr>
          <w:color w:val="00B050"/>
          <w:szCs w:val="24"/>
        </w:rPr>
        <w:sym w:font="Wingdings" w:char="F075"/>
      </w:r>
      <w:r w:rsidRPr="00ED2D03">
        <w:rPr>
          <w:szCs w:val="24"/>
        </w:rPr>
        <w:t>)</w:t>
      </w:r>
      <w:r w:rsidRPr="00ED2D03">
        <w:t xml:space="preserve"> [P</w:t>
      </w:r>
      <w:r w:rsidRPr="00ED2D03">
        <w:rPr>
          <w:vertAlign w:val="subscript"/>
        </w:rPr>
        <w:t>4,4,4,4</w:t>
      </w:r>
      <w:r>
        <w:t>]Cl,</w:t>
      </w:r>
      <w:r w:rsidRPr="00ED2D03">
        <w:rPr>
          <w:szCs w:val="24"/>
        </w:rPr>
        <w:t xml:space="preserve"> </w:t>
      </w:r>
      <w:r>
        <w:t>(</w:t>
      </w:r>
      <w:r w:rsidRPr="004C6A76">
        <w:rPr>
          <w:color w:val="00B050"/>
        </w:rPr>
        <w:sym w:font="Wingdings 3" w:char="F070"/>
      </w:r>
      <w:r w:rsidRPr="00ED2D03">
        <w:t>) [C</w:t>
      </w:r>
      <w:r w:rsidRPr="00ED2D03">
        <w:rPr>
          <w:vertAlign w:val="subscript"/>
        </w:rPr>
        <w:t>4</w:t>
      </w:r>
      <w:r w:rsidRPr="00ED2D03">
        <w:t>C</w:t>
      </w:r>
      <w:r w:rsidRPr="00ED2D03">
        <w:rPr>
          <w:vertAlign w:val="subscript"/>
        </w:rPr>
        <w:t>1</w:t>
      </w:r>
      <w:r w:rsidRPr="00ED2D03">
        <w:t>im][TOS], (</w:t>
      </w:r>
      <w:r>
        <w:sym w:font="Wingdings 3" w:char="F0AC"/>
      </w:r>
      <w:r w:rsidRPr="00ED2D03">
        <w:t>) Na[N(CN)</w:t>
      </w:r>
      <w:r w:rsidRPr="00ED2D03">
        <w:rPr>
          <w:vertAlign w:val="subscript"/>
        </w:rPr>
        <w:t>2</w:t>
      </w:r>
      <w:r w:rsidRPr="00ED2D03">
        <w:t>]</w:t>
      </w:r>
      <w:r>
        <w:t>, (</w:t>
      </w:r>
      <w:r w:rsidRPr="00E265E7">
        <w:rPr>
          <w:color w:val="2E74B5"/>
        </w:rPr>
        <w:sym w:font="Wingdings 2" w:char="F098"/>
      </w:r>
      <w:r w:rsidRPr="00ED2D03">
        <w:t>) Na[TOS], (</w:t>
      </w:r>
      <w:r w:rsidRPr="006D1C53">
        <w:rPr>
          <w:color w:val="FF6600"/>
        </w:rPr>
        <w:sym w:font="Wingdings 2" w:char="F098"/>
      </w:r>
      <w:r w:rsidRPr="00ED2D03">
        <w:t>) [N</w:t>
      </w:r>
      <w:r w:rsidRPr="00ED2D03">
        <w:rPr>
          <w:vertAlign w:val="subscript"/>
        </w:rPr>
        <w:t>4,4,4,4</w:t>
      </w:r>
      <w:r w:rsidRPr="00ED2D03">
        <w:t>]Cl, (</w:t>
      </w:r>
      <w:r w:rsidRPr="00E265E7">
        <w:rPr>
          <w:color w:val="2E74B5"/>
        </w:rPr>
        <w:sym w:font="Wingdings 2" w:char="F0CA"/>
      </w:r>
      <w:r w:rsidRPr="00ED2D03">
        <w:t>) [C</w:t>
      </w:r>
      <w:r w:rsidRPr="00ED2D03">
        <w:rPr>
          <w:vertAlign w:val="subscript"/>
        </w:rPr>
        <w:t>4</w:t>
      </w:r>
      <w:r w:rsidRPr="00ED2D03">
        <w:t>C</w:t>
      </w:r>
      <w:r w:rsidRPr="00ED2D03">
        <w:rPr>
          <w:vertAlign w:val="subscript"/>
        </w:rPr>
        <w:t>1</w:t>
      </w:r>
      <w:r w:rsidRPr="00ED2D03">
        <w:t>py]Cl, (</w:t>
      </w:r>
      <w:r>
        <w:sym w:font="Wingdings 2" w:char="F0C8"/>
      </w:r>
      <w:r w:rsidRPr="00ED2D03">
        <w:t>) [C</w:t>
      </w:r>
      <w:r w:rsidRPr="00ED2D03">
        <w:rPr>
          <w:vertAlign w:val="subscript"/>
        </w:rPr>
        <w:t>4</w:t>
      </w:r>
      <w:r w:rsidRPr="00ED2D03">
        <w:t>C</w:t>
      </w:r>
      <w:r w:rsidRPr="00ED2D03">
        <w:rPr>
          <w:vertAlign w:val="subscript"/>
        </w:rPr>
        <w:t>1</w:t>
      </w:r>
      <w:r w:rsidRPr="00ED2D03">
        <w:t>pip]Cl, (</w:t>
      </w:r>
      <w:r>
        <w:sym w:font="Wingdings 2" w:char="F0E1"/>
      </w:r>
      <w:r w:rsidRPr="00ED2D03">
        <w:t>) [C</w:t>
      </w:r>
      <w:r w:rsidRPr="00ED2D03">
        <w:rPr>
          <w:vertAlign w:val="subscript"/>
        </w:rPr>
        <w:t>4</w:t>
      </w:r>
      <w:r w:rsidRPr="00ED2D03">
        <w:t>C</w:t>
      </w:r>
      <w:r w:rsidRPr="00ED2D03">
        <w:rPr>
          <w:vertAlign w:val="subscript"/>
        </w:rPr>
        <w:t>1</w:t>
      </w:r>
      <w:r w:rsidRPr="00ED2D03">
        <w:t xml:space="preserve">mim]Cl, </w:t>
      </w:r>
      <w:r w:rsidRPr="00ED2D03">
        <w:rPr>
          <w:szCs w:val="24"/>
        </w:rPr>
        <w:t>(</w:t>
      </w:r>
      <w:r w:rsidRPr="004C6A76">
        <w:rPr>
          <w:rFonts w:ascii="Wide Latin" w:hAnsi="Wide Latin"/>
          <w:color w:val="00B050"/>
          <w:szCs w:val="24"/>
        </w:rPr>
        <w:t>-</w:t>
      </w:r>
      <w:r w:rsidRPr="00ED2D03">
        <w:rPr>
          <w:szCs w:val="24"/>
        </w:rPr>
        <w:t xml:space="preserve">) </w:t>
      </w:r>
      <w:r w:rsidRPr="00ED2D03">
        <w:t>[C</w:t>
      </w:r>
      <w:r w:rsidRPr="00ED2D03">
        <w:rPr>
          <w:vertAlign w:val="subscript"/>
        </w:rPr>
        <w:t>4</w:t>
      </w:r>
      <w:r w:rsidRPr="00ED2D03">
        <w:t>C</w:t>
      </w:r>
      <w:r w:rsidRPr="00ED2D03">
        <w:rPr>
          <w:vertAlign w:val="subscript"/>
        </w:rPr>
        <w:t>1</w:t>
      </w:r>
      <w:r w:rsidRPr="00ED2D03">
        <w:t>pyrr]Cl, (</w:t>
      </w:r>
      <w:r w:rsidRPr="004C6A76">
        <w:rPr>
          <w:color w:val="FF0000"/>
        </w:rPr>
        <w:sym w:font="Webdings" w:char="F072"/>
      </w:r>
      <w:r w:rsidRPr="00ED2D03">
        <w:t xml:space="preserve">) </w:t>
      </w:r>
      <w:r w:rsidRPr="00ED2D03">
        <w:rPr>
          <w:szCs w:val="24"/>
        </w:rPr>
        <w:t>[N</w:t>
      </w:r>
      <w:r w:rsidRPr="00ED2D03">
        <w:rPr>
          <w:szCs w:val="24"/>
          <w:vertAlign w:val="subscript"/>
        </w:rPr>
        <w:t>1,1,1,2(OH)</w:t>
      </w:r>
      <w:r>
        <w:rPr>
          <w:szCs w:val="24"/>
        </w:rPr>
        <w:t>]Cl and</w:t>
      </w:r>
      <w:r w:rsidRPr="00ED2D03">
        <w:rPr>
          <w:szCs w:val="24"/>
        </w:rPr>
        <w:t xml:space="preserve"> (</w:t>
      </w:r>
      <w:r w:rsidRPr="00ED2D03">
        <w:rPr>
          <w:color w:val="BFBFBF"/>
          <w:szCs w:val="24"/>
        </w:rPr>
        <w:sym w:font="Wingdings 3" w:char="F070"/>
      </w:r>
      <w:r w:rsidRPr="00ED2D03">
        <w:rPr>
          <w:szCs w:val="24"/>
        </w:rPr>
        <w:t xml:space="preserve">) Na[SCN]. </w:t>
      </w:r>
      <w:r w:rsidRPr="00B65B93">
        <w:rPr>
          <w:i/>
          <w:szCs w:val="24"/>
        </w:rPr>
        <w:t>S</w:t>
      </w:r>
      <w:r>
        <w:rPr>
          <w:szCs w:val="24"/>
        </w:rPr>
        <w:t xml:space="preserve"> and </w:t>
      </w:r>
      <w:r w:rsidRPr="00B65B93">
        <w:rPr>
          <w:i/>
          <w:szCs w:val="24"/>
        </w:rPr>
        <w:t>S</w:t>
      </w:r>
      <w:r w:rsidRPr="00B65B93">
        <w:rPr>
          <w:szCs w:val="24"/>
          <w:vertAlign w:val="subscript"/>
        </w:rPr>
        <w:t>0</w:t>
      </w:r>
      <w:r>
        <w:rPr>
          <w:szCs w:val="24"/>
        </w:rPr>
        <w:t xml:space="preserve"> represent the solubility of the drug in aqueous solution of the hydrotrope and in water, respectively. Lines are guides for the eye. </w:t>
      </w:r>
      <w:r>
        <w:t xml:space="preserve"> </w:t>
      </w:r>
    </w:p>
    <w:p w14:paraId="1DED66A2" w14:textId="77777777" w:rsidR="003F68DD" w:rsidRPr="0082055F" w:rsidRDefault="003F68DD" w:rsidP="003F68DD">
      <w:pPr>
        <w:pStyle w:val="RSCT02Tabletitlewithouttopbar"/>
      </w:pPr>
      <w:bookmarkStart w:id="1" w:name="_Ref473899979"/>
      <w:bookmarkStart w:id="2" w:name="_Toc478146234"/>
      <w:r w:rsidRPr="0082055F">
        <w:rPr>
          <w:b/>
        </w:rPr>
        <w:t xml:space="preserve">Table </w:t>
      </w:r>
      <w:bookmarkEnd w:id="1"/>
      <w:r w:rsidRPr="0082055F">
        <w:rPr>
          <w:b/>
        </w:rPr>
        <w:t>2.</w:t>
      </w:r>
      <w:r w:rsidRPr="0082055F">
        <w:t xml:space="preserve"> </w:t>
      </w:r>
      <w:r w:rsidRPr="0082055F">
        <w:rPr>
          <w:i/>
        </w:rPr>
        <w:t>K</w:t>
      </w:r>
      <w:r w:rsidRPr="0082055F">
        <w:rPr>
          <w:vertAlign w:val="subscript"/>
        </w:rPr>
        <w:t>Hyd</w:t>
      </w:r>
      <w:r w:rsidRPr="0082055F">
        <w:t xml:space="preserve"> values for the several hydrotropes analysed in the solubility of ibuprofen at (303.1 ± 0.5) K.</w:t>
      </w:r>
      <w:bookmarkEnd w:id="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2154"/>
      </w:tblGrid>
      <w:tr w:rsidR="00C34673" w14:paraId="6244EFAB" w14:textId="77777777" w:rsidTr="0070795A">
        <w:trPr>
          <w:trHeight w:val="340"/>
          <w:jc w:val="center"/>
        </w:trPr>
        <w:tc>
          <w:tcPr>
            <w:tcW w:w="2154" w:type="dxa"/>
            <w:tcBorders>
              <w:bottom w:val="single" w:sz="4" w:space="0" w:color="auto"/>
            </w:tcBorders>
          </w:tcPr>
          <w:p w14:paraId="37872746" w14:textId="77777777" w:rsidR="00C34673" w:rsidRDefault="00C34673" w:rsidP="00C34673">
            <w:pPr>
              <w:pStyle w:val="RSCT03TableBody"/>
              <w:jc w:val="left"/>
            </w:pPr>
            <w:r>
              <w:t>Hydrotrope</w:t>
            </w:r>
          </w:p>
        </w:tc>
        <w:tc>
          <w:tcPr>
            <w:tcW w:w="2154" w:type="dxa"/>
            <w:tcBorders>
              <w:bottom w:val="single" w:sz="4" w:space="0" w:color="auto"/>
            </w:tcBorders>
          </w:tcPr>
          <w:p w14:paraId="56FA7AC6" w14:textId="54DA1768" w:rsidR="00C34673" w:rsidRDefault="00C34673">
            <w:pPr>
              <w:pStyle w:val="RSCT03TableBody"/>
            </w:pPr>
            <w:r w:rsidRPr="006400D9">
              <w:rPr>
                <w:rFonts w:ascii="Calibri" w:eastAsia="Calibri" w:hAnsi="Calibri"/>
                <w:i/>
              </w:rPr>
              <w:t>K</w:t>
            </w:r>
            <w:r w:rsidRPr="006400D9">
              <w:rPr>
                <w:rFonts w:ascii="Calibri" w:eastAsia="Calibri" w:hAnsi="Calibri"/>
                <w:vertAlign w:val="subscript"/>
              </w:rPr>
              <w:t>Hyd</w:t>
            </w:r>
            <w:r w:rsidRPr="006400D9">
              <w:rPr>
                <w:rFonts w:ascii="Calibri" w:eastAsia="Calibri" w:hAnsi="Calibri"/>
              </w:rPr>
              <w:t xml:space="preserve"> (kg</w:t>
            </w:r>
            <w:r w:rsidRPr="006400D9">
              <w:rPr>
                <w:rFonts w:ascii="Calibri" w:eastAsia="Calibri" w:hAnsi="Calibri"/>
                <w:vertAlign w:val="subscript"/>
              </w:rPr>
              <w:t>water</w:t>
            </w:r>
            <w:r w:rsidR="00A32409">
              <w:rPr>
                <w:rFonts w:cs="Calibri"/>
              </w:rPr>
              <w:t>∙</w:t>
            </w:r>
            <w:r w:rsidRPr="006400D9">
              <w:rPr>
                <w:rFonts w:ascii="Calibri" w:eastAsia="Calibri" w:hAnsi="Calibri"/>
              </w:rPr>
              <w:t>mol</w:t>
            </w:r>
            <w:r w:rsidRPr="006400D9">
              <w:rPr>
                <w:rFonts w:ascii="Calibri" w:eastAsia="Calibri" w:hAnsi="Calibri"/>
                <w:vertAlign w:val="subscript"/>
              </w:rPr>
              <w:t>Hyd</w:t>
            </w:r>
            <w:r w:rsidRPr="006400D9">
              <w:rPr>
                <w:rFonts w:ascii="Calibri" w:eastAsia="Calibri" w:hAnsi="Calibri"/>
                <w:vertAlign w:val="superscript"/>
              </w:rPr>
              <w:t>-1</w:t>
            </w:r>
            <w:r w:rsidRPr="006400D9">
              <w:rPr>
                <w:rFonts w:ascii="Calibri" w:eastAsia="Calibri" w:hAnsi="Calibri"/>
              </w:rPr>
              <w:t xml:space="preserve">) ± </w:t>
            </w:r>
            <w:r w:rsidRPr="006400D9">
              <w:rPr>
                <w:rFonts w:ascii="Calibri" w:eastAsia="Calibri" w:hAnsi="Calibri"/>
                <w:i/>
              </w:rPr>
              <w:t>σ</w:t>
            </w:r>
          </w:p>
        </w:tc>
      </w:tr>
      <w:tr w:rsidR="00C34673" w14:paraId="398E4B22" w14:textId="77777777" w:rsidTr="0070795A">
        <w:trPr>
          <w:trHeight w:val="227"/>
          <w:jc w:val="center"/>
        </w:trPr>
        <w:tc>
          <w:tcPr>
            <w:tcW w:w="2154" w:type="dxa"/>
            <w:tcBorders>
              <w:top w:val="single" w:sz="4" w:space="0" w:color="auto"/>
            </w:tcBorders>
            <w:vAlign w:val="center"/>
          </w:tcPr>
          <w:p w14:paraId="09AB68FD"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im][N(CN)</w:t>
            </w:r>
            <w:r w:rsidRPr="0070795A">
              <w:rPr>
                <w:rFonts w:ascii="Calibri" w:eastAsia="Calibri" w:hAnsi="Calibri"/>
                <w:vertAlign w:val="subscript"/>
              </w:rPr>
              <w:t>2</w:t>
            </w:r>
            <w:r w:rsidRPr="0070795A">
              <w:rPr>
                <w:rFonts w:ascii="Calibri" w:eastAsia="Calibri" w:hAnsi="Calibri"/>
              </w:rPr>
              <w:t>]</w:t>
            </w:r>
          </w:p>
        </w:tc>
        <w:tc>
          <w:tcPr>
            <w:tcW w:w="2154" w:type="dxa"/>
            <w:tcBorders>
              <w:top w:val="single" w:sz="4" w:space="0" w:color="auto"/>
            </w:tcBorders>
            <w:vAlign w:val="center"/>
          </w:tcPr>
          <w:p w14:paraId="0FE75AAD" w14:textId="3E85ABB6" w:rsidR="00C34673" w:rsidRPr="0070795A" w:rsidRDefault="00C34673" w:rsidP="00C34673">
            <w:pPr>
              <w:pStyle w:val="RSCT03TableBody"/>
              <w:rPr>
                <w:rFonts w:ascii="Calibri" w:eastAsia="Calibri" w:hAnsi="Calibri"/>
              </w:rPr>
            </w:pPr>
            <w:r w:rsidRPr="0070795A">
              <w:rPr>
                <w:rFonts w:ascii="Calibri" w:eastAsia="Calibri" w:hAnsi="Calibri"/>
              </w:rPr>
              <w:t>87.</w:t>
            </w:r>
            <w:r w:rsidR="00A864F4">
              <w:rPr>
                <w:rFonts w:ascii="Calibri" w:eastAsia="Calibri" w:hAnsi="Calibri"/>
              </w:rPr>
              <w:t>2</w:t>
            </w:r>
            <w:r w:rsidRPr="0070795A">
              <w:rPr>
                <w:rFonts w:ascii="Calibri" w:eastAsia="Calibri" w:hAnsi="Calibri"/>
              </w:rPr>
              <w:t xml:space="preserve"> ± 5.0</w:t>
            </w:r>
          </w:p>
        </w:tc>
      </w:tr>
      <w:tr w:rsidR="00C34673" w14:paraId="28109BC2" w14:textId="77777777" w:rsidTr="0070795A">
        <w:trPr>
          <w:trHeight w:val="227"/>
          <w:jc w:val="center"/>
        </w:trPr>
        <w:tc>
          <w:tcPr>
            <w:tcW w:w="2154" w:type="dxa"/>
            <w:vAlign w:val="center"/>
          </w:tcPr>
          <w:p w14:paraId="22E5183E"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im][SCN]</w:t>
            </w:r>
          </w:p>
        </w:tc>
        <w:tc>
          <w:tcPr>
            <w:tcW w:w="2154" w:type="dxa"/>
            <w:vAlign w:val="center"/>
          </w:tcPr>
          <w:p w14:paraId="49DFC18A" w14:textId="05B24F34" w:rsidR="00C34673" w:rsidRPr="0070795A" w:rsidRDefault="00C34673" w:rsidP="00C34673">
            <w:pPr>
              <w:pStyle w:val="RSCT03TableBody"/>
              <w:rPr>
                <w:rFonts w:ascii="Calibri" w:eastAsia="Calibri" w:hAnsi="Calibri"/>
              </w:rPr>
            </w:pPr>
            <w:r w:rsidRPr="0070795A">
              <w:rPr>
                <w:rFonts w:ascii="Calibri" w:eastAsia="Calibri" w:hAnsi="Calibri"/>
              </w:rPr>
              <w:t>43.4 ± 1.7</w:t>
            </w:r>
          </w:p>
        </w:tc>
      </w:tr>
      <w:tr w:rsidR="00C34673" w14:paraId="2EF37386" w14:textId="77777777" w:rsidTr="0070795A">
        <w:trPr>
          <w:trHeight w:val="227"/>
          <w:jc w:val="center"/>
        </w:trPr>
        <w:tc>
          <w:tcPr>
            <w:tcW w:w="2154" w:type="dxa"/>
            <w:vAlign w:val="center"/>
          </w:tcPr>
          <w:p w14:paraId="2034260A"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im][TOS]</w:t>
            </w:r>
          </w:p>
        </w:tc>
        <w:tc>
          <w:tcPr>
            <w:tcW w:w="2154" w:type="dxa"/>
            <w:vAlign w:val="center"/>
          </w:tcPr>
          <w:p w14:paraId="0BA408D4" w14:textId="2C6B7FF6" w:rsidR="00C34673" w:rsidRPr="0070795A" w:rsidRDefault="00C34673" w:rsidP="00C34673">
            <w:pPr>
              <w:pStyle w:val="RSCT03TableBody"/>
              <w:rPr>
                <w:rFonts w:ascii="Calibri" w:eastAsia="Calibri" w:hAnsi="Calibri"/>
              </w:rPr>
            </w:pPr>
            <w:r w:rsidRPr="0070795A">
              <w:rPr>
                <w:rFonts w:ascii="Calibri" w:eastAsia="Calibri" w:hAnsi="Calibri"/>
              </w:rPr>
              <w:t>28.9 ± 5.</w:t>
            </w:r>
            <w:r w:rsidR="00A864F4">
              <w:rPr>
                <w:rFonts w:ascii="Calibri" w:eastAsia="Calibri" w:hAnsi="Calibri"/>
              </w:rPr>
              <w:t>8</w:t>
            </w:r>
          </w:p>
        </w:tc>
      </w:tr>
      <w:tr w:rsidR="00C34673" w14:paraId="19E22191" w14:textId="77777777" w:rsidTr="0070795A">
        <w:trPr>
          <w:trHeight w:val="227"/>
          <w:jc w:val="center"/>
        </w:trPr>
        <w:tc>
          <w:tcPr>
            <w:tcW w:w="2154" w:type="dxa"/>
            <w:vAlign w:val="center"/>
          </w:tcPr>
          <w:p w14:paraId="4CA3B299"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im]Cl</w:t>
            </w:r>
          </w:p>
        </w:tc>
        <w:tc>
          <w:tcPr>
            <w:tcW w:w="2154" w:type="dxa"/>
            <w:vAlign w:val="center"/>
          </w:tcPr>
          <w:p w14:paraId="3F076608" w14:textId="35194981" w:rsidR="00C34673" w:rsidRPr="0070795A" w:rsidRDefault="00C34673" w:rsidP="00BB139C">
            <w:pPr>
              <w:pStyle w:val="RSCT03TableBody"/>
              <w:rPr>
                <w:rFonts w:ascii="Calibri" w:eastAsia="Calibri" w:hAnsi="Calibri"/>
              </w:rPr>
            </w:pPr>
            <w:r w:rsidRPr="0070795A">
              <w:rPr>
                <w:rFonts w:ascii="Calibri" w:eastAsia="Calibri" w:hAnsi="Calibri"/>
              </w:rPr>
              <w:t>3.6 ± 0.1</w:t>
            </w:r>
          </w:p>
        </w:tc>
      </w:tr>
      <w:tr w:rsidR="00C34673" w14:paraId="280A7BC9" w14:textId="77777777" w:rsidTr="0070795A">
        <w:trPr>
          <w:trHeight w:val="227"/>
          <w:jc w:val="center"/>
        </w:trPr>
        <w:tc>
          <w:tcPr>
            <w:tcW w:w="2154" w:type="dxa"/>
            <w:vAlign w:val="center"/>
          </w:tcPr>
          <w:p w14:paraId="132E774B"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py]Cl</w:t>
            </w:r>
          </w:p>
        </w:tc>
        <w:tc>
          <w:tcPr>
            <w:tcW w:w="2154" w:type="dxa"/>
            <w:vAlign w:val="center"/>
          </w:tcPr>
          <w:p w14:paraId="78A333E3" w14:textId="3D28E966" w:rsidR="00C34673" w:rsidRPr="0070795A" w:rsidRDefault="00C34673" w:rsidP="00BB139C">
            <w:pPr>
              <w:pStyle w:val="RSCT03TableBody"/>
              <w:rPr>
                <w:rFonts w:ascii="Calibri" w:eastAsia="Calibri" w:hAnsi="Calibri"/>
              </w:rPr>
            </w:pPr>
            <w:r w:rsidRPr="0070795A">
              <w:rPr>
                <w:rFonts w:ascii="Calibri" w:eastAsia="Calibri" w:hAnsi="Calibri"/>
              </w:rPr>
              <w:t>4.</w:t>
            </w:r>
            <w:r w:rsidR="00BB139C">
              <w:rPr>
                <w:rFonts w:ascii="Calibri" w:eastAsia="Calibri" w:hAnsi="Calibri"/>
              </w:rPr>
              <w:t>2 ± 0.4</w:t>
            </w:r>
          </w:p>
        </w:tc>
      </w:tr>
      <w:tr w:rsidR="00C34673" w14:paraId="30848CD8" w14:textId="77777777" w:rsidTr="0070795A">
        <w:trPr>
          <w:trHeight w:val="227"/>
          <w:jc w:val="center"/>
        </w:trPr>
        <w:tc>
          <w:tcPr>
            <w:tcW w:w="2154" w:type="dxa"/>
            <w:vAlign w:val="center"/>
          </w:tcPr>
          <w:p w14:paraId="353B8C49"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pip]Cl</w:t>
            </w:r>
          </w:p>
        </w:tc>
        <w:tc>
          <w:tcPr>
            <w:tcW w:w="2154" w:type="dxa"/>
            <w:vAlign w:val="center"/>
          </w:tcPr>
          <w:p w14:paraId="4881A42F" w14:textId="52F4ACAA" w:rsidR="00C34673" w:rsidRPr="0070795A" w:rsidRDefault="00BB139C" w:rsidP="00BB139C">
            <w:pPr>
              <w:pStyle w:val="RSCT03TableBody"/>
              <w:rPr>
                <w:rFonts w:ascii="Calibri" w:eastAsia="Calibri" w:hAnsi="Calibri"/>
              </w:rPr>
            </w:pPr>
            <w:r>
              <w:rPr>
                <w:rFonts w:ascii="Calibri" w:eastAsia="Calibri" w:hAnsi="Calibri"/>
              </w:rPr>
              <w:t>3.8</w:t>
            </w:r>
            <w:r w:rsidR="00C34673" w:rsidRPr="0070795A">
              <w:rPr>
                <w:rFonts w:ascii="Calibri" w:eastAsia="Calibri" w:hAnsi="Calibri"/>
              </w:rPr>
              <w:t xml:space="preserve"> ± 0.1</w:t>
            </w:r>
          </w:p>
        </w:tc>
      </w:tr>
      <w:tr w:rsidR="00C34673" w14:paraId="5563BE1B" w14:textId="77777777" w:rsidTr="0070795A">
        <w:trPr>
          <w:trHeight w:val="227"/>
          <w:jc w:val="center"/>
        </w:trPr>
        <w:tc>
          <w:tcPr>
            <w:tcW w:w="2154" w:type="dxa"/>
            <w:vAlign w:val="center"/>
          </w:tcPr>
          <w:p w14:paraId="681C1847"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[C</w:t>
            </w:r>
            <w:r w:rsidRPr="0070795A">
              <w:rPr>
                <w:rFonts w:ascii="Calibri" w:eastAsia="Calibri" w:hAnsi="Calibri"/>
                <w:vertAlign w:val="subscript"/>
              </w:rPr>
              <w:t>4</w:t>
            </w:r>
            <w:r w:rsidRPr="0070795A">
              <w:rPr>
                <w:rFonts w:ascii="Calibri" w:eastAsia="Calibri" w:hAnsi="Calibri"/>
              </w:rPr>
              <w:t>C</w:t>
            </w:r>
            <w:r w:rsidRPr="0070795A">
              <w:rPr>
                <w:rFonts w:ascii="Calibri" w:eastAsia="Calibri" w:hAnsi="Calibri"/>
                <w:vertAlign w:val="subscript"/>
              </w:rPr>
              <w:t>1</w:t>
            </w:r>
            <w:r w:rsidRPr="0070795A">
              <w:rPr>
                <w:rFonts w:ascii="Calibri" w:eastAsia="Calibri" w:hAnsi="Calibri"/>
              </w:rPr>
              <w:t>pyrr]Cl</w:t>
            </w:r>
          </w:p>
        </w:tc>
        <w:tc>
          <w:tcPr>
            <w:tcW w:w="2154" w:type="dxa"/>
            <w:vAlign w:val="center"/>
          </w:tcPr>
          <w:p w14:paraId="18DC4585" w14:textId="429B4531" w:rsidR="00C34673" w:rsidRPr="0070795A" w:rsidRDefault="00C34673" w:rsidP="00BB139C">
            <w:pPr>
              <w:pStyle w:val="RSCT03TableBody"/>
              <w:rPr>
                <w:rFonts w:ascii="Calibri" w:eastAsia="Calibri" w:hAnsi="Calibri"/>
              </w:rPr>
            </w:pPr>
            <w:r w:rsidRPr="0070795A">
              <w:rPr>
                <w:rFonts w:ascii="Calibri" w:eastAsia="Calibri" w:hAnsi="Calibri"/>
              </w:rPr>
              <w:t>3.0 ± 0.1</w:t>
            </w:r>
          </w:p>
        </w:tc>
      </w:tr>
      <w:tr w:rsidR="00C34673" w:rsidRPr="00BB139C" w14:paraId="3822A02F" w14:textId="77777777" w:rsidTr="0070795A">
        <w:trPr>
          <w:trHeight w:val="227"/>
          <w:jc w:val="center"/>
        </w:trPr>
        <w:tc>
          <w:tcPr>
            <w:tcW w:w="2154" w:type="dxa"/>
            <w:vAlign w:val="center"/>
          </w:tcPr>
          <w:p w14:paraId="6E80F3E3" w14:textId="77777777" w:rsidR="00C34673" w:rsidRPr="0070795A" w:rsidRDefault="00C34673" w:rsidP="00C34673">
            <w:pPr>
              <w:pStyle w:val="RSCT03TableBody"/>
              <w:jc w:val="left"/>
              <w:rPr>
                <w:rFonts w:ascii="Calibri" w:eastAsia="Calibri" w:hAnsi="Calibri"/>
              </w:rPr>
            </w:pPr>
            <w:r w:rsidRPr="0070795A">
              <w:rPr>
                <w:rFonts w:ascii="Calibri" w:eastAsia="Calibri" w:hAnsi="Calibri"/>
              </w:rPr>
              <w:t>[P</w:t>
            </w:r>
            <w:r w:rsidRPr="0070795A">
              <w:rPr>
                <w:rFonts w:ascii="Calibri" w:eastAsia="Calibri" w:hAnsi="Calibri"/>
                <w:vertAlign w:val="subscript"/>
              </w:rPr>
              <w:t>4,4,4,4</w:t>
            </w:r>
            <w:r w:rsidRPr="0070795A">
              <w:rPr>
                <w:rFonts w:ascii="Calibri" w:eastAsia="Calibri" w:hAnsi="Calibri"/>
              </w:rPr>
              <w:t>]Cl</w:t>
            </w:r>
          </w:p>
        </w:tc>
        <w:tc>
          <w:tcPr>
            <w:tcW w:w="2154" w:type="dxa"/>
            <w:vAlign w:val="center"/>
          </w:tcPr>
          <w:p w14:paraId="641942C0" w14:textId="371E153A" w:rsidR="00C34673" w:rsidRPr="00BB139C" w:rsidRDefault="00BB139C" w:rsidP="00BB139C">
            <w:pPr>
              <w:pStyle w:val="RSCT03TableBody"/>
              <w:rPr>
                <w:rFonts w:ascii="Calibri" w:eastAsia="Calibri" w:hAnsi="Calibri"/>
                <w:lang w:val="pt-PT"/>
              </w:rPr>
            </w:pPr>
            <w:r w:rsidRPr="00BB139C">
              <w:rPr>
                <w:rFonts w:ascii="Calibri" w:eastAsia="Calibri" w:hAnsi="Calibri"/>
                <w:lang w:val="pt-PT"/>
              </w:rPr>
              <w:t>20.</w:t>
            </w:r>
            <w:r>
              <w:rPr>
                <w:rFonts w:ascii="Calibri" w:eastAsia="Calibri" w:hAnsi="Calibri"/>
                <w:lang w:val="pt-PT"/>
              </w:rPr>
              <w:t>0 ± 3.5</w:t>
            </w:r>
          </w:p>
        </w:tc>
      </w:tr>
      <w:tr w:rsidR="00C34673" w:rsidRPr="00BB139C" w14:paraId="4488C565" w14:textId="77777777" w:rsidTr="0070795A">
        <w:trPr>
          <w:trHeight w:val="227"/>
          <w:jc w:val="center"/>
        </w:trPr>
        <w:tc>
          <w:tcPr>
            <w:tcW w:w="2154" w:type="dxa"/>
            <w:vAlign w:val="center"/>
          </w:tcPr>
          <w:p w14:paraId="2367FC26" w14:textId="77777777" w:rsidR="00C34673" w:rsidRPr="00BB139C" w:rsidRDefault="00C34673" w:rsidP="00C34673">
            <w:pPr>
              <w:pStyle w:val="RSCT03TableBody"/>
              <w:jc w:val="left"/>
              <w:rPr>
                <w:rFonts w:ascii="Calibri" w:eastAsia="Calibri" w:hAnsi="Calibri"/>
                <w:lang w:val="pt-PT"/>
              </w:rPr>
            </w:pPr>
            <w:r w:rsidRPr="00BB139C">
              <w:rPr>
                <w:rFonts w:ascii="Calibri" w:eastAsia="Calibri" w:hAnsi="Calibri"/>
                <w:lang w:val="pt-PT"/>
              </w:rPr>
              <w:t>[N</w:t>
            </w:r>
            <w:r w:rsidRPr="00BB139C">
              <w:rPr>
                <w:rFonts w:ascii="Calibri" w:eastAsia="Calibri" w:hAnsi="Calibri"/>
                <w:vertAlign w:val="subscript"/>
                <w:lang w:val="pt-PT"/>
              </w:rPr>
              <w:t>4,4,4,4</w:t>
            </w:r>
            <w:r w:rsidRPr="00BB139C">
              <w:rPr>
                <w:rFonts w:ascii="Calibri" w:eastAsia="Calibri" w:hAnsi="Calibri"/>
                <w:lang w:val="pt-PT"/>
              </w:rPr>
              <w:t>]Cl</w:t>
            </w:r>
          </w:p>
        </w:tc>
        <w:tc>
          <w:tcPr>
            <w:tcW w:w="2154" w:type="dxa"/>
            <w:vAlign w:val="center"/>
          </w:tcPr>
          <w:p w14:paraId="674105CF" w14:textId="23E7FB8A" w:rsidR="00C34673" w:rsidRPr="00BB139C" w:rsidRDefault="00BB139C" w:rsidP="00BB139C">
            <w:pPr>
              <w:pStyle w:val="RSCT03TableBody"/>
              <w:rPr>
                <w:rFonts w:ascii="Calibri" w:eastAsia="Calibri" w:hAnsi="Calibri"/>
                <w:lang w:val="pt-PT"/>
              </w:rPr>
            </w:pPr>
            <w:r>
              <w:rPr>
                <w:rFonts w:ascii="Calibri" w:eastAsia="Calibri" w:hAnsi="Calibri"/>
                <w:lang w:val="pt-PT"/>
              </w:rPr>
              <w:t>10.7</w:t>
            </w:r>
            <w:r w:rsidR="00C34673" w:rsidRPr="00BB139C">
              <w:rPr>
                <w:rFonts w:ascii="Calibri" w:eastAsia="Calibri" w:hAnsi="Calibri"/>
                <w:lang w:val="pt-PT"/>
              </w:rPr>
              <w:t xml:space="preserve"> ± 1.</w:t>
            </w:r>
            <w:r>
              <w:rPr>
                <w:rFonts w:ascii="Calibri" w:eastAsia="Calibri" w:hAnsi="Calibri"/>
                <w:lang w:val="pt-PT"/>
              </w:rPr>
              <w:t>9</w:t>
            </w:r>
          </w:p>
        </w:tc>
      </w:tr>
      <w:tr w:rsidR="00C34673" w:rsidRPr="00BB139C" w14:paraId="3293C596" w14:textId="77777777" w:rsidTr="0070795A">
        <w:trPr>
          <w:trHeight w:val="227"/>
          <w:jc w:val="center"/>
        </w:trPr>
        <w:tc>
          <w:tcPr>
            <w:tcW w:w="2154" w:type="dxa"/>
            <w:vAlign w:val="center"/>
          </w:tcPr>
          <w:p w14:paraId="4E097C72" w14:textId="77777777" w:rsidR="00C34673" w:rsidRPr="0070795A" w:rsidRDefault="00C34673" w:rsidP="00C34673">
            <w:pPr>
              <w:pStyle w:val="RSCT03TableBody"/>
              <w:jc w:val="left"/>
              <w:rPr>
                <w:rFonts w:ascii="Calibri" w:eastAsia="Calibri" w:hAnsi="Calibri"/>
                <w:lang w:val="pt-PT"/>
              </w:rPr>
            </w:pPr>
            <w:r w:rsidRPr="0070795A">
              <w:rPr>
                <w:rFonts w:ascii="Calibri" w:eastAsia="Calibri" w:hAnsi="Calibri"/>
                <w:lang w:val="pt-PT"/>
              </w:rPr>
              <w:t>[N</w:t>
            </w:r>
            <w:r w:rsidRPr="0070795A">
              <w:rPr>
                <w:rFonts w:ascii="Calibri" w:eastAsia="Calibri" w:hAnsi="Calibri"/>
                <w:vertAlign w:val="subscript"/>
                <w:lang w:val="pt-PT"/>
              </w:rPr>
              <w:t>1,1,1,2(OH)</w:t>
            </w:r>
            <w:r w:rsidRPr="0070795A">
              <w:rPr>
                <w:rFonts w:ascii="Calibri" w:eastAsia="Calibri" w:hAnsi="Calibri"/>
                <w:lang w:val="pt-PT"/>
              </w:rPr>
              <w:t>]Cl</w:t>
            </w:r>
          </w:p>
        </w:tc>
        <w:tc>
          <w:tcPr>
            <w:tcW w:w="2154" w:type="dxa"/>
            <w:vAlign w:val="center"/>
          </w:tcPr>
          <w:p w14:paraId="5CF80990" w14:textId="54E2C2BA" w:rsidR="00C34673" w:rsidRPr="0070795A" w:rsidRDefault="00BB139C" w:rsidP="00BB139C">
            <w:pPr>
              <w:pStyle w:val="RSCT03TableBody"/>
              <w:rPr>
                <w:rFonts w:ascii="Calibri" w:eastAsia="Calibri" w:hAnsi="Calibri"/>
                <w:lang w:val="pt-PT"/>
              </w:rPr>
            </w:pPr>
            <w:r>
              <w:rPr>
                <w:rFonts w:ascii="Calibri" w:eastAsia="Calibri" w:hAnsi="Calibri"/>
                <w:lang w:val="pt-PT"/>
              </w:rPr>
              <w:t>(7.1 ± 0.7) × 10</w:t>
            </w:r>
            <w:r w:rsidRPr="00BB139C">
              <w:rPr>
                <w:rFonts w:ascii="Calibri" w:eastAsia="Calibri" w:hAnsi="Calibri"/>
                <w:vertAlign w:val="superscript"/>
                <w:lang w:val="pt-PT"/>
              </w:rPr>
              <w:t>-1</w:t>
            </w:r>
          </w:p>
        </w:tc>
      </w:tr>
      <w:tr w:rsidR="00C34673" w:rsidRPr="00BB139C" w14:paraId="5F80453E" w14:textId="77777777" w:rsidTr="0070795A">
        <w:trPr>
          <w:trHeight w:val="227"/>
          <w:jc w:val="center"/>
        </w:trPr>
        <w:tc>
          <w:tcPr>
            <w:tcW w:w="2154" w:type="dxa"/>
            <w:vAlign w:val="center"/>
          </w:tcPr>
          <w:p w14:paraId="6A0FD106" w14:textId="77777777" w:rsidR="00C34673" w:rsidRPr="0070795A" w:rsidRDefault="00C34673" w:rsidP="00C34673">
            <w:pPr>
              <w:pStyle w:val="RSCT03TableBody"/>
              <w:jc w:val="left"/>
              <w:rPr>
                <w:rFonts w:ascii="Calibri" w:eastAsia="Calibri" w:hAnsi="Calibri"/>
                <w:lang w:val="pt-PT"/>
              </w:rPr>
            </w:pPr>
            <w:r w:rsidRPr="0070795A">
              <w:rPr>
                <w:rFonts w:ascii="Calibri" w:eastAsia="Calibri" w:hAnsi="Calibri"/>
                <w:lang w:val="pt-PT"/>
              </w:rPr>
              <w:t>Na[N(CN)</w:t>
            </w:r>
            <w:r w:rsidRPr="0070795A">
              <w:rPr>
                <w:rFonts w:ascii="Calibri" w:eastAsia="Calibri" w:hAnsi="Calibri"/>
                <w:vertAlign w:val="subscript"/>
                <w:lang w:val="pt-PT"/>
              </w:rPr>
              <w:t>2</w:t>
            </w:r>
            <w:r w:rsidRPr="0070795A">
              <w:rPr>
                <w:rFonts w:ascii="Calibri" w:eastAsia="Calibri" w:hAnsi="Calibri"/>
                <w:lang w:val="pt-PT"/>
              </w:rPr>
              <w:t>]</w:t>
            </w:r>
          </w:p>
        </w:tc>
        <w:tc>
          <w:tcPr>
            <w:tcW w:w="2154" w:type="dxa"/>
            <w:vAlign w:val="center"/>
          </w:tcPr>
          <w:p w14:paraId="7BD2C298" w14:textId="15758937" w:rsidR="00C34673" w:rsidRPr="0070795A" w:rsidRDefault="00C34673" w:rsidP="00BB139C">
            <w:pPr>
              <w:pStyle w:val="RSCT03TableBody"/>
              <w:rPr>
                <w:rFonts w:ascii="Calibri" w:eastAsia="Calibri" w:hAnsi="Calibri"/>
                <w:lang w:val="pt-PT"/>
              </w:rPr>
            </w:pPr>
            <w:r w:rsidRPr="0070795A">
              <w:rPr>
                <w:rFonts w:ascii="Calibri" w:eastAsia="Calibri" w:hAnsi="Calibri"/>
                <w:lang w:val="pt-PT"/>
              </w:rPr>
              <w:t>14.</w:t>
            </w:r>
            <w:r w:rsidR="00BB139C">
              <w:rPr>
                <w:rFonts w:ascii="Calibri" w:eastAsia="Calibri" w:hAnsi="Calibri"/>
                <w:lang w:val="pt-PT"/>
              </w:rPr>
              <w:t>6</w:t>
            </w:r>
            <w:r w:rsidRPr="0070795A">
              <w:rPr>
                <w:rFonts w:ascii="Calibri" w:eastAsia="Calibri" w:hAnsi="Calibri"/>
                <w:lang w:val="pt-PT"/>
              </w:rPr>
              <w:t xml:space="preserve"> ± 1.2</w:t>
            </w:r>
          </w:p>
        </w:tc>
      </w:tr>
      <w:tr w:rsidR="00C34673" w:rsidRPr="00BB139C" w14:paraId="678FB0D4" w14:textId="77777777" w:rsidTr="0070795A">
        <w:trPr>
          <w:trHeight w:val="227"/>
          <w:jc w:val="center"/>
        </w:trPr>
        <w:tc>
          <w:tcPr>
            <w:tcW w:w="2154" w:type="dxa"/>
            <w:vAlign w:val="center"/>
          </w:tcPr>
          <w:p w14:paraId="56ED3776" w14:textId="77777777" w:rsidR="00C34673" w:rsidRPr="00BB139C" w:rsidRDefault="00C34673" w:rsidP="00C34673">
            <w:pPr>
              <w:pStyle w:val="RSCT03TableBody"/>
              <w:jc w:val="left"/>
              <w:rPr>
                <w:rFonts w:ascii="Calibri" w:eastAsia="Calibri" w:hAnsi="Calibri"/>
                <w:lang w:val="pt-PT"/>
              </w:rPr>
            </w:pPr>
            <w:r w:rsidRPr="00BB139C">
              <w:rPr>
                <w:rFonts w:ascii="Calibri" w:eastAsia="Calibri" w:hAnsi="Calibri"/>
                <w:lang w:val="pt-PT"/>
              </w:rPr>
              <w:t>Na[TOS]</w:t>
            </w:r>
          </w:p>
        </w:tc>
        <w:tc>
          <w:tcPr>
            <w:tcW w:w="2154" w:type="dxa"/>
            <w:vAlign w:val="center"/>
          </w:tcPr>
          <w:p w14:paraId="65757ED5" w14:textId="387BF1C4" w:rsidR="00C34673" w:rsidRPr="00BB139C" w:rsidRDefault="00BB139C" w:rsidP="00BB139C">
            <w:pPr>
              <w:pStyle w:val="RSCT03TableBody"/>
              <w:rPr>
                <w:rFonts w:ascii="Calibri" w:eastAsia="Calibri" w:hAnsi="Calibri"/>
                <w:lang w:val="pt-PT"/>
              </w:rPr>
            </w:pPr>
            <w:r>
              <w:rPr>
                <w:rFonts w:ascii="Calibri" w:eastAsia="Calibri" w:hAnsi="Calibri"/>
                <w:lang w:val="pt-PT"/>
              </w:rPr>
              <w:t>14.0</w:t>
            </w:r>
            <w:r w:rsidR="00C34673" w:rsidRPr="00BB139C">
              <w:rPr>
                <w:rFonts w:ascii="Calibri" w:eastAsia="Calibri" w:hAnsi="Calibri"/>
                <w:lang w:val="pt-PT"/>
              </w:rPr>
              <w:t xml:space="preserve"> ± 0.</w:t>
            </w:r>
            <w:r>
              <w:rPr>
                <w:rFonts w:ascii="Calibri" w:eastAsia="Calibri" w:hAnsi="Calibri"/>
                <w:lang w:val="pt-PT"/>
              </w:rPr>
              <w:t>3</w:t>
            </w:r>
          </w:p>
        </w:tc>
      </w:tr>
      <w:tr w:rsidR="00C34673" w14:paraId="578BF97B" w14:textId="77777777" w:rsidTr="0070795A">
        <w:trPr>
          <w:trHeight w:val="227"/>
          <w:jc w:val="center"/>
        </w:trPr>
        <w:tc>
          <w:tcPr>
            <w:tcW w:w="2154" w:type="dxa"/>
            <w:tcBorders>
              <w:bottom w:val="single" w:sz="4" w:space="0" w:color="auto"/>
            </w:tcBorders>
            <w:vAlign w:val="center"/>
          </w:tcPr>
          <w:p w14:paraId="0E7FB419" w14:textId="77777777" w:rsidR="00C34673" w:rsidRPr="00BB139C" w:rsidRDefault="00C34673" w:rsidP="00C34673">
            <w:pPr>
              <w:pStyle w:val="RSCT03TableBody"/>
              <w:jc w:val="left"/>
              <w:rPr>
                <w:rFonts w:ascii="Calibri" w:eastAsia="Calibri" w:hAnsi="Calibri"/>
                <w:lang w:val="pt-PT"/>
              </w:rPr>
            </w:pPr>
            <w:r w:rsidRPr="00BB139C">
              <w:rPr>
                <w:rFonts w:ascii="Calibri" w:eastAsia="Calibri" w:hAnsi="Calibri"/>
                <w:lang w:val="pt-PT"/>
              </w:rPr>
              <w:t>Na[SCN]</w:t>
            </w:r>
          </w:p>
        </w:tc>
        <w:tc>
          <w:tcPr>
            <w:tcW w:w="2154" w:type="dxa"/>
            <w:tcBorders>
              <w:bottom w:val="single" w:sz="4" w:space="0" w:color="auto"/>
            </w:tcBorders>
            <w:vAlign w:val="center"/>
          </w:tcPr>
          <w:p w14:paraId="542CD8F4" w14:textId="3C2D6711" w:rsidR="00C34673" w:rsidRPr="0070795A" w:rsidRDefault="00BB139C" w:rsidP="00BB139C">
            <w:pPr>
              <w:pStyle w:val="RSCT03TableBody"/>
              <w:rPr>
                <w:rFonts w:ascii="Calibri" w:eastAsia="Calibri" w:hAnsi="Calibri"/>
              </w:rPr>
            </w:pPr>
            <w:r>
              <w:rPr>
                <w:rFonts w:ascii="Calibri" w:eastAsia="Calibri" w:hAnsi="Calibri"/>
                <w:lang w:val="pt-PT"/>
              </w:rPr>
              <w:t>(-</w:t>
            </w:r>
            <w:r w:rsidR="00C34673" w:rsidRPr="00BB139C">
              <w:rPr>
                <w:rFonts w:ascii="Calibri" w:eastAsia="Calibri" w:hAnsi="Calibri"/>
                <w:lang w:val="pt-PT"/>
              </w:rPr>
              <w:t>8</w:t>
            </w:r>
            <w:r>
              <w:rPr>
                <w:rFonts w:ascii="Calibri" w:eastAsia="Calibri" w:hAnsi="Calibri"/>
                <w:lang w:val="pt-PT"/>
              </w:rPr>
              <w:t>.</w:t>
            </w:r>
            <w:r>
              <w:rPr>
                <w:rFonts w:ascii="Calibri" w:eastAsia="Calibri" w:hAnsi="Calibri"/>
              </w:rPr>
              <w:t xml:space="preserve">5 ± </w:t>
            </w:r>
            <w:r w:rsidR="00C34673" w:rsidRPr="0070795A">
              <w:rPr>
                <w:rFonts w:ascii="Calibri" w:eastAsia="Calibri" w:hAnsi="Calibri"/>
              </w:rPr>
              <w:t>2</w:t>
            </w:r>
            <w:r>
              <w:rPr>
                <w:rFonts w:ascii="Calibri" w:eastAsia="Calibri" w:hAnsi="Calibri"/>
              </w:rPr>
              <w:t>.</w:t>
            </w:r>
            <w:r w:rsidR="00C34673" w:rsidRPr="0070795A">
              <w:rPr>
                <w:rFonts w:ascii="Calibri" w:eastAsia="Calibri" w:hAnsi="Calibri"/>
              </w:rPr>
              <w:t>6</w:t>
            </w:r>
            <w:r>
              <w:rPr>
                <w:rFonts w:ascii="Calibri" w:eastAsia="Calibri" w:hAnsi="Calibri"/>
              </w:rPr>
              <w:t xml:space="preserve">) </w:t>
            </w:r>
            <w:r>
              <w:rPr>
                <w:rFonts w:ascii="Calibri" w:eastAsia="Calibri" w:hAnsi="Calibri"/>
                <w:lang w:val="pt-PT"/>
              </w:rPr>
              <w:t>× 10</w:t>
            </w:r>
            <w:r w:rsidRPr="00BB139C">
              <w:rPr>
                <w:rFonts w:ascii="Calibri" w:eastAsia="Calibri" w:hAnsi="Calibri"/>
                <w:vertAlign w:val="superscript"/>
                <w:lang w:val="pt-PT"/>
              </w:rPr>
              <w:t>-</w:t>
            </w:r>
            <w:r>
              <w:rPr>
                <w:rFonts w:ascii="Calibri" w:eastAsia="Calibri" w:hAnsi="Calibri"/>
                <w:vertAlign w:val="superscript"/>
                <w:lang w:val="pt-PT"/>
              </w:rPr>
              <w:t>2</w:t>
            </w:r>
          </w:p>
        </w:tc>
      </w:tr>
    </w:tbl>
    <w:p w14:paraId="2FEED2A7" w14:textId="77777777" w:rsidR="00C34673" w:rsidRDefault="00C34673" w:rsidP="00FA2DA2">
      <w:pPr>
        <w:pStyle w:val="RSCB08CHeadingIn-line"/>
      </w:pPr>
    </w:p>
    <w:p w14:paraId="78142AE1" w14:textId="77777777" w:rsidR="00456ACA" w:rsidRDefault="00456ACA" w:rsidP="00456ACA">
      <w:pPr>
        <w:pStyle w:val="RSCB02ArticleText"/>
      </w:pPr>
      <w:r>
        <w:t xml:space="preserve">This constant </w:t>
      </w:r>
      <w:r w:rsidRPr="00926938">
        <w:t>can be considered as a measure of the</w:t>
      </w:r>
      <w:r>
        <w:t xml:space="preserve"> </w:t>
      </w:r>
      <w:r w:rsidRPr="00926938">
        <w:t>effectiveness of a hydrotrope</w:t>
      </w:r>
      <w:r>
        <w:t>,</w:t>
      </w:r>
      <w:r w:rsidRPr="00926938">
        <w:t xml:space="preserve"> in other words,</w:t>
      </w:r>
      <w:r>
        <w:t xml:space="preserve"> the higher the constant, the higher its capacity to increase the solubility of a given compound in water. The ability of the various ILs and salts to act as a hydrotropes for ibuprofen increase in the following order: Na[SCN] &lt; </w:t>
      </w:r>
      <w:r w:rsidRPr="00675484">
        <w:t>[N</w:t>
      </w:r>
      <w:r w:rsidRPr="00675484">
        <w:rPr>
          <w:vertAlign w:val="subscript"/>
        </w:rPr>
        <w:t>1,1,1,2(OH)</w:t>
      </w:r>
      <w:r w:rsidRPr="00675484">
        <w:t>]Cl</w:t>
      </w:r>
      <w:r>
        <w:t xml:space="preserve"> &lt; </w:t>
      </w:r>
      <w:r w:rsidRPr="00675484">
        <w:t>[C</w:t>
      </w:r>
      <w:r w:rsidRPr="00675484">
        <w:rPr>
          <w:vertAlign w:val="subscript"/>
        </w:rPr>
        <w:t>4</w:t>
      </w:r>
      <w:r w:rsidRPr="00675484">
        <w:t>C</w:t>
      </w:r>
      <w:r w:rsidRPr="00675484">
        <w:rPr>
          <w:vertAlign w:val="subscript"/>
        </w:rPr>
        <w:t>1</w:t>
      </w:r>
      <w:r w:rsidRPr="00675484">
        <w:t>pyrr]Cl</w:t>
      </w:r>
      <w:r>
        <w:t xml:space="preserve"> &lt; </w:t>
      </w:r>
      <w:r w:rsidRPr="00675484">
        <w:t>[C</w:t>
      </w:r>
      <w:r w:rsidRPr="00675484">
        <w:rPr>
          <w:vertAlign w:val="subscript"/>
        </w:rPr>
        <w:t>4</w:t>
      </w:r>
      <w:r w:rsidRPr="00675484">
        <w:t>C</w:t>
      </w:r>
      <w:r w:rsidRPr="00675484">
        <w:rPr>
          <w:vertAlign w:val="subscript"/>
        </w:rPr>
        <w:t>1</w:t>
      </w:r>
      <w:r w:rsidRPr="00675484">
        <w:t>im]Cl</w:t>
      </w:r>
      <w:r>
        <w:t xml:space="preserve"> &lt; </w:t>
      </w:r>
      <w:r w:rsidRPr="00675484">
        <w:t>[C</w:t>
      </w:r>
      <w:r w:rsidRPr="00675484">
        <w:rPr>
          <w:vertAlign w:val="subscript"/>
        </w:rPr>
        <w:t>4</w:t>
      </w:r>
      <w:r w:rsidRPr="00675484">
        <w:t>C</w:t>
      </w:r>
      <w:r w:rsidRPr="00675484">
        <w:rPr>
          <w:vertAlign w:val="subscript"/>
        </w:rPr>
        <w:t>1</w:t>
      </w:r>
      <w:r w:rsidRPr="00675484">
        <w:t>pip]Cl</w:t>
      </w:r>
      <w:r>
        <w:t xml:space="preserve"> &lt; </w:t>
      </w:r>
      <w:r w:rsidRPr="00675484">
        <w:t>[C</w:t>
      </w:r>
      <w:r w:rsidRPr="00675484">
        <w:rPr>
          <w:vertAlign w:val="subscript"/>
        </w:rPr>
        <w:t>4</w:t>
      </w:r>
      <w:r w:rsidRPr="00675484">
        <w:t>C</w:t>
      </w:r>
      <w:r w:rsidRPr="00675484">
        <w:rPr>
          <w:vertAlign w:val="subscript"/>
        </w:rPr>
        <w:t>1</w:t>
      </w:r>
      <w:r w:rsidRPr="00675484">
        <w:t>py]Cl</w:t>
      </w:r>
      <w:r>
        <w:t xml:space="preserve"> &lt; </w:t>
      </w:r>
      <w:r w:rsidRPr="00675484">
        <w:t>[N</w:t>
      </w:r>
      <w:r w:rsidRPr="00675484">
        <w:rPr>
          <w:vertAlign w:val="subscript"/>
        </w:rPr>
        <w:t>4,4,4,4</w:t>
      </w:r>
      <w:r w:rsidRPr="00675484">
        <w:t>]Cl</w:t>
      </w:r>
      <w:r>
        <w:t xml:space="preserve"> &lt; </w:t>
      </w:r>
      <w:r w:rsidRPr="00675484">
        <w:t>Na[TOS]</w:t>
      </w:r>
      <w:r>
        <w:t xml:space="preserve"> &lt; </w:t>
      </w:r>
      <w:r w:rsidRPr="00675484">
        <w:t>Na[N(CN)</w:t>
      </w:r>
      <w:r w:rsidRPr="00675484">
        <w:rPr>
          <w:vertAlign w:val="subscript"/>
        </w:rPr>
        <w:t>2</w:t>
      </w:r>
      <w:r w:rsidRPr="00675484">
        <w:t>]</w:t>
      </w:r>
      <w:r>
        <w:t xml:space="preserve"> &lt; </w:t>
      </w:r>
      <w:r w:rsidRPr="00675484">
        <w:t>[P</w:t>
      </w:r>
      <w:r w:rsidRPr="00675484">
        <w:rPr>
          <w:vertAlign w:val="subscript"/>
        </w:rPr>
        <w:t>4,4,4,4</w:t>
      </w:r>
      <w:r w:rsidRPr="00675484">
        <w:t>]Cl</w:t>
      </w:r>
      <w:r>
        <w:t xml:space="preserve"> &lt; </w:t>
      </w:r>
      <w:r w:rsidRPr="00675484">
        <w:t>[C</w:t>
      </w:r>
      <w:r w:rsidRPr="00675484">
        <w:rPr>
          <w:vertAlign w:val="subscript"/>
        </w:rPr>
        <w:t>4</w:t>
      </w:r>
      <w:r w:rsidRPr="00675484">
        <w:t>C</w:t>
      </w:r>
      <w:r w:rsidRPr="00675484">
        <w:rPr>
          <w:vertAlign w:val="subscript"/>
        </w:rPr>
        <w:t>1</w:t>
      </w:r>
      <w:r w:rsidRPr="00675484">
        <w:t>im][TOS]</w:t>
      </w:r>
      <w:r w:rsidRPr="00C52ACF">
        <w:t xml:space="preserve"> </w:t>
      </w:r>
      <w:r>
        <w:t xml:space="preserve">&lt; </w:t>
      </w:r>
      <w:r w:rsidRPr="00675484">
        <w:t>[C</w:t>
      </w:r>
      <w:r w:rsidRPr="00675484">
        <w:rPr>
          <w:vertAlign w:val="subscript"/>
        </w:rPr>
        <w:t>4</w:t>
      </w:r>
      <w:r w:rsidRPr="00675484">
        <w:t>C</w:t>
      </w:r>
      <w:r w:rsidRPr="00675484">
        <w:rPr>
          <w:vertAlign w:val="subscript"/>
        </w:rPr>
        <w:t>1</w:t>
      </w:r>
      <w:r w:rsidRPr="00675484">
        <w:t>im][SCN]</w:t>
      </w:r>
      <w:r>
        <w:t xml:space="preserve"> &lt; </w:t>
      </w:r>
      <w:r w:rsidRPr="00675484">
        <w:t>[C</w:t>
      </w:r>
      <w:r w:rsidRPr="00675484">
        <w:rPr>
          <w:vertAlign w:val="subscript"/>
        </w:rPr>
        <w:t>4</w:t>
      </w:r>
      <w:r w:rsidRPr="00675484">
        <w:t>C</w:t>
      </w:r>
      <w:r w:rsidRPr="00675484">
        <w:rPr>
          <w:vertAlign w:val="subscript"/>
        </w:rPr>
        <w:t>1</w:t>
      </w:r>
      <w:r w:rsidRPr="00675484">
        <w:t>im][N(CN)</w:t>
      </w:r>
      <w:r w:rsidRPr="00675484">
        <w:rPr>
          <w:vertAlign w:val="subscript"/>
        </w:rPr>
        <w:t>2</w:t>
      </w:r>
      <w:r w:rsidRPr="00675484">
        <w:t>]</w:t>
      </w:r>
      <w:r>
        <w:t>.</w:t>
      </w:r>
    </w:p>
    <w:p w14:paraId="38BDEE41" w14:textId="4CF29C34" w:rsidR="00456ACA" w:rsidRDefault="00456ACA" w:rsidP="00456ACA">
      <w:pPr>
        <w:pStyle w:val="RSCB02ArticleText"/>
      </w:pPr>
      <w:r>
        <w:t xml:space="preserve">In order to evaluate the effect of the IL cation on the solubility of these drugs, a series of chloride-based ILs was studied and </w:t>
      </w:r>
      <w:r w:rsidR="00A864F4">
        <w:t xml:space="preserve">are </w:t>
      </w:r>
      <w:r w:rsidRPr="00F65B01">
        <w:t xml:space="preserve">presented in Figure </w:t>
      </w:r>
      <w:r>
        <w:t>4</w:t>
      </w:r>
      <w:r w:rsidRPr="00F65B01">
        <w:t xml:space="preserve">. </w:t>
      </w:r>
      <w:r>
        <w:t>The set of IL cations analy</w:t>
      </w:r>
      <w:r w:rsidR="00A864F4">
        <w:t>s</w:t>
      </w:r>
      <w:r>
        <w:t>ed includes aromatic ([C</w:t>
      </w:r>
      <w:r w:rsidRPr="006F73AD">
        <w:rPr>
          <w:vertAlign w:val="subscript"/>
        </w:rPr>
        <w:t>4</w:t>
      </w:r>
      <w:r>
        <w:t>C</w:t>
      </w:r>
      <w:r w:rsidRPr="006F73AD">
        <w:rPr>
          <w:vertAlign w:val="subscript"/>
        </w:rPr>
        <w:t>1</w:t>
      </w:r>
      <w:r>
        <w:t>im]</w:t>
      </w:r>
      <w:r w:rsidRPr="006F73AD">
        <w:rPr>
          <w:vertAlign w:val="superscript"/>
        </w:rPr>
        <w:t>+</w:t>
      </w:r>
      <w:r>
        <w:t xml:space="preserve"> and [C</w:t>
      </w:r>
      <w:r w:rsidRPr="006F73AD">
        <w:rPr>
          <w:vertAlign w:val="subscript"/>
        </w:rPr>
        <w:t>4</w:t>
      </w:r>
      <w:r>
        <w:t>C</w:t>
      </w:r>
      <w:r w:rsidRPr="006F73AD">
        <w:rPr>
          <w:vertAlign w:val="subscript"/>
        </w:rPr>
        <w:t>1</w:t>
      </w:r>
      <w:r>
        <w:t>py]</w:t>
      </w:r>
      <w:r w:rsidRPr="006F73AD">
        <w:rPr>
          <w:vertAlign w:val="superscript"/>
        </w:rPr>
        <w:t>+</w:t>
      </w:r>
      <w:r>
        <w:t>), cyclic non-aromatic ([C</w:t>
      </w:r>
      <w:r w:rsidRPr="006F73AD">
        <w:rPr>
          <w:vertAlign w:val="subscript"/>
        </w:rPr>
        <w:t>4</w:t>
      </w:r>
      <w:r>
        <w:t>C</w:t>
      </w:r>
      <w:r w:rsidRPr="006F73AD">
        <w:rPr>
          <w:vertAlign w:val="subscript"/>
        </w:rPr>
        <w:t>1</w:t>
      </w:r>
      <w:r>
        <w:t>pyrr]</w:t>
      </w:r>
      <w:r w:rsidRPr="006F73AD">
        <w:rPr>
          <w:vertAlign w:val="superscript"/>
        </w:rPr>
        <w:t>+</w:t>
      </w:r>
      <w:r w:rsidRPr="006F73AD">
        <w:t xml:space="preserve"> </w:t>
      </w:r>
      <w:r>
        <w:t>and [C</w:t>
      </w:r>
      <w:r w:rsidRPr="006F73AD">
        <w:rPr>
          <w:vertAlign w:val="subscript"/>
        </w:rPr>
        <w:t>4</w:t>
      </w:r>
      <w:r>
        <w:t>C</w:t>
      </w:r>
      <w:r w:rsidRPr="006F73AD">
        <w:rPr>
          <w:vertAlign w:val="subscript"/>
        </w:rPr>
        <w:t>1</w:t>
      </w:r>
      <w:r>
        <w:t>pip]</w:t>
      </w:r>
      <w:r w:rsidRPr="006F73AD">
        <w:rPr>
          <w:vertAlign w:val="superscript"/>
        </w:rPr>
        <w:t>+</w:t>
      </w:r>
      <w:r>
        <w:t>) and non-cyclic non-aromatic ([N</w:t>
      </w:r>
      <w:r w:rsidRPr="006F73AD">
        <w:rPr>
          <w:vertAlign w:val="subscript"/>
        </w:rPr>
        <w:t>4,4,4,4</w:t>
      </w:r>
      <w:r>
        <w:t>]</w:t>
      </w:r>
      <w:r w:rsidRPr="006F73AD">
        <w:rPr>
          <w:vertAlign w:val="superscript"/>
        </w:rPr>
        <w:t>+</w:t>
      </w:r>
      <w:r>
        <w:t>,</w:t>
      </w:r>
      <w:r w:rsidRPr="006F73AD">
        <w:t xml:space="preserve"> </w:t>
      </w:r>
      <w:r>
        <w:t>[P</w:t>
      </w:r>
      <w:r w:rsidRPr="006F73AD">
        <w:rPr>
          <w:vertAlign w:val="subscript"/>
        </w:rPr>
        <w:t>4,4,4,4</w:t>
      </w:r>
      <w:r>
        <w:t>]</w:t>
      </w:r>
      <w:r w:rsidRPr="006F73AD">
        <w:rPr>
          <w:vertAlign w:val="superscript"/>
        </w:rPr>
        <w:t>+</w:t>
      </w:r>
      <w:r>
        <w:t xml:space="preserve"> and [N</w:t>
      </w:r>
      <w:r>
        <w:rPr>
          <w:vertAlign w:val="subscript"/>
        </w:rPr>
        <w:t>1,1,1,2(OH)</w:t>
      </w:r>
      <w:r>
        <w:t>]</w:t>
      </w:r>
      <w:r w:rsidRPr="006F73AD">
        <w:rPr>
          <w:vertAlign w:val="superscript"/>
        </w:rPr>
        <w:t>+</w:t>
      </w:r>
      <w:r>
        <w:t xml:space="preserve">) compounds. Among the cations investigated in </w:t>
      </w:r>
      <w:r w:rsidRPr="0030666D">
        <w:t>the chloride-based IL series</w:t>
      </w:r>
      <w:r>
        <w:t>, [N</w:t>
      </w:r>
      <w:r w:rsidRPr="006F73AD">
        <w:rPr>
          <w:vertAlign w:val="subscript"/>
        </w:rPr>
        <w:t>4,4,4,4</w:t>
      </w:r>
      <w:r>
        <w:t>]Cl and [P</w:t>
      </w:r>
      <w:r w:rsidRPr="006F73AD">
        <w:rPr>
          <w:vertAlign w:val="subscript"/>
        </w:rPr>
        <w:t>4,4,4,4</w:t>
      </w:r>
      <w:r>
        <w:t xml:space="preserve">]Cl </w:t>
      </w:r>
      <w:r w:rsidRPr="00ED1A82">
        <w:t>presented the higher increase in the solubility of</w:t>
      </w:r>
      <w:r>
        <w:t xml:space="preserve"> the drug studied in this work. The remaining IL cations showed a significant hydrotropic activity for ibuprofen, with the exception of the [N</w:t>
      </w:r>
      <w:r w:rsidRPr="0037495A">
        <w:rPr>
          <w:vertAlign w:val="subscript"/>
        </w:rPr>
        <w:t>1,1,1,2(OH)</w:t>
      </w:r>
      <w:r>
        <w:t xml:space="preserve">]Cl. The </w:t>
      </w:r>
      <w:r>
        <w:sym w:font="Symbol" w:char="F070"/>
      </w:r>
      <w:r>
        <w:t>-</w:t>
      </w:r>
      <w:r>
        <w:sym w:font="Symbol" w:char="F070"/>
      </w:r>
      <w:r>
        <w:t xml:space="preserve"> interactions has been used in the past to explain the formation of solute-hydrotrope complexes, </w:t>
      </w:r>
      <w:r w:rsidRPr="00B55BC3">
        <w:t>and thus</w:t>
      </w:r>
      <w:r>
        <w:t xml:space="preserve"> the hydrotropic effect.</w:t>
      </w:r>
      <w:r>
        <w:fldChar w:fldCharType="begin" w:fldLock="1"/>
      </w:r>
      <w:r>
        <w:instrText>ADDIN CSL_CITATION { "citationItems" : [ { "id" : "ITEM-1", "itemData" : { "DOI" : "http://dx.doi.org/10.1016/j.ijpharm.2006.11.025", "ISBN" : "0378-5173", "abstract" : "The solubility enhancement of 11 poorly soluble drugs by complexation using nicotinamide has been studied. The solubilization efficiency of nicotinamide has been compared to that of hydroxypropyl-\u03b2-cyclodextrin and sulfobutylether-\u03b2-cyclodextrin. Solubility enhancements as high as 4000-fold are observed in 20% (w/v) nicotinamide solution. Furthermore, nicotinamide is more effective than cyclodextrins for solubilizing some of the drugs. The mechanism of drug solubilization by nicotinamide is investigated by studying the effects of nicotinamide concentration on the surface tension and the conductivity of water. A slight break in both, the surface tension and conductivity is noticed at around 10% (w/v), suggesting self-association at higher concentrations. Corresponding breaks in the solubility profiles of estrone and griseofulvin at similar concentrations support self-association. Based on this observation it appears that at low concentrations, one molecule of nicotinamide undergoes complexation with one drug molecule to form a 1:1 complex. At higher concentrations, two molecules of nicotinamide undergo complexation with one drug molecule forming a 1:2 complex. The complexation constants have been calculated for all the drugs and the data are well described by this model. Expectedly, increasing the temperature reduces the complexation constants.", "author" : [ { "dropping-particle" : "", "family" : "Sanghvi", "given" : "Ritesh", "non-dropping-particle" : "", "parse-names" : false, "suffix" : "" }, { "dropping-particle" : "", "family" : "Evans", "given" : "Daniel", "non-dropping-particle" : "", "parse-names" : false, "suffix" : "" }, { "dropping-particle" : "", "family" : "Yalkowsky", "given" : "Samuel H", "non-dropping-particle" : "", "parse-names" : false, "suffix" : "" } ], "container-title" : "International Journal of Pharmaceutics", "id" : "ITEM-1", "issue" : "1", "issued" : { "date-parts" : [ [ "2007" ] ] }, "page" : "35-41", "title" : "Stacking complexation by nicotinamide: A useful way of enhancing drug solubility", "type" : "article-journal", "volume" : "336" }, "uris" : [ "http://www.mendeley.com/documents/?uuid=97eaac1d-c9cd-4963-b91f-8e21fec8deba" ] }, { "id" : "ITEM-2", "itemData" : { "DOI" : "10.1002/jps.2600820117", "ISBN" : "1520-6017", "author" : [ { "dropping-particle" : "", "family" : "Hussain", "given" : "Munir A", "non-dropping-particle" : "", "parse-names" : false, "suffix" : "" }, { "dropping-particle" : "", "family" : "Diluccio", "given" : "Robert C", "non-dropping-particle" : "", "parse-names" : false, "suffix" : "" }, { "dropping-particle" : "", "family" : "Maurin", "given" : "Michael B", "non-dropping-particle" : "", "parse-names" : false, "suffix" : "" } ], "container-title" : "Journal of Pharmaceutical Sciences", "id" : "ITEM-2", "issue" : "1", "issued" : { "date-parts" : [ [ "1993" ] ] }, "page" : "77-79", "publisher" : "Wiley Subscription Services, Inc., A Wiley Company", "title" : "Complexation of moricizine with nicotinamide and evaluation of the complexation constants by various methods", "type" : "article-journal", "volume" : "82" }, "uris" : [ "http://www.mendeley.com/documents/?uuid=07ce0557-5175-4817-b7c8-2e9223aaa4bc" ] }, { "id" : "ITEM-3", "itemData" : { "DOI" : "http://dx.doi.org/10.1002/jps.2600800422", "ISBN" : "0022-3549", "abstract" : "The solubilities of five poorly water-soluble drugs, diazepam, griseofulvin, progesterone, 17\u03b2-estradiol, and testosterone, were studied in the presence of nicotinamide. All solubilities were found to increase in a nonlinear fashion as a function of nicotinamide concentration. The K1:1 and K1:2 stability constants were as follows: for diazepam, K1:1=5.23M\u22121 and K1:2 = 8.6M\u22122; for griseofulvin, K1:1 = 5.54M\u22121 and K1:2 = 8.82M\u22122; for progesterone, K1:1 = 5.48M\u22121 and K1:2 = 42.47M\u22122; for 17\u03b2-estradiol, K1:1 = 5.38M\u22121 and K1:2 = 36.9M\u22122; and for testosterone, K1:1 = 5.07M\u22121 and K1:2 = 27.47M\u22122. Two aliphatic analogues of nicotinamide (nipecotamide and N,N-dimethylacetamide) were studied as ligands with diazepam and griseofulvin and were found to increase the solubilities of both drugs in a linear fashion. The aromatic analogue, N,N-diethylnicotinamide, showed a nonlinear solubilization relationship similar to that seen with nicotinamide. In addition, three other aromatic analogues (isonicotinamide, 1-methylnicotinamide iodide, and N-methylnicotinamide) were studied. These ligands were not soluble enough in water to be studied over the wide range of concentrations used for nicotinamide and N,N-diethylnicotinamide; however, in the concentration range studied, these ligands solubilized diazepam and griseofulvin to a degree similar to that observed with comparable concentrations of nicotinamide. These results suggest that the aromaticity (Pi-system) of the pyridine ring is an important factor in complexation because the aromatic amide ligands were found to enhance the aqueous solubilities of the test drugs to a greater extent than the aliphatic amide ligands. To determine if self-association of nicotinamide in water is required for its solubilization effects, the behavior of concentrated solutions of nicotinamide was studied. Solutions of nicotinamide in water up to 400 mg/mL were found to follow Beer\u2019s Law, but there was a slight initial decrease in the surface tension followed by a plateau with increasing nicotinamide concentration. Conductivity was found to increase, and the NMR spectra showed an upfield chemical shift with increasing nicotinamide concentration. The n-octanol\u2013water partition coefficient of nicotinamide was found to increase in a nonlinear fashion with increasing concentration. These results suggest that at high concentrations, nicotinamide undergoes slight self-association in water, but the degree of formation of higher order species was not\u2026", "author" : [ { "dropping-particle" : "", "family" : "Rasool", "given" : "Alaa Abdul", "non-dropping-particle" : "", "parse-names" : false, "suffix" : "" }, { "dropping-particle" : "", "family" : "Hussain", "given" : "Anwar A", "non-dropping-particle" : "", "parse-names" : false, "suffix" : "" }, { "dropping-particle" : "", "family" : "Dittert", "given" : "Lewis W", "non-dropping-particle" : "", "parse-names" : false, "suffix" : "" } ], "container-title" : "Journal of Pharmaceutical Sciences", "id" : "ITEM-3", "issue" : "4", "issued" : { "date-parts" : [ [ "1991" ] ] }, "page" : "387-393", "title" : "Solubility Enhancement of Some Water-Insoluble Drugs in the Presence of Nicotinamide and Related Compounds", "type" : "article-journal", "volume" : "80" }, "uris" : [ "http://www.mendeley.com/documents/?uuid=a7138da5-98da-40d4-84b7-a2018cb43d01" ] } ], "mendeley" : { "formattedCitation" : "&lt;sup&gt;11,12,53&lt;/sup&gt;", "plainTextFormattedCitation" : "11,12,53", "previouslyFormattedCitation" : "&lt;sup&gt;11,12,53&lt;/sup&gt;" }, "properties" : { "noteIndex" : 0 }, "schema" : "https://github.com/citation-style-language/schema/raw/master/csl-citation.json" }</w:instrText>
      </w:r>
      <w:r>
        <w:fldChar w:fldCharType="separate"/>
      </w:r>
      <w:r w:rsidRPr="00294D46">
        <w:rPr>
          <w:noProof/>
          <w:vertAlign w:val="superscript"/>
        </w:rPr>
        <w:t>11,12,53</w:t>
      </w:r>
      <w:r>
        <w:fldChar w:fldCharType="end"/>
      </w:r>
      <w:r w:rsidRPr="004378C5">
        <w:t xml:space="preserve"> </w:t>
      </w:r>
      <w:r w:rsidRPr="00647383">
        <w:t xml:space="preserve">However, the results obtained </w:t>
      </w:r>
      <w:r>
        <w:t xml:space="preserve">here </w:t>
      </w:r>
      <w:r w:rsidR="00A864F4">
        <w:t xml:space="preserve">do not </w:t>
      </w:r>
      <w:r w:rsidRPr="00647383">
        <w:t>support the idea that the</w:t>
      </w:r>
      <w:r>
        <w:t xml:space="preserve"> </w:t>
      </w:r>
      <w:r>
        <w:sym w:font="Symbol" w:char="F070"/>
      </w:r>
      <w:r>
        <w:t>-</w:t>
      </w:r>
      <w:r>
        <w:sym w:font="Symbol" w:char="F070"/>
      </w:r>
      <w:r>
        <w:t xml:space="preserve"> </w:t>
      </w:r>
      <w:r w:rsidRPr="00647383">
        <w:t>interactions between the aromatic drug and the aromatic cation core are the dominant driv</w:t>
      </w:r>
      <w:r>
        <w:t>ing</w:t>
      </w:r>
      <w:r w:rsidRPr="00647383">
        <w:t xml:space="preserve"> forces behind the hydrotropic behavior</w:t>
      </w:r>
      <w:r>
        <w:t xml:space="preserve">, since the best results were achieved for </w:t>
      </w:r>
      <w:r w:rsidRPr="00647383">
        <w:t>non-cyclic non-aromatic</w:t>
      </w:r>
      <w:r>
        <w:t xml:space="preserve"> ILs, in agreement with previous works.</w:t>
      </w:r>
      <w:r>
        <w:fldChar w:fldCharType="begin" w:fldLock="1"/>
      </w:r>
      <w:r>
        <w:instrText>ADDIN CSL_CITATION { "citationItems" : [ { "id" : "ITEM-1", "itemData" : { "DOI" : "10.1021/la050554l", "ISBN" : "0743-7463", "author" : [ { "dropping-particle" : "", "family" : "Bauduin", "given" : "P", "non-dropping-particle" : "", "parse-names" : false, "suffix" : "" }, { "dropping-particle" : "", "family" : "Renoncourt", "given" : "A", "non-dropping-particle" : "", "parse-names" : false, "suffix" : "" }, { "dropping-particle" : "", "family" : "Kopf", "given" : "A", "non-dropping-particle" : "", "parse-names" : false, "suffix" : "" }, { "dropping-particle" : "", "family" : "Touraud", "given" : "D", "non-dropping-particle" : "", "parse-names" : false, "suffix" : "" }, { "dropping-particle" : "", "family" : "Kunz", "given" : "W", "non-dropping-particle" : "", "parse-names" : false, "suffix" : "" } ], "container-title" : "Langmuir", "id" : "ITEM-1", "issue" : "15", "issued" : { "date-parts" : [ [ "2005" ] ] }, "page" : "6769-6775", "publisher" : "American Chemical Society", "title" : "Unified Concept of Solubilization in Water by Hydrotropes and Cosolvents", "type" : "article-journal", "volume" : "21" }, "uris" : [ "http://www.mendeley.com/documents/?uuid=68500a71-2fe1-40e7-b719-55580ca4df7a" ] }, { "id" : "ITEM-2",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"ITEM-2",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"id" : "ITEM-3", "itemData" : { "DOI" : "http://dx.doi.org/10.1016/S0927-7757(98)00417-8", "ISBN" : "0927-7757", "abstract" : "The aqueous solution behavior of diblock poly(ethylene oxide)\u2013poly(propylene oxide) (PEO\u2013PPO) copolymers coupled with hydrocarbon groups was studied in the presence of the hydrotropic agent sodium p-toluenesulfonate (NaPTS). The change in phase of the aqueous systems was evaluated by building up temperature\u2013concentration phase diagrams. The critical micelle concentrations (CMC) of the copolymers and the aggregation points of NaPTS and NaPTS/copolymer mixtures were obtained by surface tension measurements, viscometry data and dye solubilization. The copolymers and NaPTS adsorb and reduce the surface tension of the solution until the surface becomes saturated: the CMC values are related to the solubility of the copolymers. Solutions containing NaPTS/copolymer mixtures exhibit the opposite behavior: at constant copolymer concentrations and with increasing NaPTS concentration, the surface tension remains constant until the aggregates of NaPTS start to form. Above this concentration, the surface tension increases. The surface tension and the aggregation points of the NaPTS solutions are dependent on the structure of the copolymer. The influence of the length of the hydrocarbon groups and the PPO position segment in the structure of the copolymers were also studied. From viscometric data, a pronounced increase in solution viscosity was observed as aggregates began to form. The results obtained from dye solubilization are in good agreement with the surface tension and viscometric measurements.", "author" : [ { "dropping-particle" : "", "family" : "Mansur", "given" : "Claudia R E", "non-dropping-particle" : "", "parse-names" : false, "suffix" : "" }, { "dropping-particle" : "", "family" : "Spinelli", "given" : "Luciana S", "non-dropping-particle" : "", "parse-names" : false, "suffix" : "" }, { "dropping-particle" : "", "family" : "Lucas", "given" : "Elizabete F", "non-dropping-particle" : "", "parse-names" : false, "suffix" : "" }, { "dropping-particle" : "", "family" : "Gonz\u00e1lez", "given" : "Gaspar", "non-dropping-particle" : "", "parse-names" : false, "suffix" : "" } ], "container-title" : "Colloids and Surfaces A: Physicochemical and Engineering Aspects", "id" : "ITEM-3", "issue" : "1\u20133", "issued" : { "date-parts" : [ [ "1999" ] ] }, "page" : "291-300", "title" : "The influence of a hydrotropic agent in the properties of aqueous solutions containing poly(ethylene oxide)\u2013poly(propylene oxide) surfactants", "type" : "article-journal", "volume" : "149" }, "uris" : [ "http://www.mendeley.com/documents/?uuid=3cf26458-8d1c-4732-b1f6-ec1529d9d763" ] }, { "id" : "ITEM-4", "itemData" : { "DOI" : "10.1021/la301222m", "ISBN" : "0743-7463", "author" : [ { "dropping-particle" : "", "family" : "Hopkins Hatzopoulos", "given" : "Marios", "non-dropping-particle" : "", "parse-names" : false, "suffix" : "" }, { "dropping-particle" : "", "family" : "Eastoe", "given" : "Julian", "non-dropping-particle" : "", "parse-names" : false, "suffix" : "" }, { "dropping-particle" : "", "family" : "Dowding", "given" : "Peter J", "non-dropping-particle" : "", "parse-names" : false, "suffix" : "" }, { "dropping-particle" : "", "family" : "Grillo", "given" : "Isabelle", "non-dropping-particle" : "", "parse-names" : false, "suffix" : "" }, { "dropping-particle" : "", "family" : "Dem\u00e9", "given" : "Bruno", "non-dropping-particle" : "", "parse-names" : false, "suffix" : "" }, { "dropping-particle" : "", "family" : "Rogers", "given" : "Sarah E", "non-dropping-particle" : "", "parse-names" : false, "suffix" : "" }, { "dropping-particle" : "", "family" : "Heenan", "given" : "Richard", "non-dropping-particle" : "", "parse-names" : false, "suffix" : "" }, { "dropping-particle" : "", "family" : "Dyer", "given" : "Robert", "non-dropping-particle" : "", "parse-names" : false, "suffix" : "" } ], "container-title" : "Langmuir", "id" : "ITEM-4", "issue" : "25", "issued" : { "date-parts" : [ [ "2012" ] ] }, "page" : "9332-9340", "publisher" : "American Chemical Society", "title" : "Effects of Structure Variation on Solution Properties of Hydrotropes: Phenyl versus Cyclohexyl Chain Tips", "type" : "article-journal", "volume" : "28" }, "uris" : [ "http://www.mendeley.com/documents/?uuid=e5708e2b-c0db-4b3d-8c5e-7421fa2c19c3" ] } ], "mendeley" : { "formattedCitation" : "&lt;sup&gt;14,32,54,55&lt;/sup&gt;", "plainTextFormattedCitation" : "14,32,54,55", "previouslyFormattedCitation" : "&lt;sup&gt;14,32,54,55&lt;/sup&gt;" }, "properties" : { "noteIndex" : 0 }, "schema" : "https://github.com/citation-style-language/schema/raw/master/csl-citation.json" }</w:instrText>
      </w:r>
      <w:r>
        <w:fldChar w:fldCharType="separate"/>
      </w:r>
      <w:r w:rsidRPr="00294D46">
        <w:rPr>
          <w:noProof/>
          <w:vertAlign w:val="superscript"/>
        </w:rPr>
        <w:t>14,32,54,55</w:t>
      </w:r>
      <w:r>
        <w:fldChar w:fldCharType="end"/>
      </w:r>
      <w:r>
        <w:t xml:space="preserve"> The influence of the IL cation on the hydrotropic constant was further evaluated using the tosylate, thiocyanate</w:t>
      </w:r>
      <w:r w:rsidRPr="008E69D5">
        <w:t xml:space="preserve"> and dicyanamide</w:t>
      </w:r>
      <w:r>
        <w:t xml:space="preserve"> anions, as depicted in Figure 5. T</w:t>
      </w:r>
      <w:r w:rsidRPr="003F1FBE">
        <w:t xml:space="preserve">he replacement of </w:t>
      </w:r>
      <w:r>
        <w:t>sodium cation</w:t>
      </w:r>
      <w:r w:rsidR="00A8241C">
        <w:t xml:space="preserve"> (red bars)</w:t>
      </w:r>
      <w:r>
        <w:t xml:space="preserve"> by an imidazolium cation</w:t>
      </w:r>
      <w:r w:rsidR="00A8241C">
        <w:t xml:space="preserve"> (blue bars)</w:t>
      </w:r>
      <w:r>
        <w:t xml:space="preserve"> leads to a remarkable enhancement in the solubility of ibuprofen. </w:t>
      </w:r>
    </w:p>
    <w:p w14:paraId="6969F878" w14:textId="45A4CD8E" w:rsidR="00456ACA" w:rsidRDefault="00456ACA" w:rsidP="00456ACA">
      <w:pPr>
        <w:pStyle w:val="RSCB02ArticleText"/>
      </w:pPr>
      <w:r>
        <w:t>To evaluate the influence of the IL anion on the solubility of ibuprofen, a series of [C</w:t>
      </w:r>
      <w:r w:rsidRPr="005814A9">
        <w:rPr>
          <w:vertAlign w:val="subscript"/>
        </w:rPr>
        <w:t>4</w:t>
      </w:r>
      <w:r>
        <w:t>C</w:t>
      </w:r>
      <w:r w:rsidRPr="005814A9">
        <w:rPr>
          <w:vertAlign w:val="subscript"/>
        </w:rPr>
        <w:t>1</w:t>
      </w:r>
      <w:r>
        <w:t xml:space="preserve">im]- and sodium-based hydrotropes was investigated. </w:t>
      </w:r>
      <w:r w:rsidRPr="00752D85">
        <w:t>As previously mentioned, the conventional hydrotropes are usually anionic compounds composed of an aromatic ring substituted by an anionic group, such as sulfate, sulfonate, or carboxylate group</w:t>
      </w:r>
      <w:r w:rsidRPr="009F3BC5">
        <w:t>. Nevertheless, contrary to expectations</w:t>
      </w:r>
      <w:r>
        <w:t>,</w:t>
      </w:r>
      <w:r w:rsidRPr="009F3BC5">
        <w:t xml:space="preserve"> </w:t>
      </w:r>
      <w:r w:rsidRPr="00752D85">
        <w:t>[C</w:t>
      </w:r>
      <w:r w:rsidRPr="00752D85">
        <w:rPr>
          <w:vertAlign w:val="subscript"/>
        </w:rPr>
        <w:t>4</w:t>
      </w:r>
      <w:r w:rsidRPr="00752D85">
        <w:t>C</w:t>
      </w:r>
      <w:r w:rsidRPr="00752D85">
        <w:rPr>
          <w:vertAlign w:val="subscript"/>
        </w:rPr>
        <w:t>1</w:t>
      </w:r>
      <w:r w:rsidRPr="00752D85">
        <w:t>im][N(CN)</w:t>
      </w:r>
      <w:r w:rsidRPr="00752D85">
        <w:rPr>
          <w:vertAlign w:val="subscript"/>
        </w:rPr>
        <w:t>2</w:t>
      </w:r>
      <w:r w:rsidRPr="00752D85">
        <w:t>] and [C</w:t>
      </w:r>
      <w:r w:rsidRPr="00752D85">
        <w:rPr>
          <w:vertAlign w:val="subscript"/>
        </w:rPr>
        <w:t>4</w:t>
      </w:r>
      <w:r w:rsidRPr="00752D85">
        <w:t>C</w:t>
      </w:r>
      <w:r w:rsidRPr="00752D85">
        <w:rPr>
          <w:vertAlign w:val="subscript"/>
        </w:rPr>
        <w:t>1</w:t>
      </w:r>
      <w:r w:rsidRPr="00752D85">
        <w:t>im][SCN] presented</w:t>
      </w:r>
      <w:r>
        <w:t xml:space="preserve"> even</w:t>
      </w:r>
      <w:r w:rsidRPr="00752D85">
        <w:t xml:space="preserve"> highe</w:t>
      </w:r>
      <w:r>
        <w:t>r</w:t>
      </w:r>
      <w:r w:rsidRPr="00752D85">
        <w:t xml:space="preserve"> hydrotropic activity </w:t>
      </w:r>
      <w:r>
        <w:t xml:space="preserve">than </w:t>
      </w:r>
      <w:r w:rsidRPr="00752D85">
        <w:t>[C</w:t>
      </w:r>
      <w:r w:rsidRPr="00752D85">
        <w:rPr>
          <w:vertAlign w:val="subscript"/>
        </w:rPr>
        <w:t>4</w:t>
      </w:r>
      <w:r w:rsidRPr="00752D85">
        <w:t>C</w:t>
      </w:r>
      <w:r w:rsidRPr="00752D85">
        <w:rPr>
          <w:vertAlign w:val="subscript"/>
        </w:rPr>
        <w:t>1</w:t>
      </w:r>
      <w:r w:rsidRPr="00752D85">
        <w:t>im][</w:t>
      </w:r>
      <w:r>
        <w:t>TOS</w:t>
      </w:r>
      <w:r w:rsidRPr="00752D85">
        <w:t>], as depicted in</w:t>
      </w:r>
      <w:r>
        <w:t xml:space="preserve"> Figure 6. Although </w:t>
      </w:r>
      <w:r w:rsidRPr="00712EE7">
        <w:t>dicyanamide</w:t>
      </w:r>
      <w:r>
        <w:t xml:space="preserve"> and thiocyanate present an outstanding </w:t>
      </w:r>
      <w:r w:rsidRPr="00712EE7">
        <w:t>hydrotropic</w:t>
      </w:r>
      <w:r>
        <w:t xml:space="preserve"> activity when conjugated with the [C</w:t>
      </w:r>
      <w:r w:rsidRPr="00712EE7">
        <w:rPr>
          <w:vertAlign w:val="subscript"/>
        </w:rPr>
        <w:t>4</w:t>
      </w:r>
      <w:r>
        <w:t>C</w:t>
      </w:r>
      <w:r w:rsidRPr="00712EE7">
        <w:rPr>
          <w:vertAlign w:val="subscript"/>
        </w:rPr>
        <w:t>1</w:t>
      </w:r>
      <w:r>
        <w:t>im]</w:t>
      </w:r>
      <w:r w:rsidRPr="00712EE7">
        <w:rPr>
          <w:vertAlign w:val="superscript"/>
        </w:rPr>
        <w:t>+</w:t>
      </w:r>
      <w:r>
        <w:t xml:space="preserve"> cation, the same</w:t>
      </w:r>
      <w:r w:rsidRPr="0046284F">
        <w:t xml:space="preserve"> behavio</w:t>
      </w:r>
      <w:r w:rsidR="00A864F4">
        <w:t>u</w:t>
      </w:r>
      <w:r w:rsidRPr="0046284F">
        <w:t>r was not observed when these were combined</w:t>
      </w:r>
      <w:r>
        <w:t xml:space="preserve"> with the sodium cation (Figure 5</w:t>
      </w:r>
      <w:r w:rsidRPr="00E744FE">
        <w:t xml:space="preserve">). The results </w:t>
      </w:r>
      <w:r>
        <w:t xml:space="preserve">obtained </w:t>
      </w:r>
      <w:r w:rsidRPr="00E744FE">
        <w:t xml:space="preserve">support the idea that both anion and cation contribute to the hydrotropic </w:t>
      </w:r>
      <w:r w:rsidR="00A864F4">
        <w:t>mechanism</w:t>
      </w:r>
      <w:r w:rsidR="00A864F4" w:rsidRPr="00E744FE">
        <w:t xml:space="preserve"> </w:t>
      </w:r>
      <w:r w:rsidRPr="00E744FE">
        <w:t>in a synergistic manner</w:t>
      </w:r>
      <w:r w:rsidRPr="0092278F">
        <w:t xml:space="preserve">, </w:t>
      </w:r>
      <w:r w:rsidR="0092278F" w:rsidRPr="0092278F">
        <w:t>different from th</w:t>
      </w:r>
      <w:r w:rsidR="0092278F">
        <w:t>ose</w:t>
      </w:r>
      <w:r w:rsidR="0092278F" w:rsidRPr="0092278F">
        <w:t xml:space="preserve"> </w:t>
      </w:r>
      <w:r w:rsidRPr="0092278F">
        <w:t>previously observed</w:t>
      </w:r>
      <w:r w:rsidRPr="00E744FE">
        <w:t>.</w:t>
      </w:r>
      <w:r w:rsidRPr="00E744FE">
        <w:fldChar w:fldCharType="begin" w:fldLock="1"/>
      </w:r>
      <w:r>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rsidRPr="00E744FE">
        <w:fldChar w:fldCharType="separate"/>
      </w:r>
      <w:r w:rsidRPr="00615FB0">
        <w:rPr>
          <w:noProof/>
          <w:vertAlign w:val="superscript"/>
        </w:rPr>
        <w:t>32</w:t>
      </w:r>
      <w:r w:rsidRPr="00E744FE">
        <w:fldChar w:fldCharType="end"/>
      </w:r>
      <w:r w:rsidRPr="00E744FE">
        <w:t xml:space="preserve"> </w:t>
      </w:r>
      <w:r>
        <w:t>The</w:t>
      </w:r>
      <w:r w:rsidRPr="00E744FE">
        <w:t xml:space="preserve"> </w:t>
      </w:r>
      <w:r w:rsidRPr="001C60AD">
        <w:t>synergetic effect</w:t>
      </w:r>
      <w:r>
        <w:t xml:space="preserve"> is confirmed by the MD simulation results discussed below.</w:t>
      </w:r>
    </w:p>
    <w:p w14:paraId="216E1107" w14:textId="374E5C47" w:rsidR="006E21D9" w:rsidRDefault="006E21D9" w:rsidP="006E21D9">
      <w:pPr>
        <w:pStyle w:val="RSCB02ArticleText"/>
      </w:pPr>
      <w:r w:rsidRPr="0042664F">
        <w:t xml:space="preserve">In order to evaluate the </w:t>
      </w:r>
      <w:r>
        <w:t>formation</w:t>
      </w:r>
      <w:r w:rsidRPr="0042664F">
        <w:t xml:space="preserve"> of IL–</w:t>
      </w:r>
      <w:r>
        <w:t>ibuprofen</w:t>
      </w:r>
      <w:r w:rsidRPr="0042664F">
        <w:t xml:space="preserve"> aggregates</w:t>
      </w:r>
      <w:r>
        <w:t xml:space="preserve">, </w:t>
      </w:r>
      <w:r w:rsidRPr="0042664F">
        <w:t>dynamic light scattering measurements were performed for</w:t>
      </w:r>
      <w:r>
        <w:t xml:space="preserve"> saturated </w:t>
      </w:r>
      <w:r w:rsidRPr="0042664F">
        <w:t xml:space="preserve">solutions of </w:t>
      </w:r>
      <w:r>
        <w:t>ibuprofen</w:t>
      </w:r>
      <w:r w:rsidRPr="0042664F">
        <w:t xml:space="preserve"> in </w:t>
      </w:r>
      <w:r>
        <w:t>2.5 mol∙</w:t>
      </w:r>
      <w:r w:rsidRPr="0042664F">
        <w:t>kg</w:t>
      </w:r>
      <w:r w:rsidRPr="0042664F">
        <w:rPr>
          <w:vertAlign w:val="superscript"/>
        </w:rPr>
        <w:t>−1</w:t>
      </w:r>
      <w:r w:rsidRPr="0042664F">
        <w:t xml:space="preserve"> of </w:t>
      </w:r>
      <w:r>
        <w:t>the two best hydrotropes (</w:t>
      </w:r>
      <w:r w:rsidRPr="0042664F">
        <w:t>[C</w:t>
      </w:r>
      <w:r w:rsidRPr="00C64B0C">
        <w:rPr>
          <w:vertAlign w:val="subscript"/>
        </w:rPr>
        <w:t>4</w:t>
      </w:r>
      <w:r w:rsidRPr="0042664F">
        <w:t>C</w:t>
      </w:r>
      <w:r w:rsidRPr="00C64B0C">
        <w:rPr>
          <w:vertAlign w:val="subscript"/>
        </w:rPr>
        <w:t>1</w:t>
      </w:r>
      <w:r w:rsidRPr="0042664F">
        <w:t>im][N(CN)</w:t>
      </w:r>
      <w:r w:rsidRPr="00C64B0C">
        <w:rPr>
          <w:vertAlign w:val="subscript"/>
        </w:rPr>
        <w:t>2</w:t>
      </w:r>
      <w:r w:rsidRPr="0042664F">
        <w:t>] and [C</w:t>
      </w:r>
      <w:r w:rsidRPr="00C64B0C">
        <w:rPr>
          <w:vertAlign w:val="subscript"/>
        </w:rPr>
        <w:t>4</w:t>
      </w:r>
      <w:r w:rsidRPr="0042664F">
        <w:t>C</w:t>
      </w:r>
      <w:r w:rsidRPr="00C64B0C">
        <w:rPr>
          <w:vertAlign w:val="subscript"/>
        </w:rPr>
        <w:t>1</w:t>
      </w:r>
      <w:r w:rsidRPr="0042664F">
        <w:t>im][SCN]</w:t>
      </w:r>
      <w:r>
        <w:t xml:space="preserve">). The results obtained suggest the presence of </w:t>
      </w:r>
      <w:r w:rsidRPr="0042664F">
        <w:t>co-aggregates</w:t>
      </w:r>
      <w:r w:rsidRPr="00C64B0C">
        <w:t xml:space="preserve"> between the </w:t>
      </w:r>
      <w:r>
        <w:t xml:space="preserve">ibuprofen </w:t>
      </w:r>
      <w:r w:rsidRPr="00C64B0C">
        <w:t>and the IL ions in aqueous solution</w:t>
      </w:r>
      <w:r>
        <w:t xml:space="preserve">, with </w:t>
      </w:r>
      <w:r w:rsidR="00A864F4">
        <w:t xml:space="preserve">dimensions of </w:t>
      </w:r>
      <w:r>
        <w:t>1</w:t>
      </w:r>
      <w:r w:rsidR="00A864F4">
        <w:t>-2</w:t>
      </w:r>
      <w:r>
        <w:t xml:space="preserve"> nm</w:t>
      </w:r>
      <w:r w:rsidR="003452F1">
        <w:t xml:space="preserve">, as shown in Figure S1 of the </w:t>
      </w:r>
      <w:r w:rsidR="003452F1" w:rsidRPr="003452F1">
        <w:t>Supporting Information</w:t>
      </w:r>
      <w:r w:rsidR="003452F1">
        <w:t>.</w:t>
      </w:r>
    </w:p>
    <w:p w14:paraId="2AE66618" w14:textId="77777777" w:rsidR="006E21D9" w:rsidRDefault="006E21D9" w:rsidP="00456ACA">
      <w:pPr>
        <w:pStyle w:val="RSCB02ArticleText"/>
      </w:pPr>
    </w:p>
    <w:p w14:paraId="5436F372" w14:textId="77777777" w:rsidR="003452F1" w:rsidRDefault="003452F1" w:rsidP="00456ACA">
      <w:pPr>
        <w:pStyle w:val="RSCB02ArticleText"/>
      </w:pPr>
    </w:p>
    <w:p w14:paraId="63E76715" w14:textId="77777777" w:rsidR="00456ACA" w:rsidRDefault="00A5191E" w:rsidP="00A5191E">
      <w:pPr>
        <w:pStyle w:val="RSCI05CaptiontoFigureSchemeChartwithbottombar"/>
      </w:pPr>
      <w:r>
        <w:rPr>
          <w:noProof/>
          <w:lang w:val="pt-PT" w:eastAsia="pt-PT"/>
        </w:rPr>
        <w:drawing>
          <wp:inline distT="0" distB="0" distL="0" distR="0" wp14:anchorId="745706F5" wp14:editId="49B2D8D8">
            <wp:extent cx="3168015" cy="20993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45" r="992" b="2740"/>
                    <a:stretch/>
                  </pic:blipFill>
                  <pic:spPr bwMode="auto">
                    <a:xfrm>
                      <a:off x="0" y="0"/>
                      <a:ext cx="3168015" cy="2099310"/>
                    </a:xfrm>
                    <a:prstGeom prst="rect">
                      <a:avLst/>
                    </a:prstGeom>
                    <a:noFill/>
                    <a:ln>
                      <a:noFill/>
                    </a:ln>
                    <a:extLst>
                      <a:ext uri="{53640926-AAD7-44D8-BBD7-CCE9431645EC}">
                        <a14:shadowObscured xmlns:a14="http://schemas.microsoft.com/office/drawing/2010/main"/>
                      </a:ext>
                    </a:extLst>
                  </pic:spPr>
                </pic:pic>
              </a:graphicData>
            </a:graphic>
          </wp:inline>
        </w:drawing>
      </w:r>
    </w:p>
    <w:p w14:paraId="3F6A6B98" w14:textId="77777777" w:rsidR="00A5191E" w:rsidRDefault="00A5191E" w:rsidP="00A5191E">
      <w:pPr>
        <w:pStyle w:val="RSCI05CaptiontoFigureSchemeChartwithbottombar"/>
      </w:pPr>
      <w:r w:rsidRPr="008E3FC0">
        <w:rPr>
          <w:b/>
        </w:rPr>
        <w:t xml:space="preserve">Figure </w:t>
      </w:r>
      <w:r>
        <w:rPr>
          <w:b/>
        </w:rPr>
        <w:t>4</w:t>
      </w:r>
      <w:r w:rsidRPr="008E3FC0">
        <w:rPr>
          <w:b/>
        </w:rPr>
        <w:t>.</w:t>
      </w:r>
      <w:r w:rsidRPr="008E3FC0">
        <w:t xml:space="preserve"> </w:t>
      </w:r>
      <w:r w:rsidRPr="008E3FC0">
        <w:rPr>
          <w:i/>
        </w:rPr>
        <w:t>K</w:t>
      </w:r>
      <w:r w:rsidRPr="008E3FC0">
        <w:rPr>
          <w:vertAlign w:val="subscript"/>
        </w:rPr>
        <w:t>Hyd</w:t>
      </w:r>
      <w:r w:rsidRPr="008E3FC0">
        <w:t xml:space="preserve"> values of the chloride-based ILs for ibuprofen. </w:t>
      </w:r>
    </w:p>
    <w:p w14:paraId="70AE6D53" w14:textId="77777777" w:rsidR="00A5191E" w:rsidRDefault="00A5191E" w:rsidP="00FA2DA2">
      <w:pPr>
        <w:pStyle w:val="RSCB08CHeadingIn-line"/>
      </w:pPr>
    </w:p>
    <w:p w14:paraId="6EA4F173" w14:textId="77777777" w:rsidR="00A5191E" w:rsidRDefault="00A5191E" w:rsidP="00A5191E">
      <w:pPr>
        <w:pStyle w:val="RSCI05CaptiontoFigureSchemeChartwithbottombar"/>
        <w:rPr>
          <w:b/>
        </w:rPr>
      </w:pPr>
      <w:r>
        <w:rPr>
          <w:noProof/>
          <w:lang w:val="pt-PT" w:eastAsia="pt-PT"/>
        </w:rPr>
        <w:drawing>
          <wp:inline distT="0" distB="0" distL="0" distR="0" wp14:anchorId="6D35B4CD" wp14:editId="4066109D">
            <wp:extent cx="3168015" cy="242443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8977" b="2474"/>
                    <a:stretch/>
                  </pic:blipFill>
                  <pic:spPr bwMode="auto">
                    <a:xfrm>
                      <a:off x="0" y="0"/>
                      <a:ext cx="3168015" cy="2424430"/>
                    </a:xfrm>
                    <a:prstGeom prst="rect">
                      <a:avLst/>
                    </a:prstGeom>
                    <a:noFill/>
                    <a:ln>
                      <a:noFill/>
                    </a:ln>
                    <a:extLst>
                      <a:ext uri="{53640926-AAD7-44D8-BBD7-CCE9431645EC}">
                        <a14:shadowObscured xmlns:a14="http://schemas.microsoft.com/office/drawing/2010/main"/>
                      </a:ext>
                    </a:extLst>
                  </pic:spPr>
                </pic:pic>
              </a:graphicData>
            </a:graphic>
          </wp:inline>
        </w:drawing>
      </w:r>
    </w:p>
    <w:p w14:paraId="48CFC2FC" w14:textId="77777777" w:rsidR="00A5191E" w:rsidRDefault="00A5191E" w:rsidP="00A5191E">
      <w:pPr>
        <w:pStyle w:val="RSCI05CaptiontoFigureSchemeChartwithbottombar"/>
      </w:pPr>
      <w:r w:rsidRPr="009C69DC">
        <w:rPr>
          <w:b/>
        </w:rPr>
        <w:t xml:space="preserve">Figure </w:t>
      </w:r>
      <w:r>
        <w:rPr>
          <w:b/>
        </w:rPr>
        <w:t>5</w:t>
      </w:r>
      <w:r w:rsidRPr="009C69DC">
        <w:rPr>
          <w:b/>
        </w:rPr>
        <w:t xml:space="preserve">. </w:t>
      </w:r>
      <w:r w:rsidRPr="009C69DC">
        <w:rPr>
          <w:i/>
        </w:rPr>
        <w:t>K</w:t>
      </w:r>
      <w:r w:rsidRPr="009C69DC">
        <w:rPr>
          <w:vertAlign w:val="subscript"/>
        </w:rPr>
        <w:t>Hyd</w:t>
      </w:r>
      <w:r w:rsidRPr="009C69DC">
        <w:t xml:space="preserve"> values for ibuprofen using tosylate-, thiocyanate- and dicyanamide-based hydrotropes.</w:t>
      </w:r>
    </w:p>
    <w:p w14:paraId="65782146" w14:textId="77777777" w:rsidR="009222D0" w:rsidRDefault="009222D0" w:rsidP="008053DC">
      <w:pPr>
        <w:pStyle w:val="RSCB02ArticleText"/>
      </w:pPr>
    </w:p>
    <w:p w14:paraId="4CA17191" w14:textId="77777777" w:rsidR="009222D0" w:rsidRDefault="009222D0" w:rsidP="008053DC">
      <w:pPr>
        <w:pStyle w:val="RSCB02ArticleText"/>
      </w:pPr>
    </w:p>
    <w:p w14:paraId="41BD634D" w14:textId="77777777" w:rsidR="009222D0" w:rsidRDefault="009222D0" w:rsidP="009222D0">
      <w:pPr>
        <w:pStyle w:val="RSCI05CaptiontoFigureSchemeChartwithbottombar"/>
        <w:jc w:val="center"/>
      </w:pPr>
      <w:r>
        <w:rPr>
          <w:noProof/>
          <w:lang w:val="pt-PT" w:eastAsia="pt-PT"/>
        </w:rPr>
        <w:drawing>
          <wp:inline distT="0" distB="0" distL="0" distR="0" wp14:anchorId="26981F7E" wp14:editId="34FCF10D">
            <wp:extent cx="2592000" cy="2202343"/>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9419" r="15292" b="2770"/>
                    <a:stretch/>
                  </pic:blipFill>
                  <pic:spPr bwMode="auto">
                    <a:xfrm>
                      <a:off x="0" y="0"/>
                      <a:ext cx="2592000" cy="2202343"/>
                    </a:xfrm>
                    <a:prstGeom prst="rect">
                      <a:avLst/>
                    </a:prstGeom>
                    <a:noFill/>
                    <a:ln>
                      <a:noFill/>
                    </a:ln>
                    <a:extLst>
                      <a:ext uri="{53640926-AAD7-44D8-BBD7-CCE9431645EC}">
                        <a14:shadowObscured xmlns:a14="http://schemas.microsoft.com/office/drawing/2010/main"/>
                      </a:ext>
                    </a:extLst>
                  </pic:spPr>
                </pic:pic>
              </a:graphicData>
            </a:graphic>
          </wp:inline>
        </w:drawing>
      </w:r>
    </w:p>
    <w:p w14:paraId="1997483B" w14:textId="77777777" w:rsidR="009222D0" w:rsidRDefault="009222D0" w:rsidP="009222D0">
      <w:pPr>
        <w:pStyle w:val="RSCI05CaptiontoFigureSchemeChartwithbottombar"/>
      </w:pPr>
      <w:r w:rsidRPr="009C69DC">
        <w:rPr>
          <w:b/>
        </w:rPr>
        <w:t xml:space="preserve">Figure </w:t>
      </w:r>
      <w:r>
        <w:rPr>
          <w:b/>
        </w:rPr>
        <w:t>6</w:t>
      </w:r>
      <w:r w:rsidRPr="009C69DC">
        <w:rPr>
          <w:b/>
        </w:rPr>
        <w:t xml:space="preserve">. </w:t>
      </w:r>
      <w:r w:rsidRPr="009C69DC">
        <w:rPr>
          <w:i/>
        </w:rPr>
        <w:t>K</w:t>
      </w:r>
      <w:r w:rsidRPr="009C69DC">
        <w:rPr>
          <w:vertAlign w:val="subscript"/>
        </w:rPr>
        <w:t>Hyd</w:t>
      </w:r>
      <w:r w:rsidRPr="009C69DC">
        <w:t xml:space="preserve"> values of the [C</w:t>
      </w:r>
      <w:r w:rsidRPr="009C69DC">
        <w:rPr>
          <w:vertAlign w:val="subscript"/>
        </w:rPr>
        <w:t>4</w:t>
      </w:r>
      <w:r w:rsidRPr="009C69DC">
        <w:t>C</w:t>
      </w:r>
      <w:r w:rsidRPr="009C69DC">
        <w:rPr>
          <w:vertAlign w:val="subscript"/>
        </w:rPr>
        <w:t>1</w:t>
      </w:r>
      <w:r w:rsidRPr="009C69DC">
        <w:t>im]-based ILs for ibuprofen.</w:t>
      </w:r>
    </w:p>
    <w:p w14:paraId="28AFD54E" w14:textId="608FD29F" w:rsidR="008053DC" w:rsidRPr="007172DD" w:rsidRDefault="008053DC" w:rsidP="008053DC">
      <w:pPr>
        <w:pStyle w:val="RSCB02ArticleText"/>
      </w:pPr>
      <w:r>
        <w:t>The phenomenon of polymorphism is quite common among organic molecules, and many drugs can crystallize into different polymorp</w:t>
      </w:r>
      <w:r w:rsidR="00BE113D">
        <w:t>hic forms, including ibuprofen.</w:t>
      </w:r>
      <w:r w:rsidR="00BE113D">
        <w:fldChar w:fldCharType="begin" w:fldLock="1"/>
      </w:r>
      <w:r w:rsidR="00D56087">
        <w:instrText>ADDIN CSL_CITATION { "citationItems" : [ { "id" : "ITEM-1", "itemData" : { "DOI" : "10.3109/03639049809085644", "ISSN" : "0363-9045", "abstract" : "AbstractDifferent crystal forms of ibuprofen (IBF) were prepared using methods such as cooling hot solution of the drug and precipitation of crystals from the drug solution. Scanning electron microscopy (SEM), differential scanning calorimetry (DSC), melting point, x-ray powder diffractometry, infrared absorption spectroscopy (IR), and in vitro dissolution rate and stability studies were conducted to investigate various characteristics of different crystalline forms of the drug. Methods of preparation and nature of the solvents used in this study were found to have greater roles in changing the physicochemical properties of IBF.", "author" : [ { "dropping-particle" : "", "family" : "Khan", "given" : "Gul Majid", "non-dropping-particle" : "", "parse-names" : false, "suffix" : "" }, { "dropping-particle" : "", "family" : "Jiabi", "given" : "Zhu", "non-dropping-particle" : "", "parse-names" : false, "suffix" : "" } ], "container-title" : "Drug Development and Industrial Pharmacy", "id" : "ITEM-1", "issue" : "5", "issued" : { "date-parts" : [ [ "1998", "1", "20" ] ] }, "page" : "463-471", "publisher" : "Taylor &amp; Francis", "title" : "Preparation, Characterization, and Evaluation of Physicochemical Properties of Different Crystalline Forms of Ibuprofen", "type" : "article-journal", "volume" : "24" }, "uris" : [ "http://www.mendeley.com/documents/?uuid=c53c5e47-84d8-3b66-a312-15a134bbe883" ] }, { "id" : "ITEM-2", "itemData" : { "DOI" : "10.1021/cg900003m", "ISSN" : "1528-7483", "abstract" : "Ibuprofen sodium has been successfully micronized using the supercritical antisolvent (SAS) process. The influence of different process and operating parameters such as pressure, temperature, concentration, flow ratios, mixer design, and precipitator size on product characteristics (purity, particle size and morphology, and polymorphism) has been analyzed. It has been shown that with an adequate selection of process conditions it is possible to selectively produce either crystalline rodlike particles with particle sizes of 1\u22125 \u03bcm, or amorphous spherical particles with particle sizes of about 500 nm.", "author" : [ { "dropping-particle" : "", "family" : "Marti\u0301n", "given" : "A\u0301ngel", "non-dropping-particle" : "", "parse-names" : false, "suffix" : "" }, { "dropping-particle" : "", "family" : "Scholle", "given" : "Katharine", "non-dropping-particle" : "", "parse-names" : false, "suffix" : "" }, { "dropping-particle" : "", "family" : "Mattea", "given" : "Facundo", "non-dropping-particle" : "", "parse-names" : false, "suffix" : "" }, { "dropping-particle" : "", "family" : "Meterc", "given" : "Darja", "non-dropping-particle" : "", "parse-names" : false, "suffix" : "" }, { "dropping-particle" : "", "family" : "Cocero", "given" : "Mari\u0301a Jose\u0301", "non-dropping-particle" : "", "parse-names" : false, "suffix" : "" } ], "container-title" : "Crystal Growth &amp; Design", "id" : "ITEM-2", "issue" : "5", "issued" : { "date-parts" : [ [ "2009", "5", "6" ] ] }, "page" : "2504-2511", "publisher" : " American Chemical Society", "title" : "Production of Polymorphs of Ibuprofen Sodium by Supercritical Antisolvent (SAS) Precipitation", "type" : "article-journal", "volume" : "9" }, "uris" : [ "http://www.mendeley.com/documents/?uuid=5d003970-1bb5-32de-9806-4a1bb6798287" ] } ], "mendeley" : { "formattedCitation" : "&lt;sup&gt;56,57&lt;/sup&gt;", "plainTextFormattedCitation" : "56,57", "previouslyFormattedCitation" : "&lt;sup&gt;56,57&lt;/sup&gt;" }, "properties" : { "noteIndex" : 0 }, "schema" : "https://github.com/citation-style-language/schema/raw/master/csl-citation.json" }</w:instrText>
      </w:r>
      <w:r w:rsidR="00BE113D">
        <w:fldChar w:fldCharType="separate"/>
      </w:r>
      <w:r w:rsidR="00BE113D" w:rsidRPr="00BE113D">
        <w:rPr>
          <w:noProof/>
          <w:vertAlign w:val="superscript"/>
        </w:rPr>
        <w:t>56,57</w:t>
      </w:r>
      <w:r w:rsidR="00BE113D">
        <w:fldChar w:fldCharType="end"/>
      </w:r>
      <w:r w:rsidR="00BE113D">
        <w:t xml:space="preserve"> </w:t>
      </w:r>
      <w:r>
        <w:t>Thus, to evaluate the impact of the medium on the crystallization, s</w:t>
      </w:r>
      <w:r w:rsidRPr="00834F1B">
        <w:t xml:space="preserve">uitable crystals of ibuprofen </w:t>
      </w:r>
      <w:r w:rsidRPr="00915745">
        <w:t xml:space="preserve">precipitated in ethanol </w:t>
      </w:r>
      <w:r>
        <w:t>and</w:t>
      </w:r>
      <w:r w:rsidRPr="00915745">
        <w:t xml:space="preserve"> [C</w:t>
      </w:r>
      <w:r w:rsidRPr="00915745">
        <w:rPr>
          <w:vertAlign w:val="subscript"/>
        </w:rPr>
        <w:t>4</w:t>
      </w:r>
      <w:r w:rsidRPr="00915745">
        <w:t>C</w:t>
      </w:r>
      <w:r w:rsidRPr="00915745">
        <w:rPr>
          <w:vertAlign w:val="subscript"/>
        </w:rPr>
        <w:t>1</w:t>
      </w:r>
      <w:r w:rsidRPr="00915745">
        <w:t>im][SCN] solution were analy</w:t>
      </w:r>
      <w:r w:rsidR="00A864F4">
        <w:t>s</w:t>
      </w:r>
      <w:r w:rsidRPr="00915745">
        <w:t xml:space="preserve">ed by </w:t>
      </w:r>
      <w:r w:rsidR="00F31044">
        <w:t xml:space="preserve">powder and </w:t>
      </w:r>
      <w:r w:rsidRPr="00915745">
        <w:t xml:space="preserve">single crystal X-ray diffraction and optical microscopy. </w:t>
      </w:r>
      <w:r w:rsidRPr="00834F1B">
        <w:t xml:space="preserve">The lattice parameters of the unit </w:t>
      </w:r>
      <w:r w:rsidRPr="00BD6E25">
        <w:t xml:space="preserve">cell </w:t>
      </w:r>
      <w:r w:rsidR="00BD6E25">
        <w:t>(</w:t>
      </w:r>
      <w:r w:rsidR="00BD6E25" w:rsidRPr="00BD6E25">
        <w:rPr>
          <w:i/>
        </w:rPr>
        <w:t>a</w:t>
      </w:r>
      <w:r w:rsidR="00BD6E25" w:rsidRPr="00BD6E25">
        <w:t xml:space="preserve"> 14.5337(17) Å; </w:t>
      </w:r>
      <w:r w:rsidR="00BD6E25" w:rsidRPr="00BD6E25">
        <w:rPr>
          <w:i/>
        </w:rPr>
        <w:t>b</w:t>
      </w:r>
      <w:r w:rsidR="00BD6E25" w:rsidRPr="00BD6E25">
        <w:t xml:space="preserve"> 7.8500(8) Å; </w:t>
      </w:r>
      <w:r w:rsidR="00BD6E25" w:rsidRPr="00BD6E25">
        <w:rPr>
          <w:i/>
        </w:rPr>
        <w:t>c</w:t>
      </w:r>
      <w:r w:rsidR="00BD6E25" w:rsidRPr="00BD6E25">
        <w:t xml:space="preserve"> 10.5382 (13) Å; </w:t>
      </w:r>
      <w:r w:rsidR="00BD6E25" w:rsidRPr="00BD6E25">
        <w:sym w:font="Symbol" w:char="F061"/>
      </w:r>
      <w:r w:rsidR="00BD6E25" w:rsidRPr="00BD6E25">
        <w:t xml:space="preserve"> 90°; β 99.533(4)°; γ 90°</w:t>
      </w:r>
      <w:r w:rsidR="00BD6E25">
        <w:t>)</w:t>
      </w:r>
      <w:r w:rsidR="00BD6E25" w:rsidRPr="00BD6E25">
        <w:t xml:space="preserve"> </w:t>
      </w:r>
      <w:r w:rsidRPr="00834F1B">
        <w:t>were in agreement with its crystallographic data reported in Cambridge Crystallographic Data Centre (</w:t>
      </w:r>
      <w:r w:rsidR="00F31044" w:rsidRPr="00F31044">
        <w:t>www.ccdc.cam.ac.uk/data_request/cif</w:t>
      </w:r>
      <w:r w:rsidRPr="00834F1B">
        <w:t>)</w:t>
      </w:r>
      <w:r w:rsidR="00F31044">
        <w:t xml:space="preserve"> (see Figure S</w:t>
      </w:r>
      <w:r w:rsidR="003452F1">
        <w:t>2</w:t>
      </w:r>
      <w:r w:rsidR="00F31044">
        <w:t xml:space="preserve"> in the Supporting Information)</w:t>
      </w:r>
      <w:r w:rsidRPr="00834F1B">
        <w:t>.</w:t>
      </w:r>
      <w:r>
        <w:t xml:space="preserve"> </w:t>
      </w:r>
      <w:r w:rsidR="00154ABC">
        <w:t>A</w:t>
      </w:r>
      <w:r w:rsidRPr="00915745">
        <w:t>lthough the same unit cell</w:t>
      </w:r>
      <w:r w:rsidR="00A864F4">
        <w:t xml:space="preserve"> was observed</w:t>
      </w:r>
      <w:r w:rsidRPr="00915745">
        <w:t>,</w:t>
      </w:r>
      <w:r w:rsidR="00154ABC">
        <w:t xml:space="preserve"> and no significant differences were identified in the power diffractogram (Figure S</w:t>
      </w:r>
      <w:r w:rsidR="003452F1">
        <w:t>2</w:t>
      </w:r>
      <w:r w:rsidR="00154ABC">
        <w:t>),</w:t>
      </w:r>
      <w:r w:rsidRPr="00915745">
        <w:t xml:space="preserve"> the </w:t>
      </w:r>
      <w:r w:rsidR="00154ABC">
        <w:t xml:space="preserve">crystals precipitated from the two media show </w:t>
      </w:r>
      <w:r w:rsidRPr="00915745">
        <w:t xml:space="preserve">different crystal habit </w:t>
      </w:r>
      <w:r w:rsidR="00154ABC">
        <w:t>with</w:t>
      </w:r>
      <w:r w:rsidR="003452F1">
        <w:t xml:space="preserve"> </w:t>
      </w:r>
      <w:r w:rsidRPr="00915745">
        <w:t>significant differences in</w:t>
      </w:r>
      <w:r w:rsidR="0065256B">
        <w:t xml:space="preserve"> the</w:t>
      </w:r>
      <w:r w:rsidRPr="00915745">
        <w:t xml:space="preserve"> ibuprofen crystal morphology, as shown in Supporting Information, Figure S</w:t>
      </w:r>
      <w:r w:rsidR="003452F1">
        <w:t>3</w:t>
      </w:r>
      <w:r w:rsidRPr="00915745">
        <w:t>.</w:t>
      </w:r>
      <w:r w:rsidR="003B0A98">
        <w:fldChar w:fldCharType="begin" w:fldLock="1"/>
      </w:r>
      <w:r w:rsidR="00BE113D">
        <w:instrText>ADDIN CSL_CITATION { "citationItems" : [ { "id" : "ITEM-1", "itemData" : { "DOI" : "10.1081/DDC-120014575", "ISSN" : "0363-9045", "PMID" : "12455467", "abstract" : "Different crystal forms of the analgesic drug ibuprofen were prepared and characterized in this study. Various conditions were used for the crystallization: crystallization was carried out using the solvent change method, the temperature change method, and the solvent evaporation method. Crystals were grown from different solvents. Different crystal forms with different properties were observed: cubic, needle-shaped, and plate-shaped crystals were obtained. Spherical agglomeration occurs when crystallization is carried out in acetonitrile or methanol. Flowability of these spherical crystals is increased. All crystals were determined as isomorphic by differential scanning calorimetry and x-ray analysis--which queries doubtful results of recent publications. Properties like dissolution behavior and properties influencing the manufacturing of dosage forms--like flowability--differ. Thus the choice of the optimal preparation method influencing the crystal habit is important in manufacturing the drug ibuprofen.", "author" : [ { "dropping-particle" : "", "family" : "Rasenack", "given" : "N.", "non-dropping-particle" : "", "parse-names" : false, "suffix" : "" }, { "dropping-particle" : "", "family" : "M\u00fcller", "given" : "B. W.", "non-dropping-particle" : "", "parse-names" : false, "suffix" : "" } ], "container-title" : "Drug Development and Industrial Pharmacy", "id" : "ITEM-1", "issue" : "9", "issued" : { "date-parts" : [ [ "2002", "1", "10" ] ] }, "page" : "1077-1089", "title" : "Properties of Ibuprofen Crystallized Under Various Conditions: A Comparative Study", "type" : "article-journal", "volume" : "28" }, "uris" : [ "http://www.mendeley.com/documents/?uuid=132660e6-fb84-37f5-99fe-0ad0f2f9a90b" ] }, { "id" : "ITEM-2", "itemData" : { "DOI" : "10.1021/acs.jpcb.7b07763", "ISSN" : "1520-6106", "PMID" : "29017013", "abstract" : "The structural evolvement of a solute determines the crystallization outcome. The self-association mechanism leading to nucleation, however, remains poorly understood. Our current study explored the solution chemistry of a model compound, tolfenamic acid (TFA), in three different solvents mainly by solution NMR. It was found that hydrogen-bonded pairs of solute-solute or solute-solvent stack with each through forming a much weaker \u03c0-\u03c0 interaction as the concentration increases. Depending on the solvent, configurations of the solution species may be retained in the resultant crystal structure or undergo rearrangement. Yet, the \u03c0-\u03c0 stacking is always retained in the crystal regardless of the solvent used for the crystallization. The finding suggests that nucleation not only involves the primary intermolecular interaction (hydrogen bonding) but also engages the secondary forces in the self-assembly process.", "author" : [ { "dropping-particle" : "", "family" : "Tang", "given" : "Weiwei", "non-dropping-particle" : "", "parse-names" : false, "suffix" : "" }, { "dropping-particle" : "", "family" : "Mo", "given" : "Huaping", "non-dropping-particle" : "", "parse-names" : false, "suffix" : "" }, { "dropping-particle" : "", "family" : "Zhang", "given" : "Mingtao", "non-dropping-particle" : "", "parse-names" : false, "suffix" : "" }, { "dropping-particle" : "", "family" : "Parkin", "given" : "Sean", "non-dropping-particle" : "", "parse-names" : false, "suffix" : "" }, { "dropping-particle" : "", "family" : "Gong", "given" : "Junbo", "non-dropping-particle" : "", "parse-names" : false, "suffix" : "" }, { "dropping-particle" : "", "family" : "Wang", "given" : "Jingkang", "non-dropping-particle" : "", "parse-names" : false, "suffix" : "" }, { "dropping-particle" : "", "family" : "Li", "given" : "Tonglei", "non-dropping-particle" : "", "parse-names" : false, "suffix" : "" } ], "container-title" : "The Journal of Physical Chemistry B", "id" : "ITEM-2", "issue" : "43", "issued" : { "date-parts" : [ [ "2017", "11", "2" ] ] }, "page" : "10118-10124", "title" : "Persistent Self-Association of Solute Molecules in Solution", "type" : "article-journal", "volume" : "121" }, "uris" : [ "http://www.mendeley.com/documents/?uuid=9eb7ae49-a9c8-3170-bdca-d307b24ed32c" ] } ], "mendeley" : { "formattedCitation" : "&lt;sup&gt;58,59&lt;/sup&gt;", "plainTextFormattedCitation" : "58,59", "previouslyFormattedCitation" : "&lt;sup&gt;58,59&lt;/sup&gt;" }, "properties" : { "noteIndex" : 0 }, "schema" : "https://github.com/citation-style-language/schema/raw/master/csl-citation.json" }</w:instrText>
      </w:r>
      <w:r w:rsidR="003B0A98">
        <w:fldChar w:fldCharType="separate"/>
      </w:r>
      <w:r w:rsidR="00BE113D" w:rsidRPr="00BE113D">
        <w:rPr>
          <w:noProof/>
          <w:vertAlign w:val="superscript"/>
        </w:rPr>
        <w:t>58,59</w:t>
      </w:r>
      <w:r w:rsidR="003B0A98">
        <w:fldChar w:fldCharType="end"/>
      </w:r>
      <w:r>
        <w:t xml:space="preserve"> </w:t>
      </w:r>
      <w:r w:rsidRPr="00915745">
        <w:t>When the crystallization is carried out in ethanol, plate-shape crystals were observed, as well as some tube-shape crystals with the solvent evaporation. On the other hand, when the ibuprofen is precipitated from the aqueous solution of [C</w:t>
      </w:r>
      <w:r w:rsidRPr="00915745">
        <w:rPr>
          <w:vertAlign w:val="subscript"/>
        </w:rPr>
        <w:t>4</w:t>
      </w:r>
      <w:r w:rsidRPr="00915745">
        <w:t>C</w:t>
      </w:r>
      <w:r w:rsidRPr="00915745">
        <w:rPr>
          <w:vertAlign w:val="subscript"/>
        </w:rPr>
        <w:t>1</w:t>
      </w:r>
      <w:r w:rsidRPr="00915745">
        <w:t xml:space="preserve">im][SCN], needle- and plate-shape crystals were obtained. </w:t>
      </w:r>
    </w:p>
    <w:p w14:paraId="7C96CF60" w14:textId="77777777" w:rsidR="00897356" w:rsidRDefault="00897356" w:rsidP="00897356">
      <w:pPr>
        <w:pStyle w:val="RSCB02ArticleText"/>
      </w:pPr>
    </w:p>
    <w:p w14:paraId="409E7F00" w14:textId="77777777" w:rsidR="00897356" w:rsidRDefault="00897356" w:rsidP="00897356">
      <w:pPr>
        <w:pStyle w:val="RSCB06BHeadingSub-Section"/>
      </w:pPr>
      <w:r w:rsidRPr="00BF5CA6">
        <w:t>Molecular dynamics simulations</w:t>
      </w:r>
    </w:p>
    <w:p w14:paraId="1B7AF6D9" w14:textId="4BBE24A6" w:rsidR="00897356" w:rsidRDefault="00897356" w:rsidP="00897356">
      <w:pPr>
        <w:pStyle w:val="RSCB02ArticleText"/>
      </w:pPr>
      <w:r>
        <w:t xml:space="preserve">Since the best results on the hydrotropic solubilization of ibuprofen were achieved with </w:t>
      </w:r>
      <w:r w:rsidRPr="00752D85">
        <w:t>[C</w:t>
      </w:r>
      <w:r w:rsidRPr="00752D85">
        <w:rPr>
          <w:vertAlign w:val="subscript"/>
        </w:rPr>
        <w:t>4</w:t>
      </w:r>
      <w:r w:rsidRPr="00752D85">
        <w:t>C</w:t>
      </w:r>
      <w:r w:rsidRPr="00752D85">
        <w:rPr>
          <w:vertAlign w:val="subscript"/>
        </w:rPr>
        <w:t>1</w:t>
      </w:r>
      <w:r w:rsidRPr="00752D85">
        <w:t>im][N(CN)</w:t>
      </w:r>
      <w:r w:rsidRPr="00752D85">
        <w:rPr>
          <w:vertAlign w:val="subscript"/>
        </w:rPr>
        <w:t>2</w:t>
      </w:r>
      <w:r w:rsidRPr="00752D85">
        <w:t>] and [C</w:t>
      </w:r>
      <w:r w:rsidRPr="00752D85">
        <w:rPr>
          <w:vertAlign w:val="subscript"/>
        </w:rPr>
        <w:t>4</w:t>
      </w:r>
      <w:r w:rsidRPr="00752D85">
        <w:t>C</w:t>
      </w:r>
      <w:r w:rsidRPr="00752D85">
        <w:rPr>
          <w:vertAlign w:val="subscript"/>
        </w:rPr>
        <w:t>1</w:t>
      </w:r>
      <w:r w:rsidRPr="00752D85">
        <w:t>im][SCN]</w:t>
      </w:r>
      <w:r w:rsidR="00527748">
        <w:t>,</w:t>
      </w:r>
      <w:r>
        <w:t xml:space="preserve"> these compounds were selected to carry the MD simulations aimed at understanding the molecular mechanism of hydrotropic solublization, and the role of the cation and anion on the process. </w:t>
      </w:r>
    </w:p>
    <w:p w14:paraId="575CA01F" w14:textId="77777777" w:rsidR="00897356" w:rsidRDefault="00897356" w:rsidP="00897356">
      <w:pPr>
        <w:pStyle w:val="RSCB02ArticleText"/>
      </w:pPr>
      <w:r w:rsidRPr="00316AEA">
        <w:t xml:space="preserve">Hydrotropic phenomena occurring in IL aqueous solutions have been previously probed from a </w:t>
      </w:r>
      <w:r>
        <w:t>microscopic</w:t>
      </w:r>
      <w:r w:rsidRPr="00316AEA">
        <w:t xml:space="preserve"> perspective using Molecular Dynamics simulations.</w:t>
      </w:r>
      <w:r w:rsidRPr="009915BD">
        <w:fldChar w:fldCharType="begin" w:fldLock="1"/>
      </w:r>
      <w:r>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rsidRPr="009915BD">
        <w:fldChar w:fldCharType="separate"/>
      </w:r>
      <w:r w:rsidRPr="00615FB0">
        <w:rPr>
          <w:noProof/>
          <w:vertAlign w:val="superscript"/>
        </w:rPr>
        <w:t>32</w:t>
      </w:r>
      <w:r w:rsidRPr="009915BD">
        <w:fldChar w:fldCharType="end"/>
      </w:r>
      <w:r w:rsidRPr="00316AEA">
        <w:t xml:space="preserve"> The MD results confirmed the existence of co-aggregates between the hydrophobic solute and the IL ions in aqueous solution and have shown that in the case of IL aqueous solutions containing vanillin, the hydrotrope effect was achieved </w:t>
      </w:r>
      <w:r w:rsidRPr="00EA477E">
        <w:rPr>
          <w:i/>
        </w:rPr>
        <w:t>via</w:t>
      </w:r>
      <w:r w:rsidRPr="00316AEA">
        <w:t xml:space="preserve"> the synergy between specific vanillin-cation, cation-anion and anion-water interactions. The goal of the present MD study is to confirm if those mechanisms are still valid for poorly water-soluble</w:t>
      </w:r>
      <w:r w:rsidRPr="00100A0C">
        <w:t xml:space="preserve"> </w:t>
      </w:r>
      <w:r>
        <w:t xml:space="preserve">substances like </w:t>
      </w:r>
      <w:r w:rsidRPr="00100A0C">
        <w:t>ibuprofen</w:t>
      </w:r>
      <w:r>
        <w:t>. All simulations were performed using ibuprofen as the solute. The very low solubility of ibuprofen posed important obstacles to the correct implementation of the simulation runs: even in cases where the solubility of ibuprofen in IL aqueous solutions is 100 times greater than that in pure water, the corresponding ibuprofen concentrations are still very small (10-30 mM solutions). This means that either the simulation boxes have adequate sizes but there are too few solute molecules, or the number of solute molecules is adequate but the boxes are too big and the simulations will take too long.  This was not an issue in the previous MD study involving vanillin solutes since the solubility of vanillin in pure water is larger than the hydrotrope-enhanced solubility of ibuprofen in IL aqueous solutions.</w:t>
      </w:r>
      <w:r>
        <w:fldChar w:fldCharType="begin" w:fldLock="1"/>
      </w:r>
      <w:r>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fldChar w:fldCharType="separate"/>
      </w:r>
      <w:r w:rsidRPr="00615FB0">
        <w:rPr>
          <w:noProof/>
          <w:vertAlign w:val="superscript"/>
        </w:rPr>
        <w:t>32</w:t>
      </w:r>
      <w:r>
        <w:fldChar w:fldCharType="end"/>
      </w:r>
      <w:r>
        <w:t xml:space="preserve"> Since the study of co-aggregates in solutions with just one (or very few) solute molecules is a </w:t>
      </w:r>
      <w:r w:rsidRPr="006956AD">
        <w:rPr>
          <w:i/>
        </w:rPr>
        <w:t>non-sequitur</w:t>
      </w:r>
      <w:r w:rsidRPr="006956AD">
        <w:t>, we</w:t>
      </w:r>
      <w:r>
        <w:t xml:space="preserve"> have decided to perform the simulations in conditions well above the solubility limit of ibuprofen in water. This means that, unlike the vanillin case, we will not be able to compare undissolved and dissolved solute (in pure water and IL aqueous solutions, respectively) but rather undissolved ibuprofen interacting in the two types of media.</w:t>
      </w:r>
    </w:p>
    <w:p w14:paraId="1777B56F" w14:textId="77777777" w:rsidR="00897356" w:rsidRDefault="00897356" w:rsidP="00897356">
      <w:pPr>
        <w:pStyle w:val="RSCB02ArticleText"/>
      </w:pPr>
      <w:r w:rsidRPr="00F116D4">
        <w:t xml:space="preserve">Figure </w:t>
      </w:r>
      <w:r>
        <w:t>7 shows three simulations snapshots corresponding to ibuprofen in pure water (panel A) and ibuprofen in [C</w:t>
      </w:r>
      <w:r w:rsidRPr="00F6381A">
        <w:rPr>
          <w:vertAlign w:val="subscript"/>
        </w:rPr>
        <w:t>4</w:t>
      </w:r>
      <w:r>
        <w:t>C</w:t>
      </w:r>
      <w:r w:rsidRPr="00703CCC">
        <w:rPr>
          <w:vertAlign w:val="subscript"/>
        </w:rPr>
        <w:t>1</w:t>
      </w:r>
      <w:r>
        <w:t>im][N(CN)</w:t>
      </w:r>
      <w:r w:rsidRPr="00F6381A">
        <w:rPr>
          <w:vertAlign w:val="subscript"/>
        </w:rPr>
        <w:t>2</w:t>
      </w:r>
      <w:r>
        <w:t>] (panel B) and  [C</w:t>
      </w:r>
      <w:r w:rsidRPr="00F6381A">
        <w:rPr>
          <w:vertAlign w:val="subscript"/>
        </w:rPr>
        <w:t>4</w:t>
      </w:r>
      <w:r>
        <w:t>C</w:t>
      </w:r>
      <w:r w:rsidRPr="00703CCC">
        <w:rPr>
          <w:vertAlign w:val="subscript"/>
        </w:rPr>
        <w:t>1</w:t>
      </w:r>
      <w:r>
        <w:t xml:space="preserve">im][SCN] (panel C) aqueous solutions (1 M IL concentrations). The ibuprofen concentration is </w:t>
      </w:r>
      <w:r w:rsidRPr="00D626D5">
        <w:t>1</w:t>
      </w:r>
      <w:r>
        <w:t>.2 M in the pure water and 1</w:t>
      </w:r>
      <w:r w:rsidR="00527748">
        <w:t xml:space="preserve"> </w:t>
      </w:r>
      <w:r>
        <w:t>M in the IL aqueous solutions. In all cases</w:t>
      </w:r>
      <w:r w:rsidR="00527748">
        <w:t>,</w:t>
      </w:r>
      <w:r>
        <w:t xml:space="preserve"> the ibuprofen occupy an important part of the simulation box (20% in volume) and, as expected, the two-phase nature of the system is evident. Aggregation analyses (small graph insets in each panel) quantify such state of affairs: all ibuprofen molecules remain aggregated to each other even when in contact with the IL aqueous solutions. Although this implies that in terms of solubilisation of the ibuprofen molecules nothing significant is happening —the amount of water-rich phases are simply too small to see any difference between pure water and the IL aqueous solutions in terms of their saturation by ibuprofen molecules — this does not mean that the molecular mechanisms responsible for the hydrotrope effects are absent in the IL aqueous solutions. In fact</w:t>
      </w:r>
      <w:r w:rsidR="00527748">
        <w:t>,</w:t>
      </w:r>
      <w:r>
        <w:t xml:space="preserve"> the ibuprofen molecules are sensitive to the media where they are immersed, as attested by the orientation of the hydroxyl groups of the ibuprofen molecules at the surface of the ibuprofen sub-phase towards the aqueous sub-phase.</w:t>
      </w:r>
    </w:p>
    <w:p w14:paraId="66781393" w14:textId="77777777" w:rsidR="008E2402" w:rsidRDefault="008E2402" w:rsidP="008E2402">
      <w:pPr>
        <w:pStyle w:val="RSCB02ArticleText"/>
      </w:pPr>
      <w:r w:rsidRPr="00F116D4">
        <w:t xml:space="preserve">Figure </w:t>
      </w:r>
      <w:r>
        <w:t>8 shows aggregate analyses between the ions of the IL present in the IL aqueous solutions and the ibuprofen molecules. These analyses are complemented by radial distribution functions (RDFs) between selected sites in the ions (most acidic hydrogen atoms in the imidazolium cation, HCR; nitrogen or sulfur atoms in the anions) and in the ibuprofen molecule (oxygen and hydrogen atoms of the hydroxyl group). The results show that there are important interactions between the IL ions and the ibuprofen molecules and an extensive network formed by the ions (mainly the cations) and the ibuprofen molecules at the surface of the ibuprofen sub-phase.</w:t>
      </w:r>
    </w:p>
    <w:p w14:paraId="2793EDB5" w14:textId="2E8B30EC" w:rsidR="008E2402" w:rsidRDefault="00527748" w:rsidP="008E2402">
      <w:pPr>
        <w:pStyle w:val="RSCB02ArticleText"/>
      </w:pPr>
      <w:r>
        <w:t>Actually</w:t>
      </w:r>
      <w:r w:rsidR="008E2402">
        <w:t>, the aggregation patterns shown between the ibuprofen molecules and the IL ions are very similar to those found between the same ions and the vanillin molecules in a previous study</w:t>
      </w:r>
      <w:r w:rsidR="008E2402">
        <w:fldChar w:fldCharType="begin" w:fldLock="1"/>
      </w:r>
      <w:r w:rsidR="008E2402">
        <w:instrText>ADDIN CSL_CITATION { "citationItems" : [ { "id" : "ITEM-1", "itemData" : { "DOI" : "10.1039/c5gc00712g", "ISBN" : "1463-9262", "abstract" : "Hydrotropes are compounds able to enhance the solubility of hydrophobic substances in aqueous media and therefore are widely used in the formulation of drugs, cleaning and personal care products. In this work, it is shown that ionic liquids are a new class of powerful catanionic hydrotropes where both the cation and the anion synergistically contribute to increase the solubility of biomolecules in water. The effects of the ionic liquid chemical structures, their concentration and the temperature on the solubility of two model biomolecules, vanillin and gallic acid were evaluated and compared with the performance of conventional hydrotropes. The solubility of these two biomolecules was studied in the entire composition range, from pure water to pure ionic liquids, and an increase in the solubility of up to 40-fold was observed, confirming the potential of ionic liquids to act as hydrotropes. Using dynamic light scattering, NMR and molecular dynamics simulations, it was possible to infer that the enhanced solubility of the biomolecule in the IL aqueous solutions is related to the formation of ionic-liquid-biomolecules aggregates. Finally, it was demonstrated that hydrotropy induced by ionic liquids can be used to recover solutes from aqueous media by precipitation, simply by using water as an anti-solvent. The results reported here have a significant impact on the understanding of the role of ionic liquid aqueous solutions in the extraction of value-added compounds from biomass as well as in the design of novel processes for their recovery from aqueous media.", "author" : [ { "dropping-particle" : "", "family" : "Claudio", "given" : "Ana Filipa M", "non-dropping-particle" : "", "parse-names" : false, "suffix" : "" }, { "dropping-particle" : "", "family" : "Neves", "given" : "Marcia C", "non-dropping-particle" : "", "parse-names" : false, "suffix" : "" }, { "dropping-particle" : "", "family" : "Shimizu", "given" : "Karina", "non-dropping-particle" : "", "parse-names" : false, "suffix" : "" }, { "dropping-particle" : "", "family" : "Canongia Lopes", "given" : "Jose N", "non-dropping-particle" : "", "parse-names" : false, "suffix" : "" }, { "dropping-particle" : "", "family" : "Freire", "given" : "Mara G", "non-dropping-particle" : "", "parse-names" : false, "suffix" : "" }, { "dropping-particle" : "", "family" : "Coutinho", "given" : "Joao A P", "non-dropping-particle" : "", "parse-names" : false, "suffix" : "" } ], "container-title" : "Green Chemistry", "id" : "ITEM-1", "issue" : "7", "issued" : { "date-parts" : [ [ "2015" ] ] }, "page" : "3948-3963", "publisher" : "The Royal Society of Chemistry", "title" : "The magic of aqueous solutions of ionic liquids: ionic liquids as a powerful class of catanionic hydrotropes", "type" : "article-journal", "volume" : "17" }, "uris" : [ "http://www.mendeley.com/documents/?uuid=892508fe-c814-4413-92b8-2061852d4ab4" ] } ], "mendeley" : { "formattedCitation" : "&lt;sup&gt;32&lt;/sup&gt;", "plainTextFormattedCitation" : "32", "previouslyFormattedCitation" : "&lt;sup&gt;32&lt;/sup&gt;" }, "properties" : { "noteIndex" : 0 }, "schema" : "https://github.com/citation-style-language/schema/raw/master/csl-citation.json" }</w:instrText>
      </w:r>
      <w:r w:rsidR="008E2402">
        <w:fldChar w:fldCharType="separate"/>
      </w:r>
      <w:r w:rsidR="008E2402" w:rsidRPr="00615FB0">
        <w:rPr>
          <w:noProof/>
          <w:vertAlign w:val="superscript"/>
        </w:rPr>
        <w:t>32</w:t>
      </w:r>
      <w:r w:rsidR="008E2402">
        <w:fldChar w:fldCharType="end"/>
      </w:r>
      <w:r w:rsidR="008E2402" w:rsidRPr="0079672F">
        <w:t xml:space="preserve"> </w:t>
      </w:r>
      <w:r w:rsidR="008E2402">
        <w:t xml:space="preserve">(for comparison purposes we have also included the corresponding graphs in Figure 8). This means that the molecular mechanisms responsible for the hydrotrope effect are already in place even for molecules with extremely low water solubility: the IL ions are already being used as interaction mediators between the two sub-phases present in the system. </w:t>
      </w:r>
    </w:p>
    <w:p w14:paraId="71130388" w14:textId="77777777" w:rsidR="00A06A07" w:rsidRDefault="00A06A07" w:rsidP="008E2402">
      <w:pPr>
        <w:pStyle w:val="RSCB02ArticleText"/>
      </w:pPr>
    </w:p>
    <w:p w14:paraId="017B5CE4" w14:textId="77777777" w:rsidR="00A5191E" w:rsidRDefault="008E2402" w:rsidP="00FA2DA2">
      <w:pPr>
        <w:pStyle w:val="RSCB08CHeadingIn-line"/>
      </w:pPr>
      <w:r>
        <w:rPr>
          <w:noProof/>
          <w:lang w:val="pt-PT" w:eastAsia="pt-PT"/>
        </w:rPr>
        <w:drawing>
          <wp:inline distT="0" distB="0" distL="0" distR="0" wp14:anchorId="66B8561D" wp14:editId="48CC80EF">
            <wp:extent cx="3168015" cy="3608653"/>
            <wp:effectExtent l="0" t="0" r="0" b="0"/>
            <wp:docPr id="19" name="Picture 3" descr="MacHD:Users:zenuno:Desktop:fig_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zenuno:Desktop:fig_md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3" r="7064"/>
                    <a:stretch/>
                  </pic:blipFill>
                  <pic:spPr bwMode="auto">
                    <a:xfrm>
                      <a:off x="0" y="0"/>
                      <a:ext cx="3168015" cy="3608653"/>
                    </a:xfrm>
                    <a:prstGeom prst="rect">
                      <a:avLst/>
                    </a:prstGeom>
                    <a:noFill/>
                    <a:ln>
                      <a:noFill/>
                    </a:ln>
                    <a:extLst>
                      <a:ext uri="{53640926-AAD7-44D8-BBD7-CCE9431645EC}">
                        <a14:shadowObscured xmlns:a14="http://schemas.microsoft.com/office/drawing/2010/main"/>
                      </a:ext>
                    </a:extLst>
                  </pic:spPr>
                </pic:pic>
              </a:graphicData>
            </a:graphic>
          </wp:inline>
        </w:drawing>
      </w:r>
    </w:p>
    <w:p w14:paraId="74A73A44" w14:textId="77777777" w:rsidR="008E2402" w:rsidRPr="00B7448B" w:rsidRDefault="008E2402" w:rsidP="008E2402">
      <w:pPr>
        <w:pStyle w:val="RSCI05CaptiontoFigureSchemeChartwithbottombar"/>
      </w:pPr>
      <w:r w:rsidRPr="00F116D4">
        <w:rPr>
          <w:b/>
        </w:rPr>
        <w:t xml:space="preserve">Figure </w:t>
      </w:r>
      <w:r>
        <w:rPr>
          <w:b/>
        </w:rPr>
        <w:t>7</w:t>
      </w:r>
      <w:r w:rsidRPr="00F116D4">
        <w:rPr>
          <w:b/>
        </w:rPr>
        <w:t>.</w:t>
      </w:r>
      <w:r w:rsidRPr="00B7448B">
        <w:rPr>
          <w:b/>
        </w:rPr>
        <w:t xml:space="preserve"> </w:t>
      </w:r>
      <w:r w:rsidRPr="00B7448B">
        <w:t xml:space="preserve">Simulation snapshots and discrete probability distribution functions of aggregate sizes, </w:t>
      </w:r>
      <w:r w:rsidRPr="00B7448B">
        <w:rPr>
          <w:i/>
        </w:rPr>
        <w:t>P</w:t>
      </w:r>
      <w:r w:rsidRPr="00B7448B">
        <w:t>(</w:t>
      </w:r>
      <w:r w:rsidRPr="00B7448B">
        <w:rPr>
          <w:i/>
        </w:rPr>
        <w:t>n</w:t>
      </w:r>
      <w:r w:rsidRPr="00B7448B">
        <w:rPr>
          <w:vertAlign w:val="subscript"/>
        </w:rPr>
        <w:t>a</w:t>
      </w:r>
      <w:r w:rsidRPr="00B7448B">
        <w:t xml:space="preserve">), for ibuprofen in pure water (a) and in aqueous solutions of </w:t>
      </w:r>
      <w:r w:rsidR="00076458">
        <w:t>[C</w:t>
      </w:r>
      <w:r w:rsidR="00076458" w:rsidRPr="00154ABC">
        <w:rPr>
          <w:vertAlign w:val="subscript"/>
        </w:rPr>
        <w:t>4</w:t>
      </w:r>
      <w:r w:rsidR="00076458">
        <w:t>C</w:t>
      </w:r>
      <w:r w:rsidR="00076458" w:rsidRPr="00154ABC">
        <w:rPr>
          <w:vertAlign w:val="subscript"/>
        </w:rPr>
        <w:t>1</w:t>
      </w:r>
      <w:r w:rsidR="00076458">
        <w:t>im][N(CN)</w:t>
      </w:r>
      <w:r w:rsidR="00076458" w:rsidRPr="00154ABC">
        <w:rPr>
          <w:vertAlign w:val="subscript"/>
        </w:rPr>
        <w:t>2</w:t>
      </w:r>
      <w:r w:rsidR="00076458">
        <w:t>]</w:t>
      </w:r>
      <w:r w:rsidRPr="00B7448B">
        <w:t xml:space="preserve"> (b) and </w:t>
      </w:r>
      <w:r w:rsidR="00076458">
        <w:t>[C</w:t>
      </w:r>
      <w:r w:rsidR="00076458" w:rsidRPr="0071394B">
        <w:rPr>
          <w:vertAlign w:val="subscript"/>
        </w:rPr>
        <w:t>4</w:t>
      </w:r>
      <w:r w:rsidR="00076458">
        <w:t>C</w:t>
      </w:r>
      <w:r w:rsidR="00076458" w:rsidRPr="0071394B">
        <w:rPr>
          <w:vertAlign w:val="subscript"/>
        </w:rPr>
        <w:t>1</w:t>
      </w:r>
      <w:r w:rsidR="00076458">
        <w:t>im][SCN]</w:t>
      </w:r>
      <w:r w:rsidR="00076458" w:rsidRPr="00B7448B">
        <w:t xml:space="preserve"> </w:t>
      </w:r>
      <w:r w:rsidRPr="00B7448B">
        <w:t xml:space="preserve"> (c). The snapshots depict ibuprofen as space-filled molecules in CPK colors; water molecules as white dots and ionic liquid ions as blue (cation) and red (anion) wireframes. The histogram functions correspond to ibuprofen clusters (red bars), the anion-water network (blue) and the ionic liquid polar aggregates (green). </w:t>
      </w:r>
    </w:p>
    <w:p w14:paraId="4E733FAF" w14:textId="77777777" w:rsidR="00A06A07" w:rsidRDefault="00A06A07" w:rsidP="00A06A07">
      <w:pPr>
        <w:pStyle w:val="RSCB02ArticleText"/>
      </w:pPr>
      <w:r>
        <w:t>The big difference between the vanillin and ibuprofen systems in the concentration ranges analyzed by MD is that in the former case such interactions are sufficient to overcome the interactions between the (smaller) vanillin molecules, whereas in the latter case the stronger interactions between the larger hydrocarbon moieties of ibuprofen prevent such outcome. In other words, if simulations with ibuprofen solutions 100 times more diluted were performed (simulation boxes with 100 times more aqueous subphase) one would see dissolution patterns in pure water and in the IL aqueous solutions similar to those already witnessed for vanillin at much higher concentrations.</w:t>
      </w:r>
    </w:p>
    <w:p w14:paraId="365F010E" w14:textId="77777777" w:rsidR="008F0907" w:rsidRDefault="008F0907" w:rsidP="008F0907">
      <w:pPr>
        <w:pStyle w:val="RSCB02ArticleText"/>
      </w:pPr>
      <w:r w:rsidRPr="00D81C16">
        <w:t>As already stated, such big simulations are not possible in terms of acceptable periods of time —</w:t>
      </w:r>
      <w:r>
        <w:t xml:space="preserve"> </w:t>
      </w:r>
      <w:r w:rsidRPr="00D81C16">
        <w:t xml:space="preserve">time in a MD simulation scales with the square of the number of particles. Nevertheless, we have decided to perform simulations with similar box sizes but only 10 ibuprofen molecules (a 10-fold dilution in relation to the already described simulations) to check possible dissolution trends in a semi-quantitative way (statistics with just ten solute particles are poor and aggregation analyses are obviously very limited). The results, presented in </w:t>
      </w:r>
      <w:r w:rsidRPr="00F116D4">
        <w:t xml:space="preserve">Figure </w:t>
      </w:r>
      <w:r>
        <w:t>9</w:t>
      </w:r>
      <w:r w:rsidRPr="00D81C16">
        <w:t>, show the partial dissolution of the ibuprofen subphase when pure water is replaced by a</w:t>
      </w:r>
      <w:r>
        <w:t>n</w:t>
      </w:r>
      <w:r w:rsidRPr="00D81C16">
        <w:t xml:space="preserve"> IL aqueous subphase. The ibuprofen aggregation patterns (very limited in this case) shift</w:t>
      </w:r>
      <w:r>
        <w:t xml:space="preserve"> accordingly</w:t>
      </w:r>
      <w:r w:rsidRPr="00D81C16">
        <w:t xml:space="preserve"> from la</w:t>
      </w:r>
      <w:r>
        <w:t>rger aggregates to smaller ones and suggest that the hydrotrope effect is stronger for the dicyanamide-based systems relative</w:t>
      </w:r>
      <w:r w:rsidR="008F59CD">
        <w:t xml:space="preserve"> to the thiocyanate-based ones.</w:t>
      </w:r>
    </w:p>
    <w:p w14:paraId="75B83FD0" w14:textId="77777777" w:rsidR="008E2402" w:rsidRDefault="008E2402" w:rsidP="00FA2DA2">
      <w:pPr>
        <w:pStyle w:val="RSCB08CHeadingIn-line"/>
      </w:pPr>
    </w:p>
    <w:p w14:paraId="38750493" w14:textId="77777777" w:rsidR="006E21D9" w:rsidRDefault="008F0907" w:rsidP="00FA2DA2">
      <w:pPr>
        <w:pStyle w:val="RSCB08CHeadingIn-line"/>
      </w:pPr>
      <w:r>
        <w:rPr>
          <w:b w:val="0"/>
          <w:noProof/>
          <w:lang w:val="pt-PT" w:eastAsia="pt-PT"/>
        </w:rPr>
        <w:drawing>
          <wp:inline distT="0" distB="0" distL="0" distR="0" wp14:anchorId="687B27F7" wp14:editId="57B91216">
            <wp:extent cx="3168015" cy="2371811"/>
            <wp:effectExtent l="0" t="0" r="0" b="9525"/>
            <wp:docPr id="21" name="Picture 4" descr="MacHD:Users:zenuno:Desktop:fig_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zenuno:Desktop:fig_m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015" cy="2371811"/>
                    </a:xfrm>
                    <a:prstGeom prst="rect">
                      <a:avLst/>
                    </a:prstGeom>
                    <a:noFill/>
                    <a:ln>
                      <a:noFill/>
                    </a:ln>
                  </pic:spPr>
                </pic:pic>
              </a:graphicData>
            </a:graphic>
          </wp:inline>
        </w:drawing>
      </w:r>
    </w:p>
    <w:p w14:paraId="7C3D5889" w14:textId="77777777" w:rsidR="008F0907" w:rsidRDefault="008F0907" w:rsidP="00A06A07">
      <w:pPr>
        <w:pStyle w:val="RSCI05CaptiontoFigureSchemeChartwithbottombar"/>
      </w:pPr>
      <w:r w:rsidRPr="00F116D4">
        <w:rPr>
          <w:b/>
        </w:rPr>
        <w:t xml:space="preserve">Figure </w:t>
      </w:r>
      <w:r>
        <w:rPr>
          <w:b/>
        </w:rPr>
        <w:t>8</w:t>
      </w:r>
      <w:r w:rsidRPr="00F116D4">
        <w:rPr>
          <w:b/>
        </w:rPr>
        <w:t>.</w:t>
      </w:r>
      <w:r w:rsidRPr="00B7448B">
        <w:rPr>
          <w:b/>
        </w:rPr>
        <w:t xml:space="preserve"> </w:t>
      </w:r>
      <w:r w:rsidRPr="00B7448B">
        <w:t xml:space="preserve">Discrete probability distribution functions of aggregate sizes, </w:t>
      </w:r>
      <w:r w:rsidRPr="00B7448B">
        <w:rPr>
          <w:i/>
        </w:rPr>
        <w:t>P</w:t>
      </w:r>
      <w:r w:rsidRPr="00B7448B">
        <w:t>(</w:t>
      </w:r>
      <w:r w:rsidRPr="00B7448B">
        <w:rPr>
          <w:i/>
        </w:rPr>
        <w:t>n</w:t>
      </w:r>
      <w:r w:rsidRPr="00B7448B">
        <w:rPr>
          <w:vertAlign w:val="subscript"/>
        </w:rPr>
        <w:t>a</w:t>
      </w:r>
      <w:r w:rsidRPr="00B7448B">
        <w:t xml:space="preserve">), and pair radial distribution functions, </w:t>
      </w:r>
      <w:r w:rsidRPr="00B7448B">
        <w:rPr>
          <w:i/>
        </w:rPr>
        <w:t>g</w:t>
      </w:r>
      <w:r w:rsidRPr="00B7448B">
        <w:t>(</w:t>
      </w:r>
      <w:r w:rsidRPr="00B7448B">
        <w:rPr>
          <w:i/>
        </w:rPr>
        <w:t>r</w:t>
      </w:r>
      <w:r w:rsidRPr="00B7448B">
        <w:t>), for different types of aggregate and interaction centre. (a, b) Cation–ibuprofen aggregates and interactions in systems with dicyanamide- (a) and thiocyanate-based ILs (b). (c, d) Anion–ibuprofen aggregates and interactions in systems with dicyanamide- (c) and thiocyanate-based ILs (d).</w:t>
      </w:r>
      <w:r w:rsidR="00A06A07">
        <w:t xml:space="preserve"> </w:t>
      </w:r>
    </w:p>
    <w:p w14:paraId="587A7781" w14:textId="77777777" w:rsidR="00A06A07" w:rsidRDefault="00A06A07" w:rsidP="00FA2DA2">
      <w:pPr>
        <w:pStyle w:val="RSCB08CHeadingIn-line"/>
        <w:sectPr w:rsidR="00A06A07" w:rsidSect="00A06A07">
          <w:type w:val="continuous"/>
          <w:pgSz w:w="11907" w:h="16840" w:code="9"/>
          <w:pgMar w:top="1009" w:right="851" w:bottom="1758" w:left="851" w:header="851" w:footer="1049" w:gutter="0"/>
          <w:cols w:num="2" w:space="227"/>
          <w:titlePg/>
          <w:docGrid w:linePitch="360"/>
        </w:sectPr>
      </w:pPr>
    </w:p>
    <w:p w14:paraId="6D4773E4" w14:textId="0CD16535" w:rsidR="000D3FC9" w:rsidRDefault="000D3FC9" w:rsidP="000D3FC9">
      <w:pPr>
        <w:pStyle w:val="RSCB08CHeadingIn-line"/>
        <w:jc w:val="center"/>
      </w:pPr>
    </w:p>
    <w:p w14:paraId="3B4AED57" w14:textId="6FA6C9EE" w:rsidR="00D56087" w:rsidRDefault="00D56087" w:rsidP="000D3FC9">
      <w:pPr>
        <w:pStyle w:val="RSCB08CHeadingIn-line"/>
        <w:jc w:val="center"/>
      </w:pPr>
      <w:r>
        <w:rPr>
          <w:noProof/>
          <w:lang w:val="pt-PT" w:eastAsia="pt-PT"/>
        </w:rPr>
        <w:drawing>
          <wp:inline distT="0" distB="0" distL="0" distR="0" wp14:anchorId="6C9D9FA0" wp14:editId="7601BA2D">
            <wp:extent cx="5259705" cy="1649730"/>
            <wp:effectExtent l="0" t="0" r="0" b="1270"/>
            <wp:docPr id="23" name="Picture 5" descr="MacHD:Users:zenuno:Desktop:fig_m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zenuno:Desktop:fig_md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9705" cy="1649730"/>
                    </a:xfrm>
                    <a:prstGeom prst="rect">
                      <a:avLst/>
                    </a:prstGeom>
                    <a:noFill/>
                    <a:ln>
                      <a:noFill/>
                    </a:ln>
                  </pic:spPr>
                </pic:pic>
              </a:graphicData>
            </a:graphic>
          </wp:inline>
        </w:drawing>
      </w:r>
    </w:p>
    <w:p w14:paraId="61FC6FD2" w14:textId="77777777" w:rsidR="00D56087" w:rsidRDefault="00D56087" w:rsidP="000D3FC9">
      <w:pPr>
        <w:pStyle w:val="RSCB08CHeadingIn-line"/>
        <w:jc w:val="center"/>
      </w:pPr>
    </w:p>
    <w:p w14:paraId="6935DE79" w14:textId="0964E4F8" w:rsidR="000D3FC9" w:rsidRPr="00D93721" w:rsidRDefault="000D3FC9" w:rsidP="000D3FC9">
      <w:pPr>
        <w:pStyle w:val="RSCI05CaptiontoFigureSchemeChartwithbottombar"/>
      </w:pPr>
      <w:r w:rsidRPr="00D93721">
        <w:rPr>
          <w:b/>
        </w:rPr>
        <w:t>F</w:t>
      </w:r>
      <w:r>
        <w:rPr>
          <w:b/>
        </w:rPr>
        <w:t>igure 9</w:t>
      </w:r>
      <w:r w:rsidRPr="00D93721">
        <w:rPr>
          <w:b/>
        </w:rPr>
        <w:t xml:space="preserve">. </w:t>
      </w:r>
      <w:r w:rsidRPr="00D93721">
        <w:t xml:space="preserve">Simulation snapshots and discrete probability distribution functions of aggregate sizes, </w:t>
      </w:r>
      <w:r w:rsidRPr="00D93721">
        <w:rPr>
          <w:i/>
        </w:rPr>
        <w:t>P</w:t>
      </w:r>
      <w:r w:rsidRPr="00D93721">
        <w:t>(</w:t>
      </w:r>
      <w:r w:rsidRPr="00D93721">
        <w:rPr>
          <w:i/>
        </w:rPr>
        <w:t>n</w:t>
      </w:r>
      <w:r w:rsidRPr="00D93721">
        <w:rPr>
          <w:vertAlign w:val="subscript"/>
        </w:rPr>
        <w:t>a</w:t>
      </w:r>
      <w:r w:rsidRPr="00D93721">
        <w:t xml:space="preserve">), for ibuprofen in pure water (a) and in aqueous solutions of </w:t>
      </w:r>
      <w:r w:rsidR="00A93FC7">
        <w:t>[C</w:t>
      </w:r>
      <w:r w:rsidR="00A93FC7" w:rsidRPr="0071394B">
        <w:rPr>
          <w:vertAlign w:val="subscript"/>
        </w:rPr>
        <w:t>4</w:t>
      </w:r>
      <w:r w:rsidR="00A93FC7">
        <w:t>C</w:t>
      </w:r>
      <w:r w:rsidR="00A93FC7" w:rsidRPr="0071394B">
        <w:rPr>
          <w:vertAlign w:val="subscript"/>
        </w:rPr>
        <w:t>1</w:t>
      </w:r>
      <w:r w:rsidR="00A93FC7">
        <w:t>im][N(CN)</w:t>
      </w:r>
      <w:r w:rsidR="00A93FC7" w:rsidRPr="0071394B">
        <w:rPr>
          <w:vertAlign w:val="subscript"/>
        </w:rPr>
        <w:t>2</w:t>
      </w:r>
      <w:r w:rsidR="00A93FC7">
        <w:t>]</w:t>
      </w:r>
      <w:r w:rsidR="00A93FC7" w:rsidRPr="00B7448B">
        <w:t xml:space="preserve"> </w:t>
      </w:r>
      <w:r w:rsidRPr="00D93721">
        <w:t xml:space="preserve">(b) and </w:t>
      </w:r>
      <w:r w:rsidR="00A93FC7">
        <w:t>[C</w:t>
      </w:r>
      <w:r w:rsidR="00A93FC7" w:rsidRPr="0071394B">
        <w:rPr>
          <w:vertAlign w:val="subscript"/>
        </w:rPr>
        <w:t>4</w:t>
      </w:r>
      <w:r w:rsidR="00A93FC7">
        <w:t>C</w:t>
      </w:r>
      <w:r w:rsidR="00A93FC7" w:rsidRPr="0071394B">
        <w:rPr>
          <w:vertAlign w:val="subscript"/>
        </w:rPr>
        <w:t>1</w:t>
      </w:r>
      <w:r w:rsidR="00A93FC7">
        <w:t>im][SCN]</w:t>
      </w:r>
      <w:r w:rsidR="00A93FC7" w:rsidRPr="00B7448B">
        <w:t xml:space="preserve"> </w:t>
      </w:r>
      <w:r w:rsidRPr="00D93721">
        <w:t xml:space="preserve">(c). The snapshots depict ibuprofen as space-filled molecules in CPK colours; water molecules as white dots and </w:t>
      </w:r>
      <w:r w:rsidR="00A93FC7">
        <w:t>IL</w:t>
      </w:r>
      <w:r w:rsidRPr="00D93721">
        <w:t xml:space="preserve"> ions as blue (cation) and red (anion) wireframes. The histogram functions correspond to ibuprofen clusters (red bars). </w:t>
      </w:r>
    </w:p>
    <w:p w14:paraId="52A4B07B" w14:textId="77777777" w:rsidR="000D3FC9" w:rsidRDefault="000D3FC9" w:rsidP="00FA2DA2">
      <w:pPr>
        <w:pStyle w:val="RSCB08CHeadingIn-line"/>
      </w:pPr>
    </w:p>
    <w:p w14:paraId="13134770" w14:textId="77777777" w:rsidR="008F59CD" w:rsidRDefault="008F59CD" w:rsidP="00FA2DA2">
      <w:pPr>
        <w:pStyle w:val="RSCB08CHeadingIn-line"/>
        <w:sectPr w:rsidR="008F59CD" w:rsidSect="000D3FC9">
          <w:type w:val="continuous"/>
          <w:pgSz w:w="11907" w:h="16840" w:code="9"/>
          <w:pgMar w:top="1009" w:right="851" w:bottom="1758" w:left="851" w:header="851" w:footer="1049" w:gutter="0"/>
          <w:cols w:space="227"/>
          <w:titlePg/>
          <w:docGrid w:linePitch="360"/>
        </w:sectPr>
      </w:pPr>
    </w:p>
    <w:p w14:paraId="65A8449D" w14:textId="5CB592E8" w:rsidR="008F59CD" w:rsidRDefault="008F59CD" w:rsidP="008F59CD">
      <w:pPr>
        <w:pStyle w:val="RSCB02ArticleText"/>
      </w:pPr>
      <w:r>
        <w:t>The general character of the molecular mechanism underlying the hydrotrope effect revealed by the MD simulations (ILs as interaction mediators between organic and aqueous subphases without the need of invoking self-organized structures such as those found in surfactant systems) helps rationalize the experimental results obtained in the present work with other solute-IL combinations. On the side of the organic subphase, cations or anions with larger non-polar moieties</w:t>
      </w:r>
      <w:r w:rsidRPr="002F7E44">
        <w:t xml:space="preserve"> (e.g. ammonium or phosphonium cations) </w:t>
      </w:r>
      <w:r>
        <w:t>enhance the hydrotrope effect due to stronger dispersive forces with the solute. It is interesting to note that such non-polar moieties can originate from either the anion or cation, which may account for the synergistic effects witnessed in many ion combinations. On the aqueous sub-phase side, ions that are able to interact with both their counter-ion and the water molecules</w:t>
      </w:r>
      <w:r w:rsidRPr="00962DBD">
        <w:t xml:space="preserve"> simultaneously</w:t>
      </w:r>
      <w:r>
        <w:t xml:space="preserve">, are better hydrotropes. Halides are not as efficient as dicyanamide or thiocyanate anions and sodium is less efficient than most IL cations because they are solvated too strongly by water and are less prone to interact with their counter-ions in aqueous solution. </w:t>
      </w:r>
    </w:p>
    <w:p w14:paraId="035D2C55" w14:textId="77777777" w:rsidR="000D3FC9" w:rsidRDefault="008F59CD" w:rsidP="008F59CD">
      <w:pPr>
        <w:pStyle w:val="RSCB04AHeadingSection"/>
      </w:pPr>
      <w:r>
        <w:t>Conclusion</w:t>
      </w:r>
    </w:p>
    <w:p w14:paraId="287A5E92" w14:textId="3CD1B5C2" w:rsidR="008F59CD" w:rsidRDefault="008F59CD" w:rsidP="008F59CD">
      <w:pPr>
        <w:pStyle w:val="RSCB02ArticleText"/>
      </w:pPr>
      <w:r>
        <w:t xml:space="preserve">The results reported in this work clearly </w:t>
      </w:r>
      <w:r w:rsidRPr="00552C51">
        <w:t>evidence</w:t>
      </w:r>
      <w:r>
        <w:t xml:space="preserve"> the outstanding ability of ILs to act as hydrotropes for ibuprofen. Furthermore, the cation and anion may synergistically contribute to the hydrotropic </w:t>
      </w:r>
      <w:r w:rsidR="00154ABC">
        <w:t>mechanism of solubilization</w:t>
      </w:r>
      <w:r>
        <w:t xml:space="preserve">, </w:t>
      </w:r>
      <w:r w:rsidRPr="00552C51">
        <w:t>which makes them</w:t>
      </w:r>
      <w:r>
        <w:t xml:space="preserve"> powerful catanionic hydrotropes. </w:t>
      </w:r>
      <w:r w:rsidRPr="00552C51">
        <w:t xml:space="preserve">Considering the chloride-based IL series, the </w:t>
      </w:r>
      <w:r>
        <w:t>[N</w:t>
      </w:r>
      <w:r w:rsidRPr="00552C51">
        <w:rPr>
          <w:vertAlign w:val="subscript"/>
        </w:rPr>
        <w:t>4,4,4,4</w:t>
      </w:r>
      <w:r>
        <w:t>]Cl</w:t>
      </w:r>
      <w:r w:rsidRPr="00552C51">
        <w:t xml:space="preserve"> and </w:t>
      </w:r>
      <w:r>
        <w:t>[P</w:t>
      </w:r>
      <w:r w:rsidRPr="00552C51">
        <w:rPr>
          <w:vertAlign w:val="subscript"/>
        </w:rPr>
        <w:t>4,4,4,4</w:t>
      </w:r>
      <w:r>
        <w:t>]Cl</w:t>
      </w:r>
      <w:r w:rsidRPr="00552C51">
        <w:t xml:space="preserve"> have presented the higher increase in the solubility of </w:t>
      </w:r>
      <w:r>
        <w:t>the</w:t>
      </w:r>
      <w:r w:rsidRPr="00552C51">
        <w:t xml:space="preserve"> </w:t>
      </w:r>
      <w:r>
        <w:t xml:space="preserve">all </w:t>
      </w:r>
      <w:r w:rsidRPr="00552C51">
        <w:t>drugs studied. On the other hand, considering the 1-butyl-3-methylimidazolium family, dicyanamide and thiocyanate anions were the best hydrotropic solubilizing agents</w:t>
      </w:r>
      <w:r w:rsidR="00154ABC">
        <w:t xml:space="preserve"> where this cation-anion synergy was more evident</w:t>
      </w:r>
      <w:r w:rsidRPr="00552C51">
        <w:t>.</w:t>
      </w:r>
      <w:r>
        <w:t xml:space="preserve"> As previous</w:t>
      </w:r>
      <w:r w:rsidR="000D5636">
        <w:t>ly</w:t>
      </w:r>
      <w:r>
        <w:t xml:space="preserve"> observed for vanillin, the results obtained using M</w:t>
      </w:r>
      <w:r w:rsidRPr="00F116D4">
        <w:t xml:space="preserve">D </w:t>
      </w:r>
      <w:r>
        <w:t xml:space="preserve">simulation </w:t>
      </w:r>
      <w:r w:rsidRPr="00F116D4">
        <w:t>support the idea that the</w:t>
      </w:r>
      <w:r w:rsidRPr="00840DA6">
        <w:t xml:space="preserve"> hydrotropic phenomenon of the ILs</w:t>
      </w:r>
      <w:r>
        <w:t xml:space="preserve"> for ibuprofen</w:t>
      </w:r>
      <w:r w:rsidRPr="00F116D4">
        <w:t xml:space="preserve"> </w:t>
      </w:r>
      <w:r>
        <w:t>is driven by the formation of drug–IL aggregates.</w:t>
      </w:r>
    </w:p>
    <w:p w14:paraId="798AC886" w14:textId="77777777" w:rsidR="00C9557D" w:rsidRDefault="00C9557D" w:rsidP="00C9557D">
      <w:pPr>
        <w:pStyle w:val="RSCB04AHeadingSection"/>
      </w:pPr>
      <w:r>
        <w:t>Conflict</w:t>
      </w:r>
      <w:r w:rsidR="00F05C18">
        <w:t>s</w:t>
      </w:r>
      <w:r>
        <w:t xml:space="preserve"> of interest</w:t>
      </w:r>
    </w:p>
    <w:p w14:paraId="5C3BB371" w14:textId="77777777" w:rsidR="00A05364" w:rsidRDefault="00A05364" w:rsidP="00A05364">
      <w:pPr>
        <w:rPr>
          <w:rFonts w:cs="Times New Roman"/>
          <w:w w:val="108"/>
          <w:sz w:val="18"/>
          <w:szCs w:val="18"/>
        </w:rPr>
      </w:pPr>
      <w:r w:rsidRPr="00A05364">
        <w:rPr>
          <w:rFonts w:cs="Times New Roman"/>
          <w:w w:val="108"/>
          <w:sz w:val="18"/>
          <w:szCs w:val="18"/>
        </w:rPr>
        <w:t>The</w:t>
      </w:r>
      <w:r w:rsidR="003B0A98">
        <w:rPr>
          <w:rFonts w:cs="Times New Roman"/>
          <w:w w:val="108"/>
          <w:sz w:val="18"/>
          <w:szCs w:val="18"/>
        </w:rPr>
        <w:t>re are no conflicts to declare.</w:t>
      </w:r>
    </w:p>
    <w:p w14:paraId="795FCC24" w14:textId="77777777" w:rsidR="00FA2DA2" w:rsidRDefault="00FA2DA2" w:rsidP="00FA2DA2">
      <w:pPr>
        <w:pStyle w:val="RSCB04AHeadingSection"/>
      </w:pPr>
      <w:r>
        <w:t>Acknowledgements</w:t>
      </w:r>
    </w:p>
    <w:p w14:paraId="6B2775F7" w14:textId="77777777" w:rsidR="00FA2DA2" w:rsidRPr="00A61D3E" w:rsidRDefault="00C718E7" w:rsidP="00FA2DA2">
      <w:pPr>
        <w:pStyle w:val="RSCB02ArticleText"/>
      </w:pPr>
      <w:r w:rsidRPr="00C718E7">
        <w:t>This work was developed within the scope of the project CICECO - Aveiro Institute of Materials POCI-01-0145-FEDER-007679 (FCT Ref. UID/CTM/50011/2013), financed by national funds through the FCT/MEC and when appropriate, co-financed by FEDER under the PT2020 Partnership Agreement. The authors are grateful for financial support through FCT for the postdoctoral grant SFRH/BPD/94291/2013 of Karina Shimizu</w:t>
      </w:r>
      <w:r w:rsidR="00496C31">
        <w:t>, project UID/QUI/00100/2013 and</w:t>
      </w:r>
      <w:r w:rsidR="0028207D">
        <w:t xml:space="preserve"> </w:t>
      </w:r>
      <w:r w:rsidR="0028207D" w:rsidRPr="0028207D">
        <w:t>for the IF contract of S. P. M. Ventura reference IF/00402/2015.</w:t>
      </w:r>
    </w:p>
    <w:p w14:paraId="63E56C5B" w14:textId="77777777" w:rsidR="00D010E8" w:rsidRPr="00EF6BD4" w:rsidRDefault="003B0A98" w:rsidP="00EF6BD4">
      <w:pPr>
        <w:pStyle w:val="RSCB04AHeadingSection"/>
      </w:pPr>
      <w:r>
        <w:t>R</w:t>
      </w:r>
      <w:r w:rsidR="00E61949" w:rsidRPr="00EF6BD4">
        <w:t>eferences</w:t>
      </w:r>
    </w:p>
    <w:p w14:paraId="737AC0FD" w14:textId="77777777" w:rsidR="00BA5F39" w:rsidRDefault="00BA5F39" w:rsidP="00D56087">
      <w:pPr>
        <w:pStyle w:val="RSCR02References"/>
        <w:numPr>
          <w:ilvl w:val="0"/>
          <w:numId w:val="0"/>
        </w:numPr>
        <w:ind w:left="284" w:hanging="284"/>
      </w:pPr>
    </w:p>
    <w:p w14:paraId="76D71D93" w14:textId="78231EC2" w:rsidR="00D56087" w:rsidRPr="00D56087" w:rsidRDefault="00BA5F39" w:rsidP="00D56087">
      <w:pPr>
        <w:pStyle w:val="RSCR02References"/>
        <w:numPr>
          <w:ilvl w:val="0"/>
          <w:numId w:val="0"/>
        </w:numPr>
        <w:ind w:left="284" w:hanging="284"/>
        <w:divId w:val="364646734"/>
        <w:rPr>
          <w:rFonts w:ascii="Calibri" w:eastAsiaTheme="minorEastAsia" w:hAnsi="Calibri"/>
          <w:noProof/>
        </w:rPr>
      </w:pPr>
      <w:r>
        <w:rPr>
          <w:rFonts w:ascii="Times New Roman" w:eastAsia="Times New Roman" w:hAnsi="Times New Roman"/>
          <w:w w:val="100"/>
          <w:sz w:val="24"/>
          <w:szCs w:val="24"/>
          <w:lang w:eastAsia="en-GB"/>
        </w:rPr>
        <w:fldChar w:fldCharType="begin" w:fldLock="1"/>
      </w:r>
      <w:r>
        <w:instrText xml:space="preserve">ADDIN Mendeley Bibliography CSL_BIBLIOGRAPHY </w:instrText>
      </w:r>
      <w:r>
        <w:rPr>
          <w:rFonts w:ascii="Times New Roman" w:eastAsia="Times New Roman" w:hAnsi="Times New Roman"/>
          <w:w w:val="100"/>
          <w:sz w:val="24"/>
          <w:szCs w:val="24"/>
          <w:lang w:eastAsia="en-GB"/>
        </w:rPr>
        <w:fldChar w:fldCharType="separate"/>
      </w:r>
      <w:r w:rsidR="00D56087" w:rsidRPr="00D56087">
        <w:rPr>
          <w:rFonts w:ascii="Calibri" w:hAnsi="Calibri"/>
          <w:noProof/>
        </w:rPr>
        <w:t>1</w:t>
      </w:r>
      <w:r w:rsidR="00D56087" w:rsidRPr="00D56087">
        <w:rPr>
          <w:rFonts w:ascii="Calibri" w:hAnsi="Calibri"/>
          <w:noProof/>
        </w:rPr>
        <w:tab/>
        <w:t xml:space="preserve">R. Liu, </w:t>
      </w:r>
      <w:r w:rsidR="00D56087" w:rsidRPr="00D56087">
        <w:rPr>
          <w:rFonts w:ascii="Calibri" w:hAnsi="Calibri"/>
          <w:i/>
          <w:iCs/>
          <w:noProof/>
        </w:rPr>
        <w:t>Water-insoluble drug formulation</w:t>
      </w:r>
      <w:r w:rsidR="00D56087" w:rsidRPr="00D56087">
        <w:rPr>
          <w:rFonts w:ascii="Calibri" w:hAnsi="Calibri"/>
          <w:noProof/>
        </w:rPr>
        <w:t>, CRC Press, 2008.</w:t>
      </w:r>
    </w:p>
    <w:p w14:paraId="3596819F"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w:t>
      </w:r>
      <w:r w:rsidRPr="00D56087">
        <w:rPr>
          <w:rFonts w:ascii="Calibri" w:hAnsi="Calibri"/>
          <w:noProof/>
        </w:rPr>
        <w:tab/>
        <w:t xml:space="preserve">P. Jain, A. Goel, S. Sharma and M. Parmar, Solubility enhancement techniques with special emphasis on hydrotropy, </w:t>
      </w:r>
      <w:r w:rsidRPr="00D56087">
        <w:rPr>
          <w:rFonts w:ascii="Calibri" w:hAnsi="Calibri"/>
          <w:i/>
          <w:iCs/>
          <w:noProof/>
        </w:rPr>
        <w:t>Int. J. Pharma Prof. Res.</w:t>
      </w:r>
      <w:r w:rsidRPr="00D56087">
        <w:rPr>
          <w:rFonts w:ascii="Calibri" w:hAnsi="Calibri"/>
          <w:noProof/>
        </w:rPr>
        <w:t xml:space="preserve">, 2010, </w:t>
      </w:r>
      <w:r w:rsidRPr="00D56087">
        <w:rPr>
          <w:rFonts w:ascii="Calibri" w:hAnsi="Calibri"/>
          <w:b/>
          <w:bCs/>
          <w:noProof/>
        </w:rPr>
        <w:t>1</w:t>
      </w:r>
      <w:r w:rsidRPr="00D56087">
        <w:rPr>
          <w:rFonts w:ascii="Calibri" w:hAnsi="Calibri"/>
          <w:noProof/>
        </w:rPr>
        <w:t>, 34–45.</w:t>
      </w:r>
    </w:p>
    <w:p w14:paraId="69F775EB"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w:t>
      </w:r>
      <w:r w:rsidRPr="00D56087">
        <w:rPr>
          <w:rFonts w:ascii="Calibri" w:hAnsi="Calibri"/>
          <w:noProof/>
        </w:rPr>
        <w:tab/>
        <w:t xml:space="preserve">C. V Subbarao, I. P. K. Chakravarthy, A. V. S. L. Sai Bharadwaj and K. M. M. Prasad, Functions of Hydrotropes in Solutions, </w:t>
      </w:r>
      <w:r w:rsidRPr="00D56087">
        <w:rPr>
          <w:rFonts w:ascii="Calibri" w:hAnsi="Calibri"/>
          <w:i/>
          <w:iCs/>
          <w:noProof/>
        </w:rPr>
        <w:t>Chem. Eng. Technol.</w:t>
      </w:r>
      <w:r w:rsidRPr="00D56087">
        <w:rPr>
          <w:rFonts w:ascii="Calibri" w:hAnsi="Calibri"/>
          <w:noProof/>
        </w:rPr>
        <w:t xml:space="preserve">, 2012, </w:t>
      </w:r>
      <w:r w:rsidRPr="00D56087">
        <w:rPr>
          <w:rFonts w:ascii="Calibri" w:hAnsi="Calibri"/>
          <w:b/>
          <w:bCs/>
          <w:noProof/>
        </w:rPr>
        <w:t>35</w:t>
      </w:r>
      <w:r w:rsidRPr="00D56087">
        <w:rPr>
          <w:rFonts w:ascii="Calibri" w:hAnsi="Calibri"/>
          <w:noProof/>
        </w:rPr>
        <w:t>, 225–237.</w:t>
      </w:r>
    </w:p>
    <w:p w14:paraId="5573AB4F"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w:t>
      </w:r>
      <w:r w:rsidRPr="00D56087">
        <w:rPr>
          <w:rFonts w:ascii="Calibri" w:hAnsi="Calibri"/>
          <w:noProof/>
        </w:rPr>
        <w:tab/>
        <w:t xml:space="preserve">K. Stanton, C. Tibazarwa, H. Certa, W. Greggs, D. Hillebold, L. Jovanovich, D. Woltering and R. Sedlak, Environmental risk assessment of hydrotropes in the United States, Europe, and Australia, </w:t>
      </w:r>
      <w:r w:rsidRPr="00D56087">
        <w:rPr>
          <w:rFonts w:ascii="Calibri" w:hAnsi="Calibri"/>
          <w:i/>
          <w:iCs/>
          <w:noProof/>
        </w:rPr>
        <w:t>Integr. Environ. Assess. Manag.</w:t>
      </w:r>
      <w:r w:rsidRPr="00D56087">
        <w:rPr>
          <w:rFonts w:ascii="Calibri" w:hAnsi="Calibri"/>
          <w:noProof/>
        </w:rPr>
        <w:t xml:space="preserve">, 2010, </w:t>
      </w:r>
      <w:r w:rsidRPr="00D56087">
        <w:rPr>
          <w:rFonts w:ascii="Calibri" w:hAnsi="Calibri"/>
          <w:b/>
          <w:bCs/>
          <w:noProof/>
        </w:rPr>
        <w:t>6</w:t>
      </w:r>
      <w:r w:rsidRPr="00D56087">
        <w:rPr>
          <w:rFonts w:ascii="Calibri" w:hAnsi="Calibri"/>
          <w:noProof/>
        </w:rPr>
        <w:t>, 155–163.</w:t>
      </w:r>
    </w:p>
    <w:p w14:paraId="517FE7F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w:t>
      </w:r>
      <w:r w:rsidRPr="00D56087">
        <w:rPr>
          <w:rFonts w:ascii="Calibri" w:hAnsi="Calibri"/>
          <w:noProof/>
        </w:rPr>
        <w:tab/>
        <w:t xml:space="preserve">C. Neuberg, No Title, </w:t>
      </w:r>
      <w:r w:rsidRPr="00D56087">
        <w:rPr>
          <w:rFonts w:ascii="Calibri" w:hAnsi="Calibri"/>
          <w:i/>
          <w:iCs/>
          <w:noProof/>
        </w:rPr>
        <w:t>Biochem. Z.</w:t>
      </w:r>
      <w:r w:rsidRPr="00D56087">
        <w:rPr>
          <w:rFonts w:ascii="Calibri" w:hAnsi="Calibri"/>
          <w:noProof/>
        </w:rPr>
        <w:t xml:space="preserve">, 1916, </w:t>
      </w:r>
      <w:r w:rsidRPr="00D56087">
        <w:rPr>
          <w:rFonts w:ascii="Calibri" w:hAnsi="Calibri"/>
          <w:b/>
          <w:bCs/>
          <w:noProof/>
        </w:rPr>
        <w:t>76</w:t>
      </w:r>
      <w:r w:rsidRPr="00D56087">
        <w:rPr>
          <w:rFonts w:ascii="Calibri" w:hAnsi="Calibri"/>
          <w:noProof/>
        </w:rPr>
        <w:t>, 107–176.</w:t>
      </w:r>
    </w:p>
    <w:p w14:paraId="32F2C8A5"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6</w:t>
      </w:r>
      <w:r w:rsidRPr="00D56087">
        <w:rPr>
          <w:rFonts w:ascii="Calibri" w:hAnsi="Calibri"/>
          <w:noProof/>
        </w:rPr>
        <w:tab/>
        <w:t xml:space="preserve">T. K. Hodgdon and E. W. Kaler, Hydrotropic solutions, </w:t>
      </w:r>
      <w:r w:rsidRPr="00D56087">
        <w:rPr>
          <w:rFonts w:ascii="Calibri" w:hAnsi="Calibri"/>
          <w:i/>
          <w:iCs/>
          <w:noProof/>
        </w:rPr>
        <w:t>Curr. Opin. Colloid Interface Sci.</w:t>
      </w:r>
      <w:r w:rsidRPr="00D56087">
        <w:rPr>
          <w:rFonts w:ascii="Calibri" w:hAnsi="Calibri"/>
          <w:noProof/>
        </w:rPr>
        <w:t xml:space="preserve">, 2007, </w:t>
      </w:r>
      <w:r w:rsidRPr="00D56087">
        <w:rPr>
          <w:rFonts w:ascii="Calibri" w:hAnsi="Calibri"/>
          <w:b/>
          <w:bCs/>
          <w:noProof/>
        </w:rPr>
        <w:t>12</w:t>
      </w:r>
      <w:r w:rsidRPr="00D56087">
        <w:rPr>
          <w:rFonts w:ascii="Calibri" w:hAnsi="Calibri"/>
          <w:noProof/>
        </w:rPr>
        <w:t>, 121–128.</w:t>
      </w:r>
    </w:p>
    <w:p w14:paraId="27083A95"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7</w:t>
      </w:r>
      <w:r w:rsidRPr="00D56087">
        <w:rPr>
          <w:rFonts w:ascii="Calibri" w:hAnsi="Calibri"/>
          <w:noProof/>
        </w:rPr>
        <w:tab/>
        <w:t xml:space="preserve">B. K. Roy and S. P. Moulik, Functions of hydrotropes (sodium salicylate, proline, pyrogallol, resorcinol and urea) in solution with special reference to amphiphile behaviors, </w:t>
      </w:r>
      <w:r w:rsidRPr="00D56087">
        <w:rPr>
          <w:rFonts w:ascii="Calibri" w:hAnsi="Calibri"/>
          <w:i/>
          <w:iCs/>
          <w:noProof/>
        </w:rPr>
        <w:t>Colloids Surfaces A Physicochem. Eng. Asp.</w:t>
      </w:r>
      <w:r w:rsidRPr="00D56087">
        <w:rPr>
          <w:rFonts w:ascii="Calibri" w:hAnsi="Calibri"/>
          <w:noProof/>
        </w:rPr>
        <w:t xml:space="preserve">, 2002, </w:t>
      </w:r>
      <w:r w:rsidRPr="00D56087">
        <w:rPr>
          <w:rFonts w:ascii="Calibri" w:hAnsi="Calibri"/>
          <w:b/>
          <w:bCs/>
          <w:noProof/>
        </w:rPr>
        <w:t>203</w:t>
      </w:r>
      <w:r w:rsidRPr="00D56087">
        <w:rPr>
          <w:rFonts w:ascii="Calibri" w:hAnsi="Calibri"/>
          <w:noProof/>
        </w:rPr>
        <w:t>, 155–166.</w:t>
      </w:r>
    </w:p>
    <w:p w14:paraId="01BC3B6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8</w:t>
      </w:r>
      <w:r w:rsidRPr="00D56087">
        <w:rPr>
          <w:rFonts w:ascii="Calibri" w:hAnsi="Calibri"/>
          <w:noProof/>
        </w:rPr>
        <w:tab/>
        <w:t xml:space="preserve">D. Subramanian, C. T. Boughter, J. B. Klauda, B. Hammouda and M. A. Anisimov, Mesoscale inhomogeneities in aqueous solutions of small amphiphilic molecules, </w:t>
      </w:r>
      <w:r w:rsidRPr="00D56087">
        <w:rPr>
          <w:rFonts w:ascii="Calibri" w:hAnsi="Calibri"/>
          <w:i/>
          <w:iCs/>
          <w:noProof/>
        </w:rPr>
        <w:t>Faraday Discuss.</w:t>
      </w:r>
      <w:r w:rsidRPr="00D56087">
        <w:rPr>
          <w:rFonts w:ascii="Calibri" w:hAnsi="Calibri"/>
          <w:noProof/>
        </w:rPr>
        <w:t xml:space="preserve">, 2013, </w:t>
      </w:r>
      <w:r w:rsidRPr="00D56087">
        <w:rPr>
          <w:rFonts w:ascii="Calibri" w:hAnsi="Calibri"/>
          <w:b/>
          <w:bCs/>
          <w:noProof/>
        </w:rPr>
        <w:t>167</w:t>
      </w:r>
      <w:r w:rsidRPr="00D56087">
        <w:rPr>
          <w:rFonts w:ascii="Calibri" w:hAnsi="Calibri"/>
          <w:noProof/>
        </w:rPr>
        <w:t>, 217–238.</w:t>
      </w:r>
    </w:p>
    <w:p w14:paraId="2D3F86A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9</w:t>
      </w:r>
      <w:r w:rsidRPr="00D56087">
        <w:rPr>
          <w:rFonts w:ascii="Calibri" w:hAnsi="Calibri"/>
          <w:noProof/>
        </w:rPr>
        <w:tab/>
        <w:t xml:space="preserve">J. Eastoe, M. H. Hatzopoulos and P. J. Dowding, Action of hydrotropes and alkyl-hydrotropes, </w:t>
      </w:r>
      <w:r w:rsidRPr="00D56087">
        <w:rPr>
          <w:rFonts w:ascii="Calibri" w:hAnsi="Calibri"/>
          <w:i/>
          <w:iCs/>
          <w:noProof/>
        </w:rPr>
        <w:t>Soft Matter</w:t>
      </w:r>
      <w:r w:rsidRPr="00D56087">
        <w:rPr>
          <w:rFonts w:ascii="Calibri" w:hAnsi="Calibri"/>
          <w:noProof/>
        </w:rPr>
        <w:t xml:space="preserve">, 2011, </w:t>
      </w:r>
      <w:r w:rsidRPr="00D56087">
        <w:rPr>
          <w:rFonts w:ascii="Calibri" w:hAnsi="Calibri"/>
          <w:b/>
          <w:bCs/>
          <w:noProof/>
        </w:rPr>
        <w:t>7</w:t>
      </w:r>
      <w:r w:rsidRPr="00D56087">
        <w:rPr>
          <w:rFonts w:ascii="Calibri" w:hAnsi="Calibri"/>
          <w:noProof/>
        </w:rPr>
        <w:t>, 5917–5925.</w:t>
      </w:r>
    </w:p>
    <w:p w14:paraId="791DA343"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10</w:t>
      </w:r>
      <w:r w:rsidRPr="00D56087">
        <w:rPr>
          <w:rFonts w:ascii="Calibri" w:hAnsi="Calibri"/>
          <w:noProof/>
        </w:rPr>
        <w:tab/>
        <w:t xml:space="preserve">V. Dhapte and P. Mehta, Advances in hydrotropic solutions: An updated review, </w:t>
      </w:r>
      <w:r w:rsidRPr="00D56087">
        <w:rPr>
          <w:rFonts w:ascii="Calibri" w:hAnsi="Calibri"/>
          <w:i/>
          <w:iCs/>
          <w:noProof/>
        </w:rPr>
        <w:t>St. Petersbg. Polytech. Univ. J. Phys. Math.</w:t>
      </w:r>
      <w:r w:rsidRPr="00D56087">
        <w:rPr>
          <w:rFonts w:ascii="Calibri" w:hAnsi="Calibri"/>
          <w:noProof/>
        </w:rPr>
        <w:t xml:space="preserve">, 2015, </w:t>
      </w:r>
      <w:r w:rsidRPr="00D56087">
        <w:rPr>
          <w:rFonts w:ascii="Calibri" w:hAnsi="Calibri"/>
          <w:b/>
          <w:bCs/>
          <w:noProof/>
        </w:rPr>
        <w:t>1</w:t>
      </w:r>
      <w:r w:rsidRPr="00D56087">
        <w:rPr>
          <w:rFonts w:ascii="Calibri" w:hAnsi="Calibri"/>
          <w:noProof/>
        </w:rPr>
        <w:t>, 424–435.</w:t>
      </w:r>
    </w:p>
    <w:p w14:paraId="010D3615"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11</w:t>
      </w:r>
      <w:r w:rsidRPr="00D56087">
        <w:rPr>
          <w:rFonts w:ascii="Calibri" w:hAnsi="Calibri"/>
          <w:noProof/>
        </w:rPr>
        <w:tab/>
        <w:t xml:space="preserve">R. Sanghvi, D. Evans and S. H. Yalkowsky, Stacking complexation by nicotinamide: A useful way of enhancing drug solubility, </w:t>
      </w:r>
      <w:r w:rsidRPr="00D56087">
        <w:rPr>
          <w:rFonts w:ascii="Calibri" w:hAnsi="Calibri"/>
          <w:i/>
          <w:iCs/>
          <w:noProof/>
        </w:rPr>
        <w:t>Int. J. Pharm.</w:t>
      </w:r>
      <w:r w:rsidRPr="00D56087">
        <w:rPr>
          <w:rFonts w:ascii="Calibri" w:hAnsi="Calibri"/>
          <w:noProof/>
        </w:rPr>
        <w:t xml:space="preserve">, 2007, </w:t>
      </w:r>
      <w:r w:rsidRPr="00D56087">
        <w:rPr>
          <w:rFonts w:ascii="Calibri" w:hAnsi="Calibri"/>
          <w:b/>
          <w:bCs/>
          <w:noProof/>
        </w:rPr>
        <w:t>336</w:t>
      </w:r>
      <w:r w:rsidRPr="00D56087">
        <w:rPr>
          <w:rFonts w:ascii="Calibri" w:hAnsi="Calibri"/>
          <w:noProof/>
        </w:rPr>
        <w:t>, 35–41.</w:t>
      </w:r>
    </w:p>
    <w:p w14:paraId="72E0771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12</w:t>
      </w:r>
      <w:r w:rsidRPr="00D56087">
        <w:rPr>
          <w:rFonts w:ascii="Calibri" w:hAnsi="Calibri"/>
          <w:noProof/>
        </w:rPr>
        <w:tab/>
        <w:t xml:space="preserve">M. A. Hussain, R. C. Diluccio and M. B. Maurin, Complexation of moricizine with nicotinamide and evaluation of the complexation constants by various methods, </w:t>
      </w:r>
      <w:r w:rsidRPr="00D56087">
        <w:rPr>
          <w:rFonts w:ascii="Calibri" w:hAnsi="Calibri"/>
          <w:i/>
          <w:iCs/>
          <w:noProof/>
        </w:rPr>
        <w:t>J. Pharm. Sci.</w:t>
      </w:r>
      <w:r w:rsidRPr="00D56087">
        <w:rPr>
          <w:rFonts w:ascii="Calibri" w:hAnsi="Calibri"/>
          <w:noProof/>
        </w:rPr>
        <w:t xml:space="preserve">, 1993, </w:t>
      </w:r>
      <w:r w:rsidRPr="00D56087">
        <w:rPr>
          <w:rFonts w:ascii="Calibri" w:hAnsi="Calibri"/>
          <w:b/>
          <w:bCs/>
          <w:noProof/>
        </w:rPr>
        <w:t>82</w:t>
      </w:r>
      <w:r w:rsidRPr="00D56087">
        <w:rPr>
          <w:rFonts w:ascii="Calibri" w:hAnsi="Calibri"/>
          <w:noProof/>
        </w:rPr>
        <w:t>, 77–79.</w:t>
      </w:r>
    </w:p>
    <w:p w14:paraId="2846187C"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13</w:t>
      </w:r>
      <w:r w:rsidRPr="00D56087">
        <w:rPr>
          <w:rFonts w:ascii="Calibri" w:hAnsi="Calibri"/>
          <w:noProof/>
        </w:rPr>
        <w:tab/>
        <w:t xml:space="preserve">A. Matero, Å. Mattsson and M. Svensson, Alkyl polyglucosides as hydrotropes, </w:t>
      </w:r>
      <w:r w:rsidRPr="00D56087">
        <w:rPr>
          <w:rFonts w:ascii="Calibri" w:hAnsi="Calibri"/>
          <w:i/>
          <w:iCs/>
          <w:noProof/>
        </w:rPr>
        <w:t>J. Surfactants Deterg.</w:t>
      </w:r>
      <w:r w:rsidRPr="00D56087">
        <w:rPr>
          <w:rFonts w:ascii="Calibri" w:hAnsi="Calibri"/>
          <w:noProof/>
        </w:rPr>
        <w:t xml:space="preserve">, 1998, </w:t>
      </w:r>
      <w:r w:rsidRPr="00D56087">
        <w:rPr>
          <w:rFonts w:ascii="Calibri" w:hAnsi="Calibri"/>
          <w:b/>
          <w:bCs/>
          <w:noProof/>
        </w:rPr>
        <w:t>1</w:t>
      </w:r>
      <w:r w:rsidRPr="00D56087">
        <w:rPr>
          <w:rFonts w:ascii="Calibri" w:hAnsi="Calibri"/>
          <w:noProof/>
        </w:rPr>
        <w:t>, 485–489.</w:t>
      </w:r>
    </w:p>
    <w:p w14:paraId="24260B9D"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14</w:t>
      </w:r>
      <w:r w:rsidRPr="00D56087">
        <w:rPr>
          <w:rFonts w:ascii="Calibri" w:hAnsi="Calibri"/>
          <w:noProof/>
        </w:rPr>
        <w:tab/>
        <w:t xml:space="preserve">P. Bauduin, A. Renoncourt, A. Kopf, D. Touraud and W. Kunz, Unified Concept of Solubilization in Water by Hydrotropes and Cosolvents, </w:t>
      </w:r>
      <w:r w:rsidRPr="00D56087">
        <w:rPr>
          <w:rFonts w:ascii="Calibri" w:hAnsi="Calibri"/>
          <w:i/>
          <w:iCs/>
          <w:noProof/>
        </w:rPr>
        <w:t>Langmuir</w:t>
      </w:r>
      <w:r w:rsidRPr="00D56087">
        <w:rPr>
          <w:rFonts w:ascii="Calibri" w:hAnsi="Calibri"/>
          <w:noProof/>
        </w:rPr>
        <w:t xml:space="preserve">, 2005, </w:t>
      </w:r>
      <w:r w:rsidRPr="00D56087">
        <w:rPr>
          <w:rFonts w:ascii="Calibri" w:hAnsi="Calibri"/>
          <w:b/>
          <w:bCs/>
          <w:noProof/>
        </w:rPr>
        <w:t>21</w:t>
      </w:r>
      <w:r w:rsidRPr="00D56087">
        <w:rPr>
          <w:rFonts w:ascii="Calibri" w:hAnsi="Calibri"/>
          <w:noProof/>
        </w:rPr>
        <w:t>, 6769–6775.</w:t>
      </w:r>
    </w:p>
    <w:p w14:paraId="6298533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15</w:t>
      </w:r>
      <w:r w:rsidRPr="00D56087">
        <w:rPr>
          <w:rFonts w:ascii="Calibri" w:hAnsi="Calibri"/>
          <w:noProof/>
        </w:rPr>
        <w:tab/>
        <w:t xml:space="preserve">J. Lee, S. C. Lee, G. Acharya, C. Chang and K. Park, Hydrotropic Solubilization of Paclitaxel: Analysis of Chemical Structures for Hydrotropic Property, </w:t>
      </w:r>
      <w:r w:rsidRPr="00D56087">
        <w:rPr>
          <w:rFonts w:ascii="Calibri" w:hAnsi="Calibri"/>
          <w:i/>
          <w:iCs/>
          <w:noProof/>
        </w:rPr>
        <w:t>Pharm. Res.</w:t>
      </w:r>
      <w:r w:rsidRPr="00D56087">
        <w:rPr>
          <w:rFonts w:ascii="Calibri" w:hAnsi="Calibri"/>
          <w:noProof/>
        </w:rPr>
        <w:t xml:space="preserve">, 2003, </w:t>
      </w:r>
      <w:r w:rsidRPr="00D56087">
        <w:rPr>
          <w:rFonts w:ascii="Calibri" w:hAnsi="Calibri"/>
          <w:b/>
          <w:bCs/>
          <w:noProof/>
        </w:rPr>
        <w:t>20</w:t>
      </w:r>
      <w:r w:rsidRPr="00D56087">
        <w:rPr>
          <w:rFonts w:ascii="Calibri" w:hAnsi="Calibri"/>
          <w:noProof/>
        </w:rPr>
        <w:t>, 1022–1030.</w:t>
      </w:r>
    </w:p>
    <w:p w14:paraId="08BD1BE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16</w:t>
      </w:r>
      <w:r w:rsidRPr="00D56087">
        <w:rPr>
          <w:rFonts w:ascii="Calibri" w:hAnsi="Calibri"/>
          <w:noProof/>
        </w:rPr>
        <w:tab/>
        <w:t xml:space="preserve">M. G. Neumann, C. C. Schmitt, K. R. Prieto and B. E. Goi, The photophysical determination of the minimum hydrotrope concentration of aromatic hydrotropes, </w:t>
      </w:r>
      <w:r w:rsidRPr="00D56087">
        <w:rPr>
          <w:rFonts w:ascii="Calibri" w:hAnsi="Calibri"/>
          <w:i/>
          <w:iCs/>
          <w:noProof/>
        </w:rPr>
        <w:t>J. Colloid Interface Sci.</w:t>
      </w:r>
      <w:r w:rsidRPr="00D56087">
        <w:rPr>
          <w:rFonts w:ascii="Calibri" w:hAnsi="Calibri"/>
          <w:noProof/>
        </w:rPr>
        <w:t xml:space="preserve">, 2007, </w:t>
      </w:r>
      <w:r w:rsidRPr="00D56087">
        <w:rPr>
          <w:rFonts w:ascii="Calibri" w:hAnsi="Calibri"/>
          <w:b/>
          <w:bCs/>
          <w:noProof/>
        </w:rPr>
        <w:t>315</w:t>
      </w:r>
      <w:r w:rsidRPr="00D56087">
        <w:rPr>
          <w:rFonts w:ascii="Calibri" w:hAnsi="Calibri"/>
          <w:noProof/>
        </w:rPr>
        <w:t>, 810–813.</w:t>
      </w:r>
    </w:p>
    <w:p w14:paraId="59E44C3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17</w:t>
      </w:r>
      <w:r w:rsidRPr="00D56087">
        <w:rPr>
          <w:rFonts w:ascii="Calibri" w:hAnsi="Calibri"/>
          <w:noProof/>
        </w:rPr>
        <w:tab/>
        <w:t xml:space="preserve">J. J. Booth, S. Abbott and S. Shimizu, Mechanism of Hydrophobic Drug Solubilization by Small Molecule Hydrotropes, </w:t>
      </w:r>
      <w:r w:rsidRPr="00D56087">
        <w:rPr>
          <w:rFonts w:ascii="Calibri" w:hAnsi="Calibri"/>
          <w:i/>
          <w:iCs/>
          <w:noProof/>
        </w:rPr>
        <w:t>J. Phys. Chem. B</w:t>
      </w:r>
      <w:r w:rsidRPr="00D56087">
        <w:rPr>
          <w:rFonts w:ascii="Calibri" w:hAnsi="Calibri"/>
          <w:noProof/>
        </w:rPr>
        <w:t xml:space="preserve">, 2012, </w:t>
      </w:r>
      <w:r w:rsidRPr="00D56087">
        <w:rPr>
          <w:rFonts w:ascii="Calibri" w:hAnsi="Calibri"/>
          <w:b/>
          <w:bCs/>
          <w:noProof/>
        </w:rPr>
        <w:t>116</w:t>
      </w:r>
      <w:r w:rsidRPr="00D56087">
        <w:rPr>
          <w:rFonts w:ascii="Calibri" w:hAnsi="Calibri"/>
          <w:noProof/>
        </w:rPr>
        <w:t>, 14915–14921.</w:t>
      </w:r>
    </w:p>
    <w:p w14:paraId="264D28B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18</w:t>
      </w:r>
      <w:r w:rsidRPr="00D56087">
        <w:rPr>
          <w:rFonts w:ascii="Calibri" w:hAnsi="Calibri"/>
          <w:noProof/>
        </w:rPr>
        <w:tab/>
        <w:t xml:space="preserve">S. Shimizu and N. Matubayasi, Hydrotropy: Monomer–Micelle Equilibrium and Minimum Hydrotrope Concentration, </w:t>
      </w:r>
      <w:r w:rsidRPr="00D56087">
        <w:rPr>
          <w:rFonts w:ascii="Calibri" w:hAnsi="Calibri"/>
          <w:i/>
          <w:iCs/>
          <w:noProof/>
        </w:rPr>
        <w:t>J. Phys. Chem. B</w:t>
      </w:r>
      <w:r w:rsidRPr="00D56087">
        <w:rPr>
          <w:rFonts w:ascii="Calibri" w:hAnsi="Calibri"/>
          <w:noProof/>
        </w:rPr>
        <w:t xml:space="preserve">, 2014, </w:t>
      </w:r>
      <w:r w:rsidRPr="00D56087">
        <w:rPr>
          <w:rFonts w:ascii="Calibri" w:hAnsi="Calibri"/>
          <w:b/>
          <w:bCs/>
          <w:noProof/>
        </w:rPr>
        <w:t>118</w:t>
      </w:r>
      <w:r w:rsidRPr="00D56087">
        <w:rPr>
          <w:rFonts w:ascii="Calibri" w:hAnsi="Calibri"/>
          <w:noProof/>
        </w:rPr>
        <w:t>, 10515–10524.</w:t>
      </w:r>
    </w:p>
    <w:p w14:paraId="791F873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19</w:t>
      </w:r>
      <w:r w:rsidRPr="00D56087">
        <w:rPr>
          <w:rFonts w:ascii="Calibri" w:hAnsi="Calibri"/>
          <w:noProof/>
        </w:rPr>
        <w:tab/>
        <w:t xml:space="preserve">S. Shimizu and N. Matubayasi, The origin of cooperative solubilisation by hydrotropes., </w:t>
      </w:r>
      <w:r w:rsidRPr="00D56087">
        <w:rPr>
          <w:rFonts w:ascii="Calibri" w:hAnsi="Calibri"/>
          <w:i/>
          <w:iCs/>
          <w:noProof/>
        </w:rPr>
        <w:t>Phys. Chem. Chem. Phys.</w:t>
      </w:r>
      <w:r w:rsidRPr="00D56087">
        <w:rPr>
          <w:rFonts w:ascii="Calibri" w:hAnsi="Calibri"/>
          <w:noProof/>
        </w:rPr>
        <w:t xml:space="preserve">, 2016, </w:t>
      </w:r>
      <w:r w:rsidRPr="00D56087">
        <w:rPr>
          <w:rFonts w:ascii="Calibri" w:hAnsi="Calibri"/>
          <w:b/>
          <w:bCs/>
          <w:noProof/>
        </w:rPr>
        <w:t>18</w:t>
      </w:r>
      <w:r w:rsidRPr="00D56087">
        <w:rPr>
          <w:rFonts w:ascii="Calibri" w:hAnsi="Calibri"/>
          <w:noProof/>
        </w:rPr>
        <w:t>, 25621–25628.</w:t>
      </w:r>
    </w:p>
    <w:p w14:paraId="49930C31"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20</w:t>
      </w:r>
      <w:r w:rsidRPr="00D56087">
        <w:rPr>
          <w:rFonts w:ascii="Calibri" w:hAnsi="Calibri"/>
          <w:noProof/>
        </w:rPr>
        <w:tab/>
        <w:t xml:space="preserve">J. J. Booth, M. Omar, S. Abbott, S. Shimizu and M. A. Anisimov, Hydrotrope accumulation around the drug: the driving force for solubilization and minimum hydrotrope concentration for nicotinamide and urea, </w:t>
      </w:r>
      <w:r w:rsidRPr="00D56087">
        <w:rPr>
          <w:rFonts w:ascii="Calibri" w:hAnsi="Calibri"/>
          <w:i/>
          <w:iCs/>
          <w:noProof/>
        </w:rPr>
        <w:t>Phys. Chem. Chem. Phys.</w:t>
      </w:r>
      <w:r w:rsidRPr="00D56087">
        <w:rPr>
          <w:rFonts w:ascii="Calibri" w:hAnsi="Calibri"/>
          <w:noProof/>
        </w:rPr>
        <w:t xml:space="preserve">, 2015, </w:t>
      </w:r>
      <w:r w:rsidRPr="00D56087">
        <w:rPr>
          <w:rFonts w:ascii="Calibri" w:hAnsi="Calibri"/>
          <w:b/>
          <w:bCs/>
          <w:noProof/>
        </w:rPr>
        <w:t>17</w:t>
      </w:r>
      <w:r w:rsidRPr="00D56087">
        <w:rPr>
          <w:rFonts w:ascii="Calibri" w:hAnsi="Calibri"/>
          <w:noProof/>
        </w:rPr>
        <w:t>, 8028–8037.</w:t>
      </w:r>
    </w:p>
    <w:p w14:paraId="29478B1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21</w:t>
      </w:r>
      <w:r w:rsidRPr="00D56087">
        <w:rPr>
          <w:rFonts w:ascii="Calibri" w:hAnsi="Calibri"/>
          <w:noProof/>
        </w:rPr>
        <w:tab/>
        <w:t xml:space="preserve">S. Shimizu, J. J. Booth and S. Abbott, Hydrotropy: binding models vs. statistical thermodynamics, </w:t>
      </w:r>
      <w:r w:rsidRPr="00D56087">
        <w:rPr>
          <w:rFonts w:ascii="Calibri" w:hAnsi="Calibri"/>
          <w:i/>
          <w:iCs/>
          <w:noProof/>
        </w:rPr>
        <w:t>Phys. Chem. Chem. Phys.</w:t>
      </w:r>
      <w:r w:rsidRPr="00D56087">
        <w:rPr>
          <w:rFonts w:ascii="Calibri" w:hAnsi="Calibri"/>
          <w:noProof/>
        </w:rPr>
        <w:t xml:space="preserve">, 2013, </w:t>
      </w:r>
      <w:r w:rsidRPr="00D56087">
        <w:rPr>
          <w:rFonts w:ascii="Calibri" w:hAnsi="Calibri"/>
          <w:b/>
          <w:bCs/>
          <w:noProof/>
        </w:rPr>
        <w:t>15</w:t>
      </w:r>
      <w:r w:rsidRPr="00D56087">
        <w:rPr>
          <w:rFonts w:ascii="Calibri" w:hAnsi="Calibri"/>
          <w:noProof/>
        </w:rPr>
        <w:t>, 20625–20632.</w:t>
      </w:r>
    </w:p>
    <w:p w14:paraId="38AFE2A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22</w:t>
      </w:r>
      <w:r w:rsidRPr="00D56087">
        <w:rPr>
          <w:rFonts w:ascii="Calibri" w:hAnsi="Calibri"/>
          <w:noProof/>
        </w:rPr>
        <w:tab/>
        <w:t xml:space="preserve">R. Ferraz, L. C. Branco, C. Prudêncio, J. P. Noronha and Ž. Petrovski, Ionic Liquids as Active Pharmaceutical Ingredients, </w:t>
      </w:r>
      <w:r w:rsidRPr="00D56087">
        <w:rPr>
          <w:rFonts w:ascii="Calibri" w:hAnsi="Calibri"/>
          <w:i/>
          <w:iCs/>
          <w:noProof/>
        </w:rPr>
        <w:t>ChemMedChem</w:t>
      </w:r>
      <w:r w:rsidRPr="00D56087">
        <w:rPr>
          <w:rFonts w:ascii="Calibri" w:hAnsi="Calibri"/>
          <w:noProof/>
        </w:rPr>
        <w:t xml:space="preserve">, 2011, </w:t>
      </w:r>
      <w:r w:rsidRPr="00D56087">
        <w:rPr>
          <w:rFonts w:ascii="Calibri" w:hAnsi="Calibri"/>
          <w:b/>
          <w:bCs/>
          <w:noProof/>
        </w:rPr>
        <w:t>6</w:t>
      </w:r>
      <w:r w:rsidRPr="00D56087">
        <w:rPr>
          <w:rFonts w:ascii="Calibri" w:hAnsi="Calibri"/>
          <w:noProof/>
        </w:rPr>
        <w:t>, 975–985.</w:t>
      </w:r>
    </w:p>
    <w:p w14:paraId="4E96C65B"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23</w:t>
      </w:r>
      <w:r w:rsidRPr="00D56087">
        <w:rPr>
          <w:rFonts w:ascii="Calibri" w:hAnsi="Calibri"/>
          <w:noProof/>
        </w:rPr>
        <w:tab/>
        <w:t xml:space="preserve">W. L. Hough and R. D. Rogers, Ionic Liquids Then and Now: From Solvents to Materials to Active Pharmaceutical Ingredients, </w:t>
      </w:r>
      <w:r w:rsidRPr="00D56087">
        <w:rPr>
          <w:rFonts w:ascii="Calibri" w:hAnsi="Calibri"/>
          <w:i/>
          <w:iCs/>
          <w:noProof/>
        </w:rPr>
        <w:t>Bull. Chem. Soc. Jpn.</w:t>
      </w:r>
      <w:r w:rsidRPr="00D56087">
        <w:rPr>
          <w:rFonts w:ascii="Calibri" w:hAnsi="Calibri"/>
          <w:noProof/>
        </w:rPr>
        <w:t xml:space="preserve">, 2007, </w:t>
      </w:r>
      <w:r w:rsidRPr="00D56087">
        <w:rPr>
          <w:rFonts w:ascii="Calibri" w:hAnsi="Calibri"/>
          <w:b/>
          <w:bCs/>
          <w:noProof/>
        </w:rPr>
        <w:t>80</w:t>
      </w:r>
      <w:r w:rsidRPr="00D56087">
        <w:rPr>
          <w:rFonts w:ascii="Calibri" w:hAnsi="Calibri"/>
          <w:noProof/>
        </w:rPr>
        <w:t>, 2262–2269.</w:t>
      </w:r>
    </w:p>
    <w:p w14:paraId="094478E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24</w:t>
      </w:r>
      <w:r w:rsidRPr="00D56087">
        <w:rPr>
          <w:rFonts w:ascii="Calibri" w:hAnsi="Calibri"/>
          <w:noProof/>
        </w:rPr>
        <w:tab/>
        <w:t xml:space="preserve">K. Bica and R. D. Rogers, Confused ionic liquid ions-a ‘liquification’ and dosage strategy for pharmaceutically active salts, </w:t>
      </w:r>
      <w:r w:rsidRPr="00D56087">
        <w:rPr>
          <w:rFonts w:ascii="Calibri" w:hAnsi="Calibri"/>
          <w:i/>
          <w:iCs/>
          <w:noProof/>
        </w:rPr>
        <w:t>Chem. Commun.</w:t>
      </w:r>
      <w:r w:rsidRPr="00D56087">
        <w:rPr>
          <w:rFonts w:ascii="Calibri" w:hAnsi="Calibri"/>
          <w:noProof/>
        </w:rPr>
        <w:t xml:space="preserve">, 2010, </w:t>
      </w:r>
      <w:r w:rsidRPr="00D56087">
        <w:rPr>
          <w:rFonts w:ascii="Calibri" w:hAnsi="Calibri"/>
          <w:b/>
          <w:bCs/>
          <w:noProof/>
        </w:rPr>
        <w:t>46</w:t>
      </w:r>
      <w:r w:rsidRPr="00D56087">
        <w:rPr>
          <w:rFonts w:ascii="Calibri" w:hAnsi="Calibri"/>
          <w:noProof/>
        </w:rPr>
        <w:t>, 1215–1217.</w:t>
      </w:r>
    </w:p>
    <w:p w14:paraId="22DF530B"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25</w:t>
      </w:r>
      <w:r w:rsidRPr="00D56087">
        <w:rPr>
          <w:rFonts w:ascii="Calibri" w:hAnsi="Calibri"/>
          <w:noProof/>
        </w:rPr>
        <w:tab/>
        <w:t xml:space="preserve">J. Stoimenovski and D. R. MacFarlane, Enhanced membrane transport of pharmaceutically active protic ionic liquids, </w:t>
      </w:r>
      <w:r w:rsidRPr="00D56087">
        <w:rPr>
          <w:rFonts w:ascii="Calibri" w:hAnsi="Calibri"/>
          <w:i/>
          <w:iCs/>
          <w:noProof/>
        </w:rPr>
        <w:t>Chem. Commun.</w:t>
      </w:r>
      <w:r w:rsidRPr="00D56087">
        <w:rPr>
          <w:rFonts w:ascii="Calibri" w:hAnsi="Calibri"/>
          <w:noProof/>
        </w:rPr>
        <w:t xml:space="preserve">, 2011, </w:t>
      </w:r>
      <w:r w:rsidRPr="00D56087">
        <w:rPr>
          <w:rFonts w:ascii="Calibri" w:hAnsi="Calibri"/>
          <w:b/>
          <w:bCs/>
          <w:noProof/>
        </w:rPr>
        <w:t>47</w:t>
      </w:r>
      <w:r w:rsidRPr="00D56087">
        <w:rPr>
          <w:rFonts w:ascii="Calibri" w:hAnsi="Calibri"/>
          <w:noProof/>
        </w:rPr>
        <w:t>, 11429–11431.</w:t>
      </w:r>
    </w:p>
    <w:p w14:paraId="6C81A303"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26</w:t>
      </w:r>
      <w:r w:rsidRPr="00D56087">
        <w:rPr>
          <w:rFonts w:ascii="Calibri" w:hAnsi="Calibri"/>
          <w:noProof/>
        </w:rPr>
        <w:tab/>
        <w:t xml:space="preserve">K. Bica, H. Rodríguez, G. Gurau, O. Andreea Cojocaru, A. Riisager, R. Fehrmann and R. D. Rogers, Pharmaceutically active ionic liquids with solids handling, enhanced thermal stability, and fast release, </w:t>
      </w:r>
      <w:r w:rsidRPr="00D56087">
        <w:rPr>
          <w:rFonts w:ascii="Calibri" w:hAnsi="Calibri"/>
          <w:i/>
          <w:iCs/>
          <w:noProof/>
        </w:rPr>
        <w:t>Chem. Commun.</w:t>
      </w:r>
      <w:r w:rsidRPr="00D56087">
        <w:rPr>
          <w:rFonts w:ascii="Calibri" w:hAnsi="Calibri"/>
          <w:noProof/>
        </w:rPr>
        <w:t xml:space="preserve">, 2012, </w:t>
      </w:r>
      <w:r w:rsidRPr="00D56087">
        <w:rPr>
          <w:rFonts w:ascii="Calibri" w:hAnsi="Calibri"/>
          <w:b/>
          <w:bCs/>
          <w:noProof/>
        </w:rPr>
        <w:t>48</w:t>
      </w:r>
      <w:r w:rsidRPr="00D56087">
        <w:rPr>
          <w:rFonts w:ascii="Calibri" w:hAnsi="Calibri"/>
          <w:noProof/>
        </w:rPr>
        <w:t>, 5422–5424.</w:t>
      </w:r>
    </w:p>
    <w:p w14:paraId="4457980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27</w:t>
      </w:r>
      <w:r w:rsidRPr="00D56087">
        <w:rPr>
          <w:rFonts w:ascii="Calibri" w:hAnsi="Calibri"/>
          <w:noProof/>
        </w:rPr>
        <w:tab/>
        <w:t xml:space="preserve">W. L. Hough, M. Smiglak, H. Rodriguez, R. P. Swatloski, S. K. Spear, D. T. Daly, J. Pernak, J. E. Grisel, R. D. Carliss, M. D. Soutullo, J. J. H. Davis and R. D. Rogers, The third evolution of ionic liquids: active pharmaceutical ingredients, </w:t>
      </w:r>
      <w:r w:rsidRPr="00D56087">
        <w:rPr>
          <w:rFonts w:ascii="Calibri" w:hAnsi="Calibri"/>
          <w:i/>
          <w:iCs/>
          <w:noProof/>
        </w:rPr>
        <w:t>New J. Chem.</w:t>
      </w:r>
      <w:r w:rsidRPr="00D56087">
        <w:rPr>
          <w:rFonts w:ascii="Calibri" w:hAnsi="Calibri"/>
          <w:noProof/>
        </w:rPr>
        <w:t xml:space="preserve">, 2007, </w:t>
      </w:r>
      <w:r w:rsidRPr="00D56087">
        <w:rPr>
          <w:rFonts w:ascii="Calibri" w:hAnsi="Calibri"/>
          <w:b/>
          <w:bCs/>
          <w:noProof/>
        </w:rPr>
        <w:t>31</w:t>
      </w:r>
      <w:r w:rsidRPr="00D56087">
        <w:rPr>
          <w:rFonts w:ascii="Calibri" w:hAnsi="Calibri"/>
          <w:noProof/>
        </w:rPr>
        <w:t>, 1429–1436.</w:t>
      </w:r>
    </w:p>
    <w:p w14:paraId="6F6F708C"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28</w:t>
      </w:r>
      <w:r w:rsidRPr="00D56087">
        <w:rPr>
          <w:rFonts w:ascii="Calibri" w:hAnsi="Calibri"/>
          <w:noProof/>
        </w:rPr>
        <w:tab/>
        <w:t xml:space="preserve">K. Bica, C. Rijksen, M. Nieuwenhuyzen and R. D. Rogers, In search of pure liquid salt forms of aspirin: ionic liquid approaches with acetylsalicylic acid and salicylic acid, </w:t>
      </w:r>
      <w:r w:rsidRPr="00D56087">
        <w:rPr>
          <w:rFonts w:ascii="Calibri" w:hAnsi="Calibri"/>
          <w:i/>
          <w:iCs/>
          <w:noProof/>
        </w:rPr>
        <w:t>Phys. Chem. Chem. Phys.</w:t>
      </w:r>
      <w:r w:rsidRPr="00D56087">
        <w:rPr>
          <w:rFonts w:ascii="Calibri" w:hAnsi="Calibri"/>
          <w:noProof/>
        </w:rPr>
        <w:t xml:space="preserve">, 2010, </w:t>
      </w:r>
      <w:r w:rsidRPr="00D56087">
        <w:rPr>
          <w:rFonts w:ascii="Calibri" w:hAnsi="Calibri"/>
          <w:b/>
          <w:bCs/>
          <w:noProof/>
        </w:rPr>
        <w:t>12</w:t>
      </w:r>
      <w:r w:rsidRPr="00D56087">
        <w:rPr>
          <w:rFonts w:ascii="Calibri" w:hAnsi="Calibri"/>
          <w:noProof/>
        </w:rPr>
        <w:t>, 2011–2017.</w:t>
      </w:r>
    </w:p>
    <w:p w14:paraId="213D9350"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29</w:t>
      </w:r>
      <w:r w:rsidRPr="00D56087">
        <w:rPr>
          <w:rFonts w:ascii="Calibri" w:hAnsi="Calibri"/>
          <w:noProof/>
        </w:rPr>
        <w:tab/>
        <w:t xml:space="preserve">A. Balk, J. Wiest, T. Widmer, B. Galli, U. Holzgrabe and L. Meinel, Transformation of acidic poorly water soluble drugs into ionic liquids, </w:t>
      </w:r>
      <w:r w:rsidRPr="00D56087">
        <w:rPr>
          <w:rFonts w:ascii="Calibri" w:hAnsi="Calibri"/>
          <w:i/>
          <w:iCs/>
          <w:noProof/>
        </w:rPr>
        <w:t>Eur. J. Pharm. Biopharm.</w:t>
      </w:r>
      <w:r w:rsidRPr="00D56087">
        <w:rPr>
          <w:rFonts w:ascii="Calibri" w:hAnsi="Calibri"/>
          <w:noProof/>
        </w:rPr>
        <w:t xml:space="preserve">, 2015, </w:t>
      </w:r>
      <w:r w:rsidRPr="00D56087">
        <w:rPr>
          <w:rFonts w:ascii="Calibri" w:hAnsi="Calibri"/>
          <w:b/>
          <w:bCs/>
          <w:noProof/>
        </w:rPr>
        <w:t>94</w:t>
      </w:r>
      <w:r w:rsidRPr="00D56087">
        <w:rPr>
          <w:rFonts w:ascii="Calibri" w:hAnsi="Calibri"/>
          <w:noProof/>
        </w:rPr>
        <w:t>, 73–82.</w:t>
      </w:r>
    </w:p>
    <w:p w14:paraId="52491FA1"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30</w:t>
      </w:r>
      <w:r w:rsidRPr="00D56087">
        <w:rPr>
          <w:rFonts w:ascii="Calibri" w:hAnsi="Calibri"/>
          <w:noProof/>
        </w:rPr>
        <w:tab/>
        <w:t xml:space="preserve">T. E. Sintra, A. Luís, S. N. Rocha, A. I. M. C. Lobo Ferreira, F. Gonçalves, L. M. N. B. F. Santos, B. M. Neves, M. G. Freire, S. P. M. Ventura and J. A. P. Coutinho, Enhancing the Antioxidant Characteristics of Phenolic Acids by Their Conversion into Cholinium Salts, </w:t>
      </w:r>
      <w:r w:rsidRPr="00D56087">
        <w:rPr>
          <w:rFonts w:ascii="Calibri" w:hAnsi="Calibri"/>
          <w:i/>
          <w:iCs/>
          <w:noProof/>
        </w:rPr>
        <w:t>ACS Sustain. Chem. Eng.</w:t>
      </w:r>
      <w:r w:rsidRPr="00D56087">
        <w:rPr>
          <w:rFonts w:ascii="Calibri" w:hAnsi="Calibri"/>
          <w:noProof/>
        </w:rPr>
        <w:t xml:space="preserve">, 2015, </w:t>
      </w:r>
      <w:r w:rsidRPr="00D56087">
        <w:rPr>
          <w:rFonts w:ascii="Calibri" w:hAnsi="Calibri"/>
          <w:b/>
          <w:bCs/>
          <w:noProof/>
        </w:rPr>
        <w:t>3</w:t>
      </w:r>
      <w:r w:rsidRPr="00D56087">
        <w:rPr>
          <w:rFonts w:ascii="Calibri" w:hAnsi="Calibri"/>
          <w:noProof/>
        </w:rPr>
        <w:t>, 2558–2565.</w:t>
      </w:r>
    </w:p>
    <w:p w14:paraId="5A4F4CD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31</w:t>
      </w:r>
      <w:r w:rsidRPr="00D56087">
        <w:rPr>
          <w:rFonts w:ascii="Calibri" w:hAnsi="Calibri"/>
          <w:noProof/>
        </w:rPr>
        <w:tab/>
        <w:t xml:space="preserve">D. Rengstl, B. Kraus, M. Van Vorst, G. D. Elliott and W. Kunz, Effect of choline carboxylate ionic liquids on biological membranes, </w:t>
      </w:r>
      <w:r w:rsidRPr="00D56087">
        <w:rPr>
          <w:rFonts w:ascii="Calibri" w:hAnsi="Calibri"/>
          <w:i/>
          <w:iCs/>
          <w:noProof/>
        </w:rPr>
        <w:t>Colloids Surfaces B Biointerfaces</w:t>
      </w:r>
      <w:r w:rsidRPr="00D56087">
        <w:rPr>
          <w:rFonts w:ascii="Calibri" w:hAnsi="Calibri"/>
          <w:noProof/>
        </w:rPr>
        <w:t xml:space="preserve">, 2014, </w:t>
      </w:r>
      <w:r w:rsidRPr="00D56087">
        <w:rPr>
          <w:rFonts w:ascii="Calibri" w:hAnsi="Calibri"/>
          <w:b/>
          <w:bCs/>
          <w:noProof/>
        </w:rPr>
        <w:t>123</w:t>
      </w:r>
      <w:r w:rsidRPr="00D56087">
        <w:rPr>
          <w:rFonts w:ascii="Calibri" w:hAnsi="Calibri"/>
          <w:noProof/>
        </w:rPr>
        <w:t>, 575–581.</w:t>
      </w:r>
    </w:p>
    <w:p w14:paraId="2F43966B"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32</w:t>
      </w:r>
      <w:r w:rsidRPr="00D56087">
        <w:rPr>
          <w:rFonts w:ascii="Calibri" w:hAnsi="Calibri"/>
          <w:noProof/>
        </w:rPr>
        <w:tab/>
        <w:t xml:space="preserve">A. F. M. Claudio, M. C. Neves, K. Shimizu, J. N. Canongia Lopes, M. G. Freire and J. A. P. Coutinho, The magic of aqueous solutions of ionic liquids: ionic liquids as a powerful class of catanionic hydrotropes, </w:t>
      </w:r>
      <w:r w:rsidRPr="00D56087">
        <w:rPr>
          <w:rFonts w:ascii="Calibri" w:hAnsi="Calibri"/>
          <w:i/>
          <w:iCs/>
          <w:noProof/>
        </w:rPr>
        <w:t>Green Chem.</w:t>
      </w:r>
      <w:r w:rsidRPr="00D56087">
        <w:rPr>
          <w:rFonts w:ascii="Calibri" w:hAnsi="Calibri"/>
          <w:noProof/>
        </w:rPr>
        <w:t xml:space="preserve">, 2015, </w:t>
      </w:r>
      <w:r w:rsidRPr="00D56087">
        <w:rPr>
          <w:rFonts w:ascii="Calibri" w:hAnsi="Calibri"/>
          <w:b/>
          <w:bCs/>
          <w:noProof/>
        </w:rPr>
        <w:t>17</w:t>
      </w:r>
      <w:r w:rsidRPr="00D56087">
        <w:rPr>
          <w:rFonts w:ascii="Calibri" w:hAnsi="Calibri"/>
          <w:noProof/>
        </w:rPr>
        <w:t>, 3948–3963.</w:t>
      </w:r>
    </w:p>
    <w:p w14:paraId="4EEE573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33</w:t>
      </w:r>
      <w:r w:rsidRPr="00D56087">
        <w:rPr>
          <w:rFonts w:ascii="Calibri" w:hAnsi="Calibri"/>
          <w:noProof/>
        </w:rPr>
        <w:tab/>
        <w:t xml:space="preserve">Biowaiver Monographs for Immediate Release Solid Oral Dosage Forms: Ibuprofen, </w:t>
      </w:r>
      <w:r w:rsidRPr="00D56087">
        <w:rPr>
          <w:rFonts w:ascii="Calibri" w:hAnsi="Calibri"/>
          <w:i/>
          <w:iCs/>
          <w:noProof/>
        </w:rPr>
        <w:t>J. Pharm. Sci.</w:t>
      </w:r>
      <w:r w:rsidRPr="00D56087">
        <w:rPr>
          <w:rFonts w:ascii="Calibri" w:hAnsi="Calibri"/>
          <w:noProof/>
        </w:rPr>
        <w:t xml:space="preserve">, 2005, </w:t>
      </w:r>
      <w:r w:rsidRPr="00D56087">
        <w:rPr>
          <w:rFonts w:ascii="Calibri" w:hAnsi="Calibri"/>
          <w:b/>
          <w:bCs/>
          <w:noProof/>
        </w:rPr>
        <w:t>94</w:t>
      </w:r>
      <w:r w:rsidRPr="00D56087">
        <w:rPr>
          <w:rFonts w:ascii="Calibri" w:hAnsi="Calibri"/>
          <w:noProof/>
        </w:rPr>
        <w:t>, 2121–2131.</w:t>
      </w:r>
    </w:p>
    <w:p w14:paraId="2893E83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34</w:t>
      </w:r>
      <w:r w:rsidRPr="00D56087">
        <w:rPr>
          <w:rFonts w:ascii="Calibri" w:hAnsi="Calibri"/>
          <w:noProof/>
        </w:rPr>
        <w:tab/>
        <w:t xml:space="preserve">R. O. Williams, A. B. Watts and D. A. Miller, </w:t>
      </w:r>
      <w:r w:rsidRPr="00D56087">
        <w:rPr>
          <w:rFonts w:ascii="Calibri" w:hAnsi="Calibri"/>
          <w:i/>
          <w:iCs/>
          <w:noProof/>
        </w:rPr>
        <w:t>Formulating Poorly Water Soluble Drugs</w:t>
      </w:r>
      <w:r w:rsidRPr="00D56087">
        <w:rPr>
          <w:rFonts w:ascii="Calibri" w:hAnsi="Calibri"/>
          <w:noProof/>
        </w:rPr>
        <w:t>, Springer New York, 2011.</w:t>
      </w:r>
    </w:p>
    <w:p w14:paraId="4D4051A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35</w:t>
      </w:r>
      <w:r w:rsidRPr="00D56087">
        <w:rPr>
          <w:rFonts w:ascii="Calibri" w:hAnsi="Calibri"/>
          <w:noProof/>
        </w:rPr>
        <w:tab/>
        <w:t xml:space="preserve">A. Dahan, J. M. Miller and G. L. Amidon, Prediction of Solubility and Permeability Class Membership: Provisional BCS Classification of the World’s Top Oral Drugs, </w:t>
      </w:r>
      <w:r w:rsidRPr="00D56087">
        <w:rPr>
          <w:rFonts w:ascii="Calibri" w:hAnsi="Calibri"/>
          <w:i/>
          <w:iCs/>
          <w:noProof/>
        </w:rPr>
        <w:t>AAPS J.</w:t>
      </w:r>
      <w:r w:rsidRPr="00D56087">
        <w:rPr>
          <w:rFonts w:ascii="Calibri" w:hAnsi="Calibri"/>
          <w:noProof/>
        </w:rPr>
        <w:t xml:space="preserve">, 2009, </w:t>
      </w:r>
      <w:r w:rsidRPr="00D56087">
        <w:rPr>
          <w:rFonts w:ascii="Calibri" w:hAnsi="Calibri"/>
          <w:b/>
          <w:bCs/>
          <w:noProof/>
        </w:rPr>
        <w:t>11</w:t>
      </w:r>
      <w:r w:rsidRPr="00D56087">
        <w:rPr>
          <w:rFonts w:ascii="Calibri" w:hAnsi="Calibri"/>
          <w:noProof/>
        </w:rPr>
        <w:t>, 740–746.</w:t>
      </w:r>
    </w:p>
    <w:p w14:paraId="3789856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36</w:t>
      </w:r>
      <w:r w:rsidRPr="00D56087">
        <w:rPr>
          <w:rFonts w:ascii="Calibri" w:hAnsi="Calibri"/>
          <w:noProof/>
        </w:rPr>
        <w:tab/>
        <w:t xml:space="preserve">F. A. e Silva, M. Caban, P. Stepnowski, J. A. P. Coutinho and S. P. M. Ventura, Recovery of ibuprofen from pharmaceutical wastes using ionic liquids, </w:t>
      </w:r>
      <w:r w:rsidRPr="00D56087">
        <w:rPr>
          <w:rFonts w:ascii="Calibri" w:hAnsi="Calibri"/>
          <w:i/>
          <w:iCs/>
          <w:noProof/>
        </w:rPr>
        <w:t>Green Chem.</w:t>
      </w:r>
      <w:r w:rsidRPr="00D56087">
        <w:rPr>
          <w:rFonts w:ascii="Calibri" w:hAnsi="Calibri"/>
          <w:noProof/>
        </w:rPr>
        <w:t xml:space="preserve">, 2016, </w:t>
      </w:r>
      <w:r w:rsidRPr="00D56087">
        <w:rPr>
          <w:rFonts w:ascii="Calibri" w:hAnsi="Calibri"/>
          <w:b/>
          <w:bCs/>
          <w:noProof/>
        </w:rPr>
        <w:t>18</w:t>
      </w:r>
      <w:r w:rsidRPr="00D56087">
        <w:rPr>
          <w:rFonts w:ascii="Calibri" w:hAnsi="Calibri"/>
          <w:noProof/>
        </w:rPr>
        <w:t>, 3749–3757.</w:t>
      </w:r>
    </w:p>
    <w:p w14:paraId="31CFA56C"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37</w:t>
      </w:r>
      <w:r w:rsidRPr="00D56087">
        <w:rPr>
          <w:rFonts w:ascii="Calibri" w:hAnsi="Calibri"/>
          <w:noProof/>
        </w:rPr>
        <w:tab/>
        <w:t xml:space="preserve">M. Praprotnik, D. Janežič and J. Mavri, Temperature Dependence of Water Vibrational Spectrum: A Molecular Dynamics Simulation Study, </w:t>
      </w:r>
      <w:r w:rsidRPr="00D56087">
        <w:rPr>
          <w:rFonts w:ascii="Calibri" w:hAnsi="Calibri"/>
          <w:i/>
          <w:iCs/>
          <w:noProof/>
        </w:rPr>
        <w:t>J. Phys. Chem. A</w:t>
      </w:r>
      <w:r w:rsidRPr="00D56087">
        <w:rPr>
          <w:rFonts w:ascii="Calibri" w:hAnsi="Calibri"/>
          <w:noProof/>
        </w:rPr>
        <w:t xml:space="preserve">, 2004, </w:t>
      </w:r>
      <w:r w:rsidRPr="00D56087">
        <w:rPr>
          <w:rFonts w:ascii="Calibri" w:hAnsi="Calibri"/>
          <w:b/>
          <w:bCs/>
          <w:noProof/>
        </w:rPr>
        <w:t>108</w:t>
      </w:r>
      <w:r w:rsidRPr="00D56087">
        <w:rPr>
          <w:rFonts w:ascii="Calibri" w:hAnsi="Calibri"/>
          <w:noProof/>
        </w:rPr>
        <w:t>, 11056–11062.</w:t>
      </w:r>
    </w:p>
    <w:p w14:paraId="0609F46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38</w:t>
      </w:r>
      <w:r w:rsidRPr="00D56087">
        <w:rPr>
          <w:rFonts w:ascii="Calibri" w:hAnsi="Calibri"/>
          <w:noProof/>
        </w:rPr>
        <w:tab/>
        <w:t xml:space="preserve">W. L. Jorgensen, D. S. Maxwell and J. Tirado-Rives, Development and Testing of the OPLS All-Atom Force Field on Conformational Energetics and Properties of Organic Liquids, </w:t>
      </w:r>
      <w:r w:rsidRPr="00D56087">
        <w:rPr>
          <w:rFonts w:ascii="Calibri" w:hAnsi="Calibri"/>
          <w:i/>
          <w:iCs/>
          <w:noProof/>
        </w:rPr>
        <w:t>J. Am. Chem. Soc.</w:t>
      </w:r>
      <w:r w:rsidRPr="00D56087">
        <w:rPr>
          <w:rFonts w:ascii="Calibri" w:hAnsi="Calibri"/>
          <w:noProof/>
        </w:rPr>
        <w:t xml:space="preserve">, 1996, </w:t>
      </w:r>
      <w:r w:rsidRPr="00D56087">
        <w:rPr>
          <w:rFonts w:ascii="Calibri" w:hAnsi="Calibri"/>
          <w:b/>
          <w:bCs/>
          <w:noProof/>
        </w:rPr>
        <w:t>118</w:t>
      </w:r>
      <w:r w:rsidRPr="00D56087">
        <w:rPr>
          <w:rFonts w:ascii="Calibri" w:hAnsi="Calibri"/>
          <w:noProof/>
        </w:rPr>
        <w:t>, 11225–11236.</w:t>
      </w:r>
    </w:p>
    <w:p w14:paraId="46F1066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39</w:t>
      </w:r>
      <w:r w:rsidRPr="00D56087">
        <w:rPr>
          <w:rFonts w:ascii="Calibri" w:hAnsi="Calibri"/>
          <w:noProof/>
        </w:rPr>
        <w:tab/>
        <w:t xml:space="preserve">J. N. Canongia Lopes, J. Deschamps and A. A. H. Pádua, Modeling Ionic Liquids Using a Systematic All-Atom Force Field, </w:t>
      </w:r>
      <w:r w:rsidRPr="00D56087">
        <w:rPr>
          <w:rFonts w:ascii="Calibri" w:hAnsi="Calibri"/>
          <w:i/>
          <w:iCs/>
          <w:noProof/>
        </w:rPr>
        <w:t>J. Phys. Chem. B</w:t>
      </w:r>
      <w:r w:rsidRPr="00D56087">
        <w:rPr>
          <w:rFonts w:ascii="Calibri" w:hAnsi="Calibri"/>
          <w:noProof/>
        </w:rPr>
        <w:t xml:space="preserve">, 2004, </w:t>
      </w:r>
      <w:r w:rsidRPr="00D56087">
        <w:rPr>
          <w:rFonts w:ascii="Calibri" w:hAnsi="Calibri"/>
          <w:b/>
          <w:bCs/>
          <w:noProof/>
        </w:rPr>
        <w:t>108</w:t>
      </w:r>
      <w:r w:rsidRPr="00D56087">
        <w:rPr>
          <w:rFonts w:ascii="Calibri" w:hAnsi="Calibri"/>
          <w:noProof/>
        </w:rPr>
        <w:t>, 2038–2047.</w:t>
      </w:r>
    </w:p>
    <w:p w14:paraId="278F7D1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40</w:t>
      </w:r>
      <w:r w:rsidRPr="00D56087">
        <w:rPr>
          <w:rFonts w:ascii="Calibri" w:hAnsi="Calibri"/>
          <w:noProof/>
        </w:rPr>
        <w:tab/>
        <w:t xml:space="preserve">J. N. Canongia Lopes and A. A. H. Pádua, Molecular Force Field for Ionic Liquids Composed of Triflate or Bistriflylimide Anions, </w:t>
      </w:r>
      <w:r w:rsidRPr="00D56087">
        <w:rPr>
          <w:rFonts w:ascii="Calibri" w:hAnsi="Calibri"/>
          <w:i/>
          <w:iCs/>
          <w:noProof/>
        </w:rPr>
        <w:t>J. Phys. Chem. B</w:t>
      </w:r>
      <w:r w:rsidRPr="00D56087">
        <w:rPr>
          <w:rFonts w:ascii="Calibri" w:hAnsi="Calibri"/>
          <w:noProof/>
        </w:rPr>
        <w:t xml:space="preserve">, 2004, </w:t>
      </w:r>
      <w:r w:rsidRPr="00D56087">
        <w:rPr>
          <w:rFonts w:ascii="Calibri" w:hAnsi="Calibri"/>
          <w:b/>
          <w:bCs/>
          <w:noProof/>
        </w:rPr>
        <w:t>108</w:t>
      </w:r>
      <w:r w:rsidRPr="00D56087">
        <w:rPr>
          <w:rFonts w:ascii="Calibri" w:hAnsi="Calibri"/>
          <w:noProof/>
        </w:rPr>
        <w:t>, 16893–16898.</w:t>
      </w:r>
    </w:p>
    <w:p w14:paraId="46BF2690"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41</w:t>
      </w:r>
      <w:r w:rsidRPr="00D56087">
        <w:rPr>
          <w:rFonts w:ascii="Calibri" w:hAnsi="Calibri"/>
          <w:noProof/>
        </w:rPr>
        <w:tab/>
        <w:t xml:space="preserve">J. N. Canongia Lopes and A. A. H. Pádua, CL&amp;amp;P: A generic and systematic force field for ionic liquids modeling, </w:t>
      </w:r>
      <w:r w:rsidRPr="00D56087">
        <w:rPr>
          <w:rFonts w:ascii="Calibri" w:hAnsi="Calibri"/>
          <w:i/>
          <w:iCs/>
          <w:noProof/>
        </w:rPr>
        <w:t>Theor. Chem. Acc.</w:t>
      </w:r>
      <w:r w:rsidRPr="00D56087">
        <w:rPr>
          <w:rFonts w:ascii="Calibri" w:hAnsi="Calibri"/>
          <w:noProof/>
        </w:rPr>
        <w:t xml:space="preserve">, 2012, </w:t>
      </w:r>
      <w:r w:rsidRPr="00D56087">
        <w:rPr>
          <w:rFonts w:ascii="Calibri" w:hAnsi="Calibri"/>
          <w:b/>
          <w:bCs/>
          <w:noProof/>
        </w:rPr>
        <w:t>131</w:t>
      </w:r>
      <w:r w:rsidRPr="00D56087">
        <w:rPr>
          <w:rFonts w:ascii="Calibri" w:hAnsi="Calibri"/>
          <w:noProof/>
        </w:rPr>
        <w:t>, 1129.</w:t>
      </w:r>
    </w:p>
    <w:p w14:paraId="2E372D2B"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42</w:t>
      </w:r>
      <w:r w:rsidRPr="00D56087">
        <w:rPr>
          <w:rFonts w:ascii="Calibri" w:hAnsi="Calibri"/>
          <w:noProof/>
        </w:rPr>
        <w:tab/>
        <w:t>W. Smith and T. R. Forester, 2006.</w:t>
      </w:r>
    </w:p>
    <w:p w14:paraId="15CC8FB5"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43</w:t>
      </w:r>
      <w:r w:rsidRPr="00D56087">
        <w:rPr>
          <w:rFonts w:ascii="Calibri" w:hAnsi="Calibri"/>
          <w:noProof/>
        </w:rPr>
        <w:tab/>
        <w:t xml:space="preserve">H. J. C. Berendsen, D. van der Spoel and R. van Drunen, GROMACS: A message-passing parallel molecular dynamics implementation, </w:t>
      </w:r>
      <w:r w:rsidRPr="00D56087">
        <w:rPr>
          <w:rFonts w:ascii="Calibri" w:hAnsi="Calibri"/>
          <w:i/>
          <w:iCs/>
          <w:noProof/>
        </w:rPr>
        <w:t>Comput. Phys. Commun.</w:t>
      </w:r>
      <w:r w:rsidRPr="00D56087">
        <w:rPr>
          <w:rFonts w:ascii="Calibri" w:hAnsi="Calibri"/>
          <w:noProof/>
        </w:rPr>
        <w:t xml:space="preserve">, 1995, </w:t>
      </w:r>
      <w:r w:rsidRPr="00D56087">
        <w:rPr>
          <w:rFonts w:ascii="Calibri" w:hAnsi="Calibri"/>
          <w:b/>
          <w:bCs/>
          <w:noProof/>
        </w:rPr>
        <w:t>91</w:t>
      </w:r>
      <w:r w:rsidRPr="00D56087">
        <w:rPr>
          <w:rFonts w:ascii="Calibri" w:hAnsi="Calibri"/>
          <w:noProof/>
        </w:rPr>
        <w:t>, 43–56.</w:t>
      </w:r>
    </w:p>
    <w:p w14:paraId="63B1D85C"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44</w:t>
      </w:r>
      <w:r w:rsidRPr="00D56087">
        <w:rPr>
          <w:rFonts w:ascii="Calibri" w:hAnsi="Calibri"/>
          <w:noProof/>
        </w:rPr>
        <w:tab/>
        <w:t xml:space="preserve">S. Páll, M. J. Abraham, C. Kutzner, B. Hess and E. Lindahl, in </w:t>
      </w:r>
      <w:r w:rsidRPr="00D56087">
        <w:rPr>
          <w:rFonts w:ascii="Calibri" w:hAnsi="Calibri"/>
          <w:i/>
          <w:iCs/>
          <w:noProof/>
        </w:rPr>
        <w:t>Solving Software Challenges for Exascale. Vol. 8759</w:t>
      </w:r>
      <w:r w:rsidRPr="00D56087">
        <w:rPr>
          <w:rFonts w:ascii="Calibri" w:hAnsi="Calibri"/>
          <w:noProof/>
        </w:rPr>
        <w:t>, Springer, Cham, 2015, pp. 3–27.</w:t>
      </w:r>
    </w:p>
    <w:p w14:paraId="38C637CF"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45</w:t>
      </w:r>
      <w:r w:rsidRPr="00D56087">
        <w:rPr>
          <w:rFonts w:ascii="Calibri" w:hAnsi="Calibri"/>
          <w:noProof/>
        </w:rPr>
        <w:tab/>
        <w:t xml:space="preserve">M. J. Abraham, T. Murtola, R. Schulz, S. Páll, J. C. Smith, B. Hess and E. Lindahl, GROMACS: High performance molecular simulations through multi-level parallelism from laptops to supercomputers, </w:t>
      </w:r>
      <w:r w:rsidRPr="00D56087">
        <w:rPr>
          <w:rFonts w:ascii="Calibri" w:hAnsi="Calibri"/>
          <w:i/>
          <w:iCs/>
          <w:noProof/>
        </w:rPr>
        <w:t>SoftwareX</w:t>
      </w:r>
      <w:r w:rsidRPr="00D56087">
        <w:rPr>
          <w:rFonts w:ascii="Calibri" w:hAnsi="Calibri"/>
          <w:noProof/>
        </w:rPr>
        <w:t xml:space="preserve">, 2015, </w:t>
      </w:r>
      <w:r w:rsidRPr="00D56087">
        <w:rPr>
          <w:rFonts w:ascii="Calibri" w:hAnsi="Calibri"/>
          <w:b/>
          <w:bCs/>
          <w:noProof/>
        </w:rPr>
        <w:t>1-2</w:t>
      </w:r>
      <w:r w:rsidRPr="00D56087">
        <w:rPr>
          <w:rFonts w:ascii="Calibri" w:hAnsi="Calibri"/>
          <w:noProof/>
        </w:rPr>
        <w:t>, 19–25.</w:t>
      </w:r>
    </w:p>
    <w:p w14:paraId="2757D9BE"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46</w:t>
      </w:r>
      <w:r w:rsidRPr="00D56087">
        <w:rPr>
          <w:rFonts w:ascii="Calibri" w:hAnsi="Calibri"/>
          <w:noProof/>
        </w:rPr>
        <w:tab/>
        <w:t xml:space="preserve">L. Martínez, R. Andrade, E. G. Birgin and J. M. Martínez, PACKMOL: A package for building initial configurations for molecular dynamics simulations, </w:t>
      </w:r>
      <w:r w:rsidRPr="00D56087">
        <w:rPr>
          <w:rFonts w:ascii="Calibri" w:hAnsi="Calibri"/>
          <w:i/>
          <w:iCs/>
          <w:noProof/>
        </w:rPr>
        <w:t>J. Comput. Chem.</w:t>
      </w:r>
      <w:r w:rsidRPr="00D56087">
        <w:rPr>
          <w:rFonts w:ascii="Calibri" w:hAnsi="Calibri"/>
          <w:noProof/>
        </w:rPr>
        <w:t xml:space="preserve">, 2009, </w:t>
      </w:r>
      <w:r w:rsidRPr="00D56087">
        <w:rPr>
          <w:rFonts w:ascii="Calibri" w:hAnsi="Calibri"/>
          <w:b/>
          <w:bCs/>
          <w:noProof/>
        </w:rPr>
        <w:t>30</w:t>
      </w:r>
      <w:r w:rsidRPr="00D56087">
        <w:rPr>
          <w:rFonts w:ascii="Calibri" w:hAnsi="Calibri"/>
          <w:noProof/>
        </w:rPr>
        <w:t>, 2157–2164.</w:t>
      </w:r>
    </w:p>
    <w:p w14:paraId="704903D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47</w:t>
      </w:r>
      <w:r w:rsidRPr="00D56087">
        <w:rPr>
          <w:rFonts w:ascii="Calibri" w:hAnsi="Calibri"/>
          <w:noProof/>
        </w:rPr>
        <w:tab/>
        <w:t xml:space="preserve">K. Shimizu, C. E. S. Bernardes and J. N. Canongia Lopes, Structure and Aggregation in the 1-Alkyl-3-Methylimidazolium Bis(trifluoromethylsulfonyl)imide Ionic Liquid Homologous Series, </w:t>
      </w:r>
      <w:r w:rsidRPr="00D56087">
        <w:rPr>
          <w:rFonts w:ascii="Calibri" w:hAnsi="Calibri"/>
          <w:i/>
          <w:iCs/>
          <w:noProof/>
        </w:rPr>
        <w:t>J. Phys. Chem. B</w:t>
      </w:r>
      <w:r w:rsidRPr="00D56087">
        <w:rPr>
          <w:rFonts w:ascii="Calibri" w:hAnsi="Calibri"/>
          <w:noProof/>
        </w:rPr>
        <w:t xml:space="preserve">, 2014, </w:t>
      </w:r>
      <w:r w:rsidRPr="00D56087">
        <w:rPr>
          <w:rFonts w:ascii="Calibri" w:hAnsi="Calibri"/>
          <w:b/>
          <w:bCs/>
          <w:noProof/>
        </w:rPr>
        <w:t>118</w:t>
      </w:r>
      <w:r w:rsidRPr="00D56087">
        <w:rPr>
          <w:rFonts w:ascii="Calibri" w:hAnsi="Calibri"/>
          <w:noProof/>
        </w:rPr>
        <w:t>, 567–576.</w:t>
      </w:r>
    </w:p>
    <w:p w14:paraId="3C24792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48</w:t>
      </w:r>
      <w:r w:rsidRPr="00D56087">
        <w:rPr>
          <w:rFonts w:ascii="Calibri" w:hAnsi="Calibri"/>
          <w:noProof/>
        </w:rPr>
        <w:tab/>
        <w:t xml:space="preserve">C. E. S. Bernardes, M. E. Minas da Piedade and J. N. Canongia Lopes, The Structure of Aqueous Solutions of a Hydrophilic Ionic Liquid: The Full Concentration Range of 1-Ethyl-3-methylimidazolium Ethylsulfate and Water, </w:t>
      </w:r>
      <w:r w:rsidRPr="00D56087">
        <w:rPr>
          <w:rFonts w:ascii="Calibri" w:hAnsi="Calibri"/>
          <w:i/>
          <w:iCs/>
          <w:noProof/>
        </w:rPr>
        <w:t>J. Phys. Chem. B</w:t>
      </w:r>
      <w:r w:rsidRPr="00D56087">
        <w:rPr>
          <w:rFonts w:ascii="Calibri" w:hAnsi="Calibri"/>
          <w:noProof/>
        </w:rPr>
        <w:t xml:space="preserve">, 2011, </w:t>
      </w:r>
      <w:r w:rsidRPr="00D56087">
        <w:rPr>
          <w:rFonts w:ascii="Calibri" w:hAnsi="Calibri"/>
          <w:b/>
          <w:bCs/>
          <w:noProof/>
        </w:rPr>
        <w:t>115</w:t>
      </w:r>
      <w:r w:rsidRPr="00D56087">
        <w:rPr>
          <w:rFonts w:ascii="Calibri" w:hAnsi="Calibri"/>
          <w:noProof/>
        </w:rPr>
        <w:t>, 2067–2074.</w:t>
      </w:r>
    </w:p>
    <w:p w14:paraId="5E490D0F"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49</w:t>
      </w:r>
      <w:r w:rsidRPr="00D56087">
        <w:rPr>
          <w:rFonts w:ascii="Calibri" w:hAnsi="Calibri"/>
          <w:noProof/>
        </w:rPr>
        <w:tab/>
        <w:t xml:space="preserve">J. W. Russo and M. M. Hoffmann, Measurements of Surface Tension and Chemical Shift on Several Binary Mixtures of Water and Ionic Liquids and Their Comparison for Assessing Aggregation, </w:t>
      </w:r>
      <w:r w:rsidRPr="00D56087">
        <w:rPr>
          <w:rFonts w:ascii="Calibri" w:hAnsi="Calibri"/>
          <w:i/>
          <w:iCs/>
          <w:noProof/>
        </w:rPr>
        <w:t>J. Chem. Eng. Data</w:t>
      </w:r>
      <w:r w:rsidRPr="00D56087">
        <w:rPr>
          <w:rFonts w:ascii="Calibri" w:hAnsi="Calibri"/>
          <w:noProof/>
        </w:rPr>
        <w:t xml:space="preserve">, 2011, </w:t>
      </w:r>
      <w:r w:rsidRPr="00D56087">
        <w:rPr>
          <w:rFonts w:ascii="Calibri" w:hAnsi="Calibri"/>
          <w:b/>
          <w:bCs/>
          <w:noProof/>
        </w:rPr>
        <w:t>56</w:t>
      </w:r>
      <w:r w:rsidRPr="00D56087">
        <w:rPr>
          <w:rFonts w:ascii="Calibri" w:hAnsi="Calibri"/>
          <w:noProof/>
        </w:rPr>
        <w:t>, 3703–3710.</w:t>
      </w:r>
    </w:p>
    <w:p w14:paraId="3386D94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50</w:t>
      </w:r>
      <w:r w:rsidRPr="00D56087">
        <w:rPr>
          <w:rFonts w:ascii="Calibri" w:hAnsi="Calibri"/>
          <w:noProof/>
        </w:rPr>
        <w:tab/>
        <w:t xml:space="preserve">D. Subramanian, D. A. Ivanov, I. K. Yudin, M. A. Anisimov and J. V Sengers, Mesoscale Inhomogeneities in Aqueous Solutions of 3-Methylpyridine and Tertiary Butyl Alcohol, </w:t>
      </w:r>
      <w:r w:rsidRPr="00D56087">
        <w:rPr>
          <w:rFonts w:ascii="Calibri" w:hAnsi="Calibri"/>
          <w:i/>
          <w:iCs/>
          <w:noProof/>
        </w:rPr>
        <w:t>J. Chem. Eng. Data</w:t>
      </w:r>
      <w:r w:rsidRPr="00D56087">
        <w:rPr>
          <w:rFonts w:ascii="Calibri" w:hAnsi="Calibri"/>
          <w:noProof/>
        </w:rPr>
        <w:t xml:space="preserve">, 2011, </w:t>
      </w:r>
      <w:r w:rsidRPr="00D56087">
        <w:rPr>
          <w:rFonts w:ascii="Calibri" w:hAnsi="Calibri"/>
          <w:b/>
          <w:bCs/>
          <w:noProof/>
        </w:rPr>
        <w:t>56</w:t>
      </w:r>
      <w:r w:rsidRPr="00D56087">
        <w:rPr>
          <w:rFonts w:ascii="Calibri" w:hAnsi="Calibri"/>
          <w:noProof/>
        </w:rPr>
        <w:t>, 1238–1248.</w:t>
      </w:r>
    </w:p>
    <w:p w14:paraId="5749868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51</w:t>
      </w:r>
      <w:r w:rsidRPr="00D56087">
        <w:rPr>
          <w:rFonts w:ascii="Calibri" w:hAnsi="Calibri"/>
          <w:noProof/>
        </w:rPr>
        <w:tab/>
        <w:t xml:space="preserve">D. Subramanian and M. A. Anisimov, Phase behavior and mesoscale solubilization in aqueous solutions of hydrotropes, </w:t>
      </w:r>
      <w:r w:rsidRPr="00D56087">
        <w:rPr>
          <w:rFonts w:ascii="Calibri" w:hAnsi="Calibri"/>
          <w:i/>
          <w:iCs/>
          <w:noProof/>
        </w:rPr>
        <w:t>Fluid Phase Equilib.</w:t>
      </w:r>
      <w:r w:rsidRPr="00D56087">
        <w:rPr>
          <w:rFonts w:ascii="Calibri" w:hAnsi="Calibri"/>
          <w:noProof/>
        </w:rPr>
        <w:t xml:space="preserve">, 2014, </w:t>
      </w:r>
      <w:r w:rsidRPr="00D56087">
        <w:rPr>
          <w:rFonts w:ascii="Calibri" w:hAnsi="Calibri"/>
          <w:b/>
          <w:bCs/>
          <w:noProof/>
        </w:rPr>
        <w:t>362</w:t>
      </w:r>
      <w:r w:rsidRPr="00D56087">
        <w:rPr>
          <w:rFonts w:ascii="Calibri" w:hAnsi="Calibri"/>
          <w:noProof/>
        </w:rPr>
        <w:t>, 170–176.</w:t>
      </w:r>
    </w:p>
    <w:p w14:paraId="3ABAC2CF"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52</w:t>
      </w:r>
      <w:r w:rsidRPr="00D56087">
        <w:rPr>
          <w:rFonts w:ascii="Calibri" w:hAnsi="Calibri"/>
          <w:noProof/>
        </w:rPr>
        <w:tab/>
        <w:t xml:space="preserve">M. Hopkins Hatzopoulos, J. Eastoe, P. J. Dowding, S. E. Rogers, R. Heenan and R. Dyer, Are Hydrotropes Distinct from Surfactants?, </w:t>
      </w:r>
      <w:r w:rsidRPr="00D56087">
        <w:rPr>
          <w:rFonts w:ascii="Calibri" w:hAnsi="Calibri"/>
          <w:i/>
          <w:iCs/>
          <w:noProof/>
        </w:rPr>
        <w:t>Langmuir</w:t>
      </w:r>
      <w:r w:rsidRPr="00D56087">
        <w:rPr>
          <w:rFonts w:ascii="Calibri" w:hAnsi="Calibri"/>
          <w:noProof/>
        </w:rPr>
        <w:t xml:space="preserve">, 2011, </w:t>
      </w:r>
      <w:r w:rsidRPr="00D56087">
        <w:rPr>
          <w:rFonts w:ascii="Calibri" w:hAnsi="Calibri"/>
          <w:b/>
          <w:bCs/>
          <w:noProof/>
        </w:rPr>
        <w:t>27</w:t>
      </w:r>
      <w:r w:rsidRPr="00D56087">
        <w:rPr>
          <w:rFonts w:ascii="Calibri" w:hAnsi="Calibri"/>
          <w:noProof/>
        </w:rPr>
        <w:t>, 12346–12353.</w:t>
      </w:r>
    </w:p>
    <w:p w14:paraId="29D049E8"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53</w:t>
      </w:r>
      <w:r w:rsidRPr="00D56087">
        <w:rPr>
          <w:rFonts w:ascii="Calibri" w:hAnsi="Calibri"/>
          <w:noProof/>
        </w:rPr>
        <w:tab/>
        <w:t xml:space="preserve">A. A. Rasool, A. A. Hussain and L. W. Dittert, Solubility Enhancement of Some Water-Insoluble Drugs in the Presence of Nicotinamide and Related Compounds, </w:t>
      </w:r>
      <w:r w:rsidRPr="00D56087">
        <w:rPr>
          <w:rFonts w:ascii="Calibri" w:hAnsi="Calibri"/>
          <w:i/>
          <w:iCs/>
          <w:noProof/>
        </w:rPr>
        <w:t>J. Pharm. Sci.</w:t>
      </w:r>
      <w:r w:rsidRPr="00D56087">
        <w:rPr>
          <w:rFonts w:ascii="Calibri" w:hAnsi="Calibri"/>
          <w:noProof/>
        </w:rPr>
        <w:t xml:space="preserve">, 1991, </w:t>
      </w:r>
      <w:r w:rsidRPr="00D56087">
        <w:rPr>
          <w:rFonts w:ascii="Calibri" w:hAnsi="Calibri"/>
          <w:b/>
          <w:bCs/>
          <w:noProof/>
        </w:rPr>
        <w:t>80</w:t>
      </w:r>
      <w:r w:rsidRPr="00D56087">
        <w:rPr>
          <w:rFonts w:ascii="Calibri" w:hAnsi="Calibri"/>
          <w:noProof/>
        </w:rPr>
        <w:t>, 387–393.</w:t>
      </w:r>
    </w:p>
    <w:p w14:paraId="36B0006E"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54</w:t>
      </w:r>
      <w:r w:rsidRPr="00D56087">
        <w:rPr>
          <w:rFonts w:ascii="Calibri" w:hAnsi="Calibri"/>
          <w:noProof/>
        </w:rPr>
        <w:tab/>
        <w:t xml:space="preserve">C. R. E. Mansur, L. S. Spinelli, E. F. Lucas and G. González, The influence of a hydrotropic agent in the properties of aqueous solutions containing poly(ethylene oxide)–poly(propylene oxide) surfactants, </w:t>
      </w:r>
      <w:r w:rsidRPr="00D56087">
        <w:rPr>
          <w:rFonts w:ascii="Calibri" w:hAnsi="Calibri"/>
          <w:i/>
          <w:iCs/>
          <w:noProof/>
        </w:rPr>
        <w:t>Colloids Surfaces A Physicochem. Eng. Asp.</w:t>
      </w:r>
      <w:r w:rsidRPr="00D56087">
        <w:rPr>
          <w:rFonts w:ascii="Calibri" w:hAnsi="Calibri"/>
          <w:noProof/>
        </w:rPr>
        <w:t xml:space="preserve">, 1999, </w:t>
      </w:r>
      <w:r w:rsidRPr="00D56087">
        <w:rPr>
          <w:rFonts w:ascii="Calibri" w:hAnsi="Calibri"/>
          <w:b/>
          <w:bCs/>
          <w:noProof/>
        </w:rPr>
        <w:t>149</w:t>
      </w:r>
      <w:r w:rsidRPr="00D56087">
        <w:rPr>
          <w:rFonts w:ascii="Calibri" w:hAnsi="Calibri"/>
          <w:noProof/>
        </w:rPr>
        <w:t>, 291–300.</w:t>
      </w:r>
    </w:p>
    <w:p w14:paraId="190D49D0"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55</w:t>
      </w:r>
      <w:r w:rsidRPr="00D56087">
        <w:rPr>
          <w:rFonts w:ascii="Calibri" w:hAnsi="Calibri"/>
          <w:noProof/>
        </w:rPr>
        <w:tab/>
        <w:t xml:space="preserve">M. Hopkins Hatzopoulos, J. Eastoe, P. J. Dowding, I. Grillo, B. Demé, S. E. Rogers, R. Heenan and R. Dyer, Effects of Structure Variation on Solution Properties of Hydrotropes: Phenyl versus Cyclohexyl Chain Tips, </w:t>
      </w:r>
      <w:r w:rsidRPr="00D56087">
        <w:rPr>
          <w:rFonts w:ascii="Calibri" w:hAnsi="Calibri"/>
          <w:i/>
          <w:iCs/>
          <w:noProof/>
        </w:rPr>
        <w:t>Langmuir</w:t>
      </w:r>
      <w:r w:rsidRPr="00D56087">
        <w:rPr>
          <w:rFonts w:ascii="Calibri" w:hAnsi="Calibri"/>
          <w:noProof/>
        </w:rPr>
        <w:t xml:space="preserve">, 2012, </w:t>
      </w:r>
      <w:r w:rsidRPr="00D56087">
        <w:rPr>
          <w:rFonts w:ascii="Calibri" w:hAnsi="Calibri"/>
          <w:b/>
          <w:bCs/>
          <w:noProof/>
        </w:rPr>
        <w:t>28</w:t>
      </w:r>
      <w:r w:rsidRPr="00D56087">
        <w:rPr>
          <w:rFonts w:ascii="Calibri" w:hAnsi="Calibri"/>
          <w:noProof/>
        </w:rPr>
        <w:t>, 9332–9340.</w:t>
      </w:r>
    </w:p>
    <w:p w14:paraId="2DD57FD7"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56</w:t>
      </w:r>
      <w:r w:rsidRPr="00D56087">
        <w:rPr>
          <w:rFonts w:ascii="Calibri" w:hAnsi="Calibri"/>
          <w:noProof/>
        </w:rPr>
        <w:tab/>
        <w:t xml:space="preserve">G. M. Khan and Z. Jiabi, Preparation, Characterization, and Evaluation of Physicochemical Properties of Different Crystalline Forms of Ibuprofen, </w:t>
      </w:r>
      <w:r w:rsidRPr="00D56087">
        <w:rPr>
          <w:rFonts w:ascii="Calibri" w:hAnsi="Calibri"/>
          <w:i/>
          <w:iCs/>
          <w:noProof/>
        </w:rPr>
        <w:t>Drug Dev. Ind. Pharm.</w:t>
      </w:r>
      <w:r w:rsidRPr="00D56087">
        <w:rPr>
          <w:rFonts w:ascii="Calibri" w:hAnsi="Calibri"/>
          <w:noProof/>
        </w:rPr>
        <w:t xml:space="preserve">, 1998, </w:t>
      </w:r>
      <w:r w:rsidRPr="00D56087">
        <w:rPr>
          <w:rFonts w:ascii="Calibri" w:hAnsi="Calibri"/>
          <w:b/>
          <w:bCs/>
          <w:noProof/>
        </w:rPr>
        <w:t>24</w:t>
      </w:r>
      <w:r w:rsidRPr="00D56087">
        <w:rPr>
          <w:rFonts w:ascii="Calibri" w:hAnsi="Calibri"/>
          <w:noProof/>
        </w:rPr>
        <w:t>, 463–471.</w:t>
      </w:r>
    </w:p>
    <w:p w14:paraId="72961552"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57</w:t>
      </w:r>
      <w:r w:rsidRPr="00D56087">
        <w:rPr>
          <w:rFonts w:ascii="Calibri" w:hAnsi="Calibri"/>
          <w:noProof/>
        </w:rPr>
        <w:tab/>
        <w:t xml:space="preserve">A. Martín, K. Scholle, F. Mattea, D. Meterc and M. J. Cocero, Production of Polymorphs of Ibuprofen Sodium by Supercritical Antisolvent (SAS) Precipitation, </w:t>
      </w:r>
      <w:r w:rsidRPr="00D56087">
        <w:rPr>
          <w:rFonts w:ascii="Calibri" w:hAnsi="Calibri"/>
          <w:i/>
          <w:iCs/>
          <w:noProof/>
        </w:rPr>
        <w:t>Cryst. Growth Des.</w:t>
      </w:r>
      <w:r w:rsidRPr="00D56087">
        <w:rPr>
          <w:rFonts w:ascii="Calibri" w:hAnsi="Calibri"/>
          <w:noProof/>
        </w:rPr>
        <w:t xml:space="preserve">, 2009, </w:t>
      </w:r>
      <w:r w:rsidRPr="00D56087">
        <w:rPr>
          <w:rFonts w:ascii="Calibri" w:hAnsi="Calibri"/>
          <w:b/>
          <w:bCs/>
          <w:noProof/>
        </w:rPr>
        <w:t>9</w:t>
      </w:r>
      <w:r w:rsidRPr="00D56087">
        <w:rPr>
          <w:rFonts w:ascii="Calibri" w:hAnsi="Calibri"/>
          <w:noProof/>
        </w:rPr>
        <w:t>, 2504–2511.</w:t>
      </w:r>
    </w:p>
    <w:p w14:paraId="02BCF02A"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58</w:t>
      </w:r>
      <w:r w:rsidRPr="00D56087">
        <w:rPr>
          <w:rFonts w:ascii="Calibri" w:hAnsi="Calibri"/>
          <w:noProof/>
        </w:rPr>
        <w:tab/>
        <w:t xml:space="preserve">N. Rasenack and B. W. Müller, Properties of Ibuprofen Crystallized Under Various Conditions: A Comparative Study, </w:t>
      </w:r>
      <w:r w:rsidRPr="00D56087">
        <w:rPr>
          <w:rFonts w:ascii="Calibri" w:hAnsi="Calibri"/>
          <w:i/>
          <w:iCs/>
          <w:noProof/>
        </w:rPr>
        <w:t>Drug Dev. Ind. Pharm.</w:t>
      </w:r>
      <w:r w:rsidRPr="00D56087">
        <w:rPr>
          <w:rFonts w:ascii="Calibri" w:hAnsi="Calibri"/>
          <w:noProof/>
        </w:rPr>
        <w:t xml:space="preserve">, 2002, </w:t>
      </w:r>
      <w:r w:rsidRPr="00D56087">
        <w:rPr>
          <w:rFonts w:ascii="Calibri" w:hAnsi="Calibri"/>
          <w:b/>
          <w:bCs/>
          <w:noProof/>
        </w:rPr>
        <w:t>28</w:t>
      </w:r>
      <w:r w:rsidRPr="00D56087">
        <w:rPr>
          <w:rFonts w:ascii="Calibri" w:hAnsi="Calibri"/>
          <w:noProof/>
        </w:rPr>
        <w:t>, 1077–1089.</w:t>
      </w:r>
    </w:p>
    <w:p w14:paraId="25563B06" w14:textId="77777777" w:rsidR="00D56087" w:rsidRPr="00D56087" w:rsidRDefault="00D56087" w:rsidP="00D56087">
      <w:pPr>
        <w:pStyle w:val="RSCR02References"/>
        <w:numPr>
          <w:ilvl w:val="0"/>
          <w:numId w:val="0"/>
        </w:numPr>
        <w:ind w:left="284" w:hanging="284"/>
        <w:divId w:val="364646734"/>
        <w:rPr>
          <w:rFonts w:ascii="Calibri" w:hAnsi="Calibri"/>
          <w:noProof/>
        </w:rPr>
      </w:pPr>
      <w:r w:rsidRPr="00D56087">
        <w:rPr>
          <w:rFonts w:ascii="Calibri" w:hAnsi="Calibri"/>
          <w:noProof/>
        </w:rPr>
        <w:t>59</w:t>
      </w:r>
      <w:r w:rsidRPr="00D56087">
        <w:rPr>
          <w:rFonts w:ascii="Calibri" w:hAnsi="Calibri"/>
          <w:noProof/>
        </w:rPr>
        <w:tab/>
        <w:t xml:space="preserve">W. Tang, H. Mo, M. Zhang, S. Parkin, J. Gong, J. Wang and T. Li, Persistent Self-Association of Solute Molecules in Solution, </w:t>
      </w:r>
      <w:r w:rsidRPr="00D56087">
        <w:rPr>
          <w:rFonts w:ascii="Calibri" w:hAnsi="Calibri"/>
          <w:i/>
          <w:iCs/>
          <w:noProof/>
        </w:rPr>
        <w:t>J. Phys. Chem. B</w:t>
      </w:r>
      <w:r w:rsidRPr="00D56087">
        <w:rPr>
          <w:rFonts w:ascii="Calibri" w:hAnsi="Calibri"/>
          <w:noProof/>
        </w:rPr>
        <w:t xml:space="preserve">, 2017, </w:t>
      </w:r>
      <w:r w:rsidRPr="00D56087">
        <w:rPr>
          <w:rFonts w:ascii="Calibri" w:hAnsi="Calibri"/>
          <w:b/>
          <w:bCs/>
          <w:noProof/>
        </w:rPr>
        <w:t>121</w:t>
      </w:r>
      <w:r w:rsidRPr="00D56087">
        <w:rPr>
          <w:rFonts w:ascii="Calibri" w:hAnsi="Calibri"/>
          <w:noProof/>
        </w:rPr>
        <w:t xml:space="preserve">, 10118–10124. </w:t>
      </w:r>
    </w:p>
    <w:p w14:paraId="1CE6B048" w14:textId="77777777" w:rsidR="00BA5F39" w:rsidRDefault="00BA5F39" w:rsidP="00D56087">
      <w:pPr>
        <w:pStyle w:val="RSCR02References"/>
        <w:numPr>
          <w:ilvl w:val="0"/>
          <w:numId w:val="0"/>
        </w:numPr>
        <w:ind w:left="284" w:hanging="284"/>
        <w:divId w:val="1867598276"/>
      </w:pPr>
      <w:r>
        <w:fldChar w:fldCharType="end"/>
      </w:r>
    </w:p>
    <w:sectPr w:rsidR="00BA5F39" w:rsidSect="008D041E">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5ABFB" w14:textId="77777777" w:rsidR="00816EE6" w:rsidRDefault="00816EE6" w:rsidP="00E547DB">
      <w:pPr>
        <w:spacing w:after="0" w:line="240" w:lineRule="auto"/>
      </w:pPr>
      <w:r>
        <w:separator/>
      </w:r>
    </w:p>
    <w:p w14:paraId="69B3AA2D" w14:textId="77777777" w:rsidR="00816EE6" w:rsidRDefault="00816EE6"/>
    <w:p w14:paraId="2C947310" w14:textId="77777777" w:rsidR="00816EE6" w:rsidRDefault="00816EE6"/>
    <w:p w14:paraId="560F0A2C" w14:textId="77777777" w:rsidR="00816EE6" w:rsidRDefault="00816EE6"/>
    <w:p w14:paraId="1A062044" w14:textId="77777777" w:rsidR="00816EE6" w:rsidRDefault="00816EE6"/>
    <w:p w14:paraId="781081DA" w14:textId="77777777" w:rsidR="00816EE6" w:rsidRDefault="00816EE6"/>
  </w:endnote>
  <w:endnote w:type="continuationSeparator" w:id="0">
    <w:p w14:paraId="762D7874" w14:textId="77777777" w:rsidR="00816EE6" w:rsidRDefault="00816EE6" w:rsidP="00E547DB">
      <w:pPr>
        <w:spacing w:after="0" w:line="240" w:lineRule="auto"/>
      </w:pPr>
      <w:r>
        <w:continuationSeparator/>
      </w:r>
    </w:p>
    <w:p w14:paraId="4972EA15" w14:textId="77777777" w:rsidR="00816EE6" w:rsidRDefault="00816EE6"/>
    <w:p w14:paraId="588B0FDA" w14:textId="77777777" w:rsidR="00816EE6" w:rsidRDefault="00816EE6"/>
    <w:p w14:paraId="69EC116F" w14:textId="77777777" w:rsidR="00816EE6" w:rsidRDefault="00816EE6"/>
    <w:p w14:paraId="2065B71A" w14:textId="77777777" w:rsidR="00816EE6" w:rsidRDefault="00816EE6"/>
    <w:p w14:paraId="792E29DF" w14:textId="77777777" w:rsidR="00816EE6" w:rsidRDefault="00816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27BD80C-CE21-4529-86D4-10D62AFA5C1C}"/>
    <w:embedBold r:id="rId2" w:fontKey="{58EDD291-237E-4026-839B-8B3E64A497D4}"/>
    <w:embedItalic r:id="rId3" w:fontKey="{565DAB8F-2C8A-415C-8A39-F271BD63406D}"/>
  </w:font>
  <w:font w:name="Tahoma">
    <w:panose1 w:val="020B0604030504040204"/>
    <w:charset w:val="00"/>
    <w:family w:val="swiss"/>
    <w:pitch w:val="variable"/>
    <w:sig w:usb0="E1002EFF" w:usb1="C000605B" w:usb2="00000029" w:usb3="00000000" w:csb0="000101FF" w:csb1="00000000"/>
    <w:embedRegular r:id="rId4" w:fontKey="{5409A599-AD65-4B51-B8C2-D227F23901D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embedRegular r:id="rId5" w:fontKey="{C342F0F7-A42D-457A-BB9D-AAA098ADFD7C}"/>
  </w:font>
  <w:font w:name="Wingdings 3">
    <w:panose1 w:val="05040102010807070707"/>
    <w:charset w:val="02"/>
    <w:family w:val="roman"/>
    <w:pitch w:val="variable"/>
    <w:sig w:usb0="00000000" w:usb1="10000000" w:usb2="00000000" w:usb3="00000000" w:csb0="80000000" w:csb1="00000000"/>
    <w:embedRegular r:id="rId6" w:fontKey="{F517B55E-8B53-4F6A-A1DE-B437A05D42B1}"/>
    <w:embedBold r:id="rId7" w:fontKey="{4B271899-237A-4BFA-B186-D9973B2B3999}"/>
  </w:font>
  <w:font w:name="Wingdings 2">
    <w:panose1 w:val="05020102010507070707"/>
    <w:charset w:val="02"/>
    <w:family w:val="roman"/>
    <w:pitch w:val="variable"/>
    <w:sig w:usb0="00000000" w:usb1="10000000" w:usb2="00000000" w:usb3="00000000" w:csb0="80000000" w:csb1="00000000"/>
    <w:embedRegular r:id="rId8" w:fontKey="{B52E4F6E-AA99-42A9-BF0C-AC3EE25D1F8C}"/>
  </w:font>
  <w:font w:name="Wide Latin">
    <w:panose1 w:val="020A0A07050505020404"/>
    <w:charset w:val="00"/>
    <w:family w:val="roman"/>
    <w:pitch w:val="variable"/>
    <w:sig w:usb0="00000003" w:usb1="00000000" w:usb2="00000000" w:usb3="00000000" w:csb0="00000001" w:csb1="00000000"/>
    <w:embedRegular r:id="rId9" w:fontKey="{57804A3E-E187-4198-8072-47274719BBA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59394F28-A0F8-43AD-9905-3CD3FFAB4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6F37" w14:textId="51EF5DE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04399">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01E0" w14:textId="40AC178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04399">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5674" w14:textId="685FF67C" w:rsidR="00E70DCE" w:rsidRPr="006602F1" w:rsidRDefault="00514CBA" w:rsidP="00D45ADF">
    <w:pPr>
      <w:pStyle w:val="Footer"/>
      <w:tabs>
        <w:tab w:val="clear" w:pos="4513"/>
        <w:tab w:val="clear" w:pos="9026"/>
        <w:tab w:val="right" w:pos="10206"/>
      </w:tabs>
      <w:spacing w:before="480"/>
      <w:rPr>
        <w:sz w:val="16"/>
        <w:szCs w:val="16"/>
      </w:rPr>
    </w:pPr>
    <w:r>
      <w:rPr>
        <w:noProof/>
        <w:lang w:val="pt-PT" w:eastAsia="pt-PT"/>
      </w:rPr>
      <mc:AlternateContent>
        <mc:Choice Requires="wps">
          <w:drawing>
            <wp:anchor distT="0" distB="0" distL="114300" distR="114300" simplePos="0" relativeHeight="251664384" behindDoc="0" locked="0" layoutInCell="1" allowOverlap="1" wp14:anchorId="021AE24D" wp14:editId="5C6849C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D06D033"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1AE24D"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D06D033"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816EE6">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FAE2E" w14:textId="77777777" w:rsidR="00816EE6" w:rsidRDefault="00816EE6" w:rsidP="00E547DB">
      <w:pPr>
        <w:spacing w:after="0" w:line="240" w:lineRule="auto"/>
      </w:pPr>
      <w:r>
        <w:separator/>
      </w:r>
    </w:p>
    <w:p w14:paraId="43C9EF28" w14:textId="77777777" w:rsidR="00816EE6" w:rsidRDefault="00816EE6"/>
    <w:p w14:paraId="34E8A035" w14:textId="77777777" w:rsidR="00816EE6" w:rsidRDefault="00816EE6"/>
    <w:p w14:paraId="5B56E074" w14:textId="77777777" w:rsidR="00816EE6" w:rsidRDefault="00816EE6"/>
    <w:p w14:paraId="2EED9BC2" w14:textId="77777777" w:rsidR="00816EE6" w:rsidRDefault="00816EE6"/>
    <w:p w14:paraId="6C7D1E3E" w14:textId="77777777" w:rsidR="00816EE6" w:rsidRDefault="00816EE6"/>
  </w:footnote>
  <w:footnote w:type="continuationSeparator" w:id="0">
    <w:p w14:paraId="2CA96F0C" w14:textId="77777777" w:rsidR="00816EE6" w:rsidRDefault="00816EE6" w:rsidP="00E547DB">
      <w:pPr>
        <w:spacing w:after="0" w:line="240" w:lineRule="auto"/>
      </w:pPr>
      <w:r>
        <w:continuationSeparator/>
      </w:r>
    </w:p>
    <w:p w14:paraId="7B15DD3F" w14:textId="77777777" w:rsidR="00816EE6" w:rsidRDefault="00816EE6"/>
    <w:p w14:paraId="10D5BB71" w14:textId="77777777" w:rsidR="00816EE6" w:rsidRDefault="00816EE6"/>
    <w:p w14:paraId="728493C6" w14:textId="77777777" w:rsidR="00816EE6" w:rsidRDefault="00816EE6"/>
    <w:p w14:paraId="6325F5D5" w14:textId="77777777" w:rsidR="00816EE6" w:rsidRDefault="00816EE6"/>
    <w:p w14:paraId="4254E397" w14:textId="77777777" w:rsidR="00816EE6" w:rsidRDefault="00816E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A3179"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val="pt-PT" w:eastAsia="pt-PT"/>
      </w:rPr>
      <mc:AlternateContent>
        <mc:Choice Requires="wps">
          <w:drawing>
            <wp:anchor distT="0" distB="0" distL="114300" distR="114300" simplePos="0" relativeHeight="251668480" behindDoc="0" locked="0" layoutInCell="1" allowOverlap="1" wp14:anchorId="326A4D6E" wp14:editId="3329336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1E9066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6A4D6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1E9066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pt-PT" w:eastAsia="pt-PT"/>
      </w:rPr>
      <mc:AlternateContent>
        <mc:Choice Requires="wps">
          <w:drawing>
            <wp:anchor distT="0" distB="0" distL="114300" distR="114300" simplePos="0" relativeHeight="251666432" behindDoc="0" locked="0" layoutInCell="1" allowOverlap="1" wp14:anchorId="4EA4CF7A" wp14:editId="23B860D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DAFFD8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A4CF7A"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DAFFD8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EFBB"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val="pt-PT" w:eastAsia="pt-PT"/>
      </w:rPr>
      <mc:AlternateContent>
        <mc:Choice Requires="wps">
          <w:drawing>
            <wp:anchor distT="0" distB="0" distL="114300" distR="114300" simplePos="0" relativeHeight="251672576" behindDoc="0" locked="0" layoutInCell="1" allowOverlap="1" wp14:anchorId="73684364" wp14:editId="01EE360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7B5B5F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68436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7B5B5F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pt-PT" w:eastAsia="pt-PT"/>
      </w:rPr>
      <mc:AlternateContent>
        <mc:Choice Requires="wps">
          <w:drawing>
            <wp:anchor distT="0" distB="0" distL="114300" distR="114300" simplePos="0" relativeHeight="251670528" behindDoc="0" locked="0" layoutInCell="1" allowOverlap="1" wp14:anchorId="2A9ACD1C" wp14:editId="0FBB719C">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7A11BE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ACD1C"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27A11BE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9D184" w14:textId="77777777" w:rsidR="00180ABE" w:rsidRDefault="00514CBA" w:rsidP="009F1BB4">
    <w:pPr>
      <w:pStyle w:val="Header"/>
      <w:shd w:val="clear" w:color="auto" w:fill="FFFFFF" w:themeFill="background1"/>
      <w:tabs>
        <w:tab w:val="clear" w:pos="4513"/>
        <w:tab w:val="clear" w:pos="9026"/>
        <w:tab w:val="left" w:pos="5685"/>
        <w:tab w:val="right" w:pos="10205"/>
      </w:tabs>
      <w:spacing w:after="240"/>
      <w:rPr>
        <w:b/>
        <w:sz w:val="32"/>
        <w:szCs w:val="32"/>
      </w:rPr>
    </w:pPr>
    <w:r>
      <w:rPr>
        <w:noProof/>
        <w:lang w:val="pt-PT" w:eastAsia="pt-PT"/>
      </w:rPr>
      <mc:AlternateContent>
        <mc:Choice Requires="wps">
          <w:drawing>
            <wp:anchor distT="0" distB="0" distL="114300" distR="114300" simplePos="0" relativeHeight="251662336" behindDoc="0" locked="0" layoutInCell="1" allowOverlap="1" wp14:anchorId="25022E43" wp14:editId="5FB589D8">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FDDA3C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022E43"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FDDA3C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9C03EE">
      <w:rPr>
        <w:b/>
        <w:sz w:val="32"/>
        <w:szCs w:val="32"/>
      </w:rPr>
      <w:t>PCCP</w:t>
    </w:r>
    <w:r w:rsidR="00180ABE">
      <w:rPr>
        <w:b/>
        <w:sz w:val="32"/>
        <w:szCs w:val="32"/>
      </w:rPr>
      <w:tab/>
    </w:r>
    <w:r w:rsidR="009F1BB4">
      <w:rPr>
        <w:b/>
        <w:sz w:val="32"/>
        <w:szCs w:val="32"/>
      </w:rPr>
      <w:tab/>
    </w:r>
    <w:r w:rsidR="00180ABE">
      <w:rPr>
        <w:b/>
        <w:noProof/>
        <w:sz w:val="32"/>
        <w:szCs w:val="32"/>
        <w:lang w:val="pt-PT" w:eastAsia="pt-PT"/>
      </w:rPr>
      <w:drawing>
        <wp:inline distT="0" distB="0" distL="0" distR="0" wp14:anchorId="52760493" wp14:editId="149A64D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BF7A114" w14:textId="77777777" w:rsidR="00180ABE" w:rsidRPr="00180ABE" w:rsidRDefault="00DF6BD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D25AB" w14:textId="77777777" w:rsidR="006D69CB" w:rsidRDefault="006D69CB" w:rsidP="009F1BB4">
    <w:pPr>
      <w:pStyle w:val="Header"/>
      <w:shd w:val="clear" w:color="auto" w:fill="FFFFFF" w:themeFill="background1"/>
      <w:tabs>
        <w:tab w:val="clear" w:pos="4513"/>
        <w:tab w:val="clear" w:pos="9026"/>
        <w:tab w:val="left" w:pos="5685"/>
        <w:tab w:val="right" w:pos="10205"/>
      </w:tabs>
      <w:spacing w:after="240"/>
      <w:rPr>
        <w:b/>
        <w:sz w:val="32"/>
        <w:szCs w:val="32"/>
      </w:rPr>
    </w:pPr>
    <w:r>
      <w:rPr>
        <w:noProof/>
        <w:lang w:val="pt-PT" w:eastAsia="pt-PT"/>
      </w:rPr>
      <mc:AlternateContent>
        <mc:Choice Requires="wps">
          <w:drawing>
            <wp:anchor distT="0" distB="0" distL="114300" distR="114300" simplePos="0" relativeHeight="251674624" behindDoc="0" locked="0" layoutInCell="1" allowOverlap="1" wp14:anchorId="27E47FFE" wp14:editId="040EEC13">
              <wp:simplePos x="0" y="0"/>
              <wp:positionH relativeFrom="column">
                <wp:align>center</wp:align>
              </wp:positionH>
              <wp:positionV relativeFrom="page">
                <wp:align>top</wp:align>
              </wp:positionV>
              <wp:extent cx="7700400" cy="399600"/>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92DB73F" w14:textId="77777777" w:rsidR="006D69CB" w:rsidRPr="00F20A7C" w:rsidRDefault="006D69C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E47FFE" id="_x0000_t202" coordsize="21600,21600" o:spt="202" path="m,l,21600r21600,l21600,xe">
              <v:stroke joinstyle="miter"/>
              <v:path gradientshapeok="t" o:connecttype="rect"/>
            </v:shapetype>
            <v:shape id="_x0000_s1033"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TMlmgjQCAABIBAAADgAAAAAAAAAAAAAAAAAu&#10;AgAAZHJzL2Uyb0RvYy54bWxQSwECLQAUAAYACAAAACEAwKbRt9wAAAAFAQAADwAAAAAAAAAAAAAA&#10;AACOBAAAZHJzL2Rvd25yZXYueG1sUEsFBgAAAAAEAAQA8wAAAJcFAAAAAA==&#10;" fillcolor="#a5a5a5 [2092]" stroked="f">
              <v:textbox>
                <w:txbxContent>
                  <w:p w14:paraId="092DB73F" w14:textId="77777777" w:rsidR="006D69CB" w:rsidRPr="00F20A7C" w:rsidRDefault="006D69C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sz w:val="32"/>
        <w:szCs w:val="32"/>
      </w:rPr>
      <w:tab/>
    </w:r>
    <w:r>
      <w:rPr>
        <w:b/>
        <w:noProof/>
        <w:sz w:val="32"/>
        <w:szCs w:val="32"/>
        <w:lang w:val="pt-PT" w:eastAsia="pt-PT"/>
      </w:rPr>
      <w:drawing>
        <wp:inline distT="0" distB="0" distL="0" distR="0" wp14:anchorId="4B833C3D" wp14:editId="04AAD7DD">
          <wp:extent cx="972312" cy="649224"/>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F7AD77A" w14:textId="77777777" w:rsidR="006D69CB" w:rsidRPr="00180ABE" w:rsidRDefault="006D69C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n-GB" w:vendorID="64" w:dllVersion="0" w:nlCheck="1" w:checkStyle="0"/>
  <w:attachedTemplate r:id="rId1"/>
  <w:stylePaneSortMethod w:val="0000"/>
  <w:defaultTabStop w:val="284"/>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34"/>
    <w:rsid w:val="0000122E"/>
    <w:rsid w:val="00005B8A"/>
    <w:rsid w:val="000156B6"/>
    <w:rsid w:val="00022D8A"/>
    <w:rsid w:val="00027C3F"/>
    <w:rsid w:val="00042F6B"/>
    <w:rsid w:val="0005000B"/>
    <w:rsid w:val="000622D1"/>
    <w:rsid w:val="00071E41"/>
    <w:rsid w:val="00073639"/>
    <w:rsid w:val="00076458"/>
    <w:rsid w:val="00086181"/>
    <w:rsid w:val="000A2670"/>
    <w:rsid w:val="000B0C13"/>
    <w:rsid w:val="000C0A9D"/>
    <w:rsid w:val="000D2FAC"/>
    <w:rsid w:val="000D3FC9"/>
    <w:rsid w:val="000D5636"/>
    <w:rsid w:val="000D5891"/>
    <w:rsid w:val="000D6963"/>
    <w:rsid w:val="000E7A32"/>
    <w:rsid w:val="000F0959"/>
    <w:rsid w:val="000F3A41"/>
    <w:rsid w:val="00120227"/>
    <w:rsid w:val="00123945"/>
    <w:rsid w:val="00126027"/>
    <w:rsid w:val="001508E9"/>
    <w:rsid w:val="00154ABC"/>
    <w:rsid w:val="001633D9"/>
    <w:rsid w:val="00180ABE"/>
    <w:rsid w:val="00184D22"/>
    <w:rsid w:val="001923AB"/>
    <w:rsid w:val="0019332F"/>
    <w:rsid w:val="001B365E"/>
    <w:rsid w:val="001C1EB8"/>
    <w:rsid w:val="001E651C"/>
    <w:rsid w:val="00206A82"/>
    <w:rsid w:val="00207219"/>
    <w:rsid w:val="00214BEC"/>
    <w:rsid w:val="00237C8A"/>
    <w:rsid w:val="0024022C"/>
    <w:rsid w:val="00241ACD"/>
    <w:rsid w:val="00244EDB"/>
    <w:rsid w:val="00244FAD"/>
    <w:rsid w:val="00253551"/>
    <w:rsid w:val="00270DD5"/>
    <w:rsid w:val="00271235"/>
    <w:rsid w:val="00272D6F"/>
    <w:rsid w:val="00275EC1"/>
    <w:rsid w:val="00277CB2"/>
    <w:rsid w:val="0028000B"/>
    <w:rsid w:val="0028207D"/>
    <w:rsid w:val="00284434"/>
    <w:rsid w:val="002A5421"/>
    <w:rsid w:val="002C0803"/>
    <w:rsid w:val="002C251C"/>
    <w:rsid w:val="002C3D7C"/>
    <w:rsid w:val="002D4138"/>
    <w:rsid w:val="002D5E87"/>
    <w:rsid w:val="002E5B1D"/>
    <w:rsid w:val="002F52C3"/>
    <w:rsid w:val="00304399"/>
    <w:rsid w:val="003452F1"/>
    <w:rsid w:val="00352029"/>
    <w:rsid w:val="00352AA4"/>
    <w:rsid w:val="00354579"/>
    <w:rsid w:val="00355671"/>
    <w:rsid w:val="00356F00"/>
    <w:rsid w:val="00377481"/>
    <w:rsid w:val="00385965"/>
    <w:rsid w:val="003A7E95"/>
    <w:rsid w:val="003B0A98"/>
    <w:rsid w:val="003B739C"/>
    <w:rsid w:val="003C6313"/>
    <w:rsid w:val="003D4ECA"/>
    <w:rsid w:val="003D6715"/>
    <w:rsid w:val="003E55B2"/>
    <w:rsid w:val="003F68DD"/>
    <w:rsid w:val="0043180D"/>
    <w:rsid w:val="004414A5"/>
    <w:rsid w:val="0044700B"/>
    <w:rsid w:val="00456ACA"/>
    <w:rsid w:val="00467171"/>
    <w:rsid w:val="00467C80"/>
    <w:rsid w:val="00474052"/>
    <w:rsid w:val="004877C8"/>
    <w:rsid w:val="004901D3"/>
    <w:rsid w:val="00496C31"/>
    <w:rsid w:val="004A3DC2"/>
    <w:rsid w:val="004B5EA4"/>
    <w:rsid w:val="004C531E"/>
    <w:rsid w:val="004C6C90"/>
    <w:rsid w:val="004D6224"/>
    <w:rsid w:val="005037CD"/>
    <w:rsid w:val="00504795"/>
    <w:rsid w:val="00514CBA"/>
    <w:rsid w:val="0052630A"/>
    <w:rsid w:val="00527748"/>
    <w:rsid w:val="0053177A"/>
    <w:rsid w:val="00533EA1"/>
    <w:rsid w:val="00557E87"/>
    <w:rsid w:val="005771C3"/>
    <w:rsid w:val="00577B54"/>
    <w:rsid w:val="00582A1C"/>
    <w:rsid w:val="00590F6D"/>
    <w:rsid w:val="005A5A6D"/>
    <w:rsid w:val="005A5ED7"/>
    <w:rsid w:val="005C0BBC"/>
    <w:rsid w:val="005C1A41"/>
    <w:rsid w:val="005C4565"/>
    <w:rsid w:val="005E05CD"/>
    <w:rsid w:val="005F56B9"/>
    <w:rsid w:val="00605AB8"/>
    <w:rsid w:val="0061572F"/>
    <w:rsid w:val="00631441"/>
    <w:rsid w:val="006326EB"/>
    <w:rsid w:val="00641030"/>
    <w:rsid w:val="00643AF8"/>
    <w:rsid w:val="00645D52"/>
    <w:rsid w:val="0065133B"/>
    <w:rsid w:val="0065256B"/>
    <w:rsid w:val="006556AC"/>
    <w:rsid w:val="006602F1"/>
    <w:rsid w:val="00666440"/>
    <w:rsid w:val="00670ED4"/>
    <w:rsid w:val="00672928"/>
    <w:rsid w:val="00674A86"/>
    <w:rsid w:val="00697517"/>
    <w:rsid w:val="006A69C8"/>
    <w:rsid w:val="006A6EF7"/>
    <w:rsid w:val="006D1C53"/>
    <w:rsid w:val="006D6163"/>
    <w:rsid w:val="006D69CB"/>
    <w:rsid w:val="006E21D9"/>
    <w:rsid w:val="006E58B1"/>
    <w:rsid w:val="006F01C4"/>
    <w:rsid w:val="006F487B"/>
    <w:rsid w:val="006F740B"/>
    <w:rsid w:val="0070795A"/>
    <w:rsid w:val="0071535D"/>
    <w:rsid w:val="00733A83"/>
    <w:rsid w:val="00744A41"/>
    <w:rsid w:val="00780A41"/>
    <w:rsid w:val="00794787"/>
    <w:rsid w:val="007A37D8"/>
    <w:rsid w:val="007B3B95"/>
    <w:rsid w:val="007C3D03"/>
    <w:rsid w:val="007D1EFA"/>
    <w:rsid w:val="007D5FE4"/>
    <w:rsid w:val="008053DC"/>
    <w:rsid w:val="0081189E"/>
    <w:rsid w:val="00816EE6"/>
    <w:rsid w:val="008401E2"/>
    <w:rsid w:val="008560DE"/>
    <w:rsid w:val="008560E4"/>
    <w:rsid w:val="0088525A"/>
    <w:rsid w:val="008852B5"/>
    <w:rsid w:val="00897356"/>
    <w:rsid w:val="00897BBD"/>
    <w:rsid w:val="008A0D60"/>
    <w:rsid w:val="008B3F11"/>
    <w:rsid w:val="008C1387"/>
    <w:rsid w:val="008C682F"/>
    <w:rsid w:val="008D041E"/>
    <w:rsid w:val="008E2402"/>
    <w:rsid w:val="008E509B"/>
    <w:rsid w:val="008F0907"/>
    <w:rsid w:val="008F4811"/>
    <w:rsid w:val="008F525A"/>
    <w:rsid w:val="008F59CD"/>
    <w:rsid w:val="009026D4"/>
    <w:rsid w:val="00902708"/>
    <w:rsid w:val="0090477E"/>
    <w:rsid w:val="009214FA"/>
    <w:rsid w:val="009222D0"/>
    <w:rsid w:val="0092278F"/>
    <w:rsid w:val="0092763E"/>
    <w:rsid w:val="009316A6"/>
    <w:rsid w:val="00936114"/>
    <w:rsid w:val="009400E9"/>
    <w:rsid w:val="00946565"/>
    <w:rsid w:val="00946830"/>
    <w:rsid w:val="00962779"/>
    <w:rsid w:val="009654EC"/>
    <w:rsid w:val="009918D9"/>
    <w:rsid w:val="009A392D"/>
    <w:rsid w:val="009C03EE"/>
    <w:rsid w:val="009D17C3"/>
    <w:rsid w:val="009D47C2"/>
    <w:rsid w:val="009E51F8"/>
    <w:rsid w:val="009F1BB4"/>
    <w:rsid w:val="009F2649"/>
    <w:rsid w:val="00A03C4F"/>
    <w:rsid w:val="00A05364"/>
    <w:rsid w:val="00A06A07"/>
    <w:rsid w:val="00A074D7"/>
    <w:rsid w:val="00A15FE8"/>
    <w:rsid w:val="00A17D23"/>
    <w:rsid w:val="00A208E1"/>
    <w:rsid w:val="00A32409"/>
    <w:rsid w:val="00A5191E"/>
    <w:rsid w:val="00A521AB"/>
    <w:rsid w:val="00A56CD0"/>
    <w:rsid w:val="00A61D3E"/>
    <w:rsid w:val="00A64ADB"/>
    <w:rsid w:val="00A662F5"/>
    <w:rsid w:val="00A7643E"/>
    <w:rsid w:val="00A8241C"/>
    <w:rsid w:val="00A864F4"/>
    <w:rsid w:val="00A93FC7"/>
    <w:rsid w:val="00A9649E"/>
    <w:rsid w:val="00AA1341"/>
    <w:rsid w:val="00AB16D0"/>
    <w:rsid w:val="00AB2ACF"/>
    <w:rsid w:val="00AB2C1B"/>
    <w:rsid w:val="00AC3BB5"/>
    <w:rsid w:val="00AC3BF2"/>
    <w:rsid w:val="00AD5483"/>
    <w:rsid w:val="00AF0249"/>
    <w:rsid w:val="00AF150F"/>
    <w:rsid w:val="00AF4737"/>
    <w:rsid w:val="00B0470A"/>
    <w:rsid w:val="00B2364D"/>
    <w:rsid w:val="00B2710B"/>
    <w:rsid w:val="00B36B0D"/>
    <w:rsid w:val="00B51F4D"/>
    <w:rsid w:val="00B53582"/>
    <w:rsid w:val="00B55254"/>
    <w:rsid w:val="00B6239D"/>
    <w:rsid w:val="00B67630"/>
    <w:rsid w:val="00B70B18"/>
    <w:rsid w:val="00B722DE"/>
    <w:rsid w:val="00B80DDB"/>
    <w:rsid w:val="00B81EE1"/>
    <w:rsid w:val="00B9392D"/>
    <w:rsid w:val="00BA5F39"/>
    <w:rsid w:val="00BA761E"/>
    <w:rsid w:val="00BB139C"/>
    <w:rsid w:val="00BB3FBE"/>
    <w:rsid w:val="00BC603D"/>
    <w:rsid w:val="00BD6E25"/>
    <w:rsid w:val="00BE113D"/>
    <w:rsid w:val="00C03CE1"/>
    <w:rsid w:val="00C3016F"/>
    <w:rsid w:val="00C31922"/>
    <w:rsid w:val="00C32EDF"/>
    <w:rsid w:val="00C34673"/>
    <w:rsid w:val="00C405FD"/>
    <w:rsid w:val="00C42573"/>
    <w:rsid w:val="00C5024A"/>
    <w:rsid w:val="00C57107"/>
    <w:rsid w:val="00C62C2D"/>
    <w:rsid w:val="00C6517C"/>
    <w:rsid w:val="00C718E7"/>
    <w:rsid w:val="00C9227C"/>
    <w:rsid w:val="00C9557D"/>
    <w:rsid w:val="00CA2740"/>
    <w:rsid w:val="00CC12E6"/>
    <w:rsid w:val="00CC2E25"/>
    <w:rsid w:val="00CC7C64"/>
    <w:rsid w:val="00CD0B47"/>
    <w:rsid w:val="00CF5F1A"/>
    <w:rsid w:val="00D010E8"/>
    <w:rsid w:val="00D02C04"/>
    <w:rsid w:val="00D0363A"/>
    <w:rsid w:val="00D05F23"/>
    <w:rsid w:val="00D138E8"/>
    <w:rsid w:val="00D20259"/>
    <w:rsid w:val="00D208BA"/>
    <w:rsid w:val="00D21668"/>
    <w:rsid w:val="00D216BC"/>
    <w:rsid w:val="00D22AB6"/>
    <w:rsid w:val="00D42F8F"/>
    <w:rsid w:val="00D45ADF"/>
    <w:rsid w:val="00D533BB"/>
    <w:rsid w:val="00D56087"/>
    <w:rsid w:val="00D92D15"/>
    <w:rsid w:val="00DA07F1"/>
    <w:rsid w:val="00DB52B4"/>
    <w:rsid w:val="00DD06F4"/>
    <w:rsid w:val="00DD500F"/>
    <w:rsid w:val="00DF53E4"/>
    <w:rsid w:val="00DF6BDE"/>
    <w:rsid w:val="00E045B3"/>
    <w:rsid w:val="00E2136E"/>
    <w:rsid w:val="00E25AF8"/>
    <w:rsid w:val="00E3194C"/>
    <w:rsid w:val="00E31A6A"/>
    <w:rsid w:val="00E45D82"/>
    <w:rsid w:val="00E46BDF"/>
    <w:rsid w:val="00E547DB"/>
    <w:rsid w:val="00E555BF"/>
    <w:rsid w:val="00E61949"/>
    <w:rsid w:val="00E70DCE"/>
    <w:rsid w:val="00EA446A"/>
    <w:rsid w:val="00EA477E"/>
    <w:rsid w:val="00EA7DC1"/>
    <w:rsid w:val="00EB5BA2"/>
    <w:rsid w:val="00EB5C28"/>
    <w:rsid w:val="00EC1931"/>
    <w:rsid w:val="00ED56E8"/>
    <w:rsid w:val="00EE3AFB"/>
    <w:rsid w:val="00EF0D19"/>
    <w:rsid w:val="00EF1577"/>
    <w:rsid w:val="00EF6BD4"/>
    <w:rsid w:val="00F05C18"/>
    <w:rsid w:val="00F157DD"/>
    <w:rsid w:val="00F15F90"/>
    <w:rsid w:val="00F21465"/>
    <w:rsid w:val="00F31044"/>
    <w:rsid w:val="00F3725C"/>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93995"/>
  <w15:docId w15:val="{4FD9CD17-CBA6-41BA-8C81-3F63929F8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SubtleEmphasis">
    <w:name w:val="Subtle Emphasis"/>
    <w:uiPriority w:val="19"/>
    <w:qFormat/>
    <w:rsid w:val="00BA5F39"/>
    <w:rPr>
      <w:rFonts w:ascii="Calibri" w:hAnsi="Calibri" w:cs="Calibri"/>
      <w:i/>
      <w:iCs/>
      <w:sz w:val="36"/>
      <w:szCs w:val="32"/>
    </w:rPr>
  </w:style>
  <w:style w:type="paragraph" w:customStyle="1" w:styleId="Textothesis">
    <w:name w:val="Texto thesis"/>
    <w:basedOn w:val="Normal"/>
    <w:link w:val="TextothesisCarcter"/>
    <w:qFormat/>
    <w:rsid w:val="00C6517C"/>
    <w:pPr>
      <w:autoSpaceDE w:val="0"/>
      <w:autoSpaceDN w:val="0"/>
      <w:adjustRightInd w:val="0"/>
      <w:spacing w:after="120" w:line="360" w:lineRule="auto"/>
      <w:jc w:val="both"/>
    </w:pPr>
    <w:rPr>
      <w:rFonts w:ascii="Calibri" w:eastAsia="Batang" w:hAnsi="Calibri" w:cs="Times New Roman"/>
      <w:sz w:val="24"/>
      <w:szCs w:val="24"/>
      <w:lang w:eastAsia="pt-PT"/>
    </w:rPr>
  </w:style>
  <w:style w:type="character" w:customStyle="1" w:styleId="TextothesisCarcter">
    <w:name w:val="Texto thesis Carácter"/>
    <w:link w:val="Textothesis"/>
    <w:rsid w:val="00C6517C"/>
    <w:rPr>
      <w:rFonts w:ascii="Calibri" w:eastAsia="Batang" w:hAnsi="Calibri" w:cs="Times New Roman"/>
      <w:sz w:val="24"/>
      <w:szCs w:val="24"/>
      <w:lang w:eastAsia="pt-PT"/>
    </w:rPr>
  </w:style>
  <w:style w:type="character" w:styleId="CommentReference">
    <w:name w:val="annotation reference"/>
    <w:basedOn w:val="DefaultParagraphFont"/>
    <w:uiPriority w:val="99"/>
    <w:semiHidden/>
    <w:unhideWhenUsed/>
    <w:rsid w:val="000156B6"/>
    <w:rPr>
      <w:sz w:val="16"/>
      <w:szCs w:val="16"/>
    </w:rPr>
  </w:style>
  <w:style w:type="paragraph" w:styleId="CommentText">
    <w:name w:val="annotation text"/>
    <w:basedOn w:val="Normal"/>
    <w:link w:val="CommentTextChar"/>
    <w:uiPriority w:val="99"/>
    <w:semiHidden/>
    <w:unhideWhenUsed/>
    <w:rsid w:val="000156B6"/>
    <w:pPr>
      <w:spacing w:line="240" w:lineRule="auto"/>
    </w:pPr>
    <w:rPr>
      <w:sz w:val="20"/>
      <w:szCs w:val="20"/>
    </w:rPr>
  </w:style>
  <w:style w:type="character" w:customStyle="1" w:styleId="CommentTextChar">
    <w:name w:val="Comment Text Char"/>
    <w:basedOn w:val="DefaultParagraphFont"/>
    <w:link w:val="CommentText"/>
    <w:uiPriority w:val="99"/>
    <w:semiHidden/>
    <w:rsid w:val="000156B6"/>
    <w:rPr>
      <w:sz w:val="20"/>
      <w:szCs w:val="20"/>
    </w:rPr>
  </w:style>
  <w:style w:type="paragraph" w:styleId="CommentSubject">
    <w:name w:val="annotation subject"/>
    <w:basedOn w:val="CommentText"/>
    <w:next w:val="CommentText"/>
    <w:link w:val="CommentSubjectChar"/>
    <w:uiPriority w:val="99"/>
    <w:semiHidden/>
    <w:unhideWhenUsed/>
    <w:rsid w:val="000156B6"/>
    <w:rPr>
      <w:b/>
      <w:bCs/>
    </w:rPr>
  </w:style>
  <w:style w:type="character" w:customStyle="1" w:styleId="CommentSubjectChar">
    <w:name w:val="Comment Subject Char"/>
    <w:basedOn w:val="CommentTextChar"/>
    <w:link w:val="CommentSubject"/>
    <w:uiPriority w:val="99"/>
    <w:semiHidden/>
    <w:rsid w:val="000156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752505253">
      <w:bodyDiv w:val="1"/>
      <w:marLeft w:val="0"/>
      <w:marRight w:val="0"/>
      <w:marTop w:val="0"/>
      <w:marBottom w:val="0"/>
      <w:divBdr>
        <w:top w:val="none" w:sz="0" w:space="0" w:color="auto"/>
        <w:left w:val="none" w:sz="0" w:space="0" w:color="auto"/>
        <w:bottom w:val="none" w:sz="0" w:space="0" w:color="auto"/>
        <w:right w:val="none" w:sz="0" w:space="0" w:color="auto"/>
      </w:divBdr>
      <w:divsChild>
        <w:div w:id="1264344881">
          <w:marLeft w:val="0"/>
          <w:marRight w:val="0"/>
          <w:marTop w:val="0"/>
          <w:marBottom w:val="0"/>
          <w:divBdr>
            <w:top w:val="none" w:sz="0" w:space="0" w:color="auto"/>
            <w:left w:val="none" w:sz="0" w:space="0" w:color="auto"/>
            <w:bottom w:val="none" w:sz="0" w:space="0" w:color="auto"/>
            <w:right w:val="none" w:sz="0" w:space="0" w:color="auto"/>
          </w:divBdr>
          <w:divsChild>
            <w:div w:id="546533227">
              <w:marLeft w:val="0"/>
              <w:marRight w:val="0"/>
              <w:marTop w:val="0"/>
              <w:marBottom w:val="0"/>
              <w:divBdr>
                <w:top w:val="none" w:sz="0" w:space="0" w:color="auto"/>
                <w:left w:val="none" w:sz="0" w:space="0" w:color="auto"/>
                <w:bottom w:val="none" w:sz="0" w:space="0" w:color="auto"/>
                <w:right w:val="none" w:sz="0" w:space="0" w:color="auto"/>
              </w:divBdr>
              <w:divsChild>
                <w:div w:id="1968463401">
                  <w:marLeft w:val="0"/>
                  <w:marRight w:val="0"/>
                  <w:marTop w:val="0"/>
                  <w:marBottom w:val="0"/>
                  <w:divBdr>
                    <w:top w:val="none" w:sz="0" w:space="0" w:color="auto"/>
                    <w:left w:val="none" w:sz="0" w:space="0" w:color="auto"/>
                    <w:bottom w:val="none" w:sz="0" w:space="0" w:color="auto"/>
                    <w:right w:val="none" w:sz="0" w:space="0" w:color="auto"/>
                  </w:divBdr>
                  <w:divsChild>
                    <w:div w:id="800272742">
                      <w:marLeft w:val="0"/>
                      <w:marRight w:val="0"/>
                      <w:marTop w:val="0"/>
                      <w:marBottom w:val="0"/>
                      <w:divBdr>
                        <w:top w:val="none" w:sz="0" w:space="0" w:color="auto"/>
                        <w:left w:val="none" w:sz="0" w:space="0" w:color="auto"/>
                        <w:bottom w:val="none" w:sz="0" w:space="0" w:color="auto"/>
                        <w:right w:val="none" w:sz="0" w:space="0" w:color="auto"/>
                      </w:divBdr>
                      <w:divsChild>
                        <w:div w:id="1676490513">
                          <w:marLeft w:val="0"/>
                          <w:marRight w:val="0"/>
                          <w:marTop w:val="0"/>
                          <w:marBottom w:val="0"/>
                          <w:divBdr>
                            <w:top w:val="none" w:sz="0" w:space="0" w:color="auto"/>
                            <w:left w:val="none" w:sz="0" w:space="0" w:color="auto"/>
                            <w:bottom w:val="none" w:sz="0" w:space="0" w:color="auto"/>
                            <w:right w:val="none" w:sz="0" w:space="0" w:color="auto"/>
                          </w:divBdr>
                          <w:divsChild>
                            <w:div w:id="1091241439">
                              <w:marLeft w:val="0"/>
                              <w:marRight w:val="0"/>
                              <w:marTop w:val="0"/>
                              <w:marBottom w:val="0"/>
                              <w:divBdr>
                                <w:top w:val="none" w:sz="0" w:space="0" w:color="auto"/>
                                <w:left w:val="none" w:sz="0" w:space="0" w:color="auto"/>
                                <w:bottom w:val="none" w:sz="0" w:space="0" w:color="auto"/>
                                <w:right w:val="none" w:sz="0" w:space="0" w:color="auto"/>
                              </w:divBdr>
                              <w:divsChild>
                                <w:div w:id="421991310">
                                  <w:marLeft w:val="0"/>
                                  <w:marRight w:val="0"/>
                                  <w:marTop w:val="0"/>
                                  <w:marBottom w:val="0"/>
                                  <w:divBdr>
                                    <w:top w:val="none" w:sz="0" w:space="0" w:color="auto"/>
                                    <w:left w:val="none" w:sz="0" w:space="0" w:color="auto"/>
                                    <w:bottom w:val="none" w:sz="0" w:space="0" w:color="auto"/>
                                    <w:right w:val="none" w:sz="0" w:space="0" w:color="auto"/>
                                  </w:divBdr>
                                  <w:divsChild>
                                    <w:div w:id="1294680683">
                                      <w:marLeft w:val="0"/>
                                      <w:marRight w:val="0"/>
                                      <w:marTop w:val="0"/>
                                      <w:marBottom w:val="0"/>
                                      <w:divBdr>
                                        <w:top w:val="none" w:sz="0" w:space="0" w:color="auto"/>
                                        <w:left w:val="none" w:sz="0" w:space="0" w:color="auto"/>
                                        <w:bottom w:val="none" w:sz="0" w:space="0" w:color="auto"/>
                                        <w:right w:val="none" w:sz="0" w:space="0" w:color="auto"/>
                                      </w:divBdr>
                                      <w:divsChild>
                                        <w:div w:id="401028322">
                                          <w:marLeft w:val="0"/>
                                          <w:marRight w:val="0"/>
                                          <w:marTop w:val="0"/>
                                          <w:marBottom w:val="0"/>
                                          <w:divBdr>
                                            <w:top w:val="none" w:sz="0" w:space="0" w:color="auto"/>
                                            <w:left w:val="none" w:sz="0" w:space="0" w:color="auto"/>
                                            <w:bottom w:val="none" w:sz="0" w:space="0" w:color="auto"/>
                                            <w:right w:val="none" w:sz="0" w:space="0" w:color="auto"/>
                                          </w:divBdr>
                                          <w:divsChild>
                                            <w:div w:id="2003773516">
                                              <w:marLeft w:val="0"/>
                                              <w:marRight w:val="0"/>
                                              <w:marTop w:val="0"/>
                                              <w:marBottom w:val="0"/>
                                              <w:divBdr>
                                                <w:top w:val="none" w:sz="0" w:space="0" w:color="auto"/>
                                                <w:left w:val="none" w:sz="0" w:space="0" w:color="auto"/>
                                                <w:bottom w:val="none" w:sz="0" w:space="0" w:color="auto"/>
                                                <w:right w:val="none" w:sz="0" w:space="0" w:color="auto"/>
                                              </w:divBdr>
                                              <w:divsChild>
                                                <w:div w:id="1725445931">
                                                  <w:marLeft w:val="0"/>
                                                  <w:marRight w:val="0"/>
                                                  <w:marTop w:val="0"/>
                                                  <w:marBottom w:val="0"/>
                                                  <w:divBdr>
                                                    <w:top w:val="none" w:sz="0" w:space="0" w:color="auto"/>
                                                    <w:left w:val="none" w:sz="0" w:space="0" w:color="auto"/>
                                                    <w:bottom w:val="none" w:sz="0" w:space="0" w:color="auto"/>
                                                    <w:right w:val="none" w:sz="0" w:space="0" w:color="auto"/>
                                                  </w:divBdr>
                                                  <w:divsChild>
                                                    <w:div w:id="409547987">
                                                      <w:marLeft w:val="0"/>
                                                      <w:marRight w:val="0"/>
                                                      <w:marTop w:val="0"/>
                                                      <w:marBottom w:val="0"/>
                                                      <w:divBdr>
                                                        <w:top w:val="none" w:sz="0" w:space="0" w:color="auto"/>
                                                        <w:left w:val="none" w:sz="0" w:space="0" w:color="auto"/>
                                                        <w:bottom w:val="none" w:sz="0" w:space="0" w:color="auto"/>
                                                        <w:right w:val="none" w:sz="0" w:space="0" w:color="auto"/>
                                                      </w:divBdr>
                                                      <w:divsChild>
                                                        <w:div w:id="1302734412">
                                                          <w:marLeft w:val="0"/>
                                                          <w:marRight w:val="0"/>
                                                          <w:marTop w:val="0"/>
                                                          <w:marBottom w:val="0"/>
                                                          <w:divBdr>
                                                            <w:top w:val="none" w:sz="0" w:space="0" w:color="auto"/>
                                                            <w:left w:val="none" w:sz="0" w:space="0" w:color="auto"/>
                                                            <w:bottom w:val="none" w:sz="0" w:space="0" w:color="auto"/>
                                                            <w:right w:val="none" w:sz="0" w:space="0" w:color="auto"/>
                                                          </w:divBdr>
                                                          <w:divsChild>
                                                            <w:div w:id="1964575535">
                                                              <w:marLeft w:val="0"/>
                                                              <w:marRight w:val="0"/>
                                                              <w:marTop w:val="0"/>
                                                              <w:marBottom w:val="0"/>
                                                              <w:divBdr>
                                                                <w:top w:val="none" w:sz="0" w:space="0" w:color="auto"/>
                                                                <w:left w:val="none" w:sz="0" w:space="0" w:color="auto"/>
                                                                <w:bottom w:val="none" w:sz="0" w:space="0" w:color="auto"/>
                                                                <w:right w:val="none" w:sz="0" w:space="0" w:color="auto"/>
                                                              </w:divBdr>
                                                              <w:divsChild>
                                                                <w:div w:id="1867598276">
                                                                  <w:marLeft w:val="0"/>
                                                                  <w:marRight w:val="0"/>
                                                                  <w:marTop w:val="0"/>
                                                                  <w:marBottom w:val="0"/>
                                                                  <w:divBdr>
                                                                    <w:top w:val="none" w:sz="0" w:space="0" w:color="auto"/>
                                                                    <w:left w:val="none" w:sz="0" w:space="0" w:color="auto"/>
                                                                    <w:bottom w:val="none" w:sz="0" w:space="0" w:color="auto"/>
                                                                    <w:right w:val="none" w:sz="0" w:space="0" w:color="auto"/>
                                                                  </w:divBdr>
                                                                  <w:divsChild>
                                                                    <w:div w:id="459305307">
                                                                      <w:marLeft w:val="0"/>
                                                                      <w:marRight w:val="0"/>
                                                                      <w:marTop w:val="0"/>
                                                                      <w:marBottom w:val="0"/>
                                                                      <w:divBdr>
                                                                        <w:top w:val="none" w:sz="0" w:space="0" w:color="auto"/>
                                                                        <w:left w:val="none" w:sz="0" w:space="0" w:color="auto"/>
                                                                        <w:bottom w:val="none" w:sz="0" w:space="0" w:color="auto"/>
                                                                        <w:right w:val="none" w:sz="0" w:space="0" w:color="auto"/>
                                                                      </w:divBdr>
                                                                      <w:divsChild>
                                                                        <w:div w:id="661354024">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646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a%20Sintra\Downloads\art-template-1.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86A6-7228-41CD-97BE-B4592AAF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art-template-1.6 (1)</Template>
  <TotalTime>1</TotalTime>
  <Pages>9</Pages>
  <Words>28811</Words>
  <Characters>164224</Characters>
  <Application>Microsoft Office Word</Application>
  <DocSecurity>0</DocSecurity>
  <Lines>1368</Lines>
  <Paragraphs>385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192650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Sintra</dc:creator>
  <cp:lastModifiedBy>Seishi Shimizu</cp:lastModifiedBy>
  <cp:revision>2</cp:revision>
  <cp:lastPrinted>2014-10-09T15:34:00Z</cp:lastPrinted>
  <dcterms:created xsi:type="dcterms:W3CDTF">2017-12-13T04:52:00Z</dcterms:created>
  <dcterms:modified xsi:type="dcterms:W3CDTF">2017-12-13T04:52:00Z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taniasintra17@hotmail.com@www.mendeley.com</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http://www.zotero.org/styles/ecotoxicology-and-environmental-safety</vt:lpwstr>
  </property>
  <property fmtid="{D5CDD505-2E9C-101B-9397-08002B2CF9AE}" pid="17" name="Mendeley Recent Style Name 6_1">
    <vt:lpwstr>Ecotoxicology and Environmental Safety</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http://www.zotero.org/styles/physical-chemistry-chemical-physics</vt:lpwstr>
  </property>
  <property fmtid="{D5CDD505-2E9C-101B-9397-08002B2CF9AE}" pid="23" name="Mendeley Recent Style Name 9_1">
    <vt:lpwstr>Physical Chemistry Chemical Physics</vt:lpwstr>
  </property>
  <property fmtid="{D5CDD505-2E9C-101B-9397-08002B2CF9AE}" pid="24" name="Mendeley Citation Style_1">
    <vt:lpwstr>http://www.zotero.org/styles/physical-chemistry-chemical-physics</vt:lpwstr>
  </property>
</Properties>
</file>