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E815" w14:textId="77777777" w:rsidR="00AB67E1" w:rsidRDefault="00455F97">
      <w:pPr>
        <w:rPr>
          <w:u w:val="single"/>
        </w:rPr>
      </w:pPr>
      <w:bookmarkStart w:id="0" w:name="_GoBack"/>
      <w:bookmarkEnd w:id="0"/>
      <w:r w:rsidRPr="00AB67E1">
        <w:rPr>
          <w:u w:val="single"/>
        </w:rPr>
        <w:t>An analysis of barriers to entry of Cardiac Rehabilitation in Patients with Diabetes: Using Data for the National Audit of Cardiac Rehabilitation</w:t>
      </w:r>
    </w:p>
    <w:p w14:paraId="3FD145E5" w14:textId="77777777" w:rsidR="00AB67E1" w:rsidRDefault="000D3B50">
      <w:pPr>
        <w:rPr>
          <w:u w:val="single"/>
        </w:rPr>
      </w:pPr>
    </w:p>
    <w:p w14:paraId="5A733AFB" w14:textId="77777777" w:rsidR="00AB67E1" w:rsidRPr="009E1A1B" w:rsidRDefault="00455F97">
      <w:pPr>
        <w:rPr>
          <w:vertAlign w:val="superscript"/>
        </w:rPr>
      </w:pPr>
      <w:r w:rsidRPr="009E1A1B">
        <w:t xml:space="preserve">Harrison A </w:t>
      </w:r>
      <w:proofErr w:type="gramStart"/>
      <w:r w:rsidRPr="009E1A1B">
        <w:t>S</w:t>
      </w:r>
      <w:r w:rsidRPr="009E1A1B">
        <w:rPr>
          <w:vertAlign w:val="superscript"/>
        </w:rPr>
        <w:t>a</w:t>
      </w:r>
      <w:proofErr w:type="gramEnd"/>
    </w:p>
    <w:p w14:paraId="11AA9264" w14:textId="77777777" w:rsidR="00AB67E1" w:rsidRPr="009E1A1B" w:rsidRDefault="00455F97">
      <w:r w:rsidRPr="009E1A1B">
        <w:t>Doherty P</w:t>
      </w:r>
      <w:r w:rsidRPr="009E1A1B">
        <w:rPr>
          <w:vertAlign w:val="superscript"/>
        </w:rPr>
        <w:t>a</w:t>
      </w:r>
    </w:p>
    <w:p w14:paraId="57BECCAF" w14:textId="77777777" w:rsidR="00AB67E1" w:rsidRPr="009E1A1B" w:rsidRDefault="00455F97">
      <w:r w:rsidRPr="009E1A1B">
        <w:t xml:space="preserve">Phillips </w:t>
      </w:r>
      <w:proofErr w:type="gramStart"/>
      <w:r w:rsidRPr="009E1A1B">
        <w:t>A</w:t>
      </w:r>
      <w:r w:rsidRPr="009E1A1B">
        <w:rPr>
          <w:vertAlign w:val="superscript"/>
        </w:rPr>
        <w:t>a</w:t>
      </w:r>
      <w:proofErr w:type="gramEnd"/>
    </w:p>
    <w:p w14:paraId="4DBF44EB" w14:textId="77777777" w:rsidR="009E1A1B" w:rsidRDefault="000D3B50" w:rsidP="00AB67E1">
      <w:pPr>
        <w:spacing w:line="480" w:lineRule="auto"/>
        <w:jc w:val="both"/>
        <w:rPr>
          <w:sz w:val="24"/>
          <w:szCs w:val="24"/>
          <w:u w:val="single"/>
        </w:rPr>
      </w:pPr>
    </w:p>
    <w:p w14:paraId="3DC3C210" w14:textId="77777777" w:rsidR="00AB67E1" w:rsidRPr="00370974" w:rsidRDefault="00455F97" w:rsidP="00AB67E1">
      <w:pPr>
        <w:spacing w:line="480" w:lineRule="auto"/>
        <w:jc w:val="both"/>
        <w:rPr>
          <w:sz w:val="24"/>
          <w:szCs w:val="24"/>
          <w:u w:val="single"/>
        </w:rPr>
      </w:pPr>
      <w:r w:rsidRPr="00370974">
        <w:rPr>
          <w:sz w:val="24"/>
          <w:szCs w:val="24"/>
          <w:u w:val="single"/>
        </w:rPr>
        <w:t>Affiliations</w:t>
      </w:r>
    </w:p>
    <w:p w14:paraId="19F8BFB9" w14:textId="77777777" w:rsidR="00AB67E1" w:rsidRPr="00370974" w:rsidRDefault="00455F97" w:rsidP="00AB67E1">
      <w:pPr>
        <w:spacing w:line="480" w:lineRule="auto"/>
        <w:jc w:val="both"/>
        <w:rPr>
          <w:rFonts w:cs="Arial"/>
        </w:rPr>
      </w:pPr>
      <w:proofErr w:type="gramStart"/>
      <w:r w:rsidRPr="00DE5B98">
        <w:rPr>
          <w:u w:val="single"/>
          <w:vertAlign w:val="superscript"/>
        </w:rPr>
        <w:t>a</w:t>
      </w:r>
      <w:proofErr w:type="gramEnd"/>
      <w:r w:rsidRPr="00370974">
        <w:rPr>
          <w:u w:val="single"/>
        </w:rPr>
        <w:t xml:space="preserve"> </w:t>
      </w:r>
      <w:r w:rsidRPr="00370974">
        <w:rPr>
          <w:rFonts w:cs="Arial"/>
        </w:rPr>
        <w:t>University of York, Department of Health Sciences, York, UK.</w:t>
      </w:r>
    </w:p>
    <w:p w14:paraId="76DFE2DD" w14:textId="77777777" w:rsidR="00AB67E1" w:rsidRPr="00370974" w:rsidRDefault="000D3B50" w:rsidP="00AB67E1">
      <w:pPr>
        <w:spacing w:line="480" w:lineRule="auto"/>
        <w:jc w:val="both"/>
        <w:rPr>
          <w:rFonts w:cs="Arial"/>
        </w:rPr>
      </w:pPr>
    </w:p>
    <w:p w14:paraId="060F1D24" w14:textId="77777777" w:rsidR="00AB67E1" w:rsidRPr="00370974" w:rsidRDefault="00455F97" w:rsidP="00AB67E1">
      <w:pPr>
        <w:spacing w:line="480" w:lineRule="auto"/>
        <w:jc w:val="both"/>
        <w:rPr>
          <w:rFonts w:cs="Arial"/>
        </w:rPr>
      </w:pPr>
      <w:r w:rsidRPr="00370974">
        <w:rPr>
          <w:rFonts w:cs="Arial"/>
        </w:rPr>
        <w:t xml:space="preserve">Corresponding author: Alex Harrison, University of York, Department of Health Sciences, York, UK. </w:t>
      </w:r>
      <w:hyperlink r:id="rId5" w:history="1">
        <w:r w:rsidRPr="00370974">
          <w:rPr>
            <w:rStyle w:val="Hyperlink"/>
            <w:rFonts w:cs="Arial"/>
          </w:rPr>
          <w:t>Alexander.harrison@york.ac.uk</w:t>
        </w:r>
      </w:hyperlink>
      <w:r w:rsidRPr="00370974">
        <w:rPr>
          <w:rFonts w:cs="Arial"/>
        </w:rPr>
        <w:t xml:space="preserve"> Tel: 01904 321827</w:t>
      </w:r>
    </w:p>
    <w:p w14:paraId="0CDDB470" w14:textId="77777777" w:rsidR="00AB67E1" w:rsidRPr="00370974" w:rsidRDefault="00455F97" w:rsidP="00AB67E1">
      <w:pPr>
        <w:spacing w:line="480" w:lineRule="auto"/>
        <w:jc w:val="both"/>
        <w:rPr>
          <w:sz w:val="24"/>
          <w:szCs w:val="24"/>
          <w:u w:val="single"/>
        </w:rPr>
      </w:pPr>
      <w:r w:rsidRPr="00370974">
        <w:rPr>
          <w:sz w:val="24"/>
          <w:szCs w:val="24"/>
          <w:u w:val="single"/>
        </w:rPr>
        <w:t>Funding</w:t>
      </w:r>
    </w:p>
    <w:p w14:paraId="305FF5AB" w14:textId="440DCC51" w:rsidR="00AB67E1" w:rsidRPr="00370974" w:rsidRDefault="00C243B0" w:rsidP="00AB67E1">
      <w:pPr>
        <w:spacing w:before="14" w:line="480" w:lineRule="auto"/>
        <w:rPr>
          <w:rFonts w:cs="Cambria"/>
          <w:bCs/>
        </w:rPr>
      </w:pPr>
      <w:r>
        <w:rPr>
          <w:rFonts w:cs="Cambria"/>
          <w:bCs/>
        </w:rPr>
        <w:t>The</w:t>
      </w:r>
      <w:r w:rsidR="00455F97" w:rsidRPr="00370974">
        <w:rPr>
          <w:rFonts w:cs="Cambria"/>
          <w:bCs/>
        </w:rPr>
        <w:t xml:space="preserve"> research was carried out by the British Heart Foundation (BHF) Cardiovascular Care and Education Research </w:t>
      </w:r>
      <w:r w:rsidRPr="00370974">
        <w:rPr>
          <w:rFonts w:cs="Cambria"/>
          <w:bCs/>
        </w:rPr>
        <w:t>Group</w:t>
      </w:r>
      <w:r>
        <w:rPr>
          <w:rFonts w:cs="Cambria"/>
          <w:bCs/>
        </w:rPr>
        <w:t>,</w:t>
      </w:r>
      <w:r w:rsidRPr="00370974">
        <w:rPr>
          <w:rFonts w:cs="Cambria"/>
          <w:bCs/>
        </w:rPr>
        <w:t xml:space="preserve"> which</w:t>
      </w:r>
      <w:r w:rsidR="00455F97" w:rsidRPr="00370974">
        <w:rPr>
          <w:rFonts w:cs="Cambria"/>
          <w:bCs/>
        </w:rPr>
        <w:t xml:space="preserve"> is supported by a grant from the BHF (</w:t>
      </w:r>
      <w:r w:rsidR="00455F97" w:rsidRPr="00370974">
        <w:rPr>
          <w:rFonts w:ascii="Calibri" w:hAnsi="Calibri"/>
          <w:color w:val="222222"/>
          <w:shd w:val="clear" w:color="auto" w:fill="FFFFFF"/>
        </w:rPr>
        <w:t>R1680901</w:t>
      </w:r>
      <w:r w:rsidR="00455F97" w:rsidRPr="00370974">
        <w:rPr>
          <w:rFonts w:cs="Cambria"/>
          <w:bCs/>
        </w:rPr>
        <w:t>).</w:t>
      </w:r>
    </w:p>
    <w:p w14:paraId="6C6077D0" w14:textId="77777777" w:rsidR="00AB67E1" w:rsidRPr="00370974" w:rsidRDefault="000D3B50" w:rsidP="00AB67E1">
      <w:pPr>
        <w:spacing w:line="480" w:lineRule="auto"/>
        <w:jc w:val="both"/>
        <w:rPr>
          <w:u w:val="single"/>
        </w:rPr>
      </w:pPr>
    </w:p>
    <w:p w14:paraId="4BE14678" w14:textId="77777777" w:rsidR="00AB67E1" w:rsidRPr="00370974" w:rsidRDefault="00455F97" w:rsidP="00AB67E1">
      <w:pPr>
        <w:spacing w:line="480" w:lineRule="auto"/>
        <w:jc w:val="both"/>
        <w:rPr>
          <w:rFonts w:cs="Arial"/>
          <w:sz w:val="24"/>
          <w:szCs w:val="24"/>
        </w:rPr>
      </w:pPr>
      <w:r w:rsidRPr="00370974">
        <w:rPr>
          <w:sz w:val="24"/>
          <w:szCs w:val="24"/>
          <w:u w:val="single"/>
        </w:rPr>
        <w:t>Keywords</w:t>
      </w:r>
    </w:p>
    <w:p w14:paraId="1C59569E" w14:textId="77777777" w:rsidR="00AB67E1" w:rsidRPr="00AB67E1" w:rsidRDefault="00455F97" w:rsidP="00AB67E1">
      <w:pPr>
        <w:rPr>
          <w:u w:val="single"/>
        </w:rPr>
      </w:pPr>
      <w:r w:rsidRPr="00370974">
        <w:rPr>
          <w:rFonts w:cs="Arial"/>
        </w:rPr>
        <w:t>Keywords</w:t>
      </w:r>
      <w:r>
        <w:rPr>
          <w:rFonts w:cs="Arial"/>
        </w:rPr>
        <w:t xml:space="preserve">: </w:t>
      </w:r>
      <w:r>
        <w:t>Diabetes</w:t>
      </w:r>
      <w:r w:rsidRPr="00370974">
        <w:t>,</w:t>
      </w:r>
      <w:r>
        <w:t xml:space="preserve"> Rehabilitation, Uptake, Secondary Prevention</w:t>
      </w:r>
      <w:r w:rsidRPr="00370974">
        <w:t>.</w:t>
      </w:r>
    </w:p>
    <w:p w14:paraId="2A5CA9E4" w14:textId="77777777" w:rsidR="00AB67E1" w:rsidRDefault="00455F97">
      <w:r>
        <w:br w:type="page"/>
      </w:r>
    </w:p>
    <w:p w14:paraId="3FEE5609" w14:textId="77777777" w:rsidR="00AB67E1" w:rsidRDefault="00455F97">
      <w:r>
        <w:lastRenderedPageBreak/>
        <w:t xml:space="preserve"> </w:t>
      </w:r>
    </w:p>
    <w:p w14:paraId="356778AD" w14:textId="77777777" w:rsidR="00F56973" w:rsidRPr="009A23FC" w:rsidRDefault="00455F97" w:rsidP="00F56973">
      <w:pPr>
        <w:pStyle w:val="Heading2"/>
        <w:spacing w:line="480" w:lineRule="auto"/>
        <w:rPr>
          <w:rFonts w:cs="Arial"/>
          <w:color w:val="auto"/>
          <w:u w:val="single"/>
        </w:rPr>
      </w:pPr>
      <w:r w:rsidRPr="009A23FC">
        <w:rPr>
          <w:color w:val="auto"/>
          <w:u w:val="single"/>
        </w:rPr>
        <w:t>Abstract</w:t>
      </w:r>
    </w:p>
    <w:p w14:paraId="5D8D63C8" w14:textId="77777777" w:rsidR="00F56973" w:rsidRPr="009A23FC" w:rsidRDefault="00455F97" w:rsidP="00F56973">
      <w:pPr>
        <w:pStyle w:val="Heading3"/>
        <w:spacing w:line="480" w:lineRule="auto"/>
        <w:rPr>
          <w:i/>
          <w:color w:val="auto"/>
        </w:rPr>
      </w:pPr>
      <w:r w:rsidRPr="009A23FC">
        <w:rPr>
          <w:i/>
          <w:color w:val="auto"/>
        </w:rPr>
        <w:t xml:space="preserve">Background: </w:t>
      </w:r>
    </w:p>
    <w:p w14:paraId="1439CED1" w14:textId="056764F4" w:rsidR="00F56973" w:rsidRPr="009A23FC" w:rsidRDefault="00991D89" w:rsidP="004248C1">
      <w:pPr>
        <w:pStyle w:val="NoSpacing"/>
      </w:pPr>
      <w:r>
        <w:t xml:space="preserve">UK </w:t>
      </w:r>
      <w:r w:rsidR="00455F97">
        <w:t xml:space="preserve">Cardiac Rehabilitation </w:t>
      </w:r>
      <w:r w:rsidR="00F212F0">
        <w:t xml:space="preserve">(CR) </w:t>
      </w:r>
      <w:r w:rsidR="00455F97">
        <w:t xml:space="preserve">has </w:t>
      </w:r>
      <w:r w:rsidR="00C243B0">
        <w:t xml:space="preserve">reached </w:t>
      </w:r>
      <w:r w:rsidR="00455F97">
        <w:t xml:space="preserve">for the first </w:t>
      </w:r>
      <w:r w:rsidR="00F212F0">
        <w:t xml:space="preserve">time 50% uptake in </w:t>
      </w:r>
      <w:r>
        <w:t>2016;</w:t>
      </w:r>
      <w:r w:rsidR="00F212F0">
        <w:t xml:space="preserve"> h</w:t>
      </w:r>
      <w:r w:rsidR="00455F97">
        <w:t xml:space="preserve">owever, </w:t>
      </w:r>
      <w:r w:rsidR="007D7242">
        <w:t xml:space="preserve">this still leaves </w:t>
      </w:r>
      <w:r w:rsidR="00F212F0">
        <w:t>50% of the eligible group not start</w:t>
      </w:r>
      <w:r w:rsidR="007D7242">
        <w:t>ing</w:t>
      </w:r>
      <w:r w:rsidR="00F212F0">
        <w:t xml:space="preserve"> CR</w:t>
      </w:r>
      <w:r w:rsidR="00455F97">
        <w:t>.</w:t>
      </w:r>
      <w:r w:rsidR="00F212F0">
        <w:t xml:space="preserve"> </w:t>
      </w:r>
      <w:r w:rsidR="00455F97">
        <w:t xml:space="preserve"> </w:t>
      </w:r>
      <w:r w:rsidR="00F212F0">
        <w:t xml:space="preserve">The characteristics of </w:t>
      </w:r>
      <w:r w:rsidR="00455F97">
        <w:t xml:space="preserve">patients </w:t>
      </w:r>
      <w:r>
        <w:t>missing</w:t>
      </w:r>
      <w:r w:rsidR="00F212F0">
        <w:t xml:space="preserve"> CR </w:t>
      </w:r>
      <w:r w:rsidR="00455F97">
        <w:t xml:space="preserve">are </w:t>
      </w:r>
      <w:r w:rsidR="00F212F0">
        <w:t xml:space="preserve">relatively unknown with some </w:t>
      </w:r>
      <w:r w:rsidR="00455F97">
        <w:t xml:space="preserve">studies in America </w:t>
      </w:r>
      <w:r w:rsidR="00F212F0">
        <w:t xml:space="preserve">suggesting that patients </w:t>
      </w:r>
      <w:r w:rsidR="00455F97">
        <w:t xml:space="preserve">with diabetes have </w:t>
      </w:r>
      <w:r w:rsidR="00F212F0">
        <w:t xml:space="preserve">a </w:t>
      </w:r>
      <w:r w:rsidR="00455F97">
        <w:t xml:space="preserve">reduced likelihood </w:t>
      </w:r>
      <w:r w:rsidR="00F212F0">
        <w:t>of</w:t>
      </w:r>
      <w:r w:rsidR="00455F97">
        <w:t xml:space="preserve"> join</w:t>
      </w:r>
      <w:r w:rsidR="00F212F0">
        <w:t>ing</w:t>
      </w:r>
      <w:r w:rsidR="00455F97">
        <w:t xml:space="preserve"> CR.  </w:t>
      </w:r>
    </w:p>
    <w:p w14:paraId="08BFF5A1" w14:textId="77777777" w:rsidR="00F56973" w:rsidRPr="009A23FC" w:rsidRDefault="00455F97" w:rsidP="00F56973">
      <w:pPr>
        <w:pStyle w:val="Heading3"/>
        <w:spacing w:line="480" w:lineRule="auto"/>
        <w:rPr>
          <w:i/>
          <w:color w:val="auto"/>
        </w:rPr>
      </w:pPr>
      <w:r w:rsidRPr="009A23FC">
        <w:rPr>
          <w:i/>
          <w:color w:val="auto"/>
        </w:rPr>
        <w:t xml:space="preserve">Methods: </w:t>
      </w:r>
    </w:p>
    <w:p w14:paraId="473EE2D3" w14:textId="567353EB" w:rsidR="00F56973" w:rsidRPr="009A23FC" w:rsidRDefault="00455F97" w:rsidP="004248C1">
      <w:pPr>
        <w:pStyle w:val="NoSpacing"/>
      </w:pPr>
      <w:r>
        <w:t xml:space="preserve">This study used routinely collected data </w:t>
      </w:r>
      <w:r w:rsidR="00F632BC">
        <w:t>from the</w:t>
      </w:r>
      <w:r>
        <w:t xml:space="preserve"> National Au</w:t>
      </w:r>
      <w:r w:rsidR="00F632BC">
        <w:t xml:space="preserve">dit of Cardiac Rehabilitation to investigate </w:t>
      </w:r>
      <w:r>
        <w:t xml:space="preserve">proportional differences </w:t>
      </w:r>
      <w:r w:rsidR="00F632BC">
        <w:t>in</w:t>
      </w:r>
      <w:r>
        <w:t xml:space="preserve"> patients with </w:t>
      </w:r>
      <w:r w:rsidR="00F632BC">
        <w:t xml:space="preserve">cardiovascular disease with, and without, diabetes </w:t>
      </w:r>
      <w:r>
        <w:t>taking up the offer of CR.</w:t>
      </w:r>
    </w:p>
    <w:p w14:paraId="5290A17A" w14:textId="77777777" w:rsidR="00F56973" w:rsidRPr="009A23FC" w:rsidRDefault="00455F97" w:rsidP="00F56973">
      <w:pPr>
        <w:pStyle w:val="Heading3"/>
        <w:spacing w:line="480" w:lineRule="auto"/>
        <w:rPr>
          <w:i/>
          <w:color w:val="auto"/>
        </w:rPr>
      </w:pPr>
      <w:r w:rsidRPr="009A23FC">
        <w:rPr>
          <w:i/>
          <w:color w:val="auto"/>
        </w:rPr>
        <w:t xml:space="preserve">Results: </w:t>
      </w:r>
    </w:p>
    <w:p w14:paraId="118FA395" w14:textId="61A96731" w:rsidR="00F56973" w:rsidRPr="009A23FC" w:rsidRDefault="00455F97" w:rsidP="004248C1">
      <w:pPr>
        <w:pStyle w:val="NoSpacing"/>
      </w:pPr>
      <w:r>
        <w:t xml:space="preserve">The proportion of patients with diabetes entering </w:t>
      </w:r>
      <w:r w:rsidR="00F632BC">
        <w:t>CR</w:t>
      </w:r>
      <w:r>
        <w:t xml:space="preserve"> dropped </w:t>
      </w:r>
      <w:r w:rsidR="00C243B0">
        <w:t xml:space="preserve">by </w:t>
      </w:r>
      <w:r>
        <w:t xml:space="preserve">between 7-15% depending on the </w:t>
      </w:r>
      <w:r w:rsidR="00F632BC">
        <w:t xml:space="preserve">age </w:t>
      </w:r>
      <w:r>
        <w:t xml:space="preserve">group (&lt;40 </w:t>
      </w:r>
      <w:r w:rsidR="00F632BC">
        <w:t xml:space="preserve">years </w:t>
      </w:r>
      <w:r>
        <w:t>7% reduction, 61-80</w:t>
      </w:r>
      <w:r w:rsidR="00F632BC">
        <w:t xml:space="preserve"> years</w:t>
      </w:r>
      <w:r>
        <w:t xml:space="preserve"> 15%).</w:t>
      </w:r>
      <w:r w:rsidR="007D7242">
        <w:t xml:space="preserve"> </w:t>
      </w:r>
      <w:r>
        <w:t xml:space="preserve">The study's results showed that in all </w:t>
      </w:r>
      <w:r w:rsidR="00F632BC">
        <w:t xml:space="preserve">demographic and diagnostic </w:t>
      </w:r>
      <w:r>
        <w:t xml:space="preserve">groups the proportion of patients with diabetes was significantly </w:t>
      </w:r>
      <w:r w:rsidR="00F632BC">
        <w:t>less</w:t>
      </w:r>
      <w:r>
        <w:t xml:space="preserve"> </w:t>
      </w:r>
      <w:r w:rsidR="007D7242">
        <w:t>than</w:t>
      </w:r>
      <w:r>
        <w:t xml:space="preserve"> that of the eligible group (p-value &lt;0.001). There </w:t>
      </w:r>
      <w:r w:rsidR="007738D8">
        <w:t xml:space="preserve">was </w:t>
      </w:r>
      <w:r>
        <w:t>no difference in</w:t>
      </w:r>
      <w:r w:rsidR="007738D8">
        <w:t xml:space="preserve"> the proportion of loss, from eligible to starting CR, </w:t>
      </w:r>
      <w:r w:rsidR="00F632BC">
        <w:t xml:space="preserve">between males and </w:t>
      </w:r>
      <w:r w:rsidR="007D7242">
        <w:t>females, which</w:t>
      </w:r>
      <w:r w:rsidR="007738D8">
        <w:t xml:space="preserve"> was 13% for both groups.</w:t>
      </w:r>
      <w:r w:rsidR="00F632BC">
        <w:t xml:space="preserve"> </w:t>
      </w:r>
    </w:p>
    <w:p w14:paraId="4E8351F0" w14:textId="77777777" w:rsidR="00F56973" w:rsidRPr="009A23FC" w:rsidRDefault="00455F97" w:rsidP="00F56973">
      <w:pPr>
        <w:pStyle w:val="Heading3"/>
        <w:spacing w:line="480" w:lineRule="auto"/>
        <w:rPr>
          <w:i/>
          <w:color w:val="auto"/>
        </w:rPr>
      </w:pPr>
      <w:r w:rsidRPr="009A23FC">
        <w:rPr>
          <w:i/>
          <w:color w:val="auto"/>
        </w:rPr>
        <w:t xml:space="preserve">Conclusions: </w:t>
      </w:r>
    </w:p>
    <w:p w14:paraId="1EEB309E" w14:textId="4CF16BB1" w:rsidR="00F56973" w:rsidRDefault="00455F97" w:rsidP="0035007E">
      <w:pPr>
        <w:pStyle w:val="NoSpacing"/>
      </w:pPr>
      <w:r>
        <w:t xml:space="preserve">This study confirms, in a new UK population with over 121,002 eligible patients, that there is a statistically significant drop in patients with diabetes taking up </w:t>
      </w:r>
      <w:r w:rsidR="007738D8">
        <w:t>CR</w:t>
      </w:r>
      <w:r>
        <w:t xml:space="preserve">. This study is unique in looking at all four key diagnosis and treatment groups and comparing them to those taking up </w:t>
      </w:r>
      <w:r w:rsidR="007738D8">
        <w:t>CR</w:t>
      </w:r>
      <w:r>
        <w:t>. To achieve the target of 65% uptake set by NHS England; improvements in identifying and targeting complex patients, such as those with Diabetes, need to be adopted.</w:t>
      </w:r>
      <w:r>
        <w:br w:type="page"/>
      </w:r>
    </w:p>
    <w:p w14:paraId="3FB4DB5D" w14:textId="77777777" w:rsidR="00F56973" w:rsidRDefault="00455F97" w:rsidP="00F56973">
      <w:pPr>
        <w:pStyle w:val="Heading2"/>
        <w:rPr>
          <w:rFonts w:ascii="Calibri" w:eastAsia="Times New Roman" w:hAnsi="Calibri" w:cs="Times New Roman"/>
          <w:color w:val="000000"/>
          <w:sz w:val="18"/>
          <w:szCs w:val="18"/>
          <w:lang w:eastAsia="en-GB"/>
        </w:rPr>
      </w:pPr>
      <w:r w:rsidRPr="00F56973">
        <w:rPr>
          <w:color w:val="auto"/>
          <w:u w:val="single"/>
        </w:rPr>
        <w:lastRenderedPageBreak/>
        <w:t>Introduction</w:t>
      </w:r>
    </w:p>
    <w:p w14:paraId="185060F2" w14:textId="77777777" w:rsidR="00EC4CE8" w:rsidRDefault="000D3B50" w:rsidP="00EC4CE8">
      <w:pPr>
        <w:pStyle w:val="NoSpacing"/>
        <w:rPr>
          <w:lang w:eastAsia="en-GB"/>
        </w:rPr>
      </w:pPr>
    </w:p>
    <w:p w14:paraId="5EA3D571" w14:textId="3AE8B870" w:rsidR="001F66C3" w:rsidRPr="008503FE" w:rsidRDefault="00455F97" w:rsidP="008D2699">
      <w:pPr>
        <w:pStyle w:val="NoSpacing"/>
        <w:spacing w:line="360" w:lineRule="auto"/>
        <w:jc w:val="both"/>
      </w:pPr>
      <w:r w:rsidRPr="008503FE">
        <w:rPr>
          <w:lang w:eastAsia="en-GB"/>
        </w:rPr>
        <w:t xml:space="preserve">Cardiac Rehabilitation (CR) is a widely recognised and effective intervention post-Cardiovascular Disease (CVD) that </w:t>
      </w:r>
      <w:r>
        <w:rPr>
          <w:lang w:eastAsia="en-GB"/>
        </w:rPr>
        <w:t>has been evidence</w:t>
      </w:r>
      <w:r w:rsidR="00C243B0">
        <w:rPr>
          <w:lang w:eastAsia="en-GB"/>
        </w:rPr>
        <w:t>d</w:t>
      </w:r>
      <w:r>
        <w:rPr>
          <w:lang w:eastAsia="en-GB"/>
        </w:rPr>
        <w:t xml:space="preserve"> to </w:t>
      </w:r>
      <w:r w:rsidRPr="008503FE">
        <w:rPr>
          <w:lang w:eastAsia="en-GB"/>
        </w:rPr>
        <w:t xml:space="preserve">reduce cardiovascular mortality </w:t>
      </w:r>
      <w:r w:rsidRPr="008503FE">
        <w:t>(RR 0.74, 95% CI 0.64-0.86)</w:t>
      </w:r>
      <w:r>
        <w:t xml:space="preserve">, </w:t>
      </w:r>
      <w:r w:rsidRPr="008503FE">
        <w:t>overall</w:t>
      </w:r>
      <w:r>
        <w:t xml:space="preserve"> mortality (HR 0.37, 95% CI 0.20-0.69) </w:t>
      </w:r>
      <w:r w:rsidRPr="008503FE">
        <w:rPr>
          <w:lang w:eastAsia="en-GB"/>
        </w:rPr>
        <w:t xml:space="preserve">and hospital readmission </w:t>
      </w:r>
      <w:r w:rsidRPr="008503FE">
        <w:t>(R</w:t>
      </w:r>
      <w:r>
        <w:t>R 0.82, 95% CI 0.70-0.96). (1-2</w:t>
      </w:r>
      <w:r w:rsidRPr="008503FE">
        <w:t>) Patients benefit from CR in a variety of areas from a reduction in lifestyle risk factors, improved mental well-being and overall physical health.</w:t>
      </w:r>
    </w:p>
    <w:p w14:paraId="4E402C5D" w14:textId="77777777" w:rsidR="00EC00EF" w:rsidRPr="008503FE" w:rsidRDefault="000D3B50" w:rsidP="008D2699">
      <w:pPr>
        <w:pStyle w:val="NoSpacing"/>
        <w:spacing w:line="360" w:lineRule="auto"/>
        <w:jc w:val="both"/>
        <w:rPr>
          <w:lang w:eastAsia="en-GB"/>
        </w:rPr>
      </w:pPr>
    </w:p>
    <w:p w14:paraId="0EF2BD3C" w14:textId="02909BD3" w:rsidR="00EC5D23" w:rsidRPr="008503FE" w:rsidRDefault="007738D8" w:rsidP="008D2699">
      <w:pPr>
        <w:pStyle w:val="NoSpacing"/>
        <w:spacing w:line="360" w:lineRule="auto"/>
        <w:jc w:val="both"/>
        <w:rPr>
          <w:rFonts w:eastAsia="Knockout-50Welterweight" w:cs="MyriadPro-Regular"/>
        </w:rPr>
      </w:pPr>
      <w:r>
        <w:rPr>
          <w:lang w:eastAsia="en-GB"/>
        </w:rPr>
        <w:t>Nationally in the UK</w:t>
      </w:r>
      <w:r w:rsidR="00C243B0">
        <w:rPr>
          <w:lang w:eastAsia="en-GB"/>
        </w:rPr>
        <w:t>,</w:t>
      </w:r>
      <w:r>
        <w:rPr>
          <w:lang w:eastAsia="en-GB"/>
        </w:rPr>
        <w:t xml:space="preserve"> u</w:t>
      </w:r>
      <w:r w:rsidR="00455F97" w:rsidRPr="008503FE">
        <w:rPr>
          <w:lang w:eastAsia="en-GB"/>
        </w:rPr>
        <w:t>ptake to CR has gradual</w:t>
      </w:r>
      <w:r w:rsidR="00C243B0">
        <w:rPr>
          <w:lang w:eastAsia="en-GB"/>
        </w:rPr>
        <w:t>ly</w:t>
      </w:r>
      <w:r w:rsidR="00455F97" w:rsidRPr="008503FE">
        <w:rPr>
          <w:lang w:eastAsia="en-GB"/>
        </w:rPr>
        <w:t xml:space="preserve"> improve</w:t>
      </w:r>
      <w:r>
        <w:rPr>
          <w:lang w:eastAsia="en-GB"/>
        </w:rPr>
        <w:t>d</w:t>
      </w:r>
      <w:r w:rsidR="00C243B0">
        <w:rPr>
          <w:lang w:eastAsia="en-GB"/>
        </w:rPr>
        <w:t xml:space="preserve"> from ~40%</w:t>
      </w:r>
      <w:r w:rsidR="00455F97" w:rsidRPr="008503FE">
        <w:rPr>
          <w:lang w:eastAsia="en-GB"/>
        </w:rPr>
        <w:t xml:space="preserve"> over the past 4 years</w:t>
      </w:r>
      <w:r>
        <w:rPr>
          <w:lang w:eastAsia="en-GB"/>
        </w:rPr>
        <w:t xml:space="preserve"> to</w:t>
      </w:r>
      <w:r w:rsidR="00455F97" w:rsidRPr="008503FE">
        <w:rPr>
          <w:lang w:eastAsia="en-GB"/>
        </w:rPr>
        <w:t xml:space="preserve"> </w:t>
      </w:r>
      <w:r>
        <w:rPr>
          <w:lang w:eastAsia="en-GB"/>
        </w:rPr>
        <w:t xml:space="preserve">achieve </w:t>
      </w:r>
      <w:r w:rsidR="00455F97" w:rsidRPr="008503FE">
        <w:rPr>
          <w:lang w:eastAsia="en-GB"/>
        </w:rPr>
        <w:t xml:space="preserve">50%, which puts UK CR within the top 2% of countries in Europe. </w:t>
      </w:r>
      <w:r w:rsidR="00455F97">
        <w:rPr>
          <w:rFonts w:eastAsia="Knockout-50Welterweight" w:cs="MyriadPro-Regular"/>
        </w:rPr>
        <w:t>(3-4</w:t>
      </w:r>
      <w:r w:rsidR="00455F97" w:rsidRPr="008503FE">
        <w:rPr>
          <w:rFonts w:eastAsia="Knockout-50Welterweight" w:cs="MyriadPro-Regular"/>
        </w:rPr>
        <w:t xml:space="preserve">) </w:t>
      </w:r>
      <w:proofErr w:type="gramStart"/>
      <w:r w:rsidR="00455F97" w:rsidRPr="008503FE">
        <w:rPr>
          <w:rFonts w:eastAsia="Knockout-50Welterweight" w:cs="MyriadPro-Regular"/>
        </w:rPr>
        <w:t>The</w:t>
      </w:r>
      <w:proofErr w:type="gramEnd"/>
      <w:r w:rsidR="00455F97" w:rsidRPr="008503FE">
        <w:rPr>
          <w:rFonts w:eastAsia="Knockout-50Welterweight" w:cs="MyriadPro-Regular"/>
        </w:rPr>
        <w:t xml:space="preserve"> new uptake figures signify a real success in</w:t>
      </w:r>
      <w:r>
        <w:rPr>
          <w:rFonts w:eastAsia="Knockout-50Welterweight" w:cs="MyriadPro-Regular"/>
        </w:rPr>
        <w:t xml:space="preserve"> the UK CR programmes, </w:t>
      </w:r>
      <w:r w:rsidR="00455F97" w:rsidRPr="008503FE">
        <w:rPr>
          <w:rFonts w:eastAsia="Knockout-50Welterweight" w:cs="MyriadPro-Regular"/>
        </w:rPr>
        <w:t>bring</w:t>
      </w:r>
      <w:r>
        <w:rPr>
          <w:rFonts w:eastAsia="Knockout-50Welterweight" w:cs="MyriadPro-Regular"/>
        </w:rPr>
        <w:t xml:space="preserve">ing </w:t>
      </w:r>
      <w:r w:rsidR="00455F97" w:rsidRPr="008503FE">
        <w:rPr>
          <w:rFonts w:eastAsia="Knockout-50Welterweight" w:cs="MyriadPro-Regular"/>
        </w:rPr>
        <w:t>the uptake closer to the 65% target set by N</w:t>
      </w:r>
      <w:r w:rsidR="00455F97">
        <w:rPr>
          <w:rFonts w:eastAsia="Knockout-50Welterweight" w:cs="MyriadPro-Regular"/>
        </w:rPr>
        <w:t>HS England in 2014. (5</w:t>
      </w:r>
      <w:r w:rsidR="00455F97" w:rsidRPr="008503FE">
        <w:rPr>
          <w:rFonts w:eastAsia="Knockout-50Welterweight" w:cs="MyriadPro-Regular"/>
        </w:rPr>
        <w:t xml:space="preserve">) Although CR uptake is </w:t>
      </w:r>
      <w:r>
        <w:rPr>
          <w:rFonts w:eastAsia="Knockout-50Welterweight" w:cs="MyriadPro-Regular"/>
        </w:rPr>
        <w:t>increasing</w:t>
      </w:r>
      <w:r w:rsidR="00455F97" w:rsidRPr="008503FE">
        <w:rPr>
          <w:rFonts w:eastAsia="Knockout-50Welterweight" w:cs="MyriadPro-Regular"/>
        </w:rPr>
        <w:t xml:space="preserve">, evidence suggests that some demographics of patients are not taking up the offer; these include unemployed patients, older </w:t>
      </w:r>
      <w:r w:rsidR="00C243B0" w:rsidRPr="008503FE">
        <w:rPr>
          <w:rFonts w:eastAsia="Knockout-50Welterweight" w:cs="MyriadPro-Regular"/>
        </w:rPr>
        <w:t xml:space="preserve">and </w:t>
      </w:r>
      <w:r w:rsidR="00C243B0">
        <w:rPr>
          <w:rFonts w:eastAsia="Knockout-50Welterweight" w:cs="MyriadPro-Regular"/>
        </w:rPr>
        <w:t>female</w:t>
      </w:r>
      <w:r w:rsidR="00C243B0" w:rsidRPr="008503FE">
        <w:rPr>
          <w:rFonts w:eastAsia="Knockout-50Welterweight" w:cs="MyriadPro-Regular"/>
        </w:rPr>
        <w:t xml:space="preserve"> </w:t>
      </w:r>
      <w:r w:rsidR="00455F97" w:rsidRPr="008503FE">
        <w:rPr>
          <w:rFonts w:eastAsia="Knockout-50Welterweight" w:cs="MyriadPro-Regular"/>
        </w:rPr>
        <w:t>patients. (</w:t>
      </w:r>
      <w:r w:rsidR="00455F97">
        <w:rPr>
          <w:rFonts w:eastAsia="Knockout-50Welterweight" w:cs="MyriadPro-Regular"/>
        </w:rPr>
        <w:t>6-8</w:t>
      </w:r>
      <w:r w:rsidR="00455F97" w:rsidRPr="008503FE">
        <w:rPr>
          <w:rFonts w:eastAsia="Knockout-50Welterweight" w:cs="MyriadPro-Regular"/>
        </w:rPr>
        <w:t xml:space="preserve">) </w:t>
      </w:r>
    </w:p>
    <w:p w14:paraId="11526B49" w14:textId="77777777" w:rsidR="00EC5D23" w:rsidRPr="008503FE" w:rsidRDefault="000D3B50" w:rsidP="008D2699">
      <w:pPr>
        <w:pStyle w:val="NoSpacing"/>
        <w:spacing w:line="360" w:lineRule="auto"/>
        <w:jc w:val="both"/>
        <w:rPr>
          <w:rFonts w:eastAsia="Knockout-50Welterweight" w:cs="MyriadPro-Regular"/>
        </w:rPr>
      </w:pPr>
    </w:p>
    <w:p w14:paraId="21EA83BF" w14:textId="0DE48876" w:rsidR="00D54963" w:rsidRDefault="00455F97" w:rsidP="008D2699">
      <w:pPr>
        <w:pStyle w:val="NoSpacing"/>
        <w:spacing w:line="360" w:lineRule="auto"/>
        <w:jc w:val="both"/>
        <w:rPr>
          <w:rFonts w:eastAsia="Knockout-50Welterweight" w:cs="MyriadPro-Regular"/>
        </w:rPr>
      </w:pPr>
      <w:r w:rsidRPr="008503FE">
        <w:rPr>
          <w:rFonts w:eastAsia="Knockout-50Welterweight" w:cs="MyriadPro-Regular"/>
        </w:rPr>
        <w:t>The populati</w:t>
      </w:r>
      <w:r w:rsidR="00C243B0">
        <w:rPr>
          <w:rFonts w:eastAsia="Knockout-50Welterweight" w:cs="MyriadPro-Regular"/>
        </w:rPr>
        <w:t>on who are taking</w:t>
      </w:r>
      <w:r w:rsidRPr="008503FE">
        <w:rPr>
          <w:rFonts w:eastAsia="Knockout-50Welterweight" w:cs="MyriadPro-Regular"/>
        </w:rPr>
        <w:t xml:space="preserve"> up CR have a variety of dif</w:t>
      </w:r>
      <w:r w:rsidR="00C243B0">
        <w:rPr>
          <w:rFonts w:eastAsia="Knockout-50Welterweight" w:cs="MyriadPro-Regular"/>
        </w:rPr>
        <w:t>ferent comorbidities including a</w:t>
      </w:r>
      <w:r w:rsidRPr="008503FE">
        <w:rPr>
          <w:rFonts w:eastAsia="Knockout-50Welterweight" w:cs="MyriadPro-Regular"/>
        </w:rPr>
        <w:t>ngina, hypertension an</w:t>
      </w:r>
      <w:r>
        <w:rPr>
          <w:rFonts w:eastAsia="Knockout-50Welterweight" w:cs="MyriadPro-Regular"/>
        </w:rPr>
        <w:t>d diabetes. (3</w:t>
      </w:r>
      <w:r w:rsidRPr="008503FE">
        <w:rPr>
          <w:rFonts w:eastAsia="Knockout-50Welterweight" w:cs="MyriadPro-Regular"/>
        </w:rPr>
        <w:t xml:space="preserve">) </w:t>
      </w:r>
      <w:r>
        <w:rPr>
          <w:rFonts w:eastAsia="Knockout-50Welterweight" w:cs="MyriadPro-Regular"/>
        </w:rPr>
        <w:t xml:space="preserve">Patients with CVD often have </w:t>
      </w:r>
      <w:r w:rsidRPr="008503FE">
        <w:rPr>
          <w:rFonts w:eastAsia="Knockout-50Welterweight" w:cs="MyriadPro-Regular"/>
        </w:rPr>
        <w:t>type 2</w:t>
      </w:r>
      <w:r>
        <w:rPr>
          <w:rFonts w:eastAsia="Knockout-50Welterweight" w:cs="MyriadPro-Regular"/>
        </w:rPr>
        <w:t xml:space="preserve"> d</w:t>
      </w:r>
      <w:r w:rsidRPr="008503FE">
        <w:rPr>
          <w:rFonts w:eastAsia="Knockout-50Welterweight" w:cs="MyriadPro-Regular"/>
        </w:rPr>
        <w:t>iabetes as well; the two conditions within the literature</w:t>
      </w:r>
      <w:r w:rsidR="00C243B0" w:rsidRPr="00C243B0">
        <w:rPr>
          <w:rFonts w:eastAsia="Knockout-50Welterweight" w:cs="MyriadPro-Regular"/>
        </w:rPr>
        <w:t xml:space="preserve"> </w:t>
      </w:r>
      <w:r w:rsidR="00C243B0">
        <w:rPr>
          <w:rFonts w:eastAsia="Knockout-50Welterweight" w:cs="MyriadPro-Regular"/>
        </w:rPr>
        <w:t>are closely associated</w:t>
      </w:r>
      <w:r w:rsidRPr="008503FE">
        <w:rPr>
          <w:rFonts w:eastAsia="Knockout-50Welterweight" w:cs="MyriadPro-Regular"/>
        </w:rPr>
        <w:t>.</w:t>
      </w:r>
      <w:r w:rsidR="0089609C">
        <w:rPr>
          <w:rFonts w:eastAsia="Knockout-50Welterweight" w:cs="MyriadPro-Regular"/>
        </w:rPr>
        <w:t xml:space="preserve"> </w:t>
      </w:r>
      <w:r w:rsidR="00816543">
        <w:rPr>
          <w:rFonts w:eastAsia="Knockout-50Welterweight" w:cs="MyriadPro-Regular"/>
        </w:rPr>
        <w:t>(</w:t>
      </w:r>
      <w:r w:rsidR="0089609C">
        <w:rPr>
          <w:rFonts w:eastAsia="Knockout-50Welterweight" w:cs="MyriadPro-Regular"/>
        </w:rPr>
        <w:t>9-10</w:t>
      </w:r>
      <w:r w:rsidR="00816543">
        <w:rPr>
          <w:rFonts w:eastAsia="Knockout-50Welterweight" w:cs="MyriadPro-Regular"/>
        </w:rPr>
        <w:t>)</w:t>
      </w:r>
      <w:r w:rsidRPr="008503FE">
        <w:rPr>
          <w:rFonts w:eastAsia="Knockout-50Welterweight" w:cs="MyriadPro-Regular"/>
        </w:rPr>
        <w:t xml:space="preserve"> </w:t>
      </w:r>
      <w:r w:rsidRPr="008503FE">
        <w:rPr>
          <w:rFonts w:eastAsia="Calibri" w:cs="Calibri"/>
        </w:rPr>
        <w:t xml:space="preserve">Patients with diabetes (PWD) have an increased risk of CVD, </w:t>
      </w:r>
      <w:r>
        <w:rPr>
          <w:rFonts w:eastAsia="Calibri" w:cs="Calibri"/>
        </w:rPr>
        <w:t xml:space="preserve">patients </w:t>
      </w:r>
      <w:r w:rsidRPr="008503FE">
        <w:rPr>
          <w:rFonts w:eastAsia="Calibri" w:cs="Calibri"/>
        </w:rPr>
        <w:t xml:space="preserve">post-MI </w:t>
      </w:r>
      <w:r w:rsidRPr="008503FE">
        <w:rPr>
          <w:rStyle w:val="Strong"/>
          <w:rFonts w:cs="Arial"/>
          <w:b w:val="0"/>
          <w:color w:val="000000" w:themeColor="text1"/>
          <w:shd w:val="clear" w:color="auto" w:fill="FFFFFF"/>
        </w:rPr>
        <w:t xml:space="preserve">have higher long-term mortality risk than the patients without (PW), and 80% of all deaths in diabetes are from cardiovascular events. </w:t>
      </w:r>
      <w:r w:rsidRPr="002B78F0">
        <w:rPr>
          <w:rStyle w:val="Strong"/>
          <w:rFonts w:cs="Arial"/>
          <w:b w:val="0"/>
          <w:shd w:val="clear" w:color="auto" w:fill="FFFFFF"/>
        </w:rPr>
        <w:t>(</w:t>
      </w:r>
      <w:r w:rsidR="0089609C" w:rsidRPr="002B78F0">
        <w:rPr>
          <w:rStyle w:val="Strong"/>
          <w:rFonts w:cs="Arial"/>
          <w:b w:val="0"/>
          <w:shd w:val="clear" w:color="auto" w:fill="FFFFFF"/>
        </w:rPr>
        <w:t>11-12</w:t>
      </w:r>
      <w:r w:rsidRPr="008503FE">
        <w:rPr>
          <w:rStyle w:val="Strong"/>
          <w:rFonts w:cs="Arial"/>
          <w:b w:val="0"/>
          <w:color w:val="000000" w:themeColor="text1"/>
          <w:shd w:val="clear" w:color="auto" w:fill="FFFFFF"/>
        </w:rPr>
        <w:t xml:space="preserve">) </w:t>
      </w:r>
      <w:proofErr w:type="gramStart"/>
      <w:r w:rsidR="00980B54">
        <w:rPr>
          <w:rStyle w:val="Strong"/>
          <w:rFonts w:cs="Arial"/>
          <w:b w:val="0"/>
          <w:color w:val="000000" w:themeColor="text1"/>
          <w:shd w:val="clear" w:color="auto" w:fill="FFFFFF"/>
        </w:rPr>
        <w:t>Alongside</w:t>
      </w:r>
      <w:proofErr w:type="gramEnd"/>
      <w:r w:rsidR="00980B54">
        <w:rPr>
          <w:rStyle w:val="Strong"/>
          <w:rFonts w:cs="Arial"/>
          <w:b w:val="0"/>
          <w:color w:val="000000" w:themeColor="text1"/>
          <w:shd w:val="clear" w:color="auto" w:fill="FFFFFF"/>
        </w:rPr>
        <w:t xml:space="preserve"> </w:t>
      </w:r>
      <w:r>
        <w:rPr>
          <w:rFonts w:eastAsia="Knockout-50Welterweight" w:cs="MyriadPro-Regular"/>
        </w:rPr>
        <w:t xml:space="preserve">the evidenced link between diabetes and CVD, there </w:t>
      </w:r>
      <w:r w:rsidR="00980B54">
        <w:rPr>
          <w:rFonts w:eastAsia="Knockout-50Welterweight" w:cs="MyriadPro-Regular"/>
        </w:rPr>
        <w:t>are</w:t>
      </w:r>
      <w:r>
        <w:rPr>
          <w:rFonts w:eastAsia="Knockout-50Welterweight" w:cs="MyriadPro-Regular"/>
        </w:rPr>
        <w:t xml:space="preserve"> </w:t>
      </w:r>
      <w:r w:rsidR="00980B54">
        <w:rPr>
          <w:rFonts w:eastAsia="Knockout-50Welterweight" w:cs="MyriadPro-Regular"/>
        </w:rPr>
        <w:t xml:space="preserve">also 30% </w:t>
      </w:r>
      <w:r>
        <w:rPr>
          <w:rFonts w:eastAsia="Knockout-50Welterweight" w:cs="MyriadPro-Regular"/>
        </w:rPr>
        <w:t>of PWD in CR programmes</w:t>
      </w:r>
      <w:r w:rsidR="00980B54">
        <w:rPr>
          <w:rFonts w:eastAsia="Knockout-50Welterweight" w:cs="MyriadPro-Regular"/>
        </w:rPr>
        <w:t xml:space="preserve"> with a </w:t>
      </w:r>
      <w:r>
        <w:rPr>
          <w:rFonts w:eastAsia="Knockout-50Welterweight" w:cs="MyriadPro-Regular"/>
        </w:rPr>
        <w:t xml:space="preserve">multi-morbid </w:t>
      </w:r>
      <w:r w:rsidR="00980B54">
        <w:rPr>
          <w:rFonts w:eastAsia="Knockout-50Welterweight" w:cs="MyriadPro-Regular"/>
        </w:rPr>
        <w:t>profile</w:t>
      </w:r>
      <w:r>
        <w:rPr>
          <w:rFonts w:eastAsia="Knockout-50Welterweight" w:cs="MyriadPro-Regular"/>
        </w:rPr>
        <w:t>. (3)</w:t>
      </w:r>
    </w:p>
    <w:p w14:paraId="3CCD0104" w14:textId="77777777" w:rsidR="008C3ABF" w:rsidRPr="003C5D86" w:rsidRDefault="000D3B50" w:rsidP="008D2699">
      <w:pPr>
        <w:pStyle w:val="NoSpacing"/>
        <w:spacing w:line="360" w:lineRule="auto"/>
        <w:jc w:val="both"/>
        <w:rPr>
          <w:rFonts w:cs="Arial"/>
          <w:bCs/>
          <w:color w:val="000000" w:themeColor="text1"/>
          <w:shd w:val="clear" w:color="auto" w:fill="FFFFFF"/>
        </w:rPr>
      </w:pPr>
    </w:p>
    <w:p w14:paraId="1FACCCFF" w14:textId="5BD84623" w:rsidR="008C3ABF" w:rsidRDefault="00455F97" w:rsidP="008C3ABF">
      <w:pPr>
        <w:pStyle w:val="NoSpacing"/>
        <w:spacing w:line="360" w:lineRule="auto"/>
        <w:jc w:val="both"/>
      </w:pPr>
      <w:r>
        <w:t xml:space="preserve">CR in the UK </w:t>
      </w:r>
      <w:r w:rsidR="00056BC3">
        <w:t xml:space="preserve">is </w:t>
      </w:r>
      <w:r>
        <w:t>defined by the BACPR core components, which states that patients broader than typical patients with CVD should be attending rehabilitation,</w:t>
      </w:r>
      <w:r w:rsidR="00980B54">
        <w:t xml:space="preserve"> spec</w:t>
      </w:r>
      <w:r w:rsidR="002B78F0">
        <w:t>ifically mentioning PWD</w:t>
      </w:r>
      <w:proofErr w:type="gramStart"/>
      <w:r w:rsidR="002B78F0">
        <w:t>.(</w:t>
      </w:r>
      <w:proofErr w:type="gramEnd"/>
      <w:r w:rsidR="002B78F0">
        <w:t>13</w:t>
      </w:r>
      <w:r>
        <w:t xml:space="preserve">) The risk factor management involved in CR is shared with those in diabetes, such as Blood pressure management, weight control, physical activity/capacity and healthy diets. </w:t>
      </w:r>
    </w:p>
    <w:p w14:paraId="4341249C" w14:textId="77777777" w:rsidR="00D54963" w:rsidRDefault="000D3B50" w:rsidP="008D2699">
      <w:pPr>
        <w:pStyle w:val="NoSpacing"/>
        <w:spacing w:line="360" w:lineRule="auto"/>
        <w:jc w:val="both"/>
        <w:rPr>
          <w:rFonts w:eastAsia="Knockout-50Welterweight" w:cs="MyriadPro-Regular"/>
        </w:rPr>
      </w:pPr>
    </w:p>
    <w:p w14:paraId="35264393" w14:textId="49AFF623" w:rsidR="005B301B" w:rsidRDefault="00455F97" w:rsidP="008D2699">
      <w:pPr>
        <w:pStyle w:val="NoSpacing"/>
        <w:spacing w:line="360" w:lineRule="auto"/>
        <w:jc w:val="both"/>
      </w:pPr>
      <w:proofErr w:type="spellStart"/>
      <w:r w:rsidRPr="008503FE">
        <w:rPr>
          <w:rFonts w:eastAsia="Knockout-50Welterweight" w:cs="MyriadPro-Regular"/>
        </w:rPr>
        <w:t>Dunlay</w:t>
      </w:r>
      <w:proofErr w:type="spellEnd"/>
      <w:r w:rsidRPr="008503FE">
        <w:rPr>
          <w:rFonts w:eastAsia="Knockout-50Welterweight" w:cs="MyriadPro-Regular"/>
        </w:rPr>
        <w:t xml:space="preserve"> et </w:t>
      </w:r>
      <w:proofErr w:type="spellStart"/>
      <w:r w:rsidRPr="008503FE">
        <w:rPr>
          <w:rFonts w:eastAsia="Knockout-50Welterweight" w:cs="MyriadPro-Regular"/>
        </w:rPr>
        <w:t>al’s</w:t>
      </w:r>
      <w:proofErr w:type="spellEnd"/>
      <w:r w:rsidRPr="008503FE">
        <w:rPr>
          <w:rFonts w:eastAsia="Knockout-50Welterweight" w:cs="MyriadPro-Regular"/>
        </w:rPr>
        <w:t xml:space="preserve"> 2009 study looked at patients with MI that were taken up to CR in the US; they also </w:t>
      </w:r>
      <w:r>
        <w:rPr>
          <w:rFonts w:eastAsia="Knockout-50Welterweight" w:cs="MyriadPro-Regular"/>
        </w:rPr>
        <w:t>considered</w:t>
      </w:r>
      <w:r w:rsidRPr="008503FE">
        <w:rPr>
          <w:rFonts w:eastAsia="Knockout-50Welterweight" w:cs="MyriadPro-Regular"/>
        </w:rPr>
        <w:t xml:space="preserve"> whether patient’s </w:t>
      </w:r>
      <w:r w:rsidRPr="003C5D86">
        <w:t>comorbidities affected their uptake</w:t>
      </w:r>
      <w:proofErr w:type="gramStart"/>
      <w:r w:rsidRPr="003C5D86">
        <w:t>.(</w:t>
      </w:r>
      <w:proofErr w:type="gramEnd"/>
      <w:r>
        <w:t>7</w:t>
      </w:r>
      <w:r w:rsidRPr="003C5D86">
        <w:t>) The</w:t>
      </w:r>
      <w:r w:rsidR="002B78F0">
        <w:t xml:space="preserve"> study population had 23.5% PWD, which</w:t>
      </w:r>
      <w:r w:rsidRPr="003C5D86">
        <w:t xml:space="preserve"> were less likely to take part in CR than PW (OR 2.50). This study is supported in their conclusions by additional work by </w:t>
      </w:r>
      <w:proofErr w:type="spellStart"/>
      <w:r w:rsidRPr="003C5D86">
        <w:t>Motivala</w:t>
      </w:r>
      <w:proofErr w:type="spellEnd"/>
      <w:r w:rsidRPr="003C5D86">
        <w:t xml:space="preserve"> et al</w:t>
      </w:r>
      <w:r w:rsidR="002B78F0">
        <w:t xml:space="preserve">. This study </w:t>
      </w:r>
      <w:r w:rsidRPr="003C5D86">
        <w:t>concluded that high-risk patients, wh</w:t>
      </w:r>
      <w:r>
        <w:t xml:space="preserve">ich </w:t>
      </w:r>
      <w:r w:rsidRPr="003C5D86">
        <w:t>included diabetes as a demographic, were less likely to receive a variety of CVD interventions/treatments such as Aspirin, beta-blockers and CR. (</w:t>
      </w:r>
      <w:r w:rsidR="0089609C">
        <w:t>14</w:t>
      </w:r>
      <w:r w:rsidRPr="003C5D86">
        <w:t xml:space="preserve">) </w:t>
      </w:r>
      <w:proofErr w:type="gramStart"/>
      <w:r w:rsidRPr="003C5D86">
        <w:t>These</w:t>
      </w:r>
      <w:proofErr w:type="gramEnd"/>
      <w:r w:rsidRPr="003C5D86">
        <w:t xml:space="preserve"> studies were in the USA, </w:t>
      </w:r>
      <w:r w:rsidRPr="003C5D86">
        <w:lastRenderedPageBreak/>
        <w:t>and either contained</w:t>
      </w:r>
      <w:r>
        <w:t xml:space="preserve"> a relatively small sample or w</w:t>
      </w:r>
      <w:r w:rsidRPr="003C5D86">
        <w:t>ere looking at over</w:t>
      </w:r>
      <w:r>
        <w:t>all</w:t>
      </w:r>
      <w:r w:rsidRPr="003C5D86">
        <w:t xml:space="preserve"> risk rather than </w:t>
      </w:r>
      <w:r w:rsidR="00871ECF" w:rsidRPr="003C5D86">
        <w:t>patient’s</w:t>
      </w:r>
      <w:r w:rsidRPr="003C5D86">
        <w:t xml:space="preserve"> diabet</w:t>
      </w:r>
      <w:r>
        <w:t>es</w:t>
      </w:r>
      <w:r w:rsidRPr="003C5D86">
        <w:t xml:space="preserve"> status specifically. </w:t>
      </w:r>
    </w:p>
    <w:p w14:paraId="17FB1C25" w14:textId="77777777" w:rsidR="005B301B" w:rsidRDefault="000D3B50" w:rsidP="008D2699">
      <w:pPr>
        <w:pStyle w:val="NoSpacing"/>
        <w:spacing w:line="360" w:lineRule="auto"/>
        <w:jc w:val="both"/>
      </w:pPr>
    </w:p>
    <w:p w14:paraId="177384B2" w14:textId="10B87E72" w:rsidR="00CC0A40" w:rsidRPr="008503FE" w:rsidRDefault="00455F97" w:rsidP="008D2699">
      <w:pPr>
        <w:pStyle w:val="NoSpacing"/>
        <w:spacing w:line="360" w:lineRule="auto"/>
        <w:jc w:val="both"/>
        <w:rPr>
          <w:rFonts w:eastAsia="Knockout-50Welterweight" w:cs="MyriadPro-Regular"/>
        </w:rPr>
      </w:pPr>
      <w:r w:rsidRPr="003C5D86">
        <w:t>This</w:t>
      </w:r>
      <w:r>
        <w:rPr>
          <w:rFonts w:eastAsia="Knockout-50Welterweight" w:cs="MyriadPro-Regular"/>
        </w:rPr>
        <w:t xml:space="preserve"> aim of this current study is to, using routinely collected audit and Hospital Episode Statistic (HES) data, identify differences in uptake of patients with and without diabetes. Additionally, the study will </w:t>
      </w:r>
      <w:r w:rsidR="00423702">
        <w:rPr>
          <w:rFonts w:eastAsia="Knockout-50Welterweight" w:cs="MyriadPro-Regular"/>
        </w:rPr>
        <w:t>consider sub</w:t>
      </w:r>
      <w:r>
        <w:rPr>
          <w:rFonts w:eastAsia="Knockout-50Welterweight" w:cs="MyriadPro-Regular"/>
        </w:rPr>
        <w:t xml:space="preserve"> groups of the eligible population to identify if there are differing uptakes levels of PWD across age groups, cardiovascular diagnosis/treatment and gender.</w:t>
      </w:r>
    </w:p>
    <w:p w14:paraId="45B65E8E" w14:textId="77777777" w:rsidR="00EC4CE8" w:rsidRPr="00EC4CE8" w:rsidRDefault="000D3B50" w:rsidP="008D2699">
      <w:pPr>
        <w:pStyle w:val="NoSpacing"/>
        <w:spacing w:line="360" w:lineRule="auto"/>
        <w:rPr>
          <w:sz w:val="20"/>
          <w:szCs w:val="20"/>
          <w:lang w:eastAsia="en-GB"/>
        </w:rPr>
      </w:pPr>
    </w:p>
    <w:p w14:paraId="005648C7" w14:textId="77777777" w:rsidR="002D4538" w:rsidRDefault="00455F97" w:rsidP="00F56973">
      <w:pPr>
        <w:pStyle w:val="Heading2"/>
        <w:spacing w:line="240" w:lineRule="auto"/>
        <w:rPr>
          <w:color w:val="auto"/>
          <w:u w:val="single"/>
        </w:rPr>
      </w:pPr>
      <w:r>
        <w:rPr>
          <w:color w:val="auto"/>
          <w:u w:val="single"/>
        </w:rPr>
        <w:br w:type="page"/>
      </w:r>
    </w:p>
    <w:p w14:paraId="0932AFF2" w14:textId="77777777" w:rsidR="00F56973" w:rsidRDefault="00455F97" w:rsidP="00F56973">
      <w:pPr>
        <w:pStyle w:val="Heading2"/>
        <w:spacing w:line="240" w:lineRule="auto"/>
        <w:rPr>
          <w:color w:val="auto"/>
          <w:u w:val="single"/>
        </w:rPr>
      </w:pPr>
      <w:r w:rsidRPr="00F56973">
        <w:rPr>
          <w:color w:val="auto"/>
          <w:u w:val="single"/>
        </w:rPr>
        <w:t>Methods</w:t>
      </w:r>
    </w:p>
    <w:p w14:paraId="78948C7C" w14:textId="77777777" w:rsidR="00F56973" w:rsidRDefault="000D3B50" w:rsidP="00F56973">
      <w:pPr>
        <w:spacing w:line="240" w:lineRule="auto"/>
        <w:jc w:val="both"/>
      </w:pPr>
    </w:p>
    <w:p w14:paraId="75DE7AC1" w14:textId="06AAA264" w:rsidR="00F56973" w:rsidRPr="008503FE" w:rsidRDefault="00455F97" w:rsidP="00B86C34">
      <w:pPr>
        <w:spacing w:line="360" w:lineRule="auto"/>
        <w:jc w:val="both"/>
      </w:pPr>
      <w:r w:rsidRPr="008503FE">
        <w:t>This study was reported according to the Strengthening the Reporting of Observational Studies in Epid</w:t>
      </w:r>
      <w:r>
        <w:t>e</w:t>
      </w:r>
      <w:r w:rsidR="0089609C">
        <w:t>miology (STROBE) guidelines. (15</w:t>
      </w:r>
      <w:r w:rsidRPr="008503FE">
        <w:t>)</w:t>
      </w:r>
    </w:p>
    <w:p w14:paraId="731829A2" w14:textId="77777777" w:rsidR="001654C3" w:rsidRPr="00AA29D3" w:rsidRDefault="00455F97" w:rsidP="00005453">
      <w:pPr>
        <w:pStyle w:val="Heading3"/>
        <w:rPr>
          <w:i/>
          <w:color w:val="auto"/>
        </w:rPr>
      </w:pPr>
      <w:r w:rsidRPr="00AA29D3">
        <w:rPr>
          <w:i/>
          <w:color w:val="auto"/>
        </w:rPr>
        <w:t>Data</w:t>
      </w:r>
    </w:p>
    <w:p w14:paraId="01021EDF" w14:textId="77777777" w:rsidR="002E6AF3" w:rsidRDefault="000D3B50" w:rsidP="002E6AF3">
      <w:pPr>
        <w:pStyle w:val="NoSpacing"/>
        <w:spacing w:line="276" w:lineRule="auto"/>
        <w:jc w:val="both"/>
        <w:rPr>
          <w:rFonts w:eastAsia="Calibri" w:cs="Calibri"/>
        </w:rPr>
      </w:pPr>
    </w:p>
    <w:p w14:paraId="4966FD98" w14:textId="7A9CAEB3" w:rsidR="009F39C4" w:rsidRPr="008503FE" w:rsidRDefault="00455F97" w:rsidP="00B86C34">
      <w:pPr>
        <w:pStyle w:val="NoSpacing"/>
        <w:spacing w:line="360" w:lineRule="auto"/>
        <w:jc w:val="both"/>
      </w:pPr>
      <w:r w:rsidRPr="008503FE">
        <w:t>The analyses us</w:t>
      </w:r>
      <w:r w:rsidR="00056BC3">
        <w:t>ed</w:t>
      </w:r>
      <w:r w:rsidRPr="008503FE">
        <w:t xml:space="preserve"> routinely collected patient-level data from the UK NACR and the eligible CR population in Hospital Episode Statistics (HES) database from 1</w:t>
      </w:r>
      <w:r w:rsidRPr="008503FE">
        <w:rPr>
          <w:vertAlign w:val="superscript"/>
        </w:rPr>
        <w:t>st</w:t>
      </w:r>
      <w:r w:rsidRPr="008503FE">
        <w:t xml:space="preserve"> April 2014 to 31</w:t>
      </w:r>
      <w:r w:rsidRPr="008503FE">
        <w:rPr>
          <w:vertAlign w:val="superscript"/>
        </w:rPr>
        <w:t>st</w:t>
      </w:r>
      <w:r w:rsidRPr="008503FE">
        <w:t xml:space="preserve"> March 2015. The two data sets are routinely </w:t>
      </w:r>
      <w:r w:rsidR="00056BC3" w:rsidRPr="008503FE">
        <w:t xml:space="preserve">used </w:t>
      </w:r>
      <w:r w:rsidRPr="008503FE">
        <w:t xml:space="preserve">each year to help produce the </w:t>
      </w:r>
      <w:r>
        <w:t xml:space="preserve">NACR </w:t>
      </w:r>
      <w:r w:rsidRPr="008503FE">
        <w:t xml:space="preserve">Annual Report. </w:t>
      </w:r>
    </w:p>
    <w:p w14:paraId="0F1B8CFC" w14:textId="77777777" w:rsidR="009F39C4" w:rsidRPr="008503FE" w:rsidRDefault="000D3B50" w:rsidP="00B86C34">
      <w:pPr>
        <w:pStyle w:val="NoSpacing"/>
        <w:spacing w:line="360" w:lineRule="auto"/>
        <w:jc w:val="both"/>
      </w:pPr>
    </w:p>
    <w:p w14:paraId="2EFC598B" w14:textId="67E70FAC" w:rsidR="009F39C4" w:rsidRPr="008503FE" w:rsidRDefault="00455F97" w:rsidP="00B86C34">
      <w:pPr>
        <w:spacing w:line="360" w:lineRule="auto"/>
        <w:jc w:val="both"/>
        <w:rPr>
          <w:rFonts w:eastAsia="Calibri" w:cs="Calibri"/>
        </w:rPr>
      </w:pPr>
      <w:r w:rsidRPr="008503FE">
        <w:rPr>
          <w:rFonts w:eastAsia="Calibri" w:cs="Calibri"/>
        </w:rPr>
        <w:t xml:space="preserve">The HES data is </w:t>
      </w:r>
      <w:r w:rsidR="00056BC3">
        <w:rPr>
          <w:rFonts w:eastAsia="Calibri" w:cs="Calibri"/>
        </w:rPr>
        <w:t>processed</w:t>
      </w:r>
      <w:r w:rsidR="00056BC3" w:rsidRPr="008503FE">
        <w:rPr>
          <w:rFonts w:eastAsia="Calibri" w:cs="Calibri"/>
        </w:rPr>
        <w:t xml:space="preserve"> </w:t>
      </w:r>
      <w:r w:rsidRPr="008503FE">
        <w:rPr>
          <w:rFonts w:eastAsia="Calibri" w:cs="Calibri"/>
        </w:rPr>
        <w:t>annually to calculate the eligible population for CR, and thus uptake across four main diagnosis/treatment groups, which for the first time has reached 50% in total.</w:t>
      </w:r>
      <w:r>
        <w:rPr>
          <w:rFonts w:eastAsia="Calibri" w:cs="Calibri"/>
        </w:rPr>
        <w:t>(3)</w:t>
      </w:r>
      <w:r w:rsidRPr="008503FE">
        <w:rPr>
          <w:rFonts w:eastAsia="Calibri" w:cs="Calibri"/>
        </w:rPr>
        <w:t xml:space="preserve"> The data also records patient’s comorbidities</w:t>
      </w:r>
      <w:r>
        <w:rPr>
          <w:rFonts w:eastAsia="Calibri" w:cs="Calibri"/>
        </w:rPr>
        <w:t xml:space="preserve"> and other conditions, such as d</w:t>
      </w:r>
      <w:r w:rsidRPr="008503FE">
        <w:rPr>
          <w:rFonts w:eastAsia="Calibri" w:cs="Calibri"/>
        </w:rPr>
        <w:t>iabetes. The data was coded to identify PWD and PW within the eligible population.</w:t>
      </w:r>
      <w:r>
        <w:rPr>
          <w:rFonts w:eastAsia="Calibri" w:cs="Calibri"/>
        </w:rPr>
        <w:t xml:space="preserve"> Patients were identified as eligible if they had one of the included Diagnosis/Treatment codes and were discharged from hospital alive. </w:t>
      </w:r>
    </w:p>
    <w:p w14:paraId="2203F39A" w14:textId="2651230F" w:rsidR="009F39C4" w:rsidRPr="00415CEF" w:rsidRDefault="00455F97" w:rsidP="00B86C34">
      <w:pPr>
        <w:pStyle w:val="NoSpacing"/>
        <w:spacing w:line="360" w:lineRule="auto"/>
        <w:jc w:val="both"/>
        <w:rPr>
          <w:rFonts w:eastAsia="Calibri" w:cs="Calibri"/>
        </w:rPr>
      </w:pPr>
      <w:r w:rsidRPr="008503FE">
        <w:t>The NACR data contains information on patient’s initiating event, treatment, individual risk factors, medication use, characteristics and outcomes</w:t>
      </w:r>
      <w:r w:rsidR="002B78F0">
        <w:t xml:space="preserve"> post rehab</w:t>
      </w:r>
      <w:r w:rsidRPr="008503FE">
        <w:t xml:space="preserve">.  Data is collected under 251 approval, which is reviewed annually by </w:t>
      </w:r>
      <w:r w:rsidRPr="008503FE">
        <w:rPr>
          <w:spacing w:val="1"/>
        </w:rPr>
        <w:t>NHS Digital</w:t>
      </w:r>
      <w:r w:rsidRPr="008503FE">
        <w:t xml:space="preserve">. </w:t>
      </w:r>
      <w:r w:rsidRPr="008503FE">
        <w:rPr>
          <w:rFonts w:eastAsia="Calibri" w:cs="Calibri"/>
        </w:rPr>
        <w:t xml:space="preserve">Within the NACR dataset, there are records of patient’s comorbidities. Due to </w:t>
      </w:r>
      <w:r w:rsidR="005D6DD8">
        <w:rPr>
          <w:rFonts w:eastAsia="Calibri" w:cs="Calibri"/>
        </w:rPr>
        <w:t xml:space="preserve">the </w:t>
      </w:r>
      <w:r w:rsidRPr="008503FE">
        <w:rPr>
          <w:rFonts w:eastAsia="Calibri" w:cs="Calibri"/>
        </w:rPr>
        <w:t>coding</w:t>
      </w:r>
      <w:r w:rsidR="005D6DD8">
        <w:rPr>
          <w:rFonts w:eastAsia="Calibri" w:cs="Calibri"/>
        </w:rPr>
        <w:t xml:space="preserve"> of the NACR</w:t>
      </w:r>
      <w:r w:rsidRPr="008503FE">
        <w:rPr>
          <w:rFonts w:eastAsia="Calibri" w:cs="Calibri"/>
        </w:rPr>
        <w:t xml:space="preserve">, </w:t>
      </w:r>
      <w:r w:rsidR="005D6DD8">
        <w:rPr>
          <w:rFonts w:eastAsia="Calibri" w:cs="Calibri"/>
        </w:rPr>
        <w:t>the diabetes status was binary, based on whether the patients had a comorbidity of diabetes or not, it was not possible to split out type 1 or 2</w:t>
      </w:r>
      <w:r w:rsidRPr="008503FE">
        <w:rPr>
          <w:rFonts w:eastAsia="Calibri" w:cs="Calibri"/>
        </w:rPr>
        <w:t xml:space="preserve">. Patients were coded according to their initiating event/treatment from the HES data, along with whether or not they had diabetes. Patients were classified as being taken up to CR, if they were entered in the NACR data and had a valid start date of CR within dates </w:t>
      </w:r>
      <w:r w:rsidRPr="008503FE">
        <w:t>1</w:t>
      </w:r>
      <w:r w:rsidRPr="008503FE">
        <w:rPr>
          <w:vertAlign w:val="superscript"/>
        </w:rPr>
        <w:t>st</w:t>
      </w:r>
      <w:r w:rsidRPr="008503FE">
        <w:t xml:space="preserve"> April 2014 to 31</w:t>
      </w:r>
      <w:r w:rsidRPr="008503FE">
        <w:rPr>
          <w:vertAlign w:val="superscript"/>
        </w:rPr>
        <w:t>st</w:t>
      </w:r>
      <w:r w:rsidRPr="008503FE">
        <w:t xml:space="preserve"> March 2015. </w:t>
      </w:r>
    </w:p>
    <w:p w14:paraId="0CA52713" w14:textId="77777777" w:rsidR="00D74A8E" w:rsidRPr="008503FE" w:rsidRDefault="000D3B50" w:rsidP="00B86C34">
      <w:pPr>
        <w:pStyle w:val="NoSpacing"/>
        <w:spacing w:line="360" w:lineRule="auto"/>
        <w:jc w:val="both"/>
      </w:pPr>
    </w:p>
    <w:p w14:paraId="36D8CC5C" w14:textId="11BACDAB" w:rsidR="00D74A8E" w:rsidRPr="008503FE" w:rsidRDefault="00455F97" w:rsidP="00B86C34">
      <w:pPr>
        <w:pStyle w:val="NoSpacing"/>
        <w:spacing w:line="360" w:lineRule="auto"/>
        <w:jc w:val="both"/>
        <w:rPr>
          <w:rFonts w:eastAsia="Calibri" w:cs="Calibri"/>
        </w:rPr>
      </w:pPr>
      <w:r w:rsidRPr="008503FE">
        <w:rPr>
          <w:rFonts w:eastAsia="Calibri" w:cs="Calibri"/>
        </w:rPr>
        <w:t xml:space="preserve">The two datasets will be used to compare demographics across the two </w:t>
      </w:r>
      <w:r w:rsidR="00056BC3" w:rsidRPr="008503FE">
        <w:rPr>
          <w:rFonts w:eastAsia="Calibri" w:cs="Calibri"/>
        </w:rPr>
        <w:t>groups, which</w:t>
      </w:r>
      <w:r w:rsidRPr="008503FE">
        <w:rPr>
          <w:rFonts w:eastAsia="Calibri" w:cs="Calibri"/>
        </w:rPr>
        <w:t xml:space="preserve"> will identify if there are barriers to entry for PWD in CR. The demographics will include patient’s di</w:t>
      </w:r>
      <w:r>
        <w:rPr>
          <w:rFonts w:eastAsia="Calibri" w:cs="Calibri"/>
        </w:rPr>
        <w:t>agnosis/treatment along with</w:t>
      </w:r>
      <w:r w:rsidRPr="008503FE">
        <w:rPr>
          <w:rFonts w:eastAsia="Calibri" w:cs="Calibri"/>
        </w:rPr>
        <w:t xml:space="preserve"> Age</w:t>
      </w:r>
      <w:r>
        <w:rPr>
          <w:rFonts w:eastAsia="Calibri" w:cs="Calibri"/>
        </w:rPr>
        <w:t xml:space="preserve"> groups</w:t>
      </w:r>
      <w:r w:rsidRPr="008503FE">
        <w:rPr>
          <w:rFonts w:eastAsia="Calibri" w:cs="Calibri"/>
        </w:rPr>
        <w:t xml:space="preserve"> and gender, known to be themselves barriers to entry for patients.  </w:t>
      </w:r>
    </w:p>
    <w:p w14:paraId="3624B1B3" w14:textId="77777777" w:rsidR="0074232D" w:rsidRDefault="000D3B50" w:rsidP="00005453">
      <w:pPr>
        <w:jc w:val="both"/>
        <w:rPr>
          <w:rFonts w:eastAsia="Calibri" w:cs="Calibri"/>
        </w:rPr>
      </w:pPr>
    </w:p>
    <w:p w14:paraId="38C1F66C" w14:textId="77777777" w:rsidR="0074232D" w:rsidRPr="00636108" w:rsidRDefault="00455F97" w:rsidP="0074232D">
      <w:pPr>
        <w:pStyle w:val="Heading3"/>
        <w:spacing w:line="480" w:lineRule="auto"/>
        <w:rPr>
          <w:i/>
          <w:color w:val="auto"/>
        </w:rPr>
      </w:pPr>
      <w:r w:rsidRPr="00636108">
        <w:rPr>
          <w:i/>
          <w:color w:val="auto"/>
        </w:rPr>
        <w:t>Statistical Analysis</w:t>
      </w:r>
    </w:p>
    <w:p w14:paraId="04175146" w14:textId="23210435" w:rsidR="0074232D" w:rsidRPr="008503FE" w:rsidRDefault="00455F97" w:rsidP="00D23AAF">
      <w:pPr>
        <w:pStyle w:val="NoSpacing"/>
        <w:spacing w:line="360" w:lineRule="auto"/>
        <w:jc w:val="both"/>
      </w:pPr>
      <w:r w:rsidRPr="008503FE">
        <w:t xml:space="preserve">The analyses were conducted using </w:t>
      </w:r>
      <w:r>
        <w:t>Stata 14</w:t>
      </w:r>
      <w:r w:rsidRPr="008503FE">
        <w:t>.</w:t>
      </w:r>
      <w:r>
        <w:t xml:space="preserve"> The probability of a patient being taken up to CR was assessed using one sample test of proportion</w:t>
      </w:r>
      <w:r w:rsidRPr="008503FE">
        <w:t xml:space="preserve">. </w:t>
      </w:r>
      <w:r>
        <w:t xml:space="preserve">The z-score was set at -1.96 to 1.96 as the parameter for accepting differences between our test population and eligible proportion, statistical significance is set at p&lt;0.05. </w:t>
      </w:r>
      <w:r w:rsidRPr="008503FE">
        <w:t xml:space="preserve">The proportion of PWD to PW </w:t>
      </w:r>
      <w:r>
        <w:t xml:space="preserve">in each data set would remain constant if there were no barriers to entry for either group. The </w:t>
      </w:r>
      <w:r w:rsidR="00D23AAF">
        <w:t>four main diagnosis/treatment groups reported in the uptake calculation annually along with gender and age groups were used to split the eligible population for the analysis. T</w:t>
      </w:r>
      <w:r>
        <w:t>he age groups were generated from the age at which the patient's event occurred. The age groups were cho</w:t>
      </w:r>
      <w:r w:rsidR="00B74BE7">
        <w:t>sen to split younger (&lt;40 years</w:t>
      </w:r>
      <w:r>
        <w:t>)</w:t>
      </w:r>
      <w:r w:rsidR="00B74BE7">
        <w:t xml:space="preserve"> </w:t>
      </w:r>
      <w:r>
        <w:t xml:space="preserve">and older patients (80+), along with the large middle-aged group (41-60 and 61-80) as defined in the Cochrane review of CR which is 49-70 years. (8) </w:t>
      </w:r>
    </w:p>
    <w:p w14:paraId="0D959B36" w14:textId="77777777" w:rsidR="0094580C" w:rsidRDefault="000D3B50" w:rsidP="00DB6294">
      <w:pPr>
        <w:pStyle w:val="NoSpacing"/>
        <w:rPr>
          <w:u w:val="single"/>
        </w:rPr>
      </w:pPr>
    </w:p>
    <w:p w14:paraId="3F70239C" w14:textId="77777777" w:rsidR="00F56973" w:rsidRPr="00DB6294" w:rsidRDefault="00455F97" w:rsidP="00DB6294">
      <w:pPr>
        <w:pStyle w:val="Heading2"/>
        <w:rPr>
          <w:color w:val="auto"/>
          <w:u w:val="single"/>
        </w:rPr>
      </w:pPr>
      <w:r w:rsidRPr="00DB6294">
        <w:rPr>
          <w:color w:val="auto"/>
          <w:u w:val="single"/>
        </w:rPr>
        <w:t>Results</w:t>
      </w:r>
    </w:p>
    <w:p w14:paraId="4C12EBF7" w14:textId="77777777" w:rsidR="003475A8" w:rsidRDefault="000D3B50" w:rsidP="003475A8">
      <w:pPr>
        <w:pStyle w:val="NoSpacing"/>
        <w:rPr>
          <w:sz w:val="18"/>
          <w:szCs w:val="18"/>
        </w:rPr>
      </w:pPr>
    </w:p>
    <w:p w14:paraId="3FF2B429" w14:textId="2087A1EC" w:rsidR="00FA2F98" w:rsidRDefault="00455F97" w:rsidP="00B86C34">
      <w:pPr>
        <w:pStyle w:val="NoSpacing"/>
        <w:spacing w:line="360" w:lineRule="auto"/>
        <w:jc w:val="both"/>
      </w:pPr>
      <w:r w:rsidRPr="008503FE">
        <w:t>This study</w:t>
      </w:r>
      <w:r>
        <w:t xml:space="preserve"> population, shown in </w:t>
      </w:r>
      <w:r w:rsidRPr="00377953">
        <w:rPr>
          <w:b/>
        </w:rPr>
        <w:t>Table 1</w:t>
      </w:r>
      <w:r>
        <w:t>,</w:t>
      </w:r>
      <w:r w:rsidRPr="008503FE">
        <w:t xml:space="preserve"> included 121,002</w:t>
      </w:r>
      <w:r>
        <w:t xml:space="preserve"> patients identified as eligible from the HES data, within this population 26% were PWD. The number of patients that started CR and were entered into the NACR was 32,663 total patients, of which 14% had a comorbidity of diabetes. In the four diagnosis/treatment groups, the proportion of PWD is similar, with CABG having the highest percentage in both eligible and receiving populations. The lowest proportion of PWD was in the eligible MI/PCI </w:t>
      </w:r>
      <w:r w:rsidR="00D23AAF">
        <w:t>group, which</w:t>
      </w:r>
      <w:r>
        <w:t xml:space="preserve"> transferred to the receiving population also. </w:t>
      </w:r>
      <w:r w:rsidR="00FA2F98">
        <w:t xml:space="preserve">Across the four age groups, the proportion of PWD increase from &lt;40 to 41-60 by 13% then to 61-80 by 4%, however, in the 80+ group </w:t>
      </w:r>
      <w:r w:rsidR="00B17D80">
        <w:t>there was less eligible PWD than either 41-60 or 61-80.</w:t>
      </w:r>
      <w:r w:rsidR="00FA2F98">
        <w:t>.</w:t>
      </w:r>
    </w:p>
    <w:p w14:paraId="2A58EE7E" w14:textId="77777777" w:rsidR="009179C2" w:rsidRDefault="000D3B50" w:rsidP="0029580D">
      <w:pPr>
        <w:pStyle w:val="NoSpacing"/>
        <w:spacing w:line="276" w:lineRule="auto"/>
        <w:jc w:val="both"/>
      </w:pPr>
    </w:p>
    <w:tbl>
      <w:tblPr>
        <w:tblW w:w="9204" w:type="dxa"/>
        <w:jc w:val="center"/>
        <w:tblLook w:val="04A0" w:firstRow="1" w:lastRow="0" w:firstColumn="1" w:lastColumn="0" w:noHBand="0" w:noVBand="1"/>
      </w:tblPr>
      <w:tblGrid>
        <w:gridCol w:w="1249"/>
        <w:gridCol w:w="1257"/>
        <w:gridCol w:w="1737"/>
        <w:gridCol w:w="1701"/>
        <w:gridCol w:w="1701"/>
        <w:gridCol w:w="1559"/>
      </w:tblGrid>
      <w:tr w:rsidR="00E23724" w14:paraId="23835664" w14:textId="77777777" w:rsidTr="008D2699">
        <w:trPr>
          <w:trHeight w:val="320"/>
          <w:jc w:val="center"/>
        </w:trPr>
        <w:tc>
          <w:tcPr>
            <w:tcW w:w="9204" w:type="dxa"/>
            <w:gridSpan w:val="6"/>
            <w:tcBorders>
              <w:bottom w:val="single" w:sz="8" w:space="0" w:color="auto"/>
            </w:tcBorders>
            <w:shd w:val="clear" w:color="auto" w:fill="auto"/>
            <w:noWrap/>
            <w:vAlign w:val="center"/>
          </w:tcPr>
          <w:p w14:paraId="30C227F3" w14:textId="5414367E" w:rsidR="008D2699" w:rsidRPr="008D2699" w:rsidRDefault="00455F97" w:rsidP="005B12D1">
            <w:pPr>
              <w:spacing w:after="0" w:line="240" w:lineRule="auto"/>
              <w:jc w:val="center"/>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 xml:space="preserve">Table 1 </w:t>
            </w:r>
            <w:r>
              <w:rPr>
                <w:rFonts w:ascii="Calibri" w:eastAsia="Times New Roman" w:hAnsi="Calibri" w:cs="Times New Roman"/>
                <w:bCs/>
                <w:color w:val="000000"/>
                <w:sz w:val="18"/>
                <w:szCs w:val="18"/>
                <w:lang w:eastAsia="en-GB"/>
              </w:rPr>
              <w:t>T</w:t>
            </w:r>
            <w:r w:rsidRPr="005B12D1">
              <w:rPr>
                <w:rFonts w:ascii="Calibri" w:eastAsia="Times New Roman" w:hAnsi="Calibri" w:cs="Times New Roman"/>
                <w:bCs/>
                <w:color w:val="000000"/>
                <w:sz w:val="18"/>
                <w:szCs w:val="18"/>
                <w:lang w:eastAsia="en-GB"/>
              </w:rPr>
              <w:t xml:space="preserve">he proportions of PW </w:t>
            </w:r>
            <w:r>
              <w:rPr>
                <w:rFonts w:ascii="Calibri" w:eastAsia="Times New Roman" w:hAnsi="Calibri" w:cs="Times New Roman"/>
                <w:bCs/>
                <w:color w:val="000000"/>
                <w:sz w:val="18"/>
                <w:szCs w:val="18"/>
                <w:lang w:eastAsia="en-GB"/>
              </w:rPr>
              <w:t>/</w:t>
            </w:r>
            <w:r w:rsidRPr="005B12D1">
              <w:rPr>
                <w:rFonts w:ascii="Calibri" w:eastAsia="Times New Roman" w:hAnsi="Calibri" w:cs="Times New Roman"/>
                <w:bCs/>
                <w:color w:val="000000"/>
                <w:sz w:val="18"/>
                <w:szCs w:val="18"/>
                <w:lang w:eastAsia="en-GB"/>
              </w:rPr>
              <w:t>PWD in the eligible and starting CR groups, split by Diagnosis/treatment, gender and age</w:t>
            </w:r>
          </w:p>
        </w:tc>
      </w:tr>
      <w:tr w:rsidR="00E23724" w14:paraId="73E87446" w14:textId="77777777" w:rsidTr="005B12D1">
        <w:trPr>
          <w:trHeight w:val="165"/>
          <w:jc w:val="center"/>
        </w:trPr>
        <w:tc>
          <w:tcPr>
            <w:tcW w:w="2506" w:type="dxa"/>
            <w:gridSpan w:val="2"/>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00960E41"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 </w:t>
            </w:r>
          </w:p>
        </w:tc>
        <w:tc>
          <w:tcPr>
            <w:tcW w:w="6698" w:type="dxa"/>
            <w:gridSpan w:val="4"/>
            <w:tcBorders>
              <w:top w:val="single" w:sz="8" w:space="0" w:color="auto"/>
              <w:left w:val="nil"/>
              <w:bottom w:val="single" w:sz="8" w:space="0" w:color="auto"/>
              <w:right w:val="single" w:sz="8" w:space="0" w:color="auto"/>
            </w:tcBorders>
            <w:shd w:val="clear" w:color="000000" w:fill="BFBFBF"/>
            <w:noWrap/>
            <w:vAlign w:val="center"/>
            <w:hideMark/>
          </w:tcPr>
          <w:p w14:paraId="17AD7183"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Dataset</w:t>
            </w:r>
          </w:p>
        </w:tc>
      </w:tr>
      <w:tr w:rsidR="00E23724" w14:paraId="4D795A34" w14:textId="77777777" w:rsidTr="005B12D1">
        <w:trPr>
          <w:trHeight w:val="211"/>
          <w:jc w:val="center"/>
        </w:trPr>
        <w:tc>
          <w:tcPr>
            <w:tcW w:w="2506" w:type="dxa"/>
            <w:gridSpan w:val="2"/>
            <w:vMerge/>
            <w:tcBorders>
              <w:top w:val="single" w:sz="8" w:space="0" w:color="auto"/>
              <w:left w:val="single" w:sz="8" w:space="0" w:color="auto"/>
              <w:bottom w:val="single" w:sz="8" w:space="0" w:color="auto"/>
              <w:right w:val="single" w:sz="8" w:space="0" w:color="auto"/>
            </w:tcBorders>
            <w:vAlign w:val="center"/>
            <w:hideMark/>
          </w:tcPr>
          <w:p w14:paraId="37C183EC" w14:textId="77777777" w:rsidR="008D2699" w:rsidRPr="008D2699" w:rsidRDefault="000D3B50" w:rsidP="008D2699">
            <w:pPr>
              <w:spacing w:after="0" w:line="240" w:lineRule="auto"/>
              <w:rPr>
                <w:rFonts w:ascii="Calibri" w:eastAsia="Times New Roman" w:hAnsi="Calibri" w:cs="Times New Roman"/>
                <w:b/>
                <w:bCs/>
                <w:color w:val="000000"/>
                <w:sz w:val="18"/>
                <w:szCs w:val="18"/>
                <w:lang w:eastAsia="en-GB"/>
              </w:rPr>
            </w:pPr>
          </w:p>
        </w:tc>
        <w:tc>
          <w:tcPr>
            <w:tcW w:w="3438"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15EED8EB"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HES</w:t>
            </w:r>
          </w:p>
        </w:tc>
        <w:tc>
          <w:tcPr>
            <w:tcW w:w="3260"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07045D3B"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NACR</w:t>
            </w:r>
          </w:p>
        </w:tc>
      </w:tr>
      <w:tr w:rsidR="00E23724" w14:paraId="4D2F382F" w14:textId="77777777" w:rsidTr="005B12D1">
        <w:trPr>
          <w:trHeight w:val="257"/>
          <w:jc w:val="center"/>
        </w:trPr>
        <w:tc>
          <w:tcPr>
            <w:tcW w:w="2506" w:type="dxa"/>
            <w:gridSpan w:val="2"/>
            <w:vMerge/>
            <w:tcBorders>
              <w:top w:val="single" w:sz="8" w:space="0" w:color="auto"/>
              <w:left w:val="single" w:sz="8" w:space="0" w:color="auto"/>
              <w:bottom w:val="single" w:sz="8" w:space="0" w:color="auto"/>
              <w:right w:val="single" w:sz="8" w:space="0" w:color="auto"/>
            </w:tcBorders>
            <w:vAlign w:val="center"/>
            <w:hideMark/>
          </w:tcPr>
          <w:p w14:paraId="43865874" w14:textId="77777777" w:rsidR="008D2699" w:rsidRPr="008D2699" w:rsidRDefault="000D3B50" w:rsidP="008D2699">
            <w:pPr>
              <w:spacing w:after="0" w:line="240" w:lineRule="auto"/>
              <w:rPr>
                <w:rFonts w:ascii="Calibri" w:eastAsia="Times New Roman" w:hAnsi="Calibri" w:cs="Times New Roman"/>
                <w:b/>
                <w:bCs/>
                <w:color w:val="000000"/>
                <w:sz w:val="18"/>
                <w:szCs w:val="18"/>
                <w:lang w:eastAsia="en-GB"/>
              </w:rPr>
            </w:pPr>
          </w:p>
        </w:tc>
        <w:tc>
          <w:tcPr>
            <w:tcW w:w="6698" w:type="dxa"/>
            <w:gridSpan w:val="4"/>
            <w:tcBorders>
              <w:top w:val="single" w:sz="8" w:space="0" w:color="auto"/>
              <w:left w:val="nil"/>
              <w:bottom w:val="single" w:sz="8" w:space="0" w:color="auto"/>
              <w:right w:val="single" w:sz="8" w:space="0" w:color="auto"/>
            </w:tcBorders>
            <w:shd w:val="clear" w:color="000000" w:fill="BFBFBF"/>
            <w:noWrap/>
            <w:vAlign w:val="center"/>
            <w:hideMark/>
          </w:tcPr>
          <w:p w14:paraId="13FC32A2"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Patient's Diabetic Status</w:t>
            </w:r>
          </w:p>
        </w:tc>
      </w:tr>
      <w:tr w:rsidR="00E23724" w14:paraId="3B10BD61" w14:textId="77777777" w:rsidTr="005B12D1">
        <w:trPr>
          <w:trHeight w:val="247"/>
          <w:jc w:val="center"/>
        </w:trPr>
        <w:tc>
          <w:tcPr>
            <w:tcW w:w="2506" w:type="dxa"/>
            <w:gridSpan w:val="2"/>
            <w:vMerge/>
            <w:tcBorders>
              <w:top w:val="single" w:sz="8" w:space="0" w:color="auto"/>
              <w:left w:val="single" w:sz="8" w:space="0" w:color="auto"/>
              <w:bottom w:val="single" w:sz="8" w:space="0" w:color="auto"/>
              <w:right w:val="single" w:sz="8" w:space="0" w:color="auto"/>
            </w:tcBorders>
            <w:vAlign w:val="center"/>
            <w:hideMark/>
          </w:tcPr>
          <w:p w14:paraId="278B39EB" w14:textId="77777777" w:rsidR="008D2699" w:rsidRPr="008D2699" w:rsidRDefault="000D3B50" w:rsidP="008D2699">
            <w:pPr>
              <w:spacing w:after="0" w:line="240" w:lineRule="auto"/>
              <w:rPr>
                <w:rFonts w:ascii="Calibri" w:eastAsia="Times New Roman" w:hAnsi="Calibri" w:cs="Times New Roman"/>
                <w:b/>
                <w:bCs/>
                <w:color w:val="000000"/>
                <w:sz w:val="18"/>
                <w:szCs w:val="18"/>
                <w:lang w:eastAsia="en-GB"/>
              </w:rPr>
            </w:pPr>
          </w:p>
        </w:tc>
        <w:tc>
          <w:tcPr>
            <w:tcW w:w="1737" w:type="dxa"/>
            <w:tcBorders>
              <w:top w:val="nil"/>
              <w:left w:val="nil"/>
              <w:bottom w:val="single" w:sz="8" w:space="0" w:color="auto"/>
              <w:right w:val="single" w:sz="8" w:space="0" w:color="auto"/>
            </w:tcBorders>
            <w:shd w:val="clear" w:color="000000" w:fill="BFBFBF"/>
            <w:noWrap/>
            <w:vAlign w:val="center"/>
            <w:hideMark/>
          </w:tcPr>
          <w:p w14:paraId="2339B3DB"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PWD</w:t>
            </w:r>
          </w:p>
        </w:tc>
        <w:tc>
          <w:tcPr>
            <w:tcW w:w="1701" w:type="dxa"/>
            <w:tcBorders>
              <w:top w:val="nil"/>
              <w:left w:val="nil"/>
              <w:bottom w:val="single" w:sz="8" w:space="0" w:color="auto"/>
              <w:right w:val="single" w:sz="8" w:space="0" w:color="auto"/>
            </w:tcBorders>
            <w:shd w:val="clear" w:color="000000" w:fill="BFBFBF"/>
            <w:noWrap/>
            <w:vAlign w:val="center"/>
            <w:hideMark/>
          </w:tcPr>
          <w:p w14:paraId="77B596F9"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PW</w:t>
            </w:r>
          </w:p>
        </w:tc>
        <w:tc>
          <w:tcPr>
            <w:tcW w:w="1701" w:type="dxa"/>
            <w:tcBorders>
              <w:top w:val="nil"/>
              <w:left w:val="nil"/>
              <w:bottom w:val="single" w:sz="8" w:space="0" w:color="auto"/>
              <w:right w:val="single" w:sz="8" w:space="0" w:color="auto"/>
            </w:tcBorders>
            <w:shd w:val="clear" w:color="000000" w:fill="BFBFBF"/>
            <w:noWrap/>
            <w:vAlign w:val="center"/>
            <w:hideMark/>
          </w:tcPr>
          <w:p w14:paraId="0C6DB410"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PWD</w:t>
            </w:r>
          </w:p>
        </w:tc>
        <w:tc>
          <w:tcPr>
            <w:tcW w:w="1559" w:type="dxa"/>
            <w:tcBorders>
              <w:top w:val="nil"/>
              <w:left w:val="nil"/>
              <w:bottom w:val="single" w:sz="8" w:space="0" w:color="auto"/>
              <w:right w:val="single" w:sz="8" w:space="0" w:color="auto"/>
            </w:tcBorders>
            <w:shd w:val="clear" w:color="000000" w:fill="BFBFBF"/>
            <w:noWrap/>
            <w:vAlign w:val="center"/>
            <w:hideMark/>
          </w:tcPr>
          <w:p w14:paraId="67A188FA"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PW</w:t>
            </w:r>
          </w:p>
        </w:tc>
      </w:tr>
      <w:tr w:rsidR="00E23724" w14:paraId="6C6C6A4B" w14:textId="77777777" w:rsidTr="005B12D1">
        <w:trPr>
          <w:trHeight w:val="123"/>
          <w:jc w:val="center"/>
        </w:trPr>
        <w:tc>
          <w:tcPr>
            <w:tcW w:w="2506"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0C3E14EC"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Total Count (%)</w:t>
            </w:r>
          </w:p>
        </w:tc>
        <w:tc>
          <w:tcPr>
            <w:tcW w:w="1737" w:type="dxa"/>
            <w:tcBorders>
              <w:top w:val="nil"/>
              <w:left w:val="nil"/>
              <w:bottom w:val="single" w:sz="8" w:space="0" w:color="auto"/>
              <w:right w:val="single" w:sz="8" w:space="0" w:color="auto"/>
            </w:tcBorders>
            <w:shd w:val="clear" w:color="auto" w:fill="auto"/>
            <w:noWrap/>
            <w:vAlign w:val="center"/>
            <w:hideMark/>
          </w:tcPr>
          <w:p w14:paraId="44B55DAD"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31865 (26)</w:t>
            </w:r>
          </w:p>
        </w:tc>
        <w:tc>
          <w:tcPr>
            <w:tcW w:w="1701" w:type="dxa"/>
            <w:tcBorders>
              <w:top w:val="nil"/>
              <w:left w:val="nil"/>
              <w:bottom w:val="single" w:sz="8" w:space="0" w:color="auto"/>
              <w:right w:val="single" w:sz="8" w:space="0" w:color="auto"/>
            </w:tcBorders>
            <w:shd w:val="clear" w:color="auto" w:fill="auto"/>
            <w:noWrap/>
            <w:vAlign w:val="center"/>
            <w:hideMark/>
          </w:tcPr>
          <w:p w14:paraId="7CD79BAC"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89137 (74)</w:t>
            </w:r>
          </w:p>
        </w:tc>
        <w:tc>
          <w:tcPr>
            <w:tcW w:w="1701" w:type="dxa"/>
            <w:tcBorders>
              <w:top w:val="nil"/>
              <w:left w:val="nil"/>
              <w:bottom w:val="single" w:sz="8" w:space="0" w:color="auto"/>
              <w:right w:val="single" w:sz="8" w:space="0" w:color="auto"/>
            </w:tcBorders>
            <w:shd w:val="clear" w:color="auto" w:fill="auto"/>
            <w:noWrap/>
            <w:vAlign w:val="center"/>
            <w:hideMark/>
          </w:tcPr>
          <w:p w14:paraId="767C0FEA"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4723 (14)</w:t>
            </w:r>
          </w:p>
        </w:tc>
        <w:tc>
          <w:tcPr>
            <w:tcW w:w="1559" w:type="dxa"/>
            <w:tcBorders>
              <w:top w:val="nil"/>
              <w:left w:val="nil"/>
              <w:bottom w:val="single" w:sz="8" w:space="0" w:color="auto"/>
              <w:right w:val="single" w:sz="8" w:space="0" w:color="auto"/>
            </w:tcBorders>
            <w:shd w:val="clear" w:color="auto" w:fill="auto"/>
            <w:noWrap/>
            <w:vAlign w:val="center"/>
            <w:hideMark/>
          </w:tcPr>
          <w:p w14:paraId="107B7CB8"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27940 (86)</w:t>
            </w:r>
          </w:p>
        </w:tc>
      </w:tr>
      <w:tr w:rsidR="00E23724" w14:paraId="4915926B" w14:textId="77777777" w:rsidTr="005B12D1">
        <w:trPr>
          <w:trHeight w:val="169"/>
          <w:jc w:val="center"/>
        </w:trPr>
        <w:tc>
          <w:tcPr>
            <w:tcW w:w="2506"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636BC14"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MI Count (%)</w:t>
            </w:r>
          </w:p>
        </w:tc>
        <w:tc>
          <w:tcPr>
            <w:tcW w:w="1737" w:type="dxa"/>
            <w:tcBorders>
              <w:top w:val="nil"/>
              <w:left w:val="nil"/>
              <w:bottom w:val="single" w:sz="8" w:space="0" w:color="auto"/>
              <w:right w:val="single" w:sz="8" w:space="0" w:color="auto"/>
            </w:tcBorders>
            <w:shd w:val="clear" w:color="auto" w:fill="auto"/>
            <w:noWrap/>
            <w:vAlign w:val="center"/>
            <w:hideMark/>
          </w:tcPr>
          <w:p w14:paraId="4CDA166B"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10457 (29)</w:t>
            </w:r>
          </w:p>
        </w:tc>
        <w:tc>
          <w:tcPr>
            <w:tcW w:w="1701" w:type="dxa"/>
            <w:tcBorders>
              <w:top w:val="nil"/>
              <w:left w:val="nil"/>
              <w:bottom w:val="single" w:sz="8" w:space="0" w:color="auto"/>
              <w:right w:val="single" w:sz="8" w:space="0" w:color="auto"/>
            </w:tcBorders>
            <w:shd w:val="clear" w:color="auto" w:fill="auto"/>
            <w:noWrap/>
            <w:vAlign w:val="center"/>
            <w:hideMark/>
          </w:tcPr>
          <w:p w14:paraId="659AE7D4"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25736 (71)</w:t>
            </w:r>
          </w:p>
        </w:tc>
        <w:tc>
          <w:tcPr>
            <w:tcW w:w="1701" w:type="dxa"/>
            <w:tcBorders>
              <w:top w:val="nil"/>
              <w:left w:val="nil"/>
              <w:bottom w:val="single" w:sz="8" w:space="0" w:color="auto"/>
              <w:right w:val="single" w:sz="8" w:space="0" w:color="auto"/>
            </w:tcBorders>
            <w:shd w:val="clear" w:color="auto" w:fill="auto"/>
            <w:noWrap/>
            <w:vAlign w:val="center"/>
            <w:hideMark/>
          </w:tcPr>
          <w:p w14:paraId="02BC8B82"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822 (15)</w:t>
            </w:r>
          </w:p>
        </w:tc>
        <w:tc>
          <w:tcPr>
            <w:tcW w:w="1559" w:type="dxa"/>
            <w:tcBorders>
              <w:top w:val="nil"/>
              <w:left w:val="nil"/>
              <w:bottom w:val="single" w:sz="8" w:space="0" w:color="auto"/>
              <w:right w:val="single" w:sz="8" w:space="0" w:color="auto"/>
            </w:tcBorders>
            <w:shd w:val="clear" w:color="auto" w:fill="auto"/>
            <w:noWrap/>
            <w:vAlign w:val="center"/>
            <w:hideMark/>
          </w:tcPr>
          <w:p w14:paraId="1640A563"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4692 (85)</w:t>
            </w:r>
          </w:p>
        </w:tc>
      </w:tr>
      <w:tr w:rsidR="00E23724" w14:paraId="05F5A4E1" w14:textId="77777777" w:rsidTr="005B12D1">
        <w:trPr>
          <w:trHeight w:val="230"/>
          <w:jc w:val="center"/>
        </w:trPr>
        <w:tc>
          <w:tcPr>
            <w:tcW w:w="2506"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B9F0057"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MI/PCI Count (%)</w:t>
            </w:r>
          </w:p>
        </w:tc>
        <w:tc>
          <w:tcPr>
            <w:tcW w:w="1737" w:type="dxa"/>
            <w:tcBorders>
              <w:top w:val="nil"/>
              <w:left w:val="nil"/>
              <w:bottom w:val="single" w:sz="8" w:space="0" w:color="auto"/>
              <w:right w:val="single" w:sz="8" w:space="0" w:color="auto"/>
            </w:tcBorders>
            <w:shd w:val="clear" w:color="auto" w:fill="auto"/>
            <w:noWrap/>
            <w:vAlign w:val="center"/>
            <w:hideMark/>
          </w:tcPr>
          <w:p w14:paraId="7DDCF1E7"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8436 (21)</w:t>
            </w:r>
          </w:p>
        </w:tc>
        <w:tc>
          <w:tcPr>
            <w:tcW w:w="1701" w:type="dxa"/>
            <w:tcBorders>
              <w:top w:val="nil"/>
              <w:left w:val="nil"/>
              <w:bottom w:val="single" w:sz="8" w:space="0" w:color="auto"/>
              <w:right w:val="single" w:sz="8" w:space="0" w:color="auto"/>
            </w:tcBorders>
            <w:shd w:val="clear" w:color="auto" w:fill="auto"/>
            <w:noWrap/>
            <w:vAlign w:val="center"/>
            <w:hideMark/>
          </w:tcPr>
          <w:p w14:paraId="2039252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31243 (79)</w:t>
            </w:r>
          </w:p>
        </w:tc>
        <w:tc>
          <w:tcPr>
            <w:tcW w:w="1701" w:type="dxa"/>
            <w:tcBorders>
              <w:top w:val="nil"/>
              <w:left w:val="nil"/>
              <w:bottom w:val="single" w:sz="8" w:space="0" w:color="auto"/>
              <w:right w:val="single" w:sz="8" w:space="0" w:color="auto"/>
            </w:tcBorders>
            <w:shd w:val="clear" w:color="auto" w:fill="auto"/>
            <w:noWrap/>
            <w:vAlign w:val="center"/>
            <w:hideMark/>
          </w:tcPr>
          <w:p w14:paraId="4B52205B"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1528 (12)</w:t>
            </w:r>
          </w:p>
        </w:tc>
        <w:tc>
          <w:tcPr>
            <w:tcW w:w="1559" w:type="dxa"/>
            <w:tcBorders>
              <w:top w:val="nil"/>
              <w:left w:val="nil"/>
              <w:bottom w:val="single" w:sz="8" w:space="0" w:color="auto"/>
              <w:right w:val="single" w:sz="8" w:space="0" w:color="auto"/>
            </w:tcBorders>
            <w:shd w:val="clear" w:color="auto" w:fill="auto"/>
            <w:noWrap/>
            <w:vAlign w:val="center"/>
            <w:hideMark/>
          </w:tcPr>
          <w:p w14:paraId="28B013D5"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11619 (88)</w:t>
            </w:r>
          </w:p>
        </w:tc>
      </w:tr>
      <w:tr w:rsidR="00E23724" w14:paraId="57E4CA94" w14:textId="77777777" w:rsidTr="005B12D1">
        <w:trPr>
          <w:trHeight w:val="247"/>
          <w:jc w:val="center"/>
        </w:trPr>
        <w:tc>
          <w:tcPr>
            <w:tcW w:w="2506"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BC2FEB1"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PCI Count (%)</w:t>
            </w:r>
          </w:p>
        </w:tc>
        <w:tc>
          <w:tcPr>
            <w:tcW w:w="1737" w:type="dxa"/>
            <w:tcBorders>
              <w:top w:val="nil"/>
              <w:left w:val="nil"/>
              <w:bottom w:val="single" w:sz="8" w:space="0" w:color="auto"/>
              <w:right w:val="single" w:sz="8" w:space="0" w:color="auto"/>
            </w:tcBorders>
            <w:shd w:val="clear" w:color="auto" w:fill="auto"/>
            <w:noWrap/>
            <w:vAlign w:val="center"/>
            <w:hideMark/>
          </w:tcPr>
          <w:p w14:paraId="42B1938F"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7195 (27)</w:t>
            </w:r>
          </w:p>
        </w:tc>
        <w:tc>
          <w:tcPr>
            <w:tcW w:w="1701" w:type="dxa"/>
            <w:tcBorders>
              <w:top w:val="nil"/>
              <w:left w:val="nil"/>
              <w:bottom w:val="single" w:sz="8" w:space="0" w:color="auto"/>
              <w:right w:val="single" w:sz="8" w:space="0" w:color="auto"/>
            </w:tcBorders>
            <w:shd w:val="clear" w:color="auto" w:fill="auto"/>
            <w:noWrap/>
            <w:vAlign w:val="center"/>
            <w:hideMark/>
          </w:tcPr>
          <w:p w14:paraId="3176A4D3"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19385 (73)</w:t>
            </w:r>
          </w:p>
        </w:tc>
        <w:tc>
          <w:tcPr>
            <w:tcW w:w="1701" w:type="dxa"/>
            <w:tcBorders>
              <w:top w:val="nil"/>
              <w:left w:val="nil"/>
              <w:bottom w:val="single" w:sz="8" w:space="0" w:color="auto"/>
              <w:right w:val="single" w:sz="8" w:space="0" w:color="auto"/>
            </w:tcBorders>
            <w:shd w:val="clear" w:color="auto" w:fill="auto"/>
            <w:noWrap/>
            <w:vAlign w:val="center"/>
            <w:hideMark/>
          </w:tcPr>
          <w:p w14:paraId="2F9DFE42"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1099 (15)</w:t>
            </w:r>
          </w:p>
        </w:tc>
        <w:tc>
          <w:tcPr>
            <w:tcW w:w="1559" w:type="dxa"/>
            <w:tcBorders>
              <w:top w:val="nil"/>
              <w:left w:val="nil"/>
              <w:bottom w:val="single" w:sz="8" w:space="0" w:color="auto"/>
              <w:right w:val="single" w:sz="8" w:space="0" w:color="auto"/>
            </w:tcBorders>
            <w:shd w:val="clear" w:color="auto" w:fill="auto"/>
            <w:noWrap/>
            <w:vAlign w:val="center"/>
            <w:hideMark/>
          </w:tcPr>
          <w:p w14:paraId="5B2FE804"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6107 (85)</w:t>
            </w:r>
          </w:p>
        </w:tc>
      </w:tr>
      <w:tr w:rsidR="00E23724" w14:paraId="4322B248" w14:textId="77777777" w:rsidTr="005B12D1">
        <w:trPr>
          <w:trHeight w:val="196"/>
          <w:jc w:val="center"/>
        </w:trPr>
        <w:tc>
          <w:tcPr>
            <w:tcW w:w="2506" w:type="dxa"/>
            <w:gridSpan w:val="2"/>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F3C6388"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CABG Count (%)</w:t>
            </w:r>
          </w:p>
        </w:tc>
        <w:tc>
          <w:tcPr>
            <w:tcW w:w="1737" w:type="dxa"/>
            <w:tcBorders>
              <w:top w:val="nil"/>
              <w:left w:val="nil"/>
              <w:bottom w:val="single" w:sz="8" w:space="0" w:color="auto"/>
              <w:right w:val="single" w:sz="8" w:space="0" w:color="auto"/>
            </w:tcBorders>
            <w:shd w:val="clear" w:color="auto" w:fill="auto"/>
            <w:noWrap/>
            <w:vAlign w:val="center"/>
            <w:hideMark/>
          </w:tcPr>
          <w:p w14:paraId="4AC35B75"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5777 (31)</w:t>
            </w:r>
          </w:p>
        </w:tc>
        <w:tc>
          <w:tcPr>
            <w:tcW w:w="1701" w:type="dxa"/>
            <w:tcBorders>
              <w:top w:val="nil"/>
              <w:left w:val="nil"/>
              <w:bottom w:val="single" w:sz="8" w:space="0" w:color="auto"/>
              <w:right w:val="single" w:sz="8" w:space="0" w:color="auto"/>
            </w:tcBorders>
            <w:shd w:val="clear" w:color="auto" w:fill="auto"/>
            <w:noWrap/>
            <w:vAlign w:val="center"/>
            <w:hideMark/>
          </w:tcPr>
          <w:p w14:paraId="4398658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12773 (69)</w:t>
            </w:r>
          </w:p>
        </w:tc>
        <w:tc>
          <w:tcPr>
            <w:tcW w:w="1701" w:type="dxa"/>
            <w:tcBorders>
              <w:top w:val="nil"/>
              <w:left w:val="nil"/>
              <w:bottom w:val="single" w:sz="8" w:space="0" w:color="auto"/>
              <w:right w:val="single" w:sz="8" w:space="0" w:color="auto"/>
            </w:tcBorders>
            <w:shd w:val="clear" w:color="auto" w:fill="auto"/>
            <w:noWrap/>
            <w:vAlign w:val="center"/>
            <w:hideMark/>
          </w:tcPr>
          <w:p w14:paraId="487AE313"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1274 (19)</w:t>
            </w:r>
          </w:p>
        </w:tc>
        <w:tc>
          <w:tcPr>
            <w:tcW w:w="1559" w:type="dxa"/>
            <w:tcBorders>
              <w:top w:val="nil"/>
              <w:left w:val="nil"/>
              <w:bottom w:val="single" w:sz="8" w:space="0" w:color="auto"/>
              <w:right w:val="single" w:sz="8" w:space="0" w:color="auto"/>
            </w:tcBorders>
            <w:shd w:val="clear" w:color="auto" w:fill="auto"/>
            <w:noWrap/>
            <w:vAlign w:val="center"/>
            <w:hideMark/>
          </w:tcPr>
          <w:p w14:paraId="2D66283F"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5522 (81)</w:t>
            </w:r>
          </w:p>
        </w:tc>
      </w:tr>
      <w:tr w:rsidR="00603997" w14:paraId="4C4F60F6" w14:textId="77777777" w:rsidTr="002E62EA">
        <w:trPr>
          <w:trHeight w:val="320"/>
          <w:jc w:val="center"/>
        </w:trPr>
        <w:tc>
          <w:tcPr>
            <w:tcW w:w="1249" w:type="dxa"/>
            <w:vMerge w:val="restart"/>
            <w:tcBorders>
              <w:top w:val="nil"/>
              <w:left w:val="single" w:sz="8" w:space="0" w:color="auto"/>
              <w:bottom w:val="single" w:sz="8" w:space="0" w:color="auto"/>
              <w:right w:val="single" w:sz="8" w:space="0" w:color="auto"/>
            </w:tcBorders>
            <w:shd w:val="clear" w:color="000000" w:fill="BFBFBF"/>
            <w:noWrap/>
            <w:vAlign w:val="center"/>
            <w:hideMark/>
          </w:tcPr>
          <w:p w14:paraId="251E533E" w14:textId="77777777" w:rsidR="00603997" w:rsidRPr="008D2699" w:rsidRDefault="00603997" w:rsidP="00603997">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Gender</w:t>
            </w:r>
          </w:p>
        </w:tc>
        <w:tc>
          <w:tcPr>
            <w:tcW w:w="1257" w:type="dxa"/>
            <w:tcBorders>
              <w:top w:val="nil"/>
              <w:left w:val="nil"/>
              <w:bottom w:val="single" w:sz="8" w:space="0" w:color="auto"/>
              <w:right w:val="single" w:sz="8" w:space="0" w:color="auto"/>
            </w:tcBorders>
            <w:shd w:val="clear" w:color="000000" w:fill="BFBFBF"/>
            <w:noWrap/>
            <w:vAlign w:val="center"/>
            <w:hideMark/>
          </w:tcPr>
          <w:p w14:paraId="176C3842" w14:textId="77777777" w:rsidR="00603997" w:rsidRPr="008D2699" w:rsidRDefault="00603997" w:rsidP="00603997">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 xml:space="preserve">Female % </w:t>
            </w:r>
          </w:p>
        </w:tc>
        <w:tc>
          <w:tcPr>
            <w:tcW w:w="1737" w:type="dxa"/>
            <w:tcBorders>
              <w:top w:val="nil"/>
              <w:left w:val="nil"/>
              <w:bottom w:val="single" w:sz="8" w:space="0" w:color="auto"/>
              <w:right w:val="single" w:sz="8" w:space="0" w:color="auto"/>
            </w:tcBorders>
            <w:shd w:val="clear" w:color="auto" w:fill="auto"/>
            <w:noWrap/>
            <w:vAlign w:val="bottom"/>
            <w:hideMark/>
          </w:tcPr>
          <w:p w14:paraId="2DB70170" w14:textId="11505CE5"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9966 (31)</w:t>
            </w:r>
          </w:p>
        </w:tc>
        <w:tc>
          <w:tcPr>
            <w:tcW w:w="1701" w:type="dxa"/>
            <w:tcBorders>
              <w:top w:val="nil"/>
              <w:left w:val="nil"/>
              <w:bottom w:val="single" w:sz="8" w:space="0" w:color="auto"/>
              <w:right w:val="single" w:sz="8" w:space="0" w:color="auto"/>
            </w:tcBorders>
            <w:shd w:val="clear" w:color="auto" w:fill="auto"/>
            <w:noWrap/>
            <w:vAlign w:val="bottom"/>
            <w:hideMark/>
          </w:tcPr>
          <w:p w14:paraId="60BEE7C6" w14:textId="53086667"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28011 (31)</w:t>
            </w:r>
          </w:p>
        </w:tc>
        <w:tc>
          <w:tcPr>
            <w:tcW w:w="1701" w:type="dxa"/>
            <w:tcBorders>
              <w:top w:val="nil"/>
              <w:left w:val="nil"/>
              <w:bottom w:val="single" w:sz="8" w:space="0" w:color="auto"/>
              <w:right w:val="single" w:sz="8" w:space="0" w:color="auto"/>
            </w:tcBorders>
            <w:shd w:val="clear" w:color="auto" w:fill="auto"/>
            <w:noWrap/>
            <w:vAlign w:val="bottom"/>
            <w:hideMark/>
          </w:tcPr>
          <w:p w14:paraId="16CE78B7" w14:textId="044D5384"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1155 (25)</w:t>
            </w:r>
          </w:p>
        </w:tc>
        <w:tc>
          <w:tcPr>
            <w:tcW w:w="1559" w:type="dxa"/>
            <w:tcBorders>
              <w:top w:val="nil"/>
              <w:left w:val="nil"/>
              <w:bottom w:val="single" w:sz="8" w:space="0" w:color="auto"/>
              <w:right w:val="single" w:sz="8" w:space="0" w:color="auto"/>
            </w:tcBorders>
            <w:shd w:val="clear" w:color="auto" w:fill="auto"/>
            <w:noWrap/>
            <w:vAlign w:val="bottom"/>
            <w:hideMark/>
          </w:tcPr>
          <w:p w14:paraId="09F9B989" w14:textId="2589971E"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6633 (25)</w:t>
            </w:r>
          </w:p>
        </w:tc>
      </w:tr>
      <w:tr w:rsidR="00603997" w14:paraId="061A0757" w14:textId="77777777" w:rsidTr="002E62EA">
        <w:trPr>
          <w:trHeight w:val="320"/>
          <w:jc w:val="center"/>
        </w:trPr>
        <w:tc>
          <w:tcPr>
            <w:tcW w:w="1249" w:type="dxa"/>
            <w:vMerge/>
            <w:tcBorders>
              <w:top w:val="nil"/>
              <w:left w:val="single" w:sz="8" w:space="0" w:color="auto"/>
              <w:bottom w:val="single" w:sz="8" w:space="0" w:color="auto"/>
              <w:right w:val="single" w:sz="8" w:space="0" w:color="auto"/>
            </w:tcBorders>
            <w:vAlign w:val="center"/>
            <w:hideMark/>
          </w:tcPr>
          <w:p w14:paraId="1C478CF2" w14:textId="77777777" w:rsidR="00603997" w:rsidRPr="008D2699" w:rsidRDefault="00603997" w:rsidP="00603997">
            <w:pPr>
              <w:spacing w:after="0" w:line="240" w:lineRule="auto"/>
              <w:rPr>
                <w:rFonts w:ascii="Calibri" w:eastAsia="Times New Roman" w:hAnsi="Calibri" w:cs="Times New Roman"/>
                <w:b/>
                <w:bCs/>
                <w:color w:val="000000"/>
                <w:sz w:val="18"/>
                <w:szCs w:val="18"/>
                <w:lang w:eastAsia="en-GB"/>
              </w:rPr>
            </w:pPr>
          </w:p>
        </w:tc>
        <w:tc>
          <w:tcPr>
            <w:tcW w:w="1257" w:type="dxa"/>
            <w:tcBorders>
              <w:top w:val="nil"/>
              <w:left w:val="nil"/>
              <w:bottom w:val="single" w:sz="8" w:space="0" w:color="auto"/>
              <w:right w:val="single" w:sz="8" w:space="0" w:color="auto"/>
            </w:tcBorders>
            <w:shd w:val="clear" w:color="000000" w:fill="BFBFBF"/>
            <w:noWrap/>
            <w:vAlign w:val="center"/>
            <w:hideMark/>
          </w:tcPr>
          <w:p w14:paraId="7FF6CFA4" w14:textId="77777777" w:rsidR="00603997" w:rsidRPr="008D2699" w:rsidRDefault="00603997" w:rsidP="00603997">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Male %</w:t>
            </w:r>
          </w:p>
        </w:tc>
        <w:tc>
          <w:tcPr>
            <w:tcW w:w="1737" w:type="dxa"/>
            <w:tcBorders>
              <w:top w:val="nil"/>
              <w:left w:val="nil"/>
              <w:bottom w:val="single" w:sz="8" w:space="0" w:color="auto"/>
              <w:right w:val="single" w:sz="8" w:space="0" w:color="auto"/>
            </w:tcBorders>
            <w:shd w:val="clear" w:color="auto" w:fill="auto"/>
            <w:noWrap/>
            <w:vAlign w:val="bottom"/>
            <w:hideMark/>
          </w:tcPr>
          <w:p w14:paraId="3A88BB78" w14:textId="2A771B2A"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21905 (69)</w:t>
            </w:r>
          </w:p>
        </w:tc>
        <w:tc>
          <w:tcPr>
            <w:tcW w:w="1701" w:type="dxa"/>
            <w:tcBorders>
              <w:top w:val="nil"/>
              <w:left w:val="nil"/>
              <w:bottom w:val="single" w:sz="8" w:space="0" w:color="auto"/>
              <w:right w:val="single" w:sz="8" w:space="0" w:color="auto"/>
            </w:tcBorders>
            <w:shd w:val="clear" w:color="auto" w:fill="auto"/>
            <w:noWrap/>
            <w:vAlign w:val="bottom"/>
            <w:hideMark/>
          </w:tcPr>
          <w:p w14:paraId="2A8CABDC" w14:textId="3659D5C0"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61130 (69)</w:t>
            </w:r>
          </w:p>
        </w:tc>
        <w:tc>
          <w:tcPr>
            <w:tcW w:w="1701" w:type="dxa"/>
            <w:tcBorders>
              <w:top w:val="nil"/>
              <w:left w:val="nil"/>
              <w:bottom w:val="single" w:sz="8" w:space="0" w:color="auto"/>
              <w:right w:val="single" w:sz="8" w:space="0" w:color="auto"/>
            </w:tcBorders>
            <w:shd w:val="clear" w:color="auto" w:fill="auto"/>
            <w:noWrap/>
            <w:vAlign w:val="bottom"/>
            <w:hideMark/>
          </w:tcPr>
          <w:p w14:paraId="71A9D26A" w14:textId="2F6A0922"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3485 (75)</w:t>
            </w:r>
          </w:p>
        </w:tc>
        <w:tc>
          <w:tcPr>
            <w:tcW w:w="1559" w:type="dxa"/>
            <w:tcBorders>
              <w:top w:val="nil"/>
              <w:left w:val="nil"/>
              <w:bottom w:val="single" w:sz="8" w:space="0" w:color="auto"/>
              <w:right w:val="single" w:sz="8" w:space="0" w:color="auto"/>
            </w:tcBorders>
            <w:shd w:val="clear" w:color="auto" w:fill="auto"/>
            <w:noWrap/>
            <w:vAlign w:val="bottom"/>
            <w:hideMark/>
          </w:tcPr>
          <w:p w14:paraId="1AFA0EE4" w14:textId="11ED23CA" w:rsidR="00603997" w:rsidRPr="00BD3D3C" w:rsidRDefault="00603997" w:rsidP="00603997">
            <w:pPr>
              <w:spacing w:after="0" w:line="240" w:lineRule="auto"/>
              <w:jc w:val="center"/>
              <w:rPr>
                <w:rFonts w:ascii="Calibri" w:eastAsia="Times New Roman" w:hAnsi="Calibri" w:cs="Times New Roman"/>
                <w:color w:val="000000"/>
                <w:sz w:val="18"/>
                <w:szCs w:val="18"/>
                <w:lang w:eastAsia="en-GB"/>
              </w:rPr>
            </w:pPr>
            <w:r w:rsidRPr="002E62EA">
              <w:rPr>
                <w:rFonts w:ascii="Calibri" w:hAnsi="Calibri"/>
                <w:color w:val="000000"/>
                <w:sz w:val="18"/>
                <w:szCs w:val="18"/>
              </w:rPr>
              <w:t>19944 (75)</w:t>
            </w:r>
          </w:p>
        </w:tc>
      </w:tr>
      <w:tr w:rsidR="00E23724" w14:paraId="019B7CAF" w14:textId="77777777" w:rsidTr="008D2699">
        <w:trPr>
          <w:trHeight w:val="320"/>
          <w:jc w:val="center"/>
        </w:trPr>
        <w:tc>
          <w:tcPr>
            <w:tcW w:w="1249" w:type="dxa"/>
            <w:vMerge w:val="restart"/>
            <w:tcBorders>
              <w:top w:val="nil"/>
              <w:left w:val="single" w:sz="8" w:space="0" w:color="auto"/>
              <w:bottom w:val="single" w:sz="8" w:space="0" w:color="auto"/>
              <w:right w:val="single" w:sz="8" w:space="0" w:color="auto"/>
            </w:tcBorders>
            <w:shd w:val="clear" w:color="000000" w:fill="BFBFBF"/>
            <w:noWrap/>
            <w:vAlign w:val="center"/>
            <w:hideMark/>
          </w:tcPr>
          <w:p w14:paraId="2F984529"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Age Groups</w:t>
            </w:r>
          </w:p>
        </w:tc>
        <w:tc>
          <w:tcPr>
            <w:tcW w:w="1257" w:type="dxa"/>
            <w:tcBorders>
              <w:top w:val="nil"/>
              <w:left w:val="nil"/>
              <w:bottom w:val="single" w:sz="8" w:space="0" w:color="auto"/>
              <w:right w:val="single" w:sz="8" w:space="0" w:color="auto"/>
            </w:tcBorders>
            <w:shd w:val="clear" w:color="000000" w:fill="BFBFBF"/>
            <w:noWrap/>
            <w:vAlign w:val="center"/>
            <w:hideMark/>
          </w:tcPr>
          <w:p w14:paraId="7FA20457"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&lt;40</w:t>
            </w:r>
          </w:p>
        </w:tc>
        <w:tc>
          <w:tcPr>
            <w:tcW w:w="1737" w:type="dxa"/>
            <w:tcBorders>
              <w:top w:val="nil"/>
              <w:left w:val="nil"/>
              <w:bottom w:val="nil"/>
              <w:right w:val="single" w:sz="8" w:space="0" w:color="auto"/>
            </w:tcBorders>
            <w:shd w:val="clear" w:color="auto" w:fill="auto"/>
            <w:noWrap/>
            <w:vAlign w:val="center"/>
            <w:hideMark/>
          </w:tcPr>
          <w:p w14:paraId="058D84A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1369 (13)</w:t>
            </w:r>
          </w:p>
        </w:tc>
        <w:tc>
          <w:tcPr>
            <w:tcW w:w="1701" w:type="dxa"/>
            <w:tcBorders>
              <w:top w:val="nil"/>
              <w:left w:val="nil"/>
              <w:bottom w:val="single" w:sz="8" w:space="0" w:color="auto"/>
              <w:right w:val="single" w:sz="8" w:space="0" w:color="auto"/>
            </w:tcBorders>
            <w:shd w:val="clear" w:color="auto" w:fill="auto"/>
            <w:noWrap/>
            <w:vAlign w:val="bottom"/>
            <w:hideMark/>
          </w:tcPr>
          <w:p w14:paraId="2125D44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9578 (87)</w:t>
            </w:r>
          </w:p>
        </w:tc>
        <w:tc>
          <w:tcPr>
            <w:tcW w:w="1701" w:type="dxa"/>
            <w:tcBorders>
              <w:top w:val="nil"/>
              <w:left w:val="nil"/>
              <w:bottom w:val="single" w:sz="8" w:space="0" w:color="auto"/>
              <w:right w:val="single" w:sz="8" w:space="0" w:color="auto"/>
            </w:tcBorders>
            <w:shd w:val="clear" w:color="auto" w:fill="auto"/>
            <w:noWrap/>
            <w:vAlign w:val="bottom"/>
            <w:hideMark/>
          </w:tcPr>
          <w:p w14:paraId="434C8B3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58 (6)</w:t>
            </w:r>
          </w:p>
        </w:tc>
        <w:tc>
          <w:tcPr>
            <w:tcW w:w="1559" w:type="dxa"/>
            <w:tcBorders>
              <w:top w:val="nil"/>
              <w:left w:val="nil"/>
              <w:bottom w:val="single" w:sz="8" w:space="0" w:color="auto"/>
              <w:right w:val="single" w:sz="8" w:space="0" w:color="auto"/>
            </w:tcBorders>
            <w:shd w:val="clear" w:color="auto" w:fill="auto"/>
            <w:noWrap/>
            <w:vAlign w:val="bottom"/>
            <w:hideMark/>
          </w:tcPr>
          <w:p w14:paraId="6A84BEE0"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953 (94)</w:t>
            </w:r>
          </w:p>
        </w:tc>
      </w:tr>
      <w:tr w:rsidR="00E23724" w14:paraId="309F809C" w14:textId="77777777" w:rsidTr="008D2699">
        <w:trPr>
          <w:trHeight w:val="320"/>
          <w:jc w:val="center"/>
        </w:trPr>
        <w:tc>
          <w:tcPr>
            <w:tcW w:w="1249" w:type="dxa"/>
            <w:vMerge/>
            <w:tcBorders>
              <w:top w:val="nil"/>
              <w:left w:val="single" w:sz="8" w:space="0" w:color="auto"/>
              <w:bottom w:val="single" w:sz="8" w:space="0" w:color="auto"/>
              <w:right w:val="single" w:sz="8" w:space="0" w:color="auto"/>
            </w:tcBorders>
            <w:vAlign w:val="center"/>
            <w:hideMark/>
          </w:tcPr>
          <w:p w14:paraId="450AE8DE" w14:textId="77777777" w:rsidR="008D2699" w:rsidRPr="008D2699" w:rsidRDefault="000D3B50" w:rsidP="008D2699">
            <w:pPr>
              <w:spacing w:after="0" w:line="240" w:lineRule="auto"/>
              <w:rPr>
                <w:rFonts w:ascii="Calibri" w:eastAsia="Times New Roman" w:hAnsi="Calibri" w:cs="Times New Roman"/>
                <w:b/>
                <w:bCs/>
                <w:color w:val="000000"/>
                <w:sz w:val="18"/>
                <w:szCs w:val="18"/>
                <w:lang w:eastAsia="en-GB"/>
              </w:rPr>
            </w:pPr>
          </w:p>
        </w:tc>
        <w:tc>
          <w:tcPr>
            <w:tcW w:w="1257" w:type="dxa"/>
            <w:tcBorders>
              <w:top w:val="nil"/>
              <w:left w:val="nil"/>
              <w:bottom w:val="single" w:sz="8" w:space="0" w:color="auto"/>
              <w:right w:val="single" w:sz="8" w:space="0" w:color="auto"/>
            </w:tcBorders>
            <w:shd w:val="clear" w:color="000000" w:fill="BFBFBF"/>
            <w:noWrap/>
            <w:vAlign w:val="center"/>
            <w:hideMark/>
          </w:tcPr>
          <w:p w14:paraId="4E945554"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41-60</w:t>
            </w:r>
          </w:p>
        </w:tc>
        <w:tc>
          <w:tcPr>
            <w:tcW w:w="1737" w:type="dxa"/>
            <w:tcBorders>
              <w:top w:val="single" w:sz="8" w:space="0" w:color="auto"/>
              <w:left w:val="nil"/>
              <w:bottom w:val="single" w:sz="8" w:space="0" w:color="auto"/>
              <w:right w:val="single" w:sz="8" w:space="0" w:color="auto"/>
            </w:tcBorders>
            <w:shd w:val="clear" w:color="auto" w:fill="auto"/>
            <w:noWrap/>
            <w:vAlign w:val="bottom"/>
            <w:hideMark/>
          </w:tcPr>
          <w:p w14:paraId="2B9A642A"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35251 (26)</w:t>
            </w:r>
          </w:p>
        </w:tc>
        <w:tc>
          <w:tcPr>
            <w:tcW w:w="1701" w:type="dxa"/>
            <w:tcBorders>
              <w:top w:val="nil"/>
              <w:left w:val="nil"/>
              <w:bottom w:val="single" w:sz="8" w:space="0" w:color="auto"/>
              <w:right w:val="single" w:sz="8" w:space="0" w:color="auto"/>
            </w:tcBorders>
            <w:shd w:val="clear" w:color="auto" w:fill="auto"/>
            <w:noWrap/>
            <w:vAlign w:val="bottom"/>
            <w:hideMark/>
          </w:tcPr>
          <w:p w14:paraId="5D016145"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100324 (74)</w:t>
            </w:r>
          </w:p>
        </w:tc>
        <w:tc>
          <w:tcPr>
            <w:tcW w:w="1701" w:type="dxa"/>
            <w:tcBorders>
              <w:top w:val="nil"/>
              <w:left w:val="nil"/>
              <w:bottom w:val="single" w:sz="8" w:space="0" w:color="auto"/>
              <w:right w:val="single" w:sz="8" w:space="0" w:color="auto"/>
            </w:tcBorders>
            <w:shd w:val="clear" w:color="auto" w:fill="auto"/>
            <w:noWrap/>
            <w:vAlign w:val="bottom"/>
            <w:hideMark/>
          </w:tcPr>
          <w:p w14:paraId="18FD6EE2"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1612 (12)</w:t>
            </w:r>
          </w:p>
        </w:tc>
        <w:tc>
          <w:tcPr>
            <w:tcW w:w="1559" w:type="dxa"/>
            <w:tcBorders>
              <w:top w:val="nil"/>
              <w:left w:val="nil"/>
              <w:bottom w:val="single" w:sz="8" w:space="0" w:color="auto"/>
              <w:right w:val="single" w:sz="8" w:space="0" w:color="auto"/>
            </w:tcBorders>
            <w:shd w:val="clear" w:color="auto" w:fill="auto"/>
            <w:noWrap/>
            <w:vAlign w:val="bottom"/>
            <w:hideMark/>
          </w:tcPr>
          <w:p w14:paraId="4D938D45"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11597 (88)</w:t>
            </w:r>
          </w:p>
        </w:tc>
      </w:tr>
      <w:tr w:rsidR="00E23724" w14:paraId="7C402122" w14:textId="77777777" w:rsidTr="008D2699">
        <w:trPr>
          <w:trHeight w:val="320"/>
          <w:jc w:val="center"/>
        </w:trPr>
        <w:tc>
          <w:tcPr>
            <w:tcW w:w="1249" w:type="dxa"/>
            <w:vMerge/>
            <w:tcBorders>
              <w:top w:val="nil"/>
              <w:left w:val="single" w:sz="8" w:space="0" w:color="auto"/>
              <w:bottom w:val="single" w:sz="8" w:space="0" w:color="auto"/>
              <w:right w:val="single" w:sz="8" w:space="0" w:color="auto"/>
            </w:tcBorders>
            <w:vAlign w:val="center"/>
            <w:hideMark/>
          </w:tcPr>
          <w:p w14:paraId="7215B3C4" w14:textId="77777777" w:rsidR="008D2699" w:rsidRPr="008D2699" w:rsidRDefault="000D3B50" w:rsidP="008D2699">
            <w:pPr>
              <w:spacing w:after="0" w:line="240" w:lineRule="auto"/>
              <w:rPr>
                <w:rFonts w:ascii="Calibri" w:eastAsia="Times New Roman" w:hAnsi="Calibri" w:cs="Times New Roman"/>
                <w:b/>
                <w:bCs/>
                <w:color w:val="000000"/>
                <w:sz w:val="18"/>
                <w:szCs w:val="18"/>
                <w:lang w:eastAsia="en-GB"/>
              </w:rPr>
            </w:pPr>
          </w:p>
        </w:tc>
        <w:tc>
          <w:tcPr>
            <w:tcW w:w="1257" w:type="dxa"/>
            <w:tcBorders>
              <w:top w:val="nil"/>
              <w:left w:val="nil"/>
              <w:bottom w:val="single" w:sz="8" w:space="0" w:color="auto"/>
              <w:right w:val="single" w:sz="8" w:space="0" w:color="auto"/>
            </w:tcBorders>
            <w:shd w:val="clear" w:color="000000" w:fill="BFBFBF"/>
            <w:noWrap/>
            <w:vAlign w:val="center"/>
            <w:hideMark/>
          </w:tcPr>
          <w:p w14:paraId="459E50E7"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61-80</w:t>
            </w:r>
          </w:p>
        </w:tc>
        <w:tc>
          <w:tcPr>
            <w:tcW w:w="1737" w:type="dxa"/>
            <w:tcBorders>
              <w:top w:val="nil"/>
              <w:left w:val="nil"/>
              <w:bottom w:val="single" w:sz="8" w:space="0" w:color="auto"/>
              <w:right w:val="single" w:sz="8" w:space="0" w:color="auto"/>
            </w:tcBorders>
            <w:shd w:val="clear" w:color="auto" w:fill="auto"/>
            <w:noWrap/>
            <w:vAlign w:val="bottom"/>
            <w:hideMark/>
          </w:tcPr>
          <w:p w14:paraId="65927A9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134529 (30)</w:t>
            </w:r>
          </w:p>
        </w:tc>
        <w:tc>
          <w:tcPr>
            <w:tcW w:w="1701" w:type="dxa"/>
            <w:tcBorders>
              <w:top w:val="nil"/>
              <w:left w:val="nil"/>
              <w:bottom w:val="single" w:sz="8" w:space="0" w:color="auto"/>
              <w:right w:val="single" w:sz="8" w:space="0" w:color="auto"/>
            </w:tcBorders>
            <w:shd w:val="clear" w:color="auto" w:fill="auto"/>
            <w:noWrap/>
            <w:vAlign w:val="bottom"/>
            <w:hideMark/>
          </w:tcPr>
          <w:p w14:paraId="3F7505E9"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309357 (70)</w:t>
            </w:r>
          </w:p>
        </w:tc>
        <w:tc>
          <w:tcPr>
            <w:tcW w:w="1701" w:type="dxa"/>
            <w:tcBorders>
              <w:top w:val="nil"/>
              <w:left w:val="nil"/>
              <w:bottom w:val="single" w:sz="8" w:space="0" w:color="auto"/>
              <w:right w:val="single" w:sz="8" w:space="0" w:color="auto"/>
            </w:tcBorders>
            <w:shd w:val="clear" w:color="auto" w:fill="auto"/>
            <w:noWrap/>
            <w:vAlign w:val="bottom"/>
            <w:hideMark/>
          </w:tcPr>
          <w:p w14:paraId="07709171"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3635 (15)</w:t>
            </w:r>
          </w:p>
        </w:tc>
        <w:tc>
          <w:tcPr>
            <w:tcW w:w="1559" w:type="dxa"/>
            <w:tcBorders>
              <w:top w:val="nil"/>
              <w:left w:val="nil"/>
              <w:bottom w:val="single" w:sz="8" w:space="0" w:color="auto"/>
              <w:right w:val="single" w:sz="8" w:space="0" w:color="auto"/>
            </w:tcBorders>
            <w:shd w:val="clear" w:color="auto" w:fill="auto"/>
            <w:noWrap/>
            <w:vAlign w:val="bottom"/>
            <w:hideMark/>
          </w:tcPr>
          <w:p w14:paraId="04884EB5"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20225 (85)</w:t>
            </w:r>
          </w:p>
        </w:tc>
      </w:tr>
      <w:tr w:rsidR="00E23724" w14:paraId="4E9C5670" w14:textId="77777777" w:rsidTr="008D2699">
        <w:trPr>
          <w:trHeight w:val="320"/>
          <w:jc w:val="center"/>
        </w:trPr>
        <w:tc>
          <w:tcPr>
            <w:tcW w:w="1249" w:type="dxa"/>
            <w:vMerge/>
            <w:tcBorders>
              <w:top w:val="nil"/>
              <w:left w:val="single" w:sz="8" w:space="0" w:color="auto"/>
              <w:bottom w:val="single" w:sz="8" w:space="0" w:color="auto"/>
              <w:right w:val="single" w:sz="8" w:space="0" w:color="auto"/>
            </w:tcBorders>
            <w:vAlign w:val="center"/>
            <w:hideMark/>
          </w:tcPr>
          <w:p w14:paraId="43441C13" w14:textId="77777777" w:rsidR="008D2699" w:rsidRPr="008D2699" w:rsidRDefault="000D3B50" w:rsidP="008D2699">
            <w:pPr>
              <w:spacing w:after="0" w:line="240" w:lineRule="auto"/>
              <w:rPr>
                <w:rFonts w:ascii="Calibri" w:eastAsia="Times New Roman" w:hAnsi="Calibri" w:cs="Times New Roman"/>
                <w:b/>
                <w:bCs/>
                <w:color w:val="000000"/>
                <w:sz w:val="18"/>
                <w:szCs w:val="18"/>
                <w:lang w:eastAsia="en-GB"/>
              </w:rPr>
            </w:pPr>
          </w:p>
        </w:tc>
        <w:tc>
          <w:tcPr>
            <w:tcW w:w="1257" w:type="dxa"/>
            <w:tcBorders>
              <w:top w:val="nil"/>
              <w:left w:val="nil"/>
              <w:bottom w:val="single" w:sz="8" w:space="0" w:color="auto"/>
              <w:right w:val="single" w:sz="8" w:space="0" w:color="auto"/>
            </w:tcBorders>
            <w:shd w:val="clear" w:color="000000" w:fill="BFBFBF"/>
            <w:noWrap/>
            <w:vAlign w:val="center"/>
            <w:hideMark/>
          </w:tcPr>
          <w:p w14:paraId="26F5CF28" w14:textId="77777777" w:rsidR="008D2699" w:rsidRPr="008D2699" w:rsidRDefault="00455F97" w:rsidP="008D2699">
            <w:pPr>
              <w:spacing w:after="0" w:line="240" w:lineRule="auto"/>
              <w:jc w:val="center"/>
              <w:rPr>
                <w:rFonts w:ascii="Calibri" w:eastAsia="Times New Roman" w:hAnsi="Calibri" w:cs="Times New Roman"/>
                <w:b/>
                <w:bCs/>
                <w:color w:val="000000"/>
                <w:sz w:val="18"/>
                <w:szCs w:val="18"/>
                <w:lang w:eastAsia="en-GB"/>
              </w:rPr>
            </w:pPr>
            <w:r w:rsidRPr="008D2699">
              <w:rPr>
                <w:rFonts w:ascii="Calibri" w:eastAsia="Times New Roman" w:hAnsi="Calibri" w:cs="Times New Roman"/>
                <w:b/>
                <w:bCs/>
                <w:color w:val="000000"/>
                <w:sz w:val="18"/>
                <w:szCs w:val="18"/>
                <w:lang w:eastAsia="en-GB"/>
              </w:rPr>
              <w:t>80+</w:t>
            </w:r>
          </w:p>
        </w:tc>
        <w:tc>
          <w:tcPr>
            <w:tcW w:w="1737" w:type="dxa"/>
            <w:tcBorders>
              <w:top w:val="nil"/>
              <w:left w:val="nil"/>
              <w:bottom w:val="single" w:sz="8" w:space="0" w:color="auto"/>
              <w:right w:val="single" w:sz="8" w:space="0" w:color="auto"/>
            </w:tcBorders>
            <w:shd w:val="clear" w:color="auto" w:fill="auto"/>
            <w:noWrap/>
            <w:vAlign w:val="bottom"/>
            <w:hideMark/>
          </w:tcPr>
          <w:p w14:paraId="3F190B98"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61263 (23)</w:t>
            </w:r>
          </w:p>
        </w:tc>
        <w:tc>
          <w:tcPr>
            <w:tcW w:w="1701" w:type="dxa"/>
            <w:tcBorders>
              <w:top w:val="nil"/>
              <w:left w:val="nil"/>
              <w:bottom w:val="single" w:sz="8" w:space="0" w:color="auto"/>
              <w:right w:val="single" w:sz="8" w:space="0" w:color="auto"/>
            </w:tcBorders>
            <w:shd w:val="clear" w:color="auto" w:fill="auto"/>
            <w:noWrap/>
            <w:vAlign w:val="bottom"/>
            <w:hideMark/>
          </w:tcPr>
          <w:p w14:paraId="3EDEACCC"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211023 (78)</w:t>
            </w:r>
          </w:p>
        </w:tc>
        <w:tc>
          <w:tcPr>
            <w:tcW w:w="1701" w:type="dxa"/>
            <w:tcBorders>
              <w:top w:val="nil"/>
              <w:left w:val="nil"/>
              <w:bottom w:val="single" w:sz="8" w:space="0" w:color="auto"/>
              <w:right w:val="single" w:sz="8" w:space="0" w:color="auto"/>
            </w:tcBorders>
            <w:shd w:val="clear" w:color="auto" w:fill="auto"/>
            <w:noWrap/>
            <w:vAlign w:val="bottom"/>
            <w:hideMark/>
          </w:tcPr>
          <w:p w14:paraId="7F97DB22"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467 (12)</w:t>
            </w:r>
          </w:p>
        </w:tc>
        <w:tc>
          <w:tcPr>
            <w:tcW w:w="1559" w:type="dxa"/>
            <w:tcBorders>
              <w:top w:val="nil"/>
              <w:left w:val="nil"/>
              <w:bottom w:val="single" w:sz="8" w:space="0" w:color="auto"/>
              <w:right w:val="single" w:sz="8" w:space="0" w:color="auto"/>
            </w:tcBorders>
            <w:shd w:val="clear" w:color="auto" w:fill="auto"/>
            <w:noWrap/>
            <w:vAlign w:val="bottom"/>
            <w:hideMark/>
          </w:tcPr>
          <w:p w14:paraId="7FBE9D0F" w14:textId="77777777" w:rsidR="008D2699" w:rsidRPr="00BD3D3C" w:rsidRDefault="00455F97" w:rsidP="008D2699">
            <w:pPr>
              <w:spacing w:after="0" w:line="240" w:lineRule="auto"/>
              <w:jc w:val="center"/>
              <w:rPr>
                <w:rFonts w:ascii="Calibri" w:eastAsia="Times New Roman" w:hAnsi="Calibri" w:cs="Times New Roman"/>
                <w:color w:val="000000"/>
                <w:sz w:val="18"/>
                <w:szCs w:val="18"/>
                <w:lang w:eastAsia="en-GB"/>
              </w:rPr>
            </w:pPr>
            <w:r w:rsidRPr="00BD3D3C">
              <w:rPr>
                <w:rFonts w:ascii="Calibri" w:eastAsia="Times New Roman" w:hAnsi="Calibri" w:cs="Times New Roman"/>
                <w:color w:val="000000"/>
                <w:sz w:val="18"/>
                <w:szCs w:val="18"/>
                <w:lang w:eastAsia="en-GB"/>
              </w:rPr>
              <w:t>3197 (87)</w:t>
            </w:r>
          </w:p>
        </w:tc>
      </w:tr>
    </w:tbl>
    <w:p w14:paraId="5EACE89E" w14:textId="7F105468" w:rsidR="00DB6294" w:rsidRDefault="000D3B50" w:rsidP="0029580D">
      <w:pPr>
        <w:pStyle w:val="NoSpacing"/>
        <w:spacing w:line="276" w:lineRule="auto"/>
        <w:jc w:val="both"/>
      </w:pPr>
    </w:p>
    <w:p w14:paraId="31352289" w14:textId="77777777" w:rsidR="00FA2F98" w:rsidRDefault="00FA2F98" w:rsidP="00FA2F98">
      <w:pPr>
        <w:pStyle w:val="NoSpacing"/>
        <w:spacing w:line="360" w:lineRule="auto"/>
        <w:jc w:val="both"/>
      </w:pPr>
      <w:r>
        <w:t xml:space="preserve">The proportion of PWD in the male and female eligible groups was 31%, this proportion dropped by 6% by the time patients reached CR which was similar in PWD and PW. This suggests that </w:t>
      </w:r>
      <w:proofErr w:type="gramStart"/>
      <w:r>
        <w:t>across  PWD</w:t>
      </w:r>
      <w:proofErr w:type="gramEnd"/>
      <w:r>
        <w:t xml:space="preserve"> and PW, there seems to be no difference in gender uptake for diabetes. The proportion of PWD across the eligible age groups varied </w:t>
      </w:r>
      <w:proofErr w:type="gramStart"/>
      <w:r>
        <w:t>between 12% to 30%, with the 61-80 group having the largest percentage</w:t>
      </w:r>
      <w:proofErr w:type="gramEnd"/>
      <w:r>
        <w:t>. Across all age groups, there is a significant drop in the proportion of PWD of 7-15%, this is strongest in &lt;40 group which has greater than 50% of the eligible PWD not taking up CR, followed closely by 61-80 with 50% reduction.</w:t>
      </w:r>
    </w:p>
    <w:p w14:paraId="30831E7B" w14:textId="77777777" w:rsidR="00FA2F98" w:rsidRDefault="00FA2F98" w:rsidP="0029580D">
      <w:pPr>
        <w:pStyle w:val="NoSpacing"/>
        <w:spacing w:line="276" w:lineRule="auto"/>
        <w:jc w:val="both"/>
      </w:pPr>
    </w:p>
    <w:p w14:paraId="2A64DEC0" w14:textId="77777777" w:rsidR="00DB6294" w:rsidRDefault="000D3B50" w:rsidP="0029580D">
      <w:pPr>
        <w:pStyle w:val="NoSpacing"/>
        <w:spacing w:line="276" w:lineRule="auto"/>
        <w:jc w:val="both"/>
      </w:pPr>
    </w:p>
    <w:p w14:paraId="7AC22E0F" w14:textId="6ABA0EBD" w:rsidR="009C1630" w:rsidRPr="00A975DB" w:rsidRDefault="00455F97" w:rsidP="0029580D">
      <w:pPr>
        <w:pStyle w:val="NoSpacing"/>
        <w:spacing w:line="276" w:lineRule="auto"/>
        <w:jc w:val="both"/>
      </w:pPr>
      <w:r>
        <w:t xml:space="preserve">The statistical tests included in this study were comparing the proportion starting rehabilitation to the constant deemed as the eligible proportion of PWD. </w:t>
      </w:r>
      <w:r w:rsidRPr="002A0425">
        <w:rPr>
          <w:b/>
        </w:rPr>
        <w:t>Table 2</w:t>
      </w:r>
      <w:r w:rsidR="00D23AAF">
        <w:rPr>
          <w:b/>
        </w:rPr>
        <w:t xml:space="preserve"> </w:t>
      </w:r>
      <w:r w:rsidR="00D23AAF" w:rsidRPr="00D23AAF">
        <w:t>shows</w:t>
      </w:r>
      <w:r w:rsidR="00D23AAF">
        <w:rPr>
          <w:b/>
        </w:rPr>
        <w:t xml:space="preserve"> </w:t>
      </w:r>
      <w:r>
        <w:t xml:space="preserve">that in every grouping tested, PWD have a statistically different population to that of the eligible group. The z scores in </w:t>
      </w:r>
      <w:r w:rsidRPr="00C24D72">
        <w:rPr>
          <w:b/>
        </w:rPr>
        <w:t xml:space="preserve">Table </w:t>
      </w:r>
      <w:r w:rsidRPr="00A975DB">
        <w:t>2 are all smaller than -1.96, ranging from -6.5- 49.4</w:t>
      </w:r>
      <w:r>
        <w:t xml:space="preserve">. The p values are all &lt;0.001, likely due to the sample size, however, the extent of the drop in each group, shown by </w:t>
      </w:r>
      <w:r w:rsidRPr="00C24D72">
        <w:rPr>
          <w:b/>
        </w:rPr>
        <w:t>Table 1</w:t>
      </w:r>
      <w:r w:rsidRPr="00C24D72">
        <w:t xml:space="preserve">’s </w:t>
      </w:r>
      <w:r>
        <w:t xml:space="preserve">results signify a high level of clinical significance. </w:t>
      </w:r>
    </w:p>
    <w:p w14:paraId="066DEC24" w14:textId="77777777" w:rsidR="008D2699" w:rsidRDefault="000D3B50" w:rsidP="0029580D">
      <w:pPr>
        <w:pStyle w:val="NoSpacing"/>
        <w:spacing w:line="276" w:lineRule="auto"/>
        <w:jc w:val="both"/>
      </w:pPr>
    </w:p>
    <w:tbl>
      <w:tblPr>
        <w:tblW w:w="9109" w:type="dxa"/>
        <w:jc w:val="center"/>
        <w:tblLook w:val="04A0" w:firstRow="1" w:lastRow="0" w:firstColumn="1" w:lastColumn="0" w:noHBand="0" w:noVBand="1"/>
      </w:tblPr>
      <w:tblGrid>
        <w:gridCol w:w="1701"/>
        <w:gridCol w:w="1622"/>
        <w:gridCol w:w="1239"/>
        <w:gridCol w:w="1100"/>
        <w:gridCol w:w="1108"/>
        <w:gridCol w:w="1027"/>
        <w:gridCol w:w="1312"/>
      </w:tblGrid>
      <w:tr w:rsidR="00E23724" w14:paraId="66312FE1" w14:textId="77777777" w:rsidTr="005B12D1">
        <w:trPr>
          <w:trHeight w:val="475"/>
          <w:jc w:val="center"/>
        </w:trPr>
        <w:tc>
          <w:tcPr>
            <w:tcW w:w="9109" w:type="dxa"/>
            <w:gridSpan w:val="7"/>
            <w:tcBorders>
              <w:top w:val="nil"/>
              <w:left w:val="nil"/>
              <w:bottom w:val="single" w:sz="8" w:space="0" w:color="auto"/>
              <w:right w:val="nil"/>
            </w:tcBorders>
            <w:shd w:val="clear" w:color="000000" w:fill="FFFFFF"/>
            <w:vAlign w:val="center"/>
            <w:hideMark/>
          </w:tcPr>
          <w:p w14:paraId="4208C9C4"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 xml:space="preserve">Table 2. </w:t>
            </w:r>
            <w:r w:rsidRPr="008D2699">
              <w:rPr>
                <w:rFonts w:eastAsia="Times New Roman" w:cs="Times New Roman"/>
                <w:color w:val="000000"/>
                <w:sz w:val="18"/>
                <w:szCs w:val="18"/>
                <w:lang w:eastAsia="en-GB"/>
              </w:rPr>
              <w:t>The z-scores of PWD and PW across the two populations</w:t>
            </w:r>
          </w:p>
        </w:tc>
      </w:tr>
      <w:tr w:rsidR="00E23724" w14:paraId="4A702A21" w14:textId="77777777" w:rsidTr="005B12D1">
        <w:trPr>
          <w:trHeight w:val="312"/>
          <w:jc w:val="center"/>
        </w:trPr>
        <w:tc>
          <w:tcPr>
            <w:tcW w:w="33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0806B61D"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Measure</w:t>
            </w:r>
          </w:p>
        </w:tc>
        <w:tc>
          <w:tcPr>
            <w:tcW w:w="1239" w:type="dxa"/>
            <w:tcBorders>
              <w:top w:val="nil"/>
              <w:left w:val="nil"/>
              <w:bottom w:val="single" w:sz="8" w:space="0" w:color="auto"/>
              <w:right w:val="single" w:sz="8" w:space="0" w:color="auto"/>
            </w:tcBorders>
            <w:shd w:val="clear" w:color="000000" w:fill="BFBFBF"/>
            <w:vAlign w:val="center"/>
            <w:hideMark/>
          </w:tcPr>
          <w:p w14:paraId="0485352E"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z-score</w:t>
            </w:r>
          </w:p>
        </w:tc>
        <w:tc>
          <w:tcPr>
            <w:tcW w:w="1100" w:type="dxa"/>
            <w:tcBorders>
              <w:top w:val="nil"/>
              <w:left w:val="nil"/>
              <w:bottom w:val="single" w:sz="8" w:space="0" w:color="auto"/>
              <w:right w:val="single" w:sz="8" w:space="0" w:color="auto"/>
            </w:tcBorders>
            <w:shd w:val="clear" w:color="000000" w:fill="BFBFBF"/>
            <w:vAlign w:val="center"/>
            <w:hideMark/>
          </w:tcPr>
          <w:p w14:paraId="0555D37F"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Significance</w:t>
            </w:r>
          </w:p>
        </w:tc>
        <w:tc>
          <w:tcPr>
            <w:tcW w:w="2135" w:type="dxa"/>
            <w:gridSpan w:val="2"/>
            <w:tcBorders>
              <w:top w:val="single" w:sz="8" w:space="0" w:color="auto"/>
              <w:left w:val="nil"/>
              <w:bottom w:val="single" w:sz="8" w:space="0" w:color="auto"/>
              <w:right w:val="single" w:sz="8" w:space="0" w:color="auto"/>
            </w:tcBorders>
            <w:shd w:val="clear" w:color="000000" w:fill="BFBFBF"/>
            <w:vAlign w:val="center"/>
            <w:hideMark/>
          </w:tcPr>
          <w:p w14:paraId="489F61F0"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95% CI</w:t>
            </w:r>
          </w:p>
        </w:tc>
        <w:tc>
          <w:tcPr>
            <w:tcW w:w="1312" w:type="dxa"/>
            <w:tcBorders>
              <w:top w:val="nil"/>
              <w:left w:val="nil"/>
              <w:bottom w:val="single" w:sz="8" w:space="0" w:color="auto"/>
              <w:right w:val="single" w:sz="8" w:space="0" w:color="auto"/>
            </w:tcBorders>
            <w:shd w:val="clear" w:color="000000" w:fill="BFBFBF"/>
            <w:noWrap/>
            <w:vAlign w:val="center"/>
            <w:hideMark/>
          </w:tcPr>
          <w:p w14:paraId="257D13DF" w14:textId="77777777" w:rsidR="008D2699" w:rsidRPr="008D2699" w:rsidRDefault="00455F97" w:rsidP="008D2699">
            <w:pPr>
              <w:spacing w:after="0" w:line="240" w:lineRule="auto"/>
              <w:jc w:val="center"/>
              <w:rPr>
                <w:rFonts w:eastAsia="Times New Roman" w:cs="Times New Roman"/>
                <w:b/>
                <w:color w:val="000000"/>
                <w:sz w:val="18"/>
                <w:szCs w:val="18"/>
                <w:lang w:eastAsia="en-GB"/>
              </w:rPr>
            </w:pPr>
            <w:r w:rsidRPr="008D2699">
              <w:rPr>
                <w:rFonts w:eastAsia="Times New Roman" w:cs="Times New Roman"/>
                <w:b/>
                <w:color w:val="000000"/>
                <w:sz w:val="18"/>
                <w:szCs w:val="18"/>
                <w:lang w:eastAsia="en-GB"/>
              </w:rPr>
              <w:t>N in testing population</w:t>
            </w:r>
          </w:p>
        </w:tc>
      </w:tr>
      <w:tr w:rsidR="00E23724" w14:paraId="2B43830F" w14:textId="77777777" w:rsidTr="005B12D1">
        <w:trPr>
          <w:trHeight w:val="312"/>
          <w:jc w:val="center"/>
        </w:trPr>
        <w:tc>
          <w:tcPr>
            <w:tcW w:w="33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4C0CFED7"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Total</w:t>
            </w:r>
          </w:p>
        </w:tc>
        <w:tc>
          <w:tcPr>
            <w:tcW w:w="1239" w:type="dxa"/>
            <w:tcBorders>
              <w:top w:val="nil"/>
              <w:left w:val="nil"/>
              <w:bottom w:val="single" w:sz="8" w:space="0" w:color="auto"/>
              <w:right w:val="single" w:sz="8" w:space="0" w:color="auto"/>
            </w:tcBorders>
            <w:shd w:val="clear" w:color="auto" w:fill="auto"/>
            <w:vAlign w:val="center"/>
            <w:hideMark/>
          </w:tcPr>
          <w:p w14:paraId="2999698E"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-49.4432</w:t>
            </w:r>
          </w:p>
        </w:tc>
        <w:tc>
          <w:tcPr>
            <w:tcW w:w="1100" w:type="dxa"/>
            <w:tcBorders>
              <w:top w:val="nil"/>
              <w:left w:val="nil"/>
              <w:bottom w:val="single" w:sz="8" w:space="0" w:color="auto"/>
              <w:right w:val="single" w:sz="8" w:space="0" w:color="auto"/>
            </w:tcBorders>
            <w:shd w:val="clear" w:color="auto" w:fill="auto"/>
            <w:vAlign w:val="center"/>
            <w:hideMark/>
          </w:tcPr>
          <w:p w14:paraId="7D733231"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47597830"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0.1362</w:t>
            </w:r>
          </w:p>
        </w:tc>
        <w:tc>
          <w:tcPr>
            <w:tcW w:w="1027" w:type="dxa"/>
            <w:tcBorders>
              <w:top w:val="nil"/>
              <w:left w:val="nil"/>
              <w:bottom w:val="single" w:sz="8" w:space="0" w:color="auto"/>
              <w:right w:val="single" w:sz="8" w:space="0" w:color="auto"/>
            </w:tcBorders>
            <w:shd w:val="clear" w:color="auto" w:fill="auto"/>
            <w:noWrap/>
            <w:vAlign w:val="center"/>
            <w:hideMark/>
          </w:tcPr>
          <w:p w14:paraId="4E64A2FA"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0.1438</w:t>
            </w:r>
          </w:p>
        </w:tc>
        <w:tc>
          <w:tcPr>
            <w:tcW w:w="1312" w:type="dxa"/>
            <w:tcBorders>
              <w:top w:val="nil"/>
              <w:left w:val="nil"/>
              <w:bottom w:val="single" w:sz="8" w:space="0" w:color="auto"/>
              <w:right w:val="single" w:sz="8" w:space="0" w:color="auto"/>
            </w:tcBorders>
            <w:shd w:val="clear" w:color="auto" w:fill="auto"/>
            <w:noWrap/>
            <w:vAlign w:val="bottom"/>
            <w:hideMark/>
          </w:tcPr>
          <w:p w14:paraId="05CD2CFC"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32663</w:t>
            </w:r>
          </w:p>
        </w:tc>
      </w:tr>
      <w:tr w:rsidR="00E23724" w14:paraId="6F120471" w14:textId="77777777" w:rsidTr="005B12D1">
        <w:trPr>
          <w:trHeight w:val="312"/>
          <w:jc w:val="center"/>
        </w:trPr>
        <w:tc>
          <w:tcPr>
            <w:tcW w:w="33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5807A32D"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MI</w:t>
            </w:r>
          </w:p>
        </w:tc>
        <w:tc>
          <w:tcPr>
            <w:tcW w:w="1239" w:type="dxa"/>
            <w:tcBorders>
              <w:top w:val="nil"/>
              <w:left w:val="nil"/>
              <w:bottom w:val="single" w:sz="8" w:space="0" w:color="auto"/>
              <w:right w:val="single" w:sz="8" w:space="0" w:color="auto"/>
            </w:tcBorders>
            <w:shd w:val="clear" w:color="auto" w:fill="auto"/>
            <w:vAlign w:val="center"/>
            <w:hideMark/>
          </w:tcPr>
          <w:p w14:paraId="380BCF30"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-22.9104</w:t>
            </w:r>
          </w:p>
        </w:tc>
        <w:tc>
          <w:tcPr>
            <w:tcW w:w="1100" w:type="dxa"/>
            <w:tcBorders>
              <w:top w:val="nil"/>
              <w:left w:val="nil"/>
              <w:bottom w:val="single" w:sz="8" w:space="0" w:color="auto"/>
              <w:right w:val="single" w:sz="8" w:space="0" w:color="auto"/>
            </w:tcBorders>
            <w:shd w:val="clear" w:color="auto" w:fill="auto"/>
            <w:vAlign w:val="center"/>
            <w:hideMark/>
          </w:tcPr>
          <w:p w14:paraId="3818361C"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13E0A990"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0.1406</w:t>
            </w:r>
          </w:p>
        </w:tc>
        <w:tc>
          <w:tcPr>
            <w:tcW w:w="1027" w:type="dxa"/>
            <w:tcBorders>
              <w:top w:val="nil"/>
              <w:left w:val="nil"/>
              <w:bottom w:val="single" w:sz="8" w:space="0" w:color="auto"/>
              <w:right w:val="single" w:sz="8" w:space="0" w:color="auto"/>
            </w:tcBorders>
            <w:shd w:val="clear" w:color="auto" w:fill="auto"/>
            <w:noWrap/>
            <w:vAlign w:val="center"/>
            <w:hideMark/>
          </w:tcPr>
          <w:p w14:paraId="2CD5C78A"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0.1594</w:t>
            </w:r>
          </w:p>
        </w:tc>
        <w:tc>
          <w:tcPr>
            <w:tcW w:w="1312" w:type="dxa"/>
            <w:tcBorders>
              <w:top w:val="nil"/>
              <w:left w:val="nil"/>
              <w:bottom w:val="single" w:sz="8" w:space="0" w:color="auto"/>
              <w:right w:val="single" w:sz="8" w:space="0" w:color="auto"/>
            </w:tcBorders>
            <w:shd w:val="clear" w:color="auto" w:fill="auto"/>
            <w:noWrap/>
            <w:vAlign w:val="bottom"/>
            <w:hideMark/>
          </w:tcPr>
          <w:p w14:paraId="2054C4E3"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5514</w:t>
            </w:r>
          </w:p>
        </w:tc>
      </w:tr>
      <w:tr w:rsidR="00E23724" w14:paraId="276D55B3" w14:textId="77777777" w:rsidTr="005B12D1">
        <w:trPr>
          <w:trHeight w:val="312"/>
          <w:jc w:val="center"/>
        </w:trPr>
        <w:tc>
          <w:tcPr>
            <w:tcW w:w="33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14143EF"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MI/PCI</w:t>
            </w:r>
          </w:p>
        </w:tc>
        <w:tc>
          <w:tcPr>
            <w:tcW w:w="1239" w:type="dxa"/>
            <w:tcBorders>
              <w:top w:val="nil"/>
              <w:left w:val="nil"/>
              <w:bottom w:val="single" w:sz="8" w:space="0" w:color="auto"/>
              <w:right w:val="single" w:sz="8" w:space="0" w:color="auto"/>
            </w:tcBorders>
            <w:shd w:val="clear" w:color="auto" w:fill="auto"/>
            <w:vAlign w:val="center"/>
            <w:hideMark/>
          </w:tcPr>
          <w:p w14:paraId="5FD7FC6B"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-25.3357</w:t>
            </w:r>
          </w:p>
        </w:tc>
        <w:tc>
          <w:tcPr>
            <w:tcW w:w="1100" w:type="dxa"/>
            <w:tcBorders>
              <w:top w:val="nil"/>
              <w:left w:val="nil"/>
              <w:bottom w:val="single" w:sz="8" w:space="0" w:color="auto"/>
              <w:right w:val="single" w:sz="8" w:space="0" w:color="auto"/>
            </w:tcBorders>
            <w:shd w:val="clear" w:color="auto" w:fill="auto"/>
            <w:vAlign w:val="center"/>
            <w:hideMark/>
          </w:tcPr>
          <w:p w14:paraId="7BFB717B"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783D6900"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0.1144</w:t>
            </w:r>
          </w:p>
        </w:tc>
        <w:tc>
          <w:tcPr>
            <w:tcW w:w="1027" w:type="dxa"/>
            <w:tcBorders>
              <w:top w:val="nil"/>
              <w:left w:val="nil"/>
              <w:bottom w:val="single" w:sz="8" w:space="0" w:color="auto"/>
              <w:right w:val="single" w:sz="8" w:space="0" w:color="auto"/>
            </w:tcBorders>
            <w:shd w:val="clear" w:color="auto" w:fill="auto"/>
            <w:noWrap/>
            <w:vAlign w:val="center"/>
            <w:hideMark/>
          </w:tcPr>
          <w:p w14:paraId="66F225CD"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0.1256</w:t>
            </w:r>
          </w:p>
        </w:tc>
        <w:tc>
          <w:tcPr>
            <w:tcW w:w="1312" w:type="dxa"/>
            <w:tcBorders>
              <w:top w:val="nil"/>
              <w:left w:val="nil"/>
              <w:bottom w:val="single" w:sz="8" w:space="0" w:color="auto"/>
              <w:right w:val="single" w:sz="8" w:space="0" w:color="auto"/>
            </w:tcBorders>
            <w:shd w:val="clear" w:color="auto" w:fill="auto"/>
            <w:noWrap/>
            <w:vAlign w:val="bottom"/>
            <w:hideMark/>
          </w:tcPr>
          <w:p w14:paraId="72A10C9A"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13147</w:t>
            </w:r>
          </w:p>
        </w:tc>
      </w:tr>
      <w:tr w:rsidR="00E23724" w14:paraId="7D5E792D" w14:textId="77777777" w:rsidTr="005B12D1">
        <w:trPr>
          <w:trHeight w:val="312"/>
          <w:jc w:val="center"/>
        </w:trPr>
        <w:tc>
          <w:tcPr>
            <w:tcW w:w="33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87D8148"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PCI</w:t>
            </w:r>
          </w:p>
        </w:tc>
        <w:tc>
          <w:tcPr>
            <w:tcW w:w="1239" w:type="dxa"/>
            <w:tcBorders>
              <w:top w:val="nil"/>
              <w:left w:val="nil"/>
              <w:bottom w:val="single" w:sz="8" w:space="0" w:color="auto"/>
              <w:right w:val="single" w:sz="8" w:space="0" w:color="auto"/>
            </w:tcBorders>
            <w:shd w:val="clear" w:color="auto" w:fill="auto"/>
            <w:vAlign w:val="center"/>
            <w:hideMark/>
          </w:tcPr>
          <w:p w14:paraId="71D5650B"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-22.9448</w:t>
            </w:r>
          </w:p>
        </w:tc>
        <w:tc>
          <w:tcPr>
            <w:tcW w:w="1100" w:type="dxa"/>
            <w:tcBorders>
              <w:top w:val="nil"/>
              <w:left w:val="nil"/>
              <w:bottom w:val="single" w:sz="8" w:space="0" w:color="auto"/>
              <w:right w:val="single" w:sz="8" w:space="0" w:color="auto"/>
            </w:tcBorders>
            <w:shd w:val="clear" w:color="auto" w:fill="auto"/>
            <w:vAlign w:val="center"/>
            <w:hideMark/>
          </w:tcPr>
          <w:p w14:paraId="2292588D"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635BCEF2"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0.1418</w:t>
            </w:r>
          </w:p>
        </w:tc>
        <w:tc>
          <w:tcPr>
            <w:tcW w:w="1027" w:type="dxa"/>
            <w:tcBorders>
              <w:top w:val="nil"/>
              <w:left w:val="nil"/>
              <w:bottom w:val="single" w:sz="8" w:space="0" w:color="auto"/>
              <w:right w:val="single" w:sz="8" w:space="0" w:color="auto"/>
            </w:tcBorders>
            <w:shd w:val="clear" w:color="auto" w:fill="auto"/>
            <w:noWrap/>
            <w:vAlign w:val="center"/>
            <w:hideMark/>
          </w:tcPr>
          <w:p w14:paraId="541EFCD2"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0.1582</w:t>
            </w:r>
          </w:p>
        </w:tc>
        <w:tc>
          <w:tcPr>
            <w:tcW w:w="1312" w:type="dxa"/>
            <w:tcBorders>
              <w:top w:val="nil"/>
              <w:left w:val="nil"/>
              <w:bottom w:val="single" w:sz="8" w:space="0" w:color="auto"/>
              <w:right w:val="single" w:sz="8" w:space="0" w:color="auto"/>
            </w:tcBorders>
            <w:shd w:val="clear" w:color="auto" w:fill="auto"/>
            <w:noWrap/>
            <w:vAlign w:val="bottom"/>
            <w:hideMark/>
          </w:tcPr>
          <w:p w14:paraId="43D5D523"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7206</w:t>
            </w:r>
          </w:p>
        </w:tc>
      </w:tr>
      <w:tr w:rsidR="00E23724" w14:paraId="204ADA59" w14:textId="77777777" w:rsidTr="005B12D1">
        <w:trPr>
          <w:trHeight w:val="312"/>
          <w:jc w:val="center"/>
        </w:trPr>
        <w:tc>
          <w:tcPr>
            <w:tcW w:w="3323"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14:paraId="2C5BAEE8"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CABG</w:t>
            </w:r>
          </w:p>
        </w:tc>
        <w:tc>
          <w:tcPr>
            <w:tcW w:w="1239" w:type="dxa"/>
            <w:tcBorders>
              <w:top w:val="nil"/>
              <w:left w:val="nil"/>
              <w:bottom w:val="single" w:sz="8" w:space="0" w:color="auto"/>
              <w:right w:val="single" w:sz="8" w:space="0" w:color="auto"/>
            </w:tcBorders>
            <w:shd w:val="clear" w:color="auto" w:fill="auto"/>
            <w:vAlign w:val="center"/>
            <w:hideMark/>
          </w:tcPr>
          <w:p w14:paraId="5451C1FD"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-21.3896</w:t>
            </w:r>
          </w:p>
        </w:tc>
        <w:tc>
          <w:tcPr>
            <w:tcW w:w="1100" w:type="dxa"/>
            <w:tcBorders>
              <w:top w:val="nil"/>
              <w:left w:val="nil"/>
              <w:bottom w:val="single" w:sz="8" w:space="0" w:color="auto"/>
              <w:right w:val="single" w:sz="8" w:space="0" w:color="auto"/>
            </w:tcBorders>
            <w:shd w:val="clear" w:color="auto" w:fill="auto"/>
            <w:vAlign w:val="center"/>
            <w:hideMark/>
          </w:tcPr>
          <w:p w14:paraId="5F8BDA3B"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133FE2AD"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0.1807</w:t>
            </w:r>
          </w:p>
        </w:tc>
        <w:tc>
          <w:tcPr>
            <w:tcW w:w="1027" w:type="dxa"/>
            <w:tcBorders>
              <w:top w:val="nil"/>
              <w:left w:val="nil"/>
              <w:bottom w:val="single" w:sz="8" w:space="0" w:color="auto"/>
              <w:right w:val="single" w:sz="8" w:space="0" w:color="auto"/>
            </w:tcBorders>
            <w:shd w:val="clear" w:color="auto" w:fill="auto"/>
            <w:noWrap/>
            <w:vAlign w:val="center"/>
            <w:hideMark/>
          </w:tcPr>
          <w:p w14:paraId="14E7C724"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0.1993</w:t>
            </w:r>
          </w:p>
        </w:tc>
        <w:tc>
          <w:tcPr>
            <w:tcW w:w="1312" w:type="dxa"/>
            <w:tcBorders>
              <w:top w:val="nil"/>
              <w:left w:val="nil"/>
              <w:bottom w:val="single" w:sz="8" w:space="0" w:color="auto"/>
              <w:right w:val="single" w:sz="8" w:space="0" w:color="auto"/>
            </w:tcBorders>
            <w:shd w:val="clear" w:color="auto" w:fill="auto"/>
            <w:noWrap/>
            <w:vAlign w:val="bottom"/>
            <w:hideMark/>
          </w:tcPr>
          <w:p w14:paraId="1ACF5DB6"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6796</w:t>
            </w:r>
          </w:p>
        </w:tc>
      </w:tr>
      <w:tr w:rsidR="00E23724" w14:paraId="22851A26" w14:textId="77777777" w:rsidTr="005B12D1">
        <w:trPr>
          <w:trHeight w:val="312"/>
          <w:jc w:val="center"/>
        </w:trPr>
        <w:tc>
          <w:tcPr>
            <w:tcW w:w="1701" w:type="dxa"/>
            <w:vMerge w:val="restart"/>
            <w:tcBorders>
              <w:top w:val="nil"/>
              <w:left w:val="single" w:sz="8" w:space="0" w:color="auto"/>
              <w:bottom w:val="single" w:sz="8" w:space="0" w:color="auto"/>
              <w:right w:val="single" w:sz="8" w:space="0" w:color="auto"/>
            </w:tcBorders>
            <w:shd w:val="clear" w:color="000000" w:fill="BFBFBF"/>
            <w:noWrap/>
            <w:vAlign w:val="center"/>
            <w:hideMark/>
          </w:tcPr>
          <w:p w14:paraId="72A749E4"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Gender</w:t>
            </w:r>
          </w:p>
        </w:tc>
        <w:tc>
          <w:tcPr>
            <w:tcW w:w="1622" w:type="dxa"/>
            <w:tcBorders>
              <w:top w:val="nil"/>
              <w:left w:val="nil"/>
              <w:bottom w:val="single" w:sz="8" w:space="0" w:color="auto"/>
              <w:right w:val="single" w:sz="8" w:space="0" w:color="auto"/>
            </w:tcBorders>
            <w:shd w:val="clear" w:color="000000" w:fill="BFBFBF"/>
            <w:vAlign w:val="center"/>
            <w:hideMark/>
          </w:tcPr>
          <w:p w14:paraId="16CAAD90"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Female</w:t>
            </w:r>
          </w:p>
        </w:tc>
        <w:tc>
          <w:tcPr>
            <w:tcW w:w="1239" w:type="dxa"/>
            <w:tcBorders>
              <w:top w:val="nil"/>
              <w:left w:val="nil"/>
              <w:bottom w:val="single" w:sz="8" w:space="0" w:color="auto"/>
              <w:right w:val="single" w:sz="8" w:space="0" w:color="auto"/>
            </w:tcBorders>
            <w:shd w:val="clear" w:color="auto" w:fill="auto"/>
            <w:vAlign w:val="center"/>
            <w:hideMark/>
          </w:tcPr>
          <w:p w14:paraId="787118FE"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-26.3939</w:t>
            </w:r>
          </w:p>
        </w:tc>
        <w:tc>
          <w:tcPr>
            <w:tcW w:w="1100" w:type="dxa"/>
            <w:tcBorders>
              <w:top w:val="nil"/>
              <w:left w:val="nil"/>
              <w:bottom w:val="single" w:sz="8" w:space="0" w:color="auto"/>
              <w:right w:val="single" w:sz="8" w:space="0" w:color="auto"/>
            </w:tcBorders>
            <w:shd w:val="clear" w:color="auto" w:fill="auto"/>
            <w:vAlign w:val="center"/>
            <w:hideMark/>
          </w:tcPr>
          <w:p w14:paraId="25D8C482"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07F76900"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0.1335</w:t>
            </w:r>
          </w:p>
        </w:tc>
        <w:tc>
          <w:tcPr>
            <w:tcW w:w="1027" w:type="dxa"/>
            <w:tcBorders>
              <w:top w:val="nil"/>
              <w:left w:val="nil"/>
              <w:bottom w:val="single" w:sz="8" w:space="0" w:color="auto"/>
              <w:right w:val="single" w:sz="8" w:space="0" w:color="auto"/>
            </w:tcBorders>
            <w:shd w:val="clear" w:color="auto" w:fill="auto"/>
            <w:noWrap/>
            <w:vAlign w:val="center"/>
            <w:hideMark/>
          </w:tcPr>
          <w:p w14:paraId="3983DA33"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0.1465</w:t>
            </w:r>
          </w:p>
        </w:tc>
        <w:tc>
          <w:tcPr>
            <w:tcW w:w="1312" w:type="dxa"/>
            <w:tcBorders>
              <w:top w:val="nil"/>
              <w:left w:val="nil"/>
              <w:bottom w:val="single" w:sz="8" w:space="0" w:color="auto"/>
              <w:right w:val="single" w:sz="8" w:space="0" w:color="auto"/>
            </w:tcBorders>
            <w:shd w:val="clear" w:color="auto" w:fill="auto"/>
            <w:noWrap/>
            <w:vAlign w:val="bottom"/>
            <w:hideMark/>
          </w:tcPr>
          <w:p w14:paraId="1256AF05"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9327</w:t>
            </w:r>
          </w:p>
        </w:tc>
      </w:tr>
      <w:tr w:rsidR="00E23724" w14:paraId="64E0B989" w14:textId="77777777" w:rsidTr="005B12D1">
        <w:trPr>
          <w:trHeight w:val="312"/>
          <w:jc w:val="center"/>
        </w:trPr>
        <w:tc>
          <w:tcPr>
            <w:tcW w:w="1701" w:type="dxa"/>
            <w:vMerge/>
            <w:tcBorders>
              <w:top w:val="nil"/>
              <w:left w:val="single" w:sz="8" w:space="0" w:color="auto"/>
              <w:bottom w:val="single" w:sz="8" w:space="0" w:color="auto"/>
              <w:right w:val="single" w:sz="8" w:space="0" w:color="auto"/>
            </w:tcBorders>
            <w:vAlign w:val="center"/>
            <w:hideMark/>
          </w:tcPr>
          <w:p w14:paraId="6748FAA5" w14:textId="77777777" w:rsidR="008D2699" w:rsidRPr="008D2699" w:rsidRDefault="000D3B50" w:rsidP="008D2699">
            <w:pPr>
              <w:spacing w:after="0" w:line="240" w:lineRule="auto"/>
              <w:rPr>
                <w:rFonts w:eastAsia="Times New Roman" w:cs="Times New Roman"/>
                <w:b/>
                <w:bCs/>
                <w:color w:val="000000"/>
                <w:sz w:val="18"/>
                <w:szCs w:val="18"/>
                <w:lang w:eastAsia="en-GB"/>
              </w:rPr>
            </w:pPr>
          </w:p>
        </w:tc>
        <w:tc>
          <w:tcPr>
            <w:tcW w:w="1622" w:type="dxa"/>
            <w:tcBorders>
              <w:top w:val="nil"/>
              <w:left w:val="nil"/>
              <w:bottom w:val="single" w:sz="8" w:space="0" w:color="auto"/>
              <w:right w:val="single" w:sz="8" w:space="0" w:color="auto"/>
            </w:tcBorders>
            <w:shd w:val="clear" w:color="000000" w:fill="BFBFBF"/>
            <w:vAlign w:val="center"/>
            <w:hideMark/>
          </w:tcPr>
          <w:p w14:paraId="75C479C9"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Male</w:t>
            </w:r>
          </w:p>
        </w:tc>
        <w:tc>
          <w:tcPr>
            <w:tcW w:w="1239" w:type="dxa"/>
            <w:tcBorders>
              <w:top w:val="nil"/>
              <w:left w:val="nil"/>
              <w:bottom w:val="single" w:sz="8" w:space="0" w:color="auto"/>
              <w:right w:val="single" w:sz="8" w:space="0" w:color="auto"/>
            </w:tcBorders>
            <w:shd w:val="clear" w:color="auto" w:fill="auto"/>
            <w:vAlign w:val="center"/>
            <w:hideMark/>
          </w:tcPr>
          <w:p w14:paraId="0D80F8CD"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-49.1857</w:t>
            </w:r>
          </w:p>
        </w:tc>
        <w:tc>
          <w:tcPr>
            <w:tcW w:w="1100" w:type="dxa"/>
            <w:tcBorders>
              <w:top w:val="nil"/>
              <w:left w:val="nil"/>
              <w:bottom w:val="single" w:sz="8" w:space="0" w:color="auto"/>
              <w:right w:val="single" w:sz="8" w:space="0" w:color="auto"/>
            </w:tcBorders>
            <w:shd w:val="clear" w:color="auto" w:fill="auto"/>
            <w:vAlign w:val="center"/>
            <w:hideMark/>
          </w:tcPr>
          <w:p w14:paraId="27D58FCA"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46F9FE84"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0.1459</w:t>
            </w:r>
          </w:p>
        </w:tc>
        <w:tc>
          <w:tcPr>
            <w:tcW w:w="1027" w:type="dxa"/>
            <w:tcBorders>
              <w:top w:val="nil"/>
              <w:left w:val="nil"/>
              <w:bottom w:val="single" w:sz="8" w:space="0" w:color="auto"/>
              <w:right w:val="single" w:sz="8" w:space="0" w:color="auto"/>
            </w:tcBorders>
            <w:shd w:val="clear" w:color="auto" w:fill="auto"/>
            <w:noWrap/>
            <w:vAlign w:val="center"/>
            <w:hideMark/>
          </w:tcPr>
          <w:p w14:paraId="7FA5E863"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0.1541</w:t>
            </w:r>
          </w:p>
        </w:tc>
        <w:tc>
          <w:tcPr>
            <w:tcW w:w="1312" w:type="dxa"/>
            <w:tcBorders>
              <w:top w:val="nil"/>
              <w:left w:val="nil"/>
              <w:bottom w:val="single" w:sz="8" w:space="0" w:color="auto"/>
              <w:right w:val="single" w:sz="8" w:space="0" w:color="auto"/>
            </w:tcBorders>
            <w:shd w:val="clear" w:color="auto" w:fill="auto"/>
            <w:noWrap/>
            <w:vAlign w:val="bottom"/>
            <w:hideMark/>
          </w:tcPr>
          <w:p w14:paraId="1AD12763"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28859</w:t>
            </w:r>
          </w:p>
        </w:tc>
      </w:tr>
      <w:tr w:rsidR="00E23724" w14:paraId="5A91A1BE" w14:textId="77777777" w:rsidTr="005B12D1">
        <w:trPr>
          <w:trHeight w:val="312"/>
          <w:jc w:val="center"/>
        </w:trPr>
        <w:tc>
          <w:tcPr>
            <w:tcW w:w="1701" w:type="dxa"/>
            <w:vMerge w:val="restart"/>
            <w:tcBorders>
              <w:top w:val="nil"/>
              <w:left w:val="single" w:sz="8" w:space="0" w:color="auto"/>
              <w:bottom w:val="single" w:sz="8" w:space="0" w:color="auto"/>
              <w:right w:val="single" w:sz="8" w:space="0" w:color="auto"/>
            </w:tcBorders>
            <w:shd w:val="clear" w:color="000000" w:fill="BFBFBF"/>
            <w:noWrap/>
            <w:vAlign w:val="center"/>
            <w:hideMark/>
          </w:tcPr>
          <w:p w14:paraId="1C3A9BEE"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Age Groups</w:t>
            </w:r>
          </w:p>
        </w:tc>
        <w:tc>
          <w:tcPr>
            <w:tcW w:w="1622" w:type="dxa"/>
            <w:tcBorders>
              <w:top w:val="nil"/>
              <w:left w:val="nil"/>
              <w:bottom w:val="single" w:sz="8" w:space="0" w:color="auto"/>
              <w:right w:val="single" w:sz="8" w:space="0" w:color="auto"/>
            </w:tcBorders>
            <w:shd w:val="clear" w:color="000000" w:fill="BFBFBF"/>
            <w:noWrap/>
            <w:vAlign w:val="center"/>
            <w:hideMark/>
          </w:tcPr>
          <w:p w14:paraId="0F7CC72A"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&lt;40</w:t>
            </w:r>
          </w:p>
        </w:tc>
        <w:tc>
          <w:tcPr>
            <w:tcW w:w="1239" w:type="dxa"/>
            <w:tcBorders>
              <w:top w:val="nil"/>
              <w:left w:val="nil"/>
              <w:bottom w:val="single" w:sz="8" w:space="0" w:color="auto"/>
              <w:right w:val="single" w:sz="8" w:space="0" w:color="auto"/>
            </w:tcBorders>
            <w:shd w:val="clear" w:color="auto" w:fill="auto"/>
            <w:vAlign w:val="center"/>
            <w:hideMark/>
          </w:tcPr>
          <w:p w14:paraId="40F15798"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-6.5377</w:t>
            </w:r>
          </w:p>
        </w:tc>
        <w:tc>
          <w:tcPr>
            <w:tcW w:w="1100" w:type="dxa"/>
            <w:tcBorders>
              <w:top w:val="nil"/>
              <w:left w:val="nil"/>
              <w:bottom w:val="single" w:sz="8" w:space="0" w:color="auto"/>
              <w:right w:val="single" w:sz="8" w:space="0" w:color="auto"/>
            </w:tcBorders>
            <w:shd w:val="clear" w:color="auto" w:fill="auto"/>
            <w:vAlign w:val="center"/>
            <w:hideMark/>
          </w:tcPr>
          <w:p w14:paraId="05BA4B0C"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56DDC341"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0.0427</w:t>
            </w:r>
          </w:p>
        </w:tc>
        <w:tc>
          <w:tcPr>
            <w:tcW w:w="1027" w:type="dxa"/>
            <w:tcBorders>
              <w:top w:val="nil"/>
              <w:left w:val="nil"/>
              <w:bottom w:val="single" w:sz="8" w:space="0" w:color="auto"/>
              <w:right w:val="single" w:sz="8" w:space="0" w:color="auto"/>
            </w:tcBorders>
            <w:shd w:val="clear" w:color="auto" w:fill="auto"/>
            <w:noWrap/>
            <w:vAlign w:val="center"/>
            <w:hideMark/>
          </w:tcPr>
          <w:p w14:paraId="149881C9"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0.0713</w:t>
            </w:r>
          </w:p>
        </w:tc>
        <w:tc>
          <w:tcPr>
            <w:tcW w:w="1312" w:type="dxa"/>
            <w:tcBorders>
              <w:top w:val="nil"/>
              <w:left w:val="nil"/>
              <w:bottom w:val="single" w:sz="8" w:space="0" w:color="auto"/>
              <w:right w:val="single" w:sz="8" w:space="0" w:color="auto"/>
            </w:tcBorders>
            <w:shd w:val="clear" w:color="auto" w:fill="auto"/>
            <w:noWrap/>
            <w:vAlign w:val="bottom"/>
            <w:hideMark/>
          </w:tcPr>
          <w:p w14:paraId="39B7C872"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1011</w:t>
            </w:r>
          </w:p>
        </w:tc>
      </w:tr>
      <w:tr w:rsidR="00E23724" w14:paraId="02A06801" w14:textId="77777777" w:rsidTr="005B12D1">
        <w:trPr>
          <w:trHeight w:val="312"/>
          <w:jc w:val="center"/>
        </w:trPr>
        <w:tc>
          <w:tcPr>
            <w:tcW w:w="1701" w:type="dxa"/>
            <w:vMerge/>
            <w:tcBorders>
              <w:top w:val="nil"/>
              <w:left w:val="single" w:sz="8" w:space="0" w:color="auto"/>
              <w:bottom w:val="single" w:sz="8" w:space="0" w:color="auto"/>
              <w:right w:val="single" w:sz="8" w:space="0" w:color="auto"/>
            </w:tcBorders>
            <w:vAlign w:val="center"/>
            <w:hideMark/>
          </w:tcPr>
          <w:p w14:paraId="1FF6D82F" w14:textId="77777777" w:rsidR="008D2699" w:rsidRPr="008D2699" w:rsidRDefault="000D3B50" w:rsidP="008D2699">
            <w:pPr>
              <w:spacing w:after="0" w:line="240" w:lineRule="auto"/>
              <w:rPr>
                <w:rFonts w:eastAsia="Times New Roman" w:cs="Times New Roman"/>
                <w:b/>
                <w:bCs/>
                <w:color w:val="000000"/>
                <w:sz w:val="18"/>
                <w:szCs w:val="18"/>
                <w:lang w:eastAsia="en-GB"/>
              </w:rPr>
            </w:pPr>
          </w:p>
        </w:tc>
        <w:tc>
          <w:tcPr>
            <w:tcW w:w="1622" w:type="dxa"/>
            <w:tcBorders>
              <w:top w:val="nil"/>
              <w:left w:val="nil"/>
              <w:bottom w:val="single" w:sz="8" w:space="0" w:color="auto"/>
              <w:right w:val="single" w:sz="8" w:space="0" w:color="auto"/>
            </w:tcBorders>
            <w:shd w:val="clear" w:color="000000" w:fill="BFBFBF"/>
            <w:noWrap/>
            <w:vAlign w:val="center"/>
            <w:hideMark/>
          </w:tcPr>
          <w:p w14:paraId="5BD0349A"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41-60</w:t>
            </w:r>
          </w:p>
        </w:tc>
        <w:tc>
          <w:tcPr>
            <w:tcW w:w="1239" w:type="dxa"/>
            <w:tcBorders>
              <w:top w:val="nil"/>
              <w:left w:val="nil"/>
              <w:bottom w:val="single" w:sz="8" w:space="0" w:color="auto"/>
              <w:right w:val="single" w:sz="8" w:space="0" w:color="auto"/>
            </w:tcBorders>
            <w:shd w:val="clear" w:color="auto" w:fill="auto"/>
            <w:vAlign w:val="center"/>
            <w:hideMark/>
          </w:tcPr>
          <w:p w14:paraId="5D7ED441"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-36.1586</w:t>
            </w:r>
          </w:p>
        </w:tc>
        <w:tc>
          <w:tcPr>
            <w:tcW w:w="1100" w:type="dxa"/>
            <w:tcBorders>
              <w:top w:val="nil"/>
              <w:left w:val="nil"/>
              <w:bottom w:val="single" w:sz="8" w:space="0" w:color="auto"/>
              <w:right w:val="single" w:sz="8" w:space="0" w:color="auto"/>
            </w:tcBorders>
            <w:shd w:val="clear" w:color="auto" w:fill="auto"/>
            <w:vAlign w:val="center"/>
            <w:hideMark/>
          </w:tcPr>
          <w:p w14:paraId="65A1B96C"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08534F16"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0.1164</w:t>
            </w:r>
          </w:p>
        </w:tc>
        <w:tc>
          <w:tcPr>
            <w:tcW w:w="1027" w:type="dxa"/>
            <w:tcBorders>
              <w:top w:val="nil"/>
              <w:left w:val="nil"/>
              <w:bottom w:val="single" w:sz="8" w:space="0" w:color="auto"/>
              <w:right w:val="single" w:sz="8" w:space="0" w:color="auto"/>
            </w:tcBorders>
            <w:shd w:val="clear" w:color="auto" w:fill="auto"/>
            <w:noWrap/>
            <w:vAlign w:val="center"/>
            <w:hideMark/>
          </w:tcPr>
          <w:p w14:paraId="7F0DB337"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0.1276</w:t>
            </w:r>
          </w:p>
        </w:tc>
        <w:tc>
          <w:tcPr>
            <w:tcW w:w="1312" w:type="dxa"/>
            <w:tcBorders>
              <w:top w:val="nil"/>
              <w:left w:val="nil"/>
              <w:bottom w:val="single" w:sz="8" w:space="0" w:color="auto"/>
              <w:right w:val="single" w:sz="8" w:space="0" w:color="auto"/>
            </w:tcBorders>
            <w:shd w:val="clear" w:color="auto" w:fill="auto"/>
            <w:noWrap/>
            <w:vAlign w:val="bottom"/>
            <w:hideMark/>
          </w:tcPr>
          <w:p w14:paraId="4BA135F9"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13209</w:t>
            </w:r>
          </w:p>
        </w:tc>
      </w:tr>
      <w:tr w:rsidR="00E23724" w14:paraId="138D1C66" w14:textId="77777777" w:rsidTr="005B12D1">
        <w:trPr>
          <w:trHeight w:val="445"/>
          <w:jc w:val="center"/>
        </w:trPr>
        <w:tc>
          <w:tcPr>
            <w:tcW w:w="1701" w:type="dxa"/>
            <w:vMerge/>
            <w:tcBorders>
              <w:top w:val="nil"/>
              <w:left w:val="single" w:sz="8" w:space="0" w:color="auto"/>
              <w:bottom w:val="single" w:sz="8" w:space="0" w:color="auto"/>
              <w:right w:val="single" w:sz="8" w:space="0" w:color="auto"/>
            </w:tcBorders>
            <w:vAlign w:val="center"/>
            <w:hideMark/>
          </w:tcPr>
          <w:p w14:paraId="5EC299F8" w14:textId="77777777" w:rsidR="008D2699" w:rsidRPr="008D2699" w:rsidRDefault="000D3B50" w:rsidP="008D2699">
            <w:pPr>
              <w:spacing w:after="0" w:line="240" w:lineRule="auto"/>
              <w:rPr>
                <w:rFonts w:eastAsia="Times New Roman" w:cs="Times New Roman"/>
                <w:b/>
                <w:bCs/>
                <w:color w:val="000000"/>
                <w:sz w:val="18"/>
                <w:szCs w:val="18"/>
                <w:lang w:eastAsia="en-GB"/>
              </w:rPr>
            </w:pPr>
          </w:p>
        </w:tc>
        <w:tc>
          <w:tcPr>
            <w:tcW w:w="1622" w:type="dxa"/>
            <w:tcBorders>
              <w:top w:val="nil"/>
              <w:left w:val="nil"/>
              <w:bottom w:val="single" w:sz="8" w:space="0" w:color="auto"/>
              <w:right w:val="single" w:sz="8" w:space="0" w:color="auto"/>
            </w:tcBorders>
            <w:shd w:val="clear" w:color="000000" w:fill="BFBFBF"/>
            <w:noWrap/>
            <w:vAlign w:val="center"/>
            <w:hideMark/>
          </w:tcPr>
          <w:p w14:paraId="6A99B45B"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61-80</w:t>
            </w:r>
          </w:p>
        </w:tc>
        <w:tc>
          <w:tcPr>
            <w:tcW w:w="1239" w:type="dxa"/>
            <w:tcBorders>
              <w:top w:val="nil"/>
              <w:left w:val="nil"/>
              <w:bottom w:val="single" w:sz="8" w:space="0" w:color="auto"/>
              <w:right w:val="single" w:sz="8" w:space="0" w:color="auto"/>
            </w:tcBorders>
            <w:shd w:val="clear" w:color="auto" w:fill="auto"/>
            <w:vAlign w:val="center"/>
            <w:hideMark/>
          </w:tcPr>
          <w:p w14:paraId="25A9022B"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-50.7545</w:t>
            </w:r>
          </w:p>
        </w:tc>
        <w:tc>
          <w:tcPr>
            <w:tcW w:w="1100" w:type="dxa"/>
            <w:tcBorders>
              <w:top w:val="nil"/>
              <w:left w:val="nil"/>
              <w:bottom w:val="single" w:sz="8" w:space="0" w:color="auto"/>
              <w:right w:val="single" w:sz="8" w:space="0" w:color="auto"/>
            </w:tcBorders>
            <w:shd w:val="clear" w:color="auto" w:fill="auto"/>
            <w:vAlign w:val="center"/>
            <w:hideMark/>
          </w:tcPr>
          <w:p w14:paraId="5FC4EFCE"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213096EB"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0.1474</w:t>
            </w:r>
          </w:p>
        </w:tc>
        <w:tc>
          <w:tcPr>
            <w:tcW w:w="1027" w:type="dxa"/>
            <w:tcBorders>
              <w:top w:val="nil"/>
              <w:left w:val="nil"/>
              <w:bottom w:val="single" w:sz="8" w:space="0" w:color="auto"/>
              <w:right w:val="single" w:sz="8" w:space="0" w:color="auto"/>
            </w:tcBorders>
            <w:shd w:val="clear" w:color="auto" w:fill="auto"/>
            <w:noWrap/>
            <w:vAlign w:val="center"/>
            <w:hideMark/>
          </w:tcPr>
          <w:p w14:paraId="601A6A1E"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0.1566</w:t>
            </w:r>
          </w:p>
        </w:tc>
        <w:tc>
          <w:tcPr>
            <w:tcW w:w="1312" w:type="dxa"/>
            <w:tcBorders>
              <w:top w:val="nil"/>
              <w:left w:val="nil"/>
              <w:bottom w:val="single" w:sz="8" w:space="0" w:color="auto"/>
              <w:right w:val="single" w:sz="8" w:space="0" w:color="auto"/>
            </w:tcBorders>
            <w:shd w:val="clear" w:color="auto" w:fill="auto"/>
            <w:noWrap/>
            <w:vAlign w:val="bottom"/>
            <w:hideMark/>
          </w:tcPr>
          <w:p w14:paraId="7065FC4D"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23860</w:t>
            </w:r>
          </w:p>
        </w:tc>
      </w:tr>
      <w:tr w:rsidR="00E23724" w14:paraId="695E89CA" w14:textId="77777777" w:rsidTr="005B12D1">
        <w:trPr>
          <w:trHeight w:val="312"/>
          <w:jc w:val="center"/>
        </w:trPr>
        <w:tc>
          <w:tcPr>
            <w:tcW w:w="1701" w:type="dxa"/>
            <w:vMerge/>
            <w:tcBorders>
              <w:top w:val="nil"/>
              <w:left w:val="single" w:sz="8" w:space="0" w:color="auto"/>
              <w:bottom w:val="single" w:sz="8" w:space="0" w:color="auto"/>
              <w:right w:val="single" w:sz="8" w:space="0" w:color="auto"/>
            </w:tcBorders>
            <w:vAlign w:val="center"/>
            <w:hideMark/>
          </w:tcPr>
          <w:p w14:paraId="27872370" w14:textId="77777777" w:rsidR="008D2699" w:rsidRPr="008D2699" w:rsidRDefault="000D3B50" w:rsidP="008D2699">
            <w:pPr>
              <w:spacing w:after="0" w:line="240" w:lineRule="auto"/>
              <w:rPr>
                <w:rFonts w:eastAsia="Times New Roman" w:cs="Times New Roman"/>
                <w:b/>
                <w:bCs/>
                <w:color w:val="000000"/>
                <w:sz w:val="18"/>
                <w:szCs w:val="18"/>
                <w:lang w:eastAsia="en-GB"/>
              </w:rPr>
            </w:pPr>
          </w:p>
        </w:tc>
        <w:tc>
          <w:tcPr>
            <w:tcW w:w="1622" w:type="dxa"/>
            <w:tcBorders>
              <w:top w:val="nil"/>
              <w:left w:val="nil"/>
              <w:bottom w:val="single" w:sz="8" w:space="0" w:color="auto"/>
              <w:right w:val="single" w:sz="8" w:space="0" w:color="auto"/>
            </w:tcBorders>
            <w:shd w:val="clear" w:color="000000" w:fill="BFBFBF"/>
            <w:noWrap/>
            <w:vAlign w:val="center"/>
            <w:hideMark/>
          </w:tcPr>
          <w:p w14:paraId="066743E0" w14:textId="77777777" w:rsidR="008D2699" w:rsidRPr="008D2699" w:rsidRDefault="00455F97" w:rsidP="008D2699">
            <w:pPr>
              <w:spacing w:after="0" w:line="240" w:lineRule="auto"/>
              <w:jc w:val="center"/>
              <w:rPr>
                <w:rFonts w:eastAsia="Times New Roman" w:cs="Times New Roman"/>
                <w:b/>
                <w:bCs/>
                <w:color w:val="000000"/>
                <w:sz w:val="18"/>
                <w:szCs w:val="18"/>
                <w:lang w:eastAsia="en-GB"/>
              </w:rPr>
            </w:pPr>
            <w:r w:rsidRPr="008D2699">
              <w:rPr>
                <w:rFonts w:eastAsia="Times New Roman" w:cs="Times New Roman"/>
                <w:b/>
                <w:bCs/>
                <w:color w:val="000000"/>
                <w:sz w:val="18"/>
                <w:szCs w:val="18"/>
                <w:lang w:eastAsia="en-GB"/>
              </w:rPr>
              <w:t>80+</w:t>
            </w:r>
          </w:p>
        </w:tc>
        <w:tc>
          <w:tcPr>
            <w:tcW w:w="1239" w:type="dxa"/>
            <w:tcBorders>
              <w:top w:val="nil"/>
              <w:left w:val="nil"/>
              <w:bottom w:val="single" w:sz="8" w:space="0" w:color="auto"/>
              <w:right w:val="single" w:sz="8" w:space="0" w:color="auto"/>
            </w:tcBorders>
            <w:shd w:val="clear" w:color="auto" w:fill="auto"/>
            <w:vAlign w:val="center"/>
            <w:hideMark/>
          </w:tcPr>
          <w:p w14:paraId="42A3A717"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-14.2057</w:t>
            </w:r>
          </w:p>
        </w:tc>
        <w:tc>
          <w:tcPr>
            <w:tcW w:w="1100" w:type="dxa"/>
            <w:tcBorders>
              <w:top w:val="nil"/>
              <w:left w:val="nil"/>
              <w:bottom w:val="single" w:sz="8" w:space="0" w:color="auto"/>
              <w:right w:val="single" w:sz="8" w:space="0" w:color="auto"/>
            </w:tcBorders>
            <w:shd w:val="clear" w:color="auto" w:fill="auto"/>
            <w:vAlign w:val="center"/>
            <w:hideMark/>
          </w:tcPr>
          <w:p w14:paraId="1B4DF879"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&lt;0.001</w:t>
            </w:r>
          </w:p>
        </w:tc>
        <w:tc>
          <w:tcPr>
            <w:tcW w:w="1108" w:type="dxa"/>
            <w:tcBorders>
              <w:top w:val="nil"/>
              <w:left w:val="nil"/>
              <w:bottom w:val="single" w:sz="8" w:space="0" w:color="auto"/>
              <w:right w:val="single" w:sz="8" w:space="0" w:color="auto"/>
            </w:tcBorders>
            <w:shd w:val="clear" w:color="auto" w:fill="auto"/>
            <w:noWrap/>
            <w:vAlign w:val="center"/>
            <w:hideMark/>
          </w:tcPr>
          <w:p w14:paraId="1941E8A4"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0.1162</w:t>
            </w:r>
          </w:p>
        </w:tc>
        <w:tc>
          <w:tcPr>
            <w:tcW w:w="1027" w:type="dxa"/>
            <w:tcBorders>
              <w:top w:val="nil"/>
              <w:left w:val="nil"/>
              <w:bottom w:val="single" w:sz="8" w:space="0" w:color="auto"/>
              <w:right w:val="single" w:sz="8" w:space="0" w:color="auto"/>
            </w:tcBorders>
            <w:shd w:val="clear" w:color="auto" w:fill="auto"/>
            <w:noWrap/>
            <w:vAlign w:val="center"/>
            <w:hideMark/>
          </w:tcPr>
          <w:p w14:paraId="10869547"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0.1378</w:t>
            </w:r>
          </w:p>
        </w:tc>
        <w:tc>
          <w:tcPr>
            <w:tcW w:w="1312" w:type="dxa"/>
            <w:tcBorders>
              <w:top w:val="nil"/>
              <w:left w:val="nil"/>
              <w:bottom w:val="single" w:sz="8" w:space="0" w:color="auto"/>
              <w:right w:val="single" w:sz="8" w:space="0" w:color="auto"/>
            </w:tcBorders>
            <w:shd w:val="clear" w:color="auto" w:fill="auto"/>
            <w:noWrap/>
            <w:vAlign w:val="bottom"/>
            <w:hideMark/>
          </w:tcPr>
          <w:p w14:paraId="16197307" w14:textId="77777777" w:rsidR="008D2699" w:rsidRPr="008D2699" w:rsidRDefault="00455F97" w:rsidP="008D2699">
            <w:pPr>
              <w:spacing w:after="0" w:line="240" w:lineRule="auto"/>
              <w:jc w:val="center"/>
              <w:rPr>
                <w:rFonts w:eastAsia="Times New Roman" w:cs="Times New Roman"/>
                <w:color w:val="000000"/>
                <w:sz w:val="18"/>
                <w:szCs w:val="18"/>
                <w:lang w:eastAsia="en-GB"/>
              </w:rPr>
            </w:pPr>
            <w:r w:rsidRPr="008D2699">
              <w:rPr>
                <w:rFonts w:eastAsia="Times New Roman" w:cs="Times New Roman"/>
                <w:color w:val="000000"/>
                <w:sz w:val="18"/>
                <w:szCs w:val="18"/>
                <w:lang w:eastAsia="en-GB"/>
              </w:rPr>
              <w:t>3664</w:t>
            </w:r>
          </w:p>
        </w:tc>
      </w:tr>
    </w:tbl>
    <w:p w14:paraId="6AD8F7B3" w14:textId="77777777" w:rsidR="009315C8" w:rsidRPr="008503FE" w:rsidRDefault="000D3B50" w:rsidP="008503FE">
      <w:pPr>
        <w:pStyle w:val="NoSpacing"/>
        <w:spacing w:line="276" w:lineRule="auto"/>
      </w:pPr>
    </w:p>
    <w:p w14:paraId="20A38EC2" w14:textId="77777777" w:rsidR="000172C9" w:rsidRDefault="00455F97" w:rsidP="002D4538">
      <w:pPr>
        <w:pStyle w:val="Heading2"/>
        <w:rPr>
          <w:color w:val="auto"/>
          <w:u w:val="single"/>
        </w:rPr>
      </w:pPr>
      <w:r>
        <w:rPr>
          <w:color w:val="auto"/>
          <w:u w:val="single"/>
        </w:rPr>
        <w:t>Discussion</w:t>
      </w:r>
    </w:p>
    <w:p w14:paraId="3DA85E5A" w14:textId="77777777" w:rsidR="004C41F1" w:rsidRDefault="000D3B50" w:rsidP="004C41F1">
      <w:pPr>
        <w:pStyle w:val="NoSpacing"/>
        <w:spacing w:line="276" w:lineRule="auto"/>
        <w:jc w:val="both"/>
      </w:pPr>
    </w:p>
    <w:p w14:paraId="7F386D2C" w14:textId="264E3869" w:rsidR="003B6936" w:rsidRPr="00DB6294" w:rsidRDefault="00455F97" w:rsidP="00B86C34">
      <w:pPr>
        <w:pStyle w:val="NoSpacing"/>
        <w:spacing w:line="360" w:lineRule="auto"/>
        <w:jc w:val="both"/>
      </w:pPr>
      <w:r>
        <w:t xml:space="preserve">The aim of this study was consider the uptake of patients into CR, specifically whether patient’s comorbidity of diabetes is a factor. Based on the evidence, a patient having diabetes is a strong factor that affects uptake to CR. Regardless of the patient’s diagnosis/treatment, age or gender there seems to be a strong relationship between patients having diabetes and not taking up the offer of CR. The results of this study support other work in the area, such as </w:t>
      </w:r>
      <w:proofErr w:type="spellStart"/>
      <w:r>
        <w:t>Dunlay</w:t>
      </w:r>
      <w:proofErr w:type="spellEnd"/>
      <w:r>
        <w:t xml:space="preserve"> et al and </w:t>
      </w:r>
      <w:proofErr w:type="spellStart"/>
      <w:r>
        <w:t>Motivala</w:t>
      </w:r>
      <w:proofErr w:type="spellEnd"/>
      <w:r>
        <w:t xml:space="preserve"> et al, however, this is the first study considering UK CR and Diabetes uptake, and also is utilising more pat</w:t>
      </w:r>
      <w:r w:rsidR="0089609C">
        <w:t>ients than these studies. (7, 14</w:t>
      </w:r>
      <w:r>
        <w:t>)</w:t>
      </w:r>
    </w:p>
    <w:p w14:paraId="32C11FF4" w14:textId="77777777" w:rsidR="00A975DB" w:rsidRDefault="000D3B50" w:rsidP="00B86C34">
      <w:pPr>
        <w:pStyle w:val="NoSpacing"/>
        <w:spacing w:line="360" w:lineRule="auto"/>
        <w:jc w:val="both"/>
      </w:pPr>
    </w:p>
    <w:p w14:paraId="35F3ADEE" w14:textId="5182A5F8" w:rsidR="00A975DB" w:rsidRDefault="00455F97" w:rsidP="00B86C34">
      <w:pPr>
        <w:pStyle w:val="NoSpacing"/>
        <w:spacing w:line="360" w:lineRule="auto"/>
        <w:jc w:val="both"/>
      </w:pPr>
      <w:r>
        <w:t>The drop in total PWD from the eligible group is 12%</w:t>
      </w:r>
      <w:proofErr w:type="gramStart"/>
      <w:r w:rsidR="00056BC3">
        <w:t xml:space="preserve">, </w:t>
      </w:r>
      <w:r>
        <w:t xml:space="preserve"> in</w:t>
      </w:r>
      <w:proofErr w:type="gramEnd"/>
      <w:r>
        <w:t xml:space="preserve"> some sub-groups as high as 15% reduction. If there were no barriers to entry then this proportion of the population would stay the same. The statistical analysis showed that this proportion</w:t>
      </w:r>
      <w:r w:rsidR="00D23AAF">
        <w:t>al</w:t>
      </w:r>
      <w:r>
        <w:t xml:space="preserve"> change was statistically significant. The study showed that the reduction in the proportion of PWD was the same for both </w:t>
      </w:r>
      <w:r w:rsidR="00D23AAF">
        <w:t>genders;</w:t>
      </w:r>
      <w:r>
        <w:t xml:space="preserve"> this </w:t>
      </w:r>
      <w:r w:rsidR="00D23AAF">
        <w:t xml:space="preserve">might suggest that across </w:t>
      </w:r>
      <w:r>
        <w:t>gender</w:t>
      </w:r>
      <w:r w:rsidR="00D23AAF">
        <w:t>s</w:t>
      </w:r>
      <w:r>
        <w:t xml:space="preserve">, there are equal barriers to entry for PWD. </w:t>
      </w:r>
    </w:p>
    <w:p w14:paraId="0975F04C" w14:textId="0C904C1C" w:rsidR="00FA2F98" w:rsidRDefault="00FA2F98" w:rsidP="00B86C34">
      <w:pPr>
        <w:pStyle w:val="NoSpacing"/>
        <w:spacing w:line="360" w:lineRule="auto"/>
        <w:jc w:val="both"/>
      </w:pPr>
    </w:p>
    <w:p w14:paraId="16C48001" w14:textId="7DC5B1FA" w:rsidR="00FA2F98" w:rsidRDefault="00FA2F98" w:rsidP="00B86C34">
      <w:pPr>
        <w:pStyle w:val="NoSpacing"/>
        <w:spacing w:line="360" w:lineRule="auto"/>
        <w:jc w:val="both"/>
      </w:pPr>
      <w:r>
        <w:t xml:space="preserve">In the age </w:t>
      </w:r>
      <w:r w:rsidR="00B17D80">
        <w:t>groups,</w:t>
      </w:r>
      <w:r>
        <w:t xml:space="preserve"> there was a similar reduction in uptake with the </w:t>
      </w:r>
      <w:r w:rsidR="00B17D80">
        <w:t>eligible</w:t>
      </w:r>
      <w:r>
        <w:t xml:space="preserve"> PWD proportion halving by the time they reached rehabilitation, suggesting that in all age groups diabetes in a </w:t>
      </w:r>
      <w:r w:rsidR="00B17D80">
        <w:t>barrier</w:t>
      </w:r>
      <w:r>
        <w:t xml:space="preserve"> for entry. It was worth noting that there was less PWD in the eldest age group, which may be done to </w:t>
      </w:r>
      <w:r w:rsidR="00B17D80">
        <w:t>the reduced survival chances in older patients when they have diabetes as a comorbidity.</w:t>
      </w:r>
    </w:p>
    <w:p w14:paraId="60645894" w14:textId="77777777" w:rsidR="00994FB7" w:rsidRPr="00994FB7" w:rsidRDefault="000D3B50" w:rsidP="00B86C34">
      <w:pPr>
        <w:pStyle w:val="NoSpacing"/>
        <w:spacing w:line="360" w:lineRule="auto"/>
        <w:jc w:val="both"/>
      </w:pPr>
    </w:p>
    <w:p w14:paraId="04A70CCC" w14:textId="0CDE7760" w:rsidR="00E432BB" w:rsidRDefault="00455F97" w:rsidP="00B86C34">
      <w:pPr>
        <w:pStyle w:val="NoSpacing"/>
        <w:spacing w:line="360" w:lineRule="auto"/>
        <w:jc w:val="both"/>
      </w:pPr>
      <w:r>
        <w:t>This study is of considerable importance to CR providers and commissioners. Evidence shows that PWD who have an MI event are at higher risk of a further event than those PW</w:t>
      </w:r>
      <w:r w:rsidR="00FA136A">
        <w:t xml:space="preserve">, however, control </w:t>
      </w:r>
      <w:r w:rsidR="00871ECF">
        <w:t xml:space="preserve">of </w:t>
      </w:r>
      <w:r w:rsidR="00FA136A">
        <w:t>risk factors in PWD can reduce the risk of events such as myocardial infarction, blood pressure control showed a reduction of risk by a fifth</w:t>
      </w:r>
      <w:r>
        <w:t>.</w:t>
      </w:r>
      <w:r w:rsidR="008F154F">
        <w:t xml:space="preserve"> (16</w:t>
      </w:r>
      <w:r w:rsidR="00FA136A">
        <w:t>)</w:t>
      </w:r>
      <w:r>
        <w:t xml:space="preserve"> This provides a strong incentive for PWD to attend CR to reduce their risk and their burden on the NHS. The prevalence of diabetes is increasing each year, with the cost to health services </w:t>
      </w:r>
      <w:r w:rsidR="008F154F">
        <w:t xml:space="preserve">to </w:t>
      </w:r>
      <w:r>
        <w:t>follow suit.</w:t>
      </w:r>
      <w:r w:rsidR="00FA136A">
        <w:t xml:space="preserve"> (</w:t>
      </w:r>
      <w:r w:rsidR="008F154F">
        <w:t>17-18</w:t>
      </w:r>
      <w:r w:rsidR="00FA136A">
        <w:t>)</w:t>
      </w:r>
      <w:r>
        <w:t xml:space="preserve"> </w:t>
      </w:r>
      <w:proofErr w:type="gramStart"/>
      <w:r>
        <w:t>This</w:t>
      </w:r>
      <w:proofErr w:type="gramEnd"/>
      <w:r>
        <w:t xml:space="preserve"> evidence suggests that more work needs to be done, in making CR more attractive for PWD, which in turn can reduce the financial burden.</w:t>
      </w:r>
    </w:p>
    <w:p w14:paraId="17A29839" w14:textId="77777777" w:rsidR="003B6936" w:rsidRDefault="000D3B50" w:rsidP="00B86C34">
      <w:pPr>
        <w:pStyle w:val="NoSpacing"/>
        <w:spacing w:line="360" w:lineRule="auto"/>
        <w:jc w:val="both"/>
      </w:pPr>
    </w:p>
    <w:p w14:paraId="53B67954" w14:textId="77777777" w:rsidR="003B6936" w:rsidRDefault="00455F97" w:rsidP="00B86C34">
      <w:pPr>
        <w:pStyle w:val="NoSpacing"/>
        <w:spacing w:line="360" w:lineRule="auto"/>
        <w:jc w:val="both"/>
      </w:pPr>
      <w:r>
        <w:t>The benefits from attending CR are extensively shared across CVD and diabetes, from reducing blood pressure, improvements in physical activity and education about diet. This current study did not set out to assess the effectiveness of CR in PWD, moreover, to address whether there is evidence that, in the UK there are barriers for PWD.</w:t>
      </w:r>
    </w:p>
    <w:p w14:paraId="1A597551" w14:textId="77777777" w:rsidR="00362428" w:rsidRPr="00362428" w:rsidRDefault="00455F97" w:rsidP="00B86C34">
      <w:pPr>
        <w:pStyle w:val="Heading2"/>
        <w:spacing w:line="360" w:lineRule="auto"/>
        <w:rPr>
          <w:color w:val="auto"/>
          <w:u w:val="single"/>
        </w:rPr>
      </w:pPr>
      <w:r w:rsidRPr="00362428">
        <w:rPr>
          <w:color w:val="auto"/>
          <w:u w:val="single"/>
        </w:rPr>
        <w:t>Limitations</w:t>
      </w:r>
    </w:p>
    <w:p w14:paraId="74F66A2E" w14:textId="77777777" w:rsidR="00E432BB" w:rsidRDefault="000D3B50" w:rsidP="00B86C34">
      <w:pPr>
        <w:pStyle w:val="NoSpacing"/>
        <w:spacing w:line="360" w:lineRule="auto"/>
      </w:pPr>
    </w:p>
    <w:p w14:paraId="3D9B09B8" w14:textId="520D99B0" w:rsidR="003B6936" w:rsidRDefault="00455F97" w:rsidP="00B86C34">
      <w:pPr>
        <w:pStyle w:val="NoSpacing"/>
        <w:spacing w:line="360" w:lineRule="auto"/>
      </w:pPr>
      <w:r>
        <w:t xml:space="preserve">The main limitation of this study is the level of analysis. Due to the nature of access to this data, it was not possible to link between the eligible and starting populations. This resulted in analysis of proportions in groups and sub-groups being used. Future work will aim to, through linking of the two groups, assess whether there is an interaction of likelihood of taking part in CR and age, gender, diagnosis/treatment as well as other known barriers such as; employment state, deprivation and education level. (7-8, </w:t>
      </w:r>
      <w:r w:rsidR="00C738CA">
        <w:rPr>
          <w:rFonts w:eastAsia="Knockout-50Welterweight" w:cs="MyriadPro-Regular"/>
        </w:rPr>
        <w:t>19-20</w:t>
      </w:r>
      <w:r>
        <w:t>) One factor that is evidence</w:t>
      </w:r>
      <w:r w:rsidR="00C738CA">
        <w:t>d</w:t>
      </w:r>
      <w:r>
        <w:t xml:space="preserve"> to affect uptake to health care services is other comorbidities in PWD. Although the analysis was a limitation for the more complex question of uptake in CR, we feel that it provided sufficient evidence to address whether there are barriers to entry for PWD.</w:t>
      </w:r>
    </w:p>
    <w:p w14:paraId="65CD113C" w14:textId="77777777" w:rsidR="00C738CA" w:rsidRDefault="00C738CA" w:rsidP="00B86C34">
      <w:pPr>
        <w:pStyle w:val="NoSpacing"/>
        <w:spacing w:line="360" w:lineRule="auto"/>
      </w:pPr>
    </w:p>
    <w:p w14:paraId="7FD09C53" w14:textId="205FBF00" w:rsidR="00B86C34" w:rsidRDefault="00455F97" w:rsidP="004248C1">
      <w:pPr>
        <w:spacing w:line="360" w:lineRule="auto"/>
        <w:jc w:val="both"/>
      </w:pPr>
      <w:r>
        <w:t xml:space="preserve">Another piece of work will build on the results here </w:t>
      </w:r>
      <w:r w:rsidR="00C738CA">
        <w:t>by comparing</w:t>
      </w:r>
      <w:r>
        <w:t xml:space="preserve"> in more detail whether the PWD population who take up the offer are different to wider PW population. If there is a difference between the two groups, it may be important to tailor CR for PWD if they are more multi-morbid or older.</w:t>
      </w:r>
    </w:p>
    <w:p w14:paraId="010A1D1C" w14:textId="77777777" w:rsidR="00F56973" w:rsidRDefault="00455F97" w:rsidP="00B86C34">
      <w:pPr>
        <w:pStyle w:val="Heading2"/>
        <w:rPr>
          <w:color w:val="auto"/>
          <w:u w:val="single"/>
        </w:rPr>
      </w:pPr>
      <w:r w:rsidRPr="004D38E0">
        <w:rPr>
          <w:color w:val="auto"/>
          <w:u w:val="single"/>
        </w:rPr>
        <w:t>Conclusion</w:t>
      </w:r>
    </w:p>
    <w:p w14:paraId="7C0B5F82" w14:textId="77777777" w:rsidR="00B86C34" w:rsidRPr="00B86C34" w:rsidRDefault="000D3B50" w:rsidP="00B86C34"/>
    <w:p w14:paraId="5B5C021A" w14:textId="1CFCA2F4" w:rsidR="00E432BB" w:rsidRDefault="00455F97" w:rsidP="004248C1">
      <w:pPr>
        <w:spacing w:line="360" w:lineRule="auto"/>
        <w:jc w:val="both"/>
      </w:pPr>
      <w:r>
        <w:t xml:space="preserve">This is the first study in the UK, using routinely collected data, to investigate the relationship between patients having diabetes and their participation in CR. This study has evidenced that there are barriers to PWD taking part in CR, with a reduction </w:t>
      </w:r>
      <w:r w:rsidR="00C738CA">
        <w:t>of</w:t>
      </w:r>
      <w:r>
        <w:t xml:space="preserve"> 12% of eligible patients by the time CR starts. With CR in the UK reaching world leading levels of uptake, the hard to reach patients may need more tailoring to reach the 65% target set by NHS England. This paper concludes that as well as older and female patients, </w:t>
      </w:r>
      <w:r w:rsidR="00C738CA">
        <w:t>another</w:t>
      </w:r>
      <w:r>
        <w:t xml:space="preserve"> group who is missing out on beneficial CR is those with diabetes.  Innovation to make CR more appealing to PWD needs to be investigated.</w:t>
      </w:r>
    </w:p>
    <w:p w14:paraId="73C978D5" w14:textId="77777777" w:rsidR="004248C1" w:rsidRDefault="00455F97" w:rsidP="004248C1">
      <w:pPr>
        <w:pStyle w:val="Heading2"/>
        <w:rPr>
          <w:color w:val="auto"/>
          <w:u w:val="single"/>
        </w:rPr>
      </w:pPr>
      <w:r w:rsidRPr="00B97806">
        <w:rPr>
          <w:color w:val="auto"/>
          <w:u w:val="single"/>
        </w:rPr>
        <w:t>Acknowledgements</w:t>
      </w:r>
    </w:p>
    <w:p w14:paraId="132D77F8" w14:textId="77777777" w:rsidR="004248C1" w:rsidRPr="00DE2F0A" w:rsidRDefault="00455F97" w:rsidP="004248C1">
      <w:r>
        <w:t xml:space="preserve">The authors acknowledge the support of the NACR team. </w:t>
      </w:r>
    </w:p>
    <w:p w14:paraId="526030D8" w14:textId="77777777" w:rsidR="004248C1" w:rsidRPr="004248C1" w:rsidRDefault="000D3B50" w:rsidP="004248C1"/>
    <w:p w14:paraId="4F3EC0CF" w14:textId="77777777" w:rsidR="004248C1" w:rsidRDefault="000D3B50" w:rsidP="004248C1">
      <w:pPr>
        <w:spacing w:line="360" w:lineRule="auto"/>
        <w:jc w:val="both"/>
      </w:pPr>
    </w:p>
    <w:p w14:paraId="3577A615" w14:textId="77777777" w:rsidR="004248C1" w:rsidRDefault="000D3B50" w:rsidP="004248C1">
      <w:pPr>
        <w:spacing w:line="360" w:lineRule="auto"/>
        <w:jc w:val="both"/>
      </w:pPr>
    </w:p>
    <w:p w14:paraId="4A2B4826" w14:textId="77777777" w:rsidR="00F56973" w:rsidRDefault="00455F97" w:rsidP="00F56973">
      <w:pPr>
        <w:pStyle w:val="Heading2"/>
        <w:rPr>
          <w:color w:val="auto"/>
          <w:u w:val="single"/>
        </w:rPr>
      </w:pPr>
      <w:r>
        <w:rPr>
          <w:color w:val="auto"/>
          <w:u w:val="single"/>
        </w:rPr>
        <w:br w:type="page"/>
      </w:r>
    </w:p>
    <w:p w14:paraId="797BAF72" w14:textId="77777777" w:rsidR="00F56973" w:rsidRDefault="00455F97" w:rsidP="00F56973">
      <w:pPr>
        <w:pStyle w:val="Heading2"/>
        <w:rPr>
          <w:color w:val="auto"/>
          <w:u w:val="single"/>
        </w:rPr>
      </w:pPr>
      <w:r w:rsidRPr="00F56973">
        <w:rPr>
          <w:color w:val="auto"/>
          <w:u w:val="single"/>
        </w:rPr>
        <w:t>References</w:t>
      </w:r>
    </w:p>
    <w:p w14:paraId="190699DC" w14:textId="77777777" w:rsidR="00994FB7" w:rsidRDefault="000D3B50" w:rsidP="00994FB7">
      <w:pPr>
        <w:pStyle w:val="NoSpacing"/>
      </w:pPr>
    </w:p>
    <w:p w14:paraId="223D7EE7" w14:textId="353668A2" w:rsidR="00C738CA" w:rsidRPr="007C1689" w:rsidRDefault="00C738CA" w:rsidP="00C738CA">
      <w:pPr>
        <w:pStyle w:val="NoSpacing"/>
        <w:spacing w:line="360" w:lineRule="auto"/>
      </w:pPr>
      <w:r w:rsidRPr="007C1689">
        <w:rPr>
          <w:rFonts w:cs="Cambria"/>
          <w:bCs/>
        </w:rPr>
        <w:t xml:space="preserve">1 </w:t>
      </w:r>
      <w:r w:rsidR="007C1689">
        <w:t xml:space="preserve">Anderson L T, </w:t>
      </w:r>
      <w:proofErr w:type="spellStart"/>
      <w:r w:rsidR="007C1689">
        <w:t>Oldridge</w:t>
      </w:r>
      <w:proofErr w:type="spellEnd"/>
      <w:r w:rsidR="007C1689">
        <w:t xml:space="preserve"> N, </w:t>
      </w:r>
      <w:proofErr w:type="spellStart"/>
      <w:r w:rsidR="007C1689">
        <w:t>Zwisler</w:t>
      </w:r>
      <w:proofErr w:type="spellEnd"/>
      <w:r w:rsidRPr="007C1689">
        <w:t xml:space="preserve"> A</w:t>
      </w:r>
      <w:r w:rsidR="007C1689">
        <w:t xml:space="preserve"> D, </w:t>
      </w:r>
      <w:r w:rsidRPr="007C1689">
        <w:t xml:space="preserve"> </w:t>
      </w:r>
      <w:r w:rsidR="007C1689" w:rsidRPr="007C1689">
        <w:rPr>
          <w:i/>
        </w:rPr>
        <w:t>et al</w:t>
      </w:r>
      <w:r w:rsidR="007C1689">
        <w:t xml:space="preserve">, </w:t>
      </w:r>
      <w:r w:rsidRPr="007C1689">
        <w:t>Exercise-based cardiac rehabilitation for coronary heart disease (Review).</w:t>
      </w:r>
      <w:r w:rsidRPr="007C1689">
        <w:rPr>
          <w:i/>
        </w:rPr>
        <w:t xml:space="preserve"> Th</w:t>
      </w:r>
      <w:r w:rsidR="007C1689">
        <w:rPr>
          <w:i/>
        </w:rPr>
        <w:t>e Cochrane Library 2016,</w:t>
      </w:r>
      <w:r w:rsidRPr="007C1689">
        <w:t xml:space="preserve"> 2016</w:t>
      </w:r>
      <w:r w:rsidR="007C1689">
        <w:t>, 1:1</w:t>
      </w:r>
      <w:r w:rsidRPr="007C1689">
        <w:t>.</w:t>
      </w:r>
    </w:p>
    <w:p w14:paraId="2C3A2B07" w14:textId="77777777" w:rsidR="00C738CA" w:rsidRPr="007C1689" w:rsidRDefault="00C738CA" w:rsidP="00C738CA">
      <w:pPr>
        <w:pStyle w:val="NoSpacing"/>
        <w:spacing w:line="360" w:lineRule="auto"/>
      </w:pPr>
    </w:p>
    <w:p w14:paraId="4E916D7B" w14:textId="229E6DFF" w:rsidR="00C738CA" w:rsidRPr="007C1689" w:rsidRDefault="007C1689" w:rsidP="00C738CA">
      <w:pPr>
        <w:pStyle w:val="NoSpacing"/>
        <w:spacing w:line="360" w:lineRule="auto"/>
      </w:pPr>
      <w:r>
        <w:t>2 Rauch B, Davos C H, Doherty P</w:t>
      </w:r>
      <w:r w:rsidR="00C738CA" w:rsidRPr="007C1689">
        <w:t xml:space="preserve">, </w:t>
      </w:r>
      <w:r w:rsidR="00C738CA" w:rsidRPr="007C1689">
        <w:rPr>
          <w:i/>
        </w:rPr>
        <w:t>et al</w:t>
      </w:r>
      <w:r w:rsidR="00C738CA" w:rsidRPr="007C1689">
        <w:t>, The prognostic effect of cardiac rehabilitation in the era of acute revascularisation and statin therapy: A systematic review and meta-analysis of randomised and non-randomized studies – The Cardiac Rehabilitation Outcome Study (CROS).</w:t>
      </w:r>
      <w:r w:rsidR="00C738CA" w:rsidRPr="007C1689">
        <w:rPr>
          <w:rStyle w:val="apple-converted-space"/>
          <w:rFonts w:cs="Segoe UI"/>
          <w:bCs/>
        </w:rPr>
        <w:t> </w:t>
      </w:r>
      <w:r w:rsidR="00C738CA" w:rsidRPr="007C1689">
        <w:rPr>
          <w:i/>
          <w:iCs/>
        </w:rPr>
        <w:t>European Journal of Preventive Cardiology</w:t>
      </w:r>
      <w:r>
        <w:t xml:space="preserve">, 2016, 23: 18; </w:t>
      </w:r>
      <w:r w:rsidR="00C738CA" w:rsidRPr="007C1689">
        <w:t>1914-1939.</w:t>
      </w:r>
    </w:p>
    <w:p w14:paraId="3C21DB87" w14:textId="77777777" w:rsidR="00C738CA" w:rsidRPr="007C1689" w:rsidRDefault="00C738CA" w:rsidP="00C738CA">
      <w:pPr>
        <w:pStyle w:val="NoSpacing"/>
        <w:spacing w:line="360" w:lineRule="auto"/>
      </w:pPr>
    </w:p>
    <w:p w14:paraId="43F77261" w14:textId="77777777" w:rsidR="007C1689" w:rsidRDefault="00C738CA" w:rsidP="007C1689">
      <w:pPr>
        <w:spacing w:after="0" w:line="480" w:lineRule="auto"/>
        <w:jc w:val="both"/>
      </w:pPr>
      <w:r w:rsidRPr="007C1689">
        <w:t xml:space="preserve">3 </w:t>
      </w:r>
      <w:r w:rsidR="007C1689" w:rsidRPr="009F57EB">
        <w:rPr>
          <w:rFonts w:cs="Cambria"/>
          <w:bCs/>
        </w:rPr>
        <w:t xml:space="preserve">The National Audit of Cardiac Rehabilitation (NACR). Annual Statistical Report. UK: NACR, 2016. </w:t>
      </w:r>
      <w:hyperlink r:id="rId6" w:history="1">
        <w:r w:rsidR="007C1689" w:rsidRPr="006B7654">
          <w:rPr>
            <w:rStyle w:val="Hyperlink"/>
          </w:rPr>
          <w:t>http://www.cardiacrehabilitation.org.uk/docs/BHF_NACR_Report_2016.pdf</w:t>
        </w:r>
      </w:hyperlink>
      <w:r w:rsidR="007C1689">
        <w:t xml:space="preserve"> </w:t>
      </w:r>
    </w:p>
    <w:p w14:paraId="79EFADB2" w14:textId="708F492F" w:rsidR="00C738CA" w:rsidRPr="007C1689" w:rsidRDefault="007C1689" w:rsidP="007C1689">
      <w:pPr>
        <w:spacing w:after="0" w:line="480" w:lineRule="auto"/>
        <w:jc w:val="both"/>
        <w:rPr>
          <w:rFonts w:cs="Cambria"/>
          <w:bCs/>
        </w:rPr>
      </w:pPr>
      <w:r w:rsidRPr="009F57EB">
        <w:t xml:space="preserve"> </w:t>
      </w:r>
      <w:r>
        <w:rPr>
          <w:rFonts w:cs="Cambria"/>
          <w:bCs/>
        </w:rPr>
        <w:t>(</w:t>
      </w:r>
      <w:proofErr w:type="gramStart"/>
      <w:r>
        <w:rPr>
          <w:rFonts w:cs="Cambria"/>
          <w:bCs/>
        </w:rPr>
        <w:t>accessed</w:t>
      </w:r>
      <w:proofErr w:type="gramEnd"/>
      <w:r>
        <w:rPr>
          <w:rFonts w:cs="Cambria"/>
          <w:bCs/>
        </w:rPr>
        <w:t xml:space="preserve"> 8th Aug</w:t>
      </w:r>
      <w:r w:rsidRPr="009F57EB">
        <w:rPr>
          <w:rFonts w:cs="Cambria"/>
          <w:bCs/>
        </w:rPr>
        <w:t xml:space="preserve"> 2016).</w:t>
      </w:r>
    </w:p>
    <w:p w14:paraId="7AE775D4" w14:textId="77777777" w:rsidR="00C738CA" w:rsidRPr="007C1689" w:rsidRDefault="00C738CA" w:rsidP="00C738CA">
      <w:pPr>
        <w:pStyle w:val="NoSpacing"/>
        <w:spacing w:line="360" w:lineRule="auto"/>
      </w:pPr>
    </w:p>
    <w:p w14:paraId="4C977F3E" w14:textId="77777777" w:rsidR="007C1689" w:rsidRDefault="007C1689" w:rsidP="00C738CA">
      <w:pPr>
        <w:pStyle w:val="NoSpacing"/>
        <w:spacing w:line="360" w:lineRule="auto"/>
        <w:rPr>
          <w:rFonts w:cs="Arial"/>
        </w:rPr>
      </w:pPr>
      <w:r>
        <w:rPr>
          <w:rFonts w:cs="Arial"/>
        </w:rPr>
        <w:t xml:space="preserve">4 </w:t>
      </w:r>
      <w:proofErr w:type="spellStart"/>
      <w:r>
        <w:rPr>
          <w:rFonts w:cs="Arial"/>
        </w:rPr>
        <w:t>Bjarnason-Wehrens</w:t>
      </w:r>
      <w:proofErr w:type="spellEnd"/>
      <w:r>
        <w:rPr>
          <w:rFonts w:cs="Arial"/>
        </w:rPr>
        <w:t xml:space="preserve"> B, </w:t>
      </w:r>
      <w:r w:rsidR="00C738CA" w:rsidRPr="007C1689">
        <w:rPr>
          <w:rFonts w:cs="Arial"/>
        </w:rPr>
        <w:t xml:space="preserve">McGee H, </w:t>
      </w:r>
      <w:proofErr w:type="spellStart"/>
      <w:r w:rsidR="00C738CA" w:rsidRPr="007C1689">
        <w:rPr>
          <w:rFonts w:cs="Arial"/>
        </w:rPr>
        <w:t>Zwisler</w:t>
      </w:r>
      <w:proofErr w:type="spellEnd"/>
      <w:r w:rsidR="00C738CA" w:rsidRPr="007C1689">
        <w:rPr>
          <w:rFonts w:cs="Arial"/>
        </w:rPr>
        <w:t xml:space="preserve"> AD, </w:t>
      </w:r>
      <w:proofErr w:type="spellStart"/>
      <w:r w:rsidR="00C738CA" w:rsidRPr="007C1689">
        <w:rPr>
          <w:rFonts w:cs="Arial"/>
        </w:rPr>
        <w:t>Piepoli</w:t>
      </w:r>
      <w:proofErr w:type="spellEnd"/>
      <w:r w:rsidR="00C738CA" w:rsidRPr="007C1689">
        <w:rPr>
          <w:rFonts w:cs="Arial"/>
        </w:rPr>
        <w:t xml:space="preserve"> MF</w:t>
      </w:r>
      <w:r w:rsidRPr="007C1689">
        <w:rPr>
          <w:rFonts w:cs="Arial"/>
          <w:i/>
        </w:rPr>
        <w:t>,</w:t>
      </w:r>
      <w:r w:rsidR="00C738CA" w:rsidRPr="007C1689">
        <w:rPr>
          <w:rFonts w:cs="Arial"/>
          <w:i/>
        </w:rPr>
        <w:t xml:space="preserve"> et al</w:t>
      </w:r>
      <w:r w:rsidR="00C738CA" w:rsidRPr="007C1689">
        <w:rPr>
          <w:rFonts w:cs="Arial"/>
        </w:rPr>
        <w:t xml:space="preserve">. Cardiac rehabilitation in Europe: results from the European Cardiac Rehabilitation Inventory Survey. </w:t>
      </w:r>
      <w:proofErr w:type="spellStart"/>
      <w:r w:rsidR="00C738CA" w:rsidRPr="007C1689">
        <w:rPr>
          <w:rFonts w:cs="Arial"/>
          <w:i/>
        </w:rPr>
        <w:t>Eu</w:t>
      </w:r>
      <w:r>
        <w:rPr>
          <w:rFonts w:cs="Arial"/>
          <w:i/>
        </w:rPr>
        <w:t>opean</w:t>
      </w:r>
      <w:proofErr w:type="spellEnd"/>
      <w:r w:rsidR="00C738CA" w:rsidRPr="007C1689">
        <w:rPr>
          <w:rFonts w:cs="Arial"/>
          <w:i/>
        </w:rPr>
        <w:t xml:space="preserve"> </w:t>
      </w:r>
      <w:proofErr w:type="spellStart"/>
      <w:r w:rsidR="00C738CA" w:rsidRPr="007C1689">
        <w:rPr>
          <w:rFonts w:cs="Arial"/>
          <w:i/>
        </w:rPr>
        <w:t>J</w:t>
      </w:r>
      <w:r>
        <w:rPr>
          <w:rFonts w:cs="Arial"/>
          <w:i/>
        </w:rPr>
        <w:t>ounral</w:t>
      </w:r>
      <w:proofErr w:type="spellEnd"/>
      <w:r>
        <w:rPr>
          <w:rFonts w:cs="Arial"/>
          <w:i/>
        </w:rPr>
        <w:t xml:space="preserve"> of</w:t>
      </w:r>
      <w:r w:rsidR="00C738CA" w:rsidRPr="007C1689">
        <w:rPr>
          <w:rFonts w:cs="Arial"/>
          <w:i/>
        </w:rPr>
        <w:t xml:space="preserve"> Cardiovasc</w:t>
      </w:r>
      <w:r>
        <w:rPr>
          <w:rFonts w:cs="Arial"/>
          <w:i/>
        </w:rPr>
        <w:t>ular</w:t>
      </w:r>
      <w:r w:rsidR="00C738CA" w:rsidRPr="007C1689">
        <w:rPr>
          <w:rFonts w:cs="Arial"/>
          <w:i/>
        </w:rPr>
        <w:t xml:space="preserve"> Prev</w:t>
      </w:r>
      <w:r>
        <w:rPr>
          <w:rFonts w:cs="Arial"/>
          <w:i/>
        </w:rPr>
        <w:t>ention and</w:t>
      </w:r>
      <w:r w:rsidR="00C738CA" w:rsidRPr="007C1689">
        <w:rPr>
          <w:rFonts w:cs="Arial"/>
          <w:i/>
        </w:rPr>
        <w:t xml:space="preserve"> Rehabil</w:t>
      </w:r>
      <w:r>
        <w:rPr>
          <w:rFonts w:cs="Arial"/>
          <w:i/>
        </w:rPr>
        <w:t>itation</w:t>
      </w:r>
      <w:r>
        <w:rPr>
          <w:rFonts w:cs="Arial"/>
        </w:rPr>
        <w:t xml:space="preserve">. 2010, </w:t>
      </w:r>
      <w:r w:rsidR="00C738CA" w:rsidRPr="007C1689">
        <w:rPr>
          <w:rFonts w:cs="Arial"/>
        </w:rPr>
        <w:t>17</w:t>
      </w:r>
      <w:r>
        <w:rPr>
          <w:rFonts w:cs="Arial"/>
        </w:rPr>
        <w:t xml:space="preserve">: 4; </w:t>
      </w:r>
      <w:r w:rsidR="00C738CA" w:rsidRPr="007C1689">
        <w:rPr>
          <w:rFonts w:cs="Arial"/>
        </w:rPr>
        <w:t xml:space="preserve">410-8. </w:t>
      </w:r>
    </w:p>
    <w:p w14:paraId="1CA04313" w14:textId="2D771619" w:rsidR="00C738CA" w:rsidRPr="007C1689" w:rsidRDefault="00C738CA" w:rsidP="00C738CA">
      <w:pPr>
        <w:pStyle w:val="NoSpacing"/>
        <w:spacing w:line="360" w:lineRule="auto"/>
        <w:rPr>
          <w:rFonts w:cs="Arial"/>
        </w:rPr>
      </w:pPr>
      <w:proofErr w:type="spellStart"/>
      <w:proofErr w:type="gramStart"/>
      <w:r w:rsidRPr="007C1689">
        <w:rPr>
          <w:rFonts w:cs="Arial"/>
        </w:rPr>
        <w:t>doi</w:t>
      </w:r>
      <w:proofErr w:type="spellEnd"/>
      <w:proofErr w:type="gramEnd"/>
      <w:r w:rsidRPr="007C1689">
        <w:rPr>
          <w:rFonts w:cs="Arial"/>
        </w:rPr>
        <w:t>: 10.1097/HJR.0b013e328334f42d.</w:t>
      </w:r>
    </w:p>
    <w:p w14:paraId="4B39E986" w14:textId="77777777" w:rsidR="00C738CA" w:rsidRPr="007C1689" w:rsidRDefault="00C738CA" w:rsidP="00C738CA">
      <w:pPr>
        <w:pStyle w:val="NoSpacing"/>
        <w:spacing w:line="360" w:lineRule="auto"/>
        <w:rPr>
          <w:rFonts w:cs="Arial"/>
        </w:rPr>
      </w:pPr>
    </w:p>
    <w:p w14:paraId="07C0874F" w14:textId="6ECDFEE3" w:rsidR="00C738CA" w:rsidRPr="007C1689" w:rsidRDefault="00C738CA" w:rsidP="007C1689">
      <w:pPr>
        <w:pStyle w:val="Default"/>
      </w:pPr>
      <w:r w:rsidRPr="007C1689">
        <w:rPr>
          <w:rFonts w:asciiTheme="minorHAnsi" w:hAnsiTheme="minorHAnsi"/>
          <w:sz w:val="22"/>
          <w:szCs w:val="22"/>
        </w:rPr>
        <w:t>5 NHS England</w:t>
      </w:r>
      <w:r w:rsidR="007C1689">
        <w:t xml:space="preserve">, </w:t>
      </w:r>
      <w:r w:rsidR="007C1689" w:rsidRPr="007C1689">
        <w:rPr>
          <w:rFonts w:asciiTheme="minorHAnsi" w:hAnsiTheme="minorHAnsi"/>
          <w:bCs/>
          <w:sz w:val="22"/>
          <w:szCs w:val="22"/>
        </w:rPr>
        <w:t>Increase uptake of cardiac rehabilitation for people with coronary artery disease and following acute heart failure</w:t>
      </w:r>
      <w:r w:rsidR="007C1689">
        <w:rPr>
          <w:rFonts w:asciiTheme="minorHAnsi" w:hAnsiTheme="minorHAnsi"/>
          <w:bCs/>
          <w:sz w:val="22"/>
          <w:szCs w:val="22"/>
        </w:rPr>
        <w:t>, 2014</w:t>
      </w:r>
      <w:r w:rsidR="007C1689">
        <w:rPr>
          <w:b/>
          <w:bCs/>
          <w:sz w:val="28"/>
          <w:szCs w:val="28"/>
        </w:rPr>
        <w:t xml:space="preserve"> </w:t>
      </w:r>
      <w:r w:rsidRPr="007C1689">
        <w:rPr>
          <w:rFonts w:asciiTheme="minorHAnsi" w:hAnsiTheme="minorHAnsi"/>
          <w:sz w:val="22"/>
          <w:szCs w:val="22"/>
        </w:rPr>
        <w:t xml:space="preserve"> </w:t>
      </w:r>
      <w:hyperlink r:id="rId7" w:history="1">
        <w:r w:rsidRPr="007C1689">
          <w:rPr>
            <w:rStyle w:val="Hyperlink"/>
            <w:rFonts w:asciiTheme="minorHAnsi" w:hAnsiTheme="minorHAnsi"/>
            <w:sz w:val="22"/>
            <w:szCs w:val="22"/>
          </w:rPr>
          <w:t>https://www.england.nhs.uk/wp-content/uploads/2014/02/pm-fs-3-10.pdf</w:t>
        </w:r>
      </w:hyperlink>
      <w:r w:rsidRPr="007C1689">
        <w:rPr>
          <w:rStyle w:val="Hyperlink"/>
          <w:rFonts w:asciiTheme="minorHAnsi" w:hAnsiTheme="minorHAnsi"/>
          <w:sz w:val="22"/>
          <w:szCs w:val="22"/>
        </w:rPr>
        <w:t xml:space="preserve"> </w:t>
      </w:r>
      <w:r w:rsidRPr="007C1689">
        <w:rPr>
          <w:rStyle w:val="Hyperlink"/>
          <w:rFonts w:asciiTheme="minorHAnsi" w:hAnsiTheme="minorHAnsi"/>
          <w:color w:val="auto"/>
          <w:sz w:val="22"/>
          <w:szCs w:val="22"/>
        </w:rPr>
        <w:t>[accessed 8th Aug 2017]</w:t>
      </w:r>
    </w:p>
    <w:p w14:paraId="00139C13" w14:textId="77777777" w:rsidR="00C738CA" w:rsidRPr="007C1689" w:rsidRDefault="00C738CA" w:rsidP="00C738CA">
      <w:pPr>
        <w:pStyle w:val="NoSpacing"/>
        <w:spacing w:line="360" w:lineRule="auto"/>
        <w:rPr>
          <w:rFonts w:cs="Arial"/>
        </w:rPr>
      </w:pPr>
    </w:p>
    <w:p w14:paraId="38524952" w14:textId="3457081A" w:rsidR="00AB5680" w:rsidRDefault="00C738CA" w:rsidP="00C738CA">
      <w:pPr>
        <w:pStyle w:val="NoSpacing"/>
        <w:spacing w:line="360" w:lineRule="auto"/>
        <w:rPr>
          <w:rFonts w:cs="Garamond-Book"/>
        </w:rPr>
      </w:pPr>
      <w:r w:rsidRPr="007C1689">
        <w:rPr>
          <w:rFonts w:cs="Arial"/>
        </w:rPr>
        <w:t>6 Pack Q</w:t>
      </w:r>
      <w:r w:rsidR="00AB5680">
        <w:rPr>
          <w:rFonts w:cs="Arial"/>
        </w:rPr>
        <w:t xml:space="preserve"> </w:t>
      </w:r>
      <w:r w:rsidRPr="007C1689">
        <w:rPr>
          <w:rFonts w:cs="Arial"/>
        </w:rPr>
        <w:t>R, Squires R</w:t>
      </w:r>
      <w:r w:rsidR="00AB5680">
        <w:rPr>
          <w:rFonts w:cs="Arial"/>
        </w:rPr>
        <w:t xml:space="preserve"> </w:t>
      </w:r>
      <w:r w:rsidRPr="007C1689">
        <w:rPr>
          <w:rFonts w:cs="Arial"/>
        </w:rPr>
        <w:t xml:space="preserve">W, Valdez-Lowe C, </w:t>
      </w:r>
      <w:r w:rsidRPr="007C1689">
        <w:rPr>
          <w:rFonts w:cs="Arial"/>
          <w:i/>
        </w:rPr>
        <w:t>et al</w:t>
      </w:r>
      <w:r w:rsidR="007C1689">
        <w:rPr>
          <w:rFonts w:cs="Arial"/>
        </w:rPr>
        <w:t>, Employment status and participation in cardiac r</w:t>
      </w:r>
      <w:r w:rsidRPr="007C1689">
        <w:rPr>
          <w:rFonts w:cs="Arial"/>
        </w:rPr>
        <w:t>ehabilitation</w:t>
      </w:r>
      <w:r w:rsidRPr="007C1689">
        <w:rPr>
          <w:rFonts w:cs="Arial"/>
          <w:i/>
        </w:rPr>
        <w:t xml:space="preserve">, </w:t>
      </w:r>
      <w:r w:rsidRPr="007C1689">
        <w:rPr>
          <w:rFonts w:cs="Garamond-Book"/>
          <w:i/>
        </w:rPr>
        <w:t>Journal of Cardiopulmonary Rehabilitation and Prevention</w:t>
      </w:r>
      <w:r w:rsidRPr="007C1689">
        <w:rPr>
          <w:rFonts w:cs="Garamond-Book"/>
        </w:rPr>
        <w:t>, 2015</w:t>
      </w:r>
      <w:r w:rsidR="007C1689">
        <w:rPr>
          <w:rFonts w:cs="Garamond-Book"/>
        </w:rPr>
        <w:t xml:space="preserve">, </w:t>
      </w:r>
      <w:r w:rsidR="00AB5680">
        <w:rPr>
          <w:rFonts w:cs="Garamond-Book"/>
        </w:rPr>
        <w:t>35;</w:t>
      </w:r>
      <w:r w:rsidRPr="007C1689">
        <w:rPr>
          <w:rFonts w:cs="Garamond-Book"/>
        </w:rPr>
        <w:t>390-398</w:t>
      </w:r>
      <w:r w:rsidR="00AB5680">
        <w:rPr>
          <w:rFonts w:cs="Garamond-Book"/>
        </w:rPr>
        <w:t>.</w:t>
      </w:r>
    </w:p>
    <w:p w14:paraId="0B572520" w14:textId="7ABCCEB1" w:rsidR="00C738CA" w:rsidRPr="007C1689" w:rsidRDefault="00C738CA" w:rsidP="00C738CA">
      <w:pPr>
        <w:pStyle w:val="NoSpacing"/>
        <w:spacing w:line="360" w:lineRule="auto"/>
        <w:rPr>
          <w:rFonts w:cs="Optima-Regular"/>
        </w:rPr>
      </w:pPr>
      <w:r w:rsidRPr="007C1689">
        <w:rPr>
          <w:rFonts w:cs="Arial"/>
        </w:rPr>
        <w:t xml:space="preserve"> </w:t>
      </w:r>
      <w:r w:rsidRPr="007C1689">
        <w:rPr>
          <w:rFonts w:cs="Optima-Regular"/>
        </w:rPr>
        <w:t>DOI: 10.1097/HCR.0000000000000140</w:t>
      </w:r>
    </w:p>
    <w:p w14:paraId="2937F426" w14:textId="77777777" w:rsidR="00C738CA" w:rsidRPr="007C1689" w:rsidRDefault="00C738CA" w:rsidP="00C738CA">
      <w:pPr>
        <w:pStyle w:val="NoSpacing"/>
        <w:spacing w:line="360" w:lineRule="auto"/>
        <w:rPr>
          <w:rFonts w:cs="Optima-Regular"/>
        </w:rPr>
      </w:pPr>
    </w:p>
    <w:p w14:paraId="64773D05" w14:textId="77777777" w:rsidR="00AB5680" w:rsidRDefault="00C738CA" w:rsidP="00C738CA">
      <w:pPr>
        <w:pStyle w:val="NoSpacing"/>
        <w:spacing w:line="360" w:lineRule="auto"/>
        <w:rPr>
          <w:rFonts w:cs="Optima-Regular"/>
        </w:rPr>
      </w:pPr>
      <w:r w:rsidRPr="007C1689">
        <w:rPr>
          <w:rFonts w:cs="Optima-Regular"/>
        </w:rPr>
        <w:t xml:space="preserve">7 </w:t>
      </w:r>
      <w:proofErr w:type="spellStart"/>
      <w:r w:rsidRPr="007C1689">
        <w:rPr>
          <w:rFonts w:cs="Optima-Regular"/>
        </w:rPr>
        <w:t>Dunlay</w:t>
      </w:r>
      <w:proofErr w:type="spellEnd"/>
      <w:r w:rsidRPr="007C1689">
        <w:rPr>
          <w:rFonts w:cs="Optima-Regular"/>
        </w:rPr>
        <w:t xml:space="preserve"> S</w:t>
      </w:r>
      <w:r w:rsidR="00AB5680">
        <w:rPr>
          <w:rFonts w:cs="Optima-Regular"/>
        </w:rPr>
        <w:t xml:space="preserve"> </w:t>
      </w:r>
      <w:r w:rsidRPr="007C1689">
        <w:rPr>
          <w:rFonts w:cs="Optima-Regular"/>
        </w:rPr>
        <w:t>M, Witt B</w:t>
      </w:r>
      <w:r w:rsidR="00AB5680">
        <w:rPr>
          <w:rFonts w:cs="Optima-Regular"/>
        </w:rPr>
        <w:t xml:space="preserve"> J</w:t>
      </w:r>
      <w:r w:rsidRPr="007C1689">
        <w:rPr>
          <w:rFonts w:cs="Optima-Regular"/>
        </w:rPr>
        <w:t>, Allison T</w:t>
      </w:r>
      <w:r w:rsidR="00AB5680">
        <w:rPr>
          <w:rFonts w:cs="Optima-Regular"/>
        </w:rPr>
        <w:t xml:space="preserve"> </w:t>
      </w:r>
      <w:r w:rsidRPr="007C1689">
        <w:rPr>
          <w:rFonts w:cs="Optima-Regular"/>
        </w:rPr>
        <w:t xml:space="preserve">G, </w:t>
      </w:r>
      <w:r w:rsidRPr="00AB5680">
        <w:rPr>
          <w:rFonts w:cs="Optima-Regular"/>
          <w:i/>
        </w:rPr>
        <w:t>et al</w:t>
      </w:r>
      <w:r w:rsidR="00AB5680">
        <w:rPr>
          <w:rFonts w:cs="Optima-Regular"/>
        </w:rPr>
        <w:t>, Barriers to p</w:t>
      </w:r>
      <w:r w:rsidRPr="007C1689">
        <w:rPr>
          <w:rFonts w:cs="Optima-Regular"/>
        </w:rPr>
        <w:t xml:space="preserve">articipation in </w:t>
      </w:r>
      <w:r w:rsidR="00AB5680">
        <w:rPr>
          <w:rFonts w:cs="Optima-Regular"/>
        </w:rPr>
        <w:t>c</w:t>
      </w:r>
      <w:r w:rsidRPr="007C1689">
        <w:rPr>
          <w:rFonts w:cs="Optima-Regular"/>
        </w:rPr>
        <w:t xml:space="preserve">ardiac </w:t>
      </w:r>
      <w:r w:rsidR="00AB5680">
        <w:rPr>
          <w:rFonts w:cs="Optima-Regular"/>
        </w:rPr>
        <w:t>r</w:t>
      </w:r>
      <w:r w:rsidRPr="007C1689">
        <w:rPr>
          <w:rFonts w:cs="Optima-Regular"/>
        </w:rPr>
        <w:t xml:space="preserve">ehabilitation, </w:t>
      </w:r>
      <w:r w:rsidRPr="00AB5680">
        <w:rPr>
          <w:rFonts w:cs="Optima-Regular"/>
          <w:i/>
        </w:rPr>
        <w:t>American Heart Journal</w:t>
      </w:r>
      <w:r w:rsidR="00AB5680">
        <w:rPr>
          <w:rFonts w:cs="Optima-Regular"/>
        </w:rPr>
        <w:t xml:space="preserve">, 2009, 158: 5; </w:t>
      </w:r>
      <w:r w:rsidRPr="007C1689">
        <w:rPr>
          <w:rFonts w:cs="Optima-Regular"/>
        </w:rPr>
        <w:t>852-859</w:t>
      </w:r>
      <w:r w:rsidR="00AB5680">
        <w:rPr>
          <w:rFonts w:cs="Optima-Regular"/>
        </w:rPr>
        <w:t>.</w:t>
      </w:r>
    </w:p>
    <w:p w14:paraId="629E2DCA" w14:textId="36A49F12" w:rsidR="00C738CA" w:rsidRPr="007C1689" w:rsidRDefault="00C738CA" w:rsidP="00C738CA">
      <w:pPr>
        <w:pStyle w:val="NoSpacing"/>
        <w:spacing w:line="360" w:lineRule="auto"/>
        <w:rPr>
          <w:rFonts w:cs="Arial"/>
          <w:shd w:val="clear" w:color="auto" w:fill="FFFFFF"/>
        </w:rPr>
      </w:pPr>
      <w:r w:rsidRPr="007C1689">
        <w:rPr>
          <w:rFonts w:cs="Optima-Regular"/>
        </w:rPr>
        <w:t xml:space="preserve"> </w:t>
      </w:r>
      <w:proofErr w:type="spellStart"/>
      <w:proofErr w:type="gramStart"/>
      <w:r w:rsidRPr="007C1689">
        <w:rPr>
          <w:rFonts w:cs="Arial"/>
          <w:color w:val="000000"/>
          <w:shd w:val="clear" w:color="auto" w:fill="FFFFFF"/>
        </w:rPr>
        <w:t>doi</w:t>
      </w:r>
      <w:proofErr w:type="spellEnd"/>
      <w:proofErr w:type="gramEnd"/>
      <w:r w:rsidRPr="007C1689">
        <w:rPr>
          <w:rFonts w:cs="Arial"/>
          <w:color w:val="000000"/>
          <w:shd w:val="clear" w:color="auto" w:fill="FFFFFF"/>
        </w:rPr>
        <w:t>: </w:t>
      </w:r>
      <w:r w:rsidRPr="007C1689">
        <w:rPr>
          <w:rStyle w:val="apple-converted-space"/>
          <w:rFonts w:cs="Arial"/>
          <w:color w:val="000000"/>
          <w:shd w:val="clear" w:color="auto" w:fill="FFFFFF"/>
        </w:rPr>
        <w:t> </w:t>
      </w:r>
      <w:r w:rsidRPr="007C1689">
        <w:rPr>
          <w:rFonts w:cs="Arial"/>
          <w:shd w:val="clear" w:color="auto" w:fill="FFFFFF"/>
        </w:rPr>
        <w:t>10.1016/j.ahj.2009.08.010</w:t>
      </w:r>
    </w:p>
    <w:p w14:paraId="694F79CB" w14:textId="77777777" w:rsidR="00C738CA" w:rsidRPr="007C1689" w:rsidRDefault="00C738CA" w:rsidP="00C738CA">
      <w:pPr>
        <w:pStyle w:val="NoSpacing"/>
        <w:spacing w:line="360" w:lineRule="auto"/>
        <w:rPr>
          <w:rFonts w:cs="Segoe UI"/>
          <w:bCs/>
          <w:color w:val="000000"/>
        </w:rPr>
      </w:pPr>
    </w:p>
    <w:p w14:paraId="10A3D82C" w14:textId="68708F6E" w:rsidR="006F035D" w:rsidRDefault="00C738CA" w:rsidP="00C738CA">
      <w:pPr>
        <w:pStyle w:val="NoSpacing"/>
        <w:spacing w:line="360" w:lineRule="auto"/>
        <w:rPr>
          <w:rFonts w:cs="Segoe UI"/>
          <w:bCs/>
          <w:color w:val="000000"/>
        </w:rPr>
      </w:pPr>
      <w:r w:rsidRPr="007C1689">
        <w:rPr>
          <w:rFonts w:cs="Segoe UI"/>
          <w:bCs/>
          <w:color w:val="000000"/>
        </w:rPr>
        <w:t xml:space="preserve">8 </w:t>
      </w:r>
      <w:r w:rsidR="006F035D">
        <w:rPr>
          <w:rFonts w:cs="Segoe UI"/>
          <w:bCs/>
          <w:color w:val="000000"/>
        </w:rPr>
        <w:t xml:space="preserve">Davies P, Taylor F, </w:t>
      </w:r>
      <w:proofErr w:type="spellStart"/>
      <w:r w:rsidR="006F035D">
        <w:rPr>
          <w:rFonts w:cs="Segoe UI"/>
          <w:bCs/>
          <w:color w:val="000000"/>
        </w:rPr>
        <w:t>Beswick</w:t>
      </w:r>
      <w:proofErr w:type="spellEnd"/>
      <w:r w:rsidR="006F035D">
        <w:rPr>
          <w:rFonts w:cs="Segoe UI"/>
          <w:bCs/>
          <w:color w:val="000000"/>
        </w:rPr>
        <w:t xml:space="preserve"> A, </w:t>
      </w:r>
      <w:r w:rsidR="006F035D">
        <w:rPr>
          <w:rFonts w:cs="Segoe UI"/>
          <w:bCs/>
          <w:i/>
          <w:color w:val="000000"/>
        </w:rPr>
        <w:t>et al</w:t>
      </w:r>
      <w:r w:rsidR="006F035D">
        <w:rPr>
          <w:rFonts w:cs="Segoe UI"/>
          <w:bCs/>
          <w:color w:val="000000"/>
        </w:rPr>
        <w:t xml:space="preserve">, Promoting patients uptake and adherence in cardiac rehabilitation, </w:t>
      </w:r>
      <w:r w:rsidR="006F035D" w:rsidRPr="006F035D">
        <w:rPr>
          <w:rFonts w:cs="Segoe UI"/>
          <w:bCs/>
          <w:i/>
          <w:color w:val="000000"/>
        </w:rPr>
        <w:t>The Cochrane Library</w:t>
      </w:r>
      <w:r w:rsidR="006F035D">
        <w:rPr>
          <w:rFonts w:cs="Segoe UI"/>
          <w:bCs/>
          <w:color w:val="000000"/>
        </w:rPr>
        <w:t xml:space="preserve">, 2010, 7; 1-39. </w:t>
      </w:r>
    </w:p>
    <w:p w14:paraId="413B54A4" w14:textId="77777777" w:rsidR="006F035D" w:rsidRPr="006F035D" w:rsidRDefault="006F035D" w:rsidP="00C738CA">
      <w:pPr>
        <w:pStyle w:val="NoSpacing"/>
        <w:spacing w:line="360" w:lineRule="auto"/>
        <w:rPr>
          <w:rFonts w:cs="Segoe UI"/>
          <w:bCs/>
          <w:color w:val="000000"/>
        </w:rPr>
      </w:pPr>
    </w:p>
    <w:p w14:paraId="0C49B656" w14:textId="77777777" w:rsidR="00C738CA" w:rsidRPr="007C1689" w:rsidRDefault="00C738CA" w:rsidP="00C738CA">
      <w:pPr>
        <w:pStyle w:val="NoSpacing"/>
        <w:spacing w:line="360" w:lineRule="auto"/>
        <w:rPr>
          <w:rFonts w:cs="Segoe UI"/>
          <w:color w:val="000000"/>
        </w:rPr>
      </w:pPr>
    </w:p>
    <w:p w14:paraId="02E4B0FA" w14:textId="3388698F" w:rsidR="00C738CA" w:rsidRPr="007C1689" w:rsidRDefault="00C738CA" w:rsidP="00C738CA">
      <w:pPr>
        <w:pStyle w:val="Heading4"/>
        <w:spacing w:before="0" w:line="360" w:lineRule="atLeast"/>
        <w:rPr>
          <w:rFonts w:asciiTheme="minorHAnsi" w:eastAsia="Times New Roman" w:hAnsiTheme="minorHAnsi"/>
          <w:bCs/>
          <w:i w:val="0"/>
          <w:color w:val="000000"/>
        </w:rPr>
      </w:pPr>
      <w:r w:rsidRPr="007C1689">
        <w:rPr>
          <w:rFonts w:asciiTheme="minorHAnsi" w:eastAsia="Times New Roman" w:hAnsiTheme="minorHAnsi"/>
          <w:bCs/>
          <w:i w:val="0"/>
          <w:color w:val="000000"/>
        </w:rPr>
        <w:t xml:space="preserve">9 NICE, </w:t>
      </w:r>
      <w:r w:rsidRPr="007C1689">
        <w:rPr>
          <w:rFonts w:asciiTheme="minorHAnsi" w:eastAsia="Times New Roman" w:hAnsiTheme="minorHAnsi"/>
          <w:bCs/>
          <w:i w:val="0"/>
          <w:iCs w:val="0"/>
          <w:color w:val="000000"/>
        </w:rPr>
        <w:t xml:space="preserve">Type 2 diabetes in adults: management, </w:t>
      </w:r>
      <w:r w:rsidRPr="007C1689">
        <w:rPr>
          <w:rFonts w:asciiTheme="minorHAnsi" w:eastAsia="Times New Roman" w:hAnsiTheme="minorHAnsi"/>
          <w:bCs/>
          <w:i w:val="0"/>
          <w:color w:val="000000"/>
        </w:rPr>
        <w:t xml:space="preserve">2015, [online] Available at: </w:t>
      </w:r>
      <w:hyperlink r:id="rId8" w:history="1">
        <w:r w:rsidRPr="007C1689">
          <w:rPr>
            <w:rStyle w:val="Hyperlink"/>
            <w:rFonts w:asciiTheme="minorHAnsi" w:eastAsia="Times New Roman" w:hAnsiTheme="minorHAnsi"/>
            <w:bCs/>
            <w:i w:val="0"/>
          </w:rPr>
          <w:t>https://www.nice.org.uk/guidance/ng28</w:t>
        </w:r>
      </w:hyperlink>
      <w:r w:rsidRPr="007C1689">
        <w:rPr>
          <w:rFonts w:asciiTheme="minorHAnsi" w:eastAsia="Times New Roman" w:hAnsiTheme="minorHAnsi"/>
          <w:bCs/>
          <w:i w:val="0"/>
          <w:color w:val="000000"/>
        </w:rPr>
        <w:t xml:space="preserve">  [Accessed 8</w:t>
      </w:r>
      <w:r w:rsidRPr="007C1689">
        <w:rPr>
          <w:rFonts w:asciiTheme="minorHAnsi" w:eastAsia="Times New Roman" w:hAnsiTheme="minorHAnsi"/>
          <w:bCs/>
          <w:i w:val="0"/>
          <w:color w:val="000000"/>
          <w:vertAlign w:val="superscript"/>
        </w:rPr>
        <w:t>th</w:t>
      </w:r>
      <w:r w:rsidRPr="007C1689">
        <w:rPr>
          <w:rFonts w:asciiTheme="minorHAnsi" w:eastAsia="Times New Roman" w:hAnsiTheme="minorHAnsi"/>
          <w:bCs/>
          <w:i w:val="0"/>
          <w:color w:val="000000"/>
        </w:rPr>
        <w:t xml:space="preserve"> Aug 2017].</w:t>
      </w:r>
    </w:p>
    <w:p w14:paraId="1A660EFC" w14:textId="77777777" w:rsidR="00C738CA" w:rsidRPr="007C1689" w:rsidRDefault="00C738CA" w:rsidP="00C738CA"/>
    <w:p w14:paraId="58599AD0" w14:textId="302AF550" w:rsidR="00C738CA" w:rsidRPr="007C1689" w:rsidRDefault="00C738CA" w:rsidP="00C738CA">
      <w:r w:rsidRPr="007C1689">
        <w:t xml:space="preserve">10 Phillips A, Principles of Diabetes Care, Evidence-based management for health professionals, </w:t>
      </w:r>
      <w:r w:rsidRPr="007C1689">
        <w:rPr>
          <w:i/>
        </w:rPr>
        <w:t>Quay Books,</w:t>
      </w:r>
      <w:r w:rsidRPr="007C1689">
        <w:t xml:space="preserve"> 2017; 2</w:t>
      </w:r>
      <w:r w:rsidRPr="007C1689">
        <w:rPr>
          <w:vertAlign w:val="superscript"/>
        </w:rPr>
        <w:t>nd</w:t>
      </w:r>
      <w:r w:rsidR="006F035D">
        <w:t xml:space="preserve"> edition.</w:t>
      </w:r>
      <w:r w:rsidRPr="007C1689">
        <w:t xml:space="preserve"> </w:t>
      </w:r>
    </w:p>
    <w:p w14:paraId="0094F010" w14:textId="05849A27" w:rsidR="00C738CA" w:rsidRPr="006F035D" w:rsidRDefault="00C738CA" w:rsidP="00C738CA">
      <w:pPr>
        <w:pStyle w:val="NoSpacing"/>
        <w:spacing w:line="360" w:lineRule="auto"/>
        <w:rPr>
          <w:rStyle w:val="Strong"/>
          <w:rFonts w:cs="Arial"/>
          <w:b w:val="0"/>
          <w:color w:val="000000" w:themeColor="text1"/>
          <w:shd w:val="clear" w:color="auto" w:fill="FFFFFF"/>
        </w:rPr>
      </w:pPr>
      <w:r w:rsidRPr="006F035D">
        <w:rPr>
          <w:rStyle w:val="Strong"/>
          <w:rFonts w:cs="Arial"/>
          <w:b w:val="0"/>
          <w:color w:val="000000" w:themeColor="text1"/>
          <w:shd w:val="clear" w:color="auto" w:fill="FFFFFF"/>
        </w:rPr>
        <w:t xml:space="preserve">11 </w:t>
      </w:r>
      <w:proofErr w:type="spellStart"/>
      <w:r w:rsidRPr="006F035D">
        <w:rPr>
          <w:rStyle w:val="Strong"/>
          <w:rFonts w:cs="Arial"/>
          <w:b w:val="0"/>
          <w:color w:val="000000" w:themeColor="text1"/>
          <w:shd w:val="clear" w:color="auto" w:fill="FFFFFF"/>
        </w:rPr>
        <w:t>Kapur</w:t>
      </w:r>
      <w:proofErr w:type="spellEnd"/>
      <w:r w:rsidRPr="006F035D">
        <w:rPr>
          <w:rStyle w:val="Strong"/>
          <w:rFonts w:cs="Arial"/>
          <w:b w:val="0"/>
          <w:color w:val="000000" w:themeColor="text1"/>
          <w:shd w:val="clear" w:color="auto" w:fill="FFFFFF"/>
        </w:rPr>
        <w:t xml:space="preserve"> A, De Palma R, Mortality after myocardial infarction in patients with diabetes mellitus, </w:t>
      </w:r>
      <w:r w:rsidRPr="006F035D">
        <w:rPr>
          <w:rStyle w:val="Strong"/>
          <w:rFonts w:cs="Arial"/>
          <w:b w:val="0"/>
          <w:i/>
          <w:color w:val="000000" w:themeColor="text1"/>
          <w:shd w:val="clear" w:color="auto" w:fill="FFFFFF"/>
        </w:rPr>
        <w:t>Heart</w:t>
      </w:r>
      <w:r w:rsidR="006F035D">
        <w:rPr>
          <w:rStyle w:val="Strong"/>
          <w:rFonts w:cs="Arial"/>
          <w:b w:val="0"/>
          <w:color w:val="000000" w:themeColor="text1"/>
          <w:shd w:val="clear" w:color="auto" w:fill="FFFFFF"/>
        </w:rPr>
        <w:t xml:space="preserve">,  2007, 93; </w:t>
      </w:r>
      <w:r w:rsidRPr="006F035D">
        <w:rPr>
          <w:rStyle w:val="Strong"/>
          <w:rFonts w:cs="Arial"/>
          <w:b w:val="0"/>
          <w:color w:val="000000" w:themeColor="text1"/>
          <w:shd w:val="clear" w:color="auto" w:fill="FFFFFF"/>
        </w:rPr>
        <w:t>1504-1506</w:t>
      </w:r>
      <w:r w:rsidR="006F035D">
        <w:rPr>
          <w:rStyle w:val="Strong"/>
          <w:rFonts w:cs="Arial"/>
          <w:b w:val="0"/>
          <w:color w:val="000000" w:themeColor="text1"/>
          <w:shd w:val="clear" w:color="auto" w:fill="FFFFFF"/>
        </w:rPr>
        <w:t>.</w:t>
      </w:r>
    </w:p>
    <w:p w14:paraId="6CCA48C3" w14:textId="77777777" w:rsidR="00C738CA" w:rsidRPr="006F035D" w:rsidRDefault="00C738CA" w:rsidP="00C738CA">
      <w:pPr>
        <w:pStyle w:val="NoSpacing"/>
        <w:spacing w:line="360" w:lineRule="auto"/>
        <w:rPr>
          <w:rStyle w:val="Strong"/>
          <w:rFonts w:cs="Arial"/>
          <w:b w:val="0"/>
          <w:color w:val="000000" w:themeColor="text1"/>
          <w:shd w:val="clear" w:color="auto" w:fill="FFFFFF"/>
        </w:rPr>
      </w:pPr>
      <w:r w:rsidRPr="006F035D">
        <w:rPr>
          <w:rStyle w:val="Strong"/>
          <w:rFonts w:cs="Arial"/>
          <w:b w:val="0"/>
          <w:color w:val="000000" w:themeColor="text1"/>
          <w:shd w:val="clear" w:color="auto" w:fill="FFFFFF"/>
        </w:rPr>
        <w:t xml:space="preserve"> </w:t>
      </w:r>
    </w:p>
    <w:p w14:paraId="27564E77" w14:textId="13D9E7FB" w:rsidR="00C738CA" w:rsidRPr="007C1689" w:rsidRDefault="00C738CA" w:rsidP="00C738CA">
      <w:pPr>
        <w:pStyle w:val="NoSpacing"/>
        <w:spacing w:line="360" w:lineRule="auto"/>
        <w:rPr>
          <w:rStyle w:val="Strong"/>
          <w:rFonts w:cs="Arial"/>
          <w:b w:val="0"/>
          <w:color w:val="000000" w:themeColor="text1"/>
          <w:shd w:val="clear" w:color="auto" w:fill="FFFFFF"/>
        </w:rPr>
      </w:pPr>
      <w:r w:rsidRPr="006F035D">
        <w:rPr>
          <w:rStyle w:val="Strong"/>
          <w:rFonts w:cs="Arial"/>
          <w:b w:val="0"/>
          <w:color w:val="000000" w:themeColor="text1"/>
          <w:shd w:val="clear" w:color="auto" w:fill="FFFFFF"/>
        </w:rPr>
        <w:t>12</w:t>
      </w:r>
      <w:r w:rsidRPr="007C1689">
        <w:rPr>
          <w:rStyle w:val="Strong"/>
          <w:rFonts w:cs="Arial"/>
          <w:b w:val="0"/>
          <w:color w:val="000000" w:themeColor="text1"/>
          <w:shd w:val="clear" w:color="auto" w:fill="FFFFFF"/>
        </w:rPr>
        <w:t xml:space="preserve"> Gibbs B</w:t>
      </w:r>
      <w:r w:rsidR="006F035D">
        <w:rPr>
          <w:rStyle w:val="Strong"/>
          <w:rFonts w:cs="Arial"/>
          <w:b w:val="0"/>
          <w:color w:val="000000" w:themeColor="text1"/>
          <w:shd w:val="clear" w:color="auto" w:fill="FFFFFF"/>
        </w:rPr>
        <w:t xml:space="preserve"> </w:t>
      </w:r>
      <w:proofErr w:type="spellStart"/>
      <w:r w:rsidRPr="007C1689">
        <w:rPr>
          <w:rStyle w:val="Strong"/>
          <w:rFonts w:cs="Arial"/>
          <w:b w:val="0"/>
          <w:color w:val="000000" w:themeColor="text1"/>
          <w:shd w:val="clear" w:color="auto" w:fill="FFFFFF"/>
        </w:rPr>
        <w:t>B</w:t>
      </w:r>
      <w:proofErr w:type="spellEnd"/>
      <w:r w:rsidRPr="007C1689">
        <w:rPr>
          <w:rStyle w:val="Strong"/>
          <w:rFonts w:cs="Arial"/>
          <w:b w:val="0"/>
          <w:color w:val="000000" w:themeColor="text1"/>
          <w:shd w:val="clear" w:color="auto" w:fill="FFFFFF"/>
        </w:rPr>
        <w:t xml:space="preserve">, </w:t>
      </w:r>
      <w:proofErr w:type="spellStart"/>
      <w:r w:rsidRPr="007C1689">
        <w:rPr>
          <w:rStyle w:val="Strong"/>
          <w:rFonts w:cs="Arial"/>
          <w:b w:val="0"/>
          <w:color w:val="000000" w:themeColor="text1"/>
          <w:shd w:val="clear" w:color="auto" w:fill="FFFFFF"/>
        </w:rPr>
        <w:t>Brancati</w:t>
      </w:r>
      <w:proofErr w:type="spellEnd"/>
      <w:r w:rsidRPr="007C1689">
        <w:rPr>
          <w:rStyle w:val="Strong"/>
          <w:rFonts w:cs="Arial"/>
          <w:b w:val="0"/>
          <w:color w:val="000000" w:themeColor="text1"/>
          <w:shd w:val="clear" w:color="auto" w:fill="FFFFFF"/>
        </w:rPr>
        <w:t xml:space="preserve"> F</w:t>
      </w:r>
      <w:r w:rsidR="006F035D">
        <w:rPr>
          <w:rStyle w:val="Strong"/>
          <w:rFonts w:cs="Arial"/>
          <w:b w:val="0"/>
          <w:color w:val="000000" w:themeColor="text1"/>
          <w:shd w:val="clear" w:color="auto" w:fill="FFFFFF"/>
        </w:rPr>
        <w:t xml:space="preserve"> </w:t>
      </w:r>
      <w:r w:rsidRPr="007C1689">
        <w:rPr>
          <w:rStyle w:val="Strong"/>
          <w:rFonts w:cs="Arial"/>
          <w:b w:val="0"/>
          <w:color w:val="000000" w:themeColor="text1"/>
          <w:shd w:val="clear" w:color="auto" w:fill="FFFFFF"/>
        </w:rPr>
        <w:t xml:space="preserve">L, Chen H, </w:t>
      </w:r>
      <w:r w:rsidRPr="006F035D">
        <w:rPr>
          <w:rStyle w:val="Strong"/>
          <w:rFonts w:cs="Arial"/>
          <w:b w:val="0"/>
          <w:i/>
          <w:color w:val="000000" w:themeColor="text1"/>
          <w:shd w:val="clear" w:color="auto" w:fill="FFFFFF"/>
        </w:rPr>
        <w:t>et al</w:t>
      </w:r>
      <w:r w:rsidR="006F035D">
        <w:rPr>
          <w:rStyle w:val="Strong"/>
          <w:rFonts w:cs="Arial"/>
          <w:b w:val="0"/>
          <w:i/>
          <w:color w:val="000000" w:themeColor="text1"/>
          <w:shd w:val="clear" w:color="auto" w:fill="FFFFFF"/>
        </w:rPr>
        <w:t>,</w:t>
      </w:r>
      <w:r w:rsidRPr="006F035D">
        <w:rPr>
          <w:rStyle w:val="Strong"/>
          <w:rFonts w:cs="Arial"/>
          <w:b w:val="0"/>
          <w:i/>
          <w:color w:val="000000" w:themeColor="text1"/>
          <w:shd w:val="clear" w:color="auto" w:fill="FFFFFF"/>
        </w:rPr>
        <w:t xml:space="preserve"> </w:t>
      </w:r>
      <w:r w:rsidR="006F035D">
        <w:rPr>
          <w:rStyle w:val="Strong"/>
          <w:rFonts w:cs="Arial"/>
          <w:b w:val="0"/>
          <w:color w:val="000000" w:themeColor="text1"/>
          <w:shd w:val="clear" w:color="auto" w:fill="FFFFFF"/>
        </w:rPr>
        <w:t>Effect of i</w:t>
      </w:r>
      <w:r w:rsidRPr="007C1689">
        <w:rPr>
          <w:rStyle w:val="Strong"/>
          <w:rFonts w:cs="Arial"/>
          <w:b w:val="0"/>
          <w:color w:val="000000" w:themeColor="text1"/>
          <w:shd w:val="clear" w:color="auto" w:fill="FFFFFF"/>
        </w:rPr>
        <w:t xml:space="preserve">mprovised fitness beyond weight loss on cardiovascular risk factors in individuals with type 2 diabetes in the look AHEAD study, </w:t>
      </w:r>
      <w:r w:rsidRPr="006F035D">
        <w:rPr>
          <w:rStyle w:val="Strong"/>
          <w:rFonts w:cs="Arial"/>
          <w:b w:val="0"/>
          <w:i/>
          <w:color w:val="000000" w:themeColor="text1"/>
          <w:shd w:val="clear" w:color="auto" w:fill="FFFFFF"/>
        </w:rPr>
        <w:t>European Journal of Preventative Cardiology</w:t>
      </w:r>
      <w:r w:rsidR="006F035D">
        <w:rPr>
          <w:rStyle w:val="Strong"/>
          <w:rFonts w:cs="Arial"/>
          <w:b w:val="0"/>
          <w:color w:val="000000" w:themeColor="text1"/>
          <w:shd w:val="clear" w:color="auto" w:fill="FFFFFF"/>
        </w:rPr>
        <w:t xml:space="preserve">, 2014, 21: </w:t>
      </w:r>
      <w:r w:rsidRPr="007C1689">
        <w:rPr>
          <w:rStyle w:val="Strong"/>
          <w:rFonts w:cs="Arial"/>
          <w:b w:val="0"/>
          <w:color w:val="000000" w:themeColor="text1"/>
          <w:shd w:val="clear" w:color="auto" w:fill="FFFFFF"/>
        </w:rPr>
        <w:t>5;</w:t>
      </w:r>
      <w:r w:rsidR="006F035D">
        <w:rPr>
          <w:rStyle w:val="Strong"/>
          <w:rFonts w:cs="Arial"/>
          <w:b w:val="0"/>
          <w:color w:val="000000" w:themeColor="text1"/>
          <w:shd w:val="clear" w:color="auto" w:fill="FFFFFF"/>
        </w:rPr>
        <w:t xml:space="preserve"> </w:t>
      </w:r>
      <w:r w:rsidRPr="007C1689">
        <w:rPr>
          <w:rStyle w:val="Strong"/>
          <w:rFonts w:cs="Arial"/>
          <w:b w:val="0"/>
          <w:color w:val="000000" w:themeColor="text1"/>
          <w:shd w:val="clear" w:color="auto" w:fill="FFFFFF"/>
        </w:rPr>
        <w:t>608-617</w:t>
      </w:r>
      <w:r w:rsidR="006F035D">
        <w:rPr>
          <w:rStyle w:val="Strong"/>
          <w:rFonts w:cs="Arial"/>
          <w:b w:val="0"/>
          <w:color w:val="000000" w:themeColor="text1"/>
          <w:shd w:val="clear" w:color="auto" w:fill="FFFFFF"/>
        </w:rPr>
        <w:t>.</w:t>
      </w:r>
      <w:r w:rsidRPr="007C1689">
        <w:rPr>
          <w:rStyle w:val="Strong"/>
          <w:rFonts w:cs="Arial"/>
          <w:b w:val="0"/>
          <w:color w:val="000000" w:themeColor="text1"/>
          <w:shd w:val="clear" w:color="auto" w:fill="FFFFFF"/>
        </w:rPr>
        <w:t xml:space="preserve"> </w:t>
      </w:r>
    </w:p>
    <w:p w14:paraId="350CE05B" w14:textId="77777777" w:rsidR="00C738CA" w:rsidRPr="007C1689" w:rsidRDefault="00C738CA" w:rsidP="00C738CA">
      <w:pPr>
        <w:pStyle w:val="NoSpacing"/>
        <w:spacing w:line="360" w:lineRule="auto"/>
        <w:rPr>
          <w:rStyle w:val="Strong"/>
          <w:rFonts w:cs="Arial"/>
          <w:b w:val="0"/>
          <w:color w:val="000000" w:themeColor="text1"/>
          <w:shd w:val="clear" w:color="auto" w:fill="FFFFFF"/>
        </w:rPr>
      </w:pPr>
    </w:p>
    <w:p w14:paraId="44F3FCCA" w14:textId="7AF756CB" w:rsidR="006F035D" w:rsidRDefault="00C738CA" w:rsidP="00C738CA">
      <w:pPr>
        <w:spacing w:line="480" w:lineRule="auto"/>
        <w:jc w:val="both"/>
        <w:rPr>
          <w:rFonts w:cs="Cambria"/>
          <w:bCs/>
        </w:rPr>
      </w:pPr>
      <w:r w:rsidRPr="007C1689">
        <w:rPr>
          <w:rFonts w:cs="Cambria"/>
          <w:bCs/>
        </w:rPr>
        <w:t>13 British Association for Cardiovascular Prevention</w:t>
      </w:r>
      <w:r w:rsidR="006F035D">
        <w:rPr>
          <w:rFonts w:cs="Cambria"/>
          <w:bCs/>
        </w:rPr>
        <w:t xml:space="preserve"> and Rehabilitation, The BACPR standards and core components for cardiovascular disease p</w:t>
      </w:r>
      <w:r w:rsidRPr="007C1689">
        <w:rPr>
          <w:rFonts w:cs="Cambria"/>
          <w:bCs/>
        </w:rPr>
        <w:t>re</w:t>
      </w:r>
      <w:r w:rsidR="006F035D">
        <w:rPr>
          <w:rFonts w:cs="Cambria"/>
          <w:bCs/>
        </w:rPr>
        <w:t>vention and r</w:t>
      </w:r>
      <w:r w:rsidRPr="007C1689">
        <w:rPr>
          <w:rFonts w:cs="Cambria"/>
          <w:bCs/>
        </w:rPr>
        <w:t xml:space="preserve">ehabilitation 2017. </w:t>
      </w:r>
    </w:p>
    <w:p w14:paraId="4A07D495" w14:textId="29A54926" w:rsidR="00C738CA" w:rsidRPr="007C1689" w:rsidRDefault="000D3B50" w:rsidP="00C738CA">
      <w:pPr>
        <w:spacing w:line="480" w:lineRule="auto"/>
        <w:jc w:val="both"/>
        <w:rPr>
          <w:rStyle w:val="Strong"/>
          <w:b w:val="0"/>
          <w:bCs w:val="0"/>
        </w:rPr>
      </w:pPr>
      <w:hyperlink r:id="rId9" w:history="1">
        <w:r w:rsidR="00C738CA" w:rsidRPr="007C1689">
          <w:rPr>
            <w:rStyle w:val="Hyperlink"/>
          </w:rPr>
          <w:t>http://www.bacpr.com/resources/6A7_BACR_Standards_and_Core_Components_2017.pdf</w:t>
        </w:r>
      </w:hyperlink>
      <w:r w:rsidR="00C738CA" w:rsidRPr="007C1689">
        <w:rPr>
          <w:rFonts w:cs="Cambria"/>
          <w:bCs/>
        </w:rPr>
        <w:t xml:space="preserve"> (accessed 8th Aug 2017).</w:t>
      </w:r>
      <w:r w:rsidR="00C738CA" w:rsidRPr="007C1689">
        <w:rPr>
          <w:noProof/>
        </w:rPr>
        <w:t xml:space="preserve"> </w:t>
      </w:r>
    </w:p>
    <w:p w14:paraId="29732395" w14:textId="6A420FAC" w:rsidR="00C738CA" w:rsidRPr="007C1689" w:rsidRDefault="00C738CA" w:rsidP="00C738CA">
      <w:pPr>
        <w:pStyle w:val="NoSpacing"/>
        <w:spacing w:line="360" w:lineRule="auto"/>
        <w:rPr>
          <w:rFonts w:cs="Arial"/>
        </w:rPr>
      </w:pPr>
      <w:r w:rsidRPr="006F035D">
        <w:rPr>
          <w:rStyle w:val="Strong"/>
          <w:rFonts w:cs="Arial"/>
          <w:b w:val="0"/>
          <w:color w:val="000000" w:themeColor="text1"/>
          <w:shd w:val="clear" w:color="auto" w:fill="FFFFFF"/>
        </w:rPr>
        <w:t xml:space="preserve">14 </w:t>
      </w:r>
      <w:proofErr w:type="spellStart"/>
      <w:r w:rsidRPr="006F035D">
        <w:rPr>
          <w:rStyle w:val="Strong"/>
          <w:rFonts w:cs="Arial"/>
          <w:b w:val="0"/>
          <w:color w:val="000000" w:themeColor="text1"/>
          <w:shd w:val="clear" w:color="auto" w:fill="FFFFFF"/>
        </w:rPr>
        <w:t>Motivala</w:t>
      </w:r>
      <w:proofErr w:type="spellEnd"/>
      <w:r w:rsidRPr="007C1689">
        <w:rPr>
          <w:rStyle w:val="Strong"/>
          <w:rFonts w:cs="Arial"/>
          <w:b w:val="0"/>
          <w:color w:val="000000" w:themeColor="text1"/>
          <w:shd w:val="clear" w:color="auto" w:fill="FFFFFF"/>
        </w:rPr>
        <w:t xml:space="preserve"> A</w:t>
      </w:r>
      <w:r w:rsidR="006F035D">
        <w:rPr>
          <w:rStyle w:val="Strong"/>
          <w:rFonts w:cs="Arial"/>
          <w:b w:val="0"/>
          <w:color w:val="000000" w:themeColor="text1"/>
          <w:shd w:val="clear" w:color="auto" w:fill="FFFFFF"/>
        </w:rPr>
        <w:t xml:space="preserve"> </w:t>
      </w:r>
      <w:proofErr w:type="spellStart"/>
      <w:r w:rsidRPr="007C1689">
        <w:rPr>
          <w:rStyle w:val="Strong"/>
          <w:rFonts w:cs="Arial"/>
          <w:b w:val="0"/>
          <w:color w:val="000000" w:themeColor="text1"/>
          <w:shd w:val="clear" w:color="auto" w:fill="FFFFFF"/>
        </w:rPr>
        <w:t>A</w:t>
      </w:r>
      <w:proofErr w:type="spellEnd"/>
      <w:r w:rsidRPr="007C1689">
        <w:rPr>
          <w:rStyle w:val="Strong"/>
          <w:rFonts w:cs="Arial"/>
          <w:b w:val="0"/>
          <w:color w:val="000000" w:themeColor="text1"/>
          <w:shd w:val="clear" w:color="auto" w:fill="FFFFFF"/>
        </w:rPr>
        <w:t>, Cannon C</w:t>
      </w:r>
      <w:r w:rsidR="006F035D">
        <w:rPr>
          <w:rStyle w:val="Strong"/>
          <w:rFonts w:cs="Arial"/>
          <w:b w:val="0"/>
          <w:color w:val="000000" w:themeColor="text1"/>
          <w:shd w:val="clear" w:color="auto" w:fill="FFFFFF"/>
        </w:rPr>
        <w:t xml:space="preserve"> </w:t>
      </w:r>
      <w:r w:rsidRPr="007C1689">
        <w:rPr>
          <w:rStyle w:val="Strong"/>
          <w:rFonts w:cs="Arial"/>
          <w:b w:val="0"/>
          <w:color w:val="000000" w:themeColor="text1"/>
          <w:shd w:val="clear" w:color="auto" w:fill="FFFFFF"/>
        </w:rPr>
        <w:t>P, Srinivas V</w:t>
      </w:r>
      <w:r w:rsidR="006F035D">
        <w:rPr>
          <w:rStyle w:val="Strong"/>
          <w:rFonts w:cs="Arial"/>
          <w:b w:val="0"/>
          <w:color w:val="000000" w:themeColor="text1"/>
          <w:shd w:val="clear" w:color="auto" w:fill="FFFFFF"/>
        </w:rPr>
        <w:t xml:space="preserve"> </w:t>
      </w:r>
      <w:r w:rsidRPr="007C1689">
        <w:rPr>
          <w:rStyle w:val="Strong"/>
          <w:rFonts w:cs="Arial"/>
          <w:b w:val="0"/>
          <w:color w:val="000000" w:themeColor="text1"/>
          <w:shd w:val="clear" w:color="auto" w:fill="FFFFFF"/>
        </w:rPr>
        <w:t>S, et al Changes in Myocardial Infarction Guideline Adherence as a Function of Patient Risk, Journal of American College of Cardiolo</w:t>
      </w:r>
      <w:r w:rsidR="006F035D">
        <w:rPr>
          <w:rStyle w:val="Strong"/>
          <w:rFonts w:cs="Arial"/>
          <w:b w:val="0"/>
          <w:color w:val="000000" w:themeColor="text1"/>
          <w:shd w:val="clear" w:color="auto" w:fill="FFFFFF"/>
        </w:rPr>
        <w:t xml:space="preserve">gy, 2011, 58: </w:t>
      </w:r>
      <w:r w:rsidRPr="007C1689">
        <w:rPr>
          <w:rStyle w:val="Strong"/>
          <w:rFonts w:cs="Arial"/>
          <w:b w:val="0"/>
          <w:color w:val="000000" w:themeColor="text1"/>
          <w:shd w:val="clear" w:color="auto" w:fill="FFFFFF"/>
        </w:rPr>
        <w:t>17;</w:t>
      </w:r>
      <w:r w:rsidR="006F035D">
        <w:rPr>
          <w:rStyle w:val="Strong"/>
          <w:rFonts w:cs="Arial"/>
          <w:b w:val="0"/>
          <w:color w:val="000000" w:themeColor="text1"/>
          <w:shd w:val="clear" w:color="auto" w:fill="FFFFFF"/>
        </w:rPr>
        <w:t xml:space="preserve"> </w:t>
      </w:r>
      <w:r w:rsidRPr="007C1689">
        <w:rPr>
          <w:rStyle w:val="Strong"/>
          <w:rFonts w:cs="Arial"/>
          <w:b w:val="0"/>
          <w:color w:val="000000" w:themeColor="text1"/>
          <w:shd w:val="clear" w:color="auto" w:fill="FFFFFF"/>
        </w:rPr>
        <w:t>1760-1765</w:t>
      </w:r>
      <w:r w:rsidR="006F035D">
        <w:rPr>
          <w:rStyle w:val="Strong"/>
          <w:rFonts w:cs="Arial"/>
          <w:b w:val="0"/>
          <w:color w:val="000000" w:themeColor="text1"/>
          <w:shd w:val="clear" w:color="auto" w:fill="FFFFFF"/>
        </w:rPr>
        <w:t>.</w:t>
      </w:r>
      <w:r w:rsidRPr="007C1689">
        <w:rPr>
          <w:rStyle w:val="Strong"/>
          <w:rFonts w:cs="Arial"/>
          <w:b w:val="0"/>
          <w:color w:val="000000" w:themeColor="text1"/>
          <w:shd w:val="clear" w:color="auto" w:fill="FFFFFF"/>
        </w:rPr>
        <w:t xml:space="preserve"> </w:t>
      </w:r>
    </w:p>
    <w:p w14:paraId="4128E199" w14:textId="77777777" w:rsidR="00C738CA" w:rsidRPr="007C1689" w:rsidRDefault="00C738CA" w:rsidP="00C738CA">
      <w:pPr>
        <w:pStyle w:val="NoSpacing"/>
        <w:spacing w:line="360" w:lineRule="auto"/>
        <w:rPr>
          <w:rFonts w:cs="Times New Roman"/>
        </w:rPr>
      </w:pPr>
    </w:p>
    <w:p w14:paraId="58637596" w14:textId="4E254DE8" w:rsidR="00C738CA" w:rsidRPr="007C1689" w:rsidRDefault="00C738CA" w:rsidP="00C738CA">
      <w:pPr>
        <w:pStyle w:val="NoSpacing"/>
        <w:spacing w:line="360" w:lineRule="auto"/>
        <w:rPr>
          <w:rFonts w:cs="Times New Roman"/>
        </w:rPr>
      </w:pPr>
      <w:r w:rsidRPr="007C1689">
        <w:rPr>
          <w:rFonts w:cs="Times New Roman"/>
        </w:rPr>
        <w:t xml:space="preserve">15 ISPM, University of Bern, STROBE Statement, Strengthening the reporting of observational studies in epidemiology 2009 </w:t>
      </w:r>
      <w:hyperlink r:id="rId10" w:history="1">
        <w:r w:rsidRPr="007C1689">
          <w:rPr>
            <w:rFonts w:cs="Times New Roman"/>
            <w:color w:val="0000FF" w:themeColor="hyperlink"/>
            <w:u w:val="single"/>
          </w:rPr>
          <w:t>http://www.strobe-statement.org/fileadmin/Strobe/uploads/checklists/STROBE_checklist_v4_combined.pdf</w:t>
        </w:r>
      </w:hyperlink>
      <w:r w:rsidRPr="007C1689">
        <w:rPr>
          <w:rFonts w:cs="Times New Roman"/>
        </w:rPr>
        <w:t xml:space="preserve"> (accessed </w:t>
      </w:r>
      <w:r w:rsidR="006F035D">
        <w:rPr>
          <w:rFonts w:cs="Times New Roman"/>
        </w:rPr>
        <w:t>8th Aug 2017</w:t>
      </w:r>
      <w:r w:rsidRPr="007C1689">
        <w:rPr>
          <w:rFonts w:cs="Times New Roman"/>
        </w:rPr>
        <w:t>).</w:t>
      </w:r>
    </w:p>
    <w:p w14:paraId="7AA2CE82" w14:textId="77777777" w:rsidR="00C738CA" w:rsidRPr="007C1689" w:rsidRDefault="00C738CA" w:rsidP="00C738CA">
      <w:pPr>
        <w:pStyle w:val="NoSpacing"/>
        <w:spacing w:line="360" w:lineRule="auto"/>
      </w:pPr>
    </w:p>
    <w:p w14:paraId="52D95B52" w14:textId="471282B5" w:rsidR="00C738CA" w:rsidRPr="007C1689" w:rsidRDefault="00C738CA" w:rsidP="00C738CA">
      <w:pPr>
        <w:pStyle w:val="Heading4"/>
        <w:spacing w:before="0" w:line="360" w:lineRule="atLeast"/>
        <w:rPr>
          <w:rFonts w:asciiTheme="minorHAnsi" w:eastAsia="Times New Roman" w:hAnsiTheme="minorHAnsi"/>
          <w:color w:val="000000"/>
          <w:lang w:eastAsia="en-GB"/>
        </w:rPr>
      </w:pPr>
      <w:r w:rsidRPr="007C1689">
        <w:rPr>
          <w:rFonts w:asciiTheme="minorHAnsi" w:eastAsiaTheme="minorHAnsi" w:hAnsiTheme="minorHAnsi" w:cstheme="minorBidi"/>
          <w:i w:val="0"/>
          <w:iCs w:val="0"/>
          <w:color w:val="auto"/>
        </w:rPr>
        <w:t xml:space="preserve">16 </w:t>
      </w:r>
      <w:r w:rsidR="006F035D">
        <w:rPr>
          <w:rFonts w:asciiTheme="minorHAnsi" w:eastAsia="Times New Roman" w:hAnsiTheme="minorHAnsi"/>
          <w:bCs/>
          <w:i w:val="0"/>
          <w:color w:val="000000"/>
        </w:rPr>
        <w:t>King</w:t>
      </w:r>
      <w:r w:rsidRPr="007C1689">
        <w:rPr>
          <w:rFonts w:asciiTheme="minorHAnsi" w:eastAsia="Times New Roman" w:hAnsiTheme="minorHAnsi"/>
          <w:bCs/>
          <w:i w:val="0"/>
          <w:color w:val="000000"/>
        </w:rPr>
        <w:t xml:space="preserve"> </w:t>
      </w:r>
      <w:r w:rsidR="006F035D">
        <w:rPr>
          <w:rFonts w:asciiTheme="minorHAnsi" w:eastAsia="Times New Roman" w:hAnsiTheme="minorHAnsi"/>
          <w:bCs/>
          <w:i w:val="0"/>
          <w:color w:val="000000"/>
        </w:rPr>
        <w:t>P, Peacock I, Donnelly R, The UK prospective diabetes s</w:t>
      </w:r>
      <w:r w:rsidRPr="007C1689">
        <w:rPr>
          <w:rFonts w:asciiTheme="minorHAnsi" w:eastAsia="Times New Roman" w:hAnsiTheme="minorHAnsi"/>
          <w:bCs/>
          <w:i w:val="0"/>
          <w:color w:val="000000"/>
        </w:rPr>
        <w:t>tudy (UKPDS): clinical and therapeutic implications for type 2 diabetes.</w:t>
      </w:r>
      <w:r w:rsidRPr="007C1689">
        <w:rPr>
          <w:rStyle w:val="apple-converted-space"/>
          <w:rFonts w:asciiTheme="minorHAnsi" w:eastAsia="Times New Roman" w:hAnsiTheme="minorHAnsi"/>
          <w:bCs/>
          <w:i w:val="0"/>
          <w:color w:val="000000"/>
        </w:rPr>
        <w:t> </w:t>
      </w:r>
      <w:r w:rsidRPr="006F035D">
        <w:rPr>
          <w:rFonts w:asciiTheme="minorHAnsi" w:eastAsia="Times New Roman" w:hAnsiTheme="minorHAnsi"/>
          <w:bCs/>
          <w:iCs w:val="0"/>
          <w:color w:val="000000"/>
        </w:rPr>
        <w:t>British Journal of Clinical Pharmacology</w:t>
      </w:r>
      <w:r w:rsidRPr="007C1689">
        <w:rPr>
          <w:rFonts w:asciiTheme="minorHAnsi" w:eastAsia="Times New Roman" w:hAnsiTheme="minorHAnsi"/>
          <w:bCs/>
          <w:i w:val="0"/>
          <w:color w:val="000000"/>
        </w:rPr>
        <w:t xml:space="preserve">, </w:t>
      </w:r>
      <w:r w:rsidR="006F035D">
        <w:rPr>
          <w:rFonts w:asciiTheme="minorHAnsi" w:eastAsia="Times New Roman" w:hAnsiTheme="minorHAnsi"/>
          <w:bCs/>
          <w:i w:val="0"/>
          <w:color w:val="000000"/>
        </w:rPr>
        <w:t xml:space="preserve">2001, 48: 5; </w:t>
      </w:r>
      <w:r w:rsidRPr="007C1689">
        <w:rPr>
          <w:rFonts w:asciiTheme="minorHAnsi" w:eastAsia="Times New Roman" w:hAnsiTheme="minorHAnsi"/>
          <w:bCs/>
          <w:i w:val="0"/>
          <w:color w:val="000000"/>
        </w:rPr>
        <w:t>643-648.</w:t>
      </w:r>
    </w:p>
    <w:p w14:paraId="779129A2" w14:textId="77777777" w:rsidR="00C738CA" w:rsidRPr="007C1689" w:rsidRDefault="00C738CA" w:rsidP="00C738CA">
      <w:pPr>
        <w:pStyle w:val="CommentText"/>
        <w:rPr>
          <w:sz w:val="22"/>
          <w:szCs w:val="22"/>
        </w:rPr>
      </w:pPr>
    </w:p>
    <w:p w14:paraId="16F72BAF" w14:textId="2807EFDF" w:rsidR="00C738CA" w:rsidRPr="007C1689" w:rsidRDefault="00C738CA" w:rsidP="00C738CA">
      <w:pPr>
        <w:pStyle w:val="CommentText"/>
        <w:rPr>
          <w:sz w:val="22"/>
          <w:szCs w:val="22"/>
        </w:rPr>
      </w:pPr>
      <w:r w:rsidRPr="007C1689">
        <w:rPr>
          <w:sz w:val="22"/>
          <w:szCs w:val="22"/>
        </w:rPr>
        <w:t>17 Bax</w:t>
      </w:r>
      <w:r w:rsidR="007C1689" w:rsidRPr="007C1689">
        <w:rPr>
          <w:sz w:val="22"/>
          <w:szCs w:val="22"/>
        </w:rPr>
        <w:t>ter M, Hudson R, Mahon J et al</w:t>
      </w:r>
      <w:r w:rsidRPr="007C1689">
        <w:rPr>
          <w:sz w:val="22"/>
          <w:szCs w:val="22"/>
        </w:rPr>
        <w:t xml:space="preserve"> Estimating the impact of better management of glycaemic control in adults with Type 1 and Type 2 diabetes on the number of clinical complications and the associated financial benefit, </w:t>
      </w:r>
      <w:r w:rsidRPr="007C1689">
        <w:rPr>
          <w:i/>
          <w:sz w:val="22"/>
          <w:szCs w:val="22"/>
        </w:rPr>
        <w:t>Diabetic Medicine</w:t>
      </w:r>
      <w:r w:rsidRPr="007C1689">
        <w:rPr>
          <w:sz w:val="22"/>
          <w:szCs w:val="22"/>
        </w:rPr>
        <w:t xml:space="preserve">, </w:t>
      </w:r>
      <w:r w:rsidR="007C1689" w:rsidRPr="007C1689">
        <w:rPr>
          <w:sz w:val="22"/>
          <w:szCs w:val="22"/>
        </w:rPr>
        <w:t>2016, 33;</w:t>
      </w:r>
      <w:r w:rsidRPr="007C1689">
        <w:rPr>
          <w:sz w:val="22"/>
          <w:szCs w:val="22"/>
        </w:rPr>
        <w:t xml:space="preserve"> 1575-1581.</w:t>
      </w:r>
    </w:p>
    <w:p w14:paraId="19E35624" w14:textId="3E0D0EFE" w:rsidR="007C1689" w:rsidRPr="007C1689" w:rsidRDefault="00C738CA" w:rsidP="00C738CA">
      <w:pPr>
        <w:pStyle w:val="NoSpacing"/>
        <w:spacing w:line="360" w:lineRule="auto"/>
      </w:pPr>
      <w:r w:rsidRPr="007C1689">
        <w:t>18 World Health</w:t>
      </w:r>
      <w:r w:rsidR="007C1689" w:rsidRPr="007C1689">
        <w:t xml:space="preserve"> Organization,</w:t>
      </w:r>
      <w:r w:rsidRPr="007C1689">
        <w:t xml:space="preserve"> </w:t>
      </w:r>
      <w:r w:rsidR="007C1689" w:rsidRPr="007C1689">
        <w:t xml:space="preserve">Global report on diabetes </w:t>
      </w:r>
      <w:hyperlink r:id="rId11" w:history="1">
        <w:r w:rsidR="007C1689" w:rsidRPr="007C1689">
          <w:rPr>
            <w:rStyle w:val="Hyperlink"/>
          </w:rPr>
          <w:t>http://apps.who.int/iris/bitstream/10665/204871/1/9789241565257_eng.pdf</w:t>
        </w:r>
      </w:hyperlink>
    </w:p>
    <w:p w14:paraId="2353878E" w14:textId="56A623F1" w:rsidR="00C738CA" w:rsidRPr="007C1689" w:rsidRDefault="00C738CA" w:rsidP="00C738CA">
      <w:pPr>
        <w:pStyle w:val="NoSpacing"/>
        <w:spacing w:line="360" w:lineRule="auto"/>
        <w:rPr>
          <w:rFonts w:cs="Arial"/>
          <w:color w:val="0000FF" w:themeColor="hyperlink"/>
          <w:u w:val="single"/>
        </w:rPr>
      </w:pPr>
      <w:r w:rsidRPr="007C1689">
        <w:rPr>
          <w:rStyle w:val="Hyperlink"/>
          <w:rFonts w:cs="Arial"/>
          <w:color w:val="auto"/>
        </w:rPr>
        <w:t>[</w:t>
      </w:r>
      <w:proofErr w:type="gramStart"/>
      <w:r w:rsidRPr="007C1689">
        <w:rPr>
          <w:rStyle w:val="Hyperlink"/>
          <w:rFonts w:cs="Arial"/>
          <w:color w:val="auto"/>
        </w:rPr>
        <w:t>accessed</w:t>
      </w:r>
      <w:proofErr w:type="gramEnd"/>
      <w:r w:rsidRPr="007C1689">
        <w:rPr>
          <w:rStyle w:val="Hyperlink"/>
          <w:rFonts w:cs="Arial"/>
          <w:color w:val="auto"/>
        </w:rPr>
        <w:t xml:space="preserve"> </w:t>
      </w:r>
      <w:r w:rsidR="007C1689" w:rsidRPr="007C1689">
        <w:rPr>
          <w:rStyle w:val="Hyperlink"/>
          <w:rFonts w:cs="Arial"/>
          <w:color w:val="auto"/>
        </w:rPr>
        <w:t>8th Aug</w:t>
      </w:r>
      <w:r w:rsidRPr="007C1689">
        <w:rPr>
          <w:rStyle w:val="Hyperlink"/>
          <w:rFonts w:cs="Arial"/>
          <w:color w:val="auto"/>
        </w:rPr>
        <w:t xml:space="preserve"> 2017]</w:t>
      </w:r>
    </w:p>
    <w:p w14:paraId="56842827" w14:textId="77777777" w:rsidR="00C738CA" w:rsidRPr="007C1689" w:rsidRDefault="00C738CA" w:rsidP="00C738CA">
      <w:pPr>
        <w:pStyle w:val="NoSpacing"/>
        <w:spacing w:line="360" w:lineRule="auto"/>
      </w:pPr>
    </w:p>
    <w:p w14:paraId="27054AA5" w14:textId="49FF1B56" w:rsidR="00C738CA" w:rsidRPr="007C1689" w:rsidRDefault="00C738CA" w:rsidP="00C738CA">
      <w:pPr>
        <w:pStyle w:val="NoSpacing"/>
        <w:spacing w:line="360" w:lineRule="auto"/>
        <w:rPr>
          <w:rFonts w:cs="Segoe UI"/>
          <w:color w:val="000000"/>
        </w:rPr>
      </w:pPr>
      <w:r w:rsidRPr="007C1689">
        <w:rPr>
          <w:rFonts w:cs="Segoe UI"/>
          <w:bCs/>
          <w:color w:val="000000"/>
        </w:rPr>
        <w:t xml:space="preserve">19 Pell J, Pell A, Morrison C, Blatchford O, </w:t>
      </w:r>
      <w:proofErr w:type="spellStart"/>
      <w:r w:rsidRPr="007C1689">
        <w:rPr>
          <w:rFonts w:cs="Segoe UI"/>
          <w:bCs/>
          <w:color w:val="000000"/>
        </w:rPr>
        <w:t>Dargie</w:t>
      </w:r>
      <w:proofErr w:type="spellEnd"/>
      <w:r w:rsidRPr="007C1689">
        <w:rPr>
          <w:rFonts w:cs="Segoe UI"/>
          <w:bCs/>
          <w:color w:val="000000"/>
        </w:rPr>
        <w:t xml:space="preserve"> H, Retrospective study of influence of deprivation on u</w:t>
      </w:r>
      <w:r w:rsidR="007C1689" w:rsidRPr="007C1689">
        <w:rPr>
          <w:rFonts w:cs="Segoe UI"/>
          <w:bCs/>
          <w:color w:val="000000"/>
        </w:rPr>
        <w:t>ptake of cardiac rehabilitation,</w:t>
      </w:r>
      <w:r w:rsidRPr="007C1689">
        <w:rPr>
          <w:rStyle w:val="apple-converted-space"/>
          <w:rFonts w:cs="Segoe UI"/>
          <w:bCs/>
          <w:color w:val="000000"/>
        </w:rPr>
        <w:t> </w:t>
      </w:r>
      <w:r w:rsidRPr="007C1689">
        <w:rPr>
          <w:rFonts w:cs="Segoe UI"/>
          <w:bCs/>
          <w:i/>
          <w:iCs/>
          <w:color w:val="000000"/>
        </w:rPr>
        <w:t>BMJ</w:t>
      </w:r>
      <w:r w:rsidRPr="007C1689">
        <w:rPr>
          <w:rFonts w:cs="Segoe UI"/>
          <w:bCs/>
          <w:color w:val="000000"/>
        </w:rPr>
        <w:t xml:space="preserve">, 1996, </w:t>
      </w:r>
      <w:r w:rsidR="007C1689" w:rsidRPr="007C1689">
        <w:rPr>
          <w:rFonts w:cs="Segoe UI"/>
          <w:bCs/>
          <w:color w:val="000000"/>
        </w:rPr>
        <w:t xml:space="preserve">313: 7052; </w:t>
      </w:r>
      <w:r w:rsidRPr="007C1689">
        <w:rPr>
          <w:rFonts w:cs="Segoe UI"/>
          <w:bCs/>
          <w:color w:val="000000"/>
        </w:rPr>
        <w:t>267-268.</w:t>
      </w:r>
    </w:p>
    <w:p w14:paraId="110D53B1" w14:textId="77777777" w:rsidR="00C738CA" w:rsidRPr="007C1689" w:rsidRDefault="00C738CA" w:rsidP="00C738CA">
      <w:pPr>
        <w:pStyle w:val="NoSpacing"/>
        <w:spacing w:line="360" w:lineRule="auto"/>
      </w:pPr>
    </w:p>
    <w:p w14:paraId="4750662C" w14:textId="2DF8E77B" w:rsidR="00C738CA" w:rsidRPr="007C1689" w:rsidRDefault="00C738CA" w:rsidP="00C738CA">
      <w:pPr>
        <w:pStyle w:val="NoSpacing"/>
        <w:spacing w:line="360" w:lineRule="auto"/>
        <w:rPr>
          <w:rFonts w:cs="Segoe UI"/>
          <w:color w:val="000000"/>
        </w:rPr>
      </w:pPr>
      <w:r w:rsidRPr="007C1689">
        <w:rPr>
          <w:rFonts w:cs="Segoe UI"/>
          <w:bCs/>
          <w:color w:val="000000"/>
        </w:rPr>
        <w:t>20</w:t>
      </w:r>
      <w:r w:rsidR="007C1689" w:rsidRPr="007C1689">
        <w:rPr>
          <w:rFonts w:cs="Segoe UI"/>
          <w:bCs/>
          <w:color w:val="000000"/>
        </w:rPr>
        <w:t xml:space="preserve"> </w:t>
      </w:r>
      <w:proofErr w:type="spellStart"/>
      <w:r w:rsidR="007C1689" w:rsidRPr="007C1689">
        <w:rPr>
          <w:rFonts w:cs="Segoe UI"/>
          <w:bCs/>
          <w:color w:val="000000"/>
        </w:rPr>
        <w:t>Beswick</w:t>
      </w:r>
      <w:proofErr w:type="spellEnd"/>
      <w:r w:rsidR="007C1689" w:rsidRPr="007C1689">
        <w:rPr>
          <w:rFonts w:cs="Segoe UI"/>
          <w:bCs/>
          <w:color w:val="000000"/>
        </w:rPr>
        <w:t xml:space="preserve"> A, Rees K, West R, </w:t>
      </w:r>
      <w:r w:rsidR="007C1689" w:rsidRPr="007C1689">
        <w:rPr>
          <w:rFonts w:cs="Segoe UI"/>
          <w:bCs/>
          <w:i/>
          <w:color w:val="000000"/>
        </w:rPr>
        <w:t>et al,</w:t>
      </w:r>
      <w:r w:rsidR="007C1689" w:rsidRPr="007C1689">
        <w:rPr>
          <w:rFonts w:cs="Segoe UI"/>
          <w:bCs/>
          <w:color w:val="000000"/>
        </w:rPr>
        <w:t xml:space="preserve"> Improving</w:t>
      </w:r>
      <w:r w:rsidRPr="007C1689">
        <w:rPr>
          <w:rFonts w:cs="Segoe UI"/>
          <w:bCs/>
          <w:color w:val="000000"/>
        </w:rPr>
        <w:t xml:space="preserve"> uptake and adherence in cardiac rehabilitation: literature review.</w:t>
      </w:r>
      <w:r w:rsidRPr="007C1689">
        <w:rPr>
          <w:rStyle w:val="apple-converted-space"/>
          <w:rFonts w:cs="Segoe UI"/>
          <w:bCs/>
          <w:color w:val="000000"/>
        </w:rPr>
        <w:t> </w:t>
      </w:r>
      <w:r w:rsidRPr="007C1689">
        <w:rPr>
          <w:rFonts w:cs="Segoe UI"/>
          <w:bCs/>
          <w:i/>
          <w:iCs/>
          <w:color w:val="000000"/>
        </w:rPr>
        <w:t>Journal of Advanced Nursing</w:t>
      </w:r>
      <w:r w:rsidRPr="007C1689">
        <w:rPr>
          <w:rFonts w:cs="Segoe UI"/>
          <w:bCs/>
          <w:color w:val="000000"/>
        </w:rPr>
        <w:t xml:space="preserve">, </w:t>
      </w:r>
      <w:r w:rsidR="007C1689" w:rsidRPr="007C1689">
        <w:rPr>
          <w:rFonts w:cs="Segoe UI"/>
          <w:bCs/>
          <w:color w:val="000000"/>
        </w:rPr>
        <w:t>2005, 49:</w:t>
      </w:r>
      <w:r w:rsidRPr="007C1689">
        <w:rPr>
          <w:rFonts w:cs="Segoe UI"/>
          <w:bCs/>
          <w:color w:val="000000"/>
        </w:rPr>
        <w:t>5</w:t>
      </w:r>
      <w:r w:rsidR="007C1689" w:rsidRPr="007C1689">
        <w:rPr>
          <w:rFonts w:cs="Segoe UI"/>
          <w:bCs/>
          <w:color w:val="000000"/>
        </w:rPr>
        <w:t>: 38-555</w:t>
      </w:r>
    </w:p>
    <w:p w14:paraId="4DDAF699" w14:textId="77777777" w:rsidR="00573346" w:rsidRPr="00EC00EF" w:rsidRDefault="00573346" w:rsidP="004248C1">
      <w:pPr>
        <w:pStyle w:val="NoSpacing"/>
      </w:pPr>
    </w:p>
    <w:sectPr w:rsidR="00573346" w:rsidRPr="00EC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nockout-50Welterweight">
    <w:altName w:val="MS Gothic"/>
    <w:panose1 w:val="00000000000000000000"/>
    <w:charset w:val="80"/>
    <w:family w:val="swiss"/>
    <w:notTrueType/>
    <w:pitch w:val="default"/>
    <w:sig w:usb0="00000001" w:usb1="08070000" w:usb2="00000010" w:usb3="00000000" w:csb0="0002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Book">
    <w:panose1 w:val="00000000000000000000"/>
    <w:charset w:val="00"/>
    <w:family w:val="swiss"/>
    <w:notTrueType/>
    <w:pitch w:val="default"/>
    <w:sig w:usb0="00000003" w:usb1="00000000" w:usb2="00000000" w:usb3="00000000" w:csb0="00000001" w:csb1="00000000"/>
  </w:font>
  <w:font w:name="Optima-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F78"/>
    <w:multiLevelType w:val="hybridMultilevel"/>
    <w:tmpl w:val="FAFC59D8"/>
    <w:lvl w:ilvl="0" w:tplc="64EA02B4">
      <w:start w:val="1"/>
      <w:numFmt w:val="bullet"/>
      <w:lvlText w:val=""/>
      <w:lvlJc w:val="left"/>
      <w:pPr>
        <w:ind w:left="360" w:hanging="360"/>
      </w:pPr>
      <w:rPr>
        <w:rFonts w:ascii="Symbol" w:hAnsi="Symbol" w:hint="default"/>
      </w:rPr>
    </w:lvl>
    <w:lvl w:ilvl="1" w:tplc="EB80530A" w:tentative="1">
      <w:start w:val="1"/>
      <w:numFmt w:val="bullet"/>
      <w:lvlText w:val="o"/>
      <w:lvlJc w:val="left"/>
      <w:pPr>
        <w:ind w:left="1080" w:hanging="360"/>
      </w:pPr>
      <w:rPr>
        <w:rFonts w:ascii="Courier New" w:hAnsi="Courier New" w:cs="Courier New" w:hint="default"/>
      </w:rPr>
    </w:lvl>
    <w:lvl w:ilvl="2" w:tplc="FDBE02E2" w:tentative="1">
      <w:start w:val="1"/>
      <w:numFmt w:val="bullet"/>
      <w:lvlText w:val=""/>
      <w:lvlJc w:val="left"/>
      <w:pPr>
        <w:ind w:left="1800" w:hanging="360"/>
      </w:pPr>
      <w:rPr>
        <w:rFonts w:ascii="Wingdings" w:hAnsi="Wingdings" w:hint="default"/>
      </w:rPr>
    </w:lvl>
    <w:lvl w:ilvl="3" w:tplc="11CAF494" w:tentative="1">
      <w:start w:val="1"/>
      <w:numFmt w:val="bullet"/>
      <w:lvlText w:val=""/>
      <w:lvlJc w:val="left"/>
      <w:pPr>
        <w:ind w:left="2520" w:hanging="360"/>
      </w:pPr>
      <w:rPr>
        <w:rFonts w:ascii="Symbol" w:hAnsi="Symbol" w:hint="default"/>
      </w:rPr>
    </w:lvl>
    <w:lvl w:ilvl="4" w:tplc="932471D2" w:tentative="1">
      <w:start w:val="1"/>
      <w:numFmt w:val="bullet"/>
      <w:lvlText w:val="o"/>
      <w:lvlJc w:val="left"/>
      <w:pPr>
        <w:ind w:left="3240" w:hanging="360"/>
      </w:pPr>
      <w:rPr>
        <w:rFonts w:ascii="Courier New" w:hAnsi="Courier New" w:cs="Courier New" w:hint="default"/>
      </w:rPr>
    </w:lvl>
    <w:lvl w:ilvl="5" w:tplc="22A228D4" w:tentative="1">
      <w:start w:val="1"/>
      <w:numFmt w:val="bullet"/>
      <w:lvlText w:val=""/>
      <w:lvlJc w:val="left"/>
      <w:pPr>
        <w:ind w:left="3960" w:hanging="360"/>
      </w:pPr>
      <w:rPr>
        <w:rFonts w:ascii="Wingdings" w:hAnsi="Wingdings" w:hint="default"/>
      </w:rPr>
    </w:lvl>
    <w:lvl w:ilvl="6" w:tplc="B284FDA2" w:tentative="1">
      <w:start w:val="1"/>
      <w:numFmt w:val="bullet"/>
      <w:lvlText w:val=""/>
      <w:lvlJc w:val="left"/>
      <w:pPr>
        <w:ind w:left="4680" w:hanging="360"/>
      </w:pPr>
      <w:rPr>
        <w:rFonts w:ascii="Symbol" w:hAnsi="Symbol" w:hint="default"/>
      </w:rPr>
    </w:lvl>
    <w:lvl w:ilvl="7" w:tplc="E84A2510" w:tentative="1">
      <w:start w:val="1"/>
      <w:numFmt w:val="bullet"/>
      <w:lvlText w:val="o"/>
      <w:lvlJc w:val="left"/>
      <w:pPr>
        <w:ind w:left="5400" w:hanging="360"/>
      </w:pPr>
      <w:rPr>
        <w:rFonts w:ascii="Courier New" w:hAnsi="Courier New" w:cs="Courier New" w:hint="default"/>
      </w:rPr>
    </w:lvl>
    <w:lvl w:ilvl="8" w:tplc="57164E1C" w:tentative="1">
      <w:start w:val="1"/>
      <w:numFmt w:val="bullet"/>
      <w:lvlText w:val=""/>
      <w:lvlJc w:val="left"/>
      <w:pPr>
        <w:ind w:left="6120" w:hanging="360"/>
      </w:pPr>
      <w:rPr>
        <w:rFonts w:ascii="Wingdings" w:hAnsi="Wingdings" w:hint="default"/>
      </w:rPr>
    </w:lvl>
  </w:abstractNum>
  <w:abstractNum w:abstractNumId="1" w15:restartNumberingAfterBreak="0">
    <w:nsid w:val="353A2376"/>
    <w:multiLevelType w:val="hybridMultilevel"/>
    <w:tmpl w:val="53987DFA"/>
    <w:lvl w:ilvl="0" w:tplc="5A0287EC">
      <w:start w:val="1"/>
      <w:numFmt w:val="bullet"/>
      <w:lvlText w:val=""/>
      <w:lvlJc w:val="left"/>
      <w:pPr>
        <w:ind w:left="720" w:hanging="360"/>
      </w:pPr>
      <w:rPr>
        <w:rFonts w:ascii="Symbol" w:hAnsi="Symbol" w:hint="default"/>
      </w:rPr>
    </w:lvl>
    <w:lvl w:ilvl="1" w:tplc="E8EC2952" w:tentative="1">
      <w:start w:val="1"/>
      <w:numFmt w:val="bullet"/>
      <w:lvlText w:val="o"/>
      <w:lvlJc w:val="left"/>
      <w:pPr>
        <w:ind w:left="1440" w:hanging="360"/>
      </w:pPr>
      <w:rPr>
        <w:rFonts w:ascii="Courier New" w:hAnsi="Courier New" w:cs="Courier New" w:hint="default"/>
      </w:rPr>
    </w:lvl>
    <w:lvl w:ilvl="2" w:tplc="9550825E" w:tentative="1">
      <w:start w:val="1"/>
      <w:numFmt w:val="bullet"/>
      <w:lvlText w:val=""/>
      <w:lvlJc w:val="left"/>
      <w:pPr>
        <w:ind w:left="2160" w:hanging="360"/>
      </w:pPr>
      <w:rPr>
        <w:rFonts w:ascii="Wingdings" w:hAnsi="Wingdings" w:hint="default"/>
      </w:rPr>
    </w:lvl>
    <w:lvl w:ilvl="3" w:tplc="C7CC7156" w:tentative="1">
      <w:start w:val="1"/>
      <w:numFmt w:val="bullet"/>
      <w:lvlText w:val=""/>
      <w:lvlJc w:val="left"/>
      <w:pPr>
        <w:ind w:left="2880" w:hanging="360"/>
      </w:pPr>
      <w:rPr>
        <w:rFonts w:ascii="Symbol" w:hAnsi="Symbol" w:hint="default"/>
      </w:rPr>
    </w:lvl>
    <w:lvl w:ilvl="4" w:tplc="7E28584A" w:tentative="1">
      <w:start w:val="1"/>
      <w:numFmt w:val="bullet"/>
      <w:lvlText w:val="o"/>
      <w:lvlJc w:val="left"/>
      <w:pPr>
        <w:ind w:left="3600" w:hanging="360"/>
      </w:pPr>
      <w:rPr>
        <w:rFonts w:ascii="Courier New" w:hAnsi="Courier New" w:cs="Courier New" w:hint="default"/>
      </w:rPr>
    </w:lvl>
    <w:lvl w:ilvl="5" w:tplc="83C819A2" w:tentative="1">
      <w:start w:val="1"/>
      <w:numFmt w:val="bullet"/>
      <w:lvlText w:val=""/>
      <w:lvlJc w:val="left"/>
      <w:pPr>
        <w:ind w:left="4320" w:hanging="360"/>
      </w:pPr>
      <w:rPr>
        <w:rFonts w:ascii="Wingdings" w:hAnsi="Wingdings" w:hint="default"/>
      </w:rPr>
    </w:lvl>
    <w:lvl w:ilvl="6" w:tplc="B29A64A2" w:tentative="1">
      <w:start w:val="1"/>
      <w:numFmt w:val="bullet"/>
      <w:lvlText w:val=""/>
      <w:lvlJc w:val="left"/>
      <w:pPr>
        <w:ind w:left="5040" w:hanging="360"/>
      </w:pPr>
      <w:rPr>
        <w:rFonts w:ascii="Symbol" w:hAnsi="Symbol" w:hint="default"/>
      </w:rPr>
    </w:lvl>
    <w:lvl w:ilvl="7" w:tplc="28D864D8" w:tentative="1">
      <w:start w:val="1"/>
      <w:numFmt w:val="bullet"/>
      <w:lvlText w:val="o"/>
      <w:lvlJc w:val="left"/>
      <w:pPr>
        <w:ind w:left="5760" w:hanging="360"/>
      </w:pPr>
      <w:rPr>
        <w:rFonts w:ascii="Courier New" w:hAnsi="Courier New" w:cs="Courier New" w:hint="default"/>
      </w:rPr>
    </w:lvl>
    <w:lvl w:ilvl="8" w:tplc="4B821C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24"/>
    <w:rsid w:val="00056BC3"/>
    <w:rsid w:val="000D3B50"/>
    <w:rsid w:val="001177DC"/>
    <w:rsid w:val="002B78F0"/>
    <w:rsid w:val="002E62EA"/>
    <w:rsid w:val="003675C1"/>
    <w:rsid w:val="00376EE2"/>
    <w:rsid w:val="00423702"/>
    <w:rsid w:val="004371D3"/>
    <w:rsid w:val="00455F97"/>
    <w:rsid w:val="00573346"/>
    <w:rsid w:val="005966BC"/>
    <w:rsid w:val="005D6DD8"/>
    <w:rsid w:val="00603997"/>
    <w:rsid w:val="006F035D"/>
    <w:rsid w:val="00723552"/>
    <w:rsid w:val="007738D8"/>
    <w:rsid w:val="007C1689"/>
    <w:rsid w:val="007D7242"/>
    <w:rsid w:val="00816543"/>
    <w:rsid w:val="00822F50"/>
    <w:rsid w:val="008504C1"/>
    <w:rsid w:val="00871ECF"/>
    <w:rsid w:val="0089609C"/>
    <w:rsid w:val="008F154F"/>
    <w:rsid w:val="009308B1"/>
    <w:rsid w:val="00980B54"/>
    <w:rsid w:val="00991D89"/>
    <w:rsid w:val="009E783C"/>
    <w:rsid w:val="00AB5680"/>
    <w:rsid w:val="00B17D80"/>
    <w:rsid w:val="00B74BE7"/>
    <w:rsid w:val="00BC11CE"/>
    <w:rsid w:val="00BD3D3C"/>
    <w:rsid w:val="00C243B0"/>
    <w:rsid w:val="00C738CA"/>
    <w:rsid w:val="00D23AAF"/>
    <w:rsid w:val="00E23724"/>
    <w:rsid w:val="00EC20A0"/>
    <w:rsid w:val="00F212F0"/>
    <w:rsid w:val="00F53AAB"/>
    <w:rsid w:val="00F632BC"/>
    <w:rsid w:val="00FA04B7"/>
    <w:rsid w:val="00FA136A"/>
    <w:rsid w:val="00FA2F98"/>
    <w:rsid w:val="00FF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F446"/>
  <w15:docId w15:val="{B82C50F5-385C-4109-9DDE-9770F837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6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9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6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E1"/>
    <w:rPr>
      <w:color w:val="0000FF" w:themeColor="hyperlink"/>
      <w:u w:val="single"/>
    </w:rPr>
  </w:style>
  <w:style w:type="character" w:customStyle="1" w:styleId="Heading2Char">
    <w:name w:val="Heading 2 Char"/>
    <w:basedOn w:val="DefaultParagraphFont"/>
    <w:link w:val="Heading2"/>
    <w:uiPriority w:val="9"/>
    <w:rsid w:val="00F569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697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569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C4CE8"/>
    <w:pPr>
      <w:spacing w:after="0" w:line="240" w:lineRule="auto"/>
    </w:pPr>
  </w:style>
  <w:style w:type="paragraph" w:styleId="ListParagraph">
    <w:name w:val="List Paragraph"/>
    <w:basedOn w:val="Normal"/>
    <w:uiPriority w:val="34"/>
    <w:qFormat/>
    <w:rsid w:val="00EC00EF"/>
    <w:pPr>
      <w:ind w:left="720"/>
      <w:contextualSpacing/>
    </w:pPr>
  </w:style>
  <w:style w:type="character" w:customStyle="1" w:styleId="apple-converted-space">
    <w:name w:val="apple-converted-space"/>
    <w:basedOn w:val="DefaultParagraphFont"/>
    <w:rsid w:val="0006483A"/>
  </w:style>
  <w:style w:type="character" w:styleId="Strong">
    <w:name w:val="Strong"/>
    <w:basedOn w:val="DefaultParagraphFont"/>
    <w:uiPriority w:val="22"/>
    <w:qFormat/>
    <w:rsid w:val="00EC5D23"/>
    <w:rPr>
      <w:b/>
      <w:bCs/>
    </w:rPr>
  </w:style>
  <w:style w:type="paragraph" w:styleId="BalloonText">
    <w:name w:val="Balloon Text"/>
    <w:basedOn w:val="Normal"/>
    <w:link w:val="BalloonTextChar"/>
    <w:uiPriority w:val="99"/>
    <w:semiHidden/>
    <w:unhideWhenUsed/>
    <w:rsid w:val="0033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24"/>
    <w:rPr>
      <w:rFonts w:ascii="Tahoma" w:hAnsi="Tahoma" w:cs="Tahoma"/>
      <w:sz w:val="16"/>
      <w:szCs w:val="16"/>
    </w:rPr>
  </w:style>
  <w:style w:type="table" w:styleId="TableGrid">
    <w:name w:val="Table Grid"/>
    <w:basedOn w:val="TableNormal"/>
    <w:uiPriority w:val="59"/>
    <w:rsid w:val="0033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94FB7"/>
    <w:pPr>
      <w:spacing w:line="240" w:lineRule="auto"/>
    </w:pPr>
    <w:rPr>
      <w:rFonts w:ascii="Arial" w:hAnsi="Arial" w:cs="Arial"/>
      <w:noProof/>
      <w:sz w:val="24"/>
      <w:lang w:val="en-US"/>
    </w:rPr>
  </w:style>
  <w:style w:type="character" w:customStyle="1" w:styleId="EndNoteBibliographyChar">
    <w:name w:val="EndNote Bibliography Char"/>
    <w:basedOn w:val="DefaultParagraphFont"/>
    <w:link w:val="EndNoteBibliography"/>
    <w:rsid w:val="00994FB7"/>
    <w:rPr>
      <w:rFonts w:ascii="Arial" w:hAnsi="Arial" w:cs="Arial"/>
      <w:noProof/>
      <w:sz w:val="24"/>
      <w:lang w:val="en-US"/>
    </w:rPr>
  </w:style>
  <w:style w:type="character" w:styleId="FollowedHyperlink">
    <w:name w:val="FollowedHyperlink"/>
    <w:basedOn w:val="DefaultParagraphFont"/>
    <w:uiPriority w:val="99"/>
    <w:semiHidden/>
    <w:unhideWhenUsed/>
    <w:rsid w:val="00994FB7"/>
    <w:rPr>
      <w:color w:val="800080" w:themeColor="followedHyperlink"/>
      <w:u w:val="single"/>
    </w:rPr>
  </w:style>
  <w:style w:type="character" w:customStyle="1" w:styleId="Heading4Char">
    <w:name w:val="Heading 4 Char"/>
    <w:basedOn w:val="DefaultParagraphFont"/>
    <w:link w:val="Heading4"/>
    <w:uiPriority w:val="9"/>
    <w:semiHidden/>
    <w:rsid w:val="00B86C3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55F97"/>
    <w:rPr>
      <w:sz w:val="16"/>
      <w:szCs w:val="16"/>
    </w:rPr>
  </w:style>
  <w:style w:type="paragraph" w:styleId="CommentText">
    <w:name w:val="annotation text"/>
    <w:basedOn w:val="Normal"/>
    <w:link w:val="CommentTextChar"/>
    <w:uiPriority w:val="99"/>
    <w:semiHidden/>
    <w:unhideWhenUsed/>
    <w:rsid w:val="00455F97"/>
    <w:pPr>
      <w:spacing w:line="240" w:lineRule="auto"/>
    </w:pPr>
    <w:rPr>
      <w:sz w:val="20"/>
      <w:szCs w:val="20"/>
    </w:rPr>
  </w:style>
  <w:style w:type="character" w:customStyle="1" w:styleId="CommentTextChar">
    <w:name w:val="Comment Text Char"/>
    <w:basedOn w:val="DefaultParagraphFont"/>
    <w:link w:val="CommentText"/>
    <w:uiPriority w:val="99"/>
    <w:semiHidden/>
    <w:rsid w:val="00455F97"/>
    <w:rPr>
      <w:sz w:val="20"/>
      <w:szCs w:val="20"/>
    </w:rPr>
  </w:style>
  <w:style w:type="paragraph" w:styleId="CommentSubject">
    <w:name w:val="annotation subject"/>
    <w:basedOn w:val="CommentText"/>
    <w:next w:val="CommentText"/>
    <w:link w:val="CommentSubjectChar"/>
    <w:uiPriority w:val="99"/>
    <w:semiHidden/>
    <w:unhideWhenUsed/>
    <w:rsid w:val="00455F97"/>
    <w:rPr>
      <w:b/>
      <w:bCs/>
    </w:rPr>
  </w:style>
  <w:style w:type="character" w:customStyle="1" w:styleId="CommentSubjectChar">
    <w:name w:val="Comment Subject Char"/>
    <w:basedOn w:val="CommentTextChar"/>
    <w:link w:val="CommentSubject"/>
    <w:uiPriority w:val="99"/>
    <w:semiHidden/>
    <w:rsid w:val="00455F97"/>
    <w:rPr>
      <w:b/>
      <w:bCs/>
      <w:sz w:val="20"/>
      <w:szCs w:val="20"/>
    </w:rPr>
  </w:style>
  <w:style w:type="paragraph" w:customStyle="1" w:styleId="Default">
    <w:name w:val="Default"/>
    <w:rsid w:val="007C16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8364">
      <w:bodyDiv w:val="1"/>
      <w:marLeft w:val="0"/>
      <w:marRight w:val="0"/>
      <w:marTop w:val="0"/>
      <w:marBottom w:val="0"/>
      <w:divBdr>
        <w:top w:val="none" w:sz="0" w:space="0" w:color="auto"/>
        <w:left w:val="none" w:sz="0" w:space="0" w:color="auto"/>
        <w:bottom w:val="none" w:sz="0" w:space="0" w:color="auto"/>
        <w:right w:val="none" w:sz="0" w:space="0" w:color="auto"/>
      </w:divBdr>
    </w:div>
    <w:div w:id="1270815917">
      <w:bodyDiv w:val="1"/>
      <w:marLeft w:val="0"/>
      <w:marRight w:val="0"/>
      <w:marTop w:val="0"/>
      <w:marBottom w:val="0"/>
      <w:divBdr>
        <w:top w:val="none" w:sz="0" w:space="0" w:color="auto"/>
        <w:left w:val="none" w:sz="0" w:space="0" w:color="auto"/>
        <w:bottom w:val="none" w:sz="0" w:space="0" w:color="auto"/>
        <w:right w:val="none" w:sz="0" w:space="0" w:color="auto"/>
      </w:divBdr>
    </w:div>
    <w:div w:id="1984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wp-content/uploads/2014/02/pm-fs-3-1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acrehabilitation.org.uk/docs/BHF_NACR_Report_2016.pdf" TargetMode="External"/><Relationship Id="rId11" Type="http://schemas.openxmlformats.org/officeDocument/2006/relationships/hyperlink" Target="http://apps.who.int/iris/bitstream/10665/204871/1/9789241565257_eng.pdf" TargetMode="External"/><Relationship Id="rId5" Type="http://schemas.openxmlformats.org/officeDocument/2006/relationships/hyperlink" Target="mailto:Alexander.harrison@york.ac.uk" TargetMode="External"/><Relationship Id="rId10" Type="http://schemas.openxmlformats.org/officeDocument/2006/relationships/hyperlink" Target="http://www.strobe-statement.org/fileadmin/Strobe/uploads/checklists/STROBE_checklist_v4_combined.pdf" TargetMode="External"/><Relationship Id="rId4" Type="http://schemas.openxmlformats.org/officeDocument/2006/relationships/webSettings" Target="webSettings.xml"/><Relationship Id="rId9" Type="http://schemas.openxmlformats.org/officeDocument/2006/relationships/hyperlink" Target="http://www.bacpr.com/resources/6A7_BACR_Standards_and_Core_Components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A.</dc:creator>
  <cp:lastModifiedBy>Petre, C.</cp:lastModifiedBy>
  <cp:revision>2</cp:revision>
  <dcterms:created xsi:type="dcterms:W3CDTF">2017-12-13T10:34:00Z</dcterms:created>
  <dcterms:modified xsi:type="dcterms:W3CDTF">2017-12-13T10:34:00Z</dcterms:modified>
</cp:coreProperties>
</file>