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673" w:rsidRPr="00065218" w:rsidRDefault="00753673" w:rsidP="00753673">
      <w:pPr>
        <w:spacing w:line="240" w:lineRule="auto"/>
        <w:jc w:val="both"/>
        <w:rPr>
          <w:rFonts w:ascii="Times New Roman" w:hAnsi="Times New Roman" w:cs="Times New Roman"/>
          <w:sz w:val="24"/>
          <w:szCs w:val="24"/>
        </w:rPr>
      </w:pPr>
      <w:bookmarkStart w:id="0" w:name="_GoBack"/>
      <w:bookmarkEnd w:id="0"/>
      <w:r w:rsidRPr="00065218">
        <w:rPr>
          <w:rFonts w:ascii="Times New Roman" w:hAnsi="Times New Roman" w:cs="Times New Roman"/>
          <w:sz w:val="24"/>
          <w:szCs w:val="24"/>
        </w:rPr>
        <w:t>Cost-effectiveness of Personal Tailored Risk Information and Taster Sessions to increase the uptake of the NHS Stop Smoking Services: the Start2quit randomised controlled trial</w:t>
      </w:r>
    </w:p>
    <w:p w:rsidR="00753673" w:rsidRPr="00065218" w:rsidRDefault="00753673" w:rsidP="00753673">
      <w:pPr>
        <w:rPr>
          <w:rFonts w:ascii="Times New Roman" w:hAnsi="Times New Roman" w:cs="Times New Roman"/>
          <w:b/>
          <w:sz w:val="24"/>
          <w:szCs w:val="24"/>
        </w:rPr>
      </w:pPr>
    </w:p>
    <w:p w:rsidR="00753673" w:rsidRPr="00065218" w:rsidRDefault="00753673" w:rsidP="00753673">
      <w:pPr>
        <w:autoSpaceDE w:val="0"/>
        <w:autoSpaceDN w:val="0"/>
        <w:adjustRightInd w:val="0"/>
        <w:spacing w:line="480" w:lineRule="auto"/>
        <w:rPr>
          <w:rFonts w:ascii="Times New Roman" w:hAnsi="Times New Roman" w:cs="Times New Roman"/>
          <w:b/>
          <w:bCs/>
          <w:sz w:val="24"/>
          <w:szCs w:val="24"/>
          <w:lang w:val="en-US"/>
        </w:rPr>
      </w:pPr>
      <w:r w:rsidRPr="00065218">
        <w:rPr>
          <w:rFonts w:ascii="Times New Roman" w:hAnsi="Times New Roman" w:cs="Times New Roman"/>
          <w:b/>
          <w:sz w:val="24"/>
          <w:szCs w:val="24"/>
        </w:rPr>
        <w:t>Qi Wu</w:t>
      </w:r>
      <w:r w:rsidR="00693336" w:rsidRPr="00693336">
        <w:rPr>
          <w:rFonts w:ascii="Times New Roman" w:hAnsi="Times New Roman" w:cs="Times New Roman"/>
          <w:b/>
          <w:sz w:val="24"/>
          <w:szCs w:val="24"/>
          <w:vertAlign w:val="superscript"/>
        </w:rPr>
        <w:t>1</w:t>
      </w:r>
      <w:r w:rsidRPr="00065218">
        <w:rPr>
          <w:rFonts w:ascii="Times New Roman" w:hAnsi="Times New Roman" w:cs="Times New Roman"/>
          <w:b/>
          <w:sz w:val="24"/>
          <w:szCs w:val="24"/>
        </w:rPr>
        <w:t xml:space="preserve">, </w:t>
      </w:r>
      <w:r w:rsidRPr="00065218">
        <w:rPr>
          <w:rFonts w:ascii="Times New Roman" w:hAnsi="Times New Roman" w:cs="Times New Roman"/>
          <w:b/>
          <w:bCs/>
          <w:sz w:val="24"/>
          <w:szCs w:val="24"/>
        </w:rPr>
        <w:t>Hazel Gilbert</w:t>
      </w:r>
      <w:bookmarkStart w:id="1" w:name="OLE_LINK48"/>
      <w:bookmarkStart w:id="2" w:name="OLE_LINK49"/>
      <w:r w:rsidR="00693336" w:rsidRPr="00693336">
        <w:rPr>
          <w:rFonts w:ascii="Times New Roman" w:hAnsi="Times New Roman" w:cs="Times New Roman"/>
          <w:b/>
          <w:bCs/>
          <w:sz w:val="24"/>
          <w:szCs w:val="24"/>
          <w:vertAlign w:val="superscript"/>
        </w:rPr>
        <w:t>2</w:t>
      </w:r>
      <w:bookmarkEnd w:id="1"/>
      <w:bookmarkEnd w:id="2"/>
      <w:r w:rsidRPr="00065218">
        <w:rPr>
          <w:rFonts w:ascii="Times New Roman" w:hAnsi="Times New Roman" w:cs="Times New Roman"/>
          <w:b/>
          <w:bCs/>
          <w:sz w:val="24"/>
          <w:szCs w:val="24"/>
        </w:rPr>
        <w:t>, Irwin Nazareth</w:t>
      </w:r>
      <w:r w:rsidR="00693336" w:rsidRPr="00693336">
        <w:rPr>
          <w:rFonts w:ascii="Times New Roman" w:hAnsi="Times New Roman" w:cs="Times New Roman"/>
          <w:b/>
          <w:bCs/>
          <w:sz w:val="24"/>
          <w:szCs w:val="24"/>
          <w:vertAlign w:val="superscript"/>
        </w:rPr>
        <w:t>2</w:t>
      </w:r>
      <w:r w:rsidRPr="00065218">
        <w:rPr>
          <w:rFonts w:ascii="Times New Roman" w:hAnsi="Times New Roman" w:cs="Times New Roman"/>
          <w:b/>
          <w:bCs/>
          <w:sz w:val="24"/>
          <w:szCs w:val="24"/>
        </w:rPr>
        <w:t>, Stephen Sutton</w:t>
      </w:r>
      <w:r w:rsidR="004B3A5E" w:rsidRPr="004B3A5E">
        <w:rPr>
          <w:rFonts w:ascii="Times New Roman" w:hAnsi="Times New Roman" w:cs="Times New Roman"/>
          <w:b/>
          <w:bCs/>
          <w:sz w:val="24"/>
          <w:szCs w:val="24"/>
          <w:vertAlign w:val="superscript"/>
        </w:rPr>
        <w:t>3</w:t>
      </w:r>
      <w:r w:rsidRPr="00065218">
        <w:rPr>
          <w:rFonts w:ascii="Times New Roman" w:hAnsi="Times New Roman" w:cs="Times New Roman"/>
          <w:b/>
          <w:bCs/>
          <w:sz w:val="24"/>
          <w:szCs w:val="24"/>
        </w:rPr>
        <w:t>, Richard Morris</w:t>
      </w:r>
      <w:r w:rsidR="004B3A5E" w:rsidRPr="00693336">
        <w:rPr>
          <w:rFonts w:ascii="Times New Roman" w:hAnsi="Times New Roman" w:cs="Times New Roman"/>
          <w:b/>
          <w:bCs/>
          <w:sz w:val="24"/>
          <w:szCs w:val="24"/>
          <w:vertAlign w:val="superscript"/>
        </w:rPr>
        <w:t>2</w:t>
      </w:r>
      <w:r w:rsidRPr="00065218">
        <w:rPr>
          <w:rFonts w:ascii="Times New Roman" w:hAnsi="Times New Roman" w:cs="Times New Roman"/>
          <w:b/>
          <w:bCs/>
          <w:sz w:val="24"/>
          <w:szCs w:val="24"/>
        </w:rPr>
        <w:t>, Irene Petersen</w:t>
      </w:r>
      <w:r w:rsidR="004B3A5E" w:rsidRPr="00693336">
        <w:rPr>
          <w:rFonts w:ascii="Times New Roman" w:hAnsi="Times New Roman" w:cs="Times New Roman"/>
          <w:b/>
          <w:bCs/>
          <w:sz w:val="24"/>
          <w:szCs w:val="24"/>
          <w:vertAlign w:val="superscript"/>
        </w:rPr>
        <w:t>2</w:t>
      </w:r>
      <w:r w:rsidRPr="00065218">
        <w:rPr>
          <w:rFonts w:ascii="Times New Roman" w:hAnsi="Times New Roman" w:cs="Times New Roman"/>
          <w:b/>
          <w:bCs/>
          <w:sz w:val="24"/>
          <w:szCs w:val="24"/>
        </w:rPr>
        <w:t xml:space="preserve">, </w:t>
      </w:r>
      <w:r w:rsidRPr="00065218">
        <w:rPr>
          <w:rFonts w:ascii="Times New Roman" w:hAnsi="Times New Roman" w:cs="Times New Roman"/>
          <w:b/>
          <w:bCs/>
          <w:sz w:val="24"/>
          <w:szCs w:val="24"/>
          <w:lang w:val="en-US"/>
        </w:rPr>
        <w:t>Simon Galton</w:t>
      </w:r>
      <w:r w:rsidR="004B3A5E" w:rsidRPr="004B3A5E">
        <w:rPr>
          <w:rFonts w:ascii="Times New Roman" w:hAnsi="Times New Roman" w:cs="Times New Roman"/>
          <w:b/>
          <w:bCs/>
          <w:sz w:val="24"/>
          <w:szCs w:val="24"/>
          <w:vertAlign w:val="superscript"/>
          <w:lang w:val="en-US"/>
        </w:rPr>
        <w:t>4</w:t>
      </w:r>
      <w:r w:rsidRPr="00065218">
        <w:rPr>
          <w:rFonts w:ascii="Times New Roman" w:hAnsi="Times New Roman" w:cs="Times New Roman"/>
          <w:b/>
          <w:bCs/>
          <w:sz w:val="24"/>
          <w:szCs w:val="24"/>
          <w:lang w:val="en-US"/>
        </w:rPr>
        <w:t>, Steve Parrott</w:t>
      </w:r>
      <w:r w:rsidR="00693336" w:rsidRPr="00693336">
        <w:rPr>
          <w:rFonts w:ascii="Times New Roman" w:hAnsi="Times New Roman" w:cs="Times New Roman"/>
          <w:b/>
          <w:sz w:val="24"/>
          <w:szCs w:val="24"/>
          <w:vertAlign w:val="superscript"/>
        </w:rPr>
        <w:t>1</w:t>
      </w:r>
    </w:p>
    <w:p w:rsidR="00753673" w:rsidRPr="00065218" w:rsidRDefault="00753673" w:rsidP="00753673">
      <w:pPr>
        <w:autoSpaceDE w:val="0"/>
        <w:autoSpaceDN w:val="0"/>
        <w:adjustRightInd w:val="0"/>
        <w:spacing w:line="480" w:lineRule="auto"/>
        <w:rPr>
          <w:rFonts w:ascii="Times New Roman" w:hAnsi="Times New Roman" w:cs="Times New Roman"/>
          <w:b/>
          <w:bCs/>
          <w:sz w:val="24"/>
          <w:szCs w:val="24"/>
          <w:lang w:val="en-US"/>
        </w:rPr>
      </w:pPr>
    </w:p>
    <w:p w:rsidR="00753673" w:rsidRPr="004B3A5E" w:rsidRDefault="00753673" w:rsidP="00753673">
      <w:pPr>
        <w:autoSpaceDE w:val="0"/>
        <w:autoSpaceDN w:val="0"/>
        <w:adjustRightInd w:val="0"/>
        <w:spacing w:after="0" w:line="480" w:lineRule="auto"/>
        <w:rPr>
          <w:rFonts w:ascii="Times New Roman" w:eastAsiaTheme="minorHAnsi" w:hAnsi="Times New Roman" w:cs="Times New Roman"/>
          <w:sz w:val="24"/>
          <w:szCs w:val="24"/>
          <w:lang w:eastAsia="en-US"/>
        </w:rPr>
      </w:pPr>
      <w:r w:rsidRPr="00065218">
        <w:rPr>
          <w:rFonts w:ascii="Times New Roman" w:eastAsia="Times New Roman" w:hAnsi="Times New Roman" w:cs="Times New Roman"/>
          <w:bCs/>
          <w:sz w:val="24"/>
          <w:szCs w:val="24"/>
          <w:lang w:eastAsia="en-GB"/>
        </w:rPr>
        <w:t>Department of Health Sciences,</w:t>
      </w:r>
      <w:r w:rsidRPr="00065218">
        <w:rPr>
          <w:rFonts w:ascii="Times New Roman" w:eastAsia="Times New Roman" w:hAnsi="Times New Roman" w:cs="Times New Roman"/>
          <w:sz w:val="24"/>
          <w:szCs w:val="24"/>
          <w:lang w:eastAsia="en-GB"/>
        </w:rPr>
        <w:t xml:space="preserve"> University of York, York, </w:t>
      </w:r>
      <w:r w:rsidRPr="00065218">
        <w:rPr>
          <w:rFonts w:ascii="Times New Roman" w:hAnsi="Times New Roman" w:cs="Times New Roman"/>
          <w:sz w:val="24"/>
          <w:szCs w:val="24"/>
        </w:rPr>
        <w:t>YO10 5DD, UK</w:t>
      </w:r>
      <w:bookmarkStart w:id="3" w:name="OLE_LINK21"/>
      <w:bookmarkStart w:id="4" w:name="OLE_LINK22"/>
      <w:bookmarkStart w:id="5" w:name="OLE_LINK23"/>
      <w:r w:rsidR="004B3A5E">
        <w:rPr>
          <w:rFonts w:ascii="Times New Roman" w:hAnsi="Times New Roman" w:cs="Times New Roman"/>
          <w:b/>
          <w:bCs/>
          <w:sz w:val="24"/>
          <w:szCs w:val="24"/>
          <w:vertAlign w:val="superscript"/>
        </w:rPr>
        <w:t>1</w:t>
      </w:r>
      <w:r w:rsidR="004B3A5E" w:rsidRPr="004B3A5E">
        <w:rPr>
          <w:rFonts w:ascii="Times New Roman" w:hAnsi="Times New Roman" w:cs="Times New Roman"/>
          <w:b/>
          <w:bCs/>
          <w:sz w:val="24"/>
          <w:szCs w:val="24"/>
        </w:rPr>
        <w:t>,</w:t>
      </w:r>
      <w:r w:rsidR="004B3A5E">
        <w:rPr>
          <w:rFonts w:ascii="Times New Roman" w:hAnsi="Times New Roman" w:cs="Times New Roman"/>
          <w:b/>
          <w:bCs/>
          <w:sz w:val="24"/>
          <w:szCs w:val="24"/>
        </w:rPr>
        <w:t xml:space="preserve"> </w:t>
      </w:r>
      <w:r w:rsidRPr="00065218">
        <w:rPr>
          <w:rFonts w:ascii="Times New Roman" w:eastAsiaTheme="minorHAnsi" w:hAnsi="Times New Roman" w:cs="Times New Roman"/>
          <w:sz w:val="24"/>
          <w:szCs w:val="24"/>
          <w:lang w:eastAsia="en-US"/>
        </w:rPr>
        <w:t>Research Department of Primary Care and Population Health</w:t>
      </w:r>
      <w:bookmarkEnd w:id="3"/>
      <w:bookmarkEnd w:id="4"/>
      <w:bookmarkEnd w:id="5"/>
      <w:r w:rsidRPr="00065218">
        <w:rPr>
          <w:rFonts w:ascii="Times New Roman" w:eastAsiaTheme="minorHAnsi" w:hAnsi="Times New Roman" w:cs="Times New Roman"/>
          <w:sz w:val="24"/>
          <w:szCs w:val="24"/>
          <w:lang w:eastAsia="en-US"/>
        </w:rPr>
        <w:t>, UCL, London, NW3 2PF , UK</w:t>
      </w:r>
      <w:r w:rsidR="004B3A5E" w:rsidRPr="00693336">
        <w:rPr>
          <w:rFonts w:ascii="Times New Roman" w:hAnsi="Times New Roman" w:cs="Times New Roman"/>
          <w:b/>
          <w:bCs/>
          <w:sz w:val="24"/>
          <w:szCs w:val="24"/>
          <w:vertAlign w:val="superscript"/>
        </w:rPr>
        <w:t>2</w:t>
      </w:r>
      <w:r w:rsidR="004B3A5E">
        <w:rPr>
          <w:rFonts w:ascii="Times New Roman" w:eastAsiaTheme="minorHAnsi" w:hAnsi="Times New Roman" w:cs="Times New Roman"/>
          <w:sz w:val="24"/>
          <w:szCs w:val="24"/>
          <w:lang w:eastAsia="en-US"/>
        </w:rPr>
        <w:t xml:space="preserve">, </w:t>
      </w:r>
      <w:r w:rsidRPr="00065218">
        <w:rPr>
          <w:rFonts w:ascii="Times New Roman" w:eastAsiaTheme="minorHAnsi" w:hAnsi="Times New Roman" w:cs="Times New Roman"/>
          <w:sz w:val="24"/>
          <w:szCs w:val="24"/>
          <w:lang w:eastAsia="en-US"/>
        </w:rPr>
        <w:t>Institute of Public Health, University of Cambridge, Cambridge, CB2 0SR, UK</w:t>
      </w:r>
      <w:r w:rsidR="004B3A5E">
        <w:rPr>
          <w:rFonts w:ascii="Times New Roman" w:hAnsi="Times New Roman" w:cs="Times New Roman"/>
          <w:b/>
          <w:bCs/>
          <w:sz w:val="24"/>
          <w:szCs w:val="24"/>
          <w:vertAlign w:val="superscript"/>
        </w:rPr>
        <w:t>3</w:t>
      </w:r>
      <w:r w:rsidR="004B3A5E">
        <w:rPr>
          <w:rFonts w:ascii="Times New Roman" w:eastAsiaTheme="minorHAnsi" w:hAnsi="Times New Roman" w:cs="Times New Roman"/>
          <w:sz w:val="24"/>
          <w:szCs w:val="24"/>
          <w:lang w:eastAsia="en-US"/>
        </w:rPr>
        <w:t>,</w:t>
      </w:r>
      <w:bookmarkStart w:id="6" w:name="OLE_LINK24"/>
      <w:bookmarkStart w:id="7" w:name="OLE_LINK25"/>
      <w:bookmarkStart w:id="8" w:name="OLE_LINK28"/>
      <w:bookmarkStart w:id="9" w:name="OLE_LINK29"/>
      <w:r w:rsidR="004B3A5E">
        <w:rPr>
          <w:rFonts w:ascii="Times New Roman" w:eastAsiaTheme="minorHAnsi" w:hAnsi="Times New Roman" w:cs="Times New Roman"/>
          <w:sz w:val="24"/>
          <w:szCs w:val="24"/>
          <w:lang w:eastAsia="en-US"/>
        </w:rPr>
        <w:t xml:space="preserve"> </w:t>
      </w:r>
      <w:r w:rsidRPr="00065218">
        <w:rPr>
          <w:rFonts w:ascii="Times New Roman" w:eastAsiaTheme="minorHAnsi" w:hAnsi="Times New Roman" w:cs="Times New Roman"/>
          <w:sz w:val="24"/>
          <w:szCs w:val="24"/>
          <w:lang w:eastAsia="en-US"/>
        </w:rPr>
        <w:t>Smokefree Camden (Public Health)</w:t>
      </w:r>
      <w:bookmarkEnd w:id="6"/>
      <w:bookmarkEnd w:id="7"/>
      <w:r w:rsidRPr="00065218">
        <w:rPr>
          <w:rFonts w:ascii="Times New Roman" w:eastAsiaTheme="minorHAnsi" w:hAnsi="Times New Roman" w:cs="Times New Roman"/>
          <w:sz w:val="24"/>
          <w:szCs w:val="24"/>
          <w:lang w:eastAsia="en-US"/>
        </w:rPr>
        <w:t xml:space="preserve">, </w:t>
      </w:r>
      <w:bookmarkStart w:id="10" w:name="OLE_LINK26"/>
      <w:bookmarkStart w:id="11" w:name="OLE_LINK27"/>
      <w:r w:rsidRPr="00065218">
        <w:rPr>
          <w:rFonts w:ascii="Times New Roman" w:eastAsiaTheme="minorHAnsi" w:hAnsi="Times New Roman" w:cs="Times New Roman"/>
          <w:sz w:val="24"/>
          <w:szCs w:val="24"/>
          <w:lang w:eastAsia="en-US"/>
        </w:rPr>
        <w:t>NHS Camden</w:t>
      </w:r>
      <w:bookmarkEnd w:id="10"/>
      <w:bookmarkEnd w:id="11"/>
      <w:r w:rsidRPr="00065218">
        <w:rPr>
          <w:rFonts w:ascii="Times New Roman" w:eastAsiaTheme="minorHAnsi" w:hAnsi="Times New Roman" w:cs="Times New Roman"/>
          <w:sz w:val="24"/>
          <w:szCs w:val="24"/>
          <w:lang w:eastAsia="en-US"/>
        </w:rPr>
        <w:t>, London, NW1 0PE, UK</w:t>
      </w:r>
      <w:bookmarkEnd w:id="8"/>
      <w:bookmarkEnd w:id="9"/>
      <w:r w:rsidR="004B3A5E">
        <w:rPr>
          <w:rFonts w:ascii="Times New Roman" w:eastAsiaTheme="minorHAnsi" w:hAnsi="Times New Roman" w:cs="Times New Roman"/>
          <w:bCs/>
          <w:sz w:val="24"/>
          <w:szCs w:val="24"/>
          <w:lang w:val="en-US" w:eastAsia="en-US"/>
        </w:rPr>
        <w:t>4</w:t>
      </w:r>
    </w:p>
    <w:p w:rsidR="00C00578" w:rsidRDefault="00C00578" w:rsidP="00753673">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Running head: </w:t>
      </w:r>
      <w:r w:rsidRPr="004B3A5E">
        <w:rPr>
          <w:rFonts w:ascii="Times New Roman" w:hAnsi="Times New Roman" w:cs="Times New Roman"/>
          <w:bCs/>
          <w:sz w:val="24"/>
          <w:szCs w:val="24"/>
        </w:rPr>
        <w:t>Increasing attendance at the NHS SSS</w:t>
      </w:r>
    </w:p>
    <w:p w:rsidR="00753673" w:rsidRDefault="00C00578" w:rsidP="00753673">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W</w:t>
      </w:r>
      <w:r w:rsidRPr="00C00578">
        <w:rPr>
          <w:rFonts w:ascii="Times New Roman" w:hAnsi="Times New Roman" w:cs="Times New Roman"/>
          <w:b/>
          <w:bCs/>
          <w:sz w:val="24"/>
          <w:szCs w:val="24"/>
        </w:rPr>
        <w:t>ord count</w:t>
      </w:r>
      <w:r>
        <w:rPr>
          <w:rFonts w:ascii="Times New Roman" w:hAnsi="Times New Roman" w:cs="Times New Roman"/>
          <w:b/>
          <w:bCs/>
          <w:sz w:val="24"/>
          <w:szCs w:val="24"/>
        </w:rPr>
        <w:t xml:space="preserve">: </w:t>
      </w:r>
      <w:r w:rsidR="007B3702">
        <w:rPr>
          <w:rFonts w:ascii="Times New Roman" w:hAnsi="Times New Roman" w:cs="Times New Roman"/>
          <w:b/>
          <w:bCs/>
          <w:sz w:val="24"/>
          <w:szCs w:val="24"/>
        </w:rPr>
        <w:t>3,6</w:t>
      </w:r>
      <w:r w:rsidR="0017033F">
        <w:rPr>
          <w:rFonts w:ascii="Times New Roman" w:hAnsi="Times New Roman" w:cs="Times New Roman"/>
          <w:b/>
          <w:bCs/>
          <w:sz w:val="24"/>
          <w:szCs w:val="24"/>
        </w:rPr>
        <w:t>66</w:t>
      </w:r>
    </w:p>
    <w:p w:rsidR="004B3A5E" w:rsidRPr="00065218" w:rsidRDefault="004B3A5E" w:rsidP="004B3A5E">
      <w:pPr>
        <w:rPr>
          <w:rFonts w:ascii="Times New Roman" w:eastAsiaTheme="minorHAnsi" w:hAnsi="Times New Roman" w:cs="Times New Roman"/>
          <w:sz w:val="24"/>
          <w:szCs w:val="24"/>
          <w:lang w:eastAsia="en-US"/>
        </w:rPr>
      </w:pPr>
      <w:r w:rsidRPr="00065218">
        <w:rPr>
          <w:rFonts w:ascii="Times New Roman" w:eastAsiaTheme="minorHAnsi" w:hAnsi="Times New Roman" w:cs="Times New Roman"/>
          <w:b/>
          <w:sz w:val="24"/>
          <w:szCs w:val="24"/>
          <w:lang w:eastAsia="en-US"/>
        </w:rPr>
        <w:t xml:space="preserve">Competing interests: </w:t>
      </w:r>
      <w:r w:rsidRPr="00065218">
        <w:rPr>
          <w:rFonts w:ascii="Times New Roman" w:eastAsiaTheme="minorHAnsi" w:hAnsi="Times New Roman" w:cs="Times New Roman"/>
          <w:sz w:val="24"/>
          <w:szCs w:val="24"/>
          <w:lang w:eastAsia="en-US"/>
        </w:rPr>
        <w:t>We declare no competing interests.</w:t>
      </w:r>
    </w:p>
    <w:p w:rsidR="004B3A5E" w:rsidRPr="00065218" w:rsidRDefault="004B3A5E" w:rsidP="004B3A5E">
      <w:pPr>
        <w:rPr>
          <w:rFonts w:ascii="Times New Roman" w:eastAsiaTheme="minorHAnsi" w:hAnsi="Times New Roman" w:cs="Times New Roman"/>
          <w:sz w:val="24"/>
          <w:szCs w:val="24"/>
          <w:lang w:eastAsia="en-US"/>
        </w:rPr>
      </w:pPr>
      <w:r w:rsidRPr="00065218">
        <w:rPr>
          <w:rFonts w:ascii="Times New Roman" w:eastAsiaTheme="minorHAnsi" w:hAnsi="Times New Roman" w:cs="Times New Roman"/>
          <w:sz w:val="24"/>
          <w:szCs w:val="24"/>
          <w:lang w:eastAsia="en-US"/>
        </w:rPr>
        <w:t xml:space="preserve"> </w:t>
      </w:r>
    </w:p>
    <w:p w:rsidR="00753673" w:rsidRPr="00065218" w:rsidRDefault="004B3A5E" w:rsidP="00753673">
      <w:pPr>
        <w:rPr>
          <w:rFonts w:ascii="Times New Roman" w:hAnsi="Times New Roman" w:cs="Times New Roman"/>
          <w:b/>
          <w:sz w:val="24"/>
          <w:szCs w:val="24"/>
        </w:rPr>
      </w:pPr>
      <w:r>
        <w:rPr>
          <w:rFonts w:ascii="Times New Roman" w:hAnsi="Times New Roman" w:cs="Times New Roman"/>
          <w:b/>
          <w:bCs/>
          <w:sz w:val="24"/>
          <w:szCs w:val="24"/>
        </w:rPr>
        <w:t xml:space="preserve"> </w:t>
      </w:r>
    </w:p>
    <w:p w:rsidR="00753673" w:rsidRPr="00065218" w:rsidRDefault="00753673" w:rsidP="00753673">
      <w:pPr>
        <w:rPr>
          <w:rFonts w:ascii="Times New Roman" w:hAnsi="Times New Roman" w:cs="Times New Roman"/>
          <w:b/>
          <w:sz w:val="24"/>
          <w:szCs w:val="24"/>
        </w:rPr>
      </w:pPr>
      <w:r w:rsidRPr="00065218">
        <w:rPr>
          <w:rFonts w:ascii="Times New Roman" w:hAnsi="Times New Roman" w:cs="Times New Roman"/>
          <w:b/>
          <w:sz w:val="24"/>
          <w:szCs w:val="24"/>
        </w:rPr>
        <w:br w:type="page"/>
      </w:r>
    </w:p>
    <w:p w:rsidR="00753673" w:rsidRDefault="00753673" w:rsidP="00753673">
      <w:pPr>
        <w:spacing w:line="240" w:lineRule="auto"/>
        <w:jc w:val="both"/>
        <w:rPr>
          <w:rFonts w:ascii="Times New Roman" w:hAnsi="Times New Roman" w:cs="Times New Roman"/>
          <w:b/>
          <w:sz w:val="24"/>
          <w:szCs w:val="24"/>
        </w:rPr>
      </w:pPr>
      <w:r w:rsidRPr="00065218">
        <w:rPr>
          <w:rFonts w:ascii="Times New Roman" w:hAnsi="Times New Roman" w:cs="Times New Roman"/>
          <w:b/>
          <w:sz w:val="24"/>
          <w:szCs w:val="24"/>
        </w:rPr>
        <w:lastRenderedPageBreak/>
        <w:t>Abstract</w:t>
      </w:r>
    </w:p>
    <w:p w:rsidR="0003511F" w:rsidRPr="0003511F" w:rsidRDefault="0003511F" w:rsidP="0003511F">
      <w:pPr>
        <w:pStyle w:val="NormalWeb"/>
        <w:rPr>
          <w:rFonts w:eastAsiaTheme="minorEastAsia"/>
          <w:lang w:eastAsia="zh-CN"/>
        </w:rPr>
      </w:pPr>
      <w:bookmarkStart w:id="12" w:name="OLE_LINK7"/>
      <w:bookmarkStart w:id="13" w:name="OLE_LINK8"/>
      <w:bookmarkStart w:id="14" w:name="OLE_LINK9"/>
      <w:r w:rsidRPr="0003511F">
        <w:rPr>
          <w:rFonts w:eastAsiaTheme="minorEastAsia"/>
          <w:b/>
          <w:lang w:eastAsia="zh-CN"/>
        </w:rPr>
        <w:t xml:space="preserve">Aims  </w:t>
      </w:r>
      <w:r w:rsidRPr="0003511F">
        <w:rPr>
          <w:rFonts w:eastAsiaTheme="minorEastAsia"/>
          <w:lang w:eastAsia="zh-CN"/>
        </w:rPr>
        <w:t>To assess the cost-effectiveness of a two-component intervention designed to increase attendance at the NHS Stop Smoking Services (SSSs) in England.</w:t>
      </w:r>
    </w:p>
    <w:p w:rsidR="0003511F" w:rsidRPr="0003511F" w:rsidRDefault="0003511F" w:rsidP="0003511F">
      <w:pPr>
        <w:pStyle w:val="NormalWeb"/>
        <w:rPr>
          <w:rFonts w:eastAsiaTheme="minorEastAsia"/>
          <w:b/>
          <w:lang w:eastAsia="zh-CN"/>
        </w:rPr>
      </w:pPr>
      <w:r w:rsidRPr="0003511F">
        <w:rPr>
          <w:rFonts w:eastAsiaTheme="minorEastAsia"/>
          <w:b/>
          <w:lang w:eastAsia="zh-CN"/>
        </w:rPr>
        <w:t xml:space="preserve">Design  </w:t>
      </w:r>
      <w:r w:rsidRPr="0003511F">
        <w:rPr>
          <w:rFonts w:eastAsiaTheme="minorEastAsia"/>
          <w:lang w:eastAsia="zh-CN"/>
        </w:rPr>
        <w:t>Cost-effectiveness analysis alongside a randomised controlled trial (Start2quit).</w:t>
      </w:r>
      <w:r w:rsidRPr="0003511F">
        <w:rPr>
          <w:rFonts w:eastAsiaTheme="minorEastAsia"/>
          <w:b/>
          <w:lang w:eastAsia="zh-CN"/>
        </w:rPr>
        <w:t xml:space="preserve">  </w:t>
      </w:r>
    </w:p>
    <w:p w:rsidR="0003511F" w:rsidRPr="0003511F" w:rsidRDefault="0003511F" w:rsidP="0003511F">
      <w:pPr>
        <w:pStyle w:val="NormalWeb"/>
        <w:rPr>
          <w:rFonts w:eastAsiaTheme="minorEastAsia"/>
          <w:lang w:eastAsia="zh-CN"/>
        </w:rPr>
      </w:pPr>
      <w:r w:rsidRPr="0003511F">
        <w:rPr>
          <w:rFonts w:eastAsiaTheme="minorEastAsia"/>
          <w:b/>
          <w:lang w:eastAsia="zh-CN"/>
        </w:rPr>
        <w:t xml:space="preserve">Setting  </w:t>
      </w:r>
      <w:r w:rsidRPr="0003511F">
        <w:rPr>
          <w:rFonts w:eastAsiaTheme="minorEastAsia"/>
          <w:lang w:eastAsia="zh-CN"/>
        </w:rPr>
        <w:t>NHS SSS and general practices in England.</w:t>
      </w:r>
    </w:p>
    <w:p w:rsidR="0003511F" w:rsidRPr="0003511F" w:rsidRDefault="0003511F" w:rsidP="0003511F">
      <w:pPr>
        <w:pStyle w:val="NormalWeb"/>
        <w:rPr>
          <w:rFonts w:eastAsiaTheme="minorEastAsia"/>
          <w:lang w:eastAsia="zh-CN"/>
        </w:rPr>
      </w:pPr>
      <w:r w:rsidRPr="0003511F">
        <w:rPr>
          <w:rFonts w:eastAsiaTheme="minorEastAsia"/>
          <w:b/>
          <w:lang w:eastAsia="zh-CN"/>
        </w:rPr>
        <w:t xml:space="preserve">Participants  </w:t>
      </w:r>
      <w:r w:rsidRPr="0003511F">
        <w:rPr>
          <w:rFonts w:eastAsiaTheme="minorEastAsia"/>
          <w:lang w:eastAsia="zh-CN"/>
        </w:rPr>
        <w:t>The study comprised 4,384 smokers aged 16 or over identified from medical records in 99 participating practices, who were motivated to quit and had not attended the SSS in the previous 12 months.</w:t>
      </w:r>
    </w:p>
    <w:p w:rsidR="0003511F" w:rsidRPr="0003511F" w:rsidRDefault="0003511F" w:rsidP="0003511F">
      <w:pPr>
        <w:pStyle w:val="NormalWeb"/>
        <w:rPr>
          <w:rFonts w:eastAsiaTheme="minorEastAsia"/>
          <w:lang w:eastAsia="zh-CN"/>
        </w:rPr>
      </w:pPr>
      <w:r w:rsidRPr="0003511F">
        <w:rPr>
          <w:rFonts w:eastAsiaTheme="minorEastAsia"/>
          <w:b/>
          <w:lang w:eastAsia="zh-CN"/>
        </w:rPr>
        <w:t xml:space="preserve">Intervention and comparator </w:t>
      </w:r>
      <w:r w:rsidRPr="0003511F">
        <w:rPr>
          <w:rFonts w:eastAsiaTheme="minorEastAsia"/>
          <w:lang w:eastAsia="zh-CN"/>
        </w:rPr>
        <w:t>Intervention was a personalised and tailored letter sent from the General Practitioner (GP), and a personal invitation and appointment to attend a taster session providing information about SSS. Control was a standard generic letter from the GP advertising SSS and asking smokers to contact the service to make an appointment.</w:t>
      </w:r>
    </w:p>
    <w:p w:rsidR="0003511F" w:rsidRPr="0003511F" w:rsidRDefault="0003511F" w:rsidP="0003511F">
      <w:pPr>
        <w:pStyle w:val="NormalWeb"/>
        <w:rPr>
          <w:rFonts w:eastAsiaTheme="minorEastAsia"/>
          <w:lang w:eastAsia="zh-CN"/>
        </w:rPr>
      </w:pPr>
      <w:r w:rsidRPr="0003511F">
        <w:rPr>
          <w:rFonts w:eastAsiaTheme="minorEastAsia"/>
          <w:b/>
          <w:lang w:eastAsia="zh-CN"/>
        </w:rPr>
        <w:t xml:space="preserve">Measurements  </w:t>
      </w:r>
      <w:r w:rsidRPr="0003511F">
        <w:rPr>
          <w:rFonts w:eastAsiaTheme="minorEastAsia"/>
          <w:lang w:eastAsia="zh-CN"/>
        </w:rPr>
        <w:t>Costs measured from an NHS/Personal Social Services perspective. Estimated health gains in quality-adjusted life-years (QALYs) measured with EQ-5D.  Incremental cost per QALY gained over six-month and over a lifetime horizon.</w:t>
      </w:r>
    </w:p>
    <w:p w:rsidR="0003511F" w:rsidRPr="0003511F" w:rsidRDefault="0003511F" w:rsidP="0003511F">
      <w:pPr>
        <w:pStyle w:val="NormalWeb"/>
        <w:rPr>
          <w:rFonts w:eastAsiaTheme="minorEastAsia"/>
          <w:lang w:eastAsia="zh-CN"/>
        </w:rPr>
      </w:pPr>
      <w:r w:rsidRPr="0003511F">
        <w:rPr>
          <w:rFonts w:eastAsiaTheme="minorEastAsia"/>
          <w:b/>
          <w:lang w:eastAsia="zh-CN"/>
        </w:rPr>
        <w:t xml:space="preserve">Findings  </w:t>
      </w:r>
      <w:r w:rsidRPr="0003511F">
        <w:rPr>
          <w:rFonts w:eastAsiaTheme="minorEastAsia"/>
          <w:lang w:eastAsia="zh-CN"/>
        </w:rPr>
        <w:t>During the trial period, the adjusted mean difference in costs was £92 (95% CI: -£32-£216) and the adjusted mean difference in QALY gains was 0.002 (95% CI: -0.001-0.004). This generates an incremental cost per QALY gained of £59,401. The probability that the tailored letter and taster session is more cost-effective than the generic letter at six-month is never above 50%. In contrast, the discounted lifetime health care cost was lower in the intervention group while the lifetime QALY gains were significantly higher. The probability that the intervention is more cost-effective is over 83% using a £20,000-£30,000 per QALY gained decision-making threshold.</w:t>
      </w:r>
    </w:p>
    <w:p w:rsidR="0003511F" w:rsidRPr="0003511F" w:rsidRDefault="0003511F" w:rsidP="0003511F">
      <w:pPr>
        <w:pStyle w:val="NormalWeb"/>
        <w:rPr>
          <w:rFonts w:eastAsiaTheme="minorEastAsia"/>
          <w:lang w:eastAsia="zh-CN"/>
        </w:rPr>
      </w:pPr>
      <w:r w:rsidRPr="0003511F">
        <w:rPr>
          <w:rFonts w:eastAsiaTheme="minorEastAsia"/>
          <w:b/>
          <w:lang w:eastAsia="zh-CN"/>
        </w:rPr>
        <w:t xml:space="preserve">Conclusions  </w:t>
      </w:r>
      <w:r w:rsidRPr="0003511F">
        <w:rPr>
          <w:rFonts w:eastAsiaTheme="minorEastAsia"/>
          <w:lang w:eastAsia="zh-CN"/>
        </w:rPr>
        <w:t>An intervention designed to increase attendance at the NHS Stop Smoking Services (tailored letter and taster session in the services) appears less likely to be cost-effective than a generic letter in the short-term but is likely to become more cost-effective than the generic letter in the long term</w:t>
      </w:r>
      <w:r w:rsidRPr="0003511F">
        <w:rPr>
          <w:rFonts w:eastAsiaTheme="minorEastAsia" w:hint="eastAsia"/>
          <w:lang w:eastAsia="zh-CN"/>
        </w:rPr>
        <w:t>.</w:t>
      </w:r>
    </w:p>
    <w:p w:rsidR="00753673" w:rsidRPr="00472012" w:rsidRDefault="006B40E5" w:rsidP="00472012">
      <w:pPr>
        <w:rPr>
          <w:rFonts w:ascii="Times New Roman" w:hAnsi="Times New Roman" w:cs="Times New Roman"/>
          <w:b/>
          <w:szCs w:val="24"/>
        </w:rPr>
      </w:pPr>
      <w:r>
        <w:rPr>
          <w:rFonts w:ascii="Times New Roman" w:hAnsi="Times New Roman" w:cs="Times New Roman"/>
          <w:sz w:val="24"/>
          <w:szCs w:val="24"/>
        </w:rPr>
        <w:br w:type="page"/>
      </w:r>
      <w:bookmarkEnd w:id="12"/>
      <w:bookmarkEnd w:id="13"/>
      <w:bookmarkEnd w:id="14"/>
      <w:r w:rsidR="00753673" w:rsidRPr="00472012">
        <w:rPr>
          <w:rFonts w:ascii="Times New Roman" w:hAnsi="Times New Roman" w:cs="Times New Roman"/>
          <w:b/>
          <w:szCs w:val="24"/>
        </w:rPr>
        <w:lastRenderedPageBreak/>
        <w:t>Introduction</w:t>
      </w:r>
    </w:p>
    <w:p w:rsidR="00753673" w:rsidRPr="00065218" w:rsidRDefault="00753673" w:rsidP="00753673"/>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Smoking is the greatest avoidable cause of mortality and morbidity, and a major public health problem in the United Kingdom.(1, 2) Half of smokers will die prematurely due to smoking-related disease, such as lung cancer, chronic obstructive pulmonary disease (COPD) or coronary heart disease (CHD), and lose an average of eight years life.(3) The prevalence of smoking in the UK has dropped from 45% in the 1960s to 19% in 2013; however, the reduction has slowed down in the past five years.(4) The NHS spends over £5 billion a year on treating smoking-related diseases, and the societal cost of smoking is approximately £14 billion a year when loss of productivity and economic output due to smoking-related illness and premature death are taken into account.(5, 6)</w:t>
      </w:r>
    </w:p>
    <w:p w:rsidR="00E17531"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 xml:space="preserve">Government-funded specialist smoking cessation services, now known as the NHS Stop Smoking Services (SSSs), were established by Primary Care Trusts (PCTs) throughout England in 2000.(7) The SSSs provide free, tailored support to all smokers willing to quit, providing a combination of recommended stop smoking pharmacotherapies (nicotine replacement therapy (NRT), bupropion and varenicline) and behavioural support (e.g. group or one-to-one support). Among smokers who set a quit date through the SSSs, </w:t>
      </w:r>
      <w:r w:rsidR="00EE43C0">
        <w:rPr>
          <w:rFonts w:ascii="Times New Roman" w:hAnsi="Times New Roman" w:cs="Times New Roman"/>
          <w:sz w:val="24"/>
          <w:szCs w:val="24"/>
        </w:rPr>
        <w:t>48</w:t>
      </w:r>
      <w:r w:rsidRPr="00065218">
        <w:rPr>
          <w:rFonts w:ascii="Times New Roman" w:hAnsi="Times New Roman" w:cs="Times New Roman"/>
          <w:sz w:val="24"/>
          <w:szCs w:val="24"/>
        </w:rPr>
        <w:t>% had successfully quit (self-reported two weeks abstinence at 4 weeks after the designated quit rate), and 70% of these quitters had their results confirmed by expired Carbon Monoxide (CO) verification.</w:t>
      </w:r>
      <w:r w:rsidR="00DA208C">
        <w:rPr>
          <w:rFonts w:ascii="Times New Roman" w:hAnsi="Times New Roman" w:cs="Times New Roman"/>
          <w:sz w:val="24"/>
          <w:szCs w:val="24"/>
        </w:rPr>
        <w:t xml:space="preserve">(8, </w:t>
      </w:r>
      <w:r w:rsidR="006B1D7A">
        <w:rPr>
          <w:rFonts w:ascii="Times New Roman" w:hAnsi="Times New Roman" w:cs="Times New Roman"/>
          <w:sz w:val="24"/>
          <w:szCs w:val="24"/>
        </w:rPr>
        <w:t>9)</w:t>
      </w:r>
      <w:r w:rsidR="00EE43C0">
        <w:rPr>
          <w:rFonts w:ascii="Times New Roman" w:hAnsi="Times New Roman" w:cs="Times New Roman"/>
          <w:sz w:val="24"/>
          <w:szCs w:val="24"/>
        </w:rPr>
        <w:t xml:space="preserve"> </w:t>
      </w:r>
      <w:r w:rsidRPr="00065218">
        <w:rPr>
          <w:rFonts w:ascii="Times New Roman" w:hAnsi="Times New Roman" w:cs="Times New Roman"/>
          <w:sz w:val="24"/>
          <w:szCs w:val="24"/>
        </w:rPr>
        <w:t xml:space="preserve">However, despite the relatively high quit rate at least in the </w:t>
      </w:r>
      <w:r w:rsidR="00C73B6E">
        <w:rPr>
          <w:rFonts w:ascii="Times New Roman" w:hAnsi="Times New Roman" w:cs="Times New Roman"/>
          <w:sz w:val="24"/>
          <w:szCs w:val="24"/>
        </w:rPr>
        <w:t>short-term</w:t>
      </w:r>
      <w:r w:rsidRPr="00065218">
        <w:rPr>
          <w:rFonts w:ascii="Times New Roman" w:hAnsi="Times New Roman" w:cs="Times New Roman"/>
          <w:sz w:val="24"/>
          <w:szCs w:val="24"/>
        </w:rPr>
        <w:t>, smokers are not taking full advantage of the services. The proportion of smokers in England using the SSSs in 2011 was only 4.1%.(</w:t>
      </w:r>
      <w:r w:rsidR="00974212">
        <w:rPr>
          <w:rFonts w:ascii="Times New Roman" w:hAnsi="Times New Roman" w:cs="Times New Roman"/>
          <w:sz w:val="24"/>
          <w:szCs w:val="24"/>
        </w:rPr>
        <w:t>10</w:t>
      </w:r>
      <w:r w:rsidRPr="00065218">
        <w:rPr>
          <w:rFonts w:ascii="Times New Roman" w:hAnsi="Times New Roman" w:cs="Times New Roman"/>
          <w:sz w:val="24"/>
          <w:szCs w:val="24"/>
        </w:rPr>
        <w:t>)</w:t>
      </w:r>
      <w:r w:rsidR="00362ABF">
        <w:rPr>
          <w:rFonts w:ascii="Times New Roman" w:hAnsi="Times New Roman" w:cs="Times New Roman"/>
          <w:sz w:val="24"/>
          <w:szCs w:val="24"/>
        </w:rPr>
        <w:t xml:space="preserve"> </w:t>
      </w:r>
      <w:r w:rsidR="00362ABF" w:rsidRPr="00362ABF">
        <w:rPr>
          <w:rFonts w:ascii="Times New Roman" w:hAnsi="Times New Roman" w:cs="Times New Roman"/>
          <w:sz w:val="24"/>
          <w:szCs w:val="24"/>
        </w:rPr>
        <w:t>In view of the recent cuts to smoking cessation budgets and the decline of services in England, new approaches are needed and opportunities to tackle sm</w:t>
      </w:r>
      <w:r w:rsidR="00974212">
        <w:rPr>
          <w:rFonts w:ascii="Times New Roman" w:hAnsi="Times New Roman" w:cs="Times New Roman"/>
          <w:sz w:val="24"/>
          <w:szCs w:val="24"/>
        </w:rPr>
        <w:t>oking within the NHS maximised.(11)</w:t>
      </w:r>
      <w:r w:rsidRPr="00065218">
        <w:rPr>
          <w:rFonts w:ascii="Times New Roman" w:hAnsi="Times New Roman" w:cs="Times New Roman"/>
          <w:sz w:val="24"/>
          <w:szCs w:val="24"/>
        </w:rPr>
        <w:t xml:space="preserve">A large randomised controlled trial (RCT) (Start2quit trial: </w:t>
      </w:r>
      <w:bookmarkStart w:id="15" w:name="OLE_LINK41"/>
      <w:bookmarkStart w:id="16" w:name="OLE_LINK42"/>
      <w:r w:rsidRPr="00065218">
        <w:rPr>
          <w:rFonts w:ascii="Times New Roman" w:hAnsi="Times New Roman" w:cs="Times New Roman"/>
          <w:sz w:val="24"/>
          <w:szCs w:val="24"/>
        </w:rPr>
        <w:t>ISRCTN 76561916</w:t>
      </w:r>
      <w:bookmarkEnd w:id="15"/>
      <w:bookmarkEnd w:id="16"/>
      <w:r w:rsidRPr="00065218">
        <w:rPr>
          <w:rFonts w:ascii="Times New Roman" w:hAnsi="Times New Roman" w:cs="Times New Roman"/>
          <w:sz w:val="24"/>
          <w:szCs w:val="24"/>
        </w:rPr>
        <w:t>) was conducted to test the effectiveness and cost-effectiveness of a two-component intervention designed to increase attendance at the SSS in England. In a companion paper, we report the findings on clinical effectiveness.(1</w:t>
      </w:r>
      <w:r w:rsidR="00974212">
        <w:rPr>
          <w:rFonts w:ascii="Times New Roman" w:hAnsi="Times New Roman" w:cs="Times New Roman"/>
          <w:sz w:val="24"/>
          <w:szCs w:val="24"/>
        </w:rPr>
        <w:t>2</w:t>
      </w:r>
      <w:r w:rsidRPr="00065218">
        <w:rPr>
          <w:rFonts w:ascii="Times New Roman" w:hAnsi="Times New Roman" w:cs="Times New Roman"/>
          <w:sz w:val="24"/>
          <w:szCs w:val="24"/>
        </w:rPr>
        <w:t>) This report presents a cost-effectiveness analysis carried out alongside the Start2quit trial to assess the value for money of the intervention.</w:t>
      </w:r>
    </w:p>
    <w:p w:rsidR="00753673" w:rsidRPr="00065218" w:rsidRDefault="00753673" w:rsidP="00753673">
      <w:pPr>
        <w:pStyle w:val="Heading1"/>
        <w:spacing w:line="240" w:lineRule="auto"/>
        <w:jc w:val="both"/>
        <w:rPr>
          <w:rFonts w:ascii="Times New Roman" w:hAnsi="Times New Roman" w:cs="Times New Roman"/>
          <w:color w:val="auto"/>
          <w:szCs w:val="24"/>
        </w:rPr>
      </w:pPr>
      <w:r w:rsidRPr="00065218">
        <w:rPr>
          <w:rFonts w:ascii="Times New Roman" w:hAnsi="Times New Roman" w:cs="Times New Roman"/>
          <w:color w:val="auto"/>
          <w:szCs w:val="24"/>
        </w:rPr>
        <w:t>Methods</w:t>
      </w:r>
    </w:p>
    <w:p w:rsidR="00753673" w:rsidRPr="00065218" w:rsidRDefault="00753673" w:rsidP="00753673">
      <w:pPr>
        <w:pStyle w:val="Heading2"/>
        <w:spacing w:line="240" w:lineRule="auto"/>
        <w:jc w:val="both"/>
        <w:rPr>
          <w:rFonts w:ascii="Times New Roman" w:hAnsi="Times New Roman" w:cs="Times New Roman"/>
          <w:noProof/>
          <w:color w:val="auto"/>
          <w:sz w:val="24"/>
          <w:szCs w:val="24"/>
        </w:rPr>
      </w:pPr>
      <w:r w:rsidRPr="00065218">
        <w:rPr>
          <w:rFonts w:ascii="Times New Roman" w:hAnsi="Times New Roman" w:cs="Times New Roman"/>
          <w:noProof/>
          <w:color w:val="auto"/>
          <w:sz w:val="24"/>
          <w:szCs w:val="24"/>
        </w:rPr>
        <w:t>Randomised controlled trial</w:t>
      </w:r>
    </w:p>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The Start2quit trial was a pragmatic two-arm RCT of a two-component intervention. The study recruited a total of 4,384 adult smokers over 16 years of age. 1,748 participants were randomised to the control group and received a standard generic letter from the General Practitioner (GP) advertising the local SSS and asking the smoker to contact the service to make an appointment to see an advisor. Smokers allocated to the intervention group (N=2,636) received a brief personalised tailored letter sent from the GP using information obtained from a baseline questionnaire and from medical records; they also received a personal invitation and appointment to attend a ‘Come and Try it’ taster session to find out more about the services, with the session run by advisors from the local SSS. One participant in the intervention group withdrew from the study, leaving 4,383 participants analysed. Full details of the design of the Start2quit trial have been reported in the published study protocol.(1</w:t>
      </w:r>
      <w:r w:rsidR="00974212">
        <w:rPr>
          <w:rFonts w:ascii="Times New Roman" w:hAnsi="Times New Roman" w:cs="Times New Roman"/>
          <w:sz w:val="24"/>
          <w:szCs w:val="24"/>
        </w:rPr>
        <w:t>3</w:t>
      </w:r>
      <w:r w:rsidRPr="00065218">
        <w:rPr>
          <w:rFonts w:ascii="Times New Roman" w:hAnsi="Times New Roman" w:cs="Times New Roman"/>
          <w:sz w:val="24"/>
          <w:szCs w:val="24"/>
        </w:rPr>
        <w:t>)</w:t>
      </w:r>
    </w:p>
    <w:p w:rsidR="00753673" w:rsidRPr="00065218" w:rsidRDefault="00753673" w:rsidP="00753673">
      <w:pPr>
        <w:pStyle w:val="Heading2"/>
        <w:spacing w:line="240" w:lineRule="auto"/>
        <w:jc w:val="both"/>
        <w:rPr>
          <w:rFonts w:ascii="Times New Roman" w:hAnsi="Times New Roman" w:cs="Times New Roman"/>
          <w:noProof/>
          <w:color w:val="auto"/>
          <w:sz w:val="24"/>
          <w:szCs w:val="24"/>
        </w:rPr>
      </w:pPr>
      <w:r w:rsidRPr="00065218">
        <w:rPr>
          <w:rFonts w:ascii="Times New Roman" w:hAnsi="Times New Roman" w:cs="Times New Roman"/>
          <w:noProof/>
          <w:color w:val="auto"/>
          <w:sz w:val="24"/>
          <w:szCs w:val="24"/>
        </w:rPr>
        <w:t>Resource use and costs</w:t>
      </w:r>
    </w:p>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Costs were estimated from an NHS/Personal Social Services (PSS) perspective to reflect the English NHS decision-making framework.(1</w:t>
      </w:r>
      <w:r w:rsidR="00974212">
        <w:rPr>
          <w:rFonts w:ascii="Times New Roman" w:hAnsi="Times New Roman" w:cs="Times New Roman"/>
          <w:sz w:val="24"/>
          <w:szCs w:val="24"/>
        </w:rPr>
        <w:t>4</w:t>
      </w:r>
      <w:r w:rsidRPr="00065218">
        <w:rPr>
          <w:rFonts w:ascii="Times New Roman" w:hAnsi="Times New Roman" w:cs="Times New Roman"/>
          <w:sz w:val="24"/>
          <w:szCs w:val="24"/>
        </w:rPr>
        <w:t>) We assessed all costs in UK pounds sterling (£) at 2012-2013 prices or adjusted them accordingly using the Hospital and Community Health Services (HCHS) pay and price inflation index.(1</w:t>
      </w:r>
      <w:r w:rsidR="00974212">
        <w:rPr>
          <w:rFonts w:ascii="Times New Roman" w:hAnsi="Times New Roman" w:cs="Times New Roman"/>
          <w:sz w:val="24"/>
          <w:szCs w:val="24"/>
        </w:rPr>
        <w:t>5</w:t>
      </w:r>
      <w:r w:rsidRPr="00065218">
        <w:rPr>
          <w:rFonts w:ascii="Times New Roman" w:hAnsi="Times New Roman" w:cs="Times New Roman"/>
          <w:sz w:val="24"/>
          <w:szCs w:val="24"/>
        </w:rPr>
        <w:t>)</w:t>
      </w:r>
    </w:p>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Data on the use of resources was collected at the level of individual participants. We recorded resource use associated with the delivery of the trial interventions, including staff time spent in delivering treatment, consumables (such as postage and printing) and resources required for training the advisors in the delivery of the taster sessions. We also collected participants’ use over the previous six months of health and social care services using a comprehensive service use questionnaire at both baseline and six-month follow-up. The volume of resource use was multiplied by the unit costs to estimate the cost per participant. Table 1 details the key unit costs, together with their sources.(1</w:t>
      </w:r>
      <w:r w:rsidR="00974212">
        <w:rPr>
          <w:rFonts w:ascii="Times New Roman" w:hAnsi="Times New Roman" w:cs="Times New Roman"/>
          <w:sz w:val="24"/>
          <w:szCs w:val="24"/>
        </w:rPr>
        <w:t>5</w:t>
      </w:r>
      <w:r w:rsidRPr="00065218">
        <w:rPr>
          <w:rFonts w:ascii="Times New Roman" w:hAnsi="Times New Roman" w:cs="Times New Roman"/>
          <w:sz w:val="24"/>
          <w:szCs w:val="24"/>
        </w:rPr>
        <w:t>-1</w:t>
      </w:r>
      <w:r w:rsidR="00974212">
        <w:rPr>
          <w:rFonts w:ascii="Times New Roman" w:hAnsi="Times New Roman" w:cs="Times New Roman"/>
          <w:sz w:val="24"/>
          <w:szCs w:val="24"/>
        </w:rPr>
        <w:t>7</w:t>
      </w:r>
      <w:r w:rsidRPr="00065218">
        <w:rPr>
          <w:rFonts w:ascii="Times New Roman" w:hAnsi="Times New Roman" w:cs="Times New Roman"/>
          <w:sz w:val="24"/>
          <w:szCs w:val="24"/>
        </w:rPr>
        <w:t>)</w:t>
      </w:r>
    </w:p>
    <w:p w:rsidR="00753673" w:rsidRPr="00065218" w:rsidRDefault="00753673" w:rsidP="00753673">
      <w:pPr>
        <w:pStyle w:val="Heading2"/>
        <w:spacing w:line="240" w:lineRule="auto"/>
        <w:jc w:val="both"/>
        <w:rPr>
          <w:rFonts w:ascii="Times New Roman" w:hAnsi="Times New Roman" w:cs="Times New Roman"/>
          <w:color w:val="auto"/>
          <w:sz w:val="24"/>
          <w:szCs w:val="24"/>
        </w:rPr>
      </w:pPr>
      <w:r w:rsidRPr="00065218">
        <w:rPr>
          <w:rFonts w:ascii="Times New Roman" w:hAnsi="Times New Roman" w:cs="Times New Roman"/>
          <w:color w:val="auto"/>
          <w:sz w:val="24"/>
          <w:szCs w:val="24"/>
        </w:rPr>
        <w:t>Outcome measures</w:t>
      </w:r>
    </w:p>
    <w:p w:rsidR="00653EDA" w:rsidRDefault="00753673" w:rsidP="008D1CF9">
      <w:pPr>
        <w:rPr>
          <w:rFonts w:ascii="Times New Roman" w:hAnsi="Times New Roman" w:cs="Times New Roman"/>
          <w:sz w:val="24"/>
          <w:szCs w:val="24"/>
        </w:rPr>
      </w:pPr>
      <w:r w:rsidRPr="00065218">
        <w:rPr>
          <w:rFonts w:ascii="Times New Roman" w:hAnsi="Times New Roman" w:cs="Times New Roman"/>
          <w:sz w:val="24"/>
          <w:szCs w:val="24"/>
        </w:rPr>
        <w:t>The primary health outcome for the cost-effectiveness analysis was assessed in terms of quality-adjusted life-years (QALYs).</w:t>
      </w:r>
      <w:r w:rsidR="00AE18BD">
        <w:rPr>
          <w:rFonts w:ascii="Times New Roman" w:hAnsi="Times New Roman" w:cs="Times New Roman"/>
          <w:sz w:val="24"/>
          <w:szCs w:val="24"/>
        </w:rPr>
        <w:t xml:space="preserve"> QALY is a generic health outcome measure that </w:t>
      </w:r>
      <w:r w:rsidR="007011A4">
        <w:rPr>
          <w:rFonts w:ascii="Times New Roman" w:hAnsi="Times New Roman" w:cs="Times New Roman"/>
          <w:sz w:val="24"/>
          <w:szCs w:val="24"/>
        </w:rPr>
        <w:t xml:space="preserve">is </w:t>
      </w:r>
      <w:r w:rsidR="00AE18BD">
        <w:rPr>
          <w:rFonts w:ascii="Times New Roman" w:hAnsi="Times New Roman" w:cs="Times New Roman"/>
          <w:sz w:val="24"/>
          <w:szCs w:val="24"/>
        </w:rPr>
        <w:t>recommended by NICE for economic evaluation</w:t>
      </w:r>
      <w:r w:rsidR="004B6541">
        <w:rPr>
          <w:rFonts w:ascii="Times New Roman" w:hAnsi="Times New Roman" w:cs="Times New Roman"/>
          <w:sz w:val="24"/>
          <w:szCs w:val="24"/>
        </w:rPr>
        <w:t xml:space="preserve"> (1</w:t>
      </w:r>
      <w:r w:rsidR="00974212">
        <w:rPr>
          <w:rFonts w:ascii="Times New Roman" w:hAnsi="Times New Roman" w:cs="Times New Roman"/>
          <w:sz w:val="24"/>
          <w:szCs w:val="24"/>
        </w:rPr>
        <w:t>4</w:t>
      </w:r>
      <w:r w:rsidR="004B6541">
        <w:rPr>
          <w:rFonts w:ascii="Times New Roman" w:hAnsi="Times New Roman" w:cs="Times New Roman"/>
          <w:sz w:val="24"/>
          <w:szCs w:val="24"/>
        </w:rPr>
        <w:t>)</w:t>
      </w:r>
      <w:r w:rsidR="00AE18BD">
        <w:rPr>
          <w:rFonts w:ascii="Times New Roman" w:hAnsi="Times New Roman" w:cs="Times New Roman"/>
          <w:sz w:val="24"/>
          <w:szCs w:val="24"/>
        </w:rPr>
        <w:t>. Compare</w:t>
      </w:r>
      <w:r w:rsidR="007011A4">
        <w:rPr>
          <w:rFonts w:ascii="Times New Roman" w:hAnsi="Times New Roman" w:cs="Times New Roman"/>
          <w:sz w:val="24"/>
          <w:szCs w:val="24"/>
        </w:rPr>
        <w:t>d</w:t>
      </w:r>
      <w:r w:rsidR="00AE18BD">
        <w:rPr>
          <w:rFonts w:ascii="Times New Roman" w:hAnsi="Times New Roman" w:cs="Times New Roman"/>
          <w:sz w:val="24"/>
          <w:szCs w:val="24"/>
        </w:rPr>
        <w:t xml:space="preserve"> to clinical outcome measure</w:t>
      </w:r>
      <w:r w:rsidR="00C91992">
        <w:rPr>
          <w:rFonts w:ascii="Times New Roman" w:hAnsi="Times New Roman" w:cs="Times New Roman"/>
          <w:sz w:val="24"/>
          <w:szCs w:val="24"/>
        </w:rPr>
        <w:t xml:space="preserve">s such as quit rate which vary between studies </w:t>
      </w:r>
      <w:r w:rsidR="007011A4">
        <w:rPr>
          <w:rFonts w:ascii="Times New Roman" w:hAnsi="Times New Roman" w:cs="Times New Roman"/>
          <w:sz w:val="24"/>
          <w:szCs w:val="24"/>
        </w:rPr>
        <w:t>in terms</w:t>
      </w:r>
      <w:r w:rsidR="00C91992">
        <w:rPr>
          <w:rFonts w:ascii="Times New Roman" w:hAnsi="Times New Roman" w:cs="Times New Roman"/>
          <w:sz w:val="24"/>
          <w:szCs w:val="24"/>
        </w:rPr>
        <w:t xml:space="preserve"> of length of time quit, length of follow-up and means of measurement, </w:t>
      </w:r>
      <w:r w:rsidR="007011A4">
        <w:rPr>
          <w:rFonts w:ascii="Times New Roman" w:hAnsi="Times New Roman" w:cs="Times New Roman"/>
          <w:sz w:val="24"/>
          <w:szCs w:val="24"/>
        </w:rPr>
        <w:t xml:space="preserve">the </w:t>
      </w:r>
      <w:r w:rsidR="00C91992">
        <w:rPr>
          <w:rFonts w:ascii="Times New Roman" w:hAnsi="Times New Roman" w:cs="Times New Roman"/>
          <w:sz w:val="24"/>
          <w:szCs w:val="24"/>
        </w:rPr>
        <w:t>QALY</w:t>
      </w:r>
      <w:r w:rsidR="00AE18BD">
        <w:rPr>
          <w:rFonts w:ascii="Times New Roman" w:hAnsi="Times New Roman" w:cs="Times New Roman"/>
          <w:sz w:val="24"/>
          <w:szCs w:val="24"/>
        </w:rPr>
        <w:t xml:space="preserve"> permits comparisons </w:t>
      </w:r>
      <w:r w:rsidR="004B7DC7">
        <w:rPr>
          <w:rFonts w:ascii="Times New Roman" w:hAnsi="Times New Roman" w:cs="Times New Roman"/>
          <w:sz w:val="24"/>
          <w:szCs w:val="24"/>
        </w:rPr>
        <w:t>a</w:t>
      </w:r>
      <w:r w:rsidR="00244126">
        <w:rPr>
          <w:rFonts w:ascii="Times New Roman" w:hAnsi="Times New Roman" w:cs="Times New Roman"/>
          <w:sz w:val="24"/>
          <w:szCs w:val="24"/>
        </w:rPr>
        <w:t>cross</w:t>
      </w:r>
      <w:r w:rsidR="00AE18BD">
        <w:rPr>
          <w:rFonts w:ascii="Times New Roman" w:hAnsi="Times New Roman" w:cs="Times New Roman"/>
          <w:sz w:val="24"/>
          <w:szCs w:val="24"/>
        </w:rPr>
        <w:t xml:space="preserve"> </w:t>
      </w:r>
      <w:r w:rsidR="00C91992">
        <w:rPr>
          <w:rFonts w:ascii="Times New Roman" w:hAnsi="Times New Roman" w:cs="Times New Roman"/>
          <w:sz w:val="24"/>
          <w:szCs w:val="24"/>
        </w:rPr>
        <w:t xml:space="preserve">different </w:t>
      </w:r>
      <w:r w:rsidR="00AE18BD">
        <w:rPr>
          <w:rFonts w:ascii="Times New Roman" w:hAnsi="Times New Roman" w:cs="Times New Roman"/>
          <w:sz w:val="24"/>
          <w:szCs w:val="24"/>
        </w:rPr>
        <w:t>healthcare programmes</w:t>
      </w:r>
      <w:r w:rsidR="00974212">
        <w:rPr>
          <w:rFonts w:ascii="Times New Roman" w:hAnsi="Times New Roman" w:cs="Times New Roman"/>
          <w:sz w:val="24"/>
          <w:szCs w:val="24"/>
        </w:rPr>
        <w:t xml:space="preserve"> (18</w:t>
      </w:r>
      <w:r w:rsidR="004B6541">
        <w:rPr>
          <w:rFonts w:ascii="Times New Roman" w:hAnsi="Times New Roman" w:cs="Times New Roman"/>
          <w:sz w:val="24"/>
          <w:szCs w:val="24"/>
        </w:rPr>
        <w:t>)</w:t>
      </w:r>
      <w:r w:rsidR="00AE18BD">
        <w:rPr>
          <w:rFonts w:ascii="Times New Roman" w:hAnsi="Times New Roman" w:cs="Times New Roman"/>
          <w:sz w:val="24"/>
          <w:szCs w:val="24"/>
        </w:rPr>
        <w:t xml:space="preserve">. </w:t>
      </w:r>
      <w:r w:rsidR="008D1CF9" w:rsidRPr="008D1CF9">
        <w:rPr>
          <w:rFonts w:ascii="Times New Roman" w:hAnsi="Times New Roman" w:cs="Times New Roman"/>
          <w:sz w:val="24"/>
          <w:szCs w:val="24"/>
        </w:rPr>
        <w:t>NICE has specified an explicit decision-making thresho</w:t>
      </w:r>
      <w:r w:rsidR="00FC14F5">
        <w:rPr>
          <w:rFonts w:ascii="Times New Roman" w:hAnsi="Times New Roman" w:cs="Times New Roman"/>
          <w:sz w:val="24"/>
          <w:szCs w:val="24"/>
        </w:rPr>
        <w:t xml:space="preserve">lds range </w:t>
      </w:r>
      <w:r w:rsidR="00CD662A">
        <w:rPr>
          <w:rFonts w:ascii="Times New Roman" w:hAnsi="Times New Roman" w:cs="Times New Roman"/>
          <w:sz w:val="24"/>
          <w:szCs w:val="24"/>
        </w:rPr>
        <w:t xml:space="preserve">for what </w:t>
      </w:r>
      <w:r w:rsidR="008D1CF9" w:rsidRPr="008D1CF9">
        <w:rPr>
          <w:rFonts w:ascii="Times New Roman" w:hAnsi="Times New Roman" w:cs="Times New Roman"/>
          <w:sz w:val="24"/>
          <w:szCs w:val="24"/>
        </w:rPr>
        <w:t>should be</w:t>
      </w:r>
      <w:r w:rsidR="00FC14F5">
        <w:rPr>
          <w:rFonts w:ascii="Times New Roman" w:hAnsi="Times New Roman" w:cs="Times New Roman"/>
          <w:sz w:val="24"/>
          <w:szCs w:val="24"/>
        </w:rPr>
        <w:t xml:space="preserve"> considered cost-effective, namely, </w:t>
      </w:r>
      <w:r w:rsidR="00CD662A">
        <w:rPr>
          <w:rFonts w:ascii="Times New Roman" w:hAnsi="Times New Roman" w:cs="Times New Roman"/>
          <w:sz w:val="24"/>
          <w:szCs w:val="24"/>
        </w:rPr>
        <w:t xml:space="preserve">if an </w:t>
      </w:r>
      <w:r w:rsidR="00FC14F5">
        <w:rPr>
          <w:rFonts w:ascii="Times New Roman" w:hAnsi="Times New Roman" w:cs="Times New Roman"/>
          <w:sz w:val="24"/>
          <w:szCs w:val="24"/>
        </w:rPr>
        <w:t xml:space="preserve">intervention has an incremental cost of less than </w:t>
      </w:r>
      <w:r w:rsidR="008D1CF9" w:rsidRPr="008D1CF9">
        <w:rPr>
          <w:rFonts w:ascii="Times New Roman" w:hAnsi="Times New Roman" w:cs="Times New Roman"/>
          <w:sz w:val="24"/>
          <w:szCs w:val="24"/>
        </w:rPr>
        <w:t xml:space="preserve">£20,000-£30,000 per additional QALY gained, while </w:t>
      </w:r>
      <w:r w:rsidR="00FC14F5">
        <w:rPr>
          <w:rFonts w:ascii="Times New Roman" w:hAnsi="Times New Roman" w:cs="Times New Roman"/>
          <w:sz w:val="24"/>
          <w:szCs w:val="24"/>
        </w:rPr>
        <w:t>there is no similar threshold</w:t>
      </w:r>
      <w:r w:rsidR="008D1CF9" w:rsidRPr="008D1CF9">
        <w:rPr>
          <w:rFonts w:ascii="Times New Roman" w:hAnsi="Times New Roman" w:cs="Times New Roman"/>
          <w:sz w:val="24"/>
          <w:szCs w:val="24"/>
        </w:rPr>
        <w:t xml:space="preserve"> </w:t>
      </w:r>
      <w:r w:rsidR="00CD662A">
        <w:rPr>
          <w:rFonts w:ascii="Times New Roman" w:hAnsi="Times New Roman" w:cs="Times New Roman"/>
          <w:sz w:val="24"/>
          <w:szCs w:val="24"/>
        </w:rPr>
        <w:t xml:space="preserve">given </w:t>
      </w:r>
      <w:r w:rsidR="008D1CF9" w:rsidRPr="008D1CF9">
        <w:rPr>
          <w:rFonts w:ascii="Times New Roman" w:hAnsi="Times New Roman" w:cs="Times New Roman"/>
          <w:sz w:val="24"/>
          <w:szCs w:val="24"/>
        </w:rPr>
        <w:t>in quit rates.</w:t>
      </w:r>
      <w:r w:rsidR="00FC14F5">
        <w:rPr>
          <w:rFonts w:ascii="Times New Roman" w:hAnsi="Times New Roman" w:cs="Times New Roman"/>
          <w:sz w:val="24"/>
          <w:szCs w:val="24"/>
        </w:rPr>
        <w:t xml:space="preserve"> In addition, the use of QALYs also allows us to</w:t>
      </w:r>
      <w:r w:rsidR="00CD662A">
        <w:rPr>
          <w:rFonts w:ascii="Times New Roman" w:hAnsi="Times New Roman" w:cs="Times New Roman"/>
          <w:sz w:val="24"/>
          <w:szCs w:val="24"/>
        </w:rPr>
        <w:t xml:space="preserve"> </w:t>
      </w:r>
      <w:r w:rsidR="00FC14F5">
        <w:rPr>
          <w:rFonts w:ascii="Times New Roman" w:hAnsi="Times New Roman" w:cs="Times New Roman"/>
          <w:sz w:val="24"/>
          <w:szCs w:val="24"/>
        </w:rPr>
        <w:t xml:space="preserve">compare the short-term </w:t>
      </w:r>
      <w:r w:rsidR="00CD662A">
        <w:rPr>
          <w:rFonts w:ascii="Times New Roman" w:hAnsi="Times New Roman" w:cs="Times New Roman"/>
          <w:sz w:val="24"/>
          <w:szCs w:val="24"/>
        </w:rPr>
        <w:t xml:space="preserve">benefits </w:t>
      </w:r>
      <w:r w:rsidR="00FC14F5">
        <w:rPr>
          <w:rFonts w:ascii="Times New Roman" w:hAnsi="Times New Roman" w:cs="Times New Roman"/>
          <w:sz w:val="24"/>
          <w:szCs w:val="24"/>
        </w:rPr>
        <w:t xml:space="preserve">and long-term </w:t>
      </w:r>
      <w:r w:rsidR="00CD662A">
        <w:rPr>
          <w:rFonts w:ascii="Times New Roman" w:hAnsi="Times New Roman" w:cs="Times New Roman"/>
          <w:sz w:val="24"/>
          <w:szCs w:val="24"/>
        </w:rPr>
        <w:t xml:space="preserve">benefits from </w:t>
      </w:r>
      <w:r w:rsidR="00FC14F5">
        <w:rPr>
          <w:rFonts w:ascii="Times New Roman" w:hAnsi="Times New Roman" w:cs="Times New Roman"/>
          <w:sz w:val="24"/>
          <w:szCs w:val="24"/>
        </w:rPr>
        <w:t xml:space="preserve">the trial interventions. </w:t>
      </w:r>
    </w:p>
    <w:p w:rsidR="00562E41" w:rsidRPr="00065218" w:rsidRDefault="00753673" w:rsidP="004B6541">
      <w:pPr>
        <w:rPr>
          <w:rFonts w:ascii="Times New Roman" w:hAnsi="Times New Roman" w:cs="Times New Roman"/>
          <w:sz w:val="24"/>
          <w:szCs w:val="24"/>
        </w:rPr>
      </w:pPr>
      <w:r w:rsidRPr="00065218">
        <w:rPr>
          <w:rFonts w:ascii="Times New Roman" w:hAnsi="Times New Roman" w:cs="Times New Roman"/>
          <w:sz w:val="24"/>
          <w:szCs w:val="24"/>
        </w:rPr>
        <w:t>We measured participants’ health states using a generic measure of health status, namely the EQ-5D questionnaire at baseline and six-month follow-up (1</w:t>
      </w:r>
      <w:r w:rsidR="00974212">
        <w:rPr>
          <w:rFonts w:ascii="Times New Roman" w:hAnsi="Times New Roman" w:cs="Times New Roman"/>
          <w:sz w:val="24"/>
          <w:szCs w:val="24"/>
        </w:rPr>
        <w:t>9</w:t>
      </w:r>
      <w:r w:rsidRPr="00065218">
        <w:rPr>
          <w:rFonts w:ascii="Times New Roman" w:hAnsi="Times New Roman" w:cs="Times New Roman"/>
          <w:sz w:val="24"/>
          <w:szCs w:val="24"/>
        </w:rPr>
        <w:t>). The EQ-5D scores were converted to utilities using the UK population tariff, and QALYs were calculated using the area under the curve approach.(</w:t>
      </w:r>
      <w:r w:rsidR="00974212">
        <w:rPr>
          <w:rFonts w:ascii="Times New Roman" w:hAnsi="Times New Roman" w:cs="Times New Roman"/>
          <w:sz w:val="24"/>
          <w:szCs w:val="24"/>
        </w:rPr>
        <w:t>20-22</w:t>
      </w:r>
      <w:r w:rsidRPr="00065218">
        <w:rPr>
          <w:rFonts w:ascii="Times New Roman" w:hAnsi="Times New Roman" w:cs="Times New Roman"/>
          <w:sz w:val="24"/>
          <w:szCs w:val="24"/>
        </w:rPr>
        <w:t>)  The secondary outcomes were the proportion of participants entering the SSS over a period of six months and the proportion of participants quitting smoking at the six-month follow-up.</w:t>
      </w:r>
      <w:r w:rsidR="004B6541" w:rsidRPr="00065218">
        <w:rPr>
          <w:rFonts w:ascii="Times New Roman" w:hAnsi="Times New Roman" w:cs="Times New Roman"/>
          <w:sz w:val="24"/>
          <w:szCs w:val="24"/>
        </w:rPr>
        <w:t xml:space="preserve"> </w:t>
      </w:r>
    </w:p>
    <w:p w:rsidR="00753673" w:rsidRPr="00065218" w:rsidRDefault="00753673" w:rsidP="00753673">
      <w:pPr>
        <w:pStyle w:val="Heading2"/>
        <w:spacing w:line="240" w:lineRule="auto"/>
        <w:jc w:val="both"/>
        <w:rPr>
          <w:rFonts w:ascii="Times New Roman" w:hAnsi="Times New Roman" w:cs="Times New Roman"/>
          <w:color w:val="auto"/>
          <w:sz w:val="24"/>
          <w:szCs w:val="24"/>
        </w:rPr>
      </w:pPr>
      <w:r w:rsidRPr="00065218">
        <w:rPr>
          <w:rFonts w:ascii="Times New Roman" w:hAnsi="Times New Roman" w:cs="Times New Roman"/>
          <w:color w:val="auto"/>
          <w:sz w:val="24"/>
          <w:szCs w:val="24"/>
        </w:rPr>
        <w:t>Cost-effectiveness analysis</w:t>
      </w:r>
    </w:p>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A full cost-effectiveness analysis (CEA) was conducted on an ‘intention-to-treat (ITT)’ basis where all participants are analysed as randomised. Incremental cost-effectiveness ratios (ICERs) were used to combine differential mean costs and the effects associated with the two trial groups in a single measure to which a decision rule for cost-effectiveness can be applied.(</w:t>
      </w:r>
      <w:r w:rsidR="00974212">
        <w:rPr>
          <w:rFonts w:ascii="Times New Roman" w:hAnsi="Times New Roman" w:cs="Times New Roman"/>
          <w:sz w:val="24"/>
          <w:szCs w:val="24"/>
        </w:rPr>
        <w:t>18</w:t>
      </w:r>
      <w:r w:rsidRPr="00065218">
        <w:rPr>
          <w:rFonts w:ascii="Times New Roman" w:hAnsi="Times New Roman" w:cs="Times New Roman"/>
          <w:sz w:val="24"/>
          <w:szCs w:val="24"/>
        </w:rPr>
        <w:t>)</w:t>
      </w:r>
    </w:p>
    <w:p w:rsidR="00753673" w:rsidRPr="00065218" w:rsidRDefault="00753673" w:rsidP="00753673">
      <w:pPr>
        <w:spacing w:after="0" w:line="240" w:lineRule="auto"/>
        <w:jc w:val="both"/>
        <w:rPr>
          <w:rFonts w:ascii="Times New Roman" w:eastAsia="SimSun" w:hAnsi="Times New Roman" w:cs="Times New Roman"/>
          <w:sz w:val="24"/>
          <w:szCs w:val="24"/>
          <w:lang w:val="en-US"/>
        </w:rPr>
      </w:pPr>
      <m:oMathPara>
        <m:oMath>
          <m:r>
            <m:rPr>
              <m:sty m:val="p"/>
            </m:rPr>
            <w:rPr>
              <w:rFonts w:ascii="Cambria Math" w:eastAsia="SimSun" w:hAnsi="Cambria Math" w:cs="Times New Roman"/>
              <w:sz w:val="24"/>
              <w:szCs w:val="24"/>
              <w:lang w:val="en-US"/>
            </w:rPr>
            <m:t xml:space="preserve">ICER= </m:t>
          </m:r>
          <m:f>
            <m:fPr>
              <m:ctrlPr>
                <w:rPr>
                  <w:rFonts w:ascii="Cambria Math" w:eastAsia="SimSun" w:hAnsi="Cambria Math" w:cs="Times New Roman"/>
                  <w:sz w:val="24"/>
                  <w:szCs w:val="24"/>
                  <w:lang w:val="en-US"/>
                </w:rPr>
              </m:ctrlPr>
            </m:fPr>
            <m:num>
              <m:r>
                <m:rPr>
                  <m:sty m:val="p"/>
                </m:rPr>
                <w:rPr>
                  <w:rFonts w:ascii="Cambria Math" w:eastAsia="SimSun" w:hAnsi="Cambria Math" w:cs="Times New Roman"/>
                  <w:sz w:val="24"/>
                  <w:szCs w:val="24"/>
                  <w:lang w:val="en-US"/>
                </w:rPr>
                <m:t>ΔC</m:t>
              </m:r>
            </m:num>
            <m:den>
              <m:r>
                <m:rPr>
                  <m:sty m:val="p"/>
                </m:rPr>
                <w:rPr>
                  <w:rFonts w:ascii="Cambria Math" w:eastAsia="SimSun" w:hAnsi="Cambria Math" w:cs="Times New Roman"/>
                  <w:sz w:val="24"/>
                  <w:szCs w:val="24"/>
                  <w:lang w:val="en-US"/>
                </w:rPr>
                <m:t>ΔE</m:t>
              </m:r>
            </m:den>
          </m:f>
          <m:r>
            <m:rPr>
              <m:sty m:val="p"/>
            </m:rPr>
            <w:rPr>
              <w:rFonts w:ascii="Cambria Math" w:eastAsia="SimSun" w:hAnsi="Cambria Math" w:cs="Times New Roman"/>
              <w:sz w:val="24"/>
              <w:szCs w:val="24"/>
              <w:lang w:val="en-US"/>
            </w:rPr>
            <m:t>=</m:t>
          </m:r>
          <m:f>
            <m:fPr>
              <m:ctrlPr>
                <w:rPr>
                  <w:rFonts w:ascii="Cambria Math" w:eastAsia="SimSun" w:hAnsi="Cambria Math" w:cs="Times New Roman"/>
                  <w:sz w:val="24"/>
                  <w:szCs w:val="24"/>
                  <w:lang w:val="en-US"/>
                </w:rPr>
              </m:ctrlPr>
            </m:fPr>
            <m:num>
              <m:sSub>
                <m:sSubPr>
                  <m:ctrlPr>
                    <w:rPr>
                      <w:rFonts w:ascii="Cambria Math" w:eastAsia="SimSun" w:hAnsi="Cambria Math" w:cs="Times New Roman"/>
                      <w:sz w:val="24"/>
                      <w:szCs w:val="24"/>
                      <w:lang w:val="en-US"/>
                    </w:rPr>
                  </m:ctrlPr>
                </m:sSubPr>
                <m:e>
                  <m:bar>
                    <m:barPr>
                      <m:pos m:val="top"/>
                      <m:ctrlPr>
                        <w:rPr>
                          <w:rFonts w:ascii="Cambria Math" w:eastAsia="SimSun" w:hAnsi="Cambria Math" w:cs="Times New Roman"/>
                          <w:sz w:val="24"/>
                          <w:szCs w:val="24"/>
                          <w:lang w:val="en-US"/>
                        </w:rPr>
                      </m:ctrlPr>
                    </m:barPr>
                    <m:e>
                      <m:r>
                        <m:rPr>
                          <m:sty m:val="p"/>
                        </m:rPr>
                        <w:rPr>
                          <w:rFonts w:ascii="Cambria Math" w:eastAsia="SimSun" w:hAnsi="Cambria Math" w:cs="Times New Roman"/>
                          <w:sz w:val="24"/>
                          <w:szCs w:val="24"/>
                          <w:lang w:val="en-US"/>
                        </w:rPr>
                        <m:t>C</m:t>
                      </m:r>
                    </m:e>
                  </m:bar>
                </m:e>
                <m:sub>
                  <m:r>
                    <m:rPr>
                      <m:sty m:val="p"/>
                    </m:rPr>
                    <w:rPr>
                      <w:rFonts w:ascii="Cambria Math" w:eastAsia="SimSun" w:hAnsi="Cambria Math" w:cs="Times New Roman"/>
                      <w:sz w:val="24"/>
                      <w:szCs w:val="24"/>
                      <w:lang w:val="en-US"/>
                    </w:rPr>
                    <m:t>I</m:t>
                  </m:r>
                </m:sub>
              </m:sSub>
              <m:r>
                <m:rPr>
                  <m:sty m:val="p"/>
                </m:rPr>
                <w:rPr>
                  <w:rFonts w:ascii="Cambria Math" w:eastAsia="SimSun" w:hAnsi="Cambria Math" w:cs="Times New Roman"/>
                  <w:sz w:val="24"/>
                  <w:szCs w:val="24"/>
                  <w:lang w:val="en-US"/>
                </w:rPr>
                <m:t>-</m:t>
              </m:r>
              <m:sSub>
                <m:sSubPr>
                  <m:ctrlPr>
                    <w:rPr>
                      <w:rFonts w:ascii="Cambria Math" w:eastAsia="SimSun" w:hAnsi="Cambria Math" w:cs="Times New Roman"/>
                      <w:sz w:val="24"/>
                      <w:szCs w:val="24"/>
                      <w:lang w:val="en-US"/>
                    </w:rPr>
                  </m:ctrlPr>
                </m:sSubPr>
                <m:e>
                  <m:bar>
                    <m:barPr>
                      <m:pos m:val="top"/>
                      <m:ctrlPr>
                        <w:rPr>
                          <w:rFonts w:ascii="Cambria Math" w:eastAsia="SimSun" w:hAnsi="Cambria Math" w:cs="Times New Roman"/>
                          <w:sz w:val="24"/>
                          <w:szCs w:val="24"/>
                          <w:lang w:val="en-US"/>
                        </w:rPr>
                      </m:ctrlPr>
                    </m:barPr>
                    <m:e>
                      <m:r>
                        <m:rPr>
                          <m:sty m:val="p"/>
                        </m:rPr>
                        <w:rPr>
                          <w:rFonts w:ascii="Cambria Math" w:eastAsia="SimSun" w:hAnsi="Cambria Math" w:cs="Times New Roman"/>
                          <w:sz w:val="24"/>
                          <w:szCs w:val="24"/>
                          <w:lang w:val="en-US"/>
                        </w:rPr>
                        <m:t>C</m:t>
                      </m:r>
                    </m:e>
                  </m:bar>
                </m:e>
                <m:sub>
                  <m:r>
                    <m:rPr>
                      <m:sty m:val="p"/>
                    </m:rPr>
                    <w:rPr>
                      <w:rFonts w:ascii="Cambria Math" w:eastAsia="SimSun" w:hAnsi="Cambria Math" w:cs="Times New Roman"/>
                      <w:sz w:val="24"/>
                      <w:szCs w:val="24"/>
                      <w:lang w:val="en-US"/>
                    </w:rPr>
                    <m:t>C</m:t>
                  </m:r>
                </m:sub>
              </m:sSub>
            </m:num>
            <m:den>
              <m:sSub>
                <m:sSubPr>
                  <m:ctrlPr>
                    <w:rPr>
                      <w:rFonts w:ascii="Cambria Math" w:eastAsia="SimSun" w:hAnsi="Cambria Math" w:cs="Times New Roman"/>
                      <w:sz w:val="24"/>
                      <w:szCs w:val="24"/>
                      <w:lang w:val="en-US"/>
                    </w:rPr>
                  </m:ctrlPr>
                </m:sSubPr>
                <m:e>
                  <m:bar>
                    <m:barPr>
                      <m:pos m:val="top"/>
                      <m:ctrlPr>
                        <w:rPr>
                          <w:rFonts w:ascii="Cambria Math" w:eastAsia="SimSun" w:hAnsi="Cambria Math" w:cs="Times New Roman"/>
                          <w:sz w:val="24"/>
                          <w:szCs w:val="24"/>
                          <w:lang w:val="en-US"/>
                        </w:rPr>
                      </m:ctrlPr>
                    </m:barPr>
                    <m:e>
                      <m:r>
                        <m:rPr>
                          <m:sty m:val="p"/>
                        </m:rPr>
                        <w:rPr>
                          <w:rFonts w:ascii="Cambria Math" w:eastAsia="SimSun" w:hAnsi="Cambria Math" w:cs="Times New Roman"/>
                          <w:sz w:val="24"/>
                          <w:szCs w:val="24"/>
                          <w:lang w:val="en-US"/>
                        </w:rPr>
                        <m:t>E</m:t>
                      </m:r>
                    </m:e>
                  </m:bar>
                </m:e>
                <m:sub>
                  <m:r>
                    <m:rPr>
                      <m:sty m:val="p"/>
                    </m:rPr>
                    <w:rPr>
                      <w:rFonts w:ascii="Cambria Math" w:eastAsia="SimSun" w:hAnsi="Cambria Math" w:cs="Times New Roman"/>
                      <w:sz w:val="24"/>
                      <w:szCs w:val="24"/>
                      <w:lang w:val="en-US"/>
                    </w:rPr>
                    <m:t>I</m:t>
                  </m:r>
                </m:sub>
              </m:sSub>
              <m:r>
                <m:rPr>
                  <m:sty m:val="p"/>
                </m:rPr>
                <w:rPr>
                  <w:rFonts w:ascii="Cambria Math" w:eastAsia="SimSun" w:hAnsi="Cambria Math" w:cs="Times New Roman"/>
                  <w:sz w:val="24"/>
                  <w:szCs w:val="24"/>
                  <w:lang w:val="en-US"/>
                </w:rPr>
                <m:t xml:space="preserve">- </m:t>
              </m:r>
              <m:sSub>
                <m:sSubPr>
                  <m:ctrlPr>
                    <w:rPr>
                      <w:rFonts w:ascii="Cambria Math" w:eastAsia="SimSun" w:hAnsi="Cambria Math" w:cs="Times New Roman"/>
                      <w:sz w:val="24"/>
                      <w:szCs w:val="24"/>
                      <w:lang w:val="en-US"/>
                    </w:rPr>
                  </m:ctrlPr>
                </m:sSubPr>
                <m:e>
                  <m:bar>
                    <m:barPr>
                      <m:pos m:val="top"/>
                      <m:ctrlPr>
                        <w:rPr>
                          <w:rFonts w:ascii="Cambria Math" w:eastAsia="SimSun" w:hAnsi="Cambria Math" w:cs="Times New Roman"/>
                          <w:sz w:val="24"/>
                          <w:szCs w:val="24"/>
                          <w:lang w:val="en-US"/>
                        </w:rPr>
                      </m:ctrlPr>
                    </m:barPr>
                    <m:e>
                      <m:r>
                        <m:rPr>
                          <m:sty m:val="p"/>
                        </m:rPr>
                        <w:rPr>
                          <w:rFonts w:ascii="Cambria Math" w:eastAsia="SimSun" w:hAnsi="Cambria Math" w:cs="Times New Roman"/>
                          <w:sz w:val="24"/>
                          <w:szCs w:val="24"/>
                          <w:lang w:val="en-US"/>
                        </w:rPr>
                        <m:t>E</m:t>
                      </m:r>
                    </m:e>
                  </m:bar>
                </m:e>
                <m:sub>
                  <m:r>
                    <m:rPr>
                      <m:sty m:val="p"/>
                    </m:rPr>
                    <w:rPr>
                      <w:rFonts w:ascii="Cambria Math" w:eastAsia="SimSun" w:hAnsi="Cambria Math" w:cs="Times New Roman"/>
                      <w:sz w:val="24"/>
                      <w:szCs w:val="24"/>
                      <w:lang w:val="en-US"/>
                    </w:rPr>
                    <m:t>C</m:t>
                  </m:r>
                </m:sub>
              </m:sSub>
            </m:den>
          </m:f>
        </m:oMath>
      </m:oMathPara>
    </w:p>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 xml:space="preserve">where E represents the effects and C represents the costs of the intervention, measured in monetary units, and the subscripts ‘I’ and ‘C’ refer to the intervention and control arm, respectively. </w:t>
      </w:r>
    </w:p>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Missing data was imputed using Rubin’s multiple imputation (MI) method.(</w:t>
      </w:r>
      <w:r w:rsidR="00974212">
        <w:rPr>
          <w:rFonts w:ascii="Times New Roman" w:hAnsi="Times New Roman" w:cs="Times New Roman"/>
          <w:sz w:val="24"/>
          <w:szCs w:val="24"/>
        </w:rPr>
        <w:t>23-25</w:t>
      </w:r>
      <w:r w:rsidRPr="00065218">
        <w:rPr>
          <w:rFonts w:ascii="Times New Roman" w:hAnsi="Times New Roman" w:cs="Times New Roman"/>
          <w:sz w:val="24"/>
          <w:szCs w:val="24"/>
        </w:rPr>
        <w:t xml:space="preserve">) Chained imputation using predictive mean matching over 50 imputations was undertaken to estimate cost and EQ-5D data items when they were missing. The following independent covariates were specified for the imputation model: intervention group, resource use data, and baseline EQ-5 D score, smoking abstinence and participant characteristics such as age gender. </w:t>
      </w:r>
    </w:p>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To account for the uncertainty due to sampling variation in cost-effectiveness, a non-parametric bootstrap re-sampling technique was employed to obtain confidence intervals for the ICERs by generating 5,000 iterations of the mean cost and QALYs for each trial group.</w:t>
      </w:r>
      <w:r w:rsidR="00E667B9">
        <w:rPr>
          <w:rFonts w:ascii="Times New Roman" w:hAnsi="Times New Roman" w:cs="Times New Roman"/>
          <w:sz w:val="24"/>
          <w:szCs w:val="24"/>
        </w:rPr>
        <w:t xml:space="preserve"> </w:t>
      </w:r>
      <w:r w:rsidRPr="00065218">
        <w:rPr>
          <w:rFonts w:ascii="Times New Roman" w:hAnsi="Times New Roman" w:cs="Times New Roman"/>
          <w:sz w:val="24"/>
          <w:szCs w:val="24"/>
        </w:rPr>
        <w:t>(</w:t>
      </w:r>
      <w:r w:rsidR="00974212">
        <w:rPr>
          <w:rFonts w:ascii="Times New Roman" w:hAnsi="Times New Roman" w:cs="Times New Roman"/>
          <w:sz w:val="24"/>
          <w:szCs w:val="24"/>
        </w:rPr>
        <w:t>26-29</w:t>
      </w:r>
      <w:r w:rsidRPr="00065218">
        <w:rPr>
          <w:rFonts w:ascii="Times New Roman" w:hAnsi="Times New Roman" w:cs="Times New Roman"/>
          <w:sz w:val="24"/>
          <w:szCs w:val="24"/>
        </w:rPr>
        <w:t>) A total of 50 imputations were generated to ensure efficient and reproducible estimates. Cost-effectiveness acceptability curves (CEACs) were plotted based on the outcomes of the bootstrap iterations to show the probability of the intervention being more cost-effective than the control over a range of a decision-maker’s willingness-to-pay (WTP) thresholds.(</w:t>
      </w:r>
      <w:r w:rsidR="00974212">
        <w:rPr>
          <w:rFonts w:ascii="Times New Roman" w:hAnsi="Times New Roman" w:cs="Times New Roman"/>
          <w:sz w:val="24"/>
          <w:szCs w:val="24"/>
        </w:rPr>
        <w:t>30</w:t>
      </w:r>
      <w:r w:rsidRPr="00065218">
        <w:rPr>
          <w:rFonts w:ascii="Times New Roman" w:hAnsi="Times New Roman" w:cs="Times New Roman"/>
          <w:sz w:val="24"/>
          <w:szCs w:val="24"/>
        </w:rPr>
        <w:t>) All the analyses were conducted with Stata, version 13.0 (StataCorp, College Station, Texas). Statistical significance was accepted at p &lt; 0.05 in each of the analyses.</w:t>
      </w:r>
    </w:p>
    <w:p w:rsidR="00753673" w:rsidRPr="00065218" w:rsidRDefault="00753673" w:rsidP="00753673">
      <w:pPr>
        <w:pStyle w:val="Heading2"/>
        <w:spacing w:line="240" w:lineRule="auto"/>
        <w:jc w:val="both"/>
        <w:rPr>
          <w:rFonts w:ascii="Times New Roman" w:hAnsi="Times New Roman" w:cs="Times New Roman"/>
          <w:b/>
          <w:color w:val="auto"/>
          <w:sz w:val="24"/>
          <w:szCs w:val="24"/>
        </w:rPr>
      </w:pPr>
      <w:bookmarkStart w:id="17" w:name="_Toc430932430"/>
      <w:r w:rsidRPr="00065218">
        <w:rPr>
          <w:rFonts w:ascii="Times New Roman" w:hAnsi="Times New Roman" w:cs="Times New Roman"/>
          <w:color w:val="auto"/>
          <w:sz w:val="24"/>
          <w:szCs w:val="24"/>
        </w:rPr>
        <w:t>Long-term costs and outcome predictions</w:t>
      </w:r>
      <w:bookmarkEnd w:id="17"/>
    </w:p>
    <w:p w:rsidR="009B706A" w:rsidRPr="009B706A" w:rsidRDefault="00974212" w:rsidP="009B706A">
      <w:pPr>
        <w:rPr>
          <w:rFonts w:ascii="Times New Roman" w:hAnsi="Times New Roman" w:cs="Times New Roman"/>
          <w:sz w:val="24"/>
          <w:szCs w:val="24"/>
        </w:rPr>
      </w:pPr>
      <w:bookmarkStart w:id="18" w:name="_Toc430932429"/>
      <w:r w:rsidRPr="0085221A">
        <w:rPr>
          <w:rFonts w:ascii="Times New Roman" w:hAnsi="Times New Roman" w:cs="Times New Roman"/>
          <w:sz w:val="24"/>
          <w:szCs w:val="24"/>
        </w:rPr>
        <w:t>Numerous studies have demonstrated t</w:t>
      </w:r>
      <w:r>
        <w:rPr>
          <w:rFonts w:ascii="Times New Roman" w:hAnsi="Times New Roman" w:cs="Times New Roman"/>
          <w:sz w:val="24"/>
          <w:szCs w:val="24"/>
        </w:rPr>
        <w:t xml:space="preserve">hat the majority of benefits </w:t>
      </w:r>
      <w:r>
        <w:rPr>
          <w:rFonts w:ascii="Times New Roman" w:hAnsi="Times New Roman" w:cs="Times New Roman" w:hint="eastAsia"/>
          <w:sz w:val="24"/>
          <w:szCs w:val="24"/>
        </w:rPr>
        <w:t xml:space="preserve">of </w:t>
      </w:r>
      <w:r w:rsidRPr="0085221A">
        <w:rPr>
          <w:rFonts w:ascii="Times New Roman" w:hAnsi="Times New Roman" w:cs="Times New Roman"/>
          <w:sz w:val="24"/>
          <w:szCs w:val="24"/>
        </w:rPr>
        <w:t>smoking cessation are gained from the reduced risk of developing smoking-related</w:t>
      </w:r>
      <w:r>
        <w:rPr>
          <w:rFonts w:ascii="Times New Roman" w:hAnsi="Times New Roman" w:cs="Times New Roman"/>
          <w:sz w:val="24"/>
          <w:szCs w:val="24"/>
        </w:rPr>
        <w:t xml:space="preserve"> diseases</w:t>
      </w:r>
      <w:r w:rsidRPr="0085221A">
        <w:rPr>
          <w:rFonts w:ascii="Times New Roman" w:hAnsi="Times New Roman" w:cs="Times New Roman"/>
          <w:sz w:val="24"/>
          <w:szCs w:val="24"/>
        </w:rPr>
        <w:t>, and the reduced healthcare costs and improved health-related quality of life it brings over a longer period.</w:t>
      </w:r>
      <w:r w:rsidR="00DA208C">
        <w:rPr>
          <w:rFonts w:ascii="Times New Roman" w:hAnsi="Times New Roman" w:cs="Times New Roman"/>
          <w:sz w:val="24"/>
          <w:szCs w:val="24"/>
        </w:rPr>
        <w:t xml:space="preserve">(31, </w:t>
      </w:r>
      <w:r>
        <w:rPr>
          <w:rFonts w:ascii="Times New Roman" w:hAnsi="Times New Roman" w:cs="Times New Roman"/>
          <w:sz w:val="24"/>
          <w:szCs w:val="24"/>
        </w:rPr>
        <w:t xml:space="preserve">32) </w:t>
      </w:r>
      <w:r w:rsidR="009B706A" w:rsidRPr="009B706A">
        <w:rPr>
          <w:rFonts w:ascii="Times New Roman" w:hAnsi="Times New Roman" w:cs="Times New Roman"/>
          <w:sz w:val="24"/>
          <w:szCs w:val="24"/>
        </w:rPr>
        <w:t>These benefits may not be evident until later in life, therefore, long-term cost-effectiveness of the two-component personalised intervention compared with control was estimated in addition to the short-term within-trail analysis. W</w:t>
      </w:r>
      <w:r w:rsidR="004E4673">
        <w:rPr>
          <w:rFonts w:ascii="Times New Roman" w:hAnsi="Times New Roman" w:cs="Times New Roman"/>
          <w:sz w:val="24"/>
          <w:szCs w:val="24"/>
        </w:rPr>
        <w:t>e estimated the lifetime health</w:t>
      </w:r>
      <w:r w:rsidR="009B706A" w:rsidRPr="009B706A">
        <w:rPr>
          <w:rFonts w:ascii="Times New Roman" w:hAnsi="Times New Roman" w:cs="Times New Roman"/>
          <w:sz w:val="24"/>
          <w:szCs w:val="24"/>
        </w:rPr>
        <w:t>care cost savings and QALYs associated with the two trial intervention</w:t>
      </w:r>
      <w:r w:rsidR="004E4673">
        <w:rPr>
          <w:rFonts w:ascii="Times New Roman" w:hAnsi="Times New Roman" w:cs="Times New Roman"/>
          <w:sz w:val="24"/>
          <w:szCs w:val="24"/>
        </w:rPr>
        <w:t>s using the results of two high-</w:t>
      </w:r>
      <w:r w:rsidR="00281512">
        <w:rPr>
          <w:rFonts w:ascii="Times New Roman" w:hAnsi="Times New Roman" w:cs="Times New Roman"/>
          <w:sz w:val="24"/>
          <w:szCs w:val="24"/>
        </w:rPr>
        <w:t>quality published studies.</w:t>
      </w:r>
      <w:r w:rsidR="00DA208C">
        <w:rPr>
          <w:rFonts w:ascii="Times New Roman" w:hAnsi="Times New Roman" w:cs="Times New Roman"/>
          <w:sz w:val="24"/>
          <w:szCs w:val="24"/>
        </w:rPr>
        <w:t xml:space="preserve">(33, </w:t>
      </w:r>
      <w:r w:rsidR="0026756D">
        <w:rPr>
          <w:rFonts w:ascii="Times New Roman" w:hAnsi="Times New Roman" w:cs="Times New Roman"/>
          <w:sz w:val="24"/>
          <w:szCs w:val="24"/>
        </w:rPr>
        <w:t>34</w:t>
      </w:r>
      <w:r w:rsidR="009B706A" w:rsidRPr="009B706A">
        <w:rPr>
          <w:rFonts w:ascii="Times New Roman" w:hAnsi="Times New Roman" w:cs="Times New Roman"/>
          <w:sz w:val="24"/>
          <w:szCs w:val="24"/>
        </w:rPr>
        <w:t xml:space="preserve">) </w:t>
      </w:r>
    </w:p>
    <w:p w:rsidR="00E667B9" w:rsidRPr="00065218" w:rsidRDefault="009B706A" w:rsidP="00362ABF">
      <w:pPr>
        <w:rPr>
          <w:rFonts w:ascii="Times New Roman" w:hAnsi="Times New Roman" w:cs="Times New Roman"/>
          <w:sz w:val="24"/>
          <w:szCs w:val="24"/>
        </w:rPr>
      </w:pPr>
      <w:r w:rsidRPr="009B706A">
        <w:rPr>
          <w:rFonts w:ascii="Times New Roman" w:hAnsi="Times New Roman" w:cs="Times New Roman"/>
          <w:sz w:val="24"/>
          <w:szCs w:val="24"/>
        </w:rPr>
        <w:t xml:space="preserve">The lifetime healthcare cost for smokers and quitters are derived from a Markov model built by </w:t>
      </w:r>
      <w:r w:rsidR="0026756D">
        <w:rPr>
          <w:rFonts w:ascii="Times New Roman" w:hAnsi="Times New Roman" w:cs="Times New Roman"/>
          <w:sz w:val="24"/>
          <w:szCs w:val="24"/>
        </w:rPr>
        <w:t>Ali and colleagues.(33</w:t>
      </w:r>
      <w:r w:rsidR="00281512">
        <w:rPr>
          <w:rFonts w:ascii="Times New Roman" w:hAnsi="Times New Roman" w:cs="Times New Roman"/>
          <w:sz w:val="24"/>
          <w:szCs w:val="24"/>
        </w:rPr>
        <w:t>)</w:t>
      </w:r>
      <w:r w:rsidR="007102FD">
        <w:rPr>
          <w:rFonts w:ascii="Times New Roman" w:hAnsi="Times New Roman" w:cs="Times New Roman"/>
          <w:sz w:val="24"/>
          <w:szCs w:val="24"/>
        </w:rPr>
        <w:t xml:space="preserve"> The</w:t>
      </w:r>
      <w:r w:rsidRPr="009B706A">
        <w:rPr>
          <w:rFonts w:ascii="Times New Roman" w:hAnsi="Times New Roman" w:cs="Times New Roman"/>
          <w:sz w:val="24"/>
          <w:szCs w:val="24"/>
        </w:rPr>
        <w:t xml:space="preserve"> model used a comprehensive modelling framework to represent the clinical pathways and their consequences associated with smoking and smoking cessation. </w:t>
      </w:r>
      <w:r w:rsidR="00E667B9">
        <w:rPr>
          <w:rFonts w:ascii="Times New Roman" w:hAnsi="Times New Roman" w:cs="Times New Roman"/>
          <w:sz w:val="24"/>
          <w:szCs w:val="24"/>
        </w:rPr>
        <w:t>C</w:t>
      </w:r>
      <w:r w:rsidR="004E4673">
        <w:rPr>
          <w:rFonts w:ascii="Times New Roman" w:hAnsi="Times New Roman" w:cs="Times New Roman"/>
          <w:sz w:val="24"/>
          <w:szCs w:val="24"/>
        </w:rPr>
        <w:t>osts of smoking are</w:t>
      </w:r>
      <w:r w:rsidR="00E667B9">
        <w:rPr>
          <w:rFonts w:ascii="Times New Roman" w:hAnsi="Times New Roman" w:cs="Times New Roman"/>
          <w:sz w:val="24"/>
          <w:szCs w:val="24"/>
        </w:rPr>
        <w:t xml:space="preserve"> defined by </w:t>
      </w:r>
      <w:r w:rsidR="00E667B9" w:rsidRPr="0026756D">
        <w:rPr>
          <w:rFonts w:ascii="Times New Roman" w:hAnsi="Times New Roman" w:cs="Times New Roman"/>
          <w:sz w:val="24"/>
          <w:szCs w:val="24"/>
        </w:rPr>
        <w:t>the World Health Organization as the difference between healthcare or other costs that actually occur due to smoking and the costs that would have occurred had there been no smoking.</w:t>
      </w:r>
      <w:r w:rsidR="0026756D">
        <w:rPr>
          <w:rFonts w:ascii="Times New Roman" w:hAnsi="Times New Roman" w:cs="Times New Roman"/>
          <w:sz w:val="24"/>
          <w:szCs w:val="24"/>
        </w:rPr>
        <w:t>(35)</w:t>
      </w:r>
      <w:r w:rsidR="007102FD" w:rsidRPr="0026756D">
        <w:rPr>
          <w:rFonts w:ascii="Times New Roman" w:hAnsi="Times New Roman" w:cs="Times New Roman"/>
          <w:sz w:val="24"/>
          <w:szCs w:val="24"/>
        </w:rPr>
        <w:t xml:space="preserve"> </w:t>
      </w:r>
      <w:r w:rsidR="007102FD">
        <w:rPr>
          <w:rFonts w:ascii="Times New Roman" w:hAnsi="Times New Roman" w:cs="Times New Roman"/>
          <w:sz w:val="24"/>
          <w:szCs w:val="24"/>
        </w:rPr>
        <w:t>This</w:t>
      </w:r>
      <w:r w:rsidRPr="009B706A">
        <w:rPr>
          <w:rFonts w:ascii="Times New Roman" w:hAnsi="Times New Roman" w:cs="Times New Roman"/>
          <w:sz w:val="24"/>
          <w:szCs w:val="24"/>
        </w:rPr>
        <w:t xml:space="preserve"> model </w:t>
      </w:r>
      <w:r w:rsidR="007102FD">
        <w:rPr>
          <w:rFonts w:ascii="Times New Roman" w:hAnsi="Times New Roman" w:cs="Times New Roman"/>
          <w:sz w:val="24"/>
          <w:szCs w:val="24"/>
        </w:rPr>
        <w:t xml:space="preserve">estimated healthcare cost savings due to </w:t>
      </w:r>
      <w:r w:rsidRPr="009B706A">
        <w:rPr>
          <w:rFonts w:ascii="Times New Roman" w:hAnsi="Times New Roman" w:cs="Times New Roman"/>
          <w:sz w:val="24"/>
          <w:szCs w:val="24"/>
        </w:rPr>
        <w:t xml:space="preserve">the changing risk of clinical conditions that are known have significant health and economic consequences for smokers and quitters such as lung cancer, COPD, myocardial infarction and stroke. In the absence of estimated lifetime QALY gains in this model, we combined and utilised another English study by Vogl and colleagues which reported age- and gender-specific EQ-5D values according to </w:t>
      </w:r>
      <w:r w:rsidR="00281512">
        <w:rPr>
          <w:rFonts w:ascii="Times New Roman" w:hAnsi="Times New Roman" w:cs="Times New Roman"/>
          <w:sz w:val="24"/>
          <w:szCs w:val="24"/>
        </w:rPr>
        <w:t>smoking status.</w:t>
      </w:r>
      <w:r w:rsidR="0026756D">
        <w:rPr>
          <w:rFonts w:ascii="Times New Roman" w:hAnsi="Times New Roman" w:cs="Times New Roman"/>
          <w:sz w:val="24"/>
          <w:szCs w:val="24"/>
        </w:rPr>
        <w:t>(34</w:t>
      </w:r>
      <w:r w:rsidRPr="009B706A">
        <w:rPr>
          <w:rFonts w:ascii="Times New Roman" w:hAnsi="Times New Roman" w:cs="Times New Roman"/>
          <w:sz w:val="24"/>
          <w:szCs w:val="24"/>
        </w:rPr>
        <w:t xml:space="preserve">) </w:t>
      </w:r>
      <w:r w:rsidRPr="00065218">
        <w:rPr>
          <w:rFonts w:ascii="Times New Roman" w:hAnsi="Times New Roman" w:cs="Times New Roman"/>
          <w:sz w:val="24"/>
          <w:szCs w:val="24"/>
        </w:rPr>
        <w:t>Relevant lifetime cost savings and QALY gains were attached to the participants by age, gender and smoking status to estimate lifetime outcomes associated with the two interventions. Future costs and health outcomes were discounted at 3.5 % per annum.(1</w:t>
      </w:r>
      <w:r w:rsidR="00872E07">
        <w:rPr>
          <w:rFonts w:ascii="Times New Roman" w:hAnsi="Times New Roman" w:cs="Times New Roman"/>
          <w:sz w:val="24"/>
          <w:szCs w:val="24"/>
        </w:rPr>
        <w:t>4</w:t>
      </w:r>
      <w:r w:rsidRPr="00065218">
        <w:rPr>
          <w:rFonts w:ascii="Times New Roman" w:hAnsi="Times New Roman" w:cs="Times New Roman"/>
          <w:sz w:val="24"/>
          <w:szCs w:val="24"/>
        </w:rPr>
        <w:t xml:space="preserve">) </w:t>
      </w:r>
      <w:r w:rsidR="00912E04" w:rsidRPr="00912E04">
        <w:rPr>
          <w:rFonts w:ascii="Times New Roman" w:hAnsi="Times New Roman" w:cs="Times New Roman"/>
          <w:sz w:val="24"/>
          <w:szCs w:val="24"/>
        </w:rPr>
        <w:t>The same non-parametric bootstrap method was used to derive long-term CEACs to express the probability that the intervention is cost-effective as a function of the willingness-to-pay thresholds over a lifetime horizon.</w:t>
      </w:r>
      <w:r w:rsidR="007102FD">
        <w:rPr>
          <w:rFonts w:ascii="Times New Roman" w:hAnsi="Times New Roman" w:cs="Times New Roman"/>
          <w:sz w:val="24"/>
          <w:szCs w:val="24"/>
        </w:rPr>
        <w:t xml:space="preserve"> </w:t>
      </w:r>
      <w:r w:rsidR="00C232EA">
        <w:rPr>
          <w:rFonts w:ascii="Times New Roman" w:hAnsi="Times New Roman" w:cs="Times New Roman"/>
          <w:sz w:val="24"/>
          <w:szCs w:val="24"/>
        </w:rPr>
        <w:t xml:space="preserve"> </w:t>
      </w:r>
    </w:p>
    <w:p w:rsidR="00753673" w:rsidRPr="00065218" w:rsidRDefault="00753673" w:rsidP="00753673">
      <w:pPr>
        <w:pStyle w:val="Heading2"/>
        <w:spacing w:line="240" w:lineRule="auto"/>
        <w:jc w:val="both"/>
        <w:rPr>
          <w:rFonts w:ascii="Times New Roman" w:hAnsi="Times New Roman" w:cs="Times New Roman"/>
          <w:color w:val="auto"/>
          <w:sz w:val="24"/>
          <w:szCs w:val="24"/>
        </w:rPr>
      </w:pPr>
      <w:r w:rsidRPr="00065218">
        <w:rPr>
          <w:rFonts w:ascii="Times New Roman" w:hAnsi="Times New Roman" w:cs="Times New Roman"/>
          <w:color w:val="auto"/>
          <w:sz w:val="24"/>
          <w:szCs w:val="24"/>
        </w:rPr>
        <w:t>Sensitivity analysis</w:t>
      </w:r>
      <w:bookmarkEnd w:id="18"/>
    </w:p>
    <w:p w:rsidR="00753673"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In order to explore the potential impact of missing data on the estimated intervention effects and costs, a sensitivity analysis was undertaken to repeat the cost-effectiveness analysis using complete cases, whereby the results were analysed only for those participants who had both complete cost and outcome data.</w:t>
      </w:r>
    </w:p>
    <w:p w:rsidR="00B52419" w:rsidRPr="00B52419" w:rsidRDefault="00B52419" w:rsidP="00B52419">
      <w:pPr>
        <w:pStyle w:val="Heading2"/>
        <w:spacing w:line="240" w:lineRule="auto"/>
        <w:jc w:val="both"/>
        <w:rPr>
          <w:rFonts w:ascii="Times New Roman" w:hAnsi="Times New Roman" w:cs="Times New Roman"/>
          <w:color w:val="auto"/>
          <w:sz w:val="24"/>
          <w:szCs w:val="24"/>
        </w:rPr>
      </w:pPr>
      <w:r w:rsidRPr="00B52419">
        <w:rPr>
          <w:rFonts w:ascii="Times New Roman" w:hAnsi="Times New Roman" w:cs="Times New Roman"/>
          <w:color w:val="auto"/>
          <w:sz w:val="24"/>
          <w:szCs w:val="24"/>
        </w:rPr>
        <w:t>Patient involvement</w:t>
      </w:r>
    </w:p>
    <w:p w:rsidR="00B52419" w:rsidRPr="00B52419" w:rsidRDefault="00B52419" w:rsidP="00B52419">
      <w:pPr>
        <w:rPr>
          <w:rFonts w:ascii="Times New Roman" w:hAnsi="Times New Roman" w:cs="Times New Roman"/>
          <w:sz w:val="24"/>
          <w:szCs w:val="24"/>
        </w:rPr>
      </w:pPr>
      <w:r w:rsidRPr="00B52419">
        <w:rPr>
          <w:rFonts w:ascii="Times New Roman" w:hAnsi="Times New Roman" w:cs="Times New Roman"/>
          <w:sz w:val="24"/>
          <w:szCs w:val="24"/>
        </w:rPr>
        <w:t>The interests of all parties and the views of the public have been fully represented in the conduct of this study from the design stage onwards. A past successful user of the Camden SSS was invited onto the Trial Management Group as a patient representative and has been fully involved at all Trial Management Group (TMG) meetings. She contributed to the design of both parts of the intervention, to the conduct of the trial and collection of data, and was particularly helpful with suggestions of how to maximise r</w:t>
      </w:r>
      <w:r w:rsidR="00935EF8">
        <w:rPr>
          <w:rFonts w:ascii="Times New Roman" w:hAnsi="Times New Roman" w:cs="Times New Roman"/>
          <w:sz w:val="24"/>
          <w:szCs w:val="24"/>
        </w:rPr>
        <w:t xml:space="preserve">esponse rate to the follow-up. </w:t>
      </w:r>
      <w:r w:rsidRPr="00B52419">
        <w:rPr>
          <w:rFonts w:ascii="Times New Roman" w:hAnsi="Times New Roman" w:cs="Times New Roman"/>
          <w:sz w:val="24"/>
          <w:szCs w:val="24"/>
        </w:rPr>
        <w:t>This patient representative also added greatly to the discussion of the results and of the practical implications of this method of recruitment to the SSS.</w:t>
      </w:r>
    </w:p>
    <w:p w:rsidR="00B52419" w:rsidRPr="00065218" w:rsidRDefault="00B52419" w:rsidP="00B52419">
      <w:pPr>
        <w:rPr>
          <w:rFonts w:ascii="Times New Roman" w:hAnsi="Times New Roman" w:cs="Times New Roman"/>
          <w:sz w:val="24"/>
          <w:szCs w:val="24"/>
        </w:rPr>
      </w:pPr>
      <w:r w:rsidRPr="00B52419">
        <w:rPr>
          <w:rFonts w:ascii="Times New Roman" w:hAnsi="Times New Roman" w:cs="Times New Roman"/>
          <w:sz w:val="24"/>
          <w:szCs w:val="24"/>
        </w:rPr>
        <w:t xml:space="preserve">In addition, another past user of the Camden SSS also contributed to the development of </w:t>
      </w:r>
      <w:r w:rsidR="00935EF8">
        <w:rPr>
          <w:rFonts w:ascii="Times New Roman" w:hAnsi="Times New Roman" w:cs="Times New Roman"/>
          <w:sz w:val="24"/>
          <w:szCs w:val="24"/>
        </w:rPr>
        <w:t>both parts of the intervention.</w:t>
      </w:r>
      <w:r w:rsidRPr="00B52419">
        <w:rPr>
          <w:rFonts w:ascii="Times New Roman" w:hAnsi="Times New Roman" w:cs="Times New Roman"/>
          <w:sz w:val="24"/>
          <w:szCs w:val="24"/>
        </w:rPr>
        <w:t xml:space="preserve"> Both service users were consulted on the content of the brief personal letter at all stages of development, and on the protocol for the taster sessions.  Both users also narrated their own experiences of quitting and these were used to create the video which formed a part of the taster session. A lay report of the results has been prepared for dissemination </w:t>
      </w:r>
      <w:r w:rsidR="009311C7">
        <w:rPr>
          <w:rFonts w:ascii="Times New Roman" w:hAnsi="Times New Roman" w:cs="Times New Roman"/>
          <w:sz w:val="24"/>
          <w:szCs w:val="24"/>
        </w:rPr>
        <w:t xml:space="preserve">to </w:t>
      </w:r>
      <w:r w:rsidRPr="00B52419">
        <w:rPr>
          <w:rFonts w:ascii="Times New Roman" w:hAnsi="Times New Roman" w:cs="Times New Roman"/>
          <w:sz w:val="24"/>
          <w:szCs w:val="24"/>
        </w:rPr>
        <w:t>all participating SSSs and general practices, who will also distribute the report to all interested study participants.</w:t>
      </w:r>
    </w:p>
    <w:p w:rsidR="00753673" w:rsidRPr="00065218" w:rsidRDefault="00753673" w:rsidP="00753673">
      <w:pPr>
        <w:pStyle w:val="Heading1"/>
        <w:spacing w:line="240" w:lineRule="auto"/>
        <w:jc w:val="both"/>
        <w:rPr>
          <w:rFonts w:ascii="Times New Roman" w:hAnsi="Times New Roman" w:cs="Times New Roman"/>
          <w:color w:val="auto"/>
          <w:szCs w:val="24"/>
          <w:lang w:eastAsia="en-US"/>
        </w:rPr>
      </w:pPr>
      <w:r w:rsidRPr="00065218">
        <w:rPr>
          <w:rFonts w:ascii="Times New Roman" w:hAnsi="Times New Roman" w:cs="Times New Roman"/>
          <w:color w:val="auto"/>
          <w:szCs w:val="24"/>
          <w:lang w:eastAsia="en-US"/>
        </w:rPr>
        <w:t>Results</w:t>
      </w:r>
    </w:p>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In the cost-effectiveness analysis 4,383 participants were analysed. The sample was 51% male, and the mean age was 49 years</w:t>
      </w:r>
      <w:bookmarkStart w:id="19" w:name="OLE_LINK43"/>
      <w:bookmarkStart w:id="20" w:name="OLE_LINK44"/>
      <w:r w:rsidRPr="00065218">
        <w:rPr>
          <w:rFonts w:ascii="Times New Roman" w:hAnsi="Times New Roman" w:cs="Times New Roman"/>
          <w:sz w:val="24"/>
          <w:szCs w:val="24"/>
        </w:rPr>
        <w:t>. Full details of the trial participants and clinical outcomes are given in the accompanying paper.(1</w:t>
      </w:r>
      <w:r w:rsidR="00872E07">
        <w:rPr>
          <w:rFonts w:ascii="Times New Roman" w:hAnsi="Times New Roman" w:cs="Times New Roman"/>
          <w:sz w:val="24"/>
          <w:szCs w:val="24"/>
        </w:rPr>
        <w:t>2</w:t>
      </w:r>
      <w:r w:rsidRPr="00065218">
        <w:rPr>
          <w:rFonts w:ascii="Times New Roman" w:hAnsi="Times New Roman" w:cs="Times New Roman"/>
          <w:sz w:val="24"/>
          <w:szCs w:val="24"/>
        </w:rPr>
        <w:t>)</w:t>
      </w:r>
    </w:p>
    <w:bookmarkEnd w:id="19"/>
    <w:bookmarkEnd w:id="20"/>
    <w:p w:rsidR="00753673" w:rsidRPr="00065218" w:rsidRDefault="00753673" w:rsidP="00753673">
      <w:pPr>
        <w:pStyle w:val="Heading2"/>
        <w:spacing w:line="240" w:lineRule="auto"/>
        <w:jc w:val="both"/>
        <w:rPr>
          <w:rFonts w:ascii="Times New Roman" w:hAnsi="Times New Roman" w:cs="Times New Roman"/>
          <w:noProof/>
          <w:color w:val="auto"/>
          <w:sz w:val="24"/>
          <w:szCs w:val="24"/>
        </w:rPr>
      </w:pPr>
      <w:r w:rsidRPr="00065218">
        <w:rPr>
          <w:rFonts w:ascii="Times New Roman" w:hAnsi="Times New Roman" w:cs="Times New Roman"/>
          <w:noProof/>
          <w:color w:val="auto"/>
          <w:sz w:val="24"/>
          <w:szCs w:val="24"/>
        </w:rPr>
        <w:t>Resource use and costs</w:t>
      </w:r>
    </w:p>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Table 2 summarises the mean (and standard deviation) cost for the interventions and the subsequent use of health services over the six-month follow-up period. The costs of delivering the trial intervention and the costs associated with the smoking cessation aids were significantly higher in the intervention group. Participants’ total cost relies heavily on their wider health resource use, but there were no significant differences in the use of resources during the six-month follow-up. After adjusting for baseline resource use, overall, the tailored letter and taster sessions cost a mean of £92 more per participant than the generic letter, with 95% confidence intervals crossing zero (-£32 to £216).</w:t>
      </w:r>
    </w:p>
    <w:p w:rsidR="00753673" w:rsidRPr="00065218" w:rsidRDefault="00753673" w:rsidP="00753673">
      <w:pPr>
        <w:pStyle w:val="Heading2"/>
        <w:spacing w:line="240" w:lineRule="auto"/>
        <w:rPr>
          <w:rFonts w:ascii="Times New Roman" w:hAnsi="Times New Roman" w:cs="Times New Roman"/>
          <w:color w:val="auto"/>
          <w:sz w:val="24"/>
          <w:szCs w:val="24"/>
        </w:rPr>
      </w:pPr>
      <w:r w:rsidRPr="00065218">
        <w:rPr>
          <w:rFonts w:ascii="Times New Roman" w:hAnsi="Times New Roman" w:cs="Times New Roman"/>
          <w:color w:val="auto"/>
          <w:sz w:val="24"/>
          <w:szCs w:val="24"/>
        </w:rPr>
        <w:t>Outcome measures</w:t>
      </w:r>
    </w:p>
    <w:p w:rsidR="00753673" w:rsidRPr="00065218" w:rsidRDefault="00753673" w:rsidP="00753673">
      <w:pPr>
        <w:rPr>
          <w:rFonts w:ascii="Times New Roman" w:hAnsi="Times New Roman" w:cs="Times New Roman"/>
          <w:sz w:val="24"/>
          <w:szCs w:val="24"/>
        </w:rPr>
      </w:pPr>
      <w:r w:rsidRPr="00065218">
        <w:rPr>
          <w:rFonts w:ascii="Times New Roman" w:hAnsi="Times New Roman" w:cs="Times New Roman"/>
          <w:sz w:val="24"/>
          <w:szCs w:val="24"/>
        </w:rPr>
        <w:t>The primary health economic outcome was quality-adjusted life-years (QALYs) over six months. QALYs for the intervention and control were estimated to be 0.382 (S.D. 0.046) and 0.380 (S.D. 0.046), respectively, after adjusting for the baseline utility scores (Table 3). However, the difference in QALYs between the two trial groups was not significant. Results of the secondary outcome measures are also given in Table 3. In this study, we applied a range of criteria to assess the throughput and success rates of the interventions, and the main outcome for quitting was the 7-day point prevalent abstinence as validated by salivary cotinine at the six-month follow-up. Both the proportion of people attending the SSS and the quit rates were significantly higher in the intervention group than in the control group.</w:t>
      </w:r>
    </w:p>
    <w:p w:rsidR="007D435A" w:rsidRPr="00065218" w:rsidRDefault="007D435A" w:rsidP="007D435A">
      <w:pPr>
        <w:pStyle w:val="Heading2"/>
        <w:spacing w:line="240" w:lineRule="auto"/>
        <w:jc w:val="both"/>
        <w:rPr>
          <w:rFonts w:ascii="Times New Roman" w:hAnsi="Times New Roman" w:cs="Times New Roman"/>
          <w:color w:val="auto"/>
          <w:sz w:val="24"/>
          <w:szCs w:val="24"/>
        </w:rPr>
      </w:pPr>
      <w:r w:rsidRPr="00065218">
        <w:rPr>
          <w:rFonts w:ascii="Times New Roman" w:hAnsi="Times New Roman" w:cs="Times New Roman"/>
          <w:color w:val="auto"/>
          <w:sz w:val="24"/>
          <w:szCs w:val="24"/>
        </w:rPr>
        <w:t>Cost-effectiveness analysis</w:t>
      </w:r>
    </w:p>
    <w:p w:rsidR="007D435A" w:rsidRPr="00065218"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ICERs were used to combine the costs and health benefits in a single measure to assess the incremental cost-effectiveness of the trial intervention (Table 3). The adjusted mean costs were £92 higher and the adjusted mean QALYs were 0.002 higher in the intervention group compared with the control group. This generates an ICER of £59,401 (95% CI: -£604,833 to £644,486) per QALY gained. Figure 1 shows the cost-effectiveness plane (CEP) representing 5,000 bootstrapped resamples of the difference in costs and difference in QALYs when comparing the intervention group with the control group. The cost-effectiveness acceptability curve (CEAC) (Figure 2) illustrates that the probability that the tailored letter and taster session is more cost-effective than the generic letter at six-month is well below 50%, over a NICE decision-making threshold range of £20,000-£30,000 per QALY gained. Only at higher willingness-to-pay thresholds (&gt;£59,401 per QALY) does the intervention become more likely to be cost-effective compared with the control.</w:t>
      </w:r>
    </w:p>
    <w:p w:rsidR="00753673" w:rsidRPr="00065218"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Table 3 also shows the total costs in relation to the other outcome measures. 458 (17.4%) smokers in the treatment group and 158 (9.0%) smokers in the control group attended the SSS. The average costs incurred in the intervention group and control group were £54 and £0.9, respectively, resulting in an ICER of £627 per additional attendee to the SSS. The cost per additional quitter ranged from £1,699 to £4,053 according to the criteria for abstinence. For the main quit rate (biochemical validation of 7-day abstinence), the corresponding ICER was £2,689 (95% CI: -£952 to £6,329) per additional quitter. This indicates that if decision-makers are willing to pay more than £627 to help one more smoker to attend the SSS, or £2,689 to generate an additional quitter, the tailored letter and taster session would be the preferred option, otherwise, usual care should be adopted.</w:t>
      </w:r>
    </w:p>
    <w:p w:rsidR="007D435A" w:rsidRPr="00065218" w:rsidRDefault="007D435A" w:rsidP="007D435A">
      <w:pPr>
        <w:pStyle w:val="Heading2"/>
        <w:spacing w:line="240" w:lineRule="auto"/>
        <w:jc w:val="both"/>
        <w:rPr>
          <w:rFonts w:ascii="Times New Roman" w:hAnsi="Times New Roman" w:cs="Times New Roman"/>
          <w:color w:val="auto"/>
          <w:sz w:val="24"/>
          <w:szCs w:val="24"/>
        </w:rPr>
      </w:pPr>
      <w:r w:rsidRPr="00065218">
        <w:rPr>
          <w:rFonts w:ascii="Times New Roman" w:hAnsi="Times New Roman" w:cs="Times New Roman"/>
          <w:color w:val="auto"/>
          <w:sz w:val="24"/>
          <w:szCs w:val="24"/>
        </w:rPr>
        <w:t>Long-term costs and outcomes predictions</w:t>
      </w:r>
    </w:p>
    <w:p w:rsidR="007D435A" w:rsidRPr="00065218"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The cost-effectiveness analysis was extrapolated to the lifetime time horizon using QALYs as the outcome measure. The lifetime accumulative QALY gains by smoking status, gender and age group, both before and after discounting, are summarised in Table 4. The lifetime horizon was defined as the participant’s remaining lifetime between the age they entered the trial until the time they reach the national average life expectancy at birth (81 years in 2013 in the UK).(3</w:t>
      </w:r>
      <w:r w:rsidR="00872E07">
        <w:rPr>
          <w:rFonts w:ascii="Times New Roman" w:hAnsi="Times New Roman" w:cs="Times New Roman"/>
          <w:sz w:val="24"/>
          <w:szCs w:val="24"/>
        </w:rPr>
        <w:t>8</w:t>
      </w:r>
      <w:r w:rsidRPr="00065218">
        <w:rPr>
          <w:rFonts w:ascii="Times New Roman" w:hAnsi="Times New Roman" w:cs="Times New Roman"/>
          <w:sz w:val="24"/>
          <w:szCs w:val="24"/>
        </w:rPr>
        <w:t>) Overall lifetime health costs due to smoking-related diseases for both smokers and ex-smokers were derived from the published economic model and are listed in Table 5.(</w:t>
      </w:r>
      <w:r w:rsidR="00FF11BD">
        <w:rPr>
          <w:rFonts w:ascii="Times New Roman" w:hAnsi="Times New Roman" w:cs="Times New Roman"/>
          <w:sz w:val="24"/>
          <w:szCs w:val="24"/>
        </w:rPr>
        <w:t>33</w:t>
      </w:r>
      <w:r w:rsidRPr="00065218">
        <w:rPr>
          <w:rFonts w:ascii="Times New Roman" w:hAnsi="Times New Roman" w:cs="Times New Roman"/>
          <w:sz w:val="24"/>
          <w:szCs w:val="24"/>
        </w:rPr>
        <w:t xml:space="preserve">) Participants in the intervention group were expected to have health care cost savings of £210 (before discounting) and £74 (after discounting) over their lifetime compared to those in the control. At the same time, they have higher lifetime QALY gains of 0.470 (before discounting) and 0.196 (after discounting) than people in the control group. The negative ICERs suggest that over the participants’ lifetime, tailored letters and taster sessions generate more QALY gains at a lower cost, indicating that the intervention is more cost-effective than the control condition. Figure 3 presents CEACs for long-term cost-effectiveness. Using the NICE decision-making threshold range of £20,000-£30,000 per QALY gained, the probability that the intervention was more cost-effective was 83% before discounting and 86% after discounting in the </w:t>
      </w:r>
      <w:r w:rsidR="00C73B6E">
        <w:rPr>
          <w:rFonts w:ascii="Times New Roman" w:hAnsi="Times New Roman" w:cs="Times New Roman"/>
          <w:sz w:val="24"/>
          <w:szCs w:val="24"/>
        </w:rPr>
        <w:t>long-term</w:t>
      </w:r>
      <w:r w:rsidRPr="00065218">
        <w:rPr>
          <w:rFonts w:ascii="Times New Roman" w:hAnsi="Times New Roman" w:cs="Times New Roman"/>
          <w:sz w:val="24"/>
          <w:szCs w:val="24"/>
        </w:rPr>
        <w:t>, which suggest that the intervention is a good use of NHS resources.</w:t>
      </w:r>
    </w:p>
    <w:p w:rsidR="007D435A" w:rsidRPr="00065218" w:rsidRDefault="007D435A" w:rsidP="007D435A">
      <w:pPr>
        <w:pStyle w:val="Heading2"/>
        <w:spacing w:line="240" w:lineRule="auto"/>
        <w:jc w:val="both"/>
        <w:rPr>
          <w:rFonts w:ascii="Times New Roman" w:hAnsi="Times New Roman" w:cs="Times New Roman"/>
          <w:color w:val="auto"/>
          <w:sz w:val="24"/>
          <w:szCs w:val="24"/>
          <w:lang w:eastAsia="en-US"/>
        </w:rPr>
      </w:pPr>
      <w:r w:rsidRPr="00065218">
        <w:rPr>
          <w:rFonts w:ascii="Times New Roman" w:hAnsi="Times New Roman" w:cs="Times New Roman"/>
          <w:color w:val="auto"/>
          <w:sz w:val="24"/>
          <w:szCs w:val="24"/>
          <w:lang w:eastAsia="en-US"/>
        </w:rPr>
        <w:t>Sensitivity analysis</w:t>
      </w:r>
    </w:p>
    <w:p w:rsidR="007D435A" w:rsidRPr="00065218"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 xml:space="preserve">Sensitivity analysis was carried out to investigate the robustness of the results. Complete cost and cost-effectiveness data were available for 1,667 (63%) </w:t>
      </w:r>
      <w:r w:rsidR="008B1612">
        <w:rPr>
          <w:rFonts w:ascii="Times New Roman" w:hAnsi="Times New Roman" w:cs="Times New Roman"/>
          <w:sz w:val="24"/>
          <w:szCs w:val="24"/>
        </w:rPr>
        <w:t xml:space="preserve">of </w:t>
      </w:r>
      <w:r w:rsidRPr="00065218">
        <w:rPr>
          <w:rFonts w:ascii="Times New Roman" w:hAnsi="Times New Roman" w:cs="Times New Roman"/>
          <w:sz w:val="24"/>
          <w:szCs w:val="24"/>
        </w:rPr>
        <w:t xml:space="preserve">participants in the intervention group and 1,108 (63%) </w:t>
      </w:r>
      <w:r w:rsidR="008B1612">
        <w:rPr>
          <w:rFonts w:ascii="Times New Roman" w:hAnsi="Times New Roman" w:cs="Times New Roman"/>
          <w:sz w:val="24"/>
          <w:szCs w:val="24"/>
        </w:rPr>
        <w:t xml:space="preserve">of </w:t>
      </w:r>
      <w:r w:rsidRPr="00065218">
        <w:rPr>
          <w:rFonts w:ascii="Times New Roman" w:hAnsi="Times New Roman" w:cs="Times New Roman"/>
          <w:sz w:val="24"/>
          <w:szCs w:val="24"/>
        </w:rPr>
        <w:t>participants in the control group. The results of the complete case analysis were very similar to those from the primary analysis, and results from both analyses are summarised in Table 6. For both trial groups, the average costs and the gains in cost-effectiveness were slightly higher in the complete cases, and the ICERs decreased slightly. Figure 4 shows the CEAC with QALY as the outcome measure from the complete case analysis. The probability of the intervention being more cost-effective compared to the control group increased slightly but the overall conclusion stays the same. The complete case results appeared to be robust compared with the analyses including imputed data.</w:t>
      </w:r>
    </w:p>
    <w:p w:rsidR="007D435A" w:rsidRPr="00065218" w:rsidRDefault="007D435A" w:rsidP="007D435A">
      <w:pPr>
        <w:pStyle w:val="Heading1"/>
        <w:spacing w:line="240" w:lineRule="auto"/>
        <w:jc w:val="both"/>
        <w:rPr>
          <w:rFonts w:ascii="Times New Roman" w:hAnsi="Times New Roman" w:cs="Times New Roman"/>
          <w:color w:val="auto"/>
          <w:szCs w:val="24"/>
          <w:lang w:eastAsia="en-US"/>
        </w:rPr>
      </w:pPr>
      <w:r w:rsidRPr="00065218">
        <w:rPr>
          <w:rFonts w:ascii="Times New Roman" w:hAnsi="Times New Roman" w:cs="Times New Roman"/>
          <w:color w:val="auto"/>
          <w:szCs w:val="24"/>
          <w:lang w:eastAsia="en-US"/>
        </w:rPr>
        <w:t>Discussion</w:t>
      </w:r>
    </w:p>
    <w:p w:rsidR="007D435A" w:rsidRPr="00065218"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Although smoking prevalence in UK has remained unchanged in recent years, the use of NHS Stop Smoking Services has continued to decline sharply.(8) The Start2quit trial is a timely study to explore new interventions to increase the take-up of the SSS, and ultimately to increase the number of successful quit attempts. There are similar studies in the literature investigating the effectiveness of interventions to increase the attendance at the SSS,(</w:t>
      </w:r>
      <w:r w:rsidR="00921FBF">
        <w:rPr>
          <w:rFonts w:ascii="Times New Roman" w:hAnsi="Times New Roman" w:cs="Times New Roman"/>
          <w:sz w:val="24"/>
          <w:szCs w:val="24"/>
        </w:rPr>
        <w:t>39,40</w:t>
      </w:r>
      <w:r w:rsidRPr="00065218">
        <w:rPr>
          <w:rFonts w:ascii="Times New Roman" w:hAnsi="Times New Roman" w:cs="Times New Roman"/>
          <w:sz w:val="24"/>
          <w:szCs w:val="24"/>
        </w:rPr>
        <w:t>,) but this is the first study that has estimated the cost-effectiveness of the intervention to inform smokers about the services.</w:t>
      </w:r>
    </w:p>
    <w:p w:rsidR="007D435A" w:rsidRPr="00065218"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 xml:space="preserve">Our main finding was that, compared with the generic letter, the tailored letter plus the taster session is likely to be more effective, but more costly. The within-trial cost-effectiveness analysis shows that in the </w:t>
      </w:r>
      <w:r w:rsidR="00C73B6E">
        <w:rPr>
          <w:rFonts w:ascii="Times New Roman" w:hAnsi="Times New Roman" w:cs="Times New Roman"/>
          <w:sz w:val="24"/>
          <w:szCs w:val="24"/>
        </w:rPr>
        <w:t>short-term</w:t>
      </w:r>
      <w:r w:rsidRPr="00065218">
        <w:rPr>
          <w:rFonts w:ascii="Times New Roman" w:hAnsi="Times New Roman" w:cs="Times New Roman"/>
          <w:sz w:val="24"/>
          <w:szCs w:val="24"/>
        </w:rPr>
        <w:t xml:space="preserve">, i.e. six months, the intervention is less likely to be cost-effective compared with the control. However, in common with many preventive interventions, the majority of benefits from stopping smoking are gained from the reduced risks of developing smoking-related diseases, such as lung cancer and COPD, later in life.(3, </w:t>
      </w:r>
      <w:r w:rsidR="00921FBF">
        <w:rPr>
          <w:rFonts w:ascii="Times New Roman" w:hAnsi="Times New Roman" w:cs="Times New Roman"/>
          <w:sz w:val="24"/>
          <w:szCs w:val="24"/>
        </w:rPr>
        <w:t>41</w:t>
      </w:r>
      <w:r w:rsidRPr="00065218">
        <w:rPr>
          <w:rFonts w:ascii="Times New Roman" w:hAnsi="Times New Roman" w:cs="Times New Roman"/>
          <w:sz w:val="24"/>
          <w:szCs w:val="24"/>
        </w:rPr>
        <w:t>) The six-month follow-up of the trial is therefore insufficient to capture the longer term health benefits of the intervention.(</w:t>
      </w:r>
      <w:r w:rsidR="00921FBF">
        <w:rPr>
          <w:rFonts w:ascii="Times New Roman" w:hAnsi="Times New Roman" w:cs="Times New Roman"/>
          <w:sz w:val="24"/>
          <w:szCs w:val="24"/>
        </w:rPr>
        <w:t>18,25,42</w:t>
      </w:r>
      <w:r w:rsidRPr="00065218">
        <w:rPr>
          <w:rFonts w:ascii="Times New Roman" w:hAnsi="Times New Roman" w:cs="Times New Roman"/>
          <w:sz w:val="24"/>
          <w:szCs w:val="24"/>
        </w:rPr>
        <w:t>) The long-term cost-effectiveness analysis, which considered the lifetime cost savings and QALY gains from the two interventions, suggests that the tailored letter and taster sessions had a greater than 83% chance of being more cost-effective compared with the standard generic letter at willingness-to-pay thresholds ranging between £20,000 and £30,000 per QALY gained.</w:t>
      </w:r>
    </w:p>
    <w:p w:rsidR="007D435A" w:rsidRPr="00065218"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The direct intervention costs were, as expected, higher in the tailored letter and taster session group than in the generic letter group (£54 vs £0.9) due to the complex design of the intervention. In the intervention group, 60% of the total £54 cost was spent on sending baseline questionnaires to gather information for generating the tailored letter; whilst for the control group, the baseline questionnaires were used only for research purposes and this cost was considered as a research cost, and hence excluded from the analysis. A potential way to reduce the intervention cost is to use cheaper alternatives, such as emails, to reach smokers to obtain any information needed for the tailored letter. However, the response rates may be lower from emails compared with traditional postal questionnaires and further studies are recommended.(</w:t>
      </w:r>
      <w:r w:rsidR="00921FBF">
        <w:rPr>
          <w:rFonts w:ascii="Times New Roman" w:hAnsi="Times New Roman" w:cs="Times New Roman"/>
          <w:sz w:val="24"/>
          <w:szCs w:val="24"/>
        </w:rPr>
        <w:t>43</w:t>
      </w:r>
      <w:r w:rsidRPr="00065218">
        <w:rPr>
          <w:rFonts w:ascii="Times New Roman" w:hAnsi="Times New Roman" w:cs="Times New Roman"/>
          <w:sz w:val="24"/>
          <w:szCs w:val="24"/>
        </w:rPr>
        <w:t>)</w:t>
      </w:r>
    </w:p>
    <w:p w:rsidR="007D435A" w:rsidRPr="00065218"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During the trial period, smokers in the intervention group were more likely to use smoking cessation aids, both from the SSS and from other sources. The mean cost of SSS attendance was more than twice in the intervention group than in the control group (£11 vs £5), which indicates that the intervention greatly increased the usage of the SSS. The use of other pharmacologic and non-pharmacologic cessation aids, such as GP, nurse, pharmacist visits and smoking helplines, were also significantly higher in the intervention group, but other wider health care resource uses not directly linked to smoking cessation were not significantly different between the two groups.</w:t>
      </w:r>
    </w:p>
    <w:p w:rsidR="007D435A" w:rsidRPr="00065218" w:rsidRDefault="007D435A" w:rsidP="007D435A">
      <w:pPr>
        <w:rPr>
          <w:rFonts w:ascii="Times New Roman" w:hAnsi="Times New Roman" w:cs="Times New Roman"/>
          <w:sz w:val="24"/>
          <w:szCs w:val="24"/>
        </w:rPr>
      </w:pPr>
      <w:r w:rsidRPr="00921FBF">
        <w:rPr>
          <w:rFonts w:ascii="Times New Roman" w:hAnsi="Times New Roman" w:cs="Times New Roman"/>
          <w:sz w:val="24"/>
          <w:szCs w:val="24"/>
        </w:rPr>
        <w:t>In the long-term cost-effectiveness analysis, we took into account only the direct health care costs for treating smoking-related disease, and other indirect costs of smoking, such as prod</w:t>
      </w:r>
      <w:r w:rsidRPr="0051624A">
        <w:rPr>
          <w:rFonts w:ascii="Times New Roman" w:hAnsi="Times New Roman" w:cs="Times New Roman"/>
          <w:sz w:val="24"/>
          <w:szCs w:val="24"/>
        </w:rPr>
        <w:t>uctivity losses due to smoking-related diseases and premature death, costs of accidental fires and second-hand smoking, were not included.(</w:t>
      </w:r>
      <w:r w:rsidR="00921FBF">
        <w:rPr>
          <w:rFonts w:ascii="Times New Roman" w:hAnsi="Times New Roman" w:cs="Times New Roman"/>
          <w:sz w:val="24"/>
          <w:szCs w:val="24"/>
        </w:rPr>
        <w:t>44</w:t>
      </w:r>
      <w:r w:rsidRPr="00921FBF">
        <w:rPr>
          <w:rFonts w:ascii="Times New Roman" w:hAnsi="Times New Roman" w:cs="Times New Roman"/>
          <w:sz w:val="24"/>
          <w:szCs w:val="24"/>
        </w:rPr>
        <w:t>) Therefore, the intervention could generate more cost savings and become more cost-effective if we take into accou</w:t>
      </w:r>
      <w:r w:rsidRPr="0051624A">
        <w:rPr>
          <w:rFonts w:ascii="Times New Roman" w:hAnsi="Times New Roman" w:cs="Times New Roman"/>
          <w:sz w:val="24"/>
          <w:szCs w:val="24"/>
        </w:rPr>
        <w:t>nt the indirect costs of smoking, given that the quit rate was significantly higher in the intervention group than in the control group.</w:t>
      </w:r>
    </w:p>
    <w:p w:rsidR="007D435A" w:rsidRPr="00065218" w:rsidRDefault="007D435A" w:rsidP="007D435A">
      <w:pPr>
        <w:pStyle w:val="Heading2"/>
        <w:jc w:val="both"/>
        <w:rPr>
          <w:rFonts w:ascii="Times New Roman" w:hAnsi="Times New Roman" w:cs="Times New Roman"/>
          <w:color w:val="auto"/>
          <w:sz w:val="24"/>
          <w:szCs w:val="24"/>
        </w:rPr>
      </w:pPr>
      <w:r w:rsidRPr="00065218">
        <w:rPr>
          <w:rFonts w:ascii="Times New Roman" w:hAnsi="Times New Roman" w:cs="Times New Roman"/>
          <w:color w:val="auto"/>
          <w:sz w:val="24"/>
          <w:szCs w:val="24"/>
        </w:rPr>
        <w:t>Strengths and limitations of the study</w:t>
      </w:r>
    </w:p>
    <w:p w:rsidR="007D435A" w:rsidRPr="00065218"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 xml:space="preserve">To the best of our knowledge, the present study is the first full economic evaluation alongside a large RCT to have assessed the cost-effectiveness of a two-component intervention designed to increase attendance at the SSS in the UK. A particular strength of the study is that we assessed the cost-effectiveness of the intervention both in the </w:t>
      </w:r>
      <w:r w:rsidR="00C73B6E">
        <w:rPr>
          <w:rFonts w:ascii="Times New Roman" w:hAnsi="Times New Roman" w:cs="Times New Roman"/>
          <w:sz w:val="24"/>
          <w:szCs w:val="24"/>
        </w:rPr>
        <w:t>short-term</w:t>
      </w:r>
      <w:r w:rsidRPr="00065218">
        <w:rPr>
          <w:rFonts w:ascii="Times New Roman" w:hAnsi="Times New Roman" w:cs="Times New Roman"/>
          <w:sz w:val="24"/>
          <w:szCs w:val="24"/>
        </w:rPr>
        <w:t xml:space="preserve"> and over a lifetime horizon. The primary analysis used a full imputed dataset, but we also carried out complete case analysis in a sensitivity analysis to test the robustness of the results. The conclusion remained robust after analysis of the statistical uncertainty.</w:t>
      </w:r>
    </w:p>
    <w:p w:rsidR="007D435A" w:rsidRPr="0051624A"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 xml:space="preserve">However, our study had several limitations. The primary outcome measure used in the study was QALYs measured by EQ-5D, which is a widely applied generic instrument for measuring the quality of life. However, it may not be able to capture all aspects of quality of life changes for smokers, especially in the </w:t>
      </w:r>
      <w:r w:rsidR="00C73B6E">
        <w:rPr>
          <w:rFonts w:ascii="Times New Roman" w:hAnsi="Times New Roman" w:cs="Times New Roman"/>
          <w:sz w:val="24"/>
          <w:szCs w:val="24"/>
        </w:rPr>
        <w:t>short-term</w:t>
      </w:r>
      <w:r w:rsidRPr="00065218">
        <w:rPr>
          <w:rFonts w:ascii="Times New Roman" w:hAnsi="Times New Roman" w:cs="Times New Roman"/>
          <w:sz w:val="24"/>
          <w:szCs w:val="24"/>
        </w:rPr>
        <w:t xml:space="preserve">. The adjusted QALY difference between the two groups was very small within the trial period (0.002 QALYs (95% CI: -0.001–0.004)), which resulted in very high ICERs at the six-month point (£59,401 per additional QALY gained (95% CI: -£604,833 to £644,486)). The high ICERs subsequently led to the conclusion that the intervention is not </w:t>
      </w:r>
      <w:r w:rsidRPr="0051624A">
        <w:rPr>
          <w:rFonts w:ascii="Times New Roman" w:hAnsi="Times New Roman" w:cs="Times New Roman"/>
          <w:sz w:val="24"/>
          <w:szCs w:val="24"/>
        </w:rPr>
        <w:t xml:space="preserve">cost-effective in the </w:t>
      </w:r>
      <w:r w:rsidR="00C73B6E" w:rsidRPr="0051624A">
        <w:rPr>
          <w:rFonts w:ascii="Times New Roman" w:hAnsi="Times New Roman" w:cs="Times New Roman"/>
          <w:sz w:val="24"/>
          <w:szCs w:val="24"/>
        </w:rPr>
        <w:t>short-term</w:t>
      </w:r>
      <w:r w:rsidRPr="0051624A">
        <w:rPr>
          <w:rFonts w:ascii="Times New Roman" w:hAnsi="Times New Roman" w:cs="Times New Roman"/>
          <w:sz w:val="24"/>
          <w:szCs w:val="24"/>
        </w:rPr>
        <w:t>, because it far exceeded the NICE willingness-to-pay threshold (£30,000 per QALY gained).</w:t>
      </w:r>
    </w:p>
    <w:p w:rsidR="007D435A" w:rsidRPr="00065218" w:rsidRDefault="007D435A" w:rsidP="007D435A">
      <w:pPr>
        <w:rPr>
          <w:rFonts w:ascii="Times New Roman" w:hAnsi="Times New Roman" w:cs="Times New Roman"/>
          <w:sz w:val="24"/>
          <w:szCs w:val="24"/>
        </w:rPr>
      </w:pPr>
      <w:r w:rsidRPr="0051624A">
        <w:rPr>
          <w:rFonts w:ascii="Times New Roman" w:hAnsi="Times New Roman" w:cs="Times New Roman"/>
          <w:sz w:val="24"/>
          <w:szCs w:val="24"/>
        </w:rPr>
        <w:t>In the long-term cost-effectiveness analysis, all quitters were assumed to stay abstinent from smoking after the intervention. Due to the complexity of smoking behaviour, the risk of relapse for quitters is very high, but on the other hand, many smokers may achieve quitting smoking spontaneously, i.e. self-initiated smoking cessation without interventions.(</w:t>
      </w:r>
      <w:r w:rsidR="0051624A">
        <w:rPr>
          <w:rFonts w:ascii="Times New Roman" w:hAnsi="Times New Roman" w:cs="Times New Roman"/>
          <w:sz w:val="24"/>
          <w:szCs w:val="24"/>
        </w:rPr>
        <w:t>45</w:t>
      </w:r>
      <w:r w:rsidRPr="0051624A">
        <w:rPr>
          <w:rFonts w:ascii="Times New Roman" w:hAnsi="Times New Roman" w:cs="Times New Roman"/>
          <w:sz w:val="24"/>
          <w:szCs w:val="24"/>
        </w:rPr>
        <w:t>) Therefore, further studies, such as RCTs with longer follow-up periods or the use of models that consider the changes in smoking behaviour, are needed.</w:t>
      </w:r>
    </w:p>
    <w:p w:rsidR="007D435A" w:rsidRPr="00065218" w:rsidRDefault="007D435A" w:rsidP="007D435A">
      <w:pPr>
        <w:rPr>
          <w:rFonts w:ascii="Times New Roman" w:hAnsi="Times New Roman" w:cs="Times New Roman"/>
          <w:sz w:val="24"/>
          <w:szCs w:val="24"/>
        </w:rPr>
      </w:pPr>
      <w:r w:rsidRPr="00065218">
        <w:rPr>
          <w:rFonts w:ascii="Times New Roman" w:hAnsi="Times New Roman" w:cs="Times New Roman"/>
          <w:sz w:val="24"/>
          <w:szCs w:val="24"/>
        </w:rPr>
        <w:t xml:space="preserve">In conclusion, using the within-trial data, the use of tailored letters and taster sessions is a more costly and more effective intervention compared with the standard generic letter, but is unlikely to be cost-effective in the </w:t>
      </w:r>
      <w:r w:rsidR="00C73B6E">
        <w:rPr>
          <w:rFonts w:ascii="Times New Roman" w:hAnsi="Times New Roman" w:cs="Times New Roman"/>
          <w:sz w:val="24"/>
          <w:szCs w:val="24"/>
        </w:rPr>
        <w:t>short-term</w:t>
      </w:r>
      <w:r w:rsidRPr="00065218">
        <w:rPr>
          <w:rFonts w:ascii="Times New Roman" w:hAnsi="Times New Roman" w:cs="Times New Roman"/>
          <w:sz w:val="24"/>
          <w:szCs w:val="24"/>
        </w:rPr>
        <w:t xml:space="preserve">. However, quitting smoking yields far greater health care cost savings and health benefits over the </w:t>
      </w:r>
      <w:r w:rsidR="00C73B6E">
        <w:rPr>
          <w:rFonts w:ascii="Times New Roman" w:hAnsi="Times New Roman" w:cs="Times New Roman"/>
          <w:sz w:val="24"/>
          <w:szCs w:val="24"/>
        </w:rPr>
        <w:t>long-term</w:t>
      </w:r>
      <w:r w:rsidRPr="00065218">
        <w:rPr>
          <w:rFonts w:ascii="Times New Roman" w:hAnsi="Times New Roman" w:cs="Times New Roman"/>
          <w:sz w:val="24"/>
          <w:szCs w:val="24"/>
        </w:rPr>
        <w:t xml:space="preserve"> through the reduced risk of developing smoking-related diseases. The long-term results indicate that over a lifetime horizon, the tailored letter and taster sessions become more effective and less costly, and this intervention has a great probability of being more cost-effective at over 86% using the £20,000-£30,000 per QALY gained decision-making threshold.</w:t>
      </w:r>
    </w:p>
    <w:p w:rsidR="00E94CB0" w:rsidRPr="00065218" w:rsidRDefault="00E94CB0">
      <w:pPr>
        <w:rPr>
          <w:rFonts w:ascii="Times New Roman" w:hAnsi="Times New Roman" w:cs="Times New Roman"/>
          <w:sz w:val="24"/>
          <w:szCs w:val="24"/>
        </w:rPr>
      </w:pPr>
      <w:r w:rsidRPr="00065218">
        <w:rPr>
          <w:rFonts w:ascii="Times New Roman" w:hAnsi="Times New Roman" w:cs="Times New Roman"/>
          <w:sz w:val="24"/>
          <w:szCs w:val="24"/>
        </w:rPr>
        <w:br w:type="page"/>
      </w:r>
    </w:p>
    <w:p w:rsidR="007D435A" w:rsidRPr="00065218" w:rsidRDefault="007D435A" w:rsidP="007D435A">
      <w:pPr>
        <w:spacing w:after="0" w:line="240" w:lineRule="auto"/>
        <w:jc w:val="both"/>
        <w:rPr>
          <w:rFonts w:ascii="Times New Roman" w:hAnsi="Times New Roman" w:cs="Times New Roman"/>
          <w:sz w:val="24"/>
          <w:szCs w:val="24"/>
        </w:rPr>
      </w:pPr>
      <w:r w:rsidRPr="00065218">
        <w:rPr>
          <w:rFonts w:ascii="Times New Roman" w:hAnsi="Times New Roman" w:cs="Times New Roman"/>
          <w:sz w:val="24"/>
          <w:szCs w:val="24"/>
        </w:rPr>
        <w:t>***************************************************************************</w:t>
      </w:r>
    </w:p>
    <w:p w:rsidR="00E74051" w:rsidRDefault="00E74051" w:rsidP="007D435A">
      <w:pPr>
        <w:spacing w:after="0" w:line="240" w:lineRule="auto"/>
        <w:jc w:val="both"/>
        <w:rPr>
          <w:rFonts w:ascii="Times New Roman" w:hAnsi="Times New Roman" w:cs="Times New Roman"/>
          <w:sz w:val="24"/>
          <w:szCs w:val="24"/>
        </w:rPr>
      </w:pPr>
      <w:bookmarkStart w:id="21" w:name="OLE_LINK39"/>
      <w:bookmarkStart w:id="22" w:name="OLE_LINK40"/>
      <w:r>
        <w:rPr>
          <w:rFonts w:ascii="Times New Roman" w:hAnsi="Times New Roman" w:cs="Times New Roman"/>
          <w:sz w:val="24"/>
          <w:szCs w:val="24"/>
        </w:rPr>
        <w:t xml:space="preserve">What this research adds: </w:t>
      </w:r>
    </w:p>
    <w:p w:rsidR="00E74051" w:rsidRDefault="00E74051" w:rsidP="007D435A">
      <w:pPr>
        <w:spacing w:after="0" w:line="240" w:lineRule="auto"/>
        <w:jc w:val="both"/>
        <w:rPr>
          <w:rFonts w:ascii="Times New Roman" w:hAnsi="Times New Roman" w:cs="Times New Roman"/>
          <w:sz w:val="24"/>
          <w:szCs w:val="24"/>
        </w:rPr>
      </w:pPr>
    </w:p>
    <w:p w:rsidR="007D435A" w:rsidRPr="00065218" w:rsidRDefault="007D435A" w:rsidP="007D435A">
      <w:pPr>
        <w:spacing w:after="0" w:line="240" w:lineRule="auto"/>
        <w:jc w:val="both"/>
        <w:rPr>
          <w:rFonts w:ascii="Times New Roman" w:hAnsi="Times New Roman" w:cs="Times New Roman"/>
          <w:sz w:val="24"/>
          <w:szCs w:val="24"/>
        </w:rPr>
      </w:pPr>
      <w:r w:rsidRPr="00065218">
        <w:rPr>
          <w:rFonts w:ascii="Times New Roman" w:hAnsi="Times New Roman" w:cs="Times New Roman"/>
          <w:sz w:val="24"/>
          <w:szCs w:val="24"/>
        </w:rPr>
        <w:t>The quit rate among smokers who set a quit date through NHS Stop Smoking Services is as high as 50</w:t>
      </w:r>
      <w:r w:rsidR="00E74051">
        <w:rPr>
          <w:rFonts w:ascii="Times New Roman" w:hAnsi="Times New Roman" w:cs="Times New Roman"/>
          <w:sz w:val="24"/>
          <w:szCs w:val="24"/>
        </w:rPr>
        <w:t>% but the</w:t>
      </w:r>
      <w:r w:rsidRPr="00065218">
        <w:rPr>
          <w:rFonts w:ascii="Times New Roman" w:hAnsi="Times New Roman" w:cs="Times New Roman"/>
          <w:sz w:val="24"/>
          <w:szCs w:val="24"/>
        </w:rPr>
        <w:t xml:space="preserve"> uptake of the services is very low.</w:t>
      </w:r>
    </w:p>
    <w:p w:rsidR="007D435A" w:rsidRPr="00065218" w:rsidRDefault="007D435A" w:rsidP="007D435A">
      <w:pPr>
        <w:spacing w:after="0" w:line="240" w:lineRule="auto"/>
        <w:jc w:val="both"/>
        <w:rPr>
          <w:rFonts w:ascii="Times New Roman" w:hAnsi="Times New Roman" w:cs="Times New Roman"/>
          <w:sz w:val="24"/>
          <w:szCs w:val="24"/>
        </w:rPr>
      </w:pPr>
    </w:p>
    <w:p w:rsidR="00E74051" w:rsidRDefault="007D435A" w:rsidP="007D435A">
      <w:pPr>
        <w:spacing w:after="0" w:line="240" w:lineRule="auto"/>
        <w:jc w:val="both"/>
        <w:rPr>
          <w:rFonts w:ascii="Times New Roman" w:hAnsi="Times New Roman" w:cs="Times New Roman"/>
          <w:sz w:val="24"/>
          <w:szCs w:val="24"/>
        </w:rPr>
      </w:pPr>
      <w:r w:rsidRPr="00065218">
        <w:rPr>
          <w:rFonts w:ascii="Times New Roman" w:hAnsi="Times New Roman" w:cs="Times New Roman"/>
          <w:sz w:val="24"/>
          <w:szCs w:val="24"/>
        </w:rPr>
        <w:t xml:space="preserve">Using personal tailored risk information and taster sessions increased the uptake of the SSS compared with the generic letter. </w:t>
      </w:r>
    </w:p>
    <w:p w:rsidR="008B3F0B" w:rsidRDefault="008B3F0B" w:rsidP="007D435A">
      <w:pPr>
        <w:spacing w:after="0" w:line="240" w:lineRule="auto"/>
        <w:jc w:val="both"/>
        <w:rPr>
          <w:rFonts w:ascii="Times New Roman" w:hAnsi="Times New Roman" w:cs="Times New Roman"/>
          <w:sz w:val="24"/>
          <w:szCs w:val="24"/>
        </w:rPr>
      </w:pPr>
    </w:p>
    <w:p w:rsidR="007D435A" w:rsidRPr="00065218" w:rsidRDefault="00E74051" w:rsidP="007D43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7D435A" w:rsidRPr="00065218">
        <w:rPr>
          <w:rFonts w:ascii="Times New Roman" w:hAnsi="Times New Roman" w:cs="Times New Roman"/>
          <w:sz w:val="24"/>
          <w:szCs w:val="24"/>
        </w:rPr>
        <w:t xml:space="preserve"> intervention appears less likely to be cost-effective in the </w:t>
      </w:r>
      <w:r w:rsidR="00C73B6E">
        <w:rPr>
          <w:rFonts w:ascii="Times New Roman" w:hAnsi="Times New Roman" w:cs="Times New Roman"/>
          <w:sz w:val="24"/>
          <w:szCs w:val="24"/>
        </w:rPr>
        <w:t>short-term</w:t>
      </w:r>
      <w:r w:rsidR="007D435A" w:rsidRPr="00065218">
        <w:rPr>
          <w:rFonts w:ascii="Times New Roman" w:hAnsi="Times New Roman" w:cs="Times New Roman"/>
          <w:sz w:val="24"/>
          <w:szCs w:val="24"/>
        </w:rPr>
        <w:t>, but after taking into account the lifetime cost savings and health benefits from stopping smoking, the intervention has a great probability of being more cost-effective compared with the generic letter over a lifetime horizon.</w:t>
      </w:r>
    </w:p>
    <w:bookmarkEnd w:id="21"/>
    <w:bookmarkEnd w:id="22"/>
    <w:p w:rsidR="007D435A" w:rsidRPr="00065218" w:rsidRDefault="007D435A" w:rsidP="007D435A">
      <w:pPr>
        <w:spacing w:after="0" w:line="240" w:lineRule="auto"/>
        <w:jc w:val="both"/>
        <w:rPr>
          <w:rFonts w:ascii="Times New Roman" w:hAnsi="Times New Roman" w:cs="Times New Roman"/>
          <w:sz w:val="24"/>
          <w:szCs w:val="24"/>
        </w:rPr>
      </w:pPr>
      <w:r w:rsidRPr="00065218">
        <w:rPr>
          <w:rFonts w:ascii="Times New Roman" w:hAnsi="Times New Roman" w:cs="Times New Roman"/>
          <w:sz w:val="24"/>
          <w:szCs w:val="24"/>
        </w:rPr>
        <w:t>***************************************************************************</w:t>
      </w:r>
    </w:p>
    <w:p w:rsidR="007D435A" w:rsidRPr="00065218" w:rsidRDefault="007D435A" w:rsidP="007D435A">
      <w:pPr>
        <w:spacing w:after="0" w:line="240" w:lineRule="auto"/>
        <w:jc w:val="both"/>
        <w:rPr>
          <w:rFonts w:ascii="Times New Roman" w:hAnsi="Times New Roman" w:cs="Times New Roman"/>
          <w:sz w:val="24"/>
          <w:szCs w:val="24"/>
        </w:rPr>
      </w:pPr>
    </w:p>
    <w:p w:rsidR="00632FC2" w:rsidRPr="00065218" w:rsidRDefault="00632FC2" w:rsidP="00632FC2">
      <w:pPr>
        <w:rPr>
          <w:rFonts w:ascii="Times New Roman" w:eastAsiaTheme="minorHAnsi" w:hAnsi="Times New Roman" w:cs="Times New Roman"/>
          <w:b/>
          <w:sz w:val="24"/>
          <w:szCs w:val="24"/>
          <w:lang w:eastAsia="en-US"/>
        </w:rPr>
      </w:pPr>
      <w:r w:rsidRPr="00065218">
        <w:rPr>
          <w:rFonts w:ascii="Times New Roman" w:eastAsiaTheme="minorHAnsi" w:hAnsi="Times New Roman" w:cs="Times New Roman"/>
          <w:b/>
          <w:sz w:val="24"/>
          <w:szCs w:val="24"/>
          <w:lang w:eastAsia="en-US"/>
        </w:rPr>
        <w:t xml:space="preserve">Contributors: </w:t>
      </w:r>
    </w:p>
    <w:p w:rsidR="007D435A" w:rsidRPr="00065218" w:rsidRDefault="00632FC2" w:rsidP="00632FC2">
      <w:pPr>
        <w:rPr>
          <w:rFonts w:ascii="Times New Roman" w:eastAsiaTheme="minorHAnsi" w:hAnsi="Times New Roman" w:cs="Times New Roman"/>
          <w:sz w:val="24"/>
          <w:szCs w:val="24"/>
          <w:lang w:eastAsia="en-US"/>
        </w:rPr>
      </w:pPr>
      <w:r w:rsidRPr="00065218">
        <w:rPr>
          <w:rFonts w:ascii="Times New Roman" w:eastAsiaTheme="minorHAnsi" w:hAnsi="Times New Roman" w:cs="Times New Roman"/>
          <w:sz w:val="24"/>
          <w:szCs w:val="24"/>
          <w:lang w:eastAsia="en-US"/>
        </w:rPr>
        <w:t>HG was the PI of the Start2quit trial. HG, IN, SS and SG conceived and designed the study. SP and QW contributed to the planning of the economic evaluation. RM and IP were the trial statisticians and advised on the trial data. QW and SP carried out the cost-effectiveness analysis. QW wrote the initial draft of the manuscript. All authors critically revised the manuscript and approved the final version.</w:t>
      </w:r>
    </w:p>
    <w:p w:rsidR="00632FC2" w:rsidRPr="00065218" w:rsidRDefault="00632FC2" w:rsidP="00632FC2">
      <w:pPr>
        <w:rPr>
          <w:rFonts w:ascii="Times New Roman" w:eastAsiaTheme="minorHAnsi" w:hAnsi="Times New Roman" w:cs="Times New Roman"/>
          <w:sz w:val="24"/>
          <w:szCs w:val="24"/>
          <w:lang w:eastAsia="en-US"/>
        </w:rPr>
      </w:pPr>
    </w:p>
    <w:p w:rsidR="00632FC2" w:rsidRPr="00065218" w:rsidRDefault="00632FC2" w:rsidP="00632FC2">
      <w:pPr>
        <w:rPr>
          <w:rFonts w:ascii="Times New Roman" w:eastAsiaTheme="minorHAnsi" w:hAnsi="Times New Roman" w:cs="Times New Roman"/>
          <w:b/>
          <w:sz w:val="24"/>
          <w:szCs w:val="24"/>
          <w:lang w:eastAsia="en-US"/>
        </w:rPr>
      </w:pPr>
      <w:r w:rsidRPr="00065218">
        <w:rPr>
          <w:rFonts w:ascii="Times New Roman" w:eastAsiaTheme="minorHAnsi" w:hAnsi="Times New Roman" w:cs="Times New Roman"/>
          <w:b/>
          <w:sz w:val="24"/>
          <w:szCs w:val="24"/>
          <w:lang w:eastAsia="en-US"/>
        </w:rPr>
        <w:t xml:space="preserve">Funding: </w:t>
      </w:r>
    </w:p>
    <w:p w:rsidR="00632FC2" w:rsidRDefault="00632FC2" w:rsidP="00632FC2">
      <w:pPr>
        <w:rPr>
          <w:rFonts w:ascii="Times New Roman" w:eastAsiaTheme="minorHAnsi" w:hAnsi="Times New Roman" w:cs="Times New Roman"/>
          <w:sz w:val="24"/>
          <w:szCs w:val="24"/>
          <w:lang w:eastAsia="en-US"/>
        </w:rPr>
      </w:pPr>
      <w:r w:rsidRPr="00065218">
        <w:rPr>
          <w:rFonts w:ascii="Times New Roman" w:eastAsiaTheme="minorHAnsi" w:hAnsi="Times New Roman" w:cs="Times New Roman"/>
          <w:sz w:val="24"/>
          <w:szCs w:val="24"/>
          <w:lang w:eastAsia="en-US"/>
        </w:rPr>
        <w:t>This research is funded by the Health Technology Assessment programme (HTA), which is part of the National Institute for Health Research (NIHR). This body provides funding to independent research investigating the effectiveness of different health care treatments in the NHS. It identifies the most important questions that the NHS needs to answer and commissions the most important research.</w:t>
      </w:r>
    </w:p>
    <w:p w:rsidR="00E06771" w:rsidRPr="00065218" w:rsidRDefault="00E06771" w:rsidP="00632FC2">
      <w:pPr>
        <w:rPr>
          <w:rFonts w:ascii="Times New Roman" w:eastAsiaTheme="minorHAnsi" w:hAnsi="Times New Roman" w:cs="Times New Roman"/>
          <w:sz w:val="24"/>
          <w:szCs w:val="24"/>
          <w:lang w:eastAsia="en-US"/>
        </w:rPr>
      </w:pPr>
    </w:p>
    <w:p w:rsidR="00E06771" w:rsidRPr="00F02C97" w:rsidRDefault="00E06771" w:rsidP="00F02C97">
      <w:pPr>
        <w:pStyle w:val="Heading1"/>
        <w:rPr>
          <w:rFonts w:ascii="Times New Roman" w:hAnsi="Times New Roman" w:cs="Times New Roman"/>
          <w:color w:val="auto"/>
          <w:szCs w:val="24"/>
          <w:lang w:eastAsia="en-US"/>
        </w:rPr>
      </w:pPr>
      <w:r w:rsidRPr="00E72A5E">
        <w:rPr>
          <w:rFonts w:ascii="Times New Roman" w:hAnsi="Times New Roman" w:cs="Times New Roman"/>
          <w:color w:val="auto"/>
          <w:szCs w:val="24"/>
          <w:lang w:eastAsia="en-US"/>
        </w:rPr>
        <w:t>A</w:t>
      </w:r>
      <w:r w:rsidRPr="00F02C97">
        <w:rPr>
          <w:rFonts w:ascii="Times New Roman" w:hAnsi="Times New Roman" w:cs="Times New Roman"/>
          <w:color w:val="auto"/>
          <w:szCs w:val="24"/>
          <w:lang w:eastAsia="en-US"/>
        </w:rPr>
        <w:t>cknowledgements</w:t>
      </w:r>
    </w:p>
    <w:p w:rsidR="00CD6E36" w:rsidRPr="00761E47" w:rsidRDefault="00E06771" w:rsidP="00CD6E36">
      <w:pPr>
        <w:rPr>
          <w:rFonts w:ascii="Times New Roman" w:eastAsiaTheme="minorHAnsi" w:hAnsi="Times New Roman" w:cs="Times New Roman"/>
          <w:sz w:val="24"/>
          <w:szCs w:val="24"/>
          <w:lang w:eastAsia="en-US"/>
        </w:rPr>
      </w:pPr>
      <w:r w:rsidRPr="00E06771">
        <w:rPr>
          <w:rFonts w:ascii="Times New Roman" w:eastAsiaTheme="minorHAnsi" w:hAnsi="Times New Roman" w:cs="Times New Roman"/>
          <w:sz w:val="24"/>
          <w:szCs w:val="24"/>
          <w:lang w:eastAsia="en-US"/>
        </w:rPr>
        <w:t>This project was funded by the National Institute for Health Research HTA Programme (Project Number 08/58/02). The views and opinions expressed herein are those of the authors and do not necessarily reflect those of the HTA Programme, NIHR, NHS or the Department of Health. We would like to thank all members of the Research Team, in particular Leanne Gardner, Dimitra Kale and Molly Sweeney Magee who managed the recruitment of participants and data collection, and provided administrative support to the trial. The successful completion of the study would not have been possible without the support and input from the local UK PRCNs and CLRNs, the Local Collaborators and service Managers, of the participating Stop Smoking Services, Practice Managers and administrative staff at all of the participating General Practices. We also acknowledge the support of the Trial Steering Committee and user representative Sue Dowd who sat on both the Trial Management group and the Trial Steering Committee.</w:t>
      </w:r>
      <w:r w:rsidR="007D435A" w:rsidRPr="00065218">
        <w:rPr>
          <w:rFonts w:ascii="Times New Roman" w:eastAsiaTheme="minorHAnsi" w:hAnsi="Times New Roman" w:cs="Times New Roman"/>
          <w:sz w:val="24"/>
          <w:szCs w:val="24"/>
          <w:lang w:eastAsia="en-US"/>
        </w:rPr>
        <w:br w:type="page"/>
      </w:r>
    </w:p>
    <w:p w:rsidR="00CD6E36" w:rsidRPr="00CD6E36" w:rsidRDefault="00CD6E36" w:rsidP="00CD6E36">
      <w:pPr>
        <w:keepNext/>
        <w:keepLines/>
        <w:spacing w:before="240" w:after="0" w:line="240" w:lineRule="auto"/>
        <w:outlineLvl w:val="0"/>
        <w:rPr>
          <w:rFonts w:ascii="Times New Roman" w:eastAsiaTheme="majorEastAsia" w:hAnsi="Times New Roman" w:cs="Times New Roman"/>
          <w:b/>
          <w:sz w:val="24"/>
          <w:szCs w:val="24"/>
          <w:lang w:eastAsia="en-US"/>
        </w:rPr>
      </w:pPr>
      <w:r w:rsidRPr="00CD6E36">
        <w:rPr>
          <w:rFonts w:ascii="Times New Roman" w:eastAsiaTheme="majorEastAsia" w:hAnsi="Times New Roman" w:cs="Times New Roman"/>
          <w:b/>
          <w:sz w:val="24"/>
          <w:szCs w:val="24"/>
          <w:lang w:eastAsia="en-US"/>
        </w:rPr>
        <w:t>References</w:t>
      </w:r>
    </w:p>
    <w:p w:rsidR="00CD6E36" w:rsidRPr="00CD6E36" w:rsidRDefault="00CD6E36" w:rsidP="00CD6E36">
      <w:pPr>
        <w:spacing w:after="0" w:line="240" w:lineRule="auto"/>
        <w:rPr>
          <w:rFonts w:ascii="Calibri" w:hAnsi="Calibri"/>
          <w:noProof/>
        </w:rPr>
      </w:pPr>
      <w:r w:rsidRPr="00CD6E36">
        <w:rPr>
          <w:rFonts w:ascii="Times New Roman" w:hAnsi="Times New Roman" w:cs="Times New Roman"/>
          <w:noProof/>
          <w:sz w:val="24"/>
          <w:szCs w:val="24"/>
        </w:rPr>
        <w:fldChar w:fldCharType="begin"/>
      </w:r>
      <w:r w:rsidRPr="00CD6E36">
        <w:rPr>
          <w:rFonts w:ascii="Times New Roman" w:hAnsi="Times New Roman" w:cs="Times New Roman"/>
          <w:noProof/>
          <w:sz w:val="24"/>
          <w:szCs w:val="24"/>
        </w:rPr>
        <w:instrText xml:space="preserve"> ADDIN EN.REFLIST </w:instrText>
      </w:r>
      <w:r w:rsidRPr="00CD6E36">
        <w:rPr>
          <w:rFonts w:ascii="Times New Roman" w:hAnsi="Times New Roman" w:cs="Times New Roman"/>
          <w:noProof/>
          <w:sz w:val="24"/>
          <w:szCs w:val="24"/>
        </w:rPr>
        <w:fldChar w:fldCharType="separate"/>
      </w:r>
      <w:r w:rsidRPr="00CD6E36">
        <w:rPr>
          <w:rFonts w:ascii="Calibri" w:hAnsi="Calibri"/>
          <w:noProof/>
        </w:rPr>
        <w:t>1.</w:t>
      </w:r>
      <w:r w:rsidRPr="00CD6E36">
        <w:rPr>
          <w:rFonts w:ascii="Calibri" w:hAnsi="Calibri"/>
          <w:noProof/>
        </w:rPr>
        <w:tab/>
        <w:t>ASH. Smoking statistics: Illness and death London: 2015.</w:t>
      </w:r>
    </w:p>
    <w:p w:rsidR="00CD6E36" w:rsidRPr="00CD6E36" w:rsidRDefault="00CD6E36" w:rsidP="00CD6E36">
      <w:pPr>
        <w:spacing w:after="0" w:line="240" w:lineRule="auto"/>
        <w:rPr>
          <w:rFonts w:ascii="Calibri" w:hAnsi="Calibri"/>
          <w:noProof/>
        </w:rPr>
      </w:pPr>
      <w:r w:rsidRPr="00CD6E36">
        <w:rPr>
          <w:rFonts w:ascii="Calibri" w:hAnsi="Calibri"/>
          <w:noProof/>
        </w:rPr>
        <w:t>2.</w:t>
      </w:r>
      <w:r w:rsidRPr="00CD6E36">
        <w:rPr>
          <w:rFonts w:ascii="Calibri" w:hAnsi="Calibri"/>
          <w:noProof/>
        </w:rPr>
        <w:tab/>
        <w:t>Britton J. ABC of smoking cessation. Malden, Mass: BMJ Books; 2004. ix, 43 p. p.</w:t>
      </w:r>
    </w:p>
    <w:p w:rsidR="00CD6E36" w:rsidRPr="00CD6E36" w:rsidRDefault="00CD6E36" w:rsidP="00CD6E36">
      <w:pPr>
        <w:spacing w:after="0" w:line="240" w:lineRule="auto"/>
        <w:rPr>
          <w:rFonts w:ascii="Calibri" w:hAnsi="Calibri"/>
          <w:noProof/>
        </w:rPr>
      </w:pPr>
      <w:r w:rsidRPr="00CD6E36">
        <w:rPr>
          <w:rFonts w:ascii="Calibri" w:hAnsi="Calibri"/>
          <w:noProof/>
        </w:rPr>
        <w:t>3.</w:t>
      </w:r>
      <w:r w:rsidRPr="00CD6E36">
        <w:rPr>
          <w:rFonts w:ascii="Calibri" w:hAnsi="Calibri"/>
          <w:noProof/>
        </w:rPr>
        <w:tab/>
        <w:t>Doll R, Peto R, Boreham J, Sutherland I. Mortality in relation to smoking: 50 years' observations on male British doctors. Bmj. 2004;328(7455):1519.</w:t>
      </w:r>
    </w:p>
    <w:p w:rsidR="00CD6E36" w:rsidRPr="00CD6E36" w:rsidRDefault="00CD6E36" w:rsidP="00CD6E36">
      <w:pPr>
        <w:spacing w:after="0" w:line="240" w:lineRule="auto"/>
        <w:rPr>
          <w:rFonts w:ascii="Calibri" w:hAnsi="Calibri"/>
          <w:noProof/>
        </w:rPr>
      </w:pPr>
      <w:bookmarkStart w:id="23" w:name="_ENREF_4"/>
      <w:r w:rsidRPr="00CD6E36">
        <w:rPr>
          <w:rFonts w:ascii="Calibri" w:hAnsi="Calibri"/>
          <w:noProof/>
        </w:rPr>
        <w:t>4.</w:t>
      </w:r>
      <w:r w:rsidRPr="00CD6E36">
        <w:rPr>
          <w:rFonts w:ascii="Calibri" w:hAnsi="Calibri"/>
          <w:noProof/>
        </w:rPr>
        <w:tab/>
        <w:t>ASH. Smoking statistics: who smokes and how much. ASH, 2014.</w:t>
      </w:r>
      <w:bookmarkEnd w:id="23"/>
    </w:p>
    <w:p w:rsidR="00CD6E36" w:rsidRPr="00CD6E36" w:rsidRDefault="00CD6E36" w:rsidP="00CD6E36">
      <w:pPr>
        <w:spacing w:after="0" w:line="240" w:lineRule="auto"/>
        <w:rPr>
          <w:rFonts w:ascii="Calibri" w:hAnsi="Calibri"/>
          <w:noProof/>
        </w:rPr>
      </w:pPr>
      <w:bookmarkStart w:id="24" w:name="_ENREF_5"/>
      <w:r w:rsidRPr="00CD6E36">
        <w:rPr>
          <w:rFonts w:ascii="Calibri" w:hAnsi="Calibri"/>
          <w:noProof/>
        </w:rPr>
        <w:t>5.</w:t>
      </w:r>
      <w:r w:rsidRPr="00CD6E36">
        <w:rPr>
          <w:rFonts w:ascii="Calibri" w:hAnsi="Calibri"/>
          <w:noProof/>
        </w:rPr>
        <w:tab/>
        <w:t>Nash R, Featherstone H. Cough up: balancing tobacco income and costs in society. London: Policy Exchange, 2010.</w:t>
      </w:r>
      <w:bookmarkEnd w:id="24"/>
    </w:p>
    <w:p w:rsidR="00CD6E36" w:rsidRPr="00CD6E36" w:rsidRDefault="00CD6E36" w:rsidP="00CD6E36">
      <w:pPr>
        <w:spacing w:after="0" w:line="240" w:lineRule="auto"/>
        <w:rPr>
          <w:rFonts w:ascii="Calibri" w:hAnsi="Calibri"/>
          <w:noProof/>
        </w:rPr>
      </w:pPr>
      <w:bookmarkStart w:id="25" w:name="_ENREF_6"/>
      <w:r w:rsidRPr="00CD6E36">
        <w:rPr>
          <w:rFonts w:ascii="Calibri" w:hAnsi="Calibri"/>
          <w:noProof/>
        </w:rPr>
        <w:t>6.</w:t>
      </w:r>
      <w:r w:rsidRPr="00CD6E36">
        <w:rPr>
          <w:rFonts w:ascii="Calibri" w:hAnsi="Calibri"/>
          <w:noProof/>
        </w:rPr>
        <w:tab/>
        <w:t>Allender S, Balakrishnan R, Scarborough P, Webster P, Rayner M. The burden of smoking-related ill health in the UK. Tob Control. 2009;18(4):262-7.</w:t>
      </w:r>
      <w:bookmarkEnd w:id="25"/>
    </w:p>
    <w:p w:rsidR="00CD6E36" w:rsidRPr="00CD6E36" w:rsidRDefault="00CD6E36" w:rsidP="00CD6E36">
      <w:pPr>
        <w:spacing w:after="0" w:line="240" w:lineRule="auto"/>
        <w:rPr>
          <w:rFonts w:ascii="Calibri" w:hAnsi="Calibri"/>
          <w:noProof/>
        </w:rPr>
      </w:pPr>
      <w:bookmarkStart w:id="26" w:name="_ENREF_7"/>
      <w:r w:rsidRPr="00CD6E36">
        <w:rPr>
          <w:rFonts w:ascii="Calibri" w:hAnsi="Calibri"/>
          <w:noProof/>
        </w:rPr>
        <w:t>7.</w:t>
      </w:r>
      <w:r w:rsidRPr="00CD6E36">
        <w:rPr>
          <w:rFonts w:ascii="Calibri" w:hAnsi="Calibri"/>
          <w:noProof/>
        </w:rPr>
        <w:tab/>
        <w:t>McNeill A, Raw M, Whybrow J, Bailey P. A national strategy for smoking cessation treatment in England. Addiction. 2005;100 Suppl 2:1-11.</w:t>
      </w:r>
      <w:bookmarkEnd w:id="26"/>
    </w:p>
    <w:p w:rsidR="00CD6E36" w:rsidRDefault="00CD6E36" w:rsidP="00CD6E36">
      <w:pPr>
        <w:spacing w:after="0" w:line="240" w:lineRule="auto"/>
        <w:rPr>
          <w:rFonts w:ascii="Calibri" w:hAnsi="Calibri"/>
          <w:noProof/>
        </w:rPr>
      </w:pPr>
      <w:bookmarkStart w:id="27" w:name="_ENREF_8"/>
      <w:r w:rsidRPr="00CD6E36">
        <w:rPr>
          <w:rFonts w:ascii="Calibri" w:hAnsi="Calibri"/>
          <w:noProof/>
        </w:rPr>
        <w:t>8.</w:t>
      </w:r>
      <w:r w:rsidRPr="00CD6E36">
        <w:rPr>
          <w:rFonts w:ascii="Calibri" w:hAnsi="Calibri"/>
          <w:noProof/>
        </w:rPr>
        <w:tab/>
        <w:t xml:space="preserve">Health and Social Care Information Centre. Statistics on NHS Stop Smoking Services in England April 2014 to March 2015 Final Report 2015. Available from: </w:t>
      </w:r>
      <w:hyperlink r:id="rId7" w:history="1">
        <w:r w:rsidRPr="00CD6E36">
          <w:rPr>
            <w:rFonts w:ascii="Calibri" w:hAnsi="Calibri"/>
            <w:noProof/>
            <w:color w:val="0000FF" w:themeColor="hyperlink"/>
            <w:u w:val="single"/>
          </w:rPr>
          <w:t>http://www.hscic.gov.uk/catalogue/PUB18002/stat-stop-smok-serv-eng-2015-q4-rep.pdf</w:t>
        </w:r>
      </w:hyperlink>
      <w:r w:rsidRPr="00CD6E36">
        <w:rPr>
          <w:rFonts w:ascii="Calibri" w:hAnsi="Calibri"/>
          <w:noProof/>
        </w:rPr>
        <w:t>.</w:t>
      </w:r>
      <w:bookmarkEnd w:id="27"/>
    </w:p>
    <w:p w:rsidR="008850CD" w:rsidRPr="00CD6E36" w:rsidRDefault="008850CD" w:rsidP="00CD6E36">
      <w:pPr>
        <w:spacing w:after="0" w:line="240" w:lineRule="auto"/>
        <w:rPr>
          <w:rFonts w:ascii="Calibri" w:hAnsi="Calibri"/>
          <w:noProof/>
        </w:rPr>
      </w:pPr>
      <w:r w:rsidRPr="008850CD">
        <w:rPr>
          <w:rFonts w:ascii="Calibri" w:hAnsi="Calibri"/>
          <w:noProof/>
        </w:rPr>
        <w:t>9.</w:t>
      </w:r>
      <w:r w:rsidRPr="008850CD">
        <w:rPr>
          <w:rFonts w:ascii="Calibri" w:hAnsi="Calibri"/>
          <w:noProof/>
        </w:rPr>
        <w:tab/>
        <w:t>Dobbie F, Hiscock R, Leonardi-Bee J, Murray S, Shahab L, Aveyard P, et al. Evaluating Long-term Outcomes of NHS Stop Smoking Services (ELONS): a prospective cohort study. Health Technol Assess. 2015;19(95):1-156.</w:t>
      </w:r>
    </w:p>
    <w:p w:rsidR="00CD6E36" w:rsidRDefault="00425E19" w:rsidP="00CD6E36">
      <w:pPr>
        <w:spacing w:after="0" w:line="240" w:lineRule="auto"/>
        <w:rPr>
          <w:rFonts w:ascii="Calibri" w:hAnsi="Calibri"/>
          <w:noProof/>
        </w:rPr>
      </w:pPr>
      <w:bookmarkStart w:id="28" w:name="_ENREF_9"/>
      <w:r>
        <w:rPr>
          <w:rFonts w:ascii="Calibri" w:hAnsi="Calibri"/>
          <w:noProof/>
        </w:rPr>
        <w:t>10</w:t>
      </w:r>
      <w:r w:rsidR="00CD6E36" w:rsidRPr="00CD6E36">
        <w:rPr>
          <w:rFonts w:ascii="Calibri" w:hAnsi="Calibri"/>
          <w:noProof/>
        </w:rPr>
        <w:t>.</w:t>
      </w:r>
      <w:r w:rsidR="00CD6E36" w:rsidRPr="00CD6E36">
        <w:rPr>
          <w:rFonts w:ascii="Calibri" w:hAnsi="Calibri"/>
          <w:noProof/>
        </w:rPr>
        <w:tab/>
        <w:t xml:space="preserve">West R, Brown J. Smoking and Smoking Cessation in England in 2011: findings from the Smoking Toolkit Study 2012 [cited 2016 15 February]. Available from: </w:t>
      </w:r>
      <w:hyperlink r:id="rId8" w:history="1">
        <w:r w:rsidR="00CD6E36" w:rsidRPr="00CD6E36">
          <w:rPr>
            <w:rFonts w:ascii="Calibri" w:hAnsi="Calibri"/>
            <w:noProof/>
            <w:color w:val="0000FF" w:themeColor="hyperlink"/>
            <w:u w:val="single"/>
          </w:rPr>
          <w:t>http://www.smokinginengland.info/latest-statistics/</w:t>
        </w:r>
      </w:hyperlink>
      <w:r w:rsidR="00CD6E36" w:rsidRPr="00CD6E36">
        <w:rPr>
          <w:rFonts w:ascii="Calibri" w:hAnsi="Calibri"/>
          <w:noProof/>
        </w:rPr>
        <w:t>.</w:t>
      </w:r>
      <w:bookmarkEnd w:id="28"/>
    </w:p>
    <w:p w:rsidR="00974212" w:rsidRPr="00CD6E36" w:rsidRDefault="00425E19" w:rsidP="00CD6E36">
      <w:pPr>
        <w:spacing w:after="0" w:line="240" w:lineRule="auto"/>
        <w:rPr>
          <w:rFonts w:ascii="Calibri" w:hAnsi="Calibri"/>
          <w:noProof/>
        </w:rPr>
      </w:pPr>
      <w:r>
        <w:rPr>
          <w:rFonts w:ascii="Calibri" w:hAnsi="Calibri"/>
          <w:noProof/>
        </w:rPr>
        <w:t>11</w:t>
      </w:r>
      <w:r w:rsidR="00974212">
        <w:rPr>
          <w:rFonts w:ascii="Calibri" w:hAnsi="Calibri"/>
          <w:noProof/>
        </w:rPr>
        <w:t>.</w:t>
      </w:r>
      <w:r w:rsidR="00974212">
        <w:rPr>
          <w:rFonts w:ascii="Calibri" w:hAnsi="Calibri"/>
          <w:noProof/>
        </w:rPr>
        <w:tab/>
      </w:r>
      <w:r w:rsidR="00974212" w:rsidRPr="00974212">
        <w:rPr>
          <w:rFonts w:ascii="Calibri" w:hAnsi="Calibri"/>
          <w:noProof/>
        </w:rPr>
        <w:t>Cancer Research UK/ASH. Cutting down: the reality of budget cuts to local tobacco control. A report by Action on Smoking and Health commissioned by Cancer Research UK. 20</w:t>
      </w:r>
      <w:r w:rsidR="00974212">
        <w:rPr>
          <w:rFonts w:ascii="Calibri" w:hAnsi="Calibri"/>
          <w:noProof/>
        </w:rPr>
        <w:t xml:space="preserve">16. </w:t>
      </w:r>
      <w:r w:rsidR="00974212" w:rsidRPr="00CD6E36">
        <w:rPr>
          <w:rFonts w:ascii="Calibri" w:hAnsi="Calibri"/>
          <w:noProof/>
        </w:rPr>
        <w:t xml:space="preserve">Available from: </w:t>
      </w:r>
      <w:r w:rsidR="00974212" w:rsidRPr="00974212">
        <w:rPr>
          <w:rFonts w:ascii="Calibri" w:hAnsi="Calibri"/>
          <w:noProof/>
          <w:color w:val="0000FF" w:themeColor="hyperlink"/>
          <w:u w:val="single"/>
        </w:rPr>
        <w:t xml:space="preserve">https://www.cancerresearchuk.org/sites/default/files/local_authority_survey_2016_report_cruk_finalfinal.pdf  </w:t>
      </w:r>
    </w:p>
    <w:p w:rsidR="004E4735" w:rsidRPr="00CD6E36" w:rsidRDefault="00CD6E36" w:rsidP="00CD6E36">
      <w:pPr>
        <w:spacing w:after="0" w:line="240" w:lineRule="auto"/>
        <w:rPr>
          <w:rFonts w:ascii="Calibri" w:hAnsi="Calibri"/>
          <w:noProof/>
        </w:rPr>
      </w:pPr>
      <w:bookmarkStart w:id="29" w:name="_ENREF_10"/>
      <w:r w:rsidRPr="00CD6E36">
        <w:rPr>
          <w:rFonts w:ascii="Calibri" w:hAnsi="Calibri"/>
          <w:noProof/>
        </w:rPr>
        <w:t>1</w:t>
      </w:r>
      <w:r w:rsidR="00425E19">
        <w:rPr>
          <w:rFonts w:ascii="Calibri" w:hAnsi="Calibri"/>
          <w:noProof/>
        </w:rPr>
        <w:t>2</w:t>
      </w:r>
      <w:r w:rsidRPr="00CD6E36">
        <w:rPr>
          <w:rFonts w:ascii="Calibri" w:hAnsi="Calibri"/>
          <w:noProof/>
        </w:rPr>
        <w:t>.</w:t>
      </w:r>
      <w:r w:rsidRPr="00CD6E36">
        <w:rPr>
          <w:rFonts w:ascii="Calibri" w:hAnsi="Calibri"/>
          <w:noProof/>
        </w:rPr>
        <w:tab/>
      </w:r>
      <w:bookmarkStart w:id="30" w:name="OLE_LINK45"/>
      <w:bookmarkStart w:id="31" w:name="OLE_LINK46"/>
      <w:r w:rsidRPr="00CD6E36">
        <w:rPr>
          <w:rFonts w:ascii="Calibri" w:hAnsi="Calibri"/>
          <w:noProof/>
        </w:rPr>
        <w:t>Gilbert H, Sutton S, Morris R, Petersen I, Galton S, Wu Q, et al. Effectiveness of personal tailored risk information and taster sessions to increase the uptake of smoking cessation services: randomized controlled trial (Start2quit). The Lancet. 2016;</w:t>
      </w:r>
      <w:r w:rsidR="004E4735">
        <w:rPr>
          <w:rFonts w:ascii="Calibri" w:hAnsi="Calibri"/>
          <w:noProof/>
        </w:rPr>
        <w:t>389(10071):823-33.</w:t>
      </w:r>
      <w:bookmarkEnd w:id="29"/>
    </w:p>
    <w:p w:rsidR="00CD6E36" w:rsidRPr="00CD6E36" w:rsidRDefault="00CD6E36" w:rsidP="00CD6E36">
      <w:pPr>
        <w:spacing w:after="0" w:line="240" w:lineRule="auto"/>
        <w:rPr>
          <w:rFonts w:ascii="Calibri" w:hAnsi="Calibri"/>
          <w:noProof/>
        </w:rPr>
      </w:pPr>
      <w:bookmarkStart w:id="32" w:name="_ENREF_11"/>
      <w:bookmarkEnd w:id="30"/>
      <w:bookmarkEnd w:id="31"/>
      <w:r w:rsidRPr="00CD6E36">
        <w:rPr>
          <w:rFonts w:ascii="Calibri" w:hAnsi="Calibri"/>
          <w:noProof/>
        </w:rPr>
        <w:t>1</w:t>
      </w:r>
      <w:r w:rsidR="00425E19">
        <w:rPr>
          <w:rFonts w:ascii="Calibri" w:hAnsi="Calibri"/>
          <w:noProof/>
        </w:rPr>
        <w:t>3</w:t>
      </w:r>
      <w:r w:rsidRPr="00CD6E36">
        <w:rPr>
          <w:rFonts w:ascii="Calibri" w:hAnsi="Calibri"/>
          <w:noProof/>
        </w:rPr>
        <w:t>.</w:t>
      </w:r>
      <w:r w:rsidRPr="00CD6E36">
        <w:rPr>
          <w:rFonts w:ascii="Calibri" w:hAnsi="Calibri"/>
          <w:noProof/>
        </w:rPr>
        <w:tab/>
        <w:t>Gilbert H, Sutton S, Morris R, Parrot S, Galton S, Nazareth I. Evaluating the effectiveness of using personal tailored risk information and taster sessions to increase the uptake of smoking cessation services: study protocol for a randomised controlled trial. Trials. 2012;13:195.</w:t>
      </w:r>
      <w:bookmarkEnd w:id="32"/>
    </w:p>
    <w:p w:rsidR="00CD6E36" w:rsidRPr="00CD6E36" w:rsidRDefault="00CD6E36" w:rsidP="00CD6E36">
      <w:pPr>
        <w:spacing w:after="0" w:line="240" w:lineRule="auto"/>
        <w:rPr>
          <w:rFonts w:ascii="Calibri" w:hAnsi="Calibri"/>
          <w:noProof/>
        </w:rPr>
      </w:pPr>
      <w:bookmarkStart w:id="33" w:name="_ENREF_12"/>
      <w:r w:rsidRPr="00CD6E36">
        <w:rPr>
          <w:rFonts w:ascii="Calibri" w:hAnsi="Calibri"/>
          <w:noProof/>
        </w:rPr>
        <w:t>1</w:t>
      </w:r>
      <w:r w:rsidR="00425E19">
        <w:rPr>
          <w:rFonts w:ascii="Calibri" w:hAnsi="Calibri"/>
          <w:noProof/>
        </w:rPr>
        <w:t>4</w:t>
      </w:r>
      <w:r w:rsidRPr="00CD6E36">
        <w:rPr>
          <w:rFonts w:ascii="Calibri" w:hAnsi="Calibri"/>
          <w:noProof/>
        </w:rPr>
        <w:t>.</w:t>
      </w:r>
      <w:r w:rsidRPr="00CD6E36">
        <w:rPr>
          <w:rFonts w:ascii="Calibri" w:hAnsi="Calibri"/>
          <w:noProof/>
        </w:rPr>
        <w:tab/>
        <w:t>NICE. National Institute for Health and Care Excellence: Guide to the methods of technology appraisal 2013. 2013.</w:t>
      </w:r>
      <w:bookmarkEnd w:id="33"/>
    </w:p>
    <w:p w:rsidR="00CD6E36" w:rsidRPr="00CD6E36" w:rsidRDefault="00CD6E36" w:rsidP="00CD6E36">
      <w:pPr>
        <w:spacing w:after="0" w:line="240" w:lineRule="auto"/>
        <w:rPr>
          <w:rFonts w:ascii="Calibri" w:hAnsi="Calibri"/>
          <w:noProof/>
        </w:rPr>
      </w:pPr>
      <w:bookmarkStart w:id="34" w:name="_ENREF_13"/>
      <w:r w:rsidRPr="00CD6E36">
        <w:rPr>
          <w:rFonts w:ascii="Calibri" w:hAnsi="Calibri"/>
          <w:noProof/>
        </w:rPr>
        <w:t>1</w:t>
      </w:r>
      <w:r w:rsidR="00425E19">
        <w:rPr>
          <w:rFonts w:ascii="Calibri" w:hAnsi="Calibri"/>
          <w:noProof/>
        </w:rPr>
        <w:t>5</w:t>
      </w:r>
      <w:r w:rsidRPr="00CD6E36">
        <w:rPr>
          <w:rFonts w:ascii="Calibri" w:hAnsi="Calibri"/>
          <w:noProof/>
        </w:rPr>
        <w:t>.</w:t>
      </w:r>
      <w:r w:rsidRPr="00CD6E36">
        <w:rPr>
          <w:rFonts w:ascii="Calibri" w:hAnsi="Calibri"/>
          <w:noProof/>
        </w:rPr>
        <w:tab/>
        <w:t>Curtis L. Unit Costs of Health and Social Care 2013. Kent: Personal Social Services Research Unit, 2013.</w:t>
      </w:r>
      <w:bookmarkEnd w:id="34"/>
    </w:p>
    <w:p w:rsidR="00CD6E36" w:rsidRPr="00CD6E36" w:rsidRDefault="00CD6E36" w:rsidP="00CD6E36">
      <w:pPr>
        <w:spacing w:after="0" w:line="240" w:lineRule="auto"/>
        <w:rPr>
          <w:rFonts w:ascii="Calibri" w:hAnsi="Calibri"/>
          <w:noProof/>
        </w:rPr>
      </w:pPr>
      <w:bookmarkStart w:id="35" w:name="_ENREF_14"/>
      <w:r w:rsidRPr="00CD6E36">
        <w:rPr>
          <w:rFonts w:ascii="Calibri" w:hAnsi="Calibri"/>
          <w:noProof/>
        </w:rPr>
        <w:t>1</w:t>
      </w:r>
      <w:r w:rsidR="00425E19">
        <w:rPr>
          <w:rFonts w:ascii="Calibri" w:hAnsi="Calibri"/>
          <w:noProof/>
        </w:rPr>
        <w:t>6</w:t>
      </w:r>
      <w:r w:rsidRPr="00CD6E36">
        <w:rPr>
          <w:rFonts w:ascii="Calibri" w:hAnsi="Calibri"/>
          <w:noProof/>
        </w:rPr>
        <w:t>.</w:t>
      </w:r>
      <w:r w:rsidRPr="00CD6E36">
        <w:rPr>
          <w:rFonts w:ascii="Calibri" w:hAnsi="Calibri"/>
          <w:noProof/>
        </w:rPr>
        <w:tab/>
        <w:t>Department of Health. Reference costs 2012-13. 2013.</w:t>
      </w:r>
      <w:bookmarkEnd w:id="35"/>
    </w:p>
    <w:p w:rsidR="00CD6E36" w:rsidRPr="00CD6E36" w:rsidRDefault="00CD6E36" w:rsidP="00CD6E36">
      <w:pPr>
        <w:spacing w:after="0" w:line="240" w:lineRule="auto"/>
        <w:rPr>
          <w:rFonts w:ascii="Calibri" w:hAnsi="Calibri"/>
          <w:noProof/>
        </w:rPr>
      </w:pPr>
      <w:bookmarkStart w:id="36" w:name="_ENREF_15"/>
      <w:r w:rsidRPr="00CD6E36">
        <w:rPr>
          <w:rFonts w:ascii="Calibri" w:hAnsi="Calibri"/>
          <w:noProof/>
        </w:rPr>
        <w:t>1</w:t>
      </w:r>
      <w:r w:rsidR="00425E19">
        <w:rPr>
          <w:rFonts w:ascii="Calibri" w:hAnsi="Calibri"/>
          <w:noProof/>
        </w:rPr>
        <w:t>7</w:t>
      </w:r>
      <w:r w:rsidRPr="00CD6E36">
        <w:rPr>
          <w:rFonts w:ascii="Calibri" w:hAnsi="Calibri"/>
          <w:noProof/>
        </w:rPr>
        <w:t>.</w:t>
      </w:r>
      <w:r w:rsidRPr="00CD6E36">
        <w:rPr>
          <w:rFonts w:ascii="Calibri" w:hAnsi="Calibri"/>
          <w:noProof/>
        </w:rPr>
        <w:tab/>
        <w:t>NICE. Smoking cessation services: Costing report. London: National Institute for Health and Clinical Excellence, 2008.</w:t>
      </w:r>
      <w:bookmarkEnd w:id="36"/>
    </w:p>
    <w:p w:rsidR="00CD6E36" w:rsidRPr="00CD6E36" w:rsidRDefault="00CD6E36" w:rsidP="00CD6E36">
      <w:pPr>
        <w:spacing w:after="0" w:line="240" w:lineRule="auto"/>
        <w:rPr>
          <w:rFonts w:ascii="Calibri" w:hAnsi="Calibri"/>
          <w:noProof/>
        </w:rPr>
      </w:pPr>
      <w:bookmarkStart w:id="37" w:name="_ENREF_16"/>
      <w:r w:rsidRPr="00CD6E36">
        <w:rPr>
          <w:rFonts w:ascii="Calibri" w:hAnsi="Calibri"/>
          <w:noProof/>
        </w:rPr>
        <w:t>1</w:t>
      </w:r>
      <w:r w:rsidR="00425E19">
        <w:rPr>
          <w:rFonts w:ascii="Calibri" w:hAnsi="Calibri"/>
          <w:noProof/>
        </w:rPr>
        <w:t>8</w:t>
      </w:r>
      <w:r w:rsidRPr="00CD6E36">
        <w:rPr>
          <w:rFonts w:ascii="Calibri" w:hAnsi="Calibri"/>
          <w:noProof/>
        </w:rPr>
        <w:t>.</w:t>
      </w:r>
      <w:r w:rsidRPr="00CD6E36">
        <w:rPr>
          <w:rFonts w:ascii="Calibri" w:hAnsi="Calibri"/>
          <w:noProof/>
        </w:rPr>
        <w:tab/>
        <w:t>The EuroQol Group. EuroQol--a new facility for the measurement of health-related quality of life. The EuroQol Group. Health Policy. 1990;16(3):199-208.</w:t>
      </w:r>
      <w:bookmarkEnd w:id="37"/>
    </w:p>
    <w:p w:rsidR="00CD6E36" w:rsidRDefault="00CD6E36" w:rsidP="00CD6E36">
      <w:pPr>
        <w:spacing w:after="0" w:line="240" w:lineRule="auto"/>
        <w:rPr>
          <w:rFonts w:ascii="Calibri" w:hAnsi="Calibri"/>
          <w:noProof/>
        </w:rPr>
      </w:pPr>
      <w:bookmarkStart w:id="38" w:name="_ENREF_17"/>
      <w:r w:rsidRPr="00CD6E36">
        <w:rPr>
          <w:rFonts w:ascii="Calibri" w:hAnsi="Calibri"/>
          <w:noProof/>
        </w:rPr>
        <w:t>1</w:t>
      </w:r>
      <w:r w:rsidR="00425E19">
        <w:rPr>
          <w:rFonts w:ascii="Calibri" w:hAnsi="Calibri"/>
          <w:noProof/>
        </w:rPr>
        <w:t>9</w:t>
      </w:r>
      <w:r w:rsidRPr="00CD6E36">
        <w:rPr>
          <w:rFonts w:ascii="Calibri" w:hAnsi="Calibri"/>
          <w:noProof/>
        </w:rPr>
        <w:t>.</w:t>
      </w:r>
      <w:r w:rsidRPr="00CD6E36">
        <w:rPr>
          <w:rFonts w:ascii="Calibri" w:hAnsi="Calibri"/>
          <w:noProof/>
        </w:rPr>
        <w:tab/>
        <w:t>Dolan P. Modeling valuations for EuroQol health states. Medical care. 1997;35(11):1095.</w:t>
      </w:r>
      <w:bookmarkEnd w:id="38"/>
    </w:p>
    <w:p w:rsidR="00CD6E36" w:rsidRPr="00CD6E36" w:rsidRDefault="00974212" w:rsidP="00CD6E36">
      <w:pPr>
        <w:spacing w:after="0" w:line="240" w:lineRule="auto"/>
        <w:rPr>
          <w:rFonts w:ascii="Calibri" w:hAnsi="Calibri"/>
          <w:noProof/>
        </w:rPr>
      </w:pPr>
      <w:r w:rsidRPr="00CD6E36">
        <w:rPr>
          <w:rFonts w:ascii="Calibri" w:hAnsi="Calibri"/>
          <w:noProof/>
        </w:rPr>
        <w:t>20.</w:t>
      </w:r>
      <w:r w:rsidRPr="00CD6E36">
        <w:rPr>
          <w:rFonts w:ascii="Calibri" w:hAnsi="Calibri"/>
          <w:noProof/>
        </w:rPr>
        <w:tab/>
        <w:t>Drummond M, Sculpher M, Torrance GW, O'Brien BJ, Stoddart GL. Methods for the Economic Evaluation of Health Care Programmes, Third Edition. Oxford: Oxford University Press; 2005.</w:t>
      </w:r>
      <w:bookmarkStart w:id="39" w:name="_ENREF_18"/>
      <w:r w:rsidR="00425E19">
        <w:rPr>
          <w:rFonts w:ascii="Calibri" w:hAnsi="Calibri"/>
          <w:noProof/>
        </w:rPr>
        <w:t>21</w:t>
      </w:r>
      <w:r w:rsidR="00CD6E36" w:rsidRPr="00CD6E36">
        <w:rPr>
          <w:rFonts w:ascii="Calibri" w:hAnsi="Calibri"/>
          <w:noProof/>
        </w:rPr>
        <w:t>.</w:t>
      </w:r>
      <w:r w:rsidR="00CD6E36" w:rsidRPr="00CD6E36">
        <w:rPr>
          <w:rFonts w:ascii="Calibri" w:hAnsi="Calibri"/>
          <w:noProof/>
        </w:rPr>
        <w:tab/>
        <w:t>Dolan P, Gudex C, Kind P, Williams A. A social tariff for EuroQol: results from a UK general population survey. . York: Centre for Health Economics, 1995.</w:t>
      </w:r>
      <w:bookmarkEnd w:id="39"/>
    </w:p>
    <w:p w:rsidR="00CD6E36" w:rsidRPr="00CD6E36" w:rsidRDefault="00425E19" w:rsidP="00CD6E36">
      <w:pPr>
        <w:spacing w:after="0" w:line="240" w:lineRule="auto"/>
        <w:rPr>
          <w:rFonts w:ascii="Calibri" w:hAnsi="Calibri"/>
          <w:noProof/>
        </w:rPr>
      </w:pPr>
      <w:bookmarkStart w:id="40" w:name="_ENREF_19"/>
      <w:r>
        <w:rPr>
          <w:rFonts w:ascii="Calibri" w:hAnsi="Calibri"/>
          <w:noProof/>
        </w:rPr>
        <w:t>22</w:t>
      </w:r>
      <w:r w:rsidR="00CD6E36" w:rsidRPr="00CD6E36">
        <w:rPr>
          <w:rFonts w:ascii="Calibri" w:hAnsi="Calibri"/>
          <w:noProof/>
        </w:rPr>
        <w:t>.</w:t>
      </w:r>
      <w:r w:rsidR="00CD6E36" w:rsidRPr="00CD6E36">
        <w:rPr>
          <w:rFonts w:ascii="Calibri" w:hAnsi="Calibri"/>
          <w:noProof/>
        </w:rPr>
        <w:tab/>
        <w:t>Richardson G, Manca A. Calculation of quality adjusted life years in the published literature: a review of methodology and transparency. Health Econ. 2004;13(12):1203-10.</w:t>
      </w:r>
      <w:bookmarkEnd w:id="40"/>
    </w:p>
    <w:p w:rsidR="00CD6E36" w:rsidRPr="00CD6E36" w:rsidRDefault="00CD6E36" w:rsidP="00CD6E36">
      <w:pPr>
        <w:spacing w:after="0" w:line="240" w:lineRule="auto"/>
        <w:rPr>
          <w:rFonts w:ascii="Calibri" w:hAnsi="Calibri"/>
          <w:noProof/>
        </w:rPr>
      </w:pPr>
      <w:bookmarkStart w:id="41" w:name="_ENREF_21"/>
      <w:r w:rsidRPr="00CD6E36">
        <w:rPr>
          <w:rFonts w:ascii="Calibri" w:hAnsi="Calibri"/>
          <w:noProof/>
        </w:rPr>
        <w:t>2</w:t>
      </w:r>
      <w:r w:rsidR="00425E19">
        <w:rPr>
          <w:rFonts w:ascii="Calibri" w:hAnsi="Calibri"/>
          <w:noProof/>
        </w:rPr>
        <w:t>3</w:t>
      </w:r>
      <w:r w:rsidRPr="00CD6E36">
        <w:rPr>
          <w:rFonts w:ascii="Calibri" w:hAnsi="Calibri"/>
          <w:noProof/>
        </w:rPr>
        <w:t>.</w:t>
      </w:r>
      <w:r w:rsidRPr="00CD6E36">
        <w:rPr>
          <w:rFonts w:ascii="Calibri" w:hAnsi="Calibri"/>
          <w:noProof/>
        </w:rPr>
        <w:tab/>
        <w:t>Drummond MF, Jefferson TO. Guidelines for authors and peer reviewers of economic submissions to the BMJ. The BMJ Economic Evaluation Working Party. Bmj. 1996;313(7052):275-83.</w:t>
      </w:r>
      <w:bookmarkEnd w:id="41"/>
    </w:p>
    <w:p w:rsidR="00CD6E36" w:rsidRPr="00CD6E36" w:rsidRDefault="00CD6E36" w:rsidP="00CD6E36">
      <w:pPr>
        <w:spacing w:after="0" w:line="240" w:lineRule="auto"/>
        <w:rPr>
          <w:rFonts w:ascii="Calibri" w:hAnsi="Calibri"/>
          <w:noProof/>
        </w:rPr>
      </w:pPr>
      <w:bookmarkStart w:id="42" w:name="_ENREF_22"/>
      <w:r w:rsidRPr="00CD6E36">
        <w:rPr>
          <w:rFonts w:ascii="Calibri" w:hAnsi="Calibri"/>
          <w:noProof/>
        </w:rPr>
        <w:t>2</w:t>
      </w:r>
      <w:r w:rsidR="00425E19">
        <w:rPr>
          <w:rFonts w:ascii="Calibri" w:hAnsi="Calibri"/>
          <w:noProof/>
        </w:rPr>
        <w:t>4</w:t>
      </w:r>
      <w:r w:rsidRPr="00CD6E36">
        <w:rPr>
          <w:rFonts w:ascii="Calibri" w:hAnsi="Calibri"/>
          <w:noProof/>
        </w:rPr>
        <w:t>.</w:t>
      </w:r>
      <w:r w:rsidRPr="00CD6E36">
        <w:rPr>
          <w:rFonts w:ascii="Calibri" w:hAnsi="Calibri"/>
          <w:noProof/>
        </w:rPr>
        <w:tab/>
        <w:t>Coyle D, Davies L, Drummond MF. Trials and tribulations. Emerging issues in designing economic evaluations alongside clinical trials. Int J Technol Assess Health Care. 1998;14(1):135-44.</w:t>
      </w:r>
      <w:bookmarkEnd w:id="42"/>
    </w:p>
    <w:p w:rsidR="00CD6E36" w:rsidRPr="00CD6E36" w:rsidRDefault="00CD6E36" w:rsidP="00CD6E36">
      <w:pPr>
        <w:spacing w:after="0" w:line="240" w:lineRule="auto"/>
        <w:rPr>
          <w:rFonts w:ascii="Calibri" w:hAnsi="Calibri"/>
          <w:noProof/>
        </w:rPr>
      </w:pPr>
      <w:bookmarkStart w:id="43" w:name="_ENREF_23"/>
      <w:r w:rsidRPr="00CD6E36">
        <w:rPr>
          <w:rFonts w:ascii="Calibri" w:hAnsi="Calibri"/>
          <w:noProof/>
        </w:rPr>
        <w:t>2</w:t>
      </w:r>
      <w:r w:rsidR="00425E19">
        <w:rPr>
          <w:rFonts w:ascii="Calibri" w:hAnsi="Calibri"/>
          <w:noProof/>
        </w:rPr>
        <w:t>5</w:t>
      </w:r>
      <w:r w:rsidRPr="00CD6E36">
        <w:rPr>
          <w:rFonts w:ascii="Calibri" w:hAnsi="Calibri"/>
          <w:noProof/>
        </w:rPr>
        <w:t>.</w:t>
      </w:r>
      <w:r w:rsidRPr="00CD6E36">
        <w:rPr>
          <w:rFonts w:ascii="Calibri" w:hAnsi="Calibri"/>
          <w:noProof/>
        </w:rPr>
        <w:tab/>
        <w:t>Petrou S, Gray A. Economic evaluation alongside randomised controlled trials: design, conduct, analysis, and reporting. BMJ. 2011;342:d1548.</w:t>
      </w:r>
      <w:bookmarkEnd w:id="43"/>
    </w:p>
    <w:p w:rsidR="00CD6E36" w:rsidRPr="00CD6E36" w:rsidRDefault="00CD6E36" w:rsidP="00CD6E36">
      <w:pPr>
        <w:spacing w:after="0" w:line="240" w:lineRule="auto"/>
        <w:rPr>
          <w:rFonts w:ascii="Calibri" w:hAnsi="Calibri"/>
          <w:noProof/>
        </w:rPr>
      </w:pPr>
      <w:bookmarkStart w:id="44" w:name="_ENREF_24"/>
      <w:r w:rsidRPr="00CD6E36">
        <w:rPr>
          <w:rFonts w:ascii="Calibri" w:hAnsi="Calibri"/>
          <w:noProof/>
        </w:rPr>
        <w:t>2</w:t>
      </w:r>
      <w:r w:rsidR="00425E19">
        <w:rPr>
          <w:rFonts w:ascii="Calibri" w:hAnsi="Calibri"/>
          <w:noProof/>
        </w:rPr>
        <w:t>6</w:t>
      </w:r>
      <w:r w:rsidRPr="00CD6E36">
        <w:rPr>
          <w:rFonts w:ascii="Calibri" w:hAnsi="Calibri"/>
          <w:noProof/>
        </w:rPr>
        <w:t>.</w:t>
      </w:r>
      <w:r w:rsidRPr="00CD6E36">
        <w:rPr>
          <w:rFonts w:ascii="Calibri" w:hAnsi="Calibri"/>
          <w:noProof/>
        </w:rPr>
        <w:tab/>
        <w:t>Efron B, Tibshirani R. An Introduction to the Bootstrap. New York: Chapman &amp; Hall; 1993.</w:t>
      </w:r>
      <w:bookmarkEnd w:id="44"/>
    </w:p>
    <w:p w:rsidR="00CD6E36" w:rsidRPr="00CD6E36" w:rsidRDefault="00CD6E36" w:rsidP="00CD6E36">
      <w:pPr>
        <w:spacing w:after="0" w:line="240" w:lineRule="auto"/>
        <w:rPr>
          <w:rFonts w:ascii="Calibri" w:hAnsi="Calibri"/>
          <w:noProof/>
        </w:rPr>
      </w:pPr>
      <w:bookmarkStart w:id="45" w:name="_ENREF_25"/>
      <w:r w:rsidRPr="00CD6E36">
        <w:rPr>
          <w:rFonts w:ascii="Calibri" w:hAnsi="Calibri"/>
          <w:noProof/>
        </w:rPr>
        <w:t>2</w:t>
      </w:r>
      <w:r w:rsidR="00425E19">
        <w:rPr>
          <w:rFonts w:ascii="Calibri" w:hAnsi="Calibri"/>
          <w:noProof/>
        </w:rPr>
        <w:t>7</w:t>
      </w:r>
      <w:r w:rsidRPr="00CD6E36">
        <w:rPr>
          <w:rFonts w:ascii="Calibri" w:hAnsi="Calibri"/>
          <w:noProof/>
        </w:rPr>
        <w:t>.</w:t>
      </w:r>
      <w:r w:rsidRPr="00CD6E36">
        <w:rPr>
          <w:rFonts w:ascii="Calibri" w:hAnsi="Calibri"/>
          <w:noProof/>
        </w:rPr>
        <w:tab/>
        <w:t>Chaudhary MA, Stearns SC. Estimating confidence intervals for cost-effectiveness ratios: an example from a randomized trial. Stat Med. 1996;15(13):1447-58.</w:t>
      </w:r>
      <w:bookmarkEnd w:id="45"/>
    </w:p>
    <w:p w:rsidR="00CD6E36" w:rsidRPr="00CD6E36" w:rsidRDefault="00CD6E36" w:rsidP="00CD6E36">
      <w:pPr>
        <w:spacing w:after="0" w:line="240" w:lineRule="auto"/>
        <w:rPr>
          <w:rFonts w:ascii="Calibri" w:hAnsi="Calibri"/>
          <w:noProof/>
        </w:rPr>
      </w:pPr>
      <w:bookmarkStart w:id="46" w:name="_ENREF_26"/>
      <w:r w:rsidRPr="00CD6E36">
        <w:rPr>
          <w:rFonts w:ascii="Calibri" w:hAnsi="Calibri"/>
          <w:noProof/>
        </w:rPr>
        <w:t>2</w:t>
      </w:r>
      <w:r w:rsidR="00425E19">
        <w:rPr>
          <w:rFonts w:ascii="Calibri" w:hAnsi="Calibri"/>
          <w:noProof/>
        </w:rPr>
        <w:t>8</w:t>
      </w:r>
      <w:r w:rsidRPr="00CD6E36">
        <w:rPr>
          <w:rFonts w:ascii="Calibri" w:hAnsi="Calibri"/>
          <w:noProof/>
        </w:rPr>
        <w:t>.</w:t>
      </w:r>
      <w:r w:rsidRPr="00CD6E36">
        <w:rPr>
          <w:rFonts w:ascii="Calibri" w:hAnsi="Calibri"/>
          <w:noProof/>
        </w:rPr>
        <w:tab/>
        <w:t>Willan AR, O'Brien BJ. Confidence intervals for cost-effectiveness ratios: an application of Fieller's theorem. Health Econ. 1996;5(4):297-305.</w:t>
      </w:r>
      <w:bookmarkEnd w:id="46"/>
    </w:p>
    <w:p w:rsidR="00CD6E36" w:rsidRPr="00CD6E36" w:rsidRDefault="00CD6E36" w:rsidP="00CD6E36">
      <w:pPr>
        <w:spacing w:after="0" w:line="240" w:lineRule="auto"/>
        <w:rPr>
          <w:rFonts w:ascii="Calibri" w:hAnsi="Calibri"/>
          <w:noProof/>
        </w:rPr>
      </w:pPr>
      <w:bookmarkStart w:id="47" w:name="_ENREF_27"/>
      <w:r w:rsidRPr="00CD6E36">
        <w:rPr>
          <w:rFonts w:ascii="Calibri" w:hAnsi="Calibri"/>
          <w:noProof/>
        </w:rPr>
        <w:t>2</w:t>
      </w:r>
      <w:r w:rsidR="00425E19">
        <w:rPr>
          <w:rFonts w:ascii="Calibri" w:hAnsi="Calibri"/>
          <w:noProof/>
        </w:rPr>
        <w:t>9</w:t>
      </w:r>
      <w:r w:rsidRPr="00CD6E36">
        <w:rPr>
          <w:rFonts w:ascii="Calibri" w:hAnsi="Calibri"/>
          <w:noProof/>
        </w:rPr>
        <w:t>.</w:t>
      </w:r>
      <w:r w:rsidRPr="00CD6E36">
        <w:rPr>
          <w:rFonts w:ascii="Calibri" w:hAnsi="Calibri"/>
          <w:noProof/>
        </w:rPr>
        <w:tab/>
        <w:t>Severens JL, De Boo TM, Konst EM. Uncertainty of incremental cost-effectiveness ratios. A comparison of Fieller and bootstrap confidence intervals. Int J Technol Assess Health Care. 1999;15(3):608-14.</w:t>
      </w:r>
      <w:bookmarkEnd w:id="47"/>
    </w:p>
    <w:p w:rsidR="00DE4ABC" w:rsidRDefault="00425E19" w:rsidP="00CD6E36">
      <w:pPr>
        <w:spacing w:after="0" w:line="240" w:lineRule="auto"/>
        <w:rPr>
          <w:rFonts w:ascii="Calibri" w:hAnsi="Calibri"/>
          <w:noProof/>
        </w:rPr>
      </w:pPr>
      <w:bookmarkStart w:id="48" w:name="_ENREF_28"/>
      <w:r>
        <w:rPr>
          <w:rFonts w:ascii="Calibri" w:hAnsi="Calibri"/>
          <w:noProof/>
        </w:rPr>
        <w:t>30</w:t>
      </w:r>
      <w:r w:rsidR="00CD6E36" w:rsidRPr="00CD6E36">
        <w:rPr>
          <w:rFonts w:ascii="Calibri" w:hAnsi="Calibri"/>
          <w:noProof/>
        </w:rPr>
        <w:t>.</w:t>
      </w:r>
      <w:r w:rsidR="00CD6E36" w:rsidRPr="00CD6E36">
        <w:rPr>
          <w:rFonts w:ascii="Calibri" w:hAnsi="Calibri"/>
          <w:noProof/>
        </w:rPr>
        <w:tab/>
        <w:t>Fenwick E, Claxton K, Sculpher M. Representing uncertainty: the role of cost-effectiveness acceptability curves. Health Econ. 2001;10(8):779-87.</w:t>
      </w:r>
      <w:bookmarkEnd w:id="48"/>
    </w:p>
    <w:p w:rsidR="00D86411" w:rsidRDefault="00D86411" w:rsidP="00CD6E36">
      <w:pPr>
        <w:spacing w:after="0" w:line="240" w:lineRule="auto"/>
      </w:pPr>
      <w:r>
        <w:rPr>
          <w:rFonts w:ascii="Calibri" w:hAnsi="Calibri"/>
          <w:noProof/>
        </w:rPr>
        <w:t>31.</w:t>
      </w:r>
      <w:r>
        <w:rPr>
          <w:rFonts w:ascii="Calibri" w:hAnsi="Calibri"/>
          <w:noProof/>
        </w:rPr>
        <w:tab/>
      </w:r>
      <w:r>
        <w:t xml:space="preserve">Doll R, Peto R, Boreham J, Sutherland I. </w:t>
      </w:r>
      <w:r w:rsidRPr="00D86411">
        <w:t>Mortality in relation to smoking: 50</w:t>
      </w:r>
      <w:r>
        <w:t xml:space="preserve"> years' observations on male British doctors. BMJ. 2004; </w:t>
      </w:r>
      <w:r w:rsidR="000120A8">
        <w:t xml:space="preserve">328(7455):1519-27. </w:t>
      </w:r>
    </w:p>
    <w:p w:rsidR="00D86411" w:rsidRPr="00CD6E36" w:rsidRDefault="000120A8" w:rsidP="00832BC7">
      <w:pPr>
        <w:spacing w:after="0" w:line="240" w:lineRule="auto"/>
      </w:pPr>
      <w:r>
        <w:t>32.</w:t>
      </w:r>
      <w:r>
        <w:tab/>
        <w:t>Rasmussen SR, Prescott E, Sorensen TI, Sogaard J. The total lifetime costs of smoking. Eur J Public Health. 2004;14</w:t>
      </w:r>
      <w:r w:rsidR="0043629F">
        <w:t>(1)</w:t>
      </w:r>
      <w:r w:rsidR="0026756D">
        <w:t>:95-100.</w:t>
      </w:r>
    </w:p>
    <w:p w:rsidR="00CD6E36" w:rsidRPr="00CD6E36" w:rsidRDefault="00425E19" w:rsidP="00CD6E36">
      <w:pPr>
        <w:spacing w:after="0" w:line="240" w:lineRule="auto"/>
        <w:rPr>
          <w:rFonts w:ascii="Calibri" w:hAnsi="Calibri"/>
          <w:noProof/>
        </w:rPr>
      </w:pPr>
      <w:bookmarkStart w:id="49" w:name="_ENREF_29"/>
      <w:r>
        <w:rPr>
          <w:rFonts w:ascii="Calibri" w:hAnsi="Calibri"/>
          <w:noProof/>
        </w:rPr>
        <w:t>33</w:t>
      </w:r>
      <w:r w:rsidR="00CD6E36" w:rsidRPr="00CD6E36">
        <w:rPr>
          <w:rFonts w:ascii="Calibri" w:hAnsi="Calibri"/>
          <w:noProof/>
        </w:rPr>
        <w:t>.</w:t>
      </w:r>
      <w:r w:rsidR="00CD6E36" w:rsidRPr="00CD6E36">
        <w:rPr>
          <w:rFonts w:ascii="Calibri" w:hAnsi="Calibri"/>
          <w:noProof/>
        </w:rPr>
        <w:tab/>
        <w:t>Ali S, Godfrey CA, Parrott S. Economic model of adult smoking related costs and consequences for England. Public Health Research Consortium, 2011.</w:t>
      </w:r>
      <w:bookmarkEnd w:id="49"/>
    </w:p>
    <w:p w:rsidR="00CD6E36" w:rsidRDefault="00425E19" w:rsidP="00CD6E36">
      <w:pPr>
        <w:spacing w:after="0" w:line="240" w:lineRule="auto"/>
        <w:rPr>
          <w:rFonts w:ascii="Calibri" w:hAnsi="Calibri"/>
          <w:noProof/>
        </w:rPr>
      </w:pPr>
      <w:bookmarkStart w:id="50" w:name="_ENREF_30"/>
      <w:r>
        <w:rPr>
          <w:rFonts w:ascii="Calibri" w:hAnsi="Calibri"/>
          <w:noProof/>
        </w:rPr>
        <w:t>34</w:t>
      </w:r>
      <w:r w:rsidR="00CD6E36" w:rsidRPr="00CD6E36">
        <w:rPr>
          <w:rFonts w:ascii="Calibri" w:hAnsi="Calibri"/>
          <w:noProof/>
        </w:rPr>
        <w:t>.</w:t>
      </w:r>
      <w:r w:rsidR="00CD6E36" w:rsidRPr="00CD6E36">
        <w:rPr>
          <w:rFonts w:ascii="Calibri" w:hAnsi="Calibri"/>
          <w:noProof/>
        </w:rPr>
        <w:tab/>
        <w:t>Vogl M, Wenig CM, Leidl R, Pokhrel S. Smoking and health-related quality of life in English general population: implications for economic evaluations. BMC public health. 2012;12:203.</w:t>
      </w:r>
      <w:bookmarkEnd w:id="50"/>
    </w:p>
    <w:p w:rsidR="00E543C9" w:rsidRPr="00CD6E36" w:rsidRDefault="00E543C9" w:rsidP="00E543C9">
      <w:pPr>
        <w:spacing w:after="0" w:line="240" w:lineRule="auto"/>
        <w:rPr>
          <w:rFonts w:ascii="Calibri" w:hAnsi="Calibri"/>
          <w:noProof/>
        </w:rPr>
      </w:pPr>
      <w:r>
        <w:rPr>
          <w:rFonts w:ascii="Calibri" w:hAnsi="Calibri"/>
          <w:noProof/>
        </w:rPr>
        <w:t>35.</w:t>
      </w:r>
      <w:r>
        <w:rPr>
          <w:rFonts w:ascii="Calibri" w:hAnsi="Calibri"/>
          <w:noProof/>
        </w:rPr>
        <w:tab/>
      </w:r>
      <w:r w:rsidRPr="00E543C9">
        <w:rPr>
          <w:rFonts w:ascii="Calibri" w:hAnsi="Calibri"/>
          <w:noProof/>
        </w:rPr>
        <w:t>World Health Organization. Economics of tobacco toolkit: assessment of the economic costs of</w:t>
      </w:r>
      <w:r>
        <w:rPr>
          <w:rFonts w:ascii="Calibri" w:hAnsi="Calibri"/>
          <w:noProof/>
        </w:rPr>
        <w:t xml:space="preserve"> </w:t>
      </w:r>
      <w:r w:rsidRPr="00E543C9">
        <w:rPr>
          <w:rFonts w:ascii="Calibri" w:hAnsi="Calibri"/>
          <w:noProof/>
        </w:rPr>
        <w:t>smoking. Ge</w:t>
      </w:r>
      <w:r>
        <w:rPr>
          <w:rFonts w:ascii="Calibri" w:hAnsi="Calibri"/>
          <w:noProof/>
        </w:rPr>
        <w:t>neva: World Health Organization.</w:t>
      </w:r>
      <w:r w:rsidRPr="00E543C9">
        <w:rPr>
          <w:rFonts w:ascii="Calibri" w:hAnsi="Calibri"/>
          <w:noProof/>
        </w:rPr>
        <w:t xml:space="preserve"> 2011</w:t>
      </w:r>
      <w:r>
        <w:rPr>
          <w:rFonts w:ascii="Calibri" w:hAnsi="Calibri"/>
          <w:noProof/>
        </w:rPr>
        <w:t xml:space="preserve">. </w:t>
      </w:r>
      <w:r w:rsidRPr="00E543C9">
        <w:rPr>
          <w:rFonts w:ascii="Calibri" w:hAnsi="Calibri"/>
          <w:noProof/>
        </w:rPr>
        <w:t>Available from:</w:t>
      </w:r>
      <w:r>
        <w:rPr>
          <w:rFonts w:ascii="Calibri" w:hAnsi="Calibri"/>
          <w:noProof/>
        </w:rPr>
        <w:t xml:space="preserve"> </w:t>
      </w:r>
      <w:r w:rsidRPr="00E543C9">
        <w:rPr>
          <w:rFonts w:ascii="Calibri" w:hAnsi="Calibri"/>
          <w:noProof/>
          <w:color w:val="0000FF" w:themeColor="hyperlink"/>
          <w:u w:val="single"/>
        </w:rPr>
        <w:t>http://apps.who.int/iris/bitstream/10665/44596/1/9789241501576_eng.pdf</w:t>
      </w:r>
    </w:p>
    <w:p w:rsidR="00CD6E36" w:rsidRPr="00CD6E36" w:rsidRDefault="00CD6E36" w:rsidP="00CD6E36">
      <w:pPr>
        <w:spacing w:after="0" w:line="240" w:lineRule="auto"/>
        <w:rPr>
          <w:rFonts w:ascii="Calibri" w:hAnsi="Calibri"/>
          <w:noProof/>
        </w:rPr>
      </w:pPr>
      <w:bookmarkStart w:id="51" w:name="_ENREF_31"/>
      <w:r w:rsidRPr="00CD6E36">
        <w:rPr>
          <w:rFonts w:ascii="Calibri" w:hAnsi="Calibri"/>
          <w:noProof/>
        </w:rPr>
        <w:t>3</w:t>
      </w:r>
      <w:r w:rsidR="00425E19">
        <w:rPr>
          <w:rFonts w:ascii="Calibri" w:hAnsi="Calibri"/>
          <w:noProof/>
        </w:rPr>
        <w:t>6</w:t>
      </w:r>
      <w:r w:rsidRPr="00CD6E36">
        <w:rPr>
          <w:rFonts w:ascii="Calibri" w:hAnsi="Calibri"/>
          <w:noProof/>
        </w:rPr>
        <w:t>.</w:t>
      </w:r>
      <w:r w:rsidRPr="00CD6E36">
        <w:rPr>
          <w:rFonts w:ascii="Calibri" w:hAnsi="Calibri"/>
          <w:noProof/>
        </w:rPr>
        <w:tab/>
        <w:t>Wu Q, Parrott S, Godfrey C, Gilbert H, Nazareth I, Leurent B, et al. Cost-effectiveness of computer-tailored smoking cessation advice in primary care: a randomized trial (ESCAPE). Nicotine &amp; tobacco research : official journal of the Society for Research on Nicotine and Tobacco. 2014;16(3):270-8.</w:t>
      </w:r>
      <w:bookmarkEnd w:id="51"/>
    </w:p>
    <w:p w:rsidR="00CD6E36" w:rsidRPr="00CD6E36" w:rsidRDefault="00CD6E36" w:rsidP="00CD6E36">
      <w:pPr>
        <w:spacing w:after="0" w:line="240" w:lineRule="auto"/>
        <w:rPr>
          <w:rFonts w:ascii="Calibri" w:hAnsi="Calibri"/>
          <w:noProof/>
        </w:rPr>
      </w:pPr>
      <w:bookmarkStart w:id="52" w:name="_ENREF_32"/>
      <w:r w:rsidRPr="00CD6E36">
        <w:rPr>
          <w:rFonts w:ascii="Calibri" w:hAnsi="Calibri"/>
          <w:noProof/>
        </w:rPr>
        <w:t>3</w:t>
      </w:r>
      <w:r w:rsidR="00425E19">
        <w:rPr>
          <w:rFonts w:ascii="Calibri" w:hAnsi="Calibri"/>
          <w:noProof/>
        </w:rPr>
        <w:t>7</w:t>
      </w:r>
      <w:r w:rsidRPr="00CD6E36">
        <w:rPr>
          <w:rFonts w:ascii="Calibri" w:hAnsi="Calibri"/>
          <w:noProof/>
        </w:rPr>
        <w:t>.</w:t>
      </w:r>
      <w:r w:rsidRPr="00CD6E36">
        <w:rPr>
          <w:rFonts w:ascii="Calibri" w:hAnsi="Calibri"/>
          <w:noProof/>
        </w:rPr>
        <w:tab/>
        <w:t xml:space="preserve">Health and Social Care Information Centre. Statistics on NHS Stop Smoking Services in England 1 April 2013 to 31 March 2014 Final Report 2014. Available from: </w:t>
      </w:r>
      <w:hyperlink r:id="rId9" w:history="1">
        <w:r w:rsidRPr="00CD6E36">
          <w:rPr>
            <w:rFonts w:ascii="Calibri" w:hAnsi="Calibri"/>
            <w:noProof/>
            <w:color w:val="0000FF" w:themeColor="hyperlink"/>
            <w:u w:val="single"/>
          </w:rPr>
          <w:t>http://www.hscic.gov.uk/catalogue/PUB14610/stat-stop-smok-serv-eng-2014-q4-rep.pdf</w:t>
        </w:r>
      </w:hyperlink>
      <w:r w:rsidRPr="00CD6E36">
        <w:rPr>
          <w:rFonts w:ascii="Calibri" w:hAnsi="Calibri"/>
          <w:noProof/>
        </w:rPr>
        <w:t>.</w:t>
      </w:r>
      <w:bookmarkEnd w:id="52"/>
    </w:p>
    <w:p w:rsidR="00CD6E36" w:rsidRPr="00CD6E36" w:rsidRDefault="00CD6E36" w:rsidP="00CD6E36">
      <w:pPr>
        <w:spacing w:after="0" w:line="240" w:lineRule="auto"/>
        <w:rPr>
          <w:rFonts w:ascii="Calibri" w:hAnsi="Calibri"/>
          <w:noProof/>
        </w:rPr>
      </w:pPr>
      <w:bookmarkStart w:id="53" w:name="_ENREF_33"/>
      <w:r w:rsidRPr="00CD6E36">
        <w:rPr>
          <w:rFonts w:ascii="Calibri" w:hAnsi="Calibri"/>
          <w:noProof/>
        </w:rPr>
        <w:t>3</w:t>
      </w:r>
      <w:r w:rsidR="00425E19">
        <w:rPr>
          <w:rFonts w:ascii="Calibri" w:hAnsi="Calibri"/>
          <w:noProof/>
        </w:rPr>
        <w:t>8</w:t>
      </w:r>
      <w:r w:rsidRPr="00CD6E36">
        <w:rPr>
          <w:rFonts w:ascii="Calibri" w:hAnsi="Calibri"/>
          <w:noProof/>
        </w:rPr>
        <w:t>.</w:t>
      </w:r>
      <w:r w:rsidRPr="00CD6E36">
        <w:rPr>
          <w:rFonts w:ascii="Calibri" w:hAnsi="Calibri"/>
          <w:noProof/>
        </w:rPr>
        <w:tab/>
        <w:t xml:space="preserve">WHO. Global Health Observatory Data Repository: Life expectancy, Data by country Switzerland: Geneva,: the World Health Organization,; 2015 [cited 2015 03/08]. Available from: </w:t>
      </w:r>
      <w:hyperlink r:id="rId10" w:history="1">
        <w:r w:rsidRPr="00CD6E36">
          <w:rPr>
            <w:rFonts w:ascii="Calibri" w:hAnsi="Calibri"/>
            <w:noProof/>
            <w:color w:val="0000FF" w:themeColor="hyperlink"/>
            <w:u w:val="single"/>
          </w:rPr>
          <w:t>http://apps.who.int/gho/data/node.main.688?lang=en</w:t>
        </w:r>
      </w:hyperlink>
      <w:r w:rsidRPr="00CD6E36">
        <w:rPr>
          <w:rFonts w:ascii="Calibri" w:hAnsi="Calibri"/>
          <w:noProof/>
        </w:rPr>
        <w:t>.</w:t>
      </w:r>
      <w:bookmarkEnd w:id="53"/>
    </w:p>
    <w:p w:rsidR="00CD6E36" w:rsidRPr="00CD6E36" w:rsidRDefault="00CD6E36" w:rsidP="00CD6E36">
      <w:pPr>
        <w:spacing w:after="0" w:line="240" w:lineRule="auto"/>
        <w:rPr>
          <w:rFonts w:ascii="Calibri" w:hAnsi="Calibri"/>
          <w:noProof/>
        </w:rPr>
      </w:pPr>
      <w:bookmarkStart w:id="54" w:name="_ENREF_34"/>
      <w:r w:rsidRPr="00CD6E36">
        <w:rPr>
          <w:rFonts w:ascii="Calibri" w:hAnsi="Calibri"/>
          <w:noProof/>
        </w:rPr>
        <w:t>3</w:t>
      </w:r>
      <w:r w:rsidR="00425E19">
        <w:rPr>
          <w:rFonts w:ascii="Calibri" w:hAnsi="Calibri"/>
          <w:noProof/>
        </w:rPr>
        <w:t>9</w:t>
      </w:r>
      <w:r w:rsidRPr="00CD6E36">
        <w:rPr>
          <w:rFonts w:ascii="Calibri" w:hAnsi="Calibri"/>
          <w:noProof/>
        </w:rPr>
        <w:t>.</w:t>
      </w:r>
      <w:r w:rsidRPr="00CD6E36">
        <w:rPr>
          <w:rFonts w:ascii="Calibri" w:hAnsi="Calibri"/>
          <w:noProof/>
        </w:rPr>
        <w:tab/>
        <w:t>Murray RL, Coleman T, Antoniak M, Stocks J, Fergus A, Britton J, et al. The effect of proactively identifying smokers and offering smoking cessation support in primary care populations: a cluster-randomized trial. Addiction. 2008;103(6):998-1006; discussion 7-8.</w:t>
      </w:r>
      <w:bookmarkEnd w:id="54"/>
    </w:p>
    <w:p w:rsidR="00CD6E36" w:rsidRPr="00CD6E36" w:rsidRDefault="00425E19" w:rsidP="00CD6E36">
      <w:pPr>
        <w:spacing w:after="0" w:line="240" w:lineRule="auto"/>
        <w:rPr>
          <w:rFonts w:ascii="Calibri" w:hAnsi="Calibri"/>
          <w:noProof/>
        </w:rPr>
      </w:pPr>
      <w:bookmarkStart w:id="55" w:name="_ENREF_35"/>
      <w:r>
        <w:rPr>
          <w:rFonts w:ascii="Calibri" w:hAnsi="Calibri"/>
          <w:noProof/>
        </w:rPr>
        <w:t>40</w:t>
      </w:r>
      <w:r w:rsidR="00CD6E36" w:rsidRPr="00CD6E36">
        <w:rPr>
          <w:rFonts w:ascii="Calibri" w:hAnsi="Calibri"/>
          <w:noProof/>
        </w:rPr>
        <w:t>.</w:t>
      </w:r>
      <w:r w:rsidR="00CD6E36" w:rsidRPr="00CD6E36">
        <w:rPr>
          <w:rFonts w:ascii="Calibri" w:hAnsi="Calibri"/>
          <w:noProof/>
        </w:rPr>
        <w:tab/>
        <w:t>Lichtenstein E, Hollis J. Patient referral to a smoking cessation program: who follows through? The Journal of family practice. 1992;34(6):739-44.</w:t>
      </w:r>
      <w:bookmarkEnd w:id="55"/>
    </w:p>
    <w:p w:rsidR="00CD6E36" w:rsidRPr="00CD6E36" w:rsidRDefault="00425E19" w:rsidP="00CD6E36">
      <w:pPr>
        <w:spacing w:after="0" w:line="240" w:lineRule="auto"/>
        <w:rPr>
          <w:rFonts w:ascii="Calibri" w:hAnsi="Calibri"/>
          <w:noProof/>
        </w:rPr>
      </w:pPr>
      <w:bookmarkStart w:id="56" w:name="_ENREF_36"/>
      <w:r>
        <w:rPr>
          <w:rFonts w:ascii="Calibri" w:hAnsi="Calibri"/>
          <w:noProof/>
        </w:rPr>
        <w:t>41</w:t>
      </w:r>
      <w:r w:rsidR="00CD6E36" w:rsidRPr="00CD6E36">
        <w:rPr>
          <w:rFonts w:ascii="Calibri" w:hAnsi="Calibri"/>
          <w:noProof/>
        </w:rPr>
        <w:t>.</w:t>
      </w:r>
      <w:r w:rsidR="00CD6E36" w:rsidRPr="00CD6E36">
        <w:rPr>
          <w:rFonts w:ascii="Calibri" w:hAnsi="Calibri"/>
          <w:noProof/>
        </w:rPr>
        <w:tab/>
        <w:t>Rasmussen SR, Prescott E, Sorensen TI, Sogaard J. The total lifetime costs of smoking. Eur J Public Health. 2004;14(1):95-100.</w:t>
      </w:r>
      <w:bookmarkEnd w:id="56"/>
    </w:p>
    <w:p w:rsidR="00CD6E36" w:rsidRPr="00CD6E36" w:rsidRDefault="00425E19" w:rsidP="00CD6E36">
      <w:pPr>
        <w:spacing w:after="0" w:line="240" w:lineRule="auto"/>
        <w:rPr>
          <w:rFonts w:ascii="Calibri" w:hAnsi="Calibri"/>
          <w:noProof/>
        </w:rPr>
      </w:pPr>
      <w:bookmarkStart w:id="57" w:name="_ENREF_37"/>
      <w:r>
        <w:rPr>
          <w:rFonts w:ascii="Calibri" w:hAnsi="Calibri"/>
          <w:noProof/>
        </w:rPr>
        <w:t>42</w:t>
      </w:r>
      <w:r w:rsidR="00CD6E36" w:rsidRPr="00CD6E36">
        <w:rPr>
          <w:rFonts w:ascii="Calibri" w:hAnsi="Calibri"/>
          <w:noProof/>
        </w:rPr>
        <w:t>.</w:t>
      </w:r>
      <w:r w:rsidR="00CD6E36" w:rsidRPr="00CD6E36">
        <w:rPr>
          <w:rFonts w:ascii="Calibri" w:hAnsi="Calibri"/>
          <w:noProof/>
        </w:rPr>
        <w:tab/>
        <w:t>Hlatky MA, Owens DK, Sanders GD. Cost-effectiveness as an outcome in randomized clinical trials. Clinical trials. 2006;3(6):543-51.</w:t>
      </w:r>
      <w:bookmarkEnd w:id="57"/>
    </w:p>
    <w:p w:rsidR="00CD6E36" w:rsidRPr="00CD6E36" w:rsidRDefault="00425E19" w:rsidP="00CD6E36">
      <w:pPr>
        <w:spacing w:after="0" w:line="240" w:lineRule="auto"/>
        <w:rPr>
          <w:rFonts w:ascii="Calibri" w:hAnsi="Calibri"/>
          <w:noProof/>
        </w:rPr>
      </w:pPr>
      <w:bookmarkStart w:id="58" w:name="_ENREF_38"/>
      <w:r>
        <w:rPr>
          <w:rFonts w:ascii="Calibri" w:hAnsi="Calibri"/>
          <w:noProof/>
        </w:rPr>
        <w:t>43</w:t>
      </w:r>
      <w:r w:rsidR="00CD6E36" w:rsidRPr="00CD6E36">
        <w:rPr>
          <w:rFonts w:ascii="Calibri" w:hAnsi="Calibri"/>
          <w:noProof/>
        </w:rPr>
        <w:t>.</w:t>
      </w:r>
      <w:r w:rsidR="00CD6E36" w:rsidRPr="00CD6E36">
        <w:rPr>
          <w:rFonts w:ascii="Calibri" w:hAnsi="Calibri"/>
          <w:noProof/>
        </w:rPr>
        <w:tab/>
        <w:t>Pit SW, Vo T, Pyakurel S. The effectiveness of recruitment strategies on general practitioner's survey response rates - a systematic review. BMC Med Res Methodol. 2014;14:76.</w:t>
      </w:r>
      <w:bookmarkEnd w:id="58"/>
    </w:p>
    <w:p w:rsidR="00CD6E36" w:rsidRPr="00CD6E36" w:rsidRDefault="00425E19" w:rsidP="00CD6E36">
      <w:pPr>
        <w:spacing w:after="0" w:line="240" w:lineRule="auto"/>
        <w:rPr>
          <w:rFonts w:ascii="Calibri" w:hAnsi="Calibri"/>
          <w:noProof/>
        </w:rPr>
      </w:pPr>
      <w:bookmarkStart w:id="59" w:name="_ENREF_39"/>
      <w:r>
        <w:rPr>
          <w:rFonts w:ascii="Calibri" w:hAnsi="Calibri"/>
          <w:noProof/>
        </w:rPr>
        <w:t>44</w:t>
      </w:r>
      <w:r w:rsidR="00CD6E36" w:rsidRPr="00CD6E36">
        <w:rPr>
          <w:rFonts w:ascii="Calibri" w:hAnsi="Calibri"/>
          <w:noProof/>
        </w:rPr>
        <w:t>.</w:t>
      </w:r>
      <w:r w:rsidR="00CD6E36" w:rsidRPr="00CD6E36">
        <w:rPr>
          <w:rFonts w:ascii="Calibri" w:hAnsi="Calibri"/>
          <w:noProof/>
        </w:rPr>
        <w:tab/>
        <w:t>ASH. The economics of tobacco. London: Action on Smoking and Health (ASH), 2015.</w:t>
      </w:r>
      <w:bookmarkEnd w:id="59"/>
    </w:p>
    <w:p w:rsidR="00CD6E36" w:rsidRPr="00CD6E36" w:rsidRDefault="00CD6E36" w:rsidP="00CD6E36">
      <w:pPr>
        <w:spacing w:line="240" w:lineRule="auto"/>
        <w:rPr>
          <w:rFonts w:ascii="Calibri" w:hAnsi="Calibri"/>
          <w:noProof/>
        </w:rPr>
      </w:pPr>
      <w:bookmarkStart w:id="60" w:name="_ENREF_40"/>
      <w:r w:rsidRPr="00CD6E36">
        <w:rPr>
          <w:rFonts w:ascii="Calibri" w:hAnsi="Calibri"/>
          <w:noProof/>
        </w:rPr>
        <w:t>4</w:t>
      </w:r>
      <w:r w:rsidR="00425E19">
        <w:rPr>
          <w:rFonts w:ascii="Calibri" w:hAnsi="Calibri"/>
          <w:noProof/>
        </w:rPr>
        <w:t>5</w:t>
      </w:r>
      <w:r w:rsidRPr="00CD6E36">
        <w:rPr>
          <w:rFonts w:ascii="Calibri" w:hAnsi="Calibri"/>
          <w:noProof/>
        </w:rPr>
        <w:t>.</w:t>
      </w:r>
      <w:r w:rsidRPr="00CD6E36">
        <w:rPr>
          <w:rFonts w:ascii="Calibri" w:hAnsi="Calibri"/>
          <w:noProof/>
        </w:rPr>
        <w:tab/>
        <w:t>Woolacott NF, Jones L, Forbes CA, Mather LC, Sowden AJ, Song FJ, et al. The clinical effectiveness and cost-effectiveness of bupropion and nicotine replacement therapy for smoking cessation: a systematic review and economic evaluation. Health technology assessment. 2002;6(16):1-245.</w:t>
      </w:r>
      <w:bookmarkEnd w:id="60"/>
    </w:p>
    <w:p w:rsidR="00335798" w:rsidRDefault="00CD6E36" w:rsidP="008850CD">
      <w:pPr>
        <w:rPr>
          <w:rFonts w:ascii="Times New Roman" w:hAnsi="Times New Roman" w:cs="Times New Roman"/>
          <w:noProof/>
          <w:sz w:val="24"/>
          <w:szCs w:val="24"/>
        </w:rPr>
      </w:pPr>
      <w:r w:rsidRPr="00CD6E36">
        <w:rPr>
          <w:rFonts w:ascii="Times New Roman" w:hAnsi="Times New Roman" w:cs="Times New Roman"/>
          <w:sz w:val="24"/>
          <w:szCs w:val="24"/>
        </w:rPr>
        <w:fldChar w:fldCharType="end"/>
      </w:r>
      <w:r w:rsidR="008850CD">
        <w:rPr>
          <w:rFonts w:ascii="Times New Roman" w:hAnsi="Times New Roman" w:cs="Times New Roman"/>
          <w:sz w:val="24"/>
          <w:szCs w:val="24"/>
        </w:rPr>
        <w:t xml:space="preserve"> </w:t>
      </w:r>
      <w:r w:rsidR="00335798">
        <w:rPr>
          <w:rFonts w:ascii="Times New Roman" w:hAnsi="Times New Roman" w:cs="Times New Roman"/>
          <w:sz w:val="24"/>
          <w:szCs w:val="24"/>
        </w:rPr>
        <w:br w:type="page"/>
      </w:r>
    </w:p>
    <w:p w:rsidR="00335798" w:rsidRPr="00132180" w:rsidRDefault="00335798" w:rsidP="00335798">
      <w:pPr>
        <w:rPr>
          <w:rFonts w:ascii="Times New Roman" w:hAnsi="Times New Roman" w:cs="Times New Roman"/>
          <w:sz w:val="24"/>
          <w:szCs w:val="24"/>
        </w:rPr>
      </w:pPr>
      <w:r w:rsidRPr="00132180">
        <w:rPr>
          <w:rFonts w:ascii="Times New Roman" w:hAnsi="Times New Roman" w:cs="Times New Roman"/>
          <w:sz w:val="24"/>
          <w:szCs w:val="24"/>
        </w:rPr>
        <w:t>Figures</w:t>
      </w:r>
    </w:p>
    <w:p w:rsidR="00335798" w:rsidRPr="005E3619" w:rsidRDefault="00335798" w:rsidP="00335798">
      <w:pPr>
        <w:spacing w:line="240" w:lineRule="auto"/>
        <w:rPr>
          <w:rFonts w:ascii="Times New Roman" w:eastAsia="SimSun" w:hAnsi="Times New Roman" w:cs="Times New Roman"/>
          <w:b/>
          <w:bCs/>
          <w:i/>
          <w:iCs/>
          <w:sz w:val="24"/>
          <w:szCs w:val="24"/>
        </w:rPr>
      </w:pPr>
      <w:bookmarkStart w:id="61" w:name="_Ref445126036"/>
      <w:r w:rsidRPr="005E3619">
        <w:rPr>
          <w:rFonts w:ascii="Times New Roman" w:eastAsia="SimSun" w:hAnsi="Times New Roman" w:cs="Times New Roman"/>
          <w:i/>
          <w:iCs/>
          <w:sz w:val="24"/>
          <w:szCs w:val="24"/>
        </w:rPr>
        <w:t xml:space="preserve">Figure </w:t>
      </w:r>
      <w:r w:rsidRPr="005E3619">
        <w:rPr>
          <w:rFonts w:ascii="Times New Roman" w:eastAsia="SimSun" w:hAnsi="Times New Roman" w:cs="Times New Roman"/>
          <w:i/>
          <w:iCs/>
          <w:sz w:val="24"/>
          <w:szCs w:val="24"/>
        </w:rPr>
        <w:fldChar w:fldCharType="begin"/>
      </w:r>
      <w:r w:rsidRPr="005E3619">
        <w:rPr>
          <w:rFonts w:ascii="Times New Roman" w:eastAsia="SimSun" w:hAnsi="Times New Roman" w:cs="Times New Roman"/>
          <w:i/>
          <w:iCs/>
          <w:sz w:val="24"/>
          <w:szCs w:val="24"/>
        </w:rPr>
        <w:instrText xml:space="preserve"> SEQ Figure \* ARABIC </w:instrText>
      </w:r>
      <w:r w:rsidRPr="005E3619">
        <w:rPr>
          <w:rFonts w:ascii="Times New Roman" w:eastAsia="SimSun" w:hAnsi="Times New Roman" w:cs="Times New Roman"/>
          <w:i/>
          <w:iCs/>
          <w:sz w:val="24"/>
          <w:szCs w:val="24"/>
        </w:rPr>
        <w:fldChar w:fldCharType="separate"/>
      </w:r>
      <w:r w:rsidRPr="005E3619">
        <w:rPr>
          <w:rFonts w:ascii="Times New Roman" w:eastAsia="SimSun" w:hAnsi="Times New Roman" w:cs="Times New Roman"/>
          <w:i/>
          <w:iCs/>
          <w:noProof/>
          <w:sz w:val="24"/>
          <w:szCs w:val="24"/>
        </w:rPr>
        <w:t>1</w:t>
      </w:r>
      <w:r w:rsidRPr="005E3619">
        <w:rPr>
          <w:rFonts w:ascii="Times New Roman" w:eastAsia="SimSun" w:hAnsi="Times New Roman" w:cs="Times New Roman"/>
          <w:i/>
          <w:iCs/>
          <w:noProof/>
          <w:sz w:val="24"/>
          <w:szCs w:val="24"/>
        </w:rPr>
        <w:fldChar w:fldCharType="end"/>
      </w:r>
      <w:bookmarkEnd w:id="61"/>
      <w:r w:rsidRPr="005E3619">
        <w:rPr>
          <w:rFonts w:ascii="Times New Roman" w:eastAsia="SimSun" w:hAnsi="Times New Roman" w:cs="Times New Roman"/>
          <w:b/>
          <w:bCs/>
          <w:i/>
          <w:iCs/>
          <w:sz w:val="24"/>
          <w:szCs w:val="24"/>
        </w:rPr>
        <w:t>: Cost-effectiveness plane (multiple imputation analysis)</w:t>
      </w:r>
    </w:p>
    <w:p w:rsidR="00335798" w:rsidRPr="005E3619" w:rsidRDefault="00335798" w:rsidP="00335798">
      <w:pPr>
        <w:spacing w:line="240" w:lineRule="auto"/>
        <w:jc w:val="both"/>
        <w:rPr>
          <w:rFonts w:ascii="Times New Roman" w:eastAsia="SimSun" w:hAnsi="Times New Roman" w:cs="Times New Roman"/>
          <w:sz w:val="24"/>
          <w:szCs w:val="24"/>
        </w:rPr>
      </w:pPr>
      <w:r w:rsidRPr="005E3619">
        <w:rPr>
          <w:rFonts w:ascii="Times New Roman" w:eastAsia="SimSun" w:hAnsi="Times New Roman" w:cs="Times New Roman"/>
          <w:noProof/>
          <w:sz w:val="24"/>
          <w:szCs w:val="24"/>
          <w:lang w:eastAsia="en-GB"/>
        </w:rPr>
        <w:drawing>
          <wp:inline distT="0" distB="0" distL="0" distR="0" wp14:anchorId="7B86EFE9" wp14:editId="02AEA846">
            <wp:extent cx="3291840" cy="244695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2"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3804" cy="2448411"/>
                    </a:xfrm>
                    <a:prstGeom prst="rect">
                      <a:avLst/>
                    </a:prstGeom>
                    <a:noFill/>
                    <a:ln>
                      <a:noFill/>
                    </a:ln>
                    <a:effectLst/>
                    <a:extLst/>
                  </pic:spPr>
                </pic:pic>
              </a:graphicData>
            </a:graphic>
          </wp:inline>
        </w:drawing>
      </w:r>
    </w:p>
    <w:p w:rsidR="00335798" w:rsidRPr="005E3619" w:rsidRDefault="00335798" w:rsidP="00335798">
      <w:pPr>
        <w:spacing w:line="240" w:lineRule="auto"/>
        <w:rPr>
          <w:rFonts w:ascii="Times New Roman" w:eastAsia="SimSun" w:hAnsi="Times New Roman" w:cs="Times New Roman"/>
          <w:b/>
          <w:bCs/>
          <w:i/>
          <w:iCs/>
          <w:sz w:val="24"/>
          <w:szCs w:val="24"/>
        </w:rPr>
      </w:pPr>
      <w:bookmarkStart w:id="62" w:name="_Ref445126046"/>
      <w:r w:rsidRPr="005E3619">
        <w:rPr>
          <w:rFonts w:ascii="Times New Roman" w:eastAsia="SimSun" w:hAnsi="Times New Roman" w:cs="Times New Roman"/>
          <w:i/>
          <w:iCs/>
          <w:sz w:val="24"/>
          <w:szCs w:val="24"/>
        </w:rPr>
        <w:t xml:space="preserve">Figure </w:t>
      </w:r>
      <w:r w:rsidRPr="005E3619">
        <w:rPr>
          <w:rFonts w:ascii="Times New Roman" w:eastAsia="SimSun" w:hAnsi="Times New Roman" w:cs="Times New Roman"/>
          <w:i/>
          <w:iCs/>
          <w:sz w:val="24"/>
          <w:szCs w:val="24"/>
        </w:rPr>
        <w:fldChar w:fldCharType="begin"/>
      </w:r>
      <w:r w:rsidRPr="005E3619">
        <w:rPr>
          <w:rFonts w:ascii="Times New Roman" w:eastAsia="SimSun" w:hAnsi="Times New Roman" w:cs="Times New Roman"/>
          <w:i/>
          <w:iCs/>
          <w:sz w:val="24"/>
          <w:szCs w:val="24"/>
        </w:rPr>
        <w:instrText xml:space="preserve"> SEQ Figure \* ARABIC </w:instrText>
      </w:r>
      <w:r w:rsidRPr="005E3619">
        <w:rPr>
          <w:rFonts w:ascii="Times New Roman" w:eastAsia="SimSun" w:hAnsi="Times New Roman" w:cs="Times New Roman"/>
          <w:i/>
          <w:iCs/>
          <w:sz w:val="24"/>
          <w:szCs w:val="24"/>
        </w:rPr>
        <w:fldChar w:fldCharType="separate"/>
      </w:r>
      <w:r w:rsidRPr="005E3619">
        <w:rPr>
          <w:rFonts w:ascii="Times New Roman" w:eastAsia="SimSun" w:hAnsi="Times New Roman" w:cs="Times New Roman"/>
          <w:i/>
          <w:iCs/>
          <w:noProof/>
          <w:sz w:val="24"/>
          <w:szCs w:val="24"/>
        </w:rPr>
        <w:t>2</w:t>
      </w:r>
      <w:r w:rsidRPr="005E3619">
        <w:rPr>
          <w:rFonts w:ascii="Times New Roman" w:eastAsia="SimSun" w:hAnsi="Times New Roman" w:cs="Times New Roman"/>
          <w:i/>
          <w:iCs/>
          <w:noProof/>
          <w:sz w:val="24"/>
          <w:szCs w:val="24"/>
        </w:rPr>
        <w:fldChar w:fldCharType="end"/>
      </w:r>
      <w:bookmarkEnd w:id="62"/>
      <w:r w:rsidRPr="005E3619">
        <w:rPr>
          <w:rFonts w:ascii="Times New Roman" w:eastAsia="SimSun" w:hAnsi="Times New Roman" w:cs="Times New Roman"/>
          <w:i/>
          <w:iCs/>
          <w:sz w:val="24"/>
          <w:szCs w:val="24"/>
        </w:rPr>
        <w:t xml:space="preserve">: </w:t>
      </w:r>
      <w:r w:rsidRPr="005E3619">
        <w:rPr>
          <w:rFonts w:ascii="Times New Roman" w:eastAsia="SimSun" w:hAnsi="Times New Roman" w:cs="Times New Roman"/>
          <w:b/>
          <w:bCs/>
          <w:i/>
          <w:iCs/>
          <w:sz w:val="24"/>
          <w:szCs w:val="24"/>
        </w:rPr>
        <w:t>Cost-effectiveness acceptability curve (multiple imputation analysis)</w:t>
      </w:r>
    </w:p>
    <w:p w:rsidR="00335798" w:rsidRPr="005E3619" w:rsidRDefault="00335798" w:rsidP="00335798">
      <w:pPr>
        <w:spacing w:line="240" w:lineRule="auto"/>
        <w:jc w:val="both"/>
        <w:rPr>
          <w:rFonts w:ascii="Times New Roman" w:eastAsia="SimSun" w:hAnsi="Times New Roman" w:cs="Times New Roman"/>
          <w:sz w:val="24"/>
          <w:szCs w:val="24"/>
        </w:rPr>
      </w:pPr>
      <w:r w:rsidRPr="005E3619">
        <w:rPr>
          <w:rFonts w:ascii="Times New Roman" w:eastAsia="SimSun" w:hAnsi="Times New Roman" w:cs="Times New Roman"/>
          <w:noProof/>
          <w:sz w:val="24"/>
          <w:szCs w:val="24"/>
          <w:lang w:eastAsia="en-GB"/>
        </w:rPr>
        <w:drawing>
          <wp:inline distT="0" distB="0" distL="0" distR="0" wp14:anchorId="017A24D4" wp14:editId="45E3909D">
            <wp:extent cx="3359932" cy="267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1"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2259" cy="2676473"/>
                    </a:xfrm>
                    <a:prstGeom prst="rect">
                      <a:avLst/>
                    </a:prstGeom>
                    <a:noFill/>
                    <a:ln>
                      <a:noFill/>
                    </a:ln>
                    <a:effectLst/>
                    <a:extLst/>
                  </pic:spPr>
                </pic:pic>
              </a:graphicData>
            </a:graphic>
          </wp:inline>
        </w:drawing>
      </w:r>
    </w:p>
    <w:p w:rsidR="00335798" w:rsidRPr="005E3619" w:rsidRDefault="00335798" w:rsidP="00335798">
      <w:pPr>
        <w:spacing w:line="240" w:lineRule="auto"/>
        <w:jc w:val="both"/>
        <w:rPr>
          <w:rFonts w:ascii="Times New Roman" w:eastAsia="SimSun" w:hAnsi="Times New Roman" w:cs="Times New Roman"/>
          <w:sz w:val="24"/>
          <w:szCs w:val="24"/>
        </w:rPr>
      </w:pPr>
    </w:p>
    <w:p w:rsidR="00335798" w:rsidRPr="00132180" w:rsidRDefault="00335798" w:rsidP="00335798">
      <w:pPr>
        <w:pStyle w:val="Caption"/>
        <w:rPr>
          <w:rFonts w:ascii="Times New Roman" w:hAnsi="Times New Roman" w:cs="Times New Roman"/>
          <w:iCs w:val="0"/>
          <w:color w:val="auto"/>
          <w:sz w:val="24"/>
          <w:szCs w:val="24"/>
        </w:rPr>
      </w:pPr>
      <w:bookmarkStart w:id="63" w:name="_Ref445149701"/>
      <w:bookmarkStart w:id="64" w:name="_Ref445149686"/>
      <w:r w:rsidRPr="00132180">
        <w:rPr>
          <w:rFonts w:ascii="Times New Roman" w:hAnsi="Times New Roman" w:cs="Times New Roman"/>
          <w:color w:val="auto"/>
          <w:sz w:val="24"/>
          <w:szCs w:val="24"/>
        </w:rPr>
        <w:t xml:space="preserve">Figure </w:t>
      </w:r>
      <w:r w:rsidRPr="00132180">
        <w:rPr>
          <w:rFonts w:ascii="Times New Roman" w:hAnsi="Times New Roman" w:cs="Times New Roman"/>
          <w:color w:val="auto"/>
          <w:sz w:val="24"/>
          <w:szCs w:val="24"/>
        </w:rPr>
        <w:fldChar w:fldCharType="begin"/>
      </w:r>
      <w:r w:rsidRPr="00132180">
        <w:rPr>
          <w:rFonts w:ascii="Times New Roman" w:hAnsi="Times New Roman" w:cs="Times New Roman"/>
          <w:color w:val="auto"/>
          <w:sz w:val="24"/>
          <w:szCs w:val="24"/>
        </w:rPr>
        <w:instrText xml:space="preserve"> SEQ Figure \* ARABIC </w:instrText>
      </w:r>
      <w:r w:rsidRPr="00132180">
        <w:rPr>
          <w:rFonts w:ascii="Times New Roman" w:hAnsi="Times New Roman" w:cs="Times New Roman"/>
          <w:color w:val="auto"/>
          <w:sz w:val="24"/>
          <w:szCs w:val="24"/>
        </w:rPr>
        <w:fldChar w:fldCharType="separate"/>
      </w:r>
      <w:r w:rsidRPr="00132180">
        <w:rPr>
          <w:rFonts w:ascii="Times New Roman" w:hAnsi="Times New Roman" w:cs="Times New Roman"/>
          <w:noProof/>
          <w:color w:val="auto"/>
          <w:sz w:val="24"/>
          <w:szCs w:val="24"/>
        </w:rPr>
        <w:t>3</w:t>
      </w:r>
      <w:r w:rsidRPr="00132180">
        <w:rPr>
          <w:rFonts w:ascii="Times New Roman" w:hAnsi="Times New Roman" w:cs="Times New Roman"/>
          <w:noProof/>
          <w:color w:val="auto"/>
          <w:sz w:val="24"/>
          <w:szCs w:val="24"/>
        </w:rPr>
        <w:fldChar w:fldCharType="end"/>
      </w:r>
      <w:bookmarkEnd w:id="63"/>
      <w:r w:rsidRPr="00132180">
        <w:rPr>
          <w:rFonts w:ascii="Times New Roman" w:hAnsi="Times New Roman" w:cs="Times New Roman"/>
          <w:color w:val="auto"/>
          <w:sz w:val="24"/>
          <w:szCs w:val="24"/>
        </w:rPr>
        <w:t>: Lifetime cost-effectiveness acceptability curve (before and after being discounted)</w:t>
      </w:r>
      <w:bookmarkEnd w:id="64"/>
    </w:p>
    <w:p w:rsidR="00335798" w:rsidRPr="00132180" w:rsidRDefault="00335798" w:rsidP="00335798">
      <w:pPr>
        <w:spacing w:line="240" w:lineRule="auto"/>
        <w:rPr>
          <w:rFonts w:ascii="Times New Roman" w:hAnsi="Times New Roman" w:cs="Times New Roman"/>
          <w:b/>
          <w:sz w:val="24"/>
          <w:szCs w:val="24"/>
        </w:rPr>
      </w:pPr>
      <w:r w:rsidRPr="00132180">
        <w:rPr>
          <w:rFonts w:ascii="Times New Roman" w:hAnsi="Times New Roman" w:cs="Times New Roman"/>
          <w:b/>
          <w:noProof/>
          <w:sz w:val="24"/>
          <w:szCs w:val="24"/>
          <w:lang w:eastAsia="en-GB"/>
        </w:rPr>
        <w:drawing>
          <wp:inline distT="0" distB="0" distL="0" distR="0" wp14:anchorId="462FBF54" wp14:editId="30CBE09E">
            <wp:extent cx="2607891" cy="2264916"/>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7961" cy="2264977"/>
                    </a:xfrm>
                    <a:prstGeom prst="rect">
                      <a:avLst/>
                    </a:prstGeom>
                    <a:noFill/>
                    <a:ln>
                      <a:noFill/>
                    </a:ln>
                  </pic:spPr>
                </pic:pic>
              </a:graphicData>
            </a:graphic>
          </wp:inline>
        </w:drawing>
      </w:r>
      <w:r w:rsidRPr="00132180">
        <w:rPr>
          <w:rFonts w:ascii="Times New Roman" w:hAnsi="Times New Roman" w:cs="Times New Roman"/>
          <w:b/>
          <w:noProof/>
          <w:sz w:val="24"/>
          <w:szCs w:val="24"/>
          <w:lang w:eastAsia="en-GB"/>
        </w:rPr>
        <w:drawing>
          <wp:inline distT="0" distB="0" distL="0" distR="0" wp14:anchorId="1874E4D8" wp14:editId="577BE4F8">
            <wp:extent cx="2794780" cy="2263140"/>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7927" cy="2265688"/>
                    </a:xfrm>
                    <a:prstGeom prst="rect">
                      <a:avLst/>
                    </a:prstGeom>
                    <a:noFill/>
                    <a:ln>
                      <a:noFill/>
                    </a:ln>
                  </pic:spPr>
                </pic:pic>
              </a:graphicData>
            </a:graphic>
          </wp:inline>
        </w:drawing>
      </w:r>
    </w:p>
    <w:p w:rsidR="00335798" w:rsidRPr="00132180" w:rsidRDefault="00335798" w:rsidP="00335798">
      <w:pPr>
        <w:pStyle w:val="Caption"/>
        <w:rPr>
          <w:rFonts w:ascii="Times New Roman" w:hAnsi="Times New Roman" w:cs="Times New Roman"/>
          <w:color w:val="auto"/>
          <w:sz w:val="24"/>
          <w:szCs w:val="24"/>
        </w:rPr>
      </w:pPr>
      <w:bookmarkStart w:id="65" w:name="_Ref445199063"/>
      <w:r w:rsidRPr="00132180">
        <w:rPr>
          <w:rFonts w:ascii="Times New Roman" w:hAnsi="Times New Roman" w:cs="Times New Roman"/>
          <w:color w:val="auto"/>
          <w:sz w:val="24"/>
          <w:szCs w:val="24"/>
        </w:rPr>
        <w:t xml:space="preserve">Figure </w:t>
      </w:r>
      <w:r w:rsidRPr="00132180">
        <w:rPr>
          <w:rFonts w:ascii="Times New Roman" w:hAnsi="Times New Roman" w:cs="Times New Roman"/>
          <w:color w:val="auto"/>
          <w:sz w:val="24"/>
          <w:szCs w:val="24"/>
        </w:rPr>
        <w:fldChar w:fldCharType="begin"/>
      </w:r>
      <w:r w:rsidRPr="00132180">
        <w:rPr>
          <w:rFonts w:ascii="Times New Roman" w:hAnsi="Times New Roman" w:cs="Times New Roman"/>
          <w:color w:val="auto"/>
          <w:sz w:val="24"/>
          <w:szCs w:val="24"/>
        </w:rPr>
        <w:instrText xml:space="preserve"> SEQ Figure \* ARABIC </w:instrText>
      </w:r>
      <w:r w:rsidRPr="00132180">
        <w:rPr>
          <w:rFonts w:ascii="Times New Roman" w:hAnsi="Times New Roman" w:cs="Times New Roman"/>
          <w:color w:val="auto"/>
          <w:sz w:val="24"/>
          <w:szCs w:val="24"/>
        </w:rPr>
        <w:fldChar w:fldCharType="separate"/>
      </w:r>
      <w:r w:rsidRPr="00132180">
        <w:rPr>
          <w:rFonts w:ascii="Times New Roman" w:hAnsi="Times New Roman" w:cs="Times New Roman"/>
          <w:noProof/>
          <w:color w:val="auto"/>
          <w:sz w:val="24"/>
          <w:szCs w:val="24"/>
        </w:rPr>
        <w:t>4</w:t>
      </w:r>
      <w:r w:rsidRPr="00132180">
        <w:rPr>
          <w:rFonts w:ascii="Times New Roman" w:hAnsi="Times New Roman" w:cs="Times New Roman"/>
          <w:color w:val="auto"/>
          <w:sz w:val="24"/>
          <w:szCs w:val="24"/>
        </w:rPr>
        <w:fldChar w:fldCharType="end"/>
      </w:r>
      <w:bookmarkEnd w:id="65"/>
      <w:r w:rsidRPr="00132180">
        <w:rPr>
          <w:rFonts w:ascii="Times New Roman" w:hAnsi="Times New Roman" w:cs="Times New Roman"/>
          <w:color w:val="auto"/>
          <w:sz w:val="24"/>
          <w:szCs w:val="24"/>
        </w:rPr>
        <w:t>: Cost-effectiveness acceptability curve (complete case analysis)</w:t>
      </w:r>
    </w:p>
    <w:p w:rsidR="00335798" w:rsidRPr="00132180" w:rsidRDefault="00335798" w:rsidP="00335798">
      <w:pPr>
        <w:spacing w:after="0" w:line="240" w:lineRule="auto"/>
        <w:jc w:val="both"/>
        <w:rPr>
          <w:rFonts w:ascii="Times New Roman" w:eastAsia="SimSun" w:hAnsi="Times New Roman" w:cs="Times New Roman"/>
          <w:sz w:val="24"/>
          <w:szCs w:val="24"/>
        </w:rPr>
      </w:pPr>
      <w:r w:rsidRPr="00132180">
        <w:rPr>
          <w:rFonts w:ascii="Times New Roman" w:eastAsia="SimSun" w:hAnsi="Times New Roman" w:cs="Times New Roman"/>
          <w:noProof/>
          <w:sz w:val="24"/>
          <w:szCs w:val="24"/>
          <w:lang w:eastAsia="en-GB"/>
        </w:rPr>
        <w:drawing>
          <wp:inline distT="0" distB="0" distL="0" distR="0" wp14:anchorId="470BE844" wp14:editId="2EDA614E">
            <wp:extent cx="3808562" cy="2870336"/>
            <wp:effectExtent l="0" t="0" r="1905" b="6350"/>
            <wp:docPr id="37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3"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1551" cy="2872589"/>
                    </a:xfrm>
                    <a:prstGeom prst="rect">
                      <a:avLst/>
                    </a:prstGeom>
                    <a:noFill/>
                    <a:ln>
                      <a:noFill/>
                    </a:ln>
                    <a:effectLst/>
                    <a:extLst/>
                  </pic:spPr>
                </pic:pic>
              </a:graphicData>
            </a:graphic>
          </wp:inline>
        </w:drawing>
      </w:r>
    </w:p>
    <w:p w:rsidR="00335798" w:rsidRPr="00132180" w:rsidRDefault="00335798" w:rsidP="00335798"/>
    <w:p w:rsidR="00335798" w:rsidRDefault="00335798">
      <w:pPr>
        <w:rPr>
          <w:rFonts w:ascii="Times New Roman" w:hAnsi="Times New Roman" w:cs="Times New Roman"/>
          <w:noProof/>
          <w:sz w:val="24"/>
          <w:szCs w:val="24"/>
        </w:rPr>
      </w:pPr>
      <w:r>
        <w:rPr>
          <w:rFonts w:ascii="Times New Roman" w:hAnsi="Times New Roman" w:cs="Times New Roman"/>
          <w:sz w:val="24"/>
          <w:szCs w:val="24"/>
        </w:rPr>
        <w:br w:type="page"/>
      </w:r>
    </w:p>
    <w:p w:rsidR="00335798" w:rsidRPr="00706BE7" w:rsidRDefault="00335798" w:rsidP="00335798">
      <w:pPr>
        <w:rPr>
          <w:rFonts w:ascii="Times New Roman" w:hAnsi="Times New Roman" w:cs="Times New Roman"/>
          <w:sz w:val="24"/>
          <w:szCs w:val="24"/>
        </w:rPr>
      </w:pPr>
      <w:r w:rsidRPr="00706BE7">
        <w:rPr>
          <w:rFonts w:ascii="Times New Roman" w:hAnsi="Times New Roman" w:cs="Times New Roman"/>
          <w:sz w:val="24"/>
          <w:szCs w:val="24"/>
        </w:rPr>
        <w:t>Tables</w:t>
      </w:r>
    </w:p>
    <w:p w:rsidR="00335798" w:rsidRDefault="00335798" w:rsidP="00335798">
      <w:pPr>
        <w:keepNext/>
        <w:spacing w:line="240" w:lineRule="auto"/>
        <w:jc w:val="both"/>
        <w:rPr>
          <w:rFonts w:ascii="Times New Roman" w:eastAsia="SimSun" w:hAnsi="Times New Roman" w:cs="Times New Roman"/>
          <w:bCs/>
          <w:iCs/>
          <w:sz w:val="24"/>
          <w:szCs w:val="24"/>
          <w:lang w:eastAsia="en-GB"/>
        </w:rPr>
      </w:pPr>
      <w:bookmarkStart w:id="66" w:name="_Ref444895788"/>
      <w:bookmarkStart w:id="67" w:name="_Ref444895771"/>
      <w:r w:rsidRPr="00706BE7">
        <w:rPr>
          <w:rFonts w:ascii="Times New Roman" w:eastAsia="SimSun" w:hAnsi="Times New Roman" w:cs="Times New Roman"/>
          <w:iCs/>
          <w:sz w:val="24"/>
          <w:szCs w:val="24"/>
        </w:rPr>
        <w:t xml:space="preserve">Table </w:t>
      </w:r>
      <w:r w:rsidRPr="00706BE7">
        <w:rPr>
          <w:rFonts w:ascii="Times New Roman" w:eastAsia="SimSun" w:hAnsi="Times New Roman" w:cs="Times New Roman"/>
          <w:iCs/>
          <w:sz w:val="24"/>
          <w:szCs w:val="24"/>
        </w:rPr>
        <w:fldChar w:fldCharType="begin"/>
      </w:r>
      <w:r w:rsidRPr="00706BE7">
        <w:rPr>
          <w:rFonts w:ascii="Times New Roman" w:eastAsia="SimSun" w:hAnsi="Times New Roman" w:cs="Times New Roman"/>
          <w:iCs/>
          <w:sz w:val="24"/>
          <w:szCs w:val="24"/>
        </w:rPr>
        <w:instrText xml:space="preserve"> SEQ Table \* ARABIC </w:instrText>
      </w:r>
      <w:r w:rsidRPr="00706BE7">
        <w:rPr>
          <w:rFonts w:ascii="Times New Roman" w:eastAsia="SimSun" w:hAnsi="Times New Roman" w:cs="Times New Roman"/>
          <w:iCs/>
          <w:sz w:val="24"/>
          <w:szCs w:val="24"/>
        </w:rPr>
        <w:fldChar w:fldCharType="separate"/>
      </w:r>
      <w:r w:rsidRPr="00706BE7">
        <w:rPr>
          <w:rFonts w:ascii="Times New Roman" w:eastAsia="SimSun" w:hAnsi="Times New Roman" w:cs="Times New Roman"/>
          <w:iCs/>
          <w:noProof/>
          <w:sz w:val="24"/>
          <w:szCs w:val="24"/>
        </w:rPr>
        <w:t>1</w:t>
      </w:r>
      <w:r w:rsidRPr="00706BE7">
        <w:rPr>
          <w:rFonts w:ascii="Times New Roman" w:eastAsia="SimSun" w:hAnsi="Times New Roman" w:cs="Times New Roman"/>
          <w:iCs/>
          <w:noProof/>
          <w:sz w:val="24"/>
          <w:szCs w:val="24"/>
        </w:rPr>
        <w:fldChar w:fldCharType="end"/>
      </w:r>
      <w:bookmarkEnd w:id="66"/>
      <w:r w:rsidRPr="00706BE7">
        <w:rPr>
          <w:rFonts w:ascii="Times New Roman" w:eastAsia="SimSun" w:hAnsi="Times New Roman" w:cs="Times New Roman"/>
          <w:iCs/>
          <w:sz w:val="24"/>
          <w:szCs w:val="24"/>
        </w:rPr>
        <w:t xml:space="preserve"> </w:t>
      </w:r>
      <w:r w:rsidRPr="00706BE7">
        <w:rPr>
          <w:rFonts w:ascii="Times New Roman" w:eastAsia="SimSun" w:hAnsi="Times New Roman" w:cs="Times New Roman"/>
          <w:bCs/>
          <w:iCs/>
          <w:sz w:val="24"/>
          <w:szCs w:val="24"/>
          <w:lang w:eastAsia="en-GB"/>
        </w:rPr>
        <w:t>Unit costs (and sources) employed to estimate total costs (in 2012–13 prices)</w:t>
      </w:r>
      <w:bookmarkEnd w:id="67"/>
    </w:p>
    <w:tbl>
      <w:tblPr>
        <w:tblStyle w:val="TableGridLight2"/>
        <w:tblpPr w:leftFromText="180" w:rightFromText="180" w:vertAnchor="text" w:horzAnchor="margin" w:tblpY="48"/>
        <w:tblW w:w="9242" w:type="dxa"/>
        <w:tblLayout w:type="fixed"/>
        <w:tblLook w:val="04A0" w:firstRow="1" w:lastRow="0" w:firstColumn="1" w:lastColumn="0" w:noHBand="0" w:noVBand="1"/>
      </w:tblPr>
      <w:tblGrid>
        <w:gridCol w:w="3227"/>
        <w:gridCol w:w="2693"/>
        <w:gridCol w:w="709"/>
        <w:gridCol w:w="2613"/>
      </w:tblGrid>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b/>
                <w:sz w:val="20"/>
                <w:szCs w:val="20"/>
                <w:lang w:eastAsia="en-US"/>
              </w:rPr>
            </w:pPr>
            <w:r w:rsidRPr="006C22E3">
              <w:rPr>
                <w:rFonts w:ascii="Times New Roman" w:eastAsia="SimSun" w:hAnsi="Times New Roman" w:cs="Times New Roman"/>
                <w:b/>
                <w:sz w:val="20"/>
                <w:szCs w:val="20"/>
                <w:lang w:eastAsia="en-US"/>
              </w:rPr>
              <w:t>Item of resource</w:t>
            </w:r>
          </w:p>
        </w:tc>
        <w:tc>
          <w:tcPr>
            <w:tcW w:w="2693" w:type="dxa"/>
            <w:noWrap/>
          </w:tcPr>
          <w:p w:rsidR="00335798" w:rsidRPr="006C22E3" w:rsidRDefault="00335798" w:rsidP="006712DC">
            <w:pPr>
              <w:jc w:val="both"/>
              <w:rPr>
                <w:rFonts w:ascii="Times New Roman" w:eastAsiaTheme="minorHAnsi" w:hAnsi="Times New Roman" w:cs="Times New Roman"/>
                <w:b/>
                <w:color w:val="000000"/>
                <w:sz w:val="20"/>
                <w:szCs w:val="20"/>
                <w:lang w:eastAsia="en-US"/>
              </w:rPr>
            </w:pPr>
            <w:r w:rsidRPr="006C22E3">
              <w:rPr>
                <w:rFonts w:ascii="Times New Roman" w:eastAsiaTheme="minorHAnsi" w:hAnsi="Times New Roman" w:cs="Times New Roman"/>
                <w:b/>
                <w:color w:val="000000"/>
                <w:sz w:val="20"/>
                <w:szCs w:val="20"/>
                <w:lang w:eastAsia="en-US"/>
              </w:rPr>
              <w:t>Unit</w:t>
            </w:r>
          </w:p>
        </w:tc>
        <w:tc>
          <w:tcPr>
            <w:tcW w:w="709" w:type="dxa"/>
            <w:noWrap/>
          </w:tcPr>
          <w:p w:rsidR="00335798" w:rsidRPr="006C22E3" w:rsidRDefault="00335798" w:rsidP="006712DC">
            <w:pPr>
              <w:jc w:val="both"/>
              <w:rPr>
                <w:rFonts w:ascii="Times New Roman" w:eastAsiaTheme="minorHAnsi" w:hAnsi="Times New Roman" w:cs="Times New Roman"/>
                <w:b/>
                <w:color w:val="000000"/>
                <w:sz w:val="20"/>
                <w:szCs w:val="20"/>
                <w:lang w:eastAsia="en-US"/>
              </w:rPr>
            </w:pPr>
            <w:r w:rsidRPr="006C22E3">
              <w:rPr>
                <w:rFonts w:ascii="Times New Roman" w:eastAsiaTheme="minorHAnsi" w:hAnsi="Times New Roman" w:cs="Times New Roman"/>
                <w:b/>
                <w:color w:val="000000"/>
                <w:sz w:val="20"/>
                <w:szCs w:val="20"/>
                <w:lang w:eastAsia="en-US"/>
              </w:rPr>
              <w:t>Cost</w:t>
            </w:r>
          </w:p>
        </w:tc>
        <w:tc>
          <w:tcPr>
            <w:tcW w:w="2613" w:type="dxa"/>
            <w:noWrap/>
          </w:tcPr>
          <w:p w:rsidR="00335798" w:rsidRPr="006C22E3" w:rsidRDefault="00335798" w:rsidP="006712DC">
            <w:pPr>
              <w:jc w:val="both"/>
              <w:rPr>
                <w:rFonts w:ascii="Times New Roman" w:eastAsiaTheme="minorHAnsi" w:hAnsi="Times New Roman" w:cs="Times New Roman"/>
                <w:b/>
                <w:color w:val="000000"/>
                <w:sz w:val="20"/>
                <w:szCs w:val="20"/>
                <w:lang w:eastAsia="en-US"/>
              </w:rPr>
            </w:pPr>
            <w:r w:rsidRPr="006C22E3">
              <w:rPr>
                <w:rFonts w:ascii="Times New Roman" w:eastAsiaTheme="minorHAnsi" w:hAnsi="Times New Roman" w:cs="Times New Roman"/>
                <w:b/>
                <w:color w:val="000000"/>
                <w:sz w:val="20"/>
                <w:szCs w:val="20"/>
                <w:lang w:eastAsia="en-US"/>
              </w:rPr>
              <w:t>Source</w:t>
            </w:r>
          </w:p>
        </w:tc>
      </w:tr>
      <w:tr w:rsidR="00335798" w:rsidRPr="006C22E3" w:rsidTr="006712DC">
        <w:trPr>
          <w:trHeight w:val="300"/>
        </w:trPr>
        <w:tc>
          <w:tcPr>
            <w:tcW w:w="9242" w:type="dxa"/>
            <w:gridSpan w:val="4"/>
            <w:noWrap/>
          </w:tcPr>
          <w:p w:rsidR="00335798" w:rsidRPr="006C22E3" w:rsidRDefault="00335798" w:rsidP="006712DC">
            <w:pPr>
              <w:jc w:val="both"/>
              <w:rPr>
                <w:rFonts w:ascii="Times New Roman" w:eastAsia="SimSun" w:hAnsi="Times New Roman" w:cs="Times New Roman"/>
                <w:b/>
                <w:sz w:val="20"/>
                <w:szCs w:val="20"/>
                <w:lang w:eastAsia="en-US"/>
              </w:rPr>
            </w:pPr>
            <w:r w:rsidRPr="006C22E3">
              <w:rPr>
                <w:rFonts w:ascii="Times New Roman" w:eastAsia="SimSun" w:hAnsi="Times New Roman" w:cs="Times New Roman"/>
                <w:b/>
                <w:sz w:val="20"/>
                <w:szCs w:val="20"/>
                <w:lang w:eastAsia="en-US"/>
              </w:rPr>
              <w:t>Smoking cessation aids</w:t>
            </w:r>
          </w:p>
        </w:tc>
      </w:tr>
      <w:tr w:rsidR="00335798" w:rsidRPr="006C22E3" w:rsidTr="006712DC">
        <w:trPr>
          <w:trHeight w:val="300"/>
        </w:trPr>
        <w:tc>
          <w:tcPr>
            <w:tcW w:w="9242" w:type="dxa"/>
            <w:gridSpan w:val="4"/>
            <w:noWrap/>
          </w:tcPr>
          <w:p w:rsidR="00335798" w:rsidRPr="006C22E3" w:rsidRDefault="00335798" w:rsidP="006712DC">
            <w:pPr>
              <w:jc w:val="both"/>
              <w:rPr>
                <w:rFonts w:ascii="Times New Roman" w:eastAsia="SimSun" w:hAnsi="Times New Roman" w:cs="Times New Roman"/>
                <w:b/>
                <w:color w:val="000000"/>
                <w:sz w:val="20"/>
                <w:szCs w:val="20"/>
                <w:lang w:eastAsia="en-US"/>
              </w:rPr>
            </w:pPr>
            <w:r w:rsidRPr="006C22E3">
              <w:rPr>
                <w:rFonts w:ascii="Times New Roman" w:eastAsia="SimSun" w:hAnsi="Times New Roman" w:cs="Times New Roman"/>
                <w:b/>
                <w:sz w:val="20"/>
                <w:szCs w:val="20"/>
                <w:lang w:eastAsia="en-US"/>
              </w:rPr>
              <w:t>NHS Stop Smoking Services</w:t>
            </w:r>
          </w:p>
        </w:tc>
      </w:tr>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Group session</w:t>
            </w:r>
          </w:p>
        </w:tc>
        <w:tc>
          <w:tcPr>
            <w:tcW w:w="2693"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Per person per session</w:t>
            </w:r>
          </w:p>
        </w:tc>
        <w:tc>
          <w:tcPr>
            <w:tcW w:w="709"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£4.6</w:t>
            </w:r>
          </w:p>
        </w:tc>
        <w:tc>
          <w:tcPr>
            <w:tcW w:w="2613" w:type="dxa"/>
            <w:noWrap/>
          </w:tcPr>
          <w:p w:rsidR="00335798" w:rsidRPr="00DF6667" w:rsidRDefault="00872E07" w:rsidP="006712DC">
            <w:pPr>
              <w:rPr>
                <w:rFonts w:ascii="Times New Roman" w:eastAsia="SimSun" w:hAnsi="Times New Roman" w:cs="Times New Roman"/>
                <w:color w:val="000000"/>
                <w:sz w:val="20"/>
                <w:szCs w:val="20"/>
                <w:lang w:eastAsia="en-US"/>
              </w:rPr>
            </w:pPr>
            <w:r>
              <w:rPr>
                <w:rFonts w:ascii="Times New Roman" w:eastAsia="SimSun" w:hAnsi="Times New Roman" w:cs="Times New Roman"/>
                <w:color w:val="000000"/>
                <w:sz w:val="20"/>
                <w:szCs w:val="20"/>
                <w:lang w:eastAsia="en-US"/>
              </w:rPr>
              <w:t>(17)</w:t>
            </w:r>
          </w:p>
        </w:tc>
      </w:tr>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Individual session</w:t>
            </w:r>
          </w:p>
        </w:tc>
        <w:tc>
          <w:tcPr>
            <w:tcW w:w="2693"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Per person per session</w:t>
            </w:r>
          </w:p>
        </w:tc>
        <w:tc>
          <w:tcPr>
            <w:tcW w:w="709"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£17</w:t>
            </w:r>
          </w:p>
        </w:tc>
        <w:tc>
          <w:tcPr>
            <w:tcW w:w="2613" w:type="dxa"/>
            <w:noWrap/>
          </w:tcPr>
          <w:p w:rsidR="00335798" w:rsidRPr="00DF6667" w:rsidRDefault="00872E07" w:rsidP="006712DC">
            <w:pPr>
              <w:rPr>
                <w:rFonts w:ascii="Times New Roman" w:eastAsia="SimSun" w:hAnsi="Times New Roman" w:cs="Times New Roman"/>
                <w:color w:val="000000"/>
                <w:sz w:val="20"/>
                <w:szCs w:val="20"/>
                <w:lang w:eastAsia="en-US"/>
              </w:rPr>
            </w:pPr>
            <w:r>
              <w:rPr>
                <w:rFonts w:ascii="Times New Roman" w:eastAsia="SimSun" w:hAnsi="Times New Roman" w:cs="Times New Roman"/>
                <w:color w:val="000000"/>
                <w:sz w:val="20"/>
                <w:szCs w:val="20"/>
                <w:lang w:eastAsia="en-US"/>
              </w:rPr>
              <w:t>(17)</w:t>
            </w:r>
          </w:p>
        </w:tc>
      </w:tr>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Telephone</w:t>
            </w:r>
          </w:p>
        </w:tc>
        <w:tc>
          <w:tcPr>
            <w:tcW w:w="2693"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£5.9 per call at 2008-09 price</w:t>
            </w:r>
          </w:p>
        </w:tc>
        <w:tc>
          <w:tcPr>
            <w:tcW w:w="709"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£6.4</w:t>
            </w:r>
          </w:p>
        </w:tc>
        <w:tc>
          <w:tcPr>
            <w:tcW w:w="2613" w:type="dxa"/>
            <w:noWrap/>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(3</w:t>
            </w:r>
            <w:r w:rsidR="00872E07">
              <w:rPr>
                <w:rFonts w:ascii="Times New Roman" w:eastAsia="SimSun" w:hAnsi="Times New Roman" w:cs="Times New Roman"/>
                <w:color w:val="000000"/>
                <w:sz w:val="20"/>
                <w:szCs w:val="20"/>
                <w:lang w:eastAsia="en-US"/>
              </w:rPr>
              <w:t>6</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Drop in</w:t>
            </w:r>
          </w:p>
        </w:tc>
        <w:tc>
          <w:tcPr>
            <w:tcW w:w="2693"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Per person per session</w:t>
            </w:r>
          </w:p>
        </w:tc>
        <w:tc>
          <w:tcPr>
            <w:tcW w:w="709"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£17</w:t>
            </w:r>
          </w:p>
        </w:tc>
        <w:tc>
          <w:tcPr>
            <w:tcW w:w="2613" w:type="dxa"/>
            <w:noWrap/>
          </w:tcPr>
          <w:p w:rsidR="00335798" w:rsidRPr="00DF6667" w:rsidRDefault="00872E07" w:rsidP="006712DC">
            <w:pPr>
              <w:rPr>
                <w:rFonts w:ascii="Times New Roman" w:eastAsia="SimSun" w:hAnsi="Times New Roman" w:cs="Times New Roman"/>
                <w:color w:val="000000"/>
                <w:sz w:val="20"/>
                <w:szCs w:val="20"/>
                <w:lang w:eastAsia="en-US"/>
              </w:rPr>
            </w:pPr>
            <w:r>
              <w:rPr>
                <w:rFonts w:ascii="Times New Roman" w:eastAsia="SimSun" w:hAnsi="Times New Roman" w:cs="Times New Roman"/>
                <w:color w:val="000000"/>
                <w:sz w:val="20"/>
                <w:szCs w:val="20"/>
                <w:lang w:eastAsia="en-US"/>
              </w:rPr>
              <w:t>(17)</w:t>
            </w:r>
          </w:p>
        </w:tc>
      </w:tr>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Couple/Family</w:t>
            </w:r>
          </w:p>
        </w:tc>
        <w:tc>
          <w:tcPr>
            <w:tcW w:w="2693"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Per person per session</w:t>
            </w:r>
          </w:p>
        </w:tc>
        <w:tc>
          <w:tcPr>
            <w:tcW w:w="709"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£8.5</w:t>
            </w:r>
          </w:p>
        </w:tc>
        <w:tc>
          <w:tcPr>
            <w:tcW w:w="2613" w:type="dxa"/>
            <w:noWrap/>
          </w:tcPr>
          <w:p w:rsidR="00335798" w:rsidRPr="00DF6667" w:rsidRDefault="00872E07" w:rsidP="006712DC">
            <w:pPr>
              <w:rPr>
                <w:rFonts w:ascii="Times New Roman" w:eastAsia="SimSun" w:hAnsi="Times New Roman" w:cs="Times New Roman"/>
                <w:color w:val="000000"/>
                <w:sz w:val="20"/>
                <w:szCs w:val="20"/>
                <w:lang w:eastAsia="en-US"/>
              </w:rPr>
            </w:pPr>
            <w:r>
              <w:rPr>
                <w:rFonts w:ascii="Times New Roman" w:eastAsia="SimSun" w:hAnsi="Times New Roman" w:cs="Times New Roman"/>
                <w:color w:val="000000"/>
                <w:sz w:val="20"/>
                <w:szCs w:val="20"/>
                <w:lang w:eastAsia="en-US"/>
              </w:rPr>
              <w:t>(17)</w:t>
            </w:r>
          </w:p>
        </w:tc>
      </w:tr>
      <w:tr w:rsidR="00335798" w:rsidRPr="006C22E3" w:rsidTr="006712DC">
        <w:trPr>
          <w:trHeight w:val="300"/>
        </w:trPr>
        <w:tc>
          <w:tcPr>
            <w:tcW w:w="9242" w:type="dxa"/>
            <w:gridSpan w:val="4"/>
            <w:noWrap/>
          </w:tcPr>
          <w:p w:rsidR="00335798" w:rsidRPr="006C22E3" w:rsidRDefault="00335798" w:rsidP="006712DC">
            <w:pPr>
              <w:jc w:val="both"/>
              <w:rPr>
                <w:rFonts w:ascii="Times New Roman" w:eastAsiaTheme="minorHAnsi" w:hAnsi="Times New Roman" w:cs="Times New Roman"/>
                <w:b/>
                <w:color w:val="000000"/>
                <w:sz w:val="20"/>
                <w:szCs w:val="20"/>
                <w:lang w:eastAsia="en-US"/>
              </w:rPr>
            </w:pPr>
            <w:r w:rsidRPr="006C22E3">
              <w:rPr>
                <w:rFonts w:ascii="Times New Roman" w:eastAsia="SimSun" w:hAnsi="Times New Roman" w:cs="Times New Roman"/>
                <w:b/>
                <w:sz w:val="20"/>
                <w:szCs w:val="20"/>
                <w:lang w:eastAsia="en-US"/>
              </w:rPr>
              <w:t>Other Non-pharmacological smoking cessation aids</w:t>
            </w:r>
          </w:p>
        </w:tc>
      </w:tr>
      <w:tr w:rsidR="00335798" w:rsidRPr="006C22E3" w:rsidTr="006712DC">
        <w:trPr>
          <w:trHeight w:val="300"/>
        </w:trPr>
        <w:tc>
          <w:tcPr>
            <w:tcW w:w="3227" w:type="dxa"/>
            <w:noWrap/>
          </w:tcPr>
          <w:p w:rsidR="00335798" w:rsidRPr="006C22E3" w:rsidRDefault="00335798" w:rsidP="006712DC">
            <w:pPr>
              <w:rPr>
                <w:rFonts w:ascii="Times New Roman" w:eastAsia="SimSun" w:hAnsi="Times New Roman" w:cs="Times New Roman"/>
                <w:sz w:val="20"/>
                <w:szCs w:val="20"/>
                <w:lang w:eastAsia="en-US"/>
              </w:rPr>
            </w:pPr>
            <w:r w:rsidRPr="006C22E3">
              <w:rPr>
                <w:rFonts w:ascii="Times New Roman" w:eastAsia="SimSun" w:hAnsi="Times New Roman" w:cs="Times New Roman"/>
                <w:color w:val="000000"/>
                <w:sz w:val="20"/>
                <w:szCs w:val="20"/>
                <w:lang w:eastAsia="en-US"/>
              </w:rPr>
              <w:t>GP visit</w:t>
            </w:r>
          </w:p>
        </w:tc>
        <w:tc>
          <w:tcPr>
            <w:tcW w:w="2693" w:type="dxa"/>
            <w:noWrap/>
          </w:tcPr>
          <w:p w:rsidR="00335798" w:rsidRPr="006C22E3" w:rsidRDefault="00335798" w:rsidP="006712DC">
            <w:pPr>
              <w:jc w:val="both"/>
              <w:rPr>
                <w:rFonts w:ascii="Times New Roman" w:eastAsiaTheme="minorHAnsi"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10-minute brief advice session</w:t>
            </w:r>
          </w:p>
        </w:tc>
        <w:tc>
          <w:tcPr>
            <w:tcW w:w="709" w:type="dxa"/>
            <w:noWrap/>
          </w:tcPr>
          <w:p w:rsidR="00335798" w:rsidRPr="006C22E3" w:rsidRDefault="00335798" w:rsidP="006712DC">
            <w:pPr>
              <w:jc w:val="both"/>
              <w:rPr>
                <w:rFonts w:ascii="Times New Roman" w:eastAsiaTheme="minorHAnsi"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£40</w:t>
            </w:r>
          </w:p>
        </w:tc>
        <w:tc>
          <w:tcPr>
            <w:tcW w:w="2613" w:type="dxa"/>
            <w:noWrap/>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(1</w:t>
            </w:r>
            <w:r w:rsidR="00872E07">
              <w:rPr>
                <w:rFonts w:ascii="Times New Roman" w:eastAsia="SimSun" w:hAnsi="Times New Roman" w:cs="Times New Roman"/>
                <w:color w:val="000000"/>
                <w:sz w:val="20"/>
                <w:szCs w:val="20"/>
                <w:lang w:eastAsia="en-US"/>
              </w:rPr>
              <w:t>5</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tcPr>
          <w:p w:rsidR="00335798" w:rsidRPr="006C22E3" w:rsidRDefault="00335798" w:rsidP="006712DC">
            <w:pPr>
              <w:rPr>
                <w:rFonts w:ascii="Times New Roman" w:eastAsia="SimSun" w:hAnsi="Times New Roman" w:cs="Times New Roman"/>
                <w:sz w:val="20"/>
                <w:szCs w:val="20"/>
                <w:lang w:eastAsia="en-US"/>
              </w:rPr>
            </w:pPr>
            <w:r w:rsidRPr="006C22E3">
              <w:rPr>
                <w:rFonts w:ascii="Times New Roman" w:eastAsia="SimSun" w:hAnsi="Times New Roman" w:cs="Times New Roman"/>
                <w:color w:val="000000"/>
                <w:sz w:val="20"/>
                <w:szCs w:val="20"/>
                <w:lang w:eastAsia="en-US"/>
              </w:rPr>
              <w:t>Practice nurse</w:t>
            </w:r>
          </w:p>
        </w:tc>
        <w:tc>
          <w:tcPr>
            <w:tcW w:w="2693" w:type="dxa"/>
            <w:noWrap/>
          </w:tcPr>
          <w:p w:rsidR="00335798" w:rsidRPr="006C22E3" w:rsidRDefault="00335798" w:rsidP="006712DC">
            <w:pPr>
              <w:jc w:val="both"/>
              <w:rPr>
                <w:rFonts w:ascii="Times New Roman" w:eastAsiaTheme="minorHAnsi"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10-minute brief advice session</w:t>
            </w:r>
          </w:p>
        </w:tc>
        <w:tc>
          <w:tcPr>
            <w:tcW w:w="709" w:type="dxa"/>
            <w:noWrap/>
          </w:tcPr>
          <w:p w:rsidR="00335798" w:rsidRPr="006C22E3" w:rsidRDefault="00335798" w:rsidP="006712DC">
            <w:pPr>
              <w:jc w:val="both"/>
              <w:rPr>
                <w:rFonts w:ascii="Times New Roman" w:eastAsiaTheme="minorHAnsi"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£7</w:t>
            </w:r>
          </w:p>
        </w:tc>
        <w:tc>
          <w:tcPr>
            <w:tcW w:w="2613" w:type="dxa"/>
            <w:noWrap/>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(1</w:t>
            </w:r>
            <w:r w:rsidR="00872E07">
              <w:rPr>
                <w:rFonts w:ascii="Times New Roman" w:eastAsia="SimSun" w:hAnsi="Times New Roman" w:cs="Times New Roman"/>
                <w:color w:val="000000"/>
                <w:sz w:val="20"/>
                <w:szCs w:val="20"/>
                <w:lang w:eastAsia="en-US"/>
              </w:rPr>
              <w:t>5</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hideMark/>
          </w:tcPr>
          <w:p w:rsidR="00335798" w:rsidRPr="006C22E3" w:rsidRDefault="00335798" w:rsidP="006712DC">
            <w:pPr>
              <w:rPr>
                <w:rFonts w:ascii="Times New Roman" w:eastAsia="SimSun" w:hAnsi="Times New Roman" w:cs="Times New Roman"/>
                <w:sz w:val="20"/>
                <w:szCs w:val="20"/>
                <w:lang w:eastAsia="en-US"/>
              </w:rPr>
            </w:pPr>
            <w:r w:rsidRPr="006C22E3">
              <w:rPr>
                <w:rFonts w:ascii="Times New Roman" w:eastAsia="SimSun" w:hAnsi="Times New Roman" w:cs="Times New Roman"/>
                <w:color w:val="000000"/>
                <w:sz w:val="20"/>
                <w:szCs w:val="20"/>
                <w:lang w:eastAsia="en-US"/>
              </w:rPr>
              <w:t>Pharmacist</w:t>
            </w:r>
          </w:p>
        </w:tc>
        <w:tc>
          <w:tcPr>
            <w:tcW w:w="2693" w:type="dxa"/>
            <w:noWrap/>
            <w:hideMark/>
          </w:tcPr>
          <w:p w:rsidR="00335798" w:rsidRPr="006C22E3" w:rsidRDefault="00335798" w:rsidP="006712DC">
            <w:pPr>
              <w:jc w:val="both"/>
              <w:rPr>
                <w:rFonts w:ascii="Times New Roman" w:eastAsiaTheme="minorHAnsi"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10-minute brief advice session</w:t>
            </w:r>
          </w:p>
        </w:tc>
        <w:tc>
          <w:tcPr>
            <w:tcW w:w="709" w:type="dxa"/>
            <w:noWrap/>
            <w:hideMark/>
          </w:tcPr>
          <w:p w:rsidR="00335798" w:rsidRPr="006C22E3" w:rsidRDefault="00335798" w:rsidP="006712DC">
            <w:pPr>
              <w:jc w:val="both"/>
              <w:rPr>
                <w:rFonts w:ascii="Times New Roman" w:eastAsiaTheme="minorHAnsi"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£11</w:t>
            </w:r>
          </w:p>
        </w:tc>
        <w:tc>
          <w:tcPr>
            <w:tcW w:w="2613" w:type="dxa"/>
            <w:noWrap/>
            <w:hideMark/>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(1</w:t>
            </w:r>
            <w:r w:rsidR="00872E07">
              <w:rPr>
                <w:rFonts w:ascii="Times New Roman" w:eastAsia="SimSun" w:hAnsi="Times New Roman" w:cs="Times New Roman"/>
                <w:color w:val="000000"/>
                <w:sz w:val="20"/>
                <w:szCs w:val="20"/>
                <w:lang w:eastAsia="en-US"/>
              </w:rPr>
              <w:t>5</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hideMark/>
          </w:tcPr>
          <w:p w:rsidR="00335798" w:rsidRPr="006C22E3" w:rsidRDefault="00335798" w:rsidP="006712DC">
            <w:pPr>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NHS Smoking Helpline</w:t>
            </w:r>
          </w:p>
        </w:tc>
        <w:tc>
          <w:tcPr>
            <w:tcW w:w="2693" w:type="dxa"/>
            <w:noWrap/>
            <w:hideMark/>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£5.9 per call at 2008-09 price</w:t>
            </w:r>
          </w:p>
        </w:tc>
        <w:tc>
          <w:tcPr>
            <w:tcW w:w="709" w:type="dxa"/>
            <w:noWrap/>
            <w:hideMark/>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£6.4</w:t>
            </w:r>
          </w:p>
        </w:tc>
        <w:tc>
          <w:tcPr>
            <w:tcW w:w="2613" w:type="dxa"/>
            <w:noWrap/>
            <w:hideMark/>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(3</w:t>
            </w:r>
            <w:r w:rsidR="00872E07">
              <w:rPr>
                <w:rFonts w:ascii="Times New Roman" w:eastAsia="SimSun" w:hAnsi="Times New Roman" w:cs="Times New Roman"/>
                <w:color w:val="000000"/>
                <w:sz w:val="20"/>
                <w:szCs w:val="20"/>
                <w:lang w:eastAsia="en-US"/>
              </w:rPr>
              <w:t>6</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hideMark/>
          </w:tcPr>
          <w:p w:rsidR="00335798" w:rsidRPr="006C22E3" w:rsidRDefault="00335798" w:rsidP="006712DC">
            <w:pPr>
              <w:rPr>
                <w:rFonts w:ascii="Times New Roman" w:eastAsia="SimSun" w:hAnsi="Times New Roman" w:cs="Times New Roman"/>
                <w:color w:val="000000"/>
                <w:sz w:val="20"/>
                <w:szCs w:val="20"/>
                <w:lang w:eastAsia="en-US"/>
              </w:rPr>
            </w:pPr>
            <w:r w:rsidRPr="00DB630D">
              <w:rPr>
                <w:rFonts w:ascii="Times New Roman" w:eastAsia="SimSun" w:hAnsi="Times New Roman" w:cs="Times New Roman"/>
                <w:noProof/>
                <w:color w:val="000000"/>
                <w:sz w:val="20"/>
                <w:szCs w:val="20"/>
                <w:lang w:eastAsia="en-US"/>
              </w:rPr>
              <w:t>Other smoking helpline</w:t>
            </w:r>
          </w:p>
        </w:tc>
        <w:tc>
          <w:tcPr>
            <w:tcW w:w="2693" w:type="dxa"/>
            <w:noWrap/>
            <w:hideMark/>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£5.9 per call at 2008-09 price</w:t>
            </w:r>
          </w:p>
        </w:tc>
        <w:tc>
          <w:tcPr>
            <w:tcW w:w="709" w:type="dxa"/>
            <w:noWrap/>
            <w:hideMark/>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£6.4</w:t>
            </w:r>
          </w:p>
        </w:tc>
        <w:tc>
          <w:tcPr>
            <w:tcW w:w="2613" w:type="dxa"/>
            <w:noWrap/>
            <w:hideMark/>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(3</w:t>
            </w:r>
            <w:r w:rsidR="00872E07">
              <w:rPr>
                <w:rFonts w:ascii="Times New Roman" w:eastAsia="SimSun" w:hAnsi="Times New Roman" w:cs="Times New Roman"/>
                <w:color w:val="000000"/>
                <w:sz w:val="20"/>
                <w:szCs w:val="20"/>
                <w:lang w:eastAsia="en-US"/>
              </w:rPr>
              <w:t>6</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9242" w:type="dxa"/>
            <w:gridSpan w:val="4"/>
            <w:noWrap/>
            <w:hideMark/>
          </w:tcPr>
          <w:p w:rsidR="00335798" w:rsidRPr="006C22E3" w:rsidRDefault="00335798" w:rsidP="006712DC">
            <w:pPr>
              <w:jc w:val="both"/>
              <w:rPr>
                <w:rFonts w:ascii="Times New Roman" w:eastAsia="SimSun" w:hAnsi="Times New Roman" w:cs="Times New Roman"/>
                <w:b/>
                <w:color w:val="000000"/>
                <w:sz w:val="20"/>
                <w:szCs w:val="20"/>
                <w:lang w:eastAsia="en-US"/>
              </w:rPr>
            </w:pPr>
            <w:r w:rsidRPr="006C22E3">
              <w:rPr>
                <w:rFonts w:ascii="Times New Roman" w:eastAsia="SimSun" w:hAnsi="Times New Roman" w:cs="Times New Roman"/>
                <w:b/>
                <w:sz w:val="20"/>
                <w:szCs w:val="20"/>
                <w:lang w:eastAsia="en-US"/>
              </w:rPr>
              <w:t>Pharmacological smoking cessation aids</w:t>
            </w:r>
          </w:p>
        </w:tc>
      </w:tr>
      <w:tr w:rsidR="00335798" w:rsidRPr="006C22E3" w:rsidTr="006712DC">
        <w:trPr>
          <w:trHeight w:val="300"/>
        </w:trPr>
        <w:tc>
          <w:tcPr>
            <w:tcW w:w="3227" w:type="dxa"/>
            <w:noWrap/>
            <w:hideMark/>
          </w:tcPr>
          <w:p w:rsidR="00335798" w:rsidRPr="006C22E3" w:rsidRDefault="00335798" w:rsidP="006712DC">
            <w:pPr>
              <w:rPr>
                <w:rFonts w:ascii="Times New Roman" w:eastAsia="SimSun" w:hAnsi="Times New Roman" w:cs="Times New Roman"/>
                <w:color w:val="000000"/>
                <w:sz w:val="20"/>
                <w:szCs w:val="20"/>
                <w:lang w:eastAsia="en-US"/>
              </w:rPr>
            </w:pPr>
            <w:r w:rsidRPr="006C22E3">
              <w:rPr>
                <w:rFonts w:ascii="Times New Roman" w:eastAsia="SimSun" w:hAnsi="Times New Roman" w:cs="Times New Roman"/>
                <w:sz w:val="20"/>
                <w:szCs w:val="20"/>
                <w:lang w:eastAsia="en-US"/>
              </w:rPr>
              <w:t>Nicotine Replacement Therapy (NRT)</w:t>
            </w:r>
          </w:p>
        </w:tc>
        <w:tc>
          <w:tcPr>
            <w:tcW w:w="2693" w:type="dxa"/>
            <w:noWrap/>
            <w:hideMark/>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sz w:val="20"/>
                <w:szCs w:val="20"/>
                <w:lang w:eastAsia="en-US"/>
              </w:rPr>
              <w:t>Per prescription item</w:t>
            </w:r>
          </w:p>
        </w:tc>
        <w:tc>
          <w:tcPr>
            <w:tcW w:w="709" w:type="dxa"/>
            <w:noWrap/>
            <w:hideMark/>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sz w:val="20"/>
                <w:szCs w:val="20"/>
                <w:lang w:eastAsia="en-US"/>
              </w:rPr>
              <w:t>£21</w:t>
            </w:r>
          </w:p>
        </w:tc>
        <w:tc>
          <w:tcPr>
            <w:tcW w:w="2613" w:type="dxa"/>
            <w:noWrap/>
            <w:hideMark/>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(3</w:t>
            </w:r>
            <w:r w:rsidR="00872E07">
              <w:rPr>
                <w:rFonts w:ascii="Times New Roman" w:eastAsia="SimSun" w:hAnsi="Times New Roman" w:cs="Times New Roman"/>
                <w:color w:val="000000"/>
                <w:sz w:val="20"/>
                <w:szCs w:val="20"/>
                <w:lang w:eastAsia="en-US"/>
              </w:rPr>
              <w:t>7</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hideMark/>
          </w:tcPr>
          <w:p w:rsidR="00335798" w:rsidRPr="006C22E3" w:rsidRDefault="00335798" w:rsidP="006712DC">
            <w:pPr>
              <w:rPr>
                <w:rFonts w:ascii="Times New Roman" w:eastAsia="SimSun" w:hAnsi="Times New Roman" w:cs="Times New Roman"/>
                <w:color w:val="000000"/>
                <w:sz w:val="20"/>
                <w:szCs w:val="20"/>
                <w:lang w:eastAsia="en-US"/>
              </w:rPr>
            </w:pPr>
            <w:r w:rsidRPr="006C22E3">
              <w:rPr>
                <w:rFonts w:ascii="Times New Roman" w:eastAsia="SimSun" w:hAnsi="Times New Roman" w:cs="Times New Roman"/>
                <w:sz w:val="20"/>
                <w:szCs w:val="20"/>
                <w:lang w:eastAsia="en-US"/>
              </w:rPr>
              <w:t>Zyban - Bupropion</w:t>
            </w:r>
          </w:p>
        </w:tc>
        <w:tc>
          <w:tcPr>
            <w:tcW w:w="2693" w:type="dxa"/>
            <w:noWrap/>
            <w:hideMark/>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sz w:val="20"/>
                <w:szCs w:val="20"/>
                <w:lang w:eastAsia="en-US"/>
              </w:rPr>
              <w:t>Per prescription item</w:t>
            </w:r>
          </w:p>
        </w:tc>
        <w:tc>
          <w:tcPr>
            <w:tcW w:w="709" w:type="dxa"/>
            <w:noWrap/>
            <w:hideMark/>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sz w:val="20"/>
                <w:szCs w:val="20"/>
                <w:lang w:eastAsia="en-US"/>
              </w:rPr>
              <w:t>£38</w:t>
            </w:r>
          </w:p>
        </w:tc>
        <w:tc>
          <w:tcPr>
            <w:tcW w:w="2613" w:type="dxa"/>
            <w:noWrap/>
            <w:hideMark/>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(3</w:t>
            </w:r>
            <w:r w:rsidR="00872E07">
              <w:rPr>
                <w:rFonts w:ascii="Times New Roman" w:eastAsia="SimSun" w:hAnsi="Times New Roman" w:cs="Times New Roman"/>
                <w:color w:val="000000"/>
                <w:sz w:val="20"/>
                <w:szCs w:val="20"/>
                <w:lang w:eastAsia="en-US"/>
              </w:rPr>
              <w:t>7</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hideMark/>
          </w:tcPr>
          <w:p w:rsidR="00335798" w:rsidRPr="006C22E3" w:rsidRDefault="00335798" w:rsidP="006712DC">
            <w:pPr>
              <w:rPr>
                <w:rFonts w:ascii="Times New Roman" w:eastAsia="SimSun" w:hAnsi="Times New Roman" w:cs="Times New Roman"/>
                <w:sz w:val="20"/>
                <w:szCs w:val="20"/>
                <w:lang w:eastAsia="en-US"/>
              </w:rPr>
            </w:pPr>
            <w:r w:rsidRPr="006C22E3">
              <w:rPr>
                <w:rFonts w:ascii="Times New Roman" w:eastAsia="SimSun" w:hAnsi="Times New Roman" w:cs="Times New Roman"/>
                <w:sz w:val="20"/>
                <w:szCs w:val="20"/>
                <w:lang w:eastAsia="en-US"/>
              </w:rPr>
              <w:t>Champix® (Pfizer) - Varenicline</w:t>
            </w:r>
          </w:p>
        </w:tc>
        <w:tc>
          <w:tcPr>
            <w:tcW w:w="2693" w:type="dxa"/>
            <w:noWrap/>
            <w:hideMark/>
          </w:tcPr>
          <w:p w:rsidR="00335798" w:rsidRPr="006C22E3" w:rsidRDefault="00335798" w:rsidP="006712DC">
            <w:pPr>
              <w:jc w:val="both"/>
              <w:rPr>
                <w:rFonts w:ascii="Times New Roman" w:eastAsiaTheme="minorHAnsi" w:hAnsi="Times New Roman" w:cs="Times New Roman"/>
                <w:color w:val="000000"/>
                <w:sz w:val="20"/>
                <w:szCs w:val="20"/>
                <w:lang w:eastAsia="en-US"/>
              </w:rPr>
            </w:pPr>
            <w:r w:rsidRPr="006C22E3">
              <w:rPr>
                <w:rFonts w:ascii="Times New Roman" w:eastAsia="SimSun" w:hAnsi="Times New Roman" w:cs="Times New Roman"/>
                <w:sz w:val="20"/>
                <w:szCs w:val="20"/>
                <w:lang w:eastAsia="en-US"/>
              </w:rPr>
              <w:t>Per prescription item</w:t>
            </w:r>
          </w:p>
        </w:tc>
        <w:tc>
          <w:tcPr>
            <w:tcW w:w="709" w:type="dxa"/>
            <w:noWrap/>
            <w:hideMark/>
          </w:tcPr>
          <w:p w:rsidR="00335798" w:rsidRPr="006C22E3" w:rsidRDefault="00335798" w:rsidP="006712DC">
            <w:pPr>
              <w:jc w:val="both"/>
              <w:rPr>
                <w:rFonts w:ascii="Times New Roman" w:eastAsiaTheme="minorHAnsi" w:hAnsi="Times New Roman" w:cs="Times New Roman"/>
                <w:color w:val="000000"/>
                <w:sz w:val="20"/>
                <w:szCs w:val="20"/>
                <w:lang w:eastAsia="en-US"/>
              </w:rPr>
            </w:pPr>
            <w:r w:rsidRPr="006C22E3">
              <w:rPr>
                <w:rFonts w:ascii="Times New Roman" w:eastAsia="SimSun" w:hAnsi="Times New Roman" w:cs="Times New Roman"/>
                <w:sz w:val="20"/>
                <w:szCs w:val="20"/>
                <w:lang w:eastAsia="en-US"/>
              </w:rPr>
              <w:t>£34</w:t>
            </w:r>
          </w:p>
        </w:tc>
        <w:tc>
          <w:tcPr>
            <w:tcW w:w="2613" w:type="dxa"/>
            <w:noWrap/>
            <w:hideMark/>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(3</w:t>
            </w:r>
            <w:r w:rsidR="00872E07">
              <w:rPr>
                <w:rFonts w:ascii="Times New Roman" w:eastAsia="SimSun" w:hAnsi="Times New Roman" w:cs="Times New Roman"/>
                <w:color w:val="000000"/>
                <w:sz w:val="20"/>
                <w:szCs w:val="20"/>
                <w:lang w:eastAsia="en-US"/>
              </w:rPr>
              <w:t>7</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9242" w:type="dxa"/>
            <w:gridSpan w:val="4"/>
            <w:noWrap/>
            <w:hideMark/>
          </w:tcPr>
          <w:p w:rsidR="00335798" w:rsidRPr="006C22E3" w:rsidRDefault="00335798" w:rsidP="006712DC">
            <w:pPr>
              <w:jc w:val="both"/>
              <w:rPr>
                <w:rFonts w:ascii="Times New Roman" w:eastAsia="SimSun" w:hAnsi="Times New Roman" w:cs="Times New Roman"/>
                <w:b/>
                <w:sz w:val="20"/>
                <w:szCs w:val="20"/>
                <w:lang w:eastAsia="en-US"/>
              </w:rPr>
            </w:pPr>
            <w:r w:rsidRPr="006C22E3">
              <w:rPr>
                <w:rFonts w:ascii="Times New Roman" w:eastAsia="SimSun" w:hAnsi="Times New Roman" w:cs="Times New Roman"/>
                <w:b/>
                <w:sz w:val="20"/>
                <w:szCs w:val="20"/>
                <w:lang w:eastAsia="en-US"/>
              </w:rPr>
              <w:t xml:space="preserve">Wider health </w:t>
            </w:r>
            <w:r w:rsidRPr="00DB630D">
              <w:rPr>
                <w:rFonts w:ascii="Times New Roman" w:eastAsia="SimSun" w:hAnsi="Times New Roman" w:cs="Times New Roman"/>
                <w:b/>
                <w:noProof/>
                <w:sz w:val="20"/>
                <w:szCs w:val="20"/>
                <w:lang w:eastAsia="en-US"/>
              </w:rPr>
              <w:t>care</w:t>
            </w:r>
            <w:r w:rsidRPr="006C22E3">
              <w:rPr>
                <w:rFonts w:ascii="Times New Roman" w:eastAsia="SimSun" w:hAnsi="Times New Roman" w:cs="Times New Roman"/>
                <w:b/>
                <w:sz w:val="20"/>
                <w:szCs w:val="20"/>
                <w:lang w:eastAsia="en-US"/>
              </w:rPr>
              <w:t xml:space="preserve"> resource use</w:t>
            </w:r>
          </w:p>
        </w:tc>
      </w:tr>
      <w:tr w:rsidR="00335798" w:rsidRPr="006C22E3" w:rsidTr="006712DC">
        <w:trPr>
          <w:trHeight w:val="300"/>
        </w:trPr>
        <w:tc>
          <w:tcPr>
            <w:tcW w:w="3227" w:type="dxa"/>
            <w:noWrap/>
            <w:hideMark/>
          </w:tcPr>
          <w:p w:rsidR="00335798" w:rsidRPr="006C22E3" w:rsidRDefault="00335798" w:rsidP="006712DC">
            <w:pPr>
              <w:jc w:val="both"/>
              <w:rPr>
                <w:rFonts w:ascii="Times New Roman" w:eastAsia="SimSun" w:hAnsi="Times New Roman" w:cs="Times New Roman"/>
                <w:sz w:val="20"/>
                <w:szCs w:val="20"/>
                <w:lang w:eastAsia="en-US"/>
              </w:rPr>
            </w:pPr>
            <w:r w:rsidRPr="006C22E3">
              <w:rPr>
                <w:rFonts w:ascii="Times New Roman" w:eastAsia="SimSun" w:hAnsi="Times New Roman" w:cs="Times New Roman"/>
                <w:color w:val="000000"/>
                <w:sz w:val="20"/>
                <w:szCs w:val="20"/>
                <w:lang w:eastAsia="en-US"/>
              </w:rPr>
              <w:t>GP visit</w:t>
            </w:r>
          </w:p>
        </w:tc>
        <w:tc>
          <w:tcPr>
            <w:tcW w:w="2693" w:type="dxa"/>
            <w:noWrap/>
            <w:hideMark/>
          </w:tcPr>
          <w:p w:rsidR="00335798" w:rsidRPr="006C22E3" w:rsidRDefault="00335798" w:rsidP="006712DC">
            <w:pPr>
              <w:jc w:val="both"/>
              <w:rPr>
                <w:rFonts w:ascii="Times New Roman" w:eastAsia="SimSun" w:hAnsi="Times New Roman" w:cs="Times New Roman"/>
                <w:sz w:val="20"/>
                <w:szCs w:val="20"/>
                <w:lang w:eastAsia="en-US"/>
              </w:rPr>
            </w:pPr>
            <w:r w:rsidRPr="006C22E3">
              <w:rPr>
                <w:rFonts w:ascii="Times New Roman" w:eastAsia="SimSun" w:hAnsi="Times New Roman" w:cs="Times New Roman"/>
                <w:color w:val="000000"/>
                <w:sz w:val="20"/>
                <w:szCs w:val="20"/>
                <w:lang w:eastAsia="en-US"/>
              </w:rPr>
              <w:t>Visit (average 11.7 minutes)</w:t>
            </w:r>
          </w:p>
        </w:tc>
        <w:tc>
          <w:tcPr>
            <w:tcW w:w="709" w:type="dxa"/>
            <w:noWrap/>
            <w:hideMark/>
          </w:tcPr>
          <w:p w:rsidR="00335798" w:rsidRPr="006C22E3" w:rsidRDefault="00335798" w:rsidP="006712DC">
            <w:pPr>
              <w:jc w:val="both"/>
              <w:rPr>
                <w:rFonts w:ascii="Times New Roman" w:eastAsia="SimSun" w:hAnsi="Times New Roman" w:cs="Times New Roman"/>
                <w:sz w:val="20"/>
                <w:szCs w:val="20"/>
                <w:lang w:eastAsia="en-US"/>
              </w:rPr>
            </w:pPr>
            <w:r w:rsidRPr="006C22E3">
              <w:rPr>
                <w:rFonts w:ascii="Times New Roman" w:eastAsia="SimSun" w:hAnsi="Times New Roman" w:cs="Times New Roman"/>
                <w:color w:val="000000"/>
                <w:sz w:val="20"/>
                <w:szCs w:val="20"/>
                <w:lang w:eastAsia="en-US"/>
              </w:rPr>
              <w:t>£37</w:t>
            </w:r>
          </w:p>
        </w:tc>
        <w:tc>
          <w:tcPr>
            <w:tcW w:w="2613" w:type="dxa"/>
            <w:noWrap/>
            <w:hideMark/>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(1</w:t>
            </w:r>
            <w:r w:rsidR="00872E07">
              <w:rPr>
                <w:rFonts w:ascii="Times New Roman" w:eastAsia="SimSun" w:hAnsi="Times New Roman" w:cs="Times New Roman"/>
                <w:color w:val="000000"/>
                <w:sz w:val="20"/>
                <w:szCs w:val="20"/>
                <w:lang w:eastAsia="en-US"/>
              </w:rPr>
              <w:t>5</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sz w:val="20"/>
                <w:szCs w:val="20"/>
                <w:lang w:eastAsia="en-US"/>
              </w:rPr>
            </w:pPr>
            <w:r w:rsidRPr="006C22E3">
              <w:rPr>
                <w:rFonts w:ascii="Times New Roman" w:eastAsia="SimSun" w:hAnsi="Times New Roman" w:cs="Times New Roman"/>
                <w:color w:val="000000"/>
                <w:sz w:val="20"/>
                <w:szCs w:val="20"/>
                <w:lang w:eastAsia="en-US"/>
              </w:rPr>
              <w:t>Practice nurse visit</w:t>
            </w:r>
          </w:p>
        </w:tc>
        <w:tc>
          <w:tcPr>
            <w:tcW w:w="2693" w:type="dxa"/>
            <w:noWrap/>
          </w:tcPr>
          <w:p w:rsidR="00335798" w:rsidRPr="006C22E3" w:rsidRDefault="00335798" w:rsidP="006712DC">
            <w:pPr>
              <w:jc w:val="both"/>
              <w:rPr>
                <w:rFonts w:ascii="Times New Roman" w:eastAsiaTheme="minorHAnsi"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Visit (average 15.5 minutes)</w:t>
            </w:r>
          </w:p>
        </w:tc>
        <w:tc>
          <w:tcPr>
            <w:tcW w:w="709" w:type="dxa"/>
            <w:noWrap/>
          </w:tcPr>
          <w:p w:rsidR="00335798" w:rsidRPr="006C22E3" w:rsidRDefault="00335798" w:rsidP="006712DC">
            <w:pPr>
              <w:jc w:val="both"/>
              <w:rPr>
                <w:rFonts w:ascii="Times New Roman" w:eastAsiaTheme="minorHAnsi"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£11</w:t>
            </w:r>
          </w:p>
        </w:tc>
        <w:tc>
          <w:tcPr>
            <w:tcW w:w="2613" w:type="dxa"/>
            <w:noWrap/>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(1</w:t>
            </w:r>
            <w:r w:rsidR="00872E07">
              <w:rPr>
                <w:rFonts w:ascii="Times New Roman" w:eastAsia="SimSun" w:hAnsi="Times New Roman" w:cs="Times New Roman"/>
                <w:color w:val="000000"/>
                <w:sz w:val="20"/>
                <w:szCs w:val="20"/>
                <w:lang w:eastAsia="en-US"/>
              </w:rPr>
              <w:t>5</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Day case</w:t>
            </w:r>
          </w:p>
        </w:tc>
        <w:tc>
          <w:tcPr>
            <w:tcW w:w="2693"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Finished consultant episode</w:t>
            </w:r>
          </w:p>
        </w:tc>
        <w:tc>
          <w:tcPr>
            <w:tcW w:w="709"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£693</w:t>
            </w:r>
          </w:p>
        </w:tc>
        <w:tc>
          <w:tcPr>
            <w:tcW w:w="2613" w:type="dxa"/>
            <w:noWrap/>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(1</w:t>
            </w:r>
            <w:r w:rsidR="00872E07">
              <w:rPr>
                <w:rFonts w:ascii="Times New Roman" w:eastAsia="SimSun" w:hAnsi="Times New Roman" w:cs="Times New Roman"/>
                <w:color w:val="000000"/>
                <w:sz w:val="20"/>
                <w:szCs w:val="20"/>
                <w:lang w:eastAsia="en-US"/>
              </w:rPr>
              <w:t>6</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Inpatient (cost per night)</w:t>
            </w:r>
          </w:p>
        </w:tc>
        <w:tc>
          <w:tcPr>
            <w:tcW w:w="2693"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Per bed night</w:t>
            </w:r>
          </w:p>
        </w:tc>
        <w:tc>
          <w:tcPr>
            <w:tcW w:w="709"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£542</w:t>
            </w:r>
          </w:p>
        </w:tc>
        <w:tc>
          <w:tcPr>
            <w:tcW w:w="2613" w:type="dxa"/>
            <w:noWrap/>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(1</w:t>
            </w:r>
            <w:r w:rsidR="00872E07">
              <w:rPr>
                <w:rFonts w:ascii="Times New Roman" w:eastAsia="SimSun" w:hAnsi="Times New Roman" w:cs="Times New Roman"/>
                <w:color w:val="000000"/>
                <w:sz w:val="20"/>
                <w:szCs w:val="20"/>
                <w:lang w:eastAsia="en-US"/>
              </w:rPr>
              <w:t>6</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Outpatient attendance</w:t>
            </w:r>
          </w:p>
        </w:tc>
        <w:tc>
          <w:tcPr>
            <w:tcW w:w="2693"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Visit</w:t>
            </w:r>
          </w:p>
        </w:tc>
        <w:tc>
          <w:tcPr>
            <w:tcW w:w="709"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£108</w:t>
            </w:r>
          </w:p>
        </w:tc>
        <w:tc>
          <w:tcPr>
            <w:tcW w:w="2613" w:type="dxa"/>
            <w:noWrap/>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(1</w:t>
            </w:r>
            <w:r w:rsidR="00872E07">
              <w:rPr>
                <w:rFonts w:ascii="Times New Roman" w:eastAsia="SimSun" w:hAnsi="Times New Roman" w:cs="Times New Roman"/>
                <w:color w:val="000000"/>
                <w:sz w:val="20"/>
                <w:szCs w:val="20"/>
                <w:lang w:eastAsia="en-US"/>
              </w:rPr>
              <w:t>6</w:t>
            </w:r>
            <w:r w:rsidRPr="00DF6667">
              <w:rPr>
                <w:rFonts w:ascii="Times New Roman" w:eastAsia="SimSun" w:hAnsi="Times New Roman" w:cs="Times New Roman"/>
                <w:color w:val="000000"/>
                <w:sz w:val="20"/>
                <w:szCs w:val="20"/>
                <w:lang w:eastAsia="en-US"/>
              </w:rPr>
              <w:t>)</w:t>
            </w:r>
          </w:p>
        </w:tc>
      </w:tr>
      <w:tr w:rsidR="00335798" w:rsidRPr="006C22E3" w:rsidTr="006712DC">
        <w:trPr>
          <w:trHeight w:val="300"/>
        </w:trPr>
        <w:tc>
          <w:tcPr>
            <w:tcW w:w="3227"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A&amp;E attendance</w:t>
            </w:r>
          </w:p>
        </w:tc>
        <w:tc>
          <w:tcPr>
            <w:tcW w:w="2693"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Visit</w:t>
            </w:r>
          </w:p>
        </w:tc>
        <w:tc>
          <w:tcPr>
            <w:tcW w:w="709" w:type="dxa"/>
            <w:noWrap/>
          </w:tcPr>
          <w:p w:rsidR="00335798" w:rsidRPr="006C22E3" w:rsidRDefault="00335798" w:rsidP="006712DC">
            <w:pPr>
              <w:jc w:val="both"/>
              <w:rPr>
                <w:rFonts w:ascii="Times New Roman" w:eastAsia="SimSun" w:hAnsi="Times New Roman" w:cs="Times New Roman"/>
                <w:color w:val="000000"/>
                <w:sz w:val="20"/>
                <w:szCs w:val="20"/>
                <w:lang w:eastAsia="en-US"/>
              </w:rPr>
            </w:pPr>
            <w:r w:rsidRPr="006C22E3">
              <w:rPr>
                <w:rFonts w:ascii="Times New Roman" w:eastAsia="SimSun" w:hAnsi="Times New Roman" w:cs="Times New Roman"/>
                <w:color w:val="000000"/>
                <w:sz w:val="20"/>
                <w:szCs w:val="20"/>
                <w:lang w:eastAsia="en-US"/>
              </w:rPr>
              <w:t>£114</w:t>
            </w:r>
          </w:p>
        </w:tc>
        <w:tc>
          <w:tcPr>
            <w:tcW w:w="2613" w:type="dxa"/>
            <w:noWrap/>
          </w:tcPr>
          <w:p w:rsidR="00335798" w:rsidRPr="00DF6667" w:rsidRDefault="00335798" w:rsidP="006712DC">
            <w:pPr>
              <w:rPr>
                <w:rFonts w:ascii="Times New Roman" w:eastAsia="SimSun" w:hAnsi="Times New Roman" w:cs="Times New Roman"/>
                <w:color w:val="000000"/>
                <w:sz w:val="20"/>
                <w:szCs w:val="20"/>
                <w:lang w:eastAsia="en-US"/>
              </w:rPr>
            </w:pPr>
            <w:r w:rsidRPr="00DF6667">
              <w:rPr>
                <w:rFonts w:ascii="Times New Roman" w:eastAsia="SimSun" w:hAnsi="Times New Roman" w:cs="Times New Roman"/>
                <w:color w:val="000000"/>
                <w:sz w:val="20"/>
                <w:szCs w:val="20"/>
                <w:lang w:eastAsia="en-US"/>
              </w:rPr>
              <w:t>(1</w:t>
            </w:r>
            <w:r w:rsidR="00872E07">
              <w:rPr>
                <w:rFonts w:ascii="Times New Roman" w:eastAsia="SimSun" w:hAnsi="Times New Roman" w:cs="Times New Roman"/>
                <w:color w:val="000000"/>
                <w:sz w:val="20"/>
                <w:szCs w:val="20"/>
                <w:lang w:eastAsia="en-US"/>
              </w:rPr>
              <w:t>6</w:t>
            </w:r>
            <w:r w:rsidRPr="00DF6667">
              <w:rPr>
                <w:rFonts w:ascii="Times New Roman" w:eastAsia="SimSun" w:hAnsi="Times New Roman" w:cs="Times New Roman"/>
                <w:color w:val="000000"/>
                <w:sz w:val="20"/>
                <w:szCs w:val="20"/>
                <w:lang w:eastAsia="en-US"/>
              </w:rPr>
              <w:t>)</w:t>
            </w:r>
          </w:p>
        </w:tc>
      </w:tr>
    </w:tbl>
    <w:p w:rsidR="00335798" w:rsidRDefault="00335798" w:rsidP="00335798">
      <w:pPr>
        <w:keepNext/>
        <w:spacing w:line="240" w:lineRule="auto"/>
        <w:jc w:val="both"/>
        <w:rPr>
          <w:rFonts w:ascii="Times New Roman" w:eastAsia="SimSun" w:hAnsi="Times New Roman" w:cs="Times New Roman"/>
          <w:bCs/>
          <w:iCs/>
          <w:sz w:val="24"/>
          <w:szCs w:val="24"/>
          <w:lang w:eastAsia="en-GB"/>
        </w:rPr>
      </w:pPr>
    </w:p>
    <w:p w:rsidR="00335798" w:rsidRPr="00706BE7" w:rsidRDefault="00335798" w:rsidP="00335798">
      <w:pPr>
        <w:pStyle w:val="Caption"/>
        <w:keepNext/>
        <w:rPr>
          <w:rFonts w:ascii="Times New Roman" w:eastAsia="SimSun" w:hAnsi="Times New Roman" w:cs="Times New Roman"/>
          <w:bCs/>
          <w:i w:val="0"/>
          <w:color w:val="auto"/>
          <w:sz w:val="24"/>
          <w:szCs w:val="24"/>
          <w:lang w:eastAsia="en-GB"/>
        </w:rPr>
      </w:pPr>
      <w:bookmarkStart w:id="68" w:name="_Ref430878249"/>
      <w:r w:rsidRPr="00706BE7">
        <w:rPr>
          <w:rFonts w:ascii="Times New Roman" w:eastAsia="SimSun" w:hAnsi="Times New Roman" w:cs="Times New Roman"/>
          <w:bCs/>
          <w:i w:val="0"/>
          <w:color w:val="auto"/>
          <w:sz w:val="24"/>
          <w:szCs w:val="24"/>
          <w:lang w:eastAsia="en-GB"/>
        </w:rPr>
        <w:t xml:space="preserve">Table </w:t>
      </w:r>
      <w:r w:rsidRPr="00706BE7">
        <w:rPr>
          <w:rFonts w:ascii="Times New Roman" w:eastAsia="SimSun" w:hAnsi="Times New Roman" w:cs="Times New Roman"/>
          <w:bCs/>
          <w:i w:val="0"/>
          <w:color w:val="auto"/>
          <w:sz w:val="24"/>
          <w:szCs w:val="24"/>
          <w:lang w:eastAsia="en-GB"/>
        </w:rPr>
        <w:fldChar w:fldCharType="begin"/>
      </w:r>
      <w:r w:rsidRPr="00706BE7">
        <w:rPr>
          <w:rFonts w:ascii="Times New Roman" w:eastAsia="SimSun" w:hAnsi="Times New Roman" w:cs="Times New Roman"/>
          <w:bCs/>
          <w:i w:val="0"/>
          <w:color w:val="auto"/>
          <w:sz w:val="24"/>
          <w:szCs w:val="24"/>
          <w:lang w:eastAsia="en-GB"/>
        </w:rPr>
        <w:instrText xml:space="preserve"> SEQ Table \* ARABIC </w:instrText>
      </w:r>
      <w:r w:rsidRPr="00706BE7">
        <w:rPr>
          <w:rFonts w:ascii="Times New Roman" w:eastAsia="SimSun" w:hAnsi="Times New Roman" w:cs="Times New Roman"/>
          <w:bCs/>
          <w:i w:val="0"/>
          <w:color w:val="auto"/>
          <w:sz w:val="24"/>
          <w:szCs w:val="24"/>
          <w:lang w:eastAsia="en-GB"/>
        </w:rPr>
        <w:fldChar w:fldCharType="separate"/>
      </w:r>
      <w:r w:rsidRPr="00706BE7">
        <w:rPr>
          <w:rFonts w:ascii="Times New Roman" w:eastAsia="SimSun" w:hAnsi="Times New Roman" w:cs="Times New Roman"/>
          <w:bCs/>
          <w:i w:val="0"/>
          <w:color w:val="auto"/>
          <w:sz w:val="24"/>
          <w:szCs w:val="24"/>
          <w:lang w:eastAsia="en-GB"/>
        </w:rPr>
        <w:t>2</w:t>
      </w:r>
      <w:r w:rsidRPr="00706BE7">
        <w:rPr>
          <w:rFonts w:ascii="Times New Roman" w:eastAsia="SimSun" w:hAnsi="Times New Roman" w:cs="Times New Roman"/>
          <w:bCs/>
          <w:i w:val="0"/>
          <w:color w:val="auto"/>
          <w:sz w:val="24"/>
          <w:szCs w:val="24"/>
          <w:lang w:eastAsia="en-GB"/>
        </w:rPr>
        <w:fldChar w:fldCharType="end"/>
      </w:r>
      <w:bookmarkEnd w:id="68"/>
      <w:r w:rsidRPr="00706BE7">
        <w:rPr>
          <w:rFonts w:ascii="Times New Roman" w:eastAsia="SimSun" w:hAnsi="Times New Roman" w:cs="Times New Roman"/>
          <w:bCs/>
          <w:i w:val="0"/>
          <w:color w:val="auto"/>
          <w:sz w:val="24"/>
          <w:szCs w:val="24"/>
          <w:lang w:eastAsia="en-GB"/>
        </w:rPr>
        <w:t xml:space="preserve"> Average cost by category and treatment allocation (prices in GBP (£) in 2012-13)</w:t>
      </w:r>
    </w:p>
    <w:tbl>
      <w:tblPr>
        <w:tblStyle w:val="TableGrid"/>
        <w:tblW w:w="0" w:type="auto"/>
        <w:tblLook w:val="04A0" w:firstRow="1" w:lastRow="0" w:firstColumn="1" w:lastColumn="0" w:noHBand="0" w:noVBand="1"/>
      </w:tblPr>
      <w:tblGrid>
        <w:gridCol w:w="3009"/>
        <w:gridCol w:w="2188"/>
        <w:gridCol w:w="1833"/>
        <w:gridCol w:w="1986"/>
      </w:tblGrid>
      <w:tr w:rsidR="00335798" w:rsidRPr="005C0E75" w:rsidTr="006712DC">
        <w:trPr>
          <w:trHeight w:val="586"/>
        </w:trPr>
        <w:tc>
          <w:tcPr>
            <w:tcW w:w="0" w:type="auto"/>
            <w:vAlign w:val="center"/>
            <w:hideMark/>
          </w:tcPr>
          <w:p w:rsidR="00335798" w:rsidRPr="005C0E75" w:rsidRDefault="00335798" w:rsidP="006712DC">
            <w:pPr>
              <w:rPr>
                <w:b/>
              </w:rPr>
            </w:pPr>
          </w:p>
        </w:tc>
        <w:tc>
          <w:tcPr>
            <w:tcW w:w="0" w:type="auto"/>
            <w:vAlign w:val="center"/>
            <w:hideMark/>
          </w:tcPr>
          <w:p w:rsidR="00335798" w:rsidRPr="005C0E75" w:rsidRDefault="00335798" w:rsidP="006712DC">
            <w:pPr>
              <w:textAlignment w:val="baseline"/>
              <w:rPr>
                <w:b/>
              </w:rPr>
            </w:pPr>
            <w:r w:rsidRPr="005C0E75">
              <w:rPr>
                <w:rFonts w:eastAsia="SimSun"/>
                <w:b/>
                <w:kern w:val="24"/>
              </w:rPr>
              <w:t>Intervention group N=2,635</w:t>
            </w:r>
          </w:p>
          <w:p w:rsidR="00335798" w:rsidRPr="005C0E75" w:rsidRDefault="00335798" w:rsidP="006712DC">
            <w:pPr>
              <w:textAlignment w:val="baseline"/>
              <w:rPr>
                <w:b/>
              </w:rPr>
            </w:pPr>
            <w:r w:rsidRPr="005C0E75">
              <w:rPr>
                <w:rFonts w:eastAsia="SimSun"/>
                <w:b/>
                <w:kern w:val="24"/>
              </w:rPr>
              <w:t>Mean (SD)</w:t>
            </w:r>
          </w:p>
        </w:tc>
        <w:tc>
          <w:tcPr>
            <w:tcW w:w="1833" w:type="dxa"/>
            <w:vAlign w:val="center"/>
            <w:hideMark/>
          </w:tcPr>
          <w:p w:rsidR="00335798" w:rsidRPr="005C0E75" w:rsidRDefault="00335798" w:rsidP="006712DC">
            <w:pPr>
              <w:textAlignment w:val="baseline"/>
              <w:rPr>
                <w:b/>
              </w:rPr>
            </w:pPr>
            <w:r w:rsidRPr="005C0E75">
              <w:rPr>
                <w:rFonts w:eastAsia="SimSun"/>
                <w:b/>
                <w:kern w:val="24"/>
              </w:rPr>
              <w:t>Control group</w:t>
            </w:r>
          </w:p>
          <w:p w:rsidR="00335798" w:rsidRPr="005C0E75" w:rsidRDefault="00335798" w:rsidP="006712DC">
            <w:pPr>
              <w:textAlignment w:val="baseline"/>
              <w:rPr>
                <w:b/>
              </w:rPr>
            </w:pPr>
            <w:r w:rsidRPr="005C0E75">
              <w:rPr>
                <w:rFonts w:eastAsia="SimSun"/>
                <w:b/>
                <w:kern w:val="24"/>
              </w:rPr>
              <w:t>N=1,748</w:t>
            </w:r>
          </w:p>
          <w:p w:rsidR="00335798" w:rsidRPr="005C0E75" w:rsidRDefault="00335798" w:rsidP="006712DC">
            <w:pPr>
              <w:textAlignment w:val="baseline"/>
              <w:rPr>
                <w:b/>
              </w:rPr>
            </w:pPr>
            <w:r w:rsidRPr="005C0E75">
              <w:rPr>
                <w:rFonts w:eastAsia="SimSun"/>
                <w:b/>
                <w:kern w:val="24"/>
              </w:rPr>
              <w:t>Mean (SD)</w:t>
            </w:r>
          </w:p>
        </w:tc>
        <w:tc>
          <w:tcPr>
            <w:tcW w:w="1986" w:type="dxa"/>
            <w:vAlign w:val="center"/>
            <w:hideMark/>
          </w:tcPr>
          <w:p w:rsidR="00335798" w:rsidRPr="005C0E75" w:rsidRDefault="00335798" w:rsidP="006712DC">
            <w:pPr>
              <w:textAlignment w:val="baseline"/>
              <w:rPr>
                <w:b/>
              </w:rPr>
            </w:pPr>
            <w:r w:rsidRPr="005C0E75">
              <w:rPr>
                <w:rFonts w:eastAsia="SimSun"/>
                <w:b/>
                <w:kern w:val="24"/>
              </w:rPr>
              <w:t>Difference *(£) (95% CI)</w:t>
            </w:r>
          </w:p>
        </w:tc>
      </w:tr>
      <w:tr w:rsidR="00335798" w:rsidRPr="005C0E75" w:rsidTr="006712DC">
        <w:trPr>
          <w:trHeight w:val="234"/>
        </w:trPr>
        <w:tc>
          <w:tcPr>
            <w:tcW w:w="0" w:type="auto"/>
            <w:vAlign w:val="center"/>
            <w:hideMark/>
          </w:tcPr>
          <w:p w:rsidR="00335798" w:rsidRPr="005C0E75" w:rsidRDefault="00335798" w:rsidP="006712DC">
            <w:pPr>
              <w:textAlignment w:val="baseline"/>
              <w:rPr>
                <w:b/>
              </w:rPr>
            </w:pPr>
            <w:r w:rsidRPr="005C0E75">
              <w:rPr>
                <w:rFonts w:eastAsia="SimSun"/>
                <w:b/>
                <w:kern w:val="24"/>
              </w:rPr>
              <w:t>Intervention cost</w:t>
            </w:r>
          </w:p>
        </w:tc>
        <w:tc>
          <w:tcPr>
            <w:tcW w:w="0" w:type="auto"/>
            <w:vAlign w:val="center"/>
            <w:hideMark/>
          </w:tcPr>
          <w:p w:rsidR="00335798" w:rsidRPr="005C0E75" w:rsidRDefault="00335798" w:rsidP="006712DC">
            <w:pPr>
              <w:jc w:val="right"/>
              <w:textAlignment w:val="baseline"/>
            </w:pPr>
            <w:r w:rsidRPr="005C0E75">
              <w:rPr>
                <w:rFonts w:eastAsia="SimSun"/>
                <w:kern w:val="24"/>
              </w:rPr>
              <w:t>£54 (£12)</w:t>
            </w:r>
          </w:p>
        </w:tc>
        <w:tc>
          <w:tcPr>
            <w:tcW w:w="1833" w:type="dxa"/>
            <w:vAlign w:val="center"/>
            <w:hideMark/>
          </w:tcPr>
          <w:p w:rsidR="00335798" w:rsidRPr="005C0E75" w:rsidRDefault="00335798" w:rsidP="006712DC">
            <w:pPr>
              <w:jc w:val="right"/>
              <w:textAlignment w:val="baseline"/>
            </w:pPr>
            <w:r w:rsidRPr="005C0E75">
              <w:rPr>
                <w:rFonts w:eastAsia="SimSun"/>
                <w:kern w:val="24"/>
              </w:rPr>
              <w:t>£0.9 (£1)</w:t>
            </w:r>
          </w:p>
        </w:tc>
        <w:tc>
          <w:tcPr>
            <w:tcW w:w="1986" w:type="dxa"/>
            <w:vAlign w:val="center"/>
            <w:hideMark/>
          </w:tcPr>
          <w:p w:rsidR="00335798" w:rsidRPr="005C0E75" w:rsidRDefault="00335798" w:rsidP="006712DC">
            <w:pPr>
              <w:jc w:val="right"/>
              <w:textAlignment w:val="baseline"/>
            </w:pPr>
            <w:r w:rsidRPr="005C0E75">
              <w:rPr>
                <w:rFonts w:eastAsia="SimSun"/>
                <w:kern w:val="24"/>
              </w:rPr>
              <w:t>£53 (£52 to £53)</w:t>
            </w:r>
          </w:p>
        </w:tc>
      </w:tr>
      <w:tr w:rsidR="00335798" w:rsidRPr="005C0E75" w:rsidTr="006712DC">
        <w:trPr>
          <w:trHeight w:val="234"/>
        </w:trPr>
        <w:tc>
          <w:tcPr>
            <w:tcW w:w="0" w:type="auto"/>
            <w:vAlign w:val="center"/>
            <w:hideMark/>
          </w:tcPr>
          <w:p w:rsidR="00335798" w:rsidRPr="005C0E75" w:rsidRDefault="00335798" w:rsidP="006712DC">
            <w:pPr>
              <w:textAlignment w:val="baseline"/>
              <w:rPr>
                <w:b/>
              </w:rPr>
            </w:pPr>
            <w:r w:rsidRPr="005C0E75">
              <w:rPr>
                <w:rFonts w:eastAsia="SimSun"/>
                <w:b/>
                <w:kern w:val="24"/>
              </w:rPr>
              <w:t>NHS SSS attendance cost</w:t>
            </w:r>
          </w:p>
        </w:tc>
        <w:tc>
          <w:tcPr>
            <w:tcW w:w="0" w:type="auto"/>
            <w:vAlign w:val="center"/>
            <w:hideMark/>
          </w:tcPr>
          <w:p w:rsidR="00335798" w:rsidRPr="005C0E75" w:rsidRDefault="00335798" w:rsidP="006712DC">
            <w:pPr>
              <w:jc w:val="right"/>
              <w:textAlignment w:val="center"/>
              <w:rPr>
                <w:lang w:val="fr-FR"/>
              </w:rPr>
            </w:pPr>
            <w:r w:rsidRPr="005C0E75">
              <w:rPr>
                <w:rFonts w:eastAsia="SimSun"/>
                <w:kern w:val="24"/>
                <w:lang w:val="fr-FR"/>
              </w:rPr>
              <w:t>£11 (£34)</w:t>
            </w:r>
          </w:p>
        </w:tc>
        <w:tc>
          <w:tcPr>
            <w:tcW w:w="1833" w:type="dxa"/>
            <w:vAlign w:val="center"/>
            <w:hideMark/>
          </w:tcPr>
          <w:p w:rsidR="00335798" w:rsidRPr="005C0E75" w:rsidRDefault="00335798" w:rsidP="006712DC">
            <w:pPr>
              <w:jc w:val="right"/>
              <w:textAlignment w:val="center"/>
              <w:rPr>
                <w:lang w:val="fr-FR"/>
              </w:rPr>
            </w:pPr>
            <w:r w:rsidRPr="005C0E75">
              <w:rPr>
                <w:rFonts w:eastAsia="SimSun"/>
                <w:kern w:val="24"/>
                <w:lang w:val="fr-FR"/>
              </w:rPr>
              <w:t>£5 (£23)</w:t>
            </w:r>
          </w:p>
        </w:tc>
        <w:tc>
          <w:tcPr>
            <w:tcW w:w="1986" w:type="dxa"/>
            <w:vAlign w:val="center"/>
            <w:hideMark/>
          </w:tcPr>
          <w:p w:rsidR="00335798" w:rsidRPr="005C0E75" w:rsidRDefault="00335798" w:rsidP="006712DC">
            <w:pPr>
              <w:jc w:val="right"/>
              <w:textAlignment w:val="center"/>
              <w:rPr>
                <w:lang w:val="fr-FR"/>
              </w:rPr>
            </w:pPr>
            <w:r w:rsidRPr="005C0E75">
              <w:rPr>
                <w:rFonts w:eastAsia="SimSun"/>
                <w:kern w:val="24"/>
                <w:lang w:val="fr-FR"/>
              </w:rPr>
              <w:t>£6 (£4 to £8)</w:t>
            </w:r>
          </w:p>
        </w:tc>
      </w:tr>
      <w:tr w:rsidR="00335798" w:rsidRPr="005C0E75" w:rsidTr="006712DC">
        <w:trPr>
          <w:trHeight w:val="234"/>
        </w:trPr>
        <w:tc>
          <w:tcPr>
            <w:tcW w:w="0" w:type="auto"/>
            <w:vAlign w:val="center"/>
            <w:hideMark/>
          </w:tcPr>
          <w:p w:rsidR="00335798" w:rsidRPr="005C0E75" w:rsidRDefault="00335798" w:rsidP="006712DC">
            <w:pPr>
              <w:textAlignment w:val="baseline"/>
              <w:rPr>
                <w:b/>
                <w:lang w:val="fr-FR"/>
              </w:rPr>
            </w:pPr>
            <w:r w:rsidRPr="005C0E75">
              <w:rPr>
                <w:rFonts w:eastAsia="SimSun"/>
                <w:b/>
                <w:kern w:val="24"/>
                <w:lang w:val="fr-FR"/>
              </w:rPr>
              <w:t>Other non-Pharmacologic cessation aids </w:t>
            </w:r>
          </w:p>
        </w:tc>
        <w:tc>
          <w:tcPr>
            <w:tcW w:w="0" w:type="auto"/>
            <w:vAlign w:val="center"/>
            <w:hideMark/>
          </w:tcPr>
          <w:p w:rsidR="00335798" w:rsidRPr="005C0E75" w:rsidRDefault="00335798" w:rsidP="006712DC">
            <w:pPr>
              <w:jc w:val="right"/>
              <w:textAlignment w:val="center"/>
              <w:rPr>
                <w:lang w:val="fr-FR"/>
              </w:rPr>
            </w:pPr>
            <w:r w:rsidRPr="005C0E75">
              <w:rPr>
                <w:rFonts w:eastAsia="SimSun"/>
                <w:kern w:val="24"/>
                <w:lang w:val="fr-FR"/>
              </w:rPr>
              <w:t>£44 (£32)</w:t>
            </w:r>
          </w:p>
        </w:tc>
        <w:tc>
          <w:tcPr>
            <w:tcW w:w="1833" w:type="dxa"/>
            <w:vAlign w:val="center"/>
            <w:hideMark/>
          </w:tcPr>
          <w:p w:rsidR="00335798" w:rsidRPr="005C0E75" w:rsidRDefault="00335798" w:rsidP="006712DC">
            <w:pPr>
              <w:jc w:val="right"/>
              <w:textAlignment w:val="center"/>
              <w:rPr>
                <w:lang w:val="fr-FR"/>
              </w:rPr>
            </w:pPr>
            <w:r w:rsidRPr="005C0E75">
              <w:rPr>
                <w:rFonts w:eastAsia="SimSun"/>
                <w:kern w:val="24"/>
                <w:lang w:val="fr-FR"/>
              </w:rPr>
              <w:t>£40 (£26)</w:t>
            </w:r>
          </w:p>
        </w:tc>
        <w:tc>
          <w:tcPr>
            <w:tcW w:w="1986" w:type="dxa"/>
            <w:vAlign w:val="center"/>
            <w:hideMark/>
          </w:tcPr>
          <w:p w:rsidR="00335798" w:rsidRPr="005C0E75" w:rsidRDefault="00335798" w:rsidP="006712DC">
            <w:pPr>
              <w:jc w:val="right"/>
              <w:textAlignment w:val="center"/>
            </w:pPr>
            <w:r w:rsidRPr="005C0E75">
              <w:rPr>
                <w:rFonts w:eastAsia="SimSun"/>
                <w:kern w:val="24"/>
              </w:rPr>
              <w:t>£4 (£2 to £6)</w:t>
            </w:r>
          </w:p>
        </w:tc>
      </w:tr>
      <w:tr w:rsidR="00335798" w:rsidRPr="005C0E75" w:rsidTr="006712DC">
        <w:trPr>
          <w:trHeight w:val="234"/>
        </w:trPr>
        <w:tc>
          <w:tcPr>
            <w:tcW w:w="0" w:type="auto"/>
            <w:vAlign w:val="center"/>
            <w:hideMark/>
          </w:tcPr>
          <w:p w:rsidR="00335798" w:rsidRPr="005C0E75" w:rsidRDefault="00335798" w:rsidP="006712DC">
            <w:pPr>
              <w:textAlignment w:val="baseline"/>
              <w:rPr>
                <w:b/>
              </w:rPr>
            </w:pPr>
            <w:r w:rsidRPr="005C0E75">
              <w:rPr>
                <w:rFonts w:eastAsia="SimSun"/>
                <w:b/>
                <w:kern w:val="24"/>
              </w:rPr>
              <w:t>Pharmacologic cessation aids </w:t>
            </w:r>
          </w:p>
        </w:tc>
        <w:tc>
          <w:tcPr>
            <w:tcW w:w="0" w:type="auto"/>
            <w:vAlign w:val="center"/>
            <w:hideMark/>
          </w:tcPr>
          <w:p w:rsidR="00335798" w:rsidRPr="005C0E75" w:rsidRDefault="00335798" w:rsidP="006712DC">
            <w:pPr>
              <w:jc w:val="right"/>
              <w:textAlignment w:val="center"/>
            </w:pPr>
            <w:r w:rsidRPr="005C0E75">
              <w:rPr>
                <w:rFonts w:eastAsia="SimSun"/>
                <w:kern w:val="24"/>
              </w:rPr>
              <w:t>£61 (£49)</w:t>
            </w:r>
          </w:p>
        </w:tc>
        <w:tc>
          <w:tcPr>
            <w:tcW w:w="1833" w:type="dxa"/>
            <w:vAlign w:val="center"/>
            <w:hideMark/>
          </w:tcPr>
          <w:p w:rsidR="00335798" w:rsidRPr="005C0E75" w:rsidRDefault="00335798" w:rsidP="006712DC">
            <w:pPr>
              <w:jc w:val="right"/>
              <w:textAlignment w:val="center"/>
            </w:pPr>
            <w:r w:rsidRPr="005C0E75">
              <w:rPr>
                <w:rFonts w:eastAsia="SimSun"/>
                <w:kern w:val="24"/>
              </w:rPr>
              <w:t>£50 (£32)</w:t>
            </w:r>
          </w:p>
        </w:tc>
        <w:tc>
          <w:tcPr>
            <w:tcW w:w="1986" w:type="dxa"/>
            <w:vAlign w:val="center"/>
            <w:hideMark/>
          </w:tcPr>
          <w:p w:rsidR="00335798" w:rsidRPr="005C0E75" w:rsidRDefault="00335798" w:rsidP="006712DC">
            <w:pPr>
              <w:jc w:val="right"/>
              <w:textAlignment w:val="center"/>
            </w:pPr>
            <w:r w:rsidRPr="005C0E75">
              <w:rPr>
                <w:rFonts w:eastAsia="SimSun"/>
                <w:kern w:val="24"/>
              </w:rPr>
              <w:t>£10 (£8 to £13)</w:t>
            </w:r>
          </w:p>
        </w:tc>
      </w:tr>
      <w:tr w:rsidR="00335798" w:rsidRPr="005C0E75" w:rsidTr="006712DC">
        <w:trPr>
          <w:trHeight w:val="234"/>
        </w:trPr>
        <w:tc>
          <w:tcPr>
            <w:tcW w:w="0" w:type="auto"/>
            <w:vAlign w:val="center"/>
            <w:hideMark/>
          </w:tcPr>
          <w:p w:rsidR="00335798" w:rsidRPr="005C0E75" w:rsidRDefault="00335798" w:rsidP="006712DC">
            <w:pPr>
              <w:textAlignment w:val="baseline"/>
              <w:rPr>
                <w:b/>
              </w:rPr>
            </w:pPr>
            <w:r w:rsidRPr="005C0E75">
              <w:rPr>
                <w:rFonts w:eastAsia="SimSun"/>
                <w:b/>
                <w:kern w:val="24"/>
              </w:rPr>
              <w:t>Wider health care resource use cost</w:t>
            </w:r>
          </w:p>
        </w:tc>
        <w:tc>
          <w:tcPr>
            <w:tcW w:w="0" w:type="auto"/>
            <w:vAlign w:val="center"/>
            <w:hideMark/>
          </w:tcPr>
          <w:p w:rsidR="00335798" w:rsidRPr="005C0E75" w:rsidRDefault="00335798" w:rsidP="006712DC">
            <w:pPr>
              <w:jc w:val="right"/>
              <w:textAlignment w:val="baseline"/>
            </w:pPr>
            <w:r w:rsidRPr="005C0E75">
              <w:rPr>
                <w:rFonts w:eastAsia="SimSun"/>
                <w:kern w:val="24"/>
                <w:lang w:val="en-US"/>
              </w:rPr>
              <w:t>£608 (£2,175)</w:t>
            </w:r>
          </w:p>
        </w:tc>
        <w:tc>
          <w:tcPr>
            <w:tcW w:w="1833" w:type="dxa"/>
            <w:vAlign w:val="center"/>
            <w:hideMark/>
          </w:tcPr>
          <w:p w:rsidR="00335798" w:rsidRPr="005C0E75" w:rsidRDefault="00335798" w:rsidP="006712DC">
            <w:pPr>
              <w:jc w:val="right"/>
              <w:textAlignment w:val="baseline"/>
            </w:pPr>
            <w:r w:rsidRPr="005C0E75">
              <w:rPr>
                <w:rFonts w:eastAsia="SimSun"/>
                <w:kern w:val="24"/>
              </w:rPr>
              <w:t>£583 (£1,860)</w:t>
            </w:r>
          </w:p>
        </w:tc>
        <w:tc>
          <w:tcPr>
            <w:tcW w:w="1986" w:type="dxa"/>
            <w:vAlign w:val="center"/>
            <w:hideMark/>
          </w:tcPr>
          <w:p w:rsidR="00335798" w:rsidRPr="005C0E75" w:rsidRDefault="00335798" w:rsidP="006712DC">
            <w:pPr>
              <w:jc w:val="right"/>
              <w:textAlignment w:val="baseline"/>
            </w:pPr>
            <w:r w:rsidRPr="005C0E75">
              <w:rPr>
                <w:rFonts w:eastAsia="SimSun"/>
                <w:kern w:val="24"/>
                <w:lang w:val="en-US"/>
              </w:rPr>
              <w:t>£25 (-£99 to £149)</w:t>
            </w:r>
          </w:p>
        </w:tc>
      </w:tr>
      <w:tr w:rsidR="00335798" w:rsidRPr="005C0E75" w:rsidTr="006712DC">
        <w:trPr>
          <w:trHeight w:val="234"/>
        </w:trPr>
        <w:tc>
          <w:tcPr>
            <w:tcW w:w="0" w:type="auto"/>
            <w:vAlign w:val="center"/>
            <w:hideMark/>
          </w:tcPr>
          <w:p w:rsidR="00335798" w:rsidRPr="005C0E75" w:rsidRDefault="00335798" w:rsidP="006712DC">
            <w:pPr>
              <w:textAlignment w:val="baseline"/>
              <w:rPr>
                <w:b/>
              </w:rPr>
            </w:pPr>
            <w:r w:rsidRPr="005C0E75">
              <w:rPr>
                <w:rFonts w:eastAsia="SimSun"/>
                <w:b/>
                <w:kern w:val="24"/>
              </w:rPr>
              <w:t>Total cost</w:t>
            </w:r>
          </w:p>
        </w:tc>
        <w:tc>
          <w:tcPr>
            <w:tcW w:w="0" w:type="auto"/>
            <w:vAlign w:val="center"/>
            <w:hideMark/>
          </w:tcPr>
          <w:p w:rsidR="00335798" w:rsidRPr="005C0E75" w:rsidRDefault="00335798" w:rsidP="006712DC">
            <w:pPr>
              <w:jc w:val="right"/>
              <w:textAlignment w:val="center"/>
            </w:pPr>
            <w:r w:rsidRPr="005C0E75">
              <w:rPr>
                <w:rFonts w:eastAsia="SimSun"/>
                <w:kern w:val="24"/>
              </w:rPr>
              <w:t>£777 (£2,176)</w:t>
            </w:r>
          </w:p>
        </w:tc>
        <w:tc>
          <w:tcPr>
            <w:tcW w:w="1833" w:type="dxa"/>
            <w:vAlign w:val="center"/>
            <w:hideMark/>
          </w:tcPr>
          <w:p w:rsidR="00335798" w:rsidRPr="005C0E75" w:rsidRDefault="00335798" w:rsidP="006712DC">
            <w:pPr>
              <w:jc w:val="right"/>
              <w:textAlignment w:val="center"/>
            </w:pPr>
            <w:r w:rsidRPr="005C0E75">
              <w:rPr>
                <w:rFonts w:eastAsia="SimSun"/>
                <w:kern w:val="24"/>
              </w:rPr>
              <w:t>£679 (£1,860)</w:t>
            </w:r>
          </w:p>
        </w:tc>
        <w:tc>
          <w:tcPr>
            <w:tcW w:w="1986" w:type="dxa"/>
            <w:vAlign w:val="center"/>
            <w:hideMark/>
          </w:tcPr>
          <w:p w:rsidR="00335798" w:rsidRPr="005C0E75" w:rsidRDefault="00335798" w:rsidP="006712DC">
            <w:pPr>
              <w:jc w:val="right"/>
              <w:textAlignment w:val="center"/>
            </w:pPr>
            <w:r w:rsidRPr="005C0E75">
              <w:rPr>
                <w:rFonts w:eastAsia="SimSun"/>
                <w:kern w:val="24"/>
              </w:rPr>
              <w:t>£98 (-£26 to £222)</w:t>
            </w:r>
          </w:p>
        </w:tc>
      </w:tr>
      <w:tr w:rsidR="00335798" w:rsidRPr="005C0E75" w:rsidTr="006712DC">
        <w:trPr>
          <w:trHeight w:val="234"/>
        </w:trPr>
        <w:tc>
          <w:tcPr>
            <w:tcW w:w="0" w:type="auto"/>
            <w:vAlign w:val="center"/>
            <w:hideMark/>
          </w:tcPr>
          <w:p w:rsidR="00335798" w:rsidRPr="005C0E75" w:rsidRDefault="00335798" w:rsidP="006712DC">
            <w:pPr>
              <w:textAlignment w:val="baseline"/>
              <w:rPr>
                <w:b/>
              </w:rPr>
            </w:pPr>
            <w:r w:rsidRPr="005C0E75">
              <w:rPr>
                <w:rFonts w:eastAsia="SimSun"/>
                <w:b/>
                <w:kern w:val="24"/>
              </w:rPr>
              <w:t>Adjusted total cost**</w:t>
            </w:r>
          </w:p>
        </w:tc>
        <w:tc>
          <w:tcPr>
            <w:tcW w:w="0" w:type="auto"/>
            <w:vAlign w:val="center"/>
            <w:hideMark/>
          </w:tcPr>
          <w:p w:rsidR="00335798" w:rsidRPr="005C0E75" w:rsidRDefault="00335798" w:rsidP="006712DC">
            <w:pPr>
              <w:jc w:val="right"/>
              <w:textAlignment w:val="center"/>
            </w:pPr>
            <w:r w:rsidRPr="005C0E75">
              <w:rPr>
                <w:rFonts w:eastAsia="SimSun"/>
                <w:kern w:val="24"/>
              </w:rPr>
              <w:t>£760 (£2,039)</w:t>
            </w:r>
          </w:p>
        </w:tc>
        <w:tc>
          <w:tcPr>
            <w:tcW w:w="1833" w:type="dxa"/>
            <w:vAlign w:val="center"/>
            <w:hideMark/>
          </w:tcPr>
          <w:p w:rsidR="00335798" w:rsidRPr="005C0E75" w:rsidRDefault="00335798" w:rsidP="006712DC">
            <w:pPr>
              <w:jc w:val="right"/>
              <w:textAlignment w:val="center"/>
            </w:pPr>
            <w:r w:rsidRPr="005C0E75">
              <w:rPr>
                <w:rFonts w:eastAsia="SimSun"/>
                <w:kern w:val="24"/>
              </w:rPr>
              <w:t>£669 (£2,059)</w:t>
            </w:r>
          </w:p>
        </w:tc>
        <w:tc>
          <w:tcPr>
            <w:tcW w:w="1986" w:type="dxa"/>
            <w:vAlign w:val="center"/>
            <w:hideMark/>
          </w:tcPr>
          <w:p w:rsidR="00335798" w:rsidRPr="005C0E75" w:rsidRDefault="00335798" w:rsidP="006712DC">
            <w:pPr>
              <w:jc w:val="right"/>
              <w:textAlignment w:val="center"/>
            </w:pPr>
            <w:r w:rsidRPr="005C0E75">
              <w:rPr>
                <w:rFonts w:eastAsia="SimSun"/>
                <w:kern w:val="24"/>
              </w:rPr>
              <w:t>£92 (-£32 to £216)</w:t>
            </w:r>
          </w:p>
        </w:tc>
      </w:tr>
      <w:tr w:rsidR="00335798" w:rsidRPr="005C0E75" w:rsidTr="006712DC">
        <w:trPr>
          <w:trHeight w:val="406"/>
        </w:trPr>
        <w:tc>
          <w:tcPr>
            <w:tcW w:w="0" w:type="auto"/>
            <w:gridSpan w:val="4"/>
            <w:vAlign w:val="center"/>
            <w:hideMark/>
          </w:tcPr>
          <w:p w:rsidR="00335798" w:rsidRPr="005C0E75" w:rsidRDefault="00335798" w:rsidP="006712DC">
            <w:pPr>
              <w:textAlignment w:val="baseline"/>
              <w:rPr>
                <w:rFonts w:eastAsia="SimSun"/>
                <w:b/>
                <w:kern w:val="24"/>
                <w:lang w:val="en-US"/>
              </w:rPr>
            </w:pPr>
            <w:r w:rsidRPr="005C0E75">
              <w:rPr>
                <w:rFonts w:eastAsia="SimSun"/>
                <w:b/>
                <w:kern w:val="24"/>
              </w:rPr>
              <w:t>*</w:t>
            </w:r>
            <w:r w:rsidRPr="005C0E75">
              <w:rPr>
                <w:rFonts w:eastAsia="SimSun"/>
                <w:b/>
                <w:kern w:val="24"/>
                <w:lang w:val="en-US"/>
              </w:rPr>
              <w:t>Difference = Costs for intervention group – Costs for control group</w:t>
            </w:r>
          </w:p>
          <w:p w:rsidR="00335798" w:rsidRPr="005C0E75" w:rsidRDefault="00335798" w:rsidP="006712DC">
            <w:pPr>
              <w:textAlignment w:val="baseline"/>
              <w:rPr>
                <w:rFonts w:eastAsia="SimSun"/>
                <w:b/>
                <w:kern w:val="24"/>
                <w:lang w:val="en-US"/>
              </w:rPr>
            </w:pPr>
            <w:r w:rsidRPr="005C0E75">
              <w:rPr>
                <w:rFonts w:eastAsia="SimSun"/>
                <w:b/>
                <w:kern w:val="24"/>
                <w:lang w:val="en-US"/>
              </w:rPr>
              <w:t>**Adjusted for baseline cost</w:t>
            </w:r>
          </w:p>
          <w:p w:rsidR="00335798" w:rsidRPr="005C0E75" w:rsidRDefault="00335798" w:rsidP="006712DC">
            <w:pPr>
              <w:textAlignment w:val="baseline"/>
              <w:rPr>
                <w:b/>
              </w:rPr>
            </w:pPr>
            <w:r w:rsidRPr="005C0E75">
              <w:rPr>
                <w:b/>
              </w:rPr>
              <w:t>Note: the numbers may not add up due to rounding.</w:t>
            </w:r>
          </w:p>
        </w:tc>
      </w:tr>
    </w:tbl>
    <w:p w:rsidR="00335798" w:rsidRPr="005C0E75" w:rsidRDefault="00335798" w:rsidP="00335798">
      <w:pPr>
        <w:spacing w:line="240" w:lineRule="auto"/>
        <w:jc w:val="both"/>
        <w:rPr>
          <w:rFonts w:ascii="Times New Roman" w:hAnsi="Times New Roman" w:cs="Times New Roman"/>
          <w:sz w:val="24"/>
          <w:szCs w:val="24"/>
        </w:rPr>
      </w:pPr>
    </w:p>
    <w:p w:rsidR="00335798" w:rsidRPr="00706BE7" w:rsidRDefault="00335798" w:rsidP="00335798">
      <w:pPr>
        <w:pStyle w:val="Caption"/>
        <w:keepNext/>
        <w:rPr>
          <w:rFonts w:ascii="Times New Roman" w:eastAsia="SimSun" w:hAnsi="Times New Roman" w:cs="Times New Roman"/>
          <w:bCs/>
          <w:i w:val="0"/>
          <w:color w:val="auto"/>
          <w:sz w:val="24"/>
          <w:szCs w:val="24"/>
          <w:lang w:eastAsia="en-GB"/>
        </w:rPr>
      </w:pPr>
      <w:bookmarkStart w:id="69" w:name="_Ref445119992"/>
      <w:bookmarkStart w:id="70" w:name="_Ref430933060"/>
      <w:r w:rsidRPr="00706BE7">
        <w:rPr>
          <w:rFonts w:ascii="Times New Roman" w:eastAsia="SimSun" w:hAnsi="Times New Roman" w:cs="Times New Roman"/>
          <w:bCs/>
          <w:i w:val="0"/>
          <w:color w:val="auto"/>
          <w:sz w:val="24"/>
          <w:szCs w:val="24"/>
          <w:lang w:eastAsia="en-GB"/>
        </w:rPr>
        <w:t xml:space="preserve">Table </w:t>
      </w:r>
      <w:r w:rsidRPr="00706BE7">
        <w:rPr>
          <w:rFonts w:ascii="Times New Roman" w:eastAsia="SimSun" w:hAnsi="Times New Roman" w:cs="Times New Roman"/>
          <w:bCs/>
          <w:i w:val="0"/>
          <w:color w:val="auto"/>
          <w:sz w:val="24"/>
          <w:szCs w:val="24"/>
          <w:lang w:eastAsia="en-GB"/>
        </w:rPr>
        <w:fldChar w:fldCharType="begin"/>
      </w:r>
      <w:r w:rsidRPr="00706BE7">
        <w:rPr>
          <w:rFonts w:ascii="Times New Roman" w:eastAsia="SimSun" w:hAnsi="Times New Roman" w:cs="Times New Roman"/>
          <w:bCs/>
          <w:i w:val="0"/>
          <w:color w:val="auto"/>
          <w:sz w:val="24"/>
          <w:szCs w:val="24"/>
          <w:lang w:eastAsia="en-GB"/>
        </w:rPr>
        <w:instrText xml:space="preserve"> SEQ Table \* ARABIC </w:instrText>
      </w:r>
      <w:r w:rsidRPr="00706BE7">
        <w:rPr>
          <w:rFonts w:ascii="Times New Roman" w:eastAsia="SimSun" w:hAnsi="Times New Roman" w:cs="Times New Roman"/>
          <w:bCs/>
          <w:i w:val="0"/>
          <w:color w:val="auto"/>
          <w:sz w:val="24"/>
          <w:szCs w:val="24"/>
          <w:lang w:eastAsia="en-GB"/>
        </w:rPr>
        <w:fldChar w:fldCharType="separate"/>
      </w:r>
      <w:r w:rsidRPr="00706BE7">
        <w:rPr>
          <w:rFonts w:ascii="Times New Roman" w:eastAsia="SimSun" w:hAnsi="Times New Roman" w:cs="Times New Roman"/>
          <w:bCs/>
          <w:i w:val="0"/>
          <w:color w:val="auto"/>
          <w:sz w:val="24"/>
          <w:szCs w:val="24"/>
          <w:lang w:eastAsia="en-GB"/>
        </w:rPr>
        <w:t>3</w:t>
      </w:r>
      <w:r w:rsidRPr="00706BE7">
        <w:rPr>
          <w:rFonts w:ascii="Times New Roman" w:eastAsia="SimSun" w:hAnsi="Times New Roman" w:cs="Times New Roman"/>
          <w:bCs/>
          <w:i w:val="0"/>
          <w:color w:val="auto"/>
          <w:sz w:val="24"/>
          <w:szCs w:val="24"/>
          <w:lang w:eastAsia="en-GB"/>
        </w:rPr>
        <w:fldChar w:fldCharType="end"/>
      </w:r>
      <w:bookmarkEnd w:id="69"/>
      <w:bookmarkEnd w:id="70"/>
      <w:r w:rsidRPr="00706BE7">
        <w:rPr>
          <w:rFonts w:ascii="Times New Roman" w:eastAsia="SimSun" w:hAnsi="Times New Roman" w:cs="Times New Roman"/>
          <w:bCs/>
          <w:i w:val="0"/>
          <w:color w:val="auto"/>
          <w:sz w:val="24"/>
          <w:szCs w:val="24"/>
          <w:lang w:eastAsia="en-GB"/>
        </w:rPr>
        <w:t xml:space="preserve"> Outcome measures and incremental cost-effectiveness ratios (ICERs)</w:t>
      </w:r>
    </w:p>
    <w:tbl>
      <w:tblPr>
        <w:tblStyle w:val="TableGrid"/>
        <w:tblW w:w="8838" w:type="dxa"/>
        <w:tblLook w:val="04A0" w:firstRow="1" w:lastRow="0" w:firstColumn="1" w:lastColumn="0" w:noHBand="0" w:noVBand="1"/>
      </w:tblPr>
      <w:tblGrid>
        <w:gridCol w:w="2487"/>
        <w:gridCol w:w="1283"/>
        <w:gridCol w:w="1194"/>
        <w:gridCol w:w="1412"/>
        <w:gridCol w:w="2462"/>
      </w:tblGrid>
      <w:tr w:rsidR="00335798" w:rsidRPr="005C0E75" w:rsidTr="006712DC">
        <w:trPr>
          <w:trHeight w:val="397"/>
        </w:trPr>
        <w:tc>
          <w:tcPr>
            <w:tcW w:w="2518" w:type="dxa"/>
            <w:vAlign w:val="center"/>
          </w:tcPr>
          <w:p w:rsidR="00335798" w:rsidRPr="005C0E75" w:rsidRDefault="00335798" w:rsidP="006712DC">
            <w:pPr>
              <w:rPr>
                <w:rFonts w:eastAsia="SimSun"/>
                <w:b/>
              </w:rPr>
            </w:pPr>
          </w:p>
        </w:tc>
        <w:tc>
          <w:tcPr>
            <w:tcW w:w="1276" w:type="dxa"/>
            <w:vAlign w:val="center"/>
          </w:tcPr>
          <w:p w:rsidR="00335798" w:rsidRPr="005C0E75" w:rsidRDefault="00335798" w:rsidP="006712DC">
            <w:pPr>
              <w:rPr>
                <w:rFonts w:eastAsia="SimSun"/>
                <w:b/>
              </w:rPr>
            </w:pPr>
            <w:r w:rsidRPr="005C0E75">
              <w:rPr>
                <w:rFonts w:eastAsia="SimSun"/>
                <w:b/>
              </w:rPr>
              <w:t>Intervention group</w:t>
            </w:r>
          </w:p>
          <w:p w:rsidR="00335798" w:rsidRPr="005C0E75" w:rsidRDefault="00335798" w:rsidP="006712DC">
            <w:pPr>
              <w:rPr>
                <w:rFonts w:eastAsia="SimSun"/>
                <w:b/>
              </w:rPr>
            </w:pPr>
            <w:r w:rsidRPr="005C0E75">
              <w:rPr>
                <w:rFonts w:eastAsia="SimSun"/>
                <w:b/>
              </w:rPr>
              <w:t>N=2,635</w:t>
            </w:r>
          </w:p>
        </w:tc>
        <w:tc>
          <w:tcPr>
            <w:tcW w:w="1134" w:type="dxa"/>
            <w:vAlign w:val="center"/>
          </w:tcPr>
          <w:p w:rsidR="00335798" w:rsidRPr="005C0E75" w:rsidRDefault="00335798" w:rsidP="006712DC">
            <w:pPr>
              <w:rPr>
                <w:rFonts w:eastAsia="SimSun"/>
                <w:b/>
              </w:rPr>
            </w:pPr>
            <w:r w:rsidRPr="005C0E75">
              <w:rPr>
                <w:rFonts w:eastAsia="SimSun"/>
                <w:b/>
              </w:rPr>
              <w:t>Control group</w:t>
            </w:r>
          </w:p>
          <w:p w:rsidR="00335798" w:rsidRPr="005C0E75" w:rsidRDefault="00335798" w:rsidP="006712DC">
            <w:pPr>
              <w:rPr>
                <w:rFonts w:eastAsia="SimSun"/>
                <w:b/>
              </w:rPr>
            </w:pPr>
            <w:r w:rsidRPr="005C0E75">
              <w:rPr>
                <w:rFonts w:eastAsia="SimSun"/>
                <w:b/>
              </w:rPr>
              <w:t>N=1,748</w:t>
            </w:r>
          </w:p>
        </w:tc>
        <w:tc>
          <w:tcPr>
            <w:tcW w:w="1417" w:type="dxa"/>
            <w:vAlign w:val="center"/>
          </w:tcPr>
          <w:p w:rsidR="00335798" w:rsidRPr="005C0E75" w:rsidRDefault="00335798" w:rsidP="006712DC">
            <w:pPr>
              <w:rPr>
                <w:rFonts w:eastAsia="SimSun"/>
                <w:b/>
                <w:bCs/>
              </w:rPr>
            </w:pPr>
            <w:r w:rsidRPr="005C0E75">
              <w:rPr>
                <w:rFonts w:eastAsia="SimSun"/>
                <w:b/>
                <w:bCs/>
              </w:rPr>
              <w:t>Difference* (95% CI)</w:t>
            </w:r>
          </w:p>
        </w:tc>
        <w:tc>
          <w:tcPr>
            <w:tcW w:w="2493" w:type="dxa"/>
            <w:vAlign w:val="center"/>
          </w:tcPr>
          <w:p w:rsidR="00335798" w:rsidRPr="005C0E75" w:rsidRDefault="00335798" w:rsidP="006712DC">
            <w:pPr>
              <w:rPr>
                <w:b/>
              </w:rPr>
            </w:pPr>
            <w:r w:rsidRPr="005C0E75">
              <w:rPr>
                <w:b/>
              </w:rPr>
              <w:t>ICERs</w:t>
            </w:r>
          </w:p>
        </w:tc>
      </w:tr>
      <w:tr w:rsidR="00335798" w:rsidRPr="005C0E75" w:rsidTr="006712DC">
        <w:trPr>
          <w:trHeight w:val="397"/>
        </w:trPr>
        <w:tc>
          <w:tcPr>
            <w:tcW w:w="2518" w:type="dxa"/>
            <w:vAlign w:val="center"/>
          </w:tcPr>
          <w:p w:rsidR="00335798" w:rsidRPr="005C0E75" w:rsidRDefault="00335798" w:rsidP="006712DC">
            <w:pPr>
              <w:rPr>
                <w:rFonts w:eastAsia="SimSun"/>
                <w:b/>
              </w:rPr>
            </w:pPr>
          </w:p>
        </w:tc>
        <w:tc>
          <w:tcPr>
            <w:tcW w:w="1276" w:type="dxa"/>
            <w:vAlign w:val="center"/>
          </w:tcPr>
          <w:p w:rsidR="00335798" w:rsidRPr="005C0E75" w:rsidRDefault="00335798" w:rsidP="006712DC">
            <w:pPr>
              <w:rPr>
                <w:rFonts w:eastAsia="SimSun"/>
                <w:b/>
              </w:rPr>
            </w:pPr>
            <w:r w:rsidRPr="005C0E75">
              <w:rPr>
                <w:rFonts w:eastAsia="SimSun"/>
                <w:b/>
              </w:rPr>
              <w:t xml:space="preserve">QALY </w:t>
            </w:r>
            <w:r w:rsidR="00145D7F" w:rsidRPr="005C0E75">
              <w:rPr>
                <w:rFonts w:eastAsia="SimSun"/>
                <w:b/>
                <w:kern w:val="24"/>
              </w:rPr>
              <w:t>Mean (SD)</w:t>
            </w:r>
          </w:p>
        </w:tc>
        <w:tc>
          <w:tcPr>
            <w:tcW w:w="1134" w:type="dxa"/>
            <w:vAlign w:val="center"/>
          </w:tcPr>
          <w:p w:rsidR="00335798" w:rsidRPr="005C0E75" w:rsidRDefault="00335798" w:rsidP="006712DC">
            <w:pPr>
              <w:rPr>
                <w:rFonts w:eastAsia="SimSun"/>
                <w:b/>
              </w:rPr>
            </w:pPr>
            <w:r w:rsidRPr="005C0E75">
              <w:rPr>
                <w:rFonts w:eastAsia="SimSun"/>
                <w:b/>
              </w:rPr>
              <w:t xml:space="preserve">QALY </w:t>
            </w:r>
            <w:r w:rsidR="00145D7F" w:rsidRPr="005C0E75">
              <w:rPr>
                <w:rFonts w:eastAsia="SimSun"/>
                <w:b/>
                <w:kern w:val="24"/>
              </w:rPr>
              <w:t>Mean (SD)</w:t>
            </w:r>
          </w:p>
        </w:tc>
        <w:tc>
          <w:tcPr>
            <w:tcW w:w="1417" w:type="dxa"/>
            <w:vAlign w:val="center"/>
          </w:tcPr>
          <w:p w:rsidR="00335798" w:rsidRPr="005C0E75" w:rsidRDefault="00335798" w:rsidP="006712DC">
            <w:pPr>
              <w:rPr>
                <w:rFonts w:eastAsia="SimSun"/>
                <w:b/>
                <w:bCs/>
              </w:rPr>
            </w:pPr>
            <w:r w:rsidRPr="005C0E75">
              <w:rPr>
                <w:rFonts w:eastAsia="SimSun"/>
                <w:b/>
                <w:bCs/>
              </w:rPr>
              <w:t>Difference (95% CI)</w:t>
            </w:r>
          </w:p>
        </w:tc>
        <w:tc>
          <w:tcPr>
            <w:tcW w:w="2493" w:type="dxa"/>
            <w:vAlign w:val="center"/>
          </w:tcPr>
          <w:p w:rsidR="00335798" w:rsidRPr="005C0E75" w:rsidRDefault="00335798" w:rsidP="006712DC">
            <w:pPr>
              <w:rPr>
                <w:rFonts w:eastAsia="SimSun"/>
                <w:b/>
              </w:rPr>
            </w:pPr>
            <w:r w:rsidRPr="005C0E75">
              <w:rPr>
                <w:b/>
              </w:rPr>
              <w:t>ICER (Cost per QALY gained) (95% CI)</w:t>
            </w:r>
          </w:p>
        </w:tc>
      </w:tr>
      <w:tr w:rsidR="00335798" w:rsidRPr="005C0E75" w:rsidTr="006712DC">
        <w:trPr>
          <w:trHeight w:val="397"/>
        </w:trPr>
        <w:tc>
          <w:tcPr>
            <w:tcW w:w="2518" w:type="dxa"/>
            <w:vAlign w:val="center"/>
          </w:tcPr>
          <w:p w:rsidR="00335798" w:rsidRPr="005C0E75" w:rsidRDefault="00335798" w:rsidP="006712DC">
            <w:pPr>
              <w:rPr>
                <w:rFonts w:eastAsia="SimSun"/>
                <w:b/>
              </w:rPr>
            </w:pPr>
            <w:r w:rsidRPr="005C0E75">
              <w:rPr>
                <w:rFonts w:eastAsia="SimSun"/>
                <w:b/>
              </w:rPr>
              <w:t>Unadjusted QALYs</w:t>
            </w:r>
          </w:p>
        </w:tc>
        <w:tc>
          <w:tcPr>
            <w:tcW w:w="1276" w:type="dxa"/>
            <w:vAlign w:val="center"/>
          </w:tcPr>
          <w:p w:rsidR="00335798" w:rsidRPr="005C0E75" w:rsidRDefault="00335798" w:rsidP="006712DC">
            <w:r w:rsidRPr="005C0E75">
              <w:t>0.381 (0.141)</w:t>
            </w:r>
          </w:p>
        </w:tc>
        <w:tc>
          <w:tcPr>
            <w:tcW w:w="1134" w:type="dxa"/>
            <w:vAlign w:val="center"/>
          </w:tcPr>
          <w:p w:rsidR="00335798" w:rsidRPr="005C0E75" w:rsidRDefault="00335798" w:rsidP="006712DC">
            <w:r w:rsidRPr="005C0E75">
              <w:t>0.380 (0.136)</w:t>
            </w:r>
          </w:p>
        </w:tc>
        <w:tc>
          <w:tcPr>
            <w:tcW w:w="1417" w:type="dxa"/>
            <w:vAlign w:val="center"/>
          </w:tcPr>
          <w:p w:rsidR="00335798" w:rsidRPr="005C0E75" w:rsidRDefault="00335798" w:rsidP="006712DC">
            <w:r w:rsidRPr="005C0E75">
              <w:t>0.0001 (-0.009 to 0.008)</w:t>
            </w:r>
          </w:p>
        </w:tc>
        <w:tc>
          <w:tcPr>
            <w:tcW w:w="2493" w:type="dxa"/>
            <w:vAlign w:val="center"/>
          </w:tcPr>
          <w:p w:rsidR="00335798" w:rsidRPr="005C0E75" w:rsidRDefault="00335798" w:rsidP="006712DC">
            <w:pPr>
              <w:rPr>
                <w:rFonts w:eastAsia="SimSun"/>
              </w:rPr>
            </w:pPr>
            <w:r w:rsidRPr="005C0E75">
              <w:t>£ 862,629 (-£742,154 to £1,159,241)</w:t>
            </w:r>
          </w:p>
        </w:tc>
      </w:tr>
      <w:tr w:rsidR="00335798" w:rsidRPr="005C0E75" w:rsidTr="006712DC">
        <w:trPr>
          <w:trHeight w:val="397"/>
        </w:trPr>
        <w:tc>
          <w:tcPr>
            <w:tcW w:w="2518" w:type="dxa"/>
            <w:vAlign w:val="center"/>
          </w:tcPr>
          <w:p w:rsidR="00335798" w:rsidRPr="005C0E75" w:rsidRDefault="00335798" w:rsidP="006712DC">
            <w:pPr>
              <w:rPr>
                <w:rFonts w:eastAsia="SimSun"/>
                <w:b/>
              </w:rPr>
            </w:pPr>
            <w:r w:rsidRPr="005C0E75">
              <w:rPr>
                <w:rFonts w:eastAsia="SimSun"/>
                <w:b/>
              </w:rPr>
              <w:t>Adjusted QALYs (</w:t>
            </w:r>
            <w:r w:rsidRPr="005C0E75">
              <w:rPr>
                <w:b/>
              </w:rPr>
              <w:t>Adjusted for baseline cost and EQ-5D scores)</w:t>
            </w:r>
          </w:p>
        </w:tc>
        <w:tc>
          <w:tcPr>
            <w:tcW w:w="1276" w:type="dxa"/>
            <w:vAlign w:val="center"/>
          </w:tcPr>
          <w:p w:rsidR="00335798" w:rsidRPr="005C0E75" w:rsidRDefault="00335798" w:rsidP="006712DC">
            <w:r w:rsidRPr="005C0E75">
              <w:t>0.382 (0.046)</w:t>
            </w:r>
          </w:p>
        </w:tc>
        <w:tc>
          <w:tcPr>
            <w:tcW w:w="1134" w:type="dxa"/>
            <w:vAlign w:val="center"/>
          </w:tcPr>
          <w:p w:rsidR="00335798" w:rsidRPr="005C0E75" w:rsidRDefault="00335798" w:rsidP="006712DC">
            <w:r w:rsidRPr="005C0E75">
              <w:t>0.380 (0.046)</w:t>
            </w:r>
          </w:p>
        </w:tc>
        <w:tc>
          <w:tcPr>
            <w:tcW w:w="1417" w:type="dxa"/>
            <w:vAlign w:val="center"/>
          </w:tcPr>
          <w:p w:rsidR="00335798" w:rsidRPr="005C0E75" w:rsidRDefault="00335798" w:rsidP="006712DC">
            <w:r w:rsidRPr="005C0E75">
              <w:t>0.002 (-0.001 to 0.004)</w:t>
            </w:r>
          </w:p>
        </w:tc>
        <w:tc>
          <w:tcPr>
            <w:tcW w:w="2493" w:type="dxa"/>
            <w:vAlign w:val="center"/>
          </w:tcPr>
          <w:p w:rsidR="00335798" w:rsidRPr="005C0E75" w:rsidRDefault="00335798" w:rsidP="006712DC">
            <w:pPr>
              <w:rPr>
                <w:rFonts w:eastAsia="SimSun"/>
              </w:rPr>
            </w:pPr>
            <w:r w:rsidRPr="005C0E75">
              <w:t>£59,401 ( -£604,833 to £644,486)</w:t>
            </w:r>
          </w:p>
        </w:tc>
      </w:tr>
      <w:tr w:rsidR="00335798" w:rsidRPr="005C0E75" w:rsidTr="006712DC">
        <w:trPr>
          <w:trHeight w:val="58"/>
        </w:trPr>
        <w:tc>
          <w:tcPr>
            <w:tcW w:w="2518" w:type="dxa"/>
            <w:vAlign w:val="center"/>
          </w:tcPr>
          <w:p w:rsidR="00335798" w:rsidRPr="005C0E75" w:rsidRDefault="00335798" w:rsidP="006712DC">
            <w:pPr>
              <w:rPr>
                <w:rFonts w:eastAsia="SimSun"/>
                <w:b/>
              </w:rPr>
            </w:pPr>
          </w:p>
        </w:tc>
        <w:tc>
          <w:tcPr>
            <w:tcW w:w="1276" w:type="dxa"/>
            <w:vAlign w:val="center"/>
          </w:tcPr>
          <w:p w:rsidR="00335798" w:rsidRPr="005C0E75" w:rsidRDefault="00335798" w:rsidP="006712DC">
            <w:pPr>
              <w:rPr>
                <w:rFonts w:eastAsia="SimSun"/>
              </w:rPr>
            </w:pPr>
          </w:p>
        </w:tc>
        <w:tc>
          <w:tcPr>
            <w:tcW w:w="1134" w:type="dxa"/>
            <w:vAlign w:val="center"/>
          </w:tcPr>
          <w:p w:rsidR="00335798" w:rsidRPr="005C0E75" w:rsidRDefault="00335798" w:rsidP="006712DC">
            <w:pPr>
              <w:rPr>
                <w:rFonts w:eastAsia="SimSun"/>
              </w:rPr>
            </w:pPr>
          </w:p>
        </w:tc>
        <w:tc>
          <w:tcPr>
            <w:tcW w:w="1417" w:type="dxa"/>
            <w:vAlign w:val="center"/>
          </w:tcPr>
          <w:p w:rsidR="00335798" w:rsidRPr="005C0E75" w:rsidRDefault="00335798" w:rsidP="006712DC">
            <w:pPr>
              <w:rPr>
                <w:rFonts w:eastAsia="SimSun"/>
                <w:bCs/>
              </w:rPr>
            </w:pPr>
          </w:p>
        </w:tc>
        <w:tc>
          <w:tcPr>
            <w:tcW w:w="2493" w:type="dxa"/>
            <w:vAlign w:val="center"/>
          </w:tcPr>
          <w:p w:rsidR="00335798" w:rsidRPr="005C0E75" w:rsidRDefault="00335798" w:rsidP="006712DC">
            <w:pPr>
              <w:rPr>
                <w:rFonts w:eastAsia="SimSun"/>
              </w:rPr>
            </w:pPr>
            <w:r w:rsidRPr="005C0E75">
              <w:rPr>
                <w:rFonts w:eastAsia="SimSun"/>
              </w:rPr>
              <w:t xml:space="preserve"> </w:t>
            </w:r>
          </w:p>
        </w:tc>
      </w:tr>
      <w:tr w:rsidR="00335798" w:rsidRPr="005C0E75" w:rsidTr="006712DC">
        <w:trPr>
          <w:trHeight w:val="397"/>
        </w:trPr>
        <w:tc>
          <w:tcPr>
            <w:tcW w:w="2518" w:type="dxa"/>
            <w:vAlign w:val="center"/>
          </w:tcPr>
          <w:p w:rsidR="00335798" w:rsidRPr="005C0E75" w:rsidRDefault="00335798" w:rsidP="006712DC">
            <w:pPr>
              <w:rPr>
                <w:rFonts w:eastAsia="SimSun"/>
                <w:b/>
              </w:rPr>
            </w:pPr>
          </w:p>
        </w:tc>
        <w:tc>
          <w:tcPr>
            <w:tcW w:w="1276" w:type="dxa"/>
            <w:vAlign w:val="center"/>
          </w:tcPr>
          <w:p w:rsidR="00335798" w:rsidRPr="005C0E75" w:rsidRDefault="00335798" w:rsidP="006712DC">
            <w:pPr>
              <w:rPr>
                <w:rFonts w:eastAsia="SimSun"/>
                <w:b/>
              </w:rPr>
            </w:pPr>
            <w:r w:rsidRPr="005C0E75">
              <w:rPr>
                <w:rFonts w:eastAsia="SimSun"/>
                <w:b/>
              </w:rPr>
              <w:t>Attendance at SSS (n, %)</w:t>
            </w:r>
          </w:p>
        </w:tc>
        <w:tc>
          <w:tcPr>
            <w:tcW w:w="1134" w:type="dxa"/>
            <w:vAlign w:val="center"/>
          </w:tcPr>
          <w:p w:rsidR="00335798" w:rsidRPr="005C0E75" w:rsidRDefault="00335798" w:rsidP="006712DC">
            <w:pPr>
              <w:rPr>
                <w:rFonts w:eastAsia="SimSun"/>
                <w:b/>
              </w:rPr>
            </w:pPr>
            <w:r w:rsidRPr="005C0E75">
              <w:rPr>
                <w:rFonts w:eastAsia="SimSun"/>
                <w:b/>
              </w:rPr>
              <w:t>Attendance at SSS (n, %)</w:t>
            </w:r>
          </w:p>
        </w:tc>
        <w:tc>
          <w:tcPr>
            <w:tcW w:w="1417" w:type="dxa"/>
            <w:vAlign w:val="center"/>
          </w:tcPr>
          <w:p w:rsidR="00335798" w:rsidRPr="005C0E75" w:rsidRDefault="00335798" w:rsidP="006712DC">
            <w:pPr>
              <w:rPr>
                <w:rFonts w:eastAsia="SimSun"/>
                <w:b/>
                <w:bCs/>
              </w:rPr>
            </w:pPr>
            <w:r w:rsidRPr="005C0E75">
              <w:rPr>
                <w:rFonts w:eastAsia="SimSun"/>
                <w:b/>
                <w:bCs/>
              </w:rPr>
              <w:t>Odds Ratio (95% CI)</w:t>
            </w:r>
          </w:p>
        </w:tc>
        <w:tc>
          <w:tcPr>
            <w:tcW w:w="2493" w:type="dxa"/>
            <w:vAlign w:val="center"/>
          </w:tcPr>
          <w:p w:rsidR="00335798" w:rsidRPr="005C0E75" w:rsidRDefault="00335798" w:rsidP="006712DC">
            <w:pPr>
              <w:rPr>
                <w:rFonts w:eastAsia="SimSun"/>
                <w:b/>
                <w:bCs/>
              </w:rPr>
            </w:pPr>
            <w:r w:rsidRPr="005C0E75">
              <w:rPr>
                <w:rFonts w:eastAsia="SimSun"/>
                <w:b/>
              </w:rPr>
              <w:t>ICER (Cost per additional person attending NHS SSS) (95% CI)</w:t>
            </w:r>
          </w:p>
        </w:tc>
      </w:tr>
      <w:tr w:rsidR="00335798" w:rsidRPr="005C0E75" w:rsidTr="006712DC">
        <w:trPr>
          <w:trHeight w:val="292"/>
        </w:trPr>
        <w:tc>
          <w:tcPr>
            <w:tcW w:w="2518" w:type="dxa"/>
            <w:vAlign w:val="center"/>
          </w:tcPr>
          <w:p w:rsidR="00335798" w:rsidRPr="005C0E75" w:rsidRDefault="00335798" w:rsidP="006712DC">
            <w:pPr>
              <w:rPr>
                <w:rFonts w:eastAsia="SimSun"/>
                <w:b/>
              </w:rPr>
            </w:pPr>
            <w:r w:rsidRPr="005C0E75">
              <w:rPr>
                <w:rFonts w:eastAsia="SimSun"/>
                <w:b/>
              </w:rPr>
              <w:t>Attendance at SSS</w:t>
            </w:r>
          </w:p>
        </w:tc>
        <w:tc>
          <w:tcPr>
            <w:tcW w:w="1276" w:type="dxa"/>
            <w:vAlign w:val="center"/>
          </w:tcPr>
          <w:p w:rsidR="00335798" w:rsidRPr="005C0E75" w:rsidRDefault="00335798" w:rsidP="006712DC">
            <w:pPr>
              <w:rPr>
                <w:rFonts w:eastAsia="SimSun"/>
                <w:bCs/>
              </w:rPr>
            </w:pPr>
            <w:r w:rsidRPr="005C0E75">
              <w:rPr>
                <w:rFonts w:eastAsia="SimSun"/>
                <w:lang w:val="en-US"/>
              </w:rPr>
              <w:t>458 (17.4%)</w:t>
            </w:r>
          </w:p>
        </w:tc>
        <w:tc>
          <w:tcPr>
            <w:tcW w:w="1134" w:type="dxa"/>
            <w:vAlign w:val="center"/>
          </w:tcPr>
          <w:p w:rsidR="00335798" w:rsidRPr="005C0E75" w:rsidRDefault="00335798" w:rsidP="006712DC">
            <w:pPr>
              <w:rPr>
                <w:rFonts w:eastAsia="SimSun"/>
                <w:bCs/>
              </w:rPr>
            </w:pPr>
            <w:r w:rsidRPr="005C0E75">
              <w:rPr>
                <w:rFonts w:eastAsia="SimSun"/>
              </w:rPr>
              <w:t>158 (9.0%)</w:t>
            </w:r>
          </w:p>
        </w:tc>
        <w:tc>
          <w:tcPr>
            <w:tcW w:w="1417" w:type="dxa"/>
            <w:vAlign w:val="center"/>
          </w:tcPr>
          <w:p w:rsidR="00335798" w:rsidRPr="005C0E75" w:rsidRDefault="00335798" w:rsidP="006712DC">
            <w:pPr>
              <w:rPr>
                <w:rFonts w:eastAsia="SimSun"/>
                <w:bCs/>
              </w:rPr>
            </w:pPr>
            <w:r w:rsidRPr="005C0E75">
              <w:rPr>
                <w:rFonts w:eastAsia="SimSun"/>
              </w:rPr>
              <w:t>2.12 (1.75 to 2.57)</w:t>
            </w:r>
          </w:p>
        </w:tc>
        <w:tc>
          <w:tcPr>
            <w:tcW w:w="2493" w:type="dxa"/>
            <w:vAlign w:val="center"/>
          </w:tcPr>
          <w:p w:rsidR="00335798" w:rsidRPr="005C0E75" w:rsidRDefault="00335798" w:rsidP="006712DC">
            <w:pPr>
              <w:rPr>
                <w:rFonts w:eastAsia="SimSun"/>
                <w:bCs/>
              </w:rPr>
            </w:pPr>
            <w:r w:rsidRPr="005C0E75">
              <w:rPr>
                <w:rFonts w:eastAsia="SimSun"/>
                <w:lang w:val="en-US"/>
              </w:rPr>
              <w:t>£627 (£620 to £634)</w:t>
            </w:r>
          </w:p>
        </w:tc>
      </w:tr>
      <w:tr w:rsidR="00335798" w:rsidRPr="005C0E75" w:rsidTr="006712DC">
        <w:trPr>
          <w:trHeight w:val="169"/>
        </w:trPr>
        <w:tc>
          <w:tcPr>
            <w:tcW w:w="2518" w:type="dxa"/>
            <w:vAlign w:val="center"/>
          </w:tcPr>
          <w:p w:rsidR="00335798" w:rsidRPr="005C0E75" w:rsidRDefault="00335798" w:rsidP="006712DC">
            <w:pPr>
              <w:rPr>
                <w:rFonts w:eastAsia="SimSun"/>
                <w:b/>
              </w:rPr>
            </w:pPr>
          </w:p>
        </w:tc>
        <w:tc>
          <w:tcPr>
            <w:tcW w:w="1276" w:type="dxa"/>
            <w:vAlign w:val="center"/>
          </w:tcPr>
          <w:p w:rsidR="00335798" w:rsidRPr="005C0E75" w:rsidRDefault="00335798" w:rsidP="006712DC">
            <w:pPr>
              <w:rPr>
                <w:rFonts w:eastAsia="SimSun"/>
                <w:bCs/>
              </w:rPr>
            </w:pPr>
          </w:p>
        </w:tc>
        <w:tc>
          <w:tcPr>
            <w:tcW w:w="1134" w:type="dxa"/>
            <w:vAlign w:val="center"/>
          </w:tcPr>
          <w:p w:rsidR="00335798" w:rsidRPr="005C0E75" w:rsidRDefault="00335798" w:rsidP="006712DC">
            <w:pPr>
              <w:rPr>
                <w:rFonts w:eastAsia="SimSun"/>
                <w:bCs/>
              </w:rPr>
            </w:pPr>
          </w:p>
        </w:tc>
        <w:tc>
          <w:tcPr>
            <w:tcW w:w="1417" w:type="dxa"/>
            <w:vAlign w:val="center"/>
          </w:tcPr>
          <w:p w:rsidR="00335798" w:rsidRPr="005C0E75" w:rsidRDefault="00335798" w:rsidP="006712DC">
            <w:pPr>
              <w:rPr>
                <w:rFonts w:eastAsia="SimSun"/>
                <w:bCs/>
              </w:rPr>
            </w:pPr>
          </w:p>
        </w:tc>
        <w:tc>
          <w:tcPr>
            <w:tcW w:w="2493" w:type="dxa"/>
            <w:vAlign w:val="center"/>
          </w:tcPr>
          <w:p w:rsidR="00335798" w:rsidRPr="005C0E75" w:rsidRDefault="00335798" w:rsidP="006712DC">
            <w:pPr>
              <w:rPr>
                <w:rFonts w:eastAsia="SimSun"/>
                <w:bCs/>
              </w:rPr>
            </w:pPr>
          </w:p>
        </w:tc>
      </w:tr>
      <w:tr w:rsidR="00335798" w:rsidRPr="005C0E75" w:rsidTr="006712DC">
        <w:trPr>
          <w:trHeight w:val="397"/>
        </w:trPr>
        <w:tc>
          <w:tcPr>
            <w:tcW w:w="2518" w:type="dxa"/>
            <w:vAlign w:val="center"/>
          </w:tcPr>
          <w:p w:rsidR="00335798" w:rsidRPr="005C0E75" w:rsidRDefault="00335798" w:rsidP="006712DC">
            <w:pPr>
              <w:rPr>
                <w:rFonts w:eastAsia="SimSun"/>
                <w:b/>
              </w:rPr>
            </w:pPr>
            <w:r w:rsidRPr="005C0E75">
              <w:rPr>
                <w:rFonts w:eastAsia="SimSun"/>
                <w:b/>
              </w:rPr>
              <w:t>Smoking outcome</w:t>
            </w:r>
          </w:p>
        </w:tc>
        <w:tc>
          <w:tcPr>
            <w:tcW w:w="1276" w:type="dxa"/>
            <w:vAlign w:val="center"/>
          </w:tcPr>
          <w:p w:rsidR="00335798" w:rsidRPr="005C0E75" w:rsidRDefault="00335798" w:rsidP="006712DC">
            <w:pPr>
              <w:rPr>
                <w:rFonts w:eastAsia="SimSun"/>
                <w:b/>
                <w:bCs/>
              </w:rPr>
            </w:pPr>
            <w:r w:rsidRPr="005C0E75">
              <w:rPr>
                <w:rFonts w:eastAsia="SimSun"/>
                <w:b/>
                <w:bCs/>
              </w:rPr>
              <w:t>Quitter (n, %)</w:t>
            </w:r>
          </w:p>
        </w:tc>
        <w:tc>
          <w:tcPr>
            <w:tcW w:w="1134" w:type="dxa"/>
            <w:vAlign w:val="center"/>
          </w:tcPr>
          <w:p w:rsidR="00335798" w:rsidRPr="005C0E75" w:rsidRDefault="00335798" w:rsidP="006712DC">
            <w:pPr>
              <w:rPr>
                <w:rFonts w:eastAsia="SimSun"/>
                <w:b/>
                <w:bCs/>
              </w:rPr>
            </w:pPr>
            <w:r w:rsidRPr="005C0E75">
              <w:rPr>
                <w:rFonts w:eastAsia="SimSun"/>
                <w:b/>
                <w:bCs/>
              </w:rPr>
              <w:t>Quitter (n, %)</w:t>
            </w:r>
          </w:p>
        </w:tc>
        <w:tc>
          <w:tcPr>
            <w:tcW w:w="1417" w:type="dxa"/>
            <w:vAlign w:val="center"/>
          </w:tcPr>
          <w:p w:rsidR="00335798" w:rsidRPr="005C0E75" w:rsidRDefault="00335798" w:rsidP="006712DC">
            <w:pPr>
              <w:rPr>
                <w:rFonts w:eastAsia="SimSun"/>
                <w:b/>
                <w:bCs/>
              </w:rPr>
            </w:pPr>
            <w:r w:rsidRPr="005C0E75">
              <w:rPr>
                <w:rFonts w:eastAsia="SimSun"/>
                <w:b/>
                <w:bCs/>
              </w:rPr>
              <w:t>Odds Ratio (95% CI)</w:t>
            </w:r>
          </w:p>
        </w:tc>
        <w:tc>
          <w:tcPr>
            <w:tcW w:w="2493" w:type="dxa"/>
            <w:vAlign w:val="center"/>
          </w:tcPr>
          <w:p w:rsidR="00335798" w:rsidRPr="005C0E75" w:rsidRDefault="00335798" w:rsidP="006712DC">
            <w:pPr>
              <w:rPr>
                <w:rFonts w:eastAsia="SimSun"/>
                <w:b/>
                <w:bCs/>
              </w:rPr>
            </w:pPr>
            <w:r w:rsidRPr="005C0E75">
              <w:rPr>
                <w:rFonts w:eastAsia="SimSun"/>
                <w:b/>
                <w:bCs/>
              </w:rPr>
              <w:t>ICER (Cost per additional quitter) (95% CI)</w:t>
            </w:r>
          </w:p>
        </w:tc>
      </w:tr>
      <w:tr w:rsidR="00335798" w:rsidRPr="005C0E75" w:rsidTr="006712DC">
        <w:trPr>
          <w:trHeight w:val="397"/>
        </w:trPr>
        <w:tc>
          <w:tcPr>
            <w:tcW w:w="2518" w:type="dxa"/>
            <w:vAlign w:val="center"/>
          </w:tcPr>
          <w:p w:rsidR="00335798" w:rsidRPr="005C0E75" w:rsidRDefault="00335798" w:rsidP="006712DC">
            <w:pPr>
              <w:rPr>
                <w:rFonts w:eastAsia="SimSun"/>
                <w:b/>
              </w:rPr>
            </w:pPr>
            <w:r w:rsidRPr="005C0E75">
              <w:rPr>
                <w:rFonts w:eastAsia="SimSun"/>
                <w:b/>
              </w:rPr>
              <w:t>24hour pp abstinence (self-report)</w:t>
            </w:r>
          </w:p>
        </w:tc>
        <w:tc>
          <w:tcPr>
            <w:tcW w:w="1276" w:type="dxa"/>
            <w:vAlign w:val="center"/>
          </w:tcPr>
          <w:p w:rsidR="00335798" w:rsidRPr="005C0E75" w:rsidRDefault="00335798" w:rsidP="006712DC">
            <w:pPr>
              <w:rPr>
                <w:rFonts w:eastAsia="SimSun"/>
                <w:bCs/>
              </w:rPr>
            </w:pPr>
            <w:r w:rsidRPr="005C0E75">
              <w:rPr>
                <w:rFonts w:eastAsia="SimSun"/>
              </w:rPr>
              <w:t>445 (16.9%)</w:t>
            </w:r>
          </w:p>
        </w:tc>
        <w:tc>
          <w:tcPr>
            <w:tcW w:w="1134" w:type="dxa"/>
            <w:vAlign w:val="center"/>
          </w:tcPr>
          <w:p w:rsidR="00335798" w:rsidRPr="005C0E75" w:rsidRDefault="00335798" w:rsidP="006712DC">
            <w:pPr>
              <w:rPr>
                <w:rFonts w:eastAsia="SimSun"/>
                <w:bCs/>
              </w:rPr>
            </w:pPr>
            <w:r w:rsidRPr="005C0E75">
              <w:rPr>
                <w:rFonts w:eastAsia="SimSun"/>
              </w:rPr>
              <w:t>201 (11.5%)</w:t>
            </w:r>
          </w:p>
        </w:tc>
        <w:tc>
          <w:tcPr>
            <w:tcW w:w="1417" w:type="dxa"/>
            <w:vAlign w:val="center"/>
          </w:tcPr>
          <w:p w:rsidR="00335798" w:rsidRPr="005C0E75" w:rsidRDefault="00335798" w:rsidP="006712DC">
            <w:pPr>
              <w:rPr>
                <w:rFonts w:eastAsia="SimSun"/>
                <w:bCs/>
              </w:rPr>
            </w:pPr>
            <w:r w:rsidRPr="005C0E75">
              <w:rPr>
                <w:rFonts w:eastAsia="SimSun"/>
              </w:rPr>
              <w:t>1.57(1.31 to 1.88)</w:t>
            </w:r>
          </w:p>
        </w:tc>
        <w:tc>
          <w:tcPr>
            <w:tcW w:w="2493" w:type="dxa"/>
            <w:vAlign w:val="center"/>
          </w:tcPr>
          <w:p w:rsidR="00335798" w:rsidRPr="005C0E75" w:rsidRDefault="00335798" w:rsidP="006712DC">
            <w:pPr>
              <w:rPr>
                <w:rFonts w:eastAsia="SimSun"/>
                <w:bCs/>
              </w:rPr>
            </w:pPr>
            <w:r w:rsidRPr="005C0E75">
              <w:rPr>
                <w:rFonts w:eastAsia="SimSun"/>
              </w:rPr>
              <w:t xml:space="preserve">£1,700 (-£602 to £4,001) </w:t>
            </w:r>
          </w:p>
        </w:tc>
      </w:tr>
      <w:tr w:rsidR="00335798" w:rsidRPr="005C0E75" w:rsidTr="006712DC">
        <w:trPr>
          <w:trHeight w:val="397"/>
        </w:trPr>
        <w:tc>
          <w:tcPr>
            <w:tcW w:w="2518" w:type="dxa"/>
            <w:vAlign w:val="center"/>
          </w:tcPr>
          <w:p w:rsidR="00335798" w:rsidRPr="005C0E75" w:rsidRDefault="00335798" w:rsidP="006712DC">
            <w:pPr>
              <w:rPr>
                <w:rFonts w:eastAsia="SimSun"/>
                <w:b/>
              </w:rPr>
            </w:pPr>
            <w:r w:rsidRPr="005C0E75">
              <w:rPr>
                <w:rFonts w:eastAsia="SimSun"/>
                <w:b/>
              </w:rPr>
              <w:t>7day pp abstinence (validated)</w:t>
            </w:r>
          </w:p>
        </w:tc>
        <w:tc>
          <w:tcPr>
            <w:tcW w:w="1276" w:type="dxa"/>
            <w:vAlign w:val="center"/>
          </w:tcPr>
          <w:p w:rsidR="00335798" w:rsidRPr="005C0E75" w:rsidRDefault="00335798" w:rsidP="006712DC">
            <w:pPr>
              <w:rPr>
                <w:rFonts w:eastAsia="SimSun"/>
                <w:bCs/>
              </w:rPr>
            </w:pPr>
            <w:r w:rsidRPr="005C0E75">
              <w:rPr>
                <w:rFonts w:eastAsia="SimSun"/>
              </w:rPr>
              <w:t>236 (9.0%)</w:t>
            </w:r>
          </w:p>
        </w:tc>
        <w:tc>
          <w:tcPr>
            <w:tcW w:w="1134" w:type="dxa"/>
            <w:vAlign w:val="center"/>
          </w:tcPr>
          <w:p w:rsidR="00335798" w:rsidRPr="005C0E75" w:rsidRDefault="00335798" w:rsidP="006712DC">
            <w:pPr>
              <w:rPr>
                <w:rFonts w:eastAsia="SimSun"/>
                <w:bCs/>
              </w:rPr>
            </w:pPr>
            <w:r w:rsidRPr="005C0E75">
              <w:rPr>
                <w:rFonts w:eastAsia="SimSun"/>
              </w:rPr>
              <w:t>97 (5.6%)</w:t>
            </w:r>
          </w:p>
        </w:tc>
        <w:tc>
          <w:tcPr>
            <w:tcW w:w="1417" w:type="dxa"/>
            <w:vAlign w:val="center"/>
          </w:tcPr>
          <w:p w:rsidR="00335798" w:rsidRPr="005C0E75" w:rsidRDefault="00335798" w:rsidP="006712DC">
            <w:pPr>
              <w:rPr>
                <w:rFonts w:eastAsia="SimSun"/>
                <w:bCs/>
              </w:rPr>
            </w:pPr>
            <w:r w:rsidRPr="005C0E75">
              <w:rPr>
                <w:rFonts w:eastAsia="SimSun"/>
              </w:rPr>
              <w:t>1.68(1.32 to 2.15)</w:t>
            </w:r>
          </w:p>
        </w:tc>
        <w:tc>
          <w:tcPr>
            <w:tcW w:w="2493" w:type="dxa"/>
            <w:vAlign w:val="center"/>
          </w:tcPr>
          <w:p w:rsidR="00335798" w:rsidRPr="005C0E75" w:rsidRDefault="00335798" w:rsidP="006712DC">
            <w:pPr>
              <w:rPr>
                <w:rFonts w:eastAsia="SimSun"/>
              </w:rPr>
            </w:pPr>
            <w:r w:rsidRPr="005C0E75">
              <w:rPr>
                <w:rFonts w:eastAsia="SimSun"/>
              </w:rPr>
              <w:t>£2,689 (-£952 to £6,329)</w:t>
            </w:r>
          </w:p>
        </w:tc>
      </w:tr>
      <w:tr w:rsidR="00335798" w:rsidRPr="005C0E75" w:rsidTr="006712DC">
        <w:trPr>
          <w:trHeight w:val="397"/>
        </w:trPr>
        <w:tc>
          <w:tcPr>
            <w:tcW w:w="2518" w:type="dxa"/>
            <w:vAlign w:val="center"/>
            <w:hideMark/>
          </w:tcPr>
          <w:p w:rsidR="00335798" w:rsidRPr="005C0E75" w:rsidRDefault="00335798" w:rsidP="006712DC">
            <w:pPr>
              <w:rPr>
                <w:rFonts w:eastAsia="SimSun"/>
                <w:b/>
              </w:rPr>
            </w:pPr>
            <w:r w:rsidRPr="005C0E75">
              <w:rPr>
                <w:rFonts w:eastAsia="SimSun"/>
                <w:b/>
              </w:rPr>
              <w:t>7day pp abstinence (self-report)</w:t>
            </w:r>
          </w:p>
        </w:tc>
        <w:tc>
          <w:tcPr>
            <w:tcW w:w="1276" w:type="dxa"/>
            <w:vAlign w:val="center"/>
            <w:hideMark/>
          </w:tcPr>
          <w:p w:rsidR="00335798" w:rsidRPr="005C0E75" w:rsidRDefault="00335798" w:rsidP="006712DC">
            <w:pPr>
              <w:rPr>
                <w:rFonts w:eastAsia="SimSun"/>
              </w:rPr>
            </w:pPr>
            <w:r w:rsidRPr="005C0E75">
              <w:rPr>
                <w:rFonts w:eastAsia="SimSun"/>
              </w:rPr>
              <w:t>424 (16.1%)</w:t>
            </w:r>
          </w:p>
        </w:tc>
        <w:tc>
          <w:tcPr>
            <w:tcW w:w="1134" w:type="dxa"/>
            <w:vAlign w:val="center"/>
            <w:hideMark/>
          </w:tcPr>
          <w:p w:rsidR="00335798" w:rsidRPr="005C0E75" w:rsidRDefault="00335798" w:rsidP="006712DC">
            <w:pPr>
              <w:rPr>
                <w:rFonts w:eastAsia="SimSun"/>
              </w:rPr>
            </w:pPr>
            <w:r w:rsidRPr="005C0E75">
              <w:rPr>
                <w:rFonts w:eastAsia="SimSun"/>
              </w:rPr>
              <w:t>187 (10.7%)</w:t>
            </w:r>
          </w:p>
        </w:tc>
        <w:tc>
          <w:tcPr>
            <w:tcW w:w="1417" w:type="dxa"/>
            <w:vAlign w:val="center"/>
            <w:hideMark/>
          </w:tcPr>
          <w:p w:rsidR="00335798" w:rsidRPr="005C0E75" w:rsidRDefault="00335798" w:rsidP="006712DC">
            <w:pPr>
              <w:rPr>
                <w:rFonts w:eastAsia="SimSun"/>
              </w:rPr>
            </w:pPr>
            <w:r w:rsidRPr="005C0E75">
              <w:t>1.61(1.34 to 1.94)</w:t>
            </w:r>
          </w:p>
        </w:tc>
        <w:tc>
          <w:tcPr>
            <w:tcW w:w="2493" w:type="dxa"/>
            <w:vAlign w:val="center"/>
          </w:tcPr>
          <w:p w:rsidR="00335798" w:rsidRPr="005C0E75" w:rsidRDefault="00335798" w:rsidP="006712DC">
            <w:pPr>
              <w:rPr>
                <w:rFonts w:eastAsia="SimSun"/>
              </w:rPr>
            </w:pPr>
            <w:r w:rsidRPr="005C0E75">
              <w:rPr>
                <w:rFonts w:eastAsia="SimSun"/>
              </w:rPr>
              <w:t>£1,699 (-£601 to £3,998)</w:t>
            </w:r>
          </w:p>
        </w:tc>
      </w:tr>
      <w:tr w:rsidR="00335798" w:rsidRPr="005C0E75" w:rsidTr="006712DC">
        <w:trPr>
          <w:trHeight w:val="397"/>
        </w:trPr>
        <w:tc>
          <w:tcPr>
            <w:tcW w:w="2518" w:type="dxa"/>
            <w:vAlign w:val="center"/>
          </w:tcPr>
          <w:p w:rsidR="00335798" w:rsidRPr="005C0E75" w:rsidRDefault="00335798" w:rsidP="006712DC">
            <w:pPr>
              <w:rPr>
                <w:rFonts w:eastAsia="SimSun"/>
                <w:b/>
              </w:rPr>
            </w:pPr>
            <w:r w:rsidRPr="005C0E75">
              <w:rPr>
                <w:rFonts w:eastAsia="SimSun"/>
                <w:b/>
              </w:rPr>
              <w:t>1month prolonged abstinence (self-report)</w:t>
            </w:r>
          </w:p>
        </w:tc>
        <w:tc>
          <w:tcPr>
            <w:tcW w:w="1276" w:type="dxa"/>
            <w:vAlign w:val="center"/>
          </w:tcPr>
          <w:p w:rsidR="00335798" w:rsidRPr="005C0E75" w:rsidRDefault="00335798" w:rsidP="006712DC">
            <w:pPr>
              <w:rPr>
                <w:rFonts w:eastAsia="SimSun"/>
              </w:rPr>
            </w:pPr>
            <w:r w:rsidRPr="005C0E75">
              <w:rPr>
                <w:rFonts w:eastAsia="SimSun"/>
              </w:rPr>
              <w:t>357 (13.6%)</w:t>
            </w:r>
          </w:p>
        </w:tc>
        <w:tc>
          <w:tcPr>
            <w:tcW w:w="1134" w:type="dxa"/>
            <w:vAlign w:val="center"/>
          </w:tcPr>
          <w:p w:rsidR="00335798" w:rsidRPr="005C0E75" w:rsidRDefault="00335798" w:rsidP="006712DC">
            <w:pPr>
              <w:rPr>
                <w:rFonts w:eastAsia="SimSun"/>
              </w:rPr>
            </w:pPr>
            <w:r w:rsidRPr="005C0E75">
              <w:rPr>
                <w:rFonts w:eastAsia="SimSun"/>
              </w:rPr>
              <w:t>151 (8.6%)</w:t>
            </w:r>
          </w:p>
        </w:tc>
        <w:tc>
          <w:tcPr>
            <w:tcW w:w="1417" w:type="dxa"/>
            <w:vAlign w:val="center"/>
          </w:tcPr>
          <w:p w:rsidR="00335798" w:rsidRPr="005C0E75" w:rsidRDefault="00335798" w:rsidP="006712DC">
            <w:pPr>
              <w:rPr>
                <w:rFonts w:eastAsia="SimSun"/>
              </w:rPr>
            </w:pPr>
            <w:r w:rsidRPr="005C0E75">
              <w:rPr>
                <w:rFonts w:eastAsia="SimSun"/>
              </w:rPr>
              <w:t>1.67(1.36 to 2.04)</w:t>
            </w:r>
          </w:p>
        </w:tc>
        <w:tc>
          <w:tcPr>
            <w:tcW w:w="2493" w:type="dxa"/>
            <w:vAlign w:val="center"/>
          </w:tcPr>
          <w:p w:rsidR="00335798" w:rsidRPr="005C0E75" w:rsidRDefault="00335798" w:rsidP="006712DC">
            <w:pPr>
              <w:rPr>
                <w:rFonts w:eastAsia="SimSun"/>
              </w:rPr>
            </w:pPr>
            <w:r w:rsidRPr="005C0E75">
              <w:rPr>
                <w:rFonts w:eastAsia="SimSun"/>
              </w:rPr>
              <w:t>£1,866 (-£660 to £4,392)</w:t>
            </w:r>
          </w:p>
        </w:tc>
      </w:tr>
      <w:tr w:rsidR="00335798" w:rsidRPr="005C0E75" w:rsidTr="006712DC">
        <w:trPr>
          <w:trHeight w:val="397"/>
        </w:trPr>
        <w:tc>
          <w:tcPr>
            <w:tcW w:w="2518" w:type="dxa"/>
            <w:vAlign w:val="center"/>
            <w:hideMark/>
          </w:tcPr>
          <w:p w:rsidR="00335798" w:rsidRPr="005C0E75" w:rsidRDefault="00335798" w:rsidP="006712DC">
            <w:pPr>
              <w:rPr>
                <w:rFonts w:eastAsia="SimSun"/>
                <w:b/>
              </w:rPr>
            </w:pPr>
            <w:r w:rsidRPr="005C0E75">
              <w:rPr>
                <w:rFonts w:eastAsia="SimSun"/>
                <w:b/>
              </w:rPr>
              <w:t>3months prolonged abstinence (validated)</w:t>
            </w:r>
          </w:p>
        </w:tc>
        <w:tc>
          <w:tcPr>
            <w:tcW w:w="1276" w:type="dxa"/>
            <w:vAlign w:val="center"/>
            <w:hideMark/>
          </w:tcPr>
          <w:p w:rsidR="00335798" w:rsidRPr="005C0E75" w:rsidRDefault="00335798" w:rsidP="006712DC">
            <w:pPr>
              <w:rPr>
                <w:rFonts w:eastAsia="SimSun"/>
              </w:rPr>
            </w:pPr>
            <w:r w:rsidRPr="005C0E75">
              <w:rPr>
                <w:rFonts w:eastAsia="SimSun"/>
              </w:rPr>
              <w:t>150 (5.7%)</w:t>
            </w:r>
          </w:p>
        </w:tc>
        <w:tc>
          <w:tcPr>
            <w:tcW w:w="1134" w:type="dxa"/>
            <w:vAlign w:val="center"/>
            <w:hideMark/>
          </w:tcPr>
          <w:p w:rsidR="00335798" w:rsidRPr="005C0E75" w:rsidRDefault="00335798" w:rsidP="006712DC">
            <w:pPr>
              <w:rPr>
                <w:rFonts w:eastAsia="SimSun"/>
              </w:rPr>
            </w:pPr>
            <w:r w:rsidRPr="005C0E75">
              <w:rPr>
                <w:rFonts w:eastAsia="SimSun"/>
              </w:rPr>
              <w:t>60 (3.4%)</w:t>
            </w:r>
          </w:p>
        </w:tc>
        <w:tc>
          <w:tcPr>
            <w:tcW w:w="1417" w:type="dxa"/>
            <w:vAlign w:val="center"/>
            <w:hideMark/>
          </w:tcPr>
          <w:p w:rsidR="00335798" w:rsidRPr="005C0E75" w:rsidRDefault="00335798" w:rsidP="006712DC">
            <w:pPr>
              <w:rPr>
                <w:rFonts w:eastAsia="SimSun"/>
              </w:rPr>
            </w:pPr>
            <w:r w:rsidRPr="005C0E75">
              <w:rPr>
                <w:rFonts w:eastAsia="SimSun"/>
              </w:rPr>
              <w:t>1.70(1.25 to 2.31)</w:t>
            </w:r>
          </w:p>
        </w:tc>
        <w:tc>
          <w:tcPr>
            <w:tcW w:w="2493" w:type="dxa"/>
            <w:vAlign w:val="center"/>
          </w:tcPr>
          <w:p w:rsidR="00335798" w:rsidRPr="005C0E75" w:rsidRDefault="00335798" w:rsidP="006712DC">
            <w:pPr>
              <w:rPr>
                <w:rFonts w:eastAsia="SimSun"/>
                <w:highlight w:val="yellow"/>
              </w:rPr>
            </w:pPr>
            <w:r w:rsidRPr="005C0E75">
              <w:rPr>
                <w:rFonts w:eastAsia="SimSun"/>
              </w:rPr>
              <w:t>£4,053 (-£1,435 to £9,541)</w:t>
            </w:r>
          </w:p>
        </w:tc>
      </w:tr>
      <w:tr w:rsidR="00335798" w:rsidRPr="005C0E75" w:rsidTr="006712DC">
        <w:trPr>
          <w:trHeight w:val="397"/>
        </w:trPr>
        <w:tc>
          <w:tcPr>
            <w:tcW w:w="2518" w:type="dxa"/>
            <w:vAlign w:val="center"/>
            <w:hideMark/>
          </w:tcPr>
          <w:p w:rsidR="00335798" w:rsidRPr="005C0E75" w:rsidRDefault="00335798" w:rsidP="006712DC">
            <w:pPr>
              <w:rPr>
                <w:rFonts w:eastAsia="SimSun"/>
                <w:b/>
                <w:highlight w:val="yellow"/>
              </w:rPr>
            </w:pPr>
            <w:r w:rsidRPr="005C0E75">
              <w:rPr>
                <w:rFonts w:eastAsia="SimSun"/>
                <w:b/>
              </w:rPr>
              <w:t>3months prolonged abstinence (self-report)</w:t>
            </w:r>
          </w:p>
        </w:tc>
        <w:tc>
          <w:tcPr>
            <w:tcW w:w="1276" w:type="dxa"/>
            <w:vAlign w:val="center"/>
            <w:hideMark/>
          </w:tcPr>
          <w:p w:rsidR="00335798" w:rsidRPr="005C0E75" w:rsidRDefault="00335798" w:rsidP="006712DC">
            <w:pPr>
              <w:rPr>
                <w:rFonts w:eastAsia="SimSun"/>
                <w:highlight w:val="yellow"/>
              </w:rPr>
            </w:pPr>
            <w:r w:rsidRPr="005C0E75">
              <w:rPr>
                <w:rFonts w:eastAsia="SimSun"/>
              </w:rPr>
              <w:t>240 (9.1%)</w:t>
            </w:r>
          </w:p>
        </w:tc>
        <w:tc>
          <w:tcPr>
            <w:tcW w:w="1134" w:type="dxa"/>
            <w:vAlign w:val="center"/>
            <w:hideMark/>
          </w:tcPr>
          <w:p w:rsidR="00335798" w:rsidRPr="005C0E75" w:rsidRDefault="00335798" w:rsidP="006712DC">
            <w:pPr>
              <w:rPr>
                <w:rFonts w:eastAsia="SimSun"/>
                <w:highlight w:val="yellow"/>
              </w:rPr>
            </w:pPr>
            <w:r w:rsidRPr="005C0E75">
              <w:rPr>
                <w:rFonts w:eastAsia="SimSun"/>
              </w:rPr>
              <w:t>103 (5.9%)</w:t>
            </w:r>
          </w:p>
        </w:tc>
        <w:tc>
          <w:tcPr>
            <w:tcW w:w="1417" w:type="dxa"/>
            <w:vAlign w:val="center"/>
            <w:hideMark/>
          </w:tcPr>
          <w:p w:rsidR="00335798" w:rsidRPr="005C0E75" w:rsidRDefault="00335798" w:rsidP="006712DC">
            <w:pPr>
              <w:rPr>
                <w:rFonts w:eastAsia="SimSun"/>
                <w:highlight w:val="yellow"/>
              </w:rPr>
            </w:pPr>
            <w:r w:rsidRPr="005C0E75">
              <w:rPr>
                <w:rFonts w:eastAsia="SimSun"/>
              </w:rPr>
              <w:t>1.61(1.26 to 2.04)</w:t>
            </w:r>
          </w:p>
        </w:tc>
        <w:tc>
          <w:tcPr>
            <w:tcW w:w="2493" w:type="dxa"/>
            <w:vAlign w:val="center"/>
          </w:tcPr>
          <w:p w:rsidR="00335798" w:rsidRPr="005C0E75" w:rsidRDefault="00335798" w:rsidP="006712DC">
            <w:pPr>
              <w:rPr>
                <w:rFonts w:eastAsia="SimSun"/>
              </w:rPr>
            </w:pPr>
            <w:r w:rsidRPr="005C0E75">
              <w:rPr>
                <w:rFonts w:eastAsia="SimSun"/>
              </w:rPr>
              <w:t>£2,849 (-£1,008 to £6,706)</w:t>
            </w:r>
          </w:p>
        </w:tc>
      </w:tr>
      <w:tr w:rsidR="00335798" w:rsidRPr="005C0E75" w:rsidTr="006712DC">
        <w:trPr>
          <w:trHeight w:val="354"/>
        </w:trPr>
        <w:tc>
          <w:tcPr>
            <w:tcW w:w="8838" w:type="dxa"/>
            <w:gridSpan w:val="5"/>
            <w:vAlign w:val="center"/>
            <w:hideMark/>
          </w:tcPr>
          <w:p w:rsidR="00335798" w:rsidRPr="005C0E75" w:rsidRDefault="00335798" w:rsidP="006712DC">
            <w:pPr>
              <w:rPr>
                <w:rFonts w:eastAsia="SimSun"/>
              </w:rPr>
            </w:pPr>
            <w:r w:rsidRPr="005C0E75">
              <w:rPr>
                <w:rFonts w:eastAsia="SimSun"/>
                <w:b/>
              </w:rPr>
              <w:t>*</w:t>
            </w:r>
            <w:r w:rsidRPr="005C0E75">
              <w:rPr>
                <w:rFonts w:eastAsia="SimSun"/>
                <w:b/>
                <w:lang w:val="en-US"/>
              </w:rPr>
              <w:t xml:space="preserve">Difference = Costs/effects for the intervention group – Costs/effects for the control group </w:t>
            </w:r>
          </w:p>
        </w:tc>
      </w:tr>
    </w:tbl>
    <w:p w:rsidR="00335798" w:rsidRPr="005C0E75" w:rsidRDefault="00335798" w:rsidP="00335798"/>
    <w:p w:rsidR="00335798" w:rsidRPr="00706BE7" w:rsidRDefault="00335798" w:rsidP="00335798">
      <w:pPr>
        <w:pStyle w:val="Caption"/>
        <w:keepNext/>
        <w:rPr>
          <w:rFonts w:ascii="Times New Roman" w:eastAsia="SimSun" w:hAnsi="Times New Roman" w:cs="Times New Roman"/>
          <w:bCs/>
          <w:i w:val="0"/>
          <w:color w:val="auto"/>
          <w:sz w:val="24"/>
          <w:szCs w:val="24"/>
          <w:lang w:eastAsia="en-GB"/>
        </w:rPr>
      </w:pPr>
      <w:bookmarkStart w:id="71" w:name="_Ref445131703"/>
      <w:r w:rsidRPr="00706BE7">
        <w:rPr>
          <w:rFonts w:ascii="Times New Roman" w:eastAsia="SimSun" w:hAnsi="Times New Roman" w:cs="Times New Roman"/>
          <w:bCs/>
          <w:i w:val="0"/>
          <w:color w:val="auto"/>
          <w:sz w:val="24"/>
          <w:szCs w:val="24"/>
          <w:lang w:eastAsia="en-GB"/>
        </w:rPr>
        <w:t xml:space="preserve">Table </w:t>
      </w:r>
      <w:r w:rsidRPr="00706BE7">
        <w:rPr>
          <w:rFonts w:ascii="Times New Roman" w:eastAsia="SimSun" w:hAnsi="Times New Roman" w:cs="Times New Roman"/>
          <w:bCs/>
          <w:i w:val="0"/>
          <w:color w:val="auto"/>
          <w:sz w:val="24"/>
          <w:szCs w:val="24"/>
          <w:lang w:eastAsia="en-GB"/>
        </w:rPr>
        <w:fldChar w:fldCharType="begin"/>
      </w:r>
      <w:r w:rsidRPr="00706BE7">
        <w:rPr>
          <w:rFonts w:ascii="Times New Roman" w:eastAsia="SimSun" w:hAnsi="Times New Roman" w:cs="Times New Roman"/>
          <w:bCs/>
          <w:i w:val="0"/>
          <w:color w:val="auto"/>
          <w:sz w:val="24"/>
          <w:szCs w:val="24"/>
          <w:lang w:eastAsia="en-GB"/>
        </w:rPr>
        <w:instrText xml:space="preserve"> SEQ Table \* ARABIC </w:instrText>
      </w:r>
      <w:r w:rsidRPr="00706BE7">
        <w:rPr>
          <w:rFonts w:ascii="Times New Roman" w:eastAsia="SimSun" w:hAnsi="Times New Roman" w:cs="Times New Roman"/>
          <w:bCs/>
          <w:i w:val="0"/>
          <w:color w:val="auto"/>
          <w:sz w:val="24"/>
          <w:szCs w:val="24"/>
          <w:lang w:eastAsia="en-GB"/>
        </w:rPr>
        <w:fldChar w:fldCharType="separate"/>
      </w:r>
      <w:r w:rsidRPr="00706BE7">
        <w:rPr>
          <w:rFonts w:ascii="Times New Roman" w:eastAsia="SimSun" w:hAnsi="Times New Roman" w:cs="Times New Roman"/>
          <w:bCs/>
          <w:i w:val="0"/>
          <w:color w:val="auto"/>
          <w:sz w:val="24"/>
          <w:szCs w:val="24"/>
          <w:lang w:eastAsia="en-GB"/>
        </w:rPr>
        <w:t>4</w:t>
      </w:r>
      <w:r w:rsidRPr="00706BE7">
        <w:rPr>
          <w:rFonts w:ascii="Times New Roman" w:eastAsia="SimSun" w:hAnsi="Times New Roman" w:cs="Times New Roman"/>
          <w:bCs/>
          <w:i w:val="0"/>
          <w:color w:val="auto"/>
          <w:sz w:val="24"/>
          <w:szCs w:val="24"/>
          <w:lang w:eastAsia="en-GB"/>
        </w:rPr>
        <w:fldChar w:fldCharType="end"/>
      </w:r>
      <w:bookmarkEnd w:id="71"/>
      <w:r w:rsidRPr="00706BE7">
        <w:rPr>
          <w:rFonts w:ascii="Times New Roman" w:eastAsia="SimSun" w:hAnsi="Times New Roman" w:cs="Times New Roman"/>
          <w:bCs/>
          <w:i w:val="0"/>
          <w:color w:val="auto"/>
          <w:sz w:val="24"/>
          <w:szCs w:val="24"/>
          <w:lang w:eastAsia="en-GB"/>
        </w:rPr>
        <w:t>: Cumulative lifetime QALY gains by gender and age group</w:t>
      </w:r>
    </w:p>
    <w:tbl>
      <w:tblPr>
        <w:tblW w:w="9131" w:type="dxa"/>
        <w:tblInd w:w="93" w:type="dxa"/>
        <w:tblLook w:val="04A0" w:firstRow="1" w:lastRow="0" w:firstColumn="1" w:lastColumn="0" w:noHBand="0" w:noVBand="1"/>
      </w:tblPr>
      <w:tblGrid>
        <w:gridCol w:w="3726"/>
        <w:gridCol w:w="785"/>
        <w:gridCol w:w="785"/>
        <w:gridCol w:w="784"/>
        <w:gridCol w:w="784"/>
        <w:gridCol w:w="784"/>
        <w:gridCol w:w="784"/>
        <w:gridCol w:w="699"/>
      </w:tblGrid>
      <w:tr w:rsidR="00335798" w:rsidRPr="005C0E75" w:rsidTr="006712DC">
        <w:trPr>
          <w:trHeight w:val="293"/>
        </w:trPr>
        <w:tc>
          <w:tcPr>
            <w:tcW w:w="0" w:type="auto"/>
            <w:gridSpan w:val="8"/>
            <w:tcBorders>
              <w:top w:val="single" w:sz="4" w:space="0" w:color="auto"/>
              <w:left w:val="single" w:sz="4" w:space="0" w:color="auto"/>
              <w:bottom w:val="nil"/>
              <w:right w:val="single" w:sz="4" w:space="0" w:color="auto"/>
            </w:tcBorders>
            <w:shd w:val="clear" w:color="auto" w:fill="auto"/>
            <w:noWrap/>
            <w:vAlign w:val="bottom"/>
          </w:tcPr>
          <w:p w:rsidR="00335798" w:rsidRPr="005C0E75" w:rsidRDefault="00335798" w:rsidP="006712DC">
            <w:pPr>
              <w:spacing w:after="0" w:line="240" w:lineRule="auto"/>
              <w:rPr>
                <w:rFonts w:ascii="Times New Roman" w:eastAsia="Times New Roman" w:hAnsi="Times New Roman" w:cs="Times New Roman"/>
                <w:b/>
                <w:sz w:val="20"/>
                <w:szCs w:val="20"/>
              </w:rPr>
            </w:pPr>
            <w:r w:rsidRPr="005C0E75">
              <w:rPr>
                <w:rFonts w:ascii="Times New Roman" w:eastAsia="Times New Roman" w:hAnsi="Times New Roman" w:cs="Times New Roman"/>
                <w:b/>
                <w:sz w:val="20"/>
                <w:szCs w:val="20"/>
              </w:rPr>
              <w:t>Cumulative lifetime QALY gains by gender and age group (before discounting)</w:t>
            </w:r>
          </w:p>
        </w:tc>
      </w:tr>
      <w:tr w:rsidR="00335798" w:rsidRPr="005C0E75" w:rsidTr="006712DC">
        <w:trPr>
          <w:trHeight w:val="304"/>
        </w:trPr>
        <w:tc>
          <w:tcPr>
            <w:tcW w:w="0" w:type="auto"/>
            <w:tcBorders>
              <w:top w:val="nil"/>
              <w:left w:val="single" w:sz="4" w:space="0" w:color="auto"/>
              <w:bottom w:val="single" w:sz="8" w:space="0" w:color="auto"/>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Lifetime QALY gain (Male)</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16-24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25-34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35-44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45-54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55-64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65-74</w:t>
            </w:r>
          </w:p>
        </w:tc>
        <w:tc>
          <w:tcPr>
            <w:tcW w:w="0" w:type="auto"/>
            <w:tcBorders>
              <w:top w:val="nil"/>
              <w:left w:val="nil"/>
              <w:bottom w:val="single" w:sz="8" w:space="0" w:color="auto"/>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75-79</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Ex-occasional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65.603</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46.986</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37.555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28.379</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19.675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11.574</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3.706</w:t>
            </w:r>
          </w:p>
        </w:tc>
      </w:tr>
      <w:tr w:rsidR="00335798" w:rsidRPr="005C0E75" w:rsidTr="006712DC">
        <w:trPr>
          <w:trHeight w:val="296"/>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Ex-regular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64.914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46.461</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37.155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28.097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19.501</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11.481</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3.679</w:t>
            </w:r>
          </w:p>
        </w:tc>
      </w:tr>
      <w:tr w:rsidR="00335798" w:rsidRPr="005C0E75" w:rsidTr="006712DC">
        <w:trPr>
          <w:trHeight w:val="296"/>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Light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64.196</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46.010</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36.744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27.742</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19.216</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11.299</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3.615</w:t>
            </w:r>
          </w:p>
        </w:tc>
      </w:tr>
      <w:tr w:rsidR="00335798" w:rsidRPr="005C0E75" w:rsidTr="006712DC">
        <w:trPr>
          <w:trHeight w:val="296"/>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Moderate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63.341</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45.433</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36.267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27.368</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18.946</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11.131</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3.556</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Heavy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61.915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44.463</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35.492</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26.764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18.505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10.858</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3.463</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p>
        </w:tc>
      </w:tr>
      <w:tr w:rsidR="00335798" w:rsidRPr="005C0E75" w:rsidTr="006712DC">
        <w:trPr>
          <w:trHeight w:val="304"/>
        </w:trPr>
        <w:tc>
          <w:tcPr>
            <w:tcW w:w="0" w:type="auto"/>
            <w:tcBorders>
              <w:top w:val="nil"/>
              <w:left w:val="single" w:sz="4" w:space="0" w:color="auto"/>
              <w:bottom w:val="single" w:sz="8" w:space="0" w:color="auto"/>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Lifetime QALY gain (Female)</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16-24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25-34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35-44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45-54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55-64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65-74</w:t>
            </w:r>
          </w:p>
        </w:tc>
        <w:tc>
          <w:tcPr>
            <w:tcW w:w="0" w:type="auto"/>
            <w:tcBorders>
              <w:top w:val="nil"/>
              <w:left w:val="nil"/>
              <w:bottom w:val="single" w:sz="8" w:space="0" w:color="auto"/>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75-83</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Ex-occasional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49.664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45.974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36.868</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27.877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19.284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11.354</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3.540</w:t>
            </w:r>
          </w:p>
        </w:tc>
      </w:tr>
      <w:tr w:rsidR="00335798" w:rsidRPr="005C0E75" w:rsidTr="006712DC">
        <w:trPr>
          <w:trHeight w:val="177"/>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Ex-regular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49.002</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45.369</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36.381</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27.509</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19.030</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11.203</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3.494</w:t>
            </w:r>
          </w:p>
        </w:tc>
      </w:tr>
      <w:tr w:rsidR="00335798" w:rsidRPr="005C0E75" w:rsidTr="006712DC">
        <w:trPr>
          <w:trHeight w:val="296"/>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Light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48.622</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44.997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36.059</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27.245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18.827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11.079</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3.448</w:t>
            </w:r>
          </w:p>
        </w:tc>
      </w:tr>
      <w:tr w:rsidR="00335798" w:rsidRPr="005C0E75" w:rsidTr="006712DC">
        <w:trPr>
          <w:trHeight w:val="296"/>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Moderate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48.006</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44.425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35.590</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26.874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18.557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10.909</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3.389</w:t>
            </w:r>
          </w:p>
        </w:tc>
      </w:tr>
      <w:tr w:rsidR="00335798" w:rsidRPr="005C0E75" w:rsidTr="006712DC">
        <w:trPr>
          <w:trHeight w:val="296"/>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Heavy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46.874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43.377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34.747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26.225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18.095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10.629</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3.293</w:t>
            </w:r>
          </w:p>
        </w:tc>
      </w:tr>
      <w:tr w:rsidR="00335798" w:rsidRPr="005C0E75" w:rsidTr="006712DC">
        <w:trPr>
          <w:trHeight w:val="293"/>
        </w:trPr>
        <w:tc>
          <w:tcPr>
            <w:tcW w:w="0" w:type="auto"/>
            <w:gridSpan w:val="8"/>
            <w:tcBorders>
              <w:top w:val="nil"/>
              <w:left w:val="single" w:sz="4" w:space="0" w:color="auto"/>
              <w:right w:val="single" w:sz="4" w:space="0" w:color="auto"/>
            </w:tcBorders>
            <w:shd w:val="clear" w:color="auto" w:fill="auto"/>
            <w:noWrap/>
            <w:vAlign w:val="bottom"/>
          </w:tcPr>
          <w:p w:rsidR="00335798" w:rsidRPr="005C0E75" w:rsidRDefault="00335798" w:rsidP="006712DC">
            <w:pPr>
              <w:spacing w:after="0" w:line="240" w:lineRule="auto"/>
              <w:rPr>
                <w:rFonts w:ascii="Times New Roman" w:eastAsia="Times New Roman" w:hAnsi="Times New Roman" w:cs="Times New Roman"/>
                <w:b/>
                <w:sz w:val="20"/>
                <w:szCs w:val="20"/>
              </w:rPr>
            </w:pPr>
          </w:p>
          <w:p w:rsidR="00335798" w:rsidRPr="005C0E75" w:rsidRDefault="00335798" w:rsidP="006712DC">
            <w:pPr>
              <w:spacing w:after="0" w:line="240" w:lineRule="auto"/>
              <w:rPr>
                <w:rFonts w:ascii="Times New Roman" w:eastAsia="Times New Roman" w:hAnsi="Times New Roman" w:cs="Times New Roman"/>
                <w:b/>
                <w:sz w:val="20"/>
                <w:szCs w:val="20"/>
              </w:rPr>
            </w:pPr>
            <w:r w:rsidRPr="005C0E75">
              <w:rPr>
                <w:rFonts w:ascii="Times New Roman" w:eastAsia="Times New Roman" w:hAnsi="Times New Roman" w:cs="Times New Roman"/>
                <w:b/>
                <w:sz w:val="20"/>
                <w:szCs w:val="20"/>
              </w:rPr>
              <w:t>Cumulative lifetime QALY gains by gender and age group (after discounting)</w:t>
            </w:r>
          </w:p>
        </w:tc>
      </w:tr>
      <w:tr w:rsidR="00335798" w:rsidRPr="005C0E75" w:rsidTr="006712DC">
        <w:trPr>
          <w:trHeight w:val="304"/>
        </w:trPr>
        <w:tc>
          <w:tcPr>
            <w:tcW w:w="0" w:type="auto"/>
            <w:tcBorders>
              <w:left w:val="single" w:sz="4" w:space="0" w:color="auto"/>
              <w:bottom w:val="single" w:sz="8" w:space="0" w:color="auto"/>
              <w:right w:val="nil"/>
            </w:tcBorders>
            <w:shd w:val="clear" w:color="auto" w:fill="auto"/>
            <w:noWrap/>
            <w:vAlign w:val="bottom"/>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Discounted Lifetime QALY gain (Male)</w:t>
            </w:r>
          </w:p>
        </w:tc>
        <w:tc>
          <w:tcPr>
            <w:tcW w:w="0" w:type="auto"/>
            <w:tcBorders>
              <w:left w:val="nil"/>
              <w:bottom w:val="single" w:sz="8" w:space="0" w:color="auto"/>
              <w:right w:val="nil"/>
            </w:tcBorders>
            <w:shd w:val="clear" w:color="auto" w:fill="auto"/>
            <w:noWrap/>
            <w:vAlign w:val="center"/>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16-24</w:t>
            </w:r>
          </w:p>
        </w:tc>
        <w:tc>
          <w:tcPr>
            <w:tcW w:w="0" w:type="auto"/>
            <w:tcBorders>
              <w:left w:val="nil"/>
              <w:bottom w:val="single" w:sz="8" w:space="0" w:color="auto"/>
              <w:right w:val="nil"/>
            </w:tcBorders>
            <w:shd w:val="clear" w:color="auto" w:fill="auto"/>
            <w:noWrap/>
            <w:vAlign w:val="center"/>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25-34</w:t>
            </w:r>
          </w:p>
        </w:tc>
        <w:tc>
          <w:tcPr>
            <w:tcW w:w="0" w:type="auto"/>
            <w:tcBorders>
              <w:left w:val="nil"/>
              <w:bottom w:val="single" w:sz="8" w:space="0" w:color="auto"/>
              <w:right w:val="nil"/>
            </w:tcBorders>
            <w:shd w:val="clear" w:color="auto" w:fill="auto"/>
            <w:noWrap/>
            <w:vAlign w:val="center"/>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35-44</w:t>
            </w:r>
          </w:p>
        </w:tc>
        <w:tc>
          <w:tcPr>
            <w:tcW w:w="0" w:type="auto"/>
            <w:tcBorders>
              <w:left w:val="nil"/>
              <w:bottom w:val="single" w:sz="8" w:space="0" w:color="auto"/>
              <w:right w:val="nil"/>
            </w:tcBorders>
            <w:shd w:val="clear" w:color="auto" w:fill="auto"/>
            <w:noWrap/>
            <w:vAlign w:val="center"/>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45-54</w:t>
            </w:r>
          </w:p>
        </w:tc>
        <w:tc>
          <w:tcPr>
            <w:tcW w:w="0" w:type="auto"/>
            <w:tcBorders>
              <w:left w:val="nil"/>
              <w:bottom w:val="single" w:sz="8" w:space="0" w:color="auto"/>
              <w:right w:val="nil"/>
            </w:tcBorders>
            <w:shd w:val="clear" w:color="auto" w:fill="auto"/>
            <w:noWrap/>
            <w:vAlign w:val="center"/>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55-64</w:t>
            </w:r>
          </w:p>
        </w:tc>
        <w:tc>
          <w:tcPr>
            <w:tcW w:w="0" w:type="auto"/>
            <w:tcBorders>
              <w:left w:val="nil"/>
              <w:bottom w:val="single" w:sz="8" w:space="0" w:color="auto"/>
              <w:right w:val="nil"/>
            </w:tcBorders>
            <w:shd w:val="clear" w:color="auto" w:fill="auto"/>
            <w:noWrap/>
            <w:vAlign w:val="center"/>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65-74</w:t>
            </w:r>
          </w:p>
        </w:tc>
        <w:tc>
          <w:tcPr>
            <w:tcW w:w="0" w:type="auto"/>
            <w:tcBorders>
              <w:left w:val="nil"/>
              <w:bottom w:val="single" w:sz="8" w:space="0" w:color="auto"/>
              <w:right w:val="single" w:sz="4" w:space="0" w:color="auto"/>
            </w:tcBorders>
            <w:shd w:val="clear" w:color="auto" w:fill="auto"/>
            <w:noWrap/>
            <w:vAlign w:val="center"/>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75-79</w:t>
            </w:r>
          </w:p>
        </w:tc>
      </w:tr>
      <w:tr w:rsidR="00335798" w:rsidRPr="005C0E75" w:rsidTr="006712DC">
        <w:trPr>
          <w:trHeight w:val="304"/>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Ex-occasional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22.421</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20.530</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18.032</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14.924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11.165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6.370</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3.347</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Ex-regular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22.137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20.287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17.832</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14.776</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11.067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6.320</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3.322</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Light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21.992</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20.117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17.648</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14.589</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10.903</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6.218</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3.264</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Moderate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21.732</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19.874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17.424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14.394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10.749</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6.124</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3.211</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Heavy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21.274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19.463</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17.060</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14.078</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10.497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5.971</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3.127</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w:t>
            </w:r>
          </w:p>
        </w:tc>
      </w:tr>
      <w:tr w:rsidR="00335798" w:rsidRPr="005C0E75" w:rsidTr="006712DC">
        <w:trPr>
          <w:trHeight w:val="293"/>
        </w:trPr>
        <w:tc>
          <w:tcPr>
            <w:tcW w:w="0" w:type="auto"/>
            <w:tcBorders>
              <w:top w:val="nil"/>
              <w:left w:val="single" w:sz="4" w:space="0" w:color="auto"/>
              <w:bottom w:val="single" w:sz="8" w:space="0" w:color="auto"/>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Discounted Lifetime QALY gain (Female)</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16-24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25-34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35-44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45-54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55-64</w:t>
            </w:r>
          </w:p>
        </w:tc>
        <w:tc>
          <w:tcPr>
            <w:tcW w:w="0" w:type="auto"/>
            <w:tcBorders>
              <w:top w:val="nil"/>
              <w:left w:val="nil"/>
              <w:bottom w:val="single" w:sz="8"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65-74</w:t>
            </w:r>
          </w:p>
        </w:tc>
        <w:tc>
          <w:tcPr>
            <w:tcW w:w="0" w:type="auto"/>
            <w:tcBorders>
              <w:top w:val="nil"/>
              <w:left w:val="nil"/>
              <w:bottom w:val="single" w:sz="8" w:space="0" w:color="auto"/>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75-83</w:t>
            </w:r>
          </w:p>
        </w:tc>
      </w:tr>
      <w:tr w:rsidR="00335798" w:rsidRPr="005C0E75" w:rsidTr="006712DC">
        <w:trPr>
          <w:trHeight w:val="304"/>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Ex-occasional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22.201</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20.558</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18.379</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15.590</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12.267</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8.062</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5.385</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Ex-regular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21.901</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20.288</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18.136</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15.385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12.105</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7.956</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5.315</w:t>
            </w:r>
          </w:p>
        </w:tc>
      </w:tr>
      <w:tr w:rsidR="00335798" w:rsidRPr="005C0E75" w:rsidTr="006712DC">
        <w:trPr>
          <w:trHeight w:val="293"/>
        </w:trPr>
        <w:tc>
          <w:tcPr>
            <w:tcW w:w="0" w:type="auto"/>
            <w:tcBorders>
              <w:top w:val="nil"/>
              <w:left w:val="single" w:sz="4" w:space="0" w:color="auto"/>
              <w:bottom w:val="nil"/>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Light smoker</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21.762</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20.132</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17.980</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15.234</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11.973</w:t>
            </w:r>
          </w:p>
        </w:tc>
        <w:tc>
          <w:tcPr>
            <w:tcW w:w="0" w:type="auto"/>
            <w:tcBorders>
              <w:top w:val="nil"/>
              <w:left w:val="nil"/>
              <w:bottom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7.863</w:t>
            </w:r>
          </w:p>
        </w:tc>
        <w:tc>
          <w:tcPr>
            <w:tcW w:w="0" w:type="auto"/>
            <w:tcBorders>
              <w:top w:val="nil"/>
              <w:left w:val="nil"/>
              <w:bottom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5.246</w:t>
            </w:r>
          </w:p>
        </w:tc>
      </w:tr>
      <w:tr w:rsidR="00335798" w:rsidRPr="005C0E75" w:rsidTr="006712DC">
        <w:trPr>
          <w:trHeight w:val="293"/>
        </w:trPr>
        <w:tc>
          <w:tcPr>
            <w:tcW w:w="0" w:type="auto"/>
            <w:tcBorders>
              <w:top w:val="nil"/>
              <w:left w:val="single" w:sz="4" w:space="0" w:color="auto"/>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Moderate smoker</w:t>
            </w:r>
          </w:p>
        </w:tc>
        <w:tc>
          <w:tcPr>
            <w:tcW w:w="0" w:type="auto"/>
            <w:tcBorders>
              <w:top w:val="nil"/>
              <w:left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21.497</w:t>
            </w:r>
          </w:p>
        </w:tc>
        <w:tc>
          <w:tcPr>
            <w:tcW w:w="0" w:type="auto"/>
            <w:tcBorders>
              <w:top w:val="nil"/>
              <w:left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19.885</w:t>
            </w:r>
          </w:p>
        </w:tc>
        <w:tc>
          <w:tcPr>
            <w:tcW w:w="0" w:type="auto"/>
            <w:tcBorders>
              <w:top w:val="nil"/>
              <w:left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17.749</w:t>
            </w:r>
          </w:p>
        </w:tc>
        <w:tc>
          <w:tcPr>
            <w:tcW w:w="0" w:type="auto"/>
            <w:tcBorders>
              <w:top w:val="nil"/>
              <w:left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15.026</w:t>
            </w:r>
          </w:p>
        </w:tc>
        <w:tc>
          <w:tcPr>
            <w:tcW w:w="0" w:type="auto"/>
            <w:tcBorders>
              <w:top w:val="nil"/>
              <w:left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11.797</w:t>
            </w:r>
          </w:p>
        </w:tc>
        <w:tc>
          <w:tcPr>
            <w:tcW w:w="0" w:type="auto"/>
            <w:tcBorders>
              <w:top w:val="nil"/>
              <w:left w:val="nil"/>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7.737</w:t>
            </w:r>
          </w:p>
        </w:tc>
        <w:tc>
          <w:tcPr>
            <w:tcW w:w="0" w:type="auto"/>
            <w:tcBorders>
              <w:top w:val="nil"/>
              <w:left w:val="nil"/>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5.156</w:t>
            </w:r>
          </w:p>
        </w:tc>
      </w:tr>
      <w:tr w:rsidR="00335798" w:rsidRPr="005C0E75" w:rsidTr="006712DC">
        <w:trPr>
          <w:trHeight w:val="293"/>
        </w:trPr>
        <w:tc>
          <w:tcPr>
            <w:tcW w:w="0" w:type="auto"/>
            <w:tcBorders>
              <w:top w:val="nil"/>
              <w:left w:val="single" w:sz="4" w:space="0" w:color="auto"/>
              <w:bottom w:val="single" w:sz="4" w:space="0" w:color="auto"/>
              <w:right w:val="nil"/>
            </w:tcBorders>
            <w:shd w:val="clear" w:color="auto" w:fill="auto"/>
            <w:noWrap/>
            <w:vAlign w:val="bottom"/>
            <w:hideMark/>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Heavy smoker</w:t>
            </w:r>
          </w:p>
        </w:tc>
        <w:tc>
          <w:tcPr>
            <w:tcW w:w="0" w:type="auto"/>
            <w:tcBorders>
              <w:top w:val="nil"/>
              <w:left w:val="nil"/>
              <w:bottom w:val="single" w:sz="4"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20.997</w:t>
            </w:r>
          </w:p>
        </w:tc>
        <w:tc>
          <w:tcPr>
            <w:tcW w:w="0" w:type="auto"/>
            <w:tcBorders>
              <w:top w:val="nil"/>
              <w:left w:val="nil"/>
              <w:bottom w:val="single" w:sz="4"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19.423</w:t>
            </w:r>
          </w:p>
        </w:tc>
        <w:tc>
          <w:tcPr>
            <w:tcW w:w="0" w:type="auto"/>
            <w:tcBorders>
              <w:top w:val="nil"/>
              <w:left w:val="nil"/>
              <w:bottom w:val="single" w:sz="4"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17.332</w:t>
            </w:r>
          </w:p>
        </w:tc>
        <w:tc>
          <w:tcPr>
            <w:tcW w:w="0" w:type="auto"/>
            <w:tcBorders>
              <w:top w:val="nil"/>
              <w:left w:val="nil"/>
              <w:bottom w:val="single" w:sz="4"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14.661</w:t>
            </w:r>
          </w:p>
        </w:tc>
        <w:tc>
          <w:tcPr>
            <w:tcW w:w="0" w:type="auto"/>
            <w:tcBorders>
              <w:top w:val="nil"/>
              <w:left w:val="nil"/>
              <w:bottom w:val="single" w:sz="4"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11.499</w:t>
            </w:r>
          </w:p>
        </w:tc>
        <w:tc>
          <w:tcPr>
            <w:tcW w:w="0" w:type="auto"/>
            <w:tcBorders>
              <w:top w:val="nil"/>
              <w:left w:val="nil"/>
              <w:bottom w:val="single" w:sz="4" w:space="0" w:color="auto"/>
              <w:right w:val="nil"/>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7.531</w:t>
            </w:r>
          </w:p>
        </w:tc>
        <w:tc>
          <w:tcPr>
            <w:tcW w:w="0" w:type="auto"/>
            <w:tcBorders>
              <w:top w:val="nil"/>
              <w:left w:val="nil"/>
              <w:bottom w:val="single" w:sz="4" w:space="0" w:color="auto"/>
              <w:right w:val="single" w:sz="4" w:space="0" w:color="auto"/>
            </w:tcBorders>
            <w:shd w:val="clear" w:color="auto" w:fill="auto"/>
            <w:noWrap/>
            <w:vAlign w:val="center"/>
            <w:hideMark/>
          </w:tcPr>
          <w:p w:rsidR="00335798" w:rsidRPr="005C0E75" w:rsidRDefault="00335798" w:rsidP="006712DC">
            <w:pPr>
              <w:spacing w:after="0" w:line="240" w:lineRule="auto"/>
              <w:jc w:val="right"/>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5.010</w:t>
            </w:r>
          </w:p>
        </w:tc>
      </w:tr>
      <w:tr w:rsidR="00335798" w:rsidRPr="005C0E75" w:rsidTr="006712DC">
        <w:trPr>
          <w:trHeight w:val="293"/>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*Ex-occasional smokers: people who have only smoked once or twice.</w:t>
            </w:r>
          </w:p>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xml:space="preserve">  Ex-regular smokers: people who used to smoke sometimes but have now quit.</w:t>
            </w:r>
          </w:p>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xml:space="preserve">  Light smokers: smokers who smoke under 10 cigarettes a day.</w:t>
            </w:r>
          </w:p>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xml:space="preserve">  Moderate smokers: smokers who smoke between 10 and 19 cigarettes a day.</w:t>
            </w:r>
          </w:p>
          <w:p w:rsidR="00335798" w:rsidRPr="005C0E75" w:rsidRDefault="00335798" w:rsidP="006712DC">
            <w:pPr>
              <w:spacing w:after="0" w:line="240" w:lineRule="auto"/>
              <w:rPr>
                <w:rFonts w:ascii="Times New Roman" w:eastAsia="Times New Roman" w:hAnsi="Times New Roman" w:cs="Times New Roman"/>
                <w:sz w:val="20"/>
                <w:szCs w:val="20"/>
              </w:rPr>
            </w:pPr>
            <w:r w:rsidRPr="005C0E75">
              <w:rPr>
                <w:rFonts w:ascii="Times New Roman" w:eastAsia="Times New Roman" w:hAnsi="Times New Roman" w:cs="Times New Roman"/>
                <w:sz w:val="20"/>
                <w:szCs w:val="20"/>
              </w:rPr>
              <w:t xml:space="preserve">  Heavy smokers: smokers who smoke 20 or more cigarettes a day. </w:t>
            </w:r>
          </w:p>
        </w:tc>
      </w:tr>
    </w:tbl>
    <w:p w:rsidR="00335798" w:rsidRPr="005C0E75" w:rsidRDefault="00335798" w:rsidP="00335798">
      <w:pPr>
        <w:autoSpaceDE w:val="0"/>
        <w:autoSpaceDN w:val="0"/>
        <w:adjustRightInd w:val="0"/>
        <w:spacing w:line="240" w:lineRule="auto"/>
        <w:jc w:val="both"/>
        <w:rPr>
          <w:rFonts w:ascii="Times New Roman" w:hAnsi="Times New Roman" w:cs="Times New Roman"/>
          <w:b/>
          <w:bCs/>
          <w:iCs/>
          <w:sz w:val="24"/>
          <w:szCs w:val="24"/>
        </w:rPr>
      </w:pPr>
    </w:p>
    <w:p w:rsidR="00335798" w:rsidRPr="00706BE7" w:rsidRDefault="00335798" w:rsidP="00335798">
      <w:pPr>
        <w:pStyle w:val="Caption"/>
        <w:keepNext/>
        <w:rPr>
          <w:rFonts w:ascii="Times New Roman" w:eastAsia="SimSun" w:hAnsi="Times New Roman" w:cs="Times New Roman"/>
          <w:bCs/>
          <w:i w:val="0"/>
          <w:color w:val="auto"/>
          <w:sz w:val="24"/>
          <w:szCs w:val="24"/>
          <w:lang w:eastAsia="en-GB"/>
        </w:rPr>
      </w:pPr>
      <w:bookmarkStart w:id="72" w:name="_Ref445131692"/>
      <w:r w:rsidRPr="00706BE7">
        <w:rPr>
          <w:rFonts w:ascii="Times New Roman" w:eastAsia="SimSun" w:hAnsi="Times New Roman" w:cs="Times New Roman"/>
          <w:bCs/>
          <w:i w:val="0"/>
          <w:color w:val="auto"/>
          <w:sz w:val="24"/>
          <w:szCs w:val="24"/>
          <w:lang w:eastAsia="en-GB"/>
        </w:rPr>
        <w:t xml:space="preserve">Table </w:t>
      </w:r>
      <w:r w:rsidRPr="00706BE7">
        <w:rPr>
          <w:rFonts w:ascii="Times New Roman" w:eastAsia="SimSun" w:hAnsi="Times New Roman" w:cs="Times New Roman"/>
          <w:bCs/>
          <w:i w:val="0"/>
          <w:color w:val="auto"/>
          <w:sz w:val="24"/>
          <w:szCs w:val="24"/>
          <w:lang w:eastAsia="en-GB"/>
        </w:rPr>
        <w:fldChar w:fldCharType="begin"/>
      </w:r>
      <w:r w:rsidRPr="00706BE7">
        <w:rPr>
          <w:rFonts w:ascii="Times New Roman" w:eastAsia="SimSun" w:hAnsi="Times New Roman" w:cs="Times New Roman"/>
          <w:bCs/>
          <w:i w:val="0"/>
          <w:color w:val="auto"/>
          <w:sz w:val="24"/>
          <w:szCs w:val="24"/>
          <w:lang w:eastAsia="en-GB"/>
        </w:rPr>
        <w:instrText xml:space="preserve"> SEQ Table \* ARABIC </w:instrText>
      </w:r>
      <w:r w:rsidRPr="00706BE7">
        <w:rPr>
          <w:rFonts w:ascii="Times New Roman" w:eastAsia="SimSun" w:hAnsi="Times New Roman" w:cs="Times New Roman"/>
          <w:bCs/>
          <w:i w:val="0"/>
          <w:color w:val="auto"/>
          <w:sz w:val="24"/>
          <w:szCs w:val="24"/>
          <w:lang w:eastAsia="en-GB"/>
        </w:rPr>
        <w:fldChar w:fldCharType="separate"/>
      </w:r>
      <w:r w:rsidRPr="00706BE7">
        <w:rPr>
          <w:rFonts w:ascii="Times New Roman" w:eastAsia="SimSun" w:hAnsi="Times New Roman" w:cs="Times New Roman"/>
          <w:bCs/>
          <w:i w:val="0"/>
          <w:color w:val="auto"/>
          <w:sz w:val="24"/>
          <w:szCs w:val="24"/>
          <w:lang w:eastAsia="en-GB"/>
        </w:rPr>
        <w:t>5</w:t>
      </w:r>
      <w:r w:rsidRPr="00706BE7">
        <w:rPr>
          <w:rFonts w:ascii="Times New Roman" w:eastAsia="SimSun" w:hAnsi="Times New Roman" w:cs="Times New Roman"/>
          <w:bCs/>
          <w:i w:val="0"/>
          <w:color w:val="auto"/>
          <w:sz w:val="24"/>
          <w:szCs w:val="24"/>
          <w:lang w:eastAsia="en-GB"/>
        </w:rPr>
        <w:fldChar w:fldCharType="end"/>
      </w:r>
      <w:bookmarkEnd w:id="72"/>
      <w:r w:rsidRPr="00706BE7">
        <w:rPr>
          <w:rFonts w:ascii="Times New Roman" w:eastAsia="SimSun" w:hAnsi="Times New Roman" w:cs="Times New Roman"/>
          <w:bCs/>
          <w:i w:val="0"/>
          <w:color w:val="auto"/>
          <w:sz w:val="24"/>
          <w:szCs w:val="24"/>
          <w:lang w:eastAsia="en-GB"/>
        </w:rPr>
        <w:t>: Long-term cost-effectiveness results</w:t>
      </w:r>
    </w:p>
    <w:tbl>
      <w:tblPr>
        <w:tblStyle w:val="TableGrid"/>
        <w:tblW w:w="0" w:type="auto"/>
        <w:tblLook w:val="04A0" w:firstRow="1" w:lastRow="0" w:firstColumn="1" w:lastColumn="0" w:noHBand="0" w:noVBand="1"/>
      </w:tblPr>
      <w:tblGrid>
        <w:gridCol w:w="2235"/>
        <w:gridCol w:w="1842"/>
        <w:gridCol w:w="132"/>
        <w:gridCol w:w="1592"/>
        <w:gridCol w:w="1927"/>
        <w:gridCol w:w="1288"/>
      </w:tblGrid>
      <w:tr w:rsidR="00335798" w:rsidRPr="005C0E75" w:rsidTr="006712DC">
        <w:trPr>
          <w:trHeight w:val="303"/>
        </w:trPr>
        <w:tc>
          <w:tcPr>
            <w:tcW w:w="2235" w:type="dxa"/>
            <w:vAlign w:val="center"/>
            <w:hideMark/>
          </w:tcPr>
          <w:p w:rsidR="00335798" w:rsidRPr="005C0E75" w:rsidRDefault="00335798" w:rsidP="006712DC">
            <w:pPr>
              <w:rPr>
                <w:b/>
              </w:rPr>
            </w:pPr>
          </w:p>
        </w:tc>
        <w:tc>
          <w:tcPr>
            <w:tcW w:w="3566" w:type="dxa"/>
            <w:gridSpan w:val="3"/>
            <w:vAlign w:val="center"/>
            <w:hideMark/>
          </w:tcPr>
          <w:p w:rsidR="00335798" w:rsidRPr="005C0E75" w:rsidRDefault="00335798" w:rsidP="006712DC">
            <w:pPr>
              <w:jc w:val="center"/>
              <w:textAlignment w:val="baseline"/>
              <w:rPr>
                <w:b/>
              </w:rPr>
            </w:pPr>
            <w:r w:rsidRPr="005C0E75">
              <w:rPr>
                <w:rFonts w:eastAsia="SimSun"/>
                <w:b/>
                <w:kern w:val="24"/>
              </w:rPr>
              <w:t>Before discounting</w:t>
            </w:r>
          </w:p>
        </w:tc>
        <w:tc>
          <w:tcPr>
            <w:tcW w:w="0" w:type="auto"/>
            <w:gridSpan w:val="2"/>
            <w:vAlign w:val="center"/>
            <w:hideMark/>
          </w:tcPr>
          <w:p w:rsidR="00335798" w:rsidRPr="005C0E75" w:rsidRDefault="00335798" w:rsidP="006712DC">
            <w:pPr>
              <w:jc w:val="center"/>
              <w:textAlignment w:val="baseline"/>
              <w:rPr>
                <w:b/>
              </w:rPr>
            </w:pPr>
            <w:r w:rsidRPr="005C0E75">
              <w:rPr>
                <w:rFonts w:eastAsia="SimSun"/>
                <w:b/>
                <w:kern w:val="24"/>
              </w:rPr>
              <w:t>Discounted</w:t>
            </w:r>
          </w:p>
        </w:tc>
      </w:tr>
      <w:tr w:rsidR="00335798" w:rsidRPr="005C0E75" w:rsidTr="006712DC">
        <w:trPr>
          <w:trHeight w:val="492"/>
        </w:trPr>
        <w:tc>
          <w:tcPr>
            <w:tcW w:w="2235" w:type="dxa"/>
            <w:vAlign w:val="center"/>
            <w:hideMark/>
          </w:tcPr>
          <w:p w:rsidR="00335798" w:rsidRPr="005C0E75" w:rsidRDefault="00335798" w:rsidP="006712DC">
            <w:pPr>
              <w:rPr>
                <w:rFonts w:eastAsia="SimSun"/>
                <w:b/>
                <w:kern w:val="24"/>
              </w:rPr>
            </w:pPr>
          </w:p>
        </w:tc>
        <w:tc>
          <w:tcPr>
            <w:tcW w:w="1842" w:type="dxa"/>
            <w:vAlign w:val="center"/>
            <w:hideMark/>
          </w:tcPr>
          <w:p w:rsidR="00335798" w:rsidRPr="005C0E75" w:rsidRDefault="00335798" w:rsidP="006712DC">
            <w:pPr>
              <w:textAlignment w:val="baseline"/>
            </w:pPr>
            <w:r w:rsidRPr="005C0E75">
              <w:rPr>
                <w:rFonts w:eastAsia="SimSun"/>
                <w:bCs/>
                <w:kern w:val="24"/>
              </w:rPr>
              <w:t>Intervention group (N=2,635)</w:t>
            </w:r>
          </w:p>
        </w:tc>
        <w:tc>
          <w:tcPr>
            <w:tcW w:w="1724" w:type="dxa"/>
            <w:gridSpan w:val="2"/>
            <w:vAlign w:val="center"/>
            <w:hideMark/>
          </w:tcPr>
          <w:p w:rsidR="00335798" w:rsidRPr="005C0E75" w:rsidRDefault="00335798" w:rsidP="006712DC">
            <w:pPr>
              <w:textAlignment w:val="baseline"/>
            </w:pPr>
            <w:r w:rsidRPr="005C0E75">
              <w:rPr>
                <w:rFonts w:eastAsia="SimSun"/>
                <w:bCs/>
                <w:kern w:val="24"/>
              </w:rPr>
              <w:t>Control group</w:t>
            </w:r>
          </w:p>
          <w:p w:rsidR="00335798" w:rsidRPr="005C0E75" w:rsidRDefault="00335798" w:rsidP="006712DC">
            <w:pPr>
              <w:textAlignment w:val="baseline"/>
            </w:pPr>
            <w:r w:rsidRPr="005C0E75">
              <w:rPr>
                <w:rFonts w:eastAsia="SimSun"/>
                <w:bCs/>
                <w:kern w:val="24"/>
              </w:rPr>
              <w:t>(N=1,748)</w:t>
            </w:r>
          </w:p>
        </w:tc>
        <w:tc>
          <w:tcPr>
            <w:tcW w:w="0" w:type="auto"/>
            <w:vAlign w:val="center"/>
            <w:hideMark/>
          </w:tcPr>
          <w:p w:rsidR="00335798" w:rsidRPr="005C0E75" w:rsidRDefault="00335798" w:rsidP="006712DC">
            <w:pPr>
              <w:textAlignment w:val="baseline"/>
            </w:pPr>
            <w:r w:rsidRPr="005C0E75">
              <w:rPr>
                <w:rFonts w:eastAsia="SimSun"/>
                <w:bCs/>
                <w:kern w:val="24"/>
              </w:rPr>
              <w:t>Intervention group (N=2,635)</w:t>
            </w:r>
          </w:p>
        </w:tc>
        <w:tc>
          <w:tcPr>
            <w:tcW w:w="0" w:type="auto"/>
            <w:vAlign w:val="center"/>
            <w:hideMark/>
          </w:tcPr>
          <w:p w:rsidR="00335798" w:rsidRPr="005C0E75" w:rsidRDefault="00335798" w:rsidP="006712DC">
            <w:pPr>
              <w:textAlignment w:val="baseline"/>
            </w:pPr>
            <w:r w:rsidRPr="005C0E75">
              <w:rPr>
                <w:rFonts w:eastAsia="SimSun"/>
                <w:bCs/>
                <w:kern w:val="24"/>
              </w:rPr>
              <w:t>Control group</w:t>
            </w:r>
          </w:p>
          <w:p w:rsidR="00335798" w:rsidRPr="005C0E75" w:rsidRDefault="00335798" w:rsidP="006712DC">
            <w:pPr>
              <w:textAlignment w:val="baseline"/>
            </w:pPr>
            <w:r w:rsidRPr="005C0E75">
              <w:rPr>
                <w:rFonts w:eastAsia="SimSun"/>
                <w:bCs/>
                <w:kern w:val="24"/>
              </w:rPr>
              <w:t>(N=1,748)</w:t>
            </w:r>
          </w:p>
        </w:tc>
      </w:tr>
      <w:tr w:rsidR="00335798" w:rsidRPr="005C0E75" w:rsidTr="006712DC">
        <w:trPr>
          <w:trHeight w:val="176"/>
        </w:trPr>
        <w:tc>
          <w:tcPr>
            <w:tcW w:w="2235" w:type="dxa"/>
            <w:vAlign w:val="center"/>
            <w:hideMark/>
          </w:tcPr>
          <w:p w:rsidR="00335798" w:rsidRPr="005C0E75" w:rsidRDefault="00335798" w:rsidP="006712DC">
            <w:pPr>
              <w:textAlignment w:val="baseline"/>
              <w:rPr>
                <w:rFonts w:eastAsia="SimSun"/>
                <w:b/>
                <w:kern w:val="24"/>
              </w:rPr>
            </w:pPr>
            <w:r w:rsidRPr="005C0E75">
              <w:rPr>
                <w:rFonts w:eastAsia="SimSun"/>
                <w:kern w:val="24"/>
              </w:rPr>
              <w:t>Lifetime cost (Mean, S.D.)</w:t>
            </w:r>
          </w:p>
        </w:tc>
        <w:tc>
          <w:tcPr>
            <w:tcW w:w="1842" w:type="dxa"/>
            <w:vAlign w:val="center"/>
            <w:hideMark/>
          </w:tcPr>
          <w:p w:rsidR="00335798" w:rsidRPr="005C0E75" w:rsidRDefault="00335798" w:rsidP="006712DC">
            <w:pPr>
              <w:jc w:val="center"/>
              <w:textAlignment w:val="baseline"/>
              <w:rPr>
                <w:rFonts w:eastAsia="SimSun"/>
                <w:kern w:val="24"/>
              </w:rPr>
            </w:pPr>
            <w:r w:rsidRPr="005C0E75">
              <w:rPr>
                <w:rFonts w:eastAsia="SimSun"/>
                <w:kern w:val="24"/>
              </w:rPr>
              <w:t>£19,390 (£2,776)</w:t>
            </w:r>
          </w:p>
        </w:tc>
        <w:tc>
          <w:tcPr>
            <w:tcW w:w="1724" w:type="dxa"/>
            <w:gridSpan w:val="2"/>
            <w:vAlign w:val="center"/>
            <w:hideMark/>
          </w:tcPr>
          <w:p w:rsidR="00335798" w:rsidRPr="005C0E75" w:rsidRDefault="00335798" w:rsidP="006712DC">
            <w:pPr>
              <w:jc w:val="center"/>
              <w:rPr>
                <w:rFonts w:eastAsia="SimSun"/>
                <w:kern w:val="24"/>
              </w:rPr>
            </w:pPr>
            <w:r w:rsidRPr="005C0E75">
              <w:rPr>
                <w:rFonts w:eastAsia="SimSun"/>
                <w:kern w:val="24"/>
              </w:rPr>
              <w:t>£19,601 (£2,787)</w:t>
            </w:r>
          </w:p>
        </w:tc>
        <w:tc>
          <w:tcPr>
            <w:tcW w:w="0" w:type="auto"/>
            <w:vAlign w:val="center"/>
            <w:hideMark/>
          </w:tcPr>
          <w:p w:rsidR="00335798" w:rsidRPr="005C0E75" w:rsidRDefault="00335798" w:rsidP="006712DC">
            <w:pPr>
              <w:jc w:val="center"/>
              <w:textAlignment w:val="baseline"/>
              <w:rPr>
                <w:rFonts w:eastAsia="SimSun"/>
                <w:kern w:val="24"/>
              </w:rPr>
            </w:pPr>
            <w:r w:rsidRPr="005C0E75">
              <w:rPr>
                <w:rFonts w:eastAsia="SimSun"/>
                <w:kern w:val="24"/>
              </w:rPr>
              <w:t>£5,775 (£1,109)</w:t>
            </w:r>
          </w:p>
        </w:tc>
        <w:tc>
          <w:tcPr>
            <w:tcW w:w="0" w:type="auto"/>
            <w:vAlign w:val="center"/>
            <w:hideMark/>
          </w:tcPr>
          <w:p w:rsidR="00335798" w:rsidRPr="005C0E75" w:rsidRDefault="00335798" w:rsidP="006712DC">
            <w:pPr>
              <w:jc w:val="center"/>
              <w:textAlignment w:val="baseline"/>
              <w:rPr>
                <w:rFonts w:eastAsia="SimSun"/>
                <w:kern w:val="24"/>
              </w:rPr>
            </w:pPr>
            <w:r w:rsidRPr="005C0E75">
              <w:rPr>
                <w:rFonts w:eastAsia="SimSun"/>
                <w:kern w:val="24"/>
              </w:rPr>
              <w:t>£5,848 (£1,114)</w:t>
            </w:r>
          </w:p>
        </w:tc>
      </w:tr>
      <w:tr w:rsidR="00335798" w:rsidRPr="005C0E75" w:rsidTr="006712DC">
        <w:trPr>
          <w:trHeight w:val="249"/>
        </w:trPr>
        <w:tc>
          <w:tcPr>
            <w:tcW w:w="2235" w:type="dxa"/>
            <w:vAlign w:val="center"/>
            <w:hideMark/>
          </w:tcPr>
          <w:p w:rsidR="00335798" w:rsidRPr="005C0E75" w:rsidRDefault="00335798" w:rsidP="006712DC">
            <w:pPr>
              <w:textAlignment w:val="center"/>
              <w:rPr>
                <w:rFonts w:eastAsia="SimSun"/>
                <w:b/>
                <w:kern w:val="24"/>
              </w:rPr>
            </w:pPr>
            <w:r w:rsidRPr="005C0E75">
              <w:rPr>
                <w:rFonts w:eastAsia="SimSun"/>
                <w:kern w:val="24"/>
              </w:rPr>
              <w:t>Cost difference*</w:t>
            </w:r>
          </w:p>
        </w:tc>
        <w:tc>
          <w:tcPr>
            <w:tcW w:w="3566" w:type="dxa"/>
            <w:gridSpan w:val="3"/>
            <w:vAlign w:val="center"/>
            <w:hideMark/>
          </w:tcPr>
          <w:p w:rsidR="00335798" w:rsidRPr="005C0E75" w:rsidRDefault="00335798" w:rsidP="006712DC">
            <w:pPr>
              <w:jc w:val="center"/>
              <w:textAlignment w:val="center"/>
            </w:pPr>
            <w:r w:rsidRPr="005C0E75">
              <w:rPr>
                <w:rFonts w:eastAsia="SimSun"/>
                <w:b/>
                <w:bCs/>
                <w:kern w:val="24"/>
                <w:lang w:val="en-US"/>
              </w:rPr>
              <w:t>-£210 (-£432 to £11)</w:t>
            </w:r>
          </w:p>
        </w:tc>
        <w:tc>
          <w:tcPr>
            <w:tcW w:w="0" w:type="auto"/>
            <w:gridSpan w:val="2"/>
            <w:vAlign w:val="center"/>
            <w:hideMark/>
          </w:tcPr>
          <w:p w:rsidR="00335798" w:rsidRPr="005C0E75" w:rsidRDefault="00335798" w:rsidP="006712DC">
            <w:pPr>
              <w:jc w:val="center"/>
              <w:textAlignment w:val="baseline"/>
            </w:pPr>
            <w:r w:rsidRPr="005C0E75">
              <w:rPr>
                <w:rFonts w:eastAsia="SimSun"/>
                <w:b/>
                <w:bCs/>
                <w:kern w:val="24"/>
                <w:lang w:val="en-US"/>
              </w:rPr>
              <w:t>-£74 (£-162 to £15)</w:t>
            </w:r>
          </w:p>
        </w:tc>
      </w:tr>
      <w:tr w:rsidR="00335798" w:rsidRPr="005C0E75" w:rsidTr="006712DC">
        <w:trPr>
          <w:trHeight w:val="473"/>
        </w:trPr>
        <w:tc>
          <w:tcPr>
            <w:tcW w:w="2235" w:type="dxa"/>
            <w:vAlign w:val="center"/>
            <w:hideMark/>
          </w:tcPr>
          <w:p w:rsidR="00335798" w:rsidRPr="005C0E75" w:rsidRDefault="00335798" w:rsidP="006712DC">
            <w:pPr>
              <w:textAlignment w:val="baseline"/>
              <w:rPr>
                <w:rFonts w:eastAsia="SimSun"/>
                <w:b/>
                <w:kern w:val="24"/>
              </w:rPr>
            </w:pPr>
            <w:r w:rsidRPr="005C0E75">
              <w:rPr>
                <w:rFonts w:eastAsia="SimSun"/>
                <w:kern w:val="24"/>
              </w:rPr>
              <w:t>Lifetime QALY gains</w:t>
            </w:r>
          </w:p>
          <w:p w:rsidR="00335798" w:rsidRPr="005C0E75" w:rsidRDefault="00335798" w:rsidP="006712DC">
            <w:pPr>
              <w:textAlignment w:val="baseline"/>
              <w:rPr>
                <w:rFonts w:eastAsia="SimSun"/>
                <w:b/>
                <w:kern w:val="24"/>
              </w:rPr>
            </w:pPr>
            <w:r w:rsidRPr="005C0E75">
              <w:rPr>
                <w:rFonts w:eastAsia="SimSun"/>
                <w:kern w:val="24"/>
              </w:rPr>
              <w:t>(Mean, S.D.)</w:t>
            </w:r>
          </w:p>
        </w:tc>
        <w:tc>
          <w:tcPr>
            <w:tcW w:w="1974" w:type="dxa"/>
            <w:gridSpan w:val="2"/>
            <w:vAlign w:val="center"/>
            <w:hideMark/>
          </w:tcPr>
          <w:p w:rsidR="00335798" w:rsidRPr="005C0E75" w:rsidRDefault="00335798" w:rsidP="006712DC">
            <w:pPr>
              <w:jc w:val="center"/>
              <w:textAlignment w:val="baseline"/>
              <w:rPr>
                <w:rFonts w:eastAsia="SimSun"/>
                <w:kern w:val="24"/>
              </w:rPr>
            </w:pPr>
            <w:r w:rsidRPr="005C0E75">
              <w:rPr>
                <w:rFonts w:eastAsia="SimSun"/>
                <w:kern w:val="24"/>
              </w:rPr>
              <w:t>27.009 (11.894)</w:t>
            </w:r>
          </w:p>
        </w:tc>
        <w:tc>
          <w:tcPr>
            <w:tcW w:w="0" w:type="auto"/>
            <w:vAlign w:val="center"/>
            <w:hideMark/>
          </w:tcPr>
          <w:p w:rsidR="00335798" w:rsidRPr="005C0E75" w:rsidRDefault="00335798" w:rsidP="006712DC">
            <w:pPr>
              <w:jc w:val="center"/>
              <w:textAlignment w:val="baseline"/>
              <w:rPr>
                <w:rFonts w:eastAsia="SimSun"/>
                <w:kern w:val="24"/>
              </w:rPr>
            </w:pPr>
            <w:r w:rsidRPr="005C0E75">
              <w:rPr>
                <w:rFonts w:eastAsia="SimSun"/>
                <w:kern w:val="24"/>
              </w:rPr>
              <w:t>26.539 (11.943)</w:t>
            </w:r>
          </w:p>
        </w:tc>
        <w:tc>
          <w:tcPr>
            <w:tcW w:w="0" w:type="auto"/>
            <w:vAlign w:val="center"/>
            <w:hideMark/>
          </w:tcPr>
          <w:p w:rsidR="00335798" w:rsidRPr="005C0E75" w:rsidRDefault="00335798" w:rsidP="006712DC">
            <w:pPr>
              <w:jc w:val="center"/>
              <w:textAlignment w:val="baseline"/>
              <w:rPr>
                <w:rFonts w:eastAsia="SimSun"/>
                <w:kern w:val="24"/>
              </w:rPr>
            </w:pPr>
            <w:r w:rsidRPr="005C0E75">
              <w:rPr>
                <w:rFonts w:eastAsia="SimSun"/>
                <w:kern w:val="24"/>
              </w:rPr>
              <w:t>13.974 (4.424)</w:t>
            </w:r>
          </w:p>
        </w:tc>
        <w:tc>
          <w:tcPr>
            <w:tcW w:w="0" w:type="auto"/>
            <w:vAlign w:val="center"/>
            <w:hideMark/>
          </w:tcPr>
          <w:p w:rsidR="00335798" w:rsidRPr="005C0E75" w:rsidRDefault="00335798" w:rsidP="006712DC">
            <w:pPr>
              <w:jc w:val="center"/>
              <w:textAlignment w:val="baseline"/>
              <w:rPr>
                <w:rFonts w:eastAsia="SimSun"/>
                <w:kern w:val="24"/>
              </w:rPr>
            </w:pPr>
            <w:r w:rsidRPr="005C0E75">
              <w:rPr>
                <w:rFonts w:eastAsia="SimSun"/>
                <w:kern w:val="24"/>
              </w:rPr>
              <w:t>13.778 (4.442)</w:t>
            </w:r>
          </w:p>
        </w:tc>
      </w:tr>
      <w:tr w:rsidR="00335798" w:rsidRPr="005C0E75" w:rsidTr="006712DC">
        <w:trPr>
          <w:trHeight w:val="264"/>
        </w:trPr>
        <w:tc>
          <w:tcPr>
            <w:tcW w:w="2235" w:type="dxa"/>
            <w:vAlign w:val="center"/>
            <w:hideMark/>
          </w:tcPr>
          <w:p w:rsidR="00335798" w:rsidRPr="005C0E75" w:rsidRDefault="00335798" w:rsidP="006712DC">
            <w:pPr>
              <w:textAlignment w:val="center"/>
              <w:rPr>
                <w:rFonts w:eastAsia="SimSun"/>
                <w:b/>
                <w:kern w:val="24"/>
              </w:rPr>
            </w:pPr>
            <w:r w:rsidRPr="005C0E75">
              <w:rPr>
                <w:rFonts w:eastAsia="SimSun"/>
                <w:kern w:val="24"/>
              </w:rPr>
              <w:t xml:space="preserve">QALY difference* </w:t>
            </w:r>
          </w:p>
        </w:tc>
        <w:tc>
          <w:tcPr>
            <w:tcW w:w="3566" w:type="dxa"/>
            <w:gridSpan w:val="3"/>
            <w:vAlign w:val="center"/>
            <w:hideMark/>
          </w:tcPr>
          <w:p w:rsidR="00335798" w:rsidRPr="005C0E75" w:rsidRDefault="00335798" w:rsidP="006712DC">
            <w:pPr>
              <w:jc w:val="center"/>
              <w:textAlignment w:val="center"/>
            </w:pPr>
            <w:r w:rsidRPr="005C0E75">
              <w:rPr>
                <w:rFonts w:eastAsia="SimSun"/>
                <w:b/>
                <w:bCs/>
                <w:kern w:val="24"/>
                <w:lang w:val="en-US"/>
              </w:rPr>
              <w:t>0.470 (-0.478 to 1.419)</w:t>
            </w:r>
          </w:p>
        </w:tc>
        <w:tc>
          <w:tcPr>
            <w:tcW w:w="0" w:type="auto"/>
            <w:gridSpan w:val="2"/>
            <w:vAlign w:val="center"/>
            <w:hideMark/>
          </w:tcPr>
          <w:p w:rsidR="00335798" w:rsidRPr="005C0E75" w:rsidRDefault="00335798" w:rsidP="006712DC">
            <w:pPr>
              <w:jc w:val="center"/>
              <w:textAlignment w:val="baseline"/>
            </w:pPr>
            <w:r w:rsidRPr="005C0E75">
              <w:rPr>
                <w:rFonts w:eastAsia="SimSun"/>
                <w:b/>
                <w:bCs/>
                <w:kern w:val="24"/>
                <w:lang w:val="en-US"/>
              </w:rPr>
              <w:t>0.196 (-0.157 to 0.549)</w:t>
            </w:r>
          </w:p>
        </w:tc>
      </w:tr>
      <w:tr w:rsidR="00335798" w:rsidRPr="005C0E75" w:rsidTr="006712DC">
        <w:trPr>
          <w:trHeight w:val="473"/>
        </w:trPr>
        <w:tc>
          <w:tcPr>
            <w:tcW w:w="2235" w:type="dxa"/>
            <w:vAlign w:val="center"/>
            <w:hideMark/>
          </w:tcPr>
          <w:p w:rsidR="00335798" w:rsidRPr="005C0E75" w:rsidRDefault="00335798" w:rsidP="006712DC">
            <w:pPr>
              <w:textAlignment w:val="center"/>
              <w:rPr>
                <w:rFonts w:eastAsia="SimSun"/>
                <w:b/>
                <w:kern w:val="24"/>
              </w:rPr>
            </w:pPr>
            <w:r w:rsidRPr="005C0E75">
              <w:rPr>
                <w:rFonts w:eastAsia="SimSun"/>
                <w:kern w:val="24"/>
              </w:rPr>
              <w:t>ICER (Cost per QALY gained) (95% CI)</w:t>
            </w:r>
          </w:p>
        </w:tc>
        <w:tc>
          <w:tcPr>
            <w:tcW w:w="3566" w:type="dxa"/>
            <w:gridSpan w:val="3"/>
            <w:vAlign w:val="center"/>
            <w:hideMark/>
          </w:tcPr>
          <w:p w:rsidR="00335798" w:rsidRPr="005C0E75" w:rsidRDefault="00335798" w:rsidP="006712DC">
            <w:pPr>
              <w:jc w:val="center"/>
              <w:textAlignment w:val="center"/>
              <w:rPr>
                <w:b/>
              </w:rPr>
            </w:pPr>
            <w:r w:rsidRPr="005C0E75">
              <w:rPr>
                <w:b/>
              </w:rPr>
              <w:t>-£447 (95% CI: -£4,368 to £3,646)</w:t>
            </w:r>
          </w:p>
        </w:tc>
        <w:tc>
          <w:tcPr>
            <w:tcW w:w="0" w:type="auto"/>
            <w:gridSpan w:val="2"/>
            <w:vAlign w:val="center"/>
            <w:hideMark/>
          </w:tcPr>
          <w:p w:rsidR="00335798" w:rsidRPr="005C0E75" w:rsidRDefault="00335798" w:rsidP="006712DC">
            <w:pPr>
              <w:jc w:val="center"/>
              <w:textAlignment w:val="baseline"/>
              <w:rPr>
                <w:b/>
              </w:rPr>
            </w:pPr>
            <w:r w:rsidRPr="005C0E75">
              <w:rPr>
                <w:b/>
              </w:rPr>
              <w:t>-£376 (95% CI: -£3,881 to £3,207)</w:t>
            </w:r>
          </w:p>
        </w:tc>
      </w:tr>
      <w:tr w:rsidR="00335798" w:rsidRPr="005C0E75" w:rsidTr="006712DC">
        <w:trPr>
          <w:trHeight w:val="313"/>
        </w:trPr>
        <w:tc>
          <w:tcPr>
            <w:tcW w:w="0" w:type="auto"/>
            <w:gridSpan w:val="6"/>
            <w:vAlign w:val="center"/>
          </w:tcPr>
          <w:p w:rsidR="00335798" w:rsidRPr="005C0E75" w:rsidRDefault="00335798" w:rsidP="006712DC">
            <w:pPr>
              <w:textAlignment w:val="baseline"/>
              <w:rPr>
                <w:b/>
              </w:rPr>
            </w:pPr>
            <w:r w:rsidRPr="005C0E75">
              <w:rPr>
                <w:b/>
              </w:rPr>
              <w:t>*Difference = Costs/effects for the intervention group – Costs/effects for the control group</w:t>
            </w:r>
          </w:p>
        </w:tc>
      </w:tr>
    </w:tbl>
    <w:p w:rsidR="00335798" w:rsidRPr="005C0E75" w:rsidRDefault="00335798" w:rsidP="00335798">
      <w:pPr>
        <w:spacing w:after="0" w:line="240" w:lineRule="auto"/>
        <w:jc w:val="both"/>
        <w:rPr>
          <w:rFonts w:ascii="Times New Roman" w:eastAsia="SimSun" w:hAnsi="Times New Roman" w:cs="Times New Roman"/>
          <w:sz w:val="24"/>
          <w:szCs w:val="24"/>
        </w:rPr>
      </w:pPr>
    </w:p>
    <w:p w:rsidR="00335798" w:rsidRPr="00706BE7" w:rsidRDefault="00335798" w:rsidP="00335798">
      <w:pPr>
        <w:pStyle w:val="Caption"/>
        <w:keepNext/>
        <w:rPr>
          <w:rFonts w:ascii="Times New Roman" w:eastAsia="SimSun" w:hAnsi="Times New Roman" w:cs="Times New Roman"/>
          <w:bCs/>
          <w:i w:val="0"/>
          <w:color w:val="auto"/>
          <w:sz w:val="24"/>
          <w:szCs w:val="24"/>
          <w:lang w:eastAsia="en-GB"/>
        </w:rPr>
      </w:pPr>
      <w:bookmarkStart w:id="73" w:name="_Ref445199073"/>
      <w:r w:rsidRPr="00706BE7">
        <w:rPr>
          <w:rFonts w:ascii="Times New Roman" w:eastAsia="SimSun" w:hAnsi="Times New Roman" w:cs="Times New Roman"/>
          <w:bCs/>
          <w:i w:val="0"/>
          <w:color w:val="auto"/>
          <w:sz w:val="24"/>
          <w:szCs w:val="24"/>
          <w:lang w:eastAsia="en-GB"/>
        </w:rPr>
        <w:t xml:space="preserve">Table </w:t>
      </w:r>
      <w:r w:rsidRPr="00706BE7">
        <w:rPr>
          <w:rFonts w:ascii="Times New Roman" w:eastAsia="SimSun" w:hAnsi="Times New Roman" w:cs="Times New Roman"/>
          <w:bCs/>
          <w:i w:val="0"/>
          <w:color w:val="auto"/>
          <w:sz w:val="24"/>
          <w:szCs w:val="24"/>
          <w:lang w:eastAsia="en-GB"/>
        </w:rPr>
        <w:fldChar w:fldCharType="begin"/>
      </w:r>
      <w:r w:rsidRPr="00706BE7">
        <w:rPr>
          <w:rFonts w:ascii="Times New Roman" w:eastAsia="SimSun" w:hAnsi="Times New Roman" w:cs="Times New Roman"/>
          <w:bCs/>
          <w:i w:val="0"/>
          <w:color w:val="auto"/>
          <w:sz w:val="24"/>
          <w:szCs w:val="24"/>
          <w:lang w:eastAsia="en-GB"/>
        </w:rPr>
        <w:instrText xml:space="preserve"> SEQ Table \* ARABIC </w:instrText>
      </w:r>
      <w:r w:rsidRPr="00706BE7">
        <w:rPr>
          <w:rFonts w:ascii="Times New Roman" w:eastAsia="SimSun" w:hAnsi="Times New Roman" w:cs="Times New Roman"/>
          <w:bCs/>
          <w:i w:val="0"/>
          <w:color w:val="auto"/>
          <w:sz w:val="24"/>
          <w:szCs w:val="24"/>
          <w:lang w:eastAsia="en-GB"/>
        </w:rPr>
        <w:fldChar w:fldCharType="separate"/>
      </w:r>
      <w:r w:rsidRPr="00706BE7">
        <w:rPr>
          <w:rFonts w:ascii="Times New Roman" w:eastAsia="SimSun" w:hAnsi="Times New Roman" w:cs="Times New Roman"/>
          <w:bCs/>
          <w:i w:val="0"/>
          <w:color w:val="auto"/>
          <w:sz w:val="24"/>
          <w:szCs w:val="24"/>
          <w:lang w:eastAsia="en-GB"/>
        </w:rPr>
        <w:t>6</w:t>
      </w:r>
      <w:r w:rsidRPr="00706BE7">
        <w:rPr>
          <w:rFonts w:ascii="Times New Roman" w:eastAsia="SimSun" w:hAnsi="Times New Roman" w:cs="Times New Roman"/>
          <w:bCs/>
          <w:i w:val="0"/>
          <w:color w:val="auto"/>
          <w:sz w:val="24"/>
          <w:szCs w:val="24"/>
          <w:lang w:eastAsia="en-GB"/>
        </w:rPr>
        <w:fldChar w:fldCharType="end"/>
      </w:r>
      <w:bookmarkEnd w:id="73"/>
      <w:r w:rsidRPr="00706BE7">
        <w:rPr>
          <w:rFonts w:ascii="Times New Roman" w:eastAsia="SimSun" w:hAnsi="Times New Roman" w:cs="Times New Roman"/>
          <w:bCs/>
          <w:i w:val="0"/>
          <w:color w:val="auto"/>
          <w:sz w:val="24"/>
          <w:szCs w:val="24"/>
          <w:lang w:eastAsia="en-GB"/>
        </w:rPr>
        <w:t>: Summary of the cost-effectiveness results from the multiple imputation analysis versus completed case analysis</w:t>
      </w:r>
    </w:p>
    <w:tbl>
      <w:tblPr>
        <w:tblStyle w:val="TableGrid"/>
        <w:tblW w:w="0" w:type="auto"/>
        <w:tblLook w:val="04A0" w:firstRow="1" w:lastRow="0" w:firstColumn="1" w:lastColumn="0" w:noHBand="0" w:noVBand="1"/>
      </w:tblPr>
      <w:tblGrid>
        <w:gridCol w:w="2964"/>
        <w:gridCol w:w="1743"/>
        <w:gridCol w:w="1249"/>
        <w:gridCol w:w="1608"/>
        <w:gridCol w:w="1452"/>
      </w:tblGrid>
      <w:tr w:rsidR="00335798" w:rsidRPr="005C0E75" w:rsidTr="006712DC">
        <w:trPr>
          <w:trHeight w:val="282"/>
        </w:trPr>
        <w:tc>
          <w:tcPr>
            <w:tcW w:w="3085" w:type="dxa"/>
            <w:vAlign w:val="center"/>
            <w:hideMark/>
          </w:tcPr>
          <w:p w:rsidR="00335798" w:rsidRPr="005C0E75" w:rsidRDefault="00335798" w:rsidP="006712DC">
            <w:pPr>
              <w:rPr>
                <w:b/>
              </w:rPr>
            </w:pPr>
          </w:p>
        </w:tc>
        <w:tc>
          <w:tcPr>
            <w:tcW w:w="3042" w:type="dxa"/>
            <w:gridSpan w:val="2"/>
            <w:vAlign w:val="center"/>
            <w:hideMark/>
          </w:tcPr>
          <w:p w:rsidR="00335798" w:rsidRPr="005C0E75" w:rsidRDefault="00335798" w:rsidP="006712DC">
            <w:pPr>
              <w:jc w:val="center"/>
              <w:textAlignment w:val="baseline"/>
              <w:rPr>
                <w:b/>
              </w:rPr>
            </w:pPr>
            <w:r w:rsidRPr="005C0E75">
              <w:rPr>
                <w:rFonts w:eastAsia="SimSun"/>
                <w:b/>
                <w:kern w:val="24"/>
              </w:rPr>
              <w:t>Multiple imputation analysis</w:t>
            </w:r>
          </w:p>
        </w:tc>
        <w:tc>
          <w:tcPr>
            <w:tcW w:w="0" w:type="auto"/>
            <w:gridSpan w:val="2"/>
            <w:vAlign w:val="center"/>
            <w:hideMark/>
          </w:tcPr>
          <w:p w:rsidR="00335798" w:rsidRPr="005C0E75" w:rsidRDefault="00335798" w:rsidP="006712DC">
            <w:pPr>
              <w:jc w:val="center"/>
              <w:textAlignment w:val="baseline"/>
              <w:rPr>
                <w:b/>
              </w:rPr>
            </w:pPr>
            <w:r w:rsidRPr="005C0E75">
              <w:rPr>
                <w:rFonts w:eastAsia="SimSun"/>
                <w:b/>
                <w:kern w:val="24"/>
              </w:rPr>
              <w:t>Complete case analysis</w:t>
            </w:r>
          </w:p>
        </w:tc>
      </w:tr>
      <w:tr w:rsidR="00335798" w:rsidRPr="005C0E75" w:rsidTr="006712DC">
        <w:trPr>
          <w:trHeight w:val="285"/>
        </w:trPr>
        <w:tc>
          <w:tcPr>
            <w:tcW w:w="3085" w:type="dxa"/>
            <w:vAlign w:val="center"/>
            <w:hideMark/>
          </w:tcPr>
          <w:p w:rsidR="00335798" w:rsidRPr="005C0E75" w:rsidRDefault="00335798" w:rsidP="006712DC">
            <w:pPr>
              <w:rPr>
                <w:b/>
              </w:rPr>
            </w:pPr>
          </w:p>
        </w:tc>
        <w:tc>
          <w:tcPr>
            <w:tcW w:w="1780" w:type="dxa"/>
            <w:vAlign w:val="center"/>
            <w:hideMark/>
          </w:tcPr>
          <w:p w:rsidR="00335798" w:rsidRPr="005C0E75" w:rsidRDefault="00335798" w:rsidP="006712DC">
            <w:pPr>
              <w:textAlignment w:val="baseline"/>
            </w:pPr>
            <w:r w:rsidRPr="005C0E75">
              <w:rPr>
                <w:rFonts w:eastAsia="SimSun"/>
                <w:bCs/>
                <w:kern w:val="24"/>
              </w:rPr>
              <w:t>Intervention group (N=2,635)</w:t>
            </w:r>
          </w:p>
        </w:tc>
        <w:tc>
          <w:tcPr>
            <w:tcW w:w="1262" w:type="dxa"/>
            <w:vAlign w:val="center"/>
            <w:hideMark/>
          </w:tcPr>
          <w:p w:rsidR="00335798" w:rsidRPr="005C0E75" w:rsidRDefault="00335798" w:rsidP="006712DC">
            <w:pPr>
              <w:textAlignment w:val="baseline"/>
            </w:pPr>
            <w:r w:rsidRPr="005C0E75">
              <w:rPr>
                <w:rFonts w:eastAsia="SimSun"/>
                <w:bCs/>
                <w:kern w:val="24"/>
              </w:rPr>
              <w:t>Control group</w:t>
            </w:r>
          </w:p>
          <w:p w:rsidR="00335798" w:rsidRPr="005C0E75" w:rsidRDefault="00335798" w:rsidP="006712DC">
            <w:pPr>
              <w:textAlignment w:val="baseline"/>
            </w:pPr>
            <w:r w:rsidRPr="005C0E75">
              <w:rPr>
                <w:rFonts w:eastAsia="SimSun"/>
                <w:bCs/>
                <w:kern w:val="24"/>
              </w:rPr>
              <w:t>(N=1,748)</w:t>
            </w:r>
          </w:p>
        </w:tc>
        <w:tc>
          <w:tcPr>
            <w:tcW w:w="1636" w:type="dxa"/>
            <w:vAlign w:val="center"/>
            <w:hideMark/>
          </w:tcPr>
          <w:p w:rsidR="00335798" w:rsidRPr="005C0E75" w:rsidRDefault="00335798" w:rsidP="006712DC">
            <w:pPr>
              <w:textAlignment w:val="baseline"/>
            </w:pPr>
            <w:r w:rsidRPr="005C0E75">
              <w:rPr>
                <w:rFonts w:eastAsia="SimSun"/>
                <w:bCs/>
                <w:kern w:val="24"/>
              </w:rPr>
              <w:t>Intervention group (N=1,667)</w:t>
            </w:r>
          </w:p>
        </w:tc>
        <w:tc>
          <w:tcPr>
            <w:tcW w:w="1479" w:type="dxa"/>
            <w:vAlign w:val="center"/>
            <w:hideMark/>
          </w:tcPr>
          <w:p w:rsidR="00335798" w:rsidRPr="005C0E75" w:rsidRDefault="00335798" w:rsidP="006712DC">
            <w:pPr>
              <w:textAlignment w:val="baseline"/>
            </w:pPr>
            <w:r w:rsidRPr="005C0E75">
              <w:rPr>
                <w:rFonts w:eastAsia="SimSun"/>
                <w:bCs/>
                <w:kern w:val="24"/>
              </w:rPr>
              <w:t>Control group</w:t>
            </w:r>
          </w:p>
          <w:p w:rsidR="00335798" w:rsidRPr="005C0E75" w:rsidRDefault="00335798" w:rsidP="006712DC">
            <w:pPr>
              <w:textAlignment w:val="baseline"/>
            </w:pPr>
            <w:r w:rsidRPr="005C0E75">
              <w:rPr>
                <w:rFonts w:eastAsia="SimSun"/>
                <w:bCs/>
                <w:kern w:val="24"/>
              </w:rPr>
              <w:t>(N=1,108)</w:t>
            </w:r>
          </w:p>
        </w:tc>
      </w:tr>
      <w:tr w:rsidR="00335798" w:rsidRPr="005C0E75" w:rsidTr="006712DC">
        <w:trPr>
          <w:trHeight w:val="178"/>
        </w:trPr>
        <w:tc>
          <w:tcPr>
            <w:tcW w:w="3085" w:type="dxa"/>
            <w:vAlign w:val="center"/>
            <w:hideMark/>
          </w:tcPr>
          <w:p w:rsidR="00335798" w:rsidRPr="005C0E75" w:rsidRDefault="00335798" w:rsidP="006712DC">
            <w:pPr>
              <w:textAlignment w:val="center"/>
              <w:rPr>
                <w:b/>
              </w:rPr>
            </w:pPr>
            <w:bookmarkStart w:id="74" w:name="_Hlk429313011"/>
            <w:r w:rsidRPr="005C0E75">
              <w:rPr>
                <w:rFonts w:eastAsia="SimSun"/>
                <w:kern w:val="24"/>
              </w:rPr>
              <w:t>Adjusted total cost (mean, S.D.)</w:t>
            </w:r>
          </w:p>
        </w:tc>
        <w:tc>
          <w:tcPr>
            <w:tcW w:w="1780" w:type="dxa"/>
            <w:vAlign w:val="center"/>
            <w:hideMark/>
          </w:tcPr>
          <w:p w:rsidR="00335798" w:rsidRPr="005C0E75" w:rsidRDefault="00335798" w:rsidP="006712DC">
            <w:pPr>
              <w:jc w:val="center"/>
              <w:textAlignment w:val="center"/>
            </w:pPr>
            <w:r w:rsidRPr="005C0E75">
              <w:rPr>
                <w:rFonts w:eastAsia="SimSun"/>
                <w:kern w:val="24"/>
              </w:rPr>
              <w:t>£760 (£2,039)</w:t>
            </w:r>
          </w:p>
        </w:tc>
        <w:tc>
          <w:tcPr>
            <w:tcW w:w="1262" w:type="dxa"/>
            <w:vAlign w:val="center"/>
            <w:hideMark/>
          </w:tcPr>
          <w:p w:rsidR="00335798" w:rsidRPr="005C0E75" w:rsidRDefault="00335798" w:rsidP="006712DC">
            <w:pPr>
              <w:jc w:val="center"/>
              <w:textAlignment w:val="center"/>
            </w:pPr>
            <w:r w:rsidRPr="005C0E75">
              <w:rPr>
                <w:rFonts w:eastAsia="SimSun"/>
                <w:kern w:val="24"/>
              </w:rPr>
              <w:t>£669 (£2,059)</w:t>
            </w:r>
          </w:p>
        </w:tc>
        <w:tc>
          <w:tcPr>
            <w:tcW w:w="1636" w:type="dxa"/>
            <w:vAlign w:val="center"/>
            <w:hideMark/>
          </w:tcPr>
          <w:p w:rsidR="00335798" w:rsidRPr="005C0E75" w:rsidRDefault="00335798" w:rsidP="006712DC">
            <w:pPr>
              <w:jc w:val="center"/>
              <w:textAlignment w:val="center"/>
            </w:pPr>
            <w:r w:rsidRPr="005C0E75">
              <w:rPr>
                <w:rFonts w:eastAsia="SimSun"/>
                <w:kern w:val="24"/>
              </w:rPr>
              <w:t>£851 (£2,455)</w:t>
            </w:r>
          </w:p>
        </w:tc>
        <w:tc>
          <w:tcPr>
            <w:tcW w:w="1479" w:type="dxa"/>
            <w:vAlign w:val="center"/>
            <w:hideMark/>
          </w:tcPr>
          <w:p w:rsidR="00335798" w:rsidRPr="005C0E75" w:rsidRDefault="00335798" w:rsidP="006712DC">
            <w:pPr>
              <w:jc w:val="center"/>
              <w:textAlignment w:val="center"/>
            </w:pPr>
            <w:r w:rsidRPr="005C0E75">
              <w:rPr>
                <w:rFonts w:eastAsia="SimSun"/>
                <w:kern w:val="24"/>
              </w:rPr>
              <w:t>£724 (£2,465)</w:t>
            </w:r>
          </w:p>
        </w:tc>
      </w:tr>
      <w:bookmarkEnd w:id="74"/>
      <w:tr w:rsidR="00335798" w:rsidRPr="005C0E75" w:rsidTr="006712DC">
        <w:trPr>
          <w:trHeight w:val="137"/>
        </w:trPr>
        <w:tc>
          <w:tcPr>
            <w:tcW w:w="3085" w:type="dxa"/>
            <w:vAlign w:val="center"/>
            <w:hideMark/>
          </w:tcPr>
          <w:p w:rsidR="00335798" w:rsidRPr="005C0E75" w:rsidRDefault="00335798" w:rsidP="006712DC">
            <w:pPr>
              <w:textAlignment w:val="center"/>
              <w:rPr>
                <w:b/>
              </w:rPr>
            </w:pPr>
            <w:r w:rsidRPr="005C0E75">
              <w:rPr>
                <w:rFonts w:eastAsia="SimSun"/>
                <w:kern w:val="24"/>
              </w:rPr>
              <w:t>Cost difference (£) (95% CI) </w:t>
            </w:r>
          </w:p>
        </w:tc>
        <w:tc>
          <w:tcPr>
            <w:tcW w:w="3042" w:type="dxa"/>
            <w:gridSpan w:val="2"/>
            <w:vAlign w:val="center"/>
            <w:hideMark/>
          </w:tcPr>
          <w:p w:rsidR="00335798" w:rsidRPr="005C0E75" w:rsidRDefault="00335798" w:rsidP="00653EDA">
            <w:pPr>
              <w:jc w:val="center"/>
              <w:textAlignment w:val="center"/>
            </w:pPr>
            <w:r w:rsidRPr="005C0E75">
              <w:rPr>
                <w:rFonts w:eastAsia="SimSun"/>
                <w:kern w:val="24"/>
              </w:rPr>
              <w:t>£92 (-£</w:t>
            </w:r>
            <w:r w:rsidR="008B70A2">
              <w:rPr>
                <w:rFonts w:eastAsia="SimSun"/>
                <w:kern w:val="24"/>
              </w:rPr>
              <w:t>3</w:t>
            </w:r>
            <w:r w:rsidRPr="005C0E75">
              <w:rPr>
                <w:rFonts w:eastAsia="SimSun"/>
                <w:kern w:val="24"/>
              </w:rPr>
              <w:t>2 to £</w:t>
            </w:r>
            <w:r w:rsidR="008B70A2">
              <w:rPr>
                <w:rFonts w:eastAsia="SimSun"/>
                <w:kern w:val="24"/>
              </w:rPr>
              <w:t>216</w:t>
            </w:r>
            <w:r w:rsidRPr="005C0E75">
              <w:rPr>
                <w:rFonts w:eastAsia="SimSun"/>
                <w:kern w:val="24"/>
              </w:rPr>
              <w:t>)</w:t>
            </w:r>
          </w:p>
        </w:tc>
        <w:tc>
          <w:tcPr>
            <w:tcW w:w="0" w:type="auto"/>
            <w:gridSpan w:val="2"/>
            <w:vAlign w:val="center"/>
            <w:hideMark/>
          </w:tcPr>
          <w:p w:rsidR="00335798" w:rsidRPr="005C0E75" w:rsidRDefault="00335798" w:rsidP="006712DC">
            <w:pPr>
              <w:jc w:val="center"/>
              <w:textAlignment w:val="center"/>
              <w:rPr>
                <w:rFonts w:eastAsia="SimSun"/>
                <w:kern w:val="24"/>
              </w:rPr>
            </w:pPr>
            <w:r w:rsidRPr="005C0E75">
              <w:rPr>
                <w:rFonts w:eastAsia="SimSun"/>
                <w:kern w:val="24"/>
              </w:rPr>
              <w:t>£127 (-£</w:t>
            </w:r>
            <w:r w:rsidR="008B70A2">
              <w:rPr>
                <w:rFonts w:eastAsia="SimSun"/>
                <w:kern w:val="24"/>
              </w:rPr>
              <w:t>60</w:t>
            </w:r>
            <w:r w:rsidRPr="005C0E75">
              <w:rPr>
                <w:rFonts w:eastAsia="SimSun"/>
                <w:kern w:val="24"/>
              </w:rPr>
              <w:t xml:space="preserve"> to £</w:t>
            </w:r>
            <w:r w:rsidR="008B70A2">
              <w:rPr>
                <w:rFonts w:eastAsia="SimSun"/>
                <w:kern w:val="24"/>
              </w:rPr>
              <w:t>314</w:t>
            </w:r>
            <w:r w:rsidRPr="005C0E75">
              <w:rPr>
                <w:rFonts w:eastAsia="SimSun"/>
                <w:kern w:val="24"/>
              </w:rPr>
              <w:t>)</w:t>
            </w:r>
          </w:p>
        </w:tc>
      </w:tr>
      <w:tr w:rsidR="00335798" w:rsidRPr="005C0E75" w:rsidTr="006712DC">
        <w:trPr>
          <w:trHeight w:val="84"/>
        </w:trPr>
        <w:tc>
          <w:tcPr>
            <w:tcW w:w="3085" w:type="dxa"/>
            <w:vAlign w:val="center"/>
          </w:tcPr>
          <w:p w:rsidR="00335798" w:rsidRPr="005C0E75" w:rsidRDefault="00335798" w:rsidP="006712DC">
            <w:pPr>
              <w:textAlignment w:val="baseline"/>
              <w:rPr>
                <w:b/>
              </w:rPr>
            </w:pPr>
            <w:r w:rsidRPr="005C0E75">
              <w:rPr>
                <w:rFonts w:eastAsia="SimSun"/>
                <w:kern w:val="24"/>
              </w:rPr>
              <w:t>Adjusted QALY at six-month</w:t>
            </w:r>
          </w:p>
        </w:tc>
        <w:tc>
          <w:tcPr>
            <w:tcW w:w="1780" w:type="dxa"/>
            <w:vAlign w:val="center"/>
          </w:tcPr>
          <w:p w:rsidR="00335798" w:rsidRPr="005C0E75" w:rsidRDefault="00335798" w:rsidP="006712DC">
            <w:pPr>
              <w:jc w:val="center"/>
              <w:textAlignment w:val="center"/>
            </w:pPr>
            <w:r w:rsidRPr="005C0E75">
              <w:rPr>
                <w:rFonts w:eastAsia="SimSun"/>
                <w:kern w:val="24"/>
              </w:rPr>
              <w:t>0.382 (0.046)</w:t>
            </w:r>
          </w:p>
        </w:tc>
        <w:tc>
          <w:tcPr>
            <w:tcW w:w="1262" w:type="dxa"/>
            <w:vAlign w:val="center"/>
          </w:tcPr>
          <w:p w:rsidR="00335798" w:rsidRPr="005C0E75" w:rsidRDefault="00335798" w:rsidP="006712DC">
            <w:pPr>
              <w:jc w:val="center"/>
              <w:textAlignment w:val="center"/>
            </w:pPr>
            <w:r w:rsidRPr="005C0E75">
              <w:rPr>
                <w:rFonts w:eastAsia="SimSun"/>
                <w:kern w:val="24"/>
              </w:rPr>
              <w:t>0.380 (0.046)</w:t>
            </w:r>
          </w:p>
        </w:tc>
        <w:tc>
          <w:tcPr>
            <w:tcW w:w="0" w:type="auto"/>
            <w:vAlign w:val="center"/>
          </w:tcPr>
          <w:p w:rsidR="00335798" w:rsidRPr="005C0E75" w:rsidRDefault="00335798" w:rsidP="006712DC">
            <w:pPr>
              <w:jc w:val="center"/>
              <w:textAlignment w:val="center"/>
            </w:pPr>
            <w:r w:rsidRPr="005C0E75">
              <w:rPr>
                <w:rFonts w:eastAsia="SimSun"/>
                <w:kern w:val="24"/>
              </w:rPr>
              <w:t>0.384 (0.052)</w:t>
            </w:r>
          </w:p>
        </w:tc>
        <w:tc>
          <w:tcPr>
            <w:tcW w:w="0" w:type="auto"/>
            <w:vAlign w:val="center"/>
          </w:tcPr>
          <w:p w:rsidR="00335798" w:rsidRPr="005C0E75" w:rsidRDefault="00335798" w:rsidP="006712DC">
            <w:pPr>
              <w:jc w:val="center"/>
              <w:textAlignment w:val="center"/>
            </w:pPr>
            <w:r w:rsidRPr="005C0E75">
              <w:rPr>
                <w:rFonts w:eastAsia="SimSun"/>
                <w:kern w:val="24"/>
              </w:rPr>
              <w:t>0.382 (0.053)</w:t>
            </w:r>
          </w:p>
        </w:tc>
      </w:tr>
      <w:tr w:rsidR="00335798" w:rsidRPr="005C0E75" w:rsidTr="006712DC">
        <w:trPr>
          <w:trHeight w:val="47"/>
        </w:trPr>
        <w:tc>
          <w:tcPr>
            <w:tcW w:w="3085" w:type="dxa"/>
            <w:vAlign w:val="center"/>
          </w:tcPr>
          <w:p w:rsidR="00335798" w:rsidRPr="005C0E75" w:rsidRDefault="00335798" w:rsidP="006712DC">
            <w:pPr>
              <w:textAlignment w:val="center"/>
              <w:rPr>
                <w:b/>
              </w:rPr>
            </w:pPr>
            <w:r w:rsidRPr="005C0E75">
              <w:rPr>
                <w:rFonts w:eastAsia="SimSun"/>
                <w:kern w:val="24"/>
              </w:rPr>
              <w:t>QALY difference (95% CI)</w:t>
            </w:r>
            <w:r>
              <w:rPr>
                <w:rFonts w:eastAsia="SimSun"/>
                <w:kern w:val="24"/>
              </w:rPr>
              <w:t xml:space="preserve"> </w:t>
            </w:r>
            <w:r w:rsidRPr="005C0E75">
              <w:rPr>
                <w:rFonts w:eastAsia="SimSun"/>
                <w:kern w:val="24"/>
              </w:rPr>
              <w:t>(mean, S.D.)</w:t>
            </w:r>
            <w:r>
              <w:rPr>
                <w:rFonts w:eastAsia="SimSun"/>
                <w:kern w:val="24"/>
              </w:rPr>
              <w:t xml:space="preserve"> </w:t>
            </w:r>
          </w:p>
        </w:tc>
        <w:tc>
          <w:tcPr>
            <w:tcW w:w="3042" w:type="dxa"/>
            <w:gridSpan w:val="2"/>
            <w:vAlign w:val="center"/>
          </w:tcPr>
          <w:p w:rsidR="00335798" w:rsidRPr="005C0E75" w:rsidRDefault="00335798" w:rsidP="006712DC">
            <w:pPr>
              <w:jc w:val="center"/>
              <w:textAlignment w:val="center"/>
            </w:pPr>
            <w:r w:rsidRPr="005C0E75">
              <w:rPr>
                <w:rFonts w:eastAsia="SimSun"/>
                <w:kern w:val="24"/>
              </w:rPr>
              <w:t>0.002 (-0.001 to 0.004)</w:t>
            </w:r>
          </w:p>
        </w:tc>
        <w:tc>
          <w:tcPr>
            <w:tcW w:w="0" w:type="auto"/>
            <w:gridSpan w:val="2"/>
            <w:vAlign w:val="center"/>
          </w:tcPr>
          <w:p w:rsidR="00335798" w:rsidRPr="005C0E75" w:rsidRDefault="00335798" w:rsidP="006712DC">
            <w:pPr>
              <w:jc w:val="center"/>
              <w:textAlignment w:val="center"/>
            </w:pPr>
            <w:r w:rsidRPr="005C0E75">
              <w:rPr>
                <w:rFonts w:eastAsia="SimSun"/>
                <w:kern w:val="24"/>
              </w:rPr>
              <w:t>0.003 (</w:t>
            </w:r>
            <w:r>
              <w:rPr>
                <w:rFonts w:eastAsia="SimSun"/>
                <w:kern w:val="24"/>
              </w:rPr>
              <w:t>-</w:t>
            </w:r>
            <w:r w:rsidRPr="005C0E75">
              <w:rPr>
                <w:rFonts w:eastAsia="SimSun"/>
                <w:kern w:val="24"/>
              </w:rPr>
              <w:t>0.044 to 0.055)</w:t>
            </w:r>
          </w:p>
        </w:tc>
      </w:tr>
      <w:tr w:rsidR="00335798" w:rsidRPr="005C0E75" w:rsidTr="006712DC">
        <w:trPr>
          <w:trHeight w:val="47"/>
        </w:trPr>
        <w:tc>
          <w:tcPr>
            <w:tcW w:w="3085" w:type="dxa"/>
            <w:vAlign w:val="center"/>
          </w:tcPr>
          <w:p w:rsidR="00335798" w:rsidRPr="005C0E75" w:rsidRDefault="00335798" w:rsidP="006712DC">
            <w:pPr>
              <w:textAlignment w:val="center"/>
              <w:rPr>
                <w:b/>
              </w:rPr>
            </w:pPr>
            <w:r w:rsidRPr="005C0E75">
              <w:rPr>
                <w:rFonts w:eastAsia="SimSun"/>
                <w:b/>
                <w:kern w:val="24"/>
              </w:rPr>
              <w:t>ICER (Cost per QALY gained) (95% CI)</w:t>
            </w:r>
          </w:p>
        </w:tc>
        <w:tc>
          <w:tcPr>
            <w:tcW w:w="3042" w:type="dxa"/>
            <w:gridSpan w:val="2"/>
            <w:vAlign w:val="center"/>
          </w:tcPr>
          <w:p w:rsidR="00335798" w:rsidRPr="005C0E75" w:rsidRDefault="00335798" w:rsidP="006712DC">
            <w:pPr>
              <w:jc w:val="center"/>
              <w:textAlignment w:val="baseline"/>
              <w:rPr>
                <w:b/>
              </w:rPr>
            </w:pPr>
            <w:r w:rsidRPr="005C0E75">
              <w:rPr>
                <w:rFonts w:eastAsia="SimSun"/>
                <w:b/>
                <w:bCs/>
                <w:kern w:val="24"/>
                <w:lang w:val="en-US"/>
              </w:rPr>
              <w:t>£59,401 ( -£604,833 to £644,486)</w:t>
            </w:r>
          </w:p>
        </w:tc>
        <w:tc>
          <w:tcPr>
            <w:tcW w:w="0" w:type="auto"/>
            <w:gridSpan w:val="2"/>
            <w:vAlign w:val="center"/>
          </w:tcPr>
          <w:p w:rsidR="00335798" w:rsidRPr="005C0E75" w:rsidRDefault="00335798" w:rsidP="006712DC">
            <w:pPr>
              <w:jc w:val="center"/>
              <w:textAlignment w:val="baseline"/>
              <w:rPr>
                <w:b/>
              </w:rPr>
            </w:pPr>
            <w:r w:rsidRPr="005C0E75">
              <w:rPr>
                <w:rFonts w:eastAsia="SimSun"/>
                <w:b/>
                <w:bCs/>
                <w:kern w:val="24"/>
                <w:lang w:val="en-US"/>
              </w:rPr>
              <w:t>£49,842 ( -£425,064 to £536,813)</w:t>
            </w:r>
          </w:p>
        </w:tc>
      </w:tr>
      <w:tr w:rsidR="00335798" w:rsidRPr="005C0E75" w:rsidTr="006712DC">
        <w:trPr>
          <w:trHeight w:val="47"/>
        </w:trPr>
        <w:tc>
          <w:tcPr>
            <w:tcW w:w="3085" w:type="dxa"/>
            <w:vAlign w:val="center"/>
            <w:hideMark/>
          </w:tcPr>
          <w:p w:rsidR="00335798" w:rsidRPr="005C0E75" w:rsidRDefault="00335798" w:rsidP="006712DC">
            <w:pPr>
              <w:textAlignment w:val="baseline"/>
              <w:rPr>
                <w:b/>
              </w:rPr>
            </w:pPr>
            <w:r w:rsidRPr="005C0E75">
              <w:rPr>
                <w:rFonts w:eastAsia="SimSun"/>
                <w:kern w:val="24"/>
              </w:rPr>
              <w:t>Intervention cost (mean, S.D.)</w:t>
            </w:r>
          </w:p>
        </w:tc>
        <w:tc>
          <w:tcPr>
            <w:tcW w:w="1780" w:type="dxa"/>
            <w:vAlign w:val="center"/>
            <w:hideMark/>
          </w:tcPr>
          <w:p w:rsidR="00335798" w:rsidRPr="005C0E75" w:rsidRDefault="00335798" w:rsidP="006712DC">
            <w:pPr>
              <w:jc w:val="center"/>
              <w:textAlignment w:val="baseline"/>
            </w:pPr>
            <w:r w:rsidRPr="005C0E75">
              <w:rPr>
                <w:rFonts w:eastAsia="SimSun"/>
                <w:kern w:val="24"/>
              </w:rPr>
              <w:t>£54 (£12)</w:t>
            </w:r>
          </w:p>
        </w:tc>
        <w:tc>
          <w:tcPr>
            <w:tcW w:w="1262" w:type="dxa"/>
            <w:vAlign w:val="center"/>
            <w:hideMark/>
          </w:tcPr>
          <w:p w:rsidR="00335798" w:rsidRPr="005C0E75" w:rsidRDefault="00335798" w:rsidP="006712DC">
            <w:pPr>
              <w:jc w:val="center"/>
              <w:textAlignment w:val="baseline"/>
            </w:pPr>
            <w:r w:rsidRPr="005C0E75">
              <w:rPr>
                <w:rFonts w:eastAsia="SimSun"/>
                <w:kern w:val="24"/>
              </w:rPr>
              <w:t>£0.9 (£1)</w:t>
            </w:r>
          </w:p>
        </w:tc>
        <w:tc>
          <w:tcPr>
            <w:tcW w:w="0" w:type="auto"/>
            <w:vAlign w:val="center"/>
            <w:hideMark/>
          </w:tcPr>
          <w:p w:rsidR="00335798" w:rsidRPr="005C0E75" w:rsidRDefault="00335798" w:rsidP="006712DC">
            <w:pPr>
              <w:jc w:val="center"/>
              <w:textAlignment w:val="baseline"/>
            </w:pPr>
            <w:r w:rsidRPr="005C0E75">
              <w:rPr>
                <w:rFonts w:eastAsia="SimSun"/>
                <w:kern w:val="24"/>
              </w:rPr>
              <w:t>£55 (£13)</w:t>
            </w:r>
          </w:p>
        </w:tc>
        <w:tc>
          <w:tcPr>
            <w:tcW w:w="0" w:type="auto"/>
            <w:vAlign w:val="center"/>
            <w:hideMark/>
          </w:tcPr>
          <w:p w:rsidR="00335798" w:rsidRPr="005C0E75" w:rsidRDefault="00335798" w:rsidP="006712DC">
            <w:pPr>
              <w:jc w:val="center"/>
              <w:textAlignment w:val="baseline"/>
            </w:pPr>
            <w:r w:rsidRPr="005C0E75">
              <w:rPr>
                <w:rFonts w:eastAsia="SimSun"/>
                <w:kern w:val="24"/>
              </w:rPr>
              <w:t>£0.9 (£2)</w:t>
            </w:r>
          </w:p>
        </w:tc>
      </w:tr>
      <w:tr w:rsidR="00335798" w:rsidRPr="005C0E75" w:rsidTr="006712DC">
        <w:trPr>
          <w:trHeight w:val="47"/>
        </w:trPr>
        <w:tc>
          <w:tcPr>
            <w:tcW w:w="3085" w:type="dxa"/>
            <w:vAlign w:val="center"/>
            <w:hideMark/>
          </w:tcPr>
          <w:p w:rsidR="00335798" w:rsidRPr="005C0E75" w:rsidRDefault="00335798" w:rsidP="006712DC">
            <w:pPr>
              <w:textAlignment w:val="baseline"/>
              <w:rPr>
                <w:b/>
              </w:rPr>
            </w:pPr>
            <w:r w:rsidRPr="005C0E75">
              <w:rPr>
                <w:rFonts w:eastAsia="SimSun"/>
                <w:kern w:val="24"/>
              </w:rPr>
              <w:t>Attendance at SSS (n, %)</w:t>
            </w:r>
          </w:p>
        </w:tc>
        <w:tc>
          <w:tcPr>
            <w:tcW w:w="1780" w:type="dxa"/>
            <w:vAlign w:val="center"/>
            <w:hideMark/>
          </w:tcPr>
          <w:p w:rsidR="00335798" w:rsidRPr="005C0E75" w:rsidRDefault="00335798" w:rsidP="006712DC">
            <w:pPr>
              <w:jc w:val="center"/>
              <w:textAlignment w:val="baseline"/>
            </w:pPr>
            <w:r w:rsidRPr="005C0E75">
              <w:rPr>
                <w:rFonts w:eastAsia="SimSun"/>
                <w:kern w:val="24"/>
                <w:lang w:val="en-US"/>
              </w:rPr>
              <w:t>458 (17.4%)</w:t>
            </w:r>
          </w:p>
        </w:tc>
        <w:tc>
          <w:tcPr>
            <w:tcW w:w="1262" w:type="dxa"/>
            <w:vAlign w:val="center"/>
            <w:hideMark/>
          </w:tcPr>
          <w:p w:rsidR="00335798" w:rsidRPr="005C0E75" w:rsidRDefault="00335798" w:rsidP="006712DC">
            <w:pPr>
              <w:jc w:val="center"/>
              <w:textAlignment w:val="baseline"/>
            </w:pPr>
            <w:r w:rsidRPr="005C0E75">
              <w:rPr>
                <w:rFonts w:eastAsia="SimSun"/>
                <w:kern w:val="24"/>
              </w:rPr>
              <w:t>158 (9.0%)</w:t>
            </w:r>
          </w:p>
        </w:tc>
        <w:tc>
          <w:tcPr>
            <w:tcW w:w="0" w:type="auto"/>
            <w:vAlign w:val="center"/>
            <w:hideMark/>
          </w:tcPr>
          <w:p w:rsidR="00335798" w:rsidRPr="005C0E75" w:rsidRDefault="00335798" w:rsidP="006712DC">
            <w:pPr>
              <w:jc w:val="center"/>
              <w:textAlignment w:val="baseline"/>
            </w:pPr>
            <w:r w:rsidRPr="005C0E75">
              <w:rPr>
                <w:rFonts w:eastAsia="SimSun"/>
                <w:kern w:val="24"/>
                <w:lang w:val="en-US"/>
              </w:rPr>
              <w:t>334 (20.0%)</w:t>
            </w:r>
          </w:p>
        </w:tc>
        <w:tc>
          <w:tcPr>
            <w:tcW w:w="0" w:type="auto"/>
            <w:vAlign w:val="center"/>
            <w:hideMark/>
          </w:tcPr>
          <w:p w:rsidR="00335798" w:rsidRPr="005C0E75" w:rsidRDefault="00335798" w:rsidP="006712DC">
            <w:pPr>
              <w:jc w:val="center"/>
              <w:textAlignment w:val="baseline"/>
            </w:pPr>
            <w:r w:rsidRPr="005C0E75">
              <w:rPr>
                <w:rFonts w:eastAsia="SimSun"/>
                <w:kern w:val="24"/>
              </w:rPr>
              <w:t>102 (9.2%)</w:t>
            </w:r>
          </w:p>
        </w:tc>
      </w:tr>
      <w:tr w:rsidR="00335798" w:rsidRPr="005C0E75" w:rsidTr="006712DC">
        <w:trPr>
          <w:trHeight w:val="397"/>
        </w:trPr>
        <w:tc>
          <w:tcPr>
            <w:tcW w:w="3085" w:type="dxa"/>
            <w:vAlign w:val="center"/>
            <w:hideMark/>
          </w:tcPr>
          <w:p w:rsidR="00335798" w:rsidRPr="005C0E75" w:rsidRDefault="00335798" w:rsidP="006712DC">
            <w:pPr>
              <w:textAlignment w:val="baseline"/>
              <w:rPr>
                <w:b/>
              </w:rPr>
            </w:pPr>
            <w:r w:rsidRPr="005C0E75">
              <w:rPr>
                <w:rFonts w:eastAsia="SimSun"/>
                <w:b/>
                <w:kern w:val="24"/>
              </w:rPr>
              <w:t>ICER (Cost per additional attendee NHS SSS) (95% CI)</w:t>
            </w:r>
          </w:p>
        </w:tc>
        <w:tc>
          <w:tcPr>
            <w:tcW w:w="3042" w:type="dxa"/>
            <w:gridSpan w:val="2"/>
            <w:vAlign w:val="center"/>
            <w:hideMark/>
          </w:tcPr>
          <w:p w:rsidR="00335798" w:rsidRPr="005C0E75" w:rsidRDefault="00335798" w:rsidP="006712DC">
            <w:pPr>
              <w:jc w:val="center"/>
              <w:textAlignment w:val="center"/>
              <w:rPr>
                <w:b/>
              </w:rPr>
            </w:pPr>
            <w:r w:rsidRPr="005C0E75">
              <w:rPr>
                <w:rFonts w:eastAsia="SimSun"/>
                <w:b/>
                <w:bCs/>
                <w:kern w:val="24"/>
                <w:lang w:val="en-US"/>
              </w:rPr>
              <w:t>£627 (£620 to £634)</w:t>
            </w:r>
          </w:p>
        </w:tc>
        <w:tc>
          <w:tcPr>
            <w:tcW w:w="0" w:type="auto"/>
            <w:gridSpan w:val="2"/>
            <w:vAlign w:val="center"/>
            <w:hideMark/>
          </w:tcPr>
          <w:p w:rsidR="00335798" w:rsidRPr="005C0E75" w:rsidRDefault="00335798" w:rsidP="006712DC">
            <w:pPr>
              <w:jc w:val="center"/>
              <w:textAlignment w:val="baseline"/>
              <w:rPr>
                <w:b/>
              </w:rPr>
            </w:pPr>
            <w:r w:rsidRPr="005C0E75">
              <w:rPr>
                <w:rFonts w:eastAsia="SimSun"/>
                <w:b/>
                <w:bCs/>
                <w:kern w:val="24"/>
                <w:lang w:val="en-US"/>
              </w:rPr>
              <w:t>£498 (£491 to £504)</w:t>
            </w:r>
          </w:p>
        </w:tc>
      </w:tr>
      <w:tr w:rsidR="00335798" w:rsidRPr="005C0E75" w:rsidTr="006712DC">
        <w:trPr>
          <w:trHeight w:val="47"/>
        </w:trPr>
        <w:tc>
          <w:tcPr>
            <w:tcW w:w="3085" w:type="dxa"/>
            <w:vAlign w:val="center"/>
            <w:hideMark/>
          </w:tcPr>
          <w:p w:rsidR="00335798" w:rsidRPr="005C0E75" w:rsidRDefault="00335798" w:rsidP="006712DC">
            <w:pPr>
              <w:textAlignment w:val="center"/>
              <w:rPr>
                <w:b/>
              </w:rPr>
            </w:pPr>
            <w:r w:rsidRPr="005C0E75">
              <w:rPr>
                <w:rFonts w:eastAsia="SimSun"/>
                <w:kern w:val="24"/>
              </w:rPr>
              <w:t>Validated 7day abstinence at six-month</w:t>
            </w:r>
          </w:p>
        </w:tc>
        <w:tc>
          <w:tcPr>
            <w:tcW w:w="1780" w:type="dxa"/>
            <w:vAlign w:val="center"/>
            <w:hideMark/>
          </w:tcPr>
          <w:p w:rsidR="00335798" w:rsidRPr="005C0E75" w:rsidRDefault="00335798" w:rsidP="006712DC">
            <w:pPr>
              <w:jc w:val="center"/>
              <w:textAlignment w:val="center"/>
            </w:pPr>
            <w:r w:rsidRPr="005C0E75">
              <w:rPr>
                <w:rFonts w:eastAsia="SimSun"/>
                <w:kern w:val="24"/>
              </w:rPr>
              <w:t>236 (8.96%)</w:t>
            </w:r>
          </w:p>
        </w:tc>
        <w:tc>
          <w:tcPr>
            <w:tcW w:w="1262" w:type="dxa"/>
            <w:vAlign w:val="center"/>
            <w:hideMark/>
          </w:tcPr>
          <w:p w:rsidR="00335798" w:rsidRPr="005C0E75" w:rsidRDefault="00335798" w:rsidP="006712DC">
            <w:pPr>
              <w:jc w:val="center"/>
              <w:textAlignment w:val="center"/>
            </w:pPr>
            <w:r w:rsidRPr="005C0E75">
              <w:rPr>
                <w:rFonts w:eastAsia="SimSun"/>
                <w:kern w:val="24"/>
              </w:rPr>
              <w:t>97 (5.55%)</w:t>
            </w:r>
          </w:p>
        </w:tc>
        <w:tc>
          <w:tcPr>
            <w:tcW w:w="0" w:type="auto"/>
            <w:vAlign w:val="center"/>
            <w:hideMark/>
          </w:tcPr>
          <w:p w:rsidR="00335798" w:rsidRPr="005C0E75" w:rsidRDefault="00335798" w:rsidP="006712DC">
            <w:pPr>
              <w:jc w:val="center"/>
              <w:textAlignment w:val="center"/>
            </w:pPr>
            <w:r w:rsidRPr="005C0E75">
              <w:rPr>
                <w:rFonts w:eastAsia="SimSun"/>
                <w:kern w:val="24"/>
              </w:rPr>
              <w:t>214 (12.84%)</w:t>
            </w:r>
          </w:p>
        </w:tc>
        <w:tc>
          <w:tcPr>
            <w:tcW w:w="0" w:type="auto"/>
            <w:vAlign w:val="center"/>
            <w:hideMark/>
          </w:tcPr>
          <w:p w:rsidR="00335798" w:rsidRPr="005C0E75" w:rsidRDefault="00335798" w:rsidP="006712DC">
            <w:pPr>
              <w:jc w:val="center"/>
              <w:textAlignment w:val="center"/>
            </w:pPr>
            <w:r w:rsidRPr="005C0E75">
              <w:rPr>
                <w:rFonts w:eastAsia="SimSun"/>
                <w:kern w:val="24"/>
              </w:rPr>
              <w:t>87 (7.85%)</w:t>
            </w:r>
          </w:p>
        </w:tc>
      </w:tr>
      <w:tr w:rsidR="00335798" w:rsidRPr="005C0E75" w:rsidTr="006712DC">
        <w:trPr>
          <w:trHeight w:val="47"/>
        </w:trPr>
        <w:tc>
          <w:tcPr>
            <w:tcW w:w="3085" w:type="dxa"/>
            <w:vAlign w:val="center"/>
            <w:hideMark/>
          </w:tcPr>
          <w:p w:rsidR="00335798" w:rsidRPr="005C0E75" w:rsidRDefault="00335798" w:rsidP="006712DC">
            <w:pPr>
              <w:textAlignment w:val="center"/>
              <w:rPr>
                <w:rFonts w:eastAsia="SimSun"/>
                <w:b/>
                <w:kern w:val="24"/>
              </w:rPr>
            </w:pPr>
            <w:r w:rsidRPr="005C0E75">
              <w:rPr>
                <w:rFonts w:eastAsia="SimSun"/>
                <w:b/>
                <w:kern w:val="24"/>
              </w:rPr>
              <w:t>ICER (Cost per additional quitter)</w:t>
            </w:r>
          </w:p>
          <w:p w:rsidR="00335798" w:rsidRPr="005C0E75" w:rsidRDefault="00335798" w:rsidP="006712DC">
            <w:pPr>
              <w:textAlignment w:val="center"/>
              <w:rPr>
                <w:b/>
              </w:rPr>
            </w:pPr>
            <w:r w:rsidRPr="005C0E75">
              <w:rPr>
                <w:rFonts w:eastAsia="SimSun"/>
                <w:b/>
                <w:kern w:val="24"/>
              </w:rPr>
              <w:t>(95% CI)</w:t>
            </w:r>
          </w:p>
        </w:tc>
        <w:tc>
          <w:tcPr>
            <w:tcW w:w="3042" w:type="dxa"/>
            <w:gridSpan w:val="2"/>
            <w:vAlign w:val="center"/>
            <w:hideMark/>
          </w:tcPr>
          <w:p w:rsidR="00335798" w:rsidRPr="005C0E75" w:rsidRDefault="00335798" w:rsidP="006712DC">
            <w:pPr>
              <w:jc w:val="center"/>
              <w:textAlignment w:val="center"/>
              <w:rPr>
                <w:b/>
              </w:rPr>
            </w:pPr>
            <w:r w:rsidRPr="005C0E75">
              <w:rPr>
                <w:rFonts w:eastAsia="SimSun"/>
                <w:b/>
                <w:bCs/>
                <w:kern w:val="24"/>
              </w:rPr>
              <w:t>£2,689 (-£952 to £6,329)</w:t>
            </w:r>
          </w:p>
        </w:tc>
        <w:tc>
          <w:tcPr>
            <w:tcW w:w="0" w:type="auto"/>
            <w:gridSpan w:val="2"/>
            <w:vAlign w:val="center"/>
            <w:hideMark/>
          </w:tcPr>
          <w:p w:rsidR="00335798" w:rsidRPr="005C0E75" w:rsidRDefault="00335798" w:rsidP="006712DC">
            <w:pPr>
              <w:jc w:val="center"/>
              <w:textAlignment w:val="center"/>
              <w:rPr>
                <w:b/>
              </w:rPr>
            </w:pPr>
            <w:r w:rsidRPr="005C0E75">
              <w:rPr>
                <w:rFonts w:eastAsia="SimSun"/>
                <w:b/>
                <w:bCs/>
                <w:kern w:val="24"/>
              </w:rPr>
              <w:t>£2,552 (-£1,199 to £6,303)</w:t>
            </w:r>
          </w:p>
        </w:tc>
      </w:tr>
    </w:tbl>
    <w:p w:rsidR="00335798" w:rsidRPr="005C0E75" w:rsidRDefault="00335798" w:rsidP="00335798">
      <w:pPr>
        <w:pStyle w:val="Caption"/>
        <w:rPr>
          <w:rFonts w:ascii="Times New Roman" w:hAnsi="Times New Roman" w:cs="Times New Roman"/>
          <w:color w:val="auto"/>
          <w:sz w:val="24"/>
          <w:szCs w:val="24"/>
        </w:rPr>
      </w:pPr>
    </w:p>
    <w:p w:rsidR="00335798" w:rsidRPr="005C0E75" w:rsidRDefault="00335798" w:rsidP="00335798"/>
    <w:p w:rsidR="007D435A" w:rsidRPr="00065218" w:rsidRDefault="007D435A" w:rsidP="007D435A">
      <w:pPr>
        <w:pStyle w:val="EndNoteBibliography"/>
        <w:ind w:left="720" w:hanging="720"/>
        <w:rPr>
          <w:rFonts w:ascii="Times New Roman" w:hAnsi="Times New Roman" w:cs="Times New Roman"/>
          <w:sz w:val="24"/>
          <w:szCs w:val="24"/>
        </w:rPr>
      </w:pPr>
      <w:r w:rsidRPr="00065218">
        <w:rPr>
          <w:rFonts w:ascii="Times New Roman" w:hAnsi="Times New Roman" w:cs="Times New Roman"/>
          <w:sz w:val="24"/>
          <w:szCs w:val="24"/>
        </w:rPr>
        <w:fldChar w:fldCharType="begin"/>
      </w:r>
      <w:r w:rsidRPr="00065218">
        <w:rPr>
          <w:rFonts w:ascii="Times New Roman" w:hAnsi="Times New Roman" w:cs="Times New Roman"/>
          <w:sz w:val="24"/>
          <w:szCs w:val="24"/>
        </w:rPr>
        <w:instrText xml:space="preserve"> ADDIN </w:instrText>
      </w:r>
      <w:r w:rsidRPr="00065218">
        <w:rPr>
          <w:rFonts w:ascii="Times New Roman" w:hAnsi="Times New Roman" w:cs="Times New Roman"/>
          <w:sz w:val="24"/>
          <w:szCs w:val="24"/>
        </w:rPr>
        <w:fldChar w:fldCharType="end"/>
      </w:r>
      <w:r w:rsidR="00B67347">
        <w:rPr>
          <w:rFonts w:ascii="Times New Roman" w:hAnsi="Times New Roman" w:cs="Times New Roman"/>
          <w:sz w:val="24"/>
          <w:szCs w:val="24"/>
        </w:rPr>
        <w:fldChar w:fldCharType="begin"/>
      </w:r>
      <w:r w:rsidR="00B67347">
        <w:rPr>
          <w:rFonts w:ascii="Times New Roman" w:hAnsi="Times New Roman" w:cs="Times New Roman"/>
          <w:sz w:val="24"/>
          <w:szCs w:val="24"/>
        </w:rPr>
        <w:instrText xml:space="preserve"> ADDIN </w:instrText>
      </w:r>
      <w:r w:rsidR="00B67347">
        <w:rPr>
          <w:rFonts w:ascii="Times New Roman" w:hAnsi="Times New Roman" w:cs="Times New Roman"/>
          <w:sz w:val="24"/>
          <w:szCs w:val="24"/>
        </w:rPr>
        <w:fldChar w:fldCharType="end"/>
      </w:r>
    </w:p>
    <w:sectPr w:rsidR="007D435A" w:rsidRPr="0006521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03E" w:rsidRDefault="0086703E" w:rsidP="00D72E3E">
      <w:pPr>
        <w:spacing w:after="0" w:line="240" w:lineRule="auto"/>
      </w:pPr>
      <w:r>
        <w:separator/>
      </w:r>
    </w:p>
  </w:endnote>
  <w:endnote w:type="continuationSeparator" w:id="0">
    <w:p w:rsidR="0086703E" w:rsidRDefault="0086703E" w:rsidP="00D7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914980"/>
      <w:docPartObj>
        <w:docPartGallery w:val="Page Numbers (Bottom of Page)"/>
        <w:docPartUnique/>
      </w:docPartObj>
    </w:sdtPr>
    <w:sdtEndPr>
      <w:rPr>
        <w:noProof/>
      </w:rPr>
    </w:sdtEndPr>
    <w:sdtContent>
      <w:p w:rsidR="0086703E" w:rsidRDefault="0086703E">
        <w:pPr>
          <w:pStyle w:val="Footer"/>
          <w:jc w:val="right"/>
        </w:pPr>
        <w:r>
          <w:fldChar w:fldCharType="begin"/>
        </w:r>
        <w:r>
          <w:instrText xml:space="preserve"> PAGE   \* MERGEFORMAT </w:instrText>
        </w:r>
        <w:r>
          <w:fldChar w:fldCharType="separate"/>
        </w:r>
        <w:r w:rsidR="00AA3350">
          <w:rPr>
            <w:noProof/>
          </w:rPr>
          <w:t>1</w:t>
        </w:r>
        <w:r>
          <w:rPr>
            <w:noProof/>
          </w:rPr>
          <w:fldChar w:fldCharType="end"/>
        </w:r>
      </w:p>
    </w:sdtContent>
  </w:sdt>
  <w:p w:rsidR="0086703E" w:rsidRDefault="0086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03E" w:rsidRDefault="0086703E" w:rsidP="00D72E3E">
      <w:pPr>
        <w:spacing w:after="0" w:line="240" w:lineRule="auto"/>
      </w:pPr>
      <w:r>
        <w:separator/>
      </w:r>
    </w:p>
  </w:footnote>
  <w:footnote w:type="continuationSeparator" w:id="0">
    <w:p w:rsidR="0086703E" w:rsidRDefault="0086703E" w:rsidP="00D72E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wNDI1NjQ2N7UEEko6SsGpxcWZ+XkgBSa1AKm9U/Us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2v9xf5vlxt9anetrsnpxfs8adpspw0ft9p2&quot;&gt;Qi ref&lt;record-ids&gt;&lt;item&gt;2203&lt;/item&gt;&lt;item&gt;2204&lt;/item&gt;&lt;item&gt;2500&lt;/item&gt;&lt;/record-ids&gt;&lt;/item&gt;&lt;/Libraries&gt;"/>
  </w:docVars>
  <w:rsids>
    <w:rsidRoot w:val="00753673"/>
    <w:rsid w:val="000003D7"/>
    <w:rsid w:val="000120A8"/>
    <w:rsid w:val="0003511F"/>
    <w:rsid w:val="000430D2"/>
    <w:rsid w:val="00055D13"/>
    <w:rsid w:val="00065218"/>
    <w:rsid w:val="00076E39"/>
    <w:rsid w:val="000F03AC"/>
    <w:rsid w:val="001014A5"/>
    <w:rsid w:val="00145D7F"/>
    <w:rsid w:val="0017033F"/>
    <w:rsid w:val="001753C3"/>
    <w:rsid w:val="00190BB6"/>
    <w:rsid w:val="00240460"/>
    <w:rsid w:val="002411C6"/>
    <w:rsid w:val="00244126"/>
    <w:rsid w:val="00253355"/>
    <w:rsid w:val="0026756D"/>
    <w:rsid w:val="00281512"/>
    <w:rsid w:val="00283B4D"/>
    <w:rsid w:val="002D60A0"/>
    <w:rsid w:val="00306836"/>
    <w:rsid w:val="00322E65"/>
    <w:rsid w:val="00332F66"/>
    <w:rsid w:val="003340D2"/>
    <w:rsid w:val="00334647"/>
    <w:rsid w:val="00335798"/>
    <w:rsid w:val="00361E8C"/>
    <w:rsid w:val="00362ABF"/>
    <w:rsid w:val="00391F65"/>
    <w:rsid w:val="003A0D17"/>
    <w:rsid w:val="003A2888"/>
    <w:rsid w:val="003C035D"/>
    <w:rsid w:val="003E5390"/>
    <w:rsid w:val="00425E19"/>
    <w:rsid w:val="0043629F"/>
    <w:rsid w:val="00444EA0"/>
    <w:rsid w:val="00472012"/>
    <w:rsid w:val="004A3EF0"/>
    <w:rsid w:val="004B3A5E"/>
    <w:rsid w:val="004B6541"/>
    <w:rsid w:val="004B7DC7"/>
    <w:rsid w:val="004E4673"/>
    <w:rsid w:val="004E4735"/>
    <w:rsid w:val="0050718D"/>
    <w:rsid w:val="0051624A"/>
    <w:rsid w:val="00530B22"/>
    <w:rsid w:val="00562E41"/>
    <w:rsid w:val="005A6497"/>
    <w:rsid w:val="0060128B"/>
    <w:rsid w:val="0060529E"/>
    <w:rsid w:val="00632FC2"/>
    <w:rsid w:val="00653EDA"/>
    <w:rsid w:val="006712DC"/>
    <w:rsid w:val="00693336"/>
    <w:rsid w:val="006B1D7A"/>
    <w:rsid w:val="006B40E5"/>
    <w:rsid w:val="006B51D4"/>
    <w:rsid w:val="006C4B6E"/>
    <w:rsid w:val="006E03AA"/>
    <w:rsid w:val="006F3F3B"/>
    <w:rsid w:val="007011A4"/>
    <w:rsid w:val="00702963"/>
    <w:rsid w:val="007102FD"/>
    <w:rsid w:val="007239BE"/>
    <w:rsid w:val="00753673"/>
    <w:rsid w:val="00761E47"/>
    <w:rsid w:val="007948A1"/>
    <w:rsid w:val="007A7906"/>
    <w:rsid w:val="007B3702"/>
    <w:rsid w:val="007D435A"/>
    <w:rsid w:val="00832BC7"/>
    <w:rsid w:val="0085221A"/>
    <w:rsid w:val="008571F4"/>
    <w:rsid w:val="0086703E"/>
    <w:rsid w:val="00872E07"/>
    <w:rsid w:val="00880AB3"/>
    <w:rsid w:val="008850CD"/>
    <w:rsid w:val="00896F2E"/>
    <w:rsid w:val="008B1612"/>
    <w:rsid w:val="008B3F0B"/>
    <w:rsid w:val="008B70A2"/>
    <w:rsid w:val="008D1CF9"/>
    <w:rsid w:val="00912E04"/>
    <w:rsid w:val="00917112"/>
    <w:rsid w:val="00921FBF"/>
    <w:rsid w:val="009311C7"/>
    <w:rsid w:val="00935EF8"/>
    <w:rsid w:val="00974212"/>
    <w:rsid w:val="009A29D4"/>
    <w:rsid w:val="009B706A"/>
    <w:rsid w:val="009E637B"/>
    <w:rsid w:val="00A1387C"/>
    <w:rsid w:val="00A93F6A"/>
    <w:rsid w:val="00AA3350"/>
    <w:rsid w:val="00AE18BD"/>
    <w:rsid w:val="00B32115"/>
    <w:rsid w:val="00B52419"/>
    <w:rsid w:val="00B67347"/>
    <w:rsid w:val="00C00578"/>
    <w:rsid w:val="00C232EA"/>
    <w:rsid w:val="00C73B6E"/>
    <w:rsid w:val="00C91992"/>
    <w:rsid w:val="00CB5920"/>
    <w:rsid w:val="00CD662A"/>
    <w:rsid w:val="00CD6E36"/>
    <w:rsid w:val="00D37F13"/>
    <w:rsid w:val="00D6078D"/>
    <w:rsid w:val="00D72E3E"/>
    <w:rsid w:val="00D736FE"/>
    <w:rsid w:val="00D81E9D"/>
    <w:rsid w:val="00D86411"/>
    <w:rsid w:val="00DA208C"/>
    <w:rsid w:val="00DE4ABC"/>
    <w:rsid w:val="00E06771"/>
    <w:rsid w:val="00E16A5B"/>
    <w:rsid w:val="00E16DD6"/>
    <w:rsid w:val="00E17531"/>
    <w:rsid w:val="00E543C9"/>
    <w:rsid w:val="00E667B9"/>
    <w:rsid w:val="00E72A5E"/>
    <w:rsid w:val="00E74051"/>
    <w:rsid w:val="00E81E93"/>
    <w:rsid w:val="00E94CB0"/>
    <w:rsid w:val="00E97E19"/>
    <w:rsid w:val="00EE43C0"/>
    <w:rsid w:val="00F02C97"/>
    <w:rsid w:val="00F32C32"/>
    <w:rsid w:val="00F625AE"/>
    <w:rsid w:val="00FC14F5"/>
    <w:rsid w:val="00FF11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AE44C-E263-4206-8CA6-803B9CD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673"/>
  </w:style>
  <w:style w:type="paragraph" w:styleId="Heading1">
    <w:name w:val="heading 1"/>
    <w:basedOn w:val="Normal"/>
    <w:next w:val="Normal"/>
    <w:link w:val="Heading1Char"/>
    <w:uiPriority w:val="9"/>
    <w:qFormat/>
    <w:rsid w:val="00753673"/>
    <w:pPr>
      <w:keepNext/>
      <w:keepLines/>
      <w:spacing w:before="240" w:after="0"/>
      <w:outlineLvl w:val="0"/>
    </w:pPr>
    <w:rPr>
      <w:rFonts w:asciiTheme="majorHAnsi" w:eastAsiaTheme="majorEastAsia" w:hAnsiTheme="majorHAnsi" w:cstheme="majorBidi"/>
      <w:b/>
      <w:color w:val="365F91" w:themeColor="accent1" w:themeShade="BF"/>
      <w:sz w:val="24"/>
      <w:szCs w:val="32"/>
    </w:rPr>
  </w:style>
  <w:style w:type="paragraph" w:styleId="Heading2">
    <w:name w:val="heading 2"/>
    <w:basedOn w:val="Normal"/>
    <w:next w:val="Normal"/>
    <w:link w:val="Heading2Char"/>
    <w:uiPriority w:val="9"/>
    <w:semiHidden/>
    <w:unhideWhenUsed/>
    <w:qFormat/>
    <w:rsid w:val="00935EF8"/>
    <w:pPr>
      <w:keepNext/>
      <w:keepLines/>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3346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673"/>
    <w:rPr>
      <w:rFonts w:asciiTheme="majorHAnsi" w:eastAsiaTheme="majorEastAsia" w:hAnsiTheme="majorHAnsi" w:cstheme="majorBidi"/>
      <w:b/>
      <w:color w:val="365F91" w:themeColor="accent1" w:themeShade="BF"/>
      <w:sz w:val="24"/>
      <w:szCs w:val="32"/>
    </w:rPr>
  </w:style>
  <w:style w:type="character" w:customStyle="1" w:styleId="Heading2Char">
    <w:name w:val="Heading 2 Char"/>
    <w:basedOn w:val="DefaultParagraphFont"/>
    <w:link w:val="Heading2"/>
    <w:uiPriority w:val="9"/>
    <w:semiHidden/>
    <w:rsid w:val="00935EF8"/>
    <w:rPr>
      <w:rFonts w:asciiTheme="majorHAnsi" w:eastAsiaTheme="majorEastAsia" w:hAnsiTheme="majorHAnsi" w:cstheme="majorBidi"/>
      <w:bCs/>
      <w:color w:val="4F81BD" w:themeColor="accent1"/>
      <w:sz w:val="26"/>
      <w:szCs w:val="26"/>
    </w:rPr>
  </w:style>
  <w:style w:type="paragraph" w:styleId="BalloonText">
    <w:name w:val="Balloon Text"/>
    <w:basedOn w:val="Normal"/>
    <w:link w:val="BalloonTextChar"/>
    <w:uiPriority w:val="99"/>
    <w:semiHidden/>
    <w:unhideWhenUsed/>
    <w:rsid w:val="00753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73"/>
    <w:rPr>
      <w:rFonts w:ascii="Tahoma" w:hAnsi="Tahoma" w:cs="Tahoma"/>
      <w:sz w:val="16"/>
      <w:szCs w:val="16"/>
    </w:rPr>
  </w:style>
  <w:style w:type="paragraph" w:customStyle="1" w:styleId="EndNoteBibliography">
    <w:name w:val="EndNote Bibliography"/>
    <w:basedOn w:val="Normal"/>
    <w:link w:val="EndNoteBibliographyChar"/>
    <w:rsid w:val="007D435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7D435A"/>
    <w:rPr>
      <w:rFonts w:ascii="Calibri" w:hAnsi="Calibri"/>
      <w:noProof/>
    </w:rPr>
  </w:style>
  <w:style w:type="character" w:styleId="Hyperlink">
    <w:name w:val="Hyperlink"/>
    <w:basedOn w:val="DefaultParagraphFont"/>
    <w:uiPriority w:val="99"/>
    <w:unhideWhenUsed/>
    <w:rsid w:val="007D435A"/>
    <w:rPr>
      <w:color w:val="0000FF" w:themeColor="hyperlink"/>
      <w:u w:val="single"/>
    </w:rPr>
  </w:style>
  <w:style w:type="paragraph" w:styleId="Header">
    <w:name w:val="header"/>
    <w:basedOn w:val="Normal"/>
    <w:link w:val="HeaderChar"/>
    <w:uiPriority w:val="99"/>
    <w:unhideWhenUsed/>
    <w:rsid w:val="00D72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E3E"/>
  </w:style>
  <w:style w:type="paragraph" w:styleId="Footer">
    <w:name w:val="footer"/>
    <w:basedOn w:val="Normal"/>
    <w:link w:val="FooterChar"/>
    <w:uiPriority w:val="99"/>
    <w:unhideWhenUsed/>
    <w:rsid w:val="00D72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E3E"/>
  </w:style>
  <w:style w:type="paragraph" w:styleId="Caption">
    <w:name w:val="caption"/>
    <w:basedOn w:val="Normal"/>
    <w:next w:val="Normal"/>
    <w:uiPriority w:val="35"/>
    <w:unhideWhenUsed/>
    <w:qFormat/>
    <w:rsid w:val="00335798"/>
    <w:pPr>
      <w:spacing w:line="240" w:lineRule="auto"/>
    </w:pPr>
    <w:rPr>
      <w:i/>
      <w:iCs/>
      <w:color w:val="1F497D" w:themeColor="text2"/>
      <w:sz w:val="18"/>
      <w:szCs w:val="18"/>
    </w:rPr>
  </w:style>
  <w:style w:type="table" w:customStyle="1" w:styleId="TableGridLight2">
    <w:name w:val="Table Grid Light2"/>
    <w:basedOn w:val="TableNormal"/>
    <w:uiPriority w:val="40"/>
    <w:rsid w:val="0033579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3357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5221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5221A"/>
    <w:rPr>
      <w:rFonts w:ascii="Calibri" w:hAnsi="Calibri"/>
      <w:noProof/>
    </w:rPr>
  </w:style>
  <w:style w:type="character" w:customStyle="1" w:styleId="Heading3Char">
    <w:name w:val="Heading 3 Char"/>
    <w:basedOn w:val="DefaultParagraphFont"/>
    <w:link w:val="Heading3"/>
    <w:uiPriority w:val="9"/>
    <w:semiHidden/>
    <w:rsid w:val="0033464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3511F"/>
    <w:pPr>
      <w:spacing w:before="100" w:beforeAutospacing="1" w:after="100" w:afterAutospacing="1" w:line="240" w:lineRule="auto"/>
    </w:pPr>
    <w:rPr>
      <w:rFonts w:ascii="Times New Roman" w:eastAsia="SimSu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9103">
      <w:bodyDiv w:val="1"/>
      <w:marLeft w:val="0"/>
      <w:marRight w:val="0"/>
      <w:marTop w:val="0"/>
      <w:marBottom w:val="0"/>
      <w:divBdr>
        <w:top w:val="none" w:sz="0" w:space="0" w:color="auto"/>
        <w:left w:val="none" w:sz="0" w:space="0" w:color="auto"/>
        <w:bottom w:val="none" w:sz="0" w:space="0" w:color="auto"/>
        <w:right w:val="none" w:sz="0" w:space="0" w:color="auto"/>
      </w:divBdr>
      <w:divsChild>
        <w:div w:id="171130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844957">
              <w:marLeft w:val="0"/>
              <w:marRight w:val="0"/>
              <w:marTop w:val="0"/>
              <w:marBottom w:val="0"/>
              <w:divBdr>
                <w:top w:val="none" w:sz="0" w:space="0" w:color="auto"/>
                <w:left w:val="none" w:sz="0" w:space="0" w:color="auto"/>
                <w:bottom w:val="none" w:sz="0" w:space="0" w:color="auto"/>
                <w:right w:val="none" w:sz="0" w:space="0" w:color="auto"/>
              </w:divBdr>
              <w:divsChild>
                <w:div w:id="1453088366">
                  <w:marLeft w:val="0"/>
                  <w:marRight w:val="0"/>
                  <w:marTop w:val="0"/>
                  <w:marBottom w:val="0"/>
                  <w:divBdr>
                    <w:top w:val="none" w:sz="0" w:space="0" w:color="auto"/>
                    <w:left w:val="none" w:sz="0" w:space="0" w:color="auto"/>
                    <w:bottom w:val="none" w:sz="0" w:space="0" w:color="auto"/>
                    <w:right w:val="none" w:sz="0" w:space="0" w:color="auto"/>
                  </w:divBdr>
                </w:div>
                <w:div w:id="564267384">
                  <w:marLeft w:val="0"/>
                  <w:marRight w:val="0"/>
                  <w:marTop w:val="0"/>
                  <w:marBottom w:val="0"/>
                  <w:divBdr>
                    <w:top w:val="none" w:sz="0" w:space="0" w:color="auto"/>
                    <w:left w:val="none" w:sz="0" w:space="0" w:color="auto"/>
                    <w:bottom w:val="none" w:sz="0" w:space="0" w:color="auto"/>
                    <w:right w:val="none" w:sz="0" w:space="0" w:color="auto"/>
                  </w:divBdr>
                  <w:divsChild>
                    <w:div w:id="14527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3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okinginengland.info/latest-statistics/"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scic.gov.uk/catalogue/PUB18002/stat-stop-smok-serv-eng-2015-q4-rep.pdf" TargetMode="Externa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http://apps.who.int/gho/data/node.main.688?lang=en" TargetMode="External"/><Relationship Id="rId4" Type="http://schemas.openxmlformats.org/officeDocument/2006/relationships/webSettings" Target="webSettings.xml"/><Relationship Id="rId9" Type="http://schemas.openxmlformats.org/officeDocument/2006/relationships/hyperlink" Target="http://www.hscic.gov.uk/catalogue/PUB14610/stat-stop-smok-serv-eng-2014-q4-rep.pdf"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0B6FC-2D76-4395-B3A9-0C7C6676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6856</Words>
  <Characters>39080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Q.</dc:creator>
  <cp:lastModifiedBy>Orchard, J.</cp:lastModifiedBy>
  <cp:revision>2</cp:revision>
  <dcterms:created xsi:type="dcterms:W3CDTF">2017-11-06T16:03:00Z</dcterms:created>
  <dcterms:modified xsi:type="dcterms:W3CDTF">2017-11-06T16:03:00Z</dcterms:modified>
</cp:coreProperties>
</file>