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459" w:rsidRPr="009D4D8F" w:rsidRDefault="00400459" w:rsidP="00400459">
      <w:pPr>
        <w:ind w:left="1440" w:hanging="1440"/>
        <w:rPr>
          <w:b/>
          <w:u w:val="single"/>
        </w:rPr>
      </w:pPr>
      <w:r w:rsidRPr="007027B0">
        <w:rPr>
          <w:b/>
        </w:rPr>
        <w:t>Title:</w:t>
      </w:r>
      <w:r w:rsidRPr="007027B0">
        <w:rPr>
          <w:b/>
        </w:rPr>
        <w:tab/>
      </w:r>
      <w:r w:rsidRPr="001C3CB0">
        <w:rPr>
          <w:b/>
          <w:iCs/>
        </w:rPr>
        <w:t>Directors of public hea</w:t>
      </w:r>
      <w:r w:rsidR="001C3CB0">
        <w:rPr>
          <w:b/>
          <w:iCs/>
        </w:rPr>
        <w:t xml:space="preserve">lth as “a protected species”: </w:t>
      </w:r>
      <w:r w:rsidRPr="001C3CB0">
        <w:rPr>
          <w:b/>
          <w:iCs/>
        </w:rPr>
        <w:t>qualitative study of the chan</w:t>
      </w:r>
      <w:r w:rsidR="001C7F3D">
        <w:rPr>
          <w:b/>
          <w:iCs/>
        </w:rPr>
        <w:t>ging role of public health professionals</w:t>
      </w:r>
      <w:r w:rsidRPr="001C3CB0">
        <w:rPr>
          <w:b/>
          <w:iCs/>
        </w:rPr>
        <w:t xml:space="preserve"> in England following the 2013 </w:t>
      </w:r>
      <w:r w:rsidR="00545190" w:rsidRPr="001C3CB0">
        <w:rPr>
          <w:b/>
          <w:iCs/>
        </w:rPr>
        <w:t>reforms</w:t>
      </w:r>
    </w:p>
    <w:p w:rsidR="00400459" w:rsidRPr="007027B0" w:rsidRDefault="00400459" w:rsidP="00400459">
      <w:pPr>
        <w:ind w:left="1440" w:hanging="1440"/>
      </w:pPr>
    </w:p>
    <w:p w:rsidR="00400459" w:rsidRPr="000503AE" w:rsidRDefault="00400459" w:rsidP="00400459">
      <w:pPr>
        <w:rPr>
          <w:vertAlign w:val="superscript"/>
        </w:rPr>
      </w:pPr>
      <w:r w:rsidRPr="007027B0">
        <w:rPr>
          <w:b/>
        </w:rPr>
        <w:t>Authors:</w:t>
      </w:r>
      <w:r w:rsidRPr="007027B0">
        <w:tab/>
      </w:r>
      <w:proofErr w:type="spellStart"/>
      <w:r>
        <w:t>Llinos</w:t>
      </w:r>
      <w:proofErr w:type="spellEnd"/>
      <w:r>
        <w:t xml:space="preserve"> Mary Jehu</w:t>
      </w:r>
      <w:r w:rsidRPr="007027B0">
        <w:t xml:space="preserve">, </w:t>
      </w:r>
      <w:r>
        <w:t>research fellow</w:t>
      </w:r>
      <w:r>
        <w:rPr>
          <w:vertAlign w:val="superscript"/>
        </w:rPr>
        <w:t xml:space="preserve">1 </w:t>
      </w:r>
      <w:r>
        <w:t>(formerly at Durham University)</w:t>
      </w:r>
    </w:p>
    <w:p w:rsidR="00400459" w:rsidRPr="007027B0" w:rsidRDefault="00400459" w:rsidP="00400459">
      <w:pPr>
        <w:ind w:left="1440"/>
        <w:rPr>
          <w:vertAlign w:val="superscript"/>
        </w:rPr>
      </w:pPr>
      <w:r w:rsidRPr="007027B0">
        <w:t xml:space="preserve">Shelina Visram, </w:t>
      </w:r>
      <w:r>
        <w:t>associate professo</w:t>
      </w:r>
      <w:r w:rsidRPr="007027B0">
        <w:t>r</w:t>
      </w:r>
      <w:r>
        <w:rPr>
          <w:vertAlign w:val="superscript"/>
        </w:rPr>
        <w:t>2</w:t>
      </w:r>
    </w:p>
    <w:p w:rsidR="00400459" w:rsidRPr="007027B0" w:rsidRDefault="00400459" w:rsidP="00400459">
      <w:pPr>
        <w:ind w:left="1440"/>
      </w:pPr>
      <w:r>
        <w:t>Linda Marks, senior research fellow</w:t>
      </w:r>
      <w:r>
        <w:rPr>
          <w:vertAlign w:val="superscript"/>
        </w:rPr>
        <w:t>2</w:t>
      </w:r>
      <w:r w:rsidRPr="007027B0">
        <w:t xml:space="preserve"> </w:t>
      </w:r>
    </w:p>
    <w:p w:rsidR="00400459" w:rsidRPr="007027B0" w:rsidRDefault="00400459" w:rsidP="00400459">
      <w:pPr>
        <w:ind w:left="1440"/>
        <w:rPr>
          <w:vertAlign w:val="superscript"/>
        </w:rPr>
      </w:pPr>
      <w:r>
        <w:t>David J Hunter, professor</w:t>
      </w:r>
      <w:r>
        <w:rPr>
          <w:vertAlign w:val="superscript"/>
        </w:rPr>
        <w:t>2</w:t>
      </w:r>
    </w:p>
    <w:p w:rsidR="00400459" w:rsidRDefault="00400459" w:rsidP="00400459">
      <w:pPr>
        <w:rPr>
          <w:vertAlign w:val="superscript"/>
        </w:rPr>
      </w:pPr>
      <w:r>
        <w:tab/>
      </w:r>
      <w:r>
        <w:tab/>
        <w:t xml:space="preserve">Howard Davis, independent </w:t>
      </w:r>
      <w:r w:rsidR="00545190">
        <w:t>researcher</w:t>
      </w:r>
      <w:r>
        <w:rPr>
          <w:vertAlign w:val="superscript"/>
        </w:rPr>
        <w:t xml:space="preserve"> </w:t>
      </w:r>
      <w:r>
        <w:t>(formerly at Coventry University)</w:t>
      </w:r>
    </w:p>
    <w:p w:rsidR="00400459" w:rsidRPr="007027B0" w:rsidRDefault="00400459" w:rsidP="00400459">
      <w:pPr>
        <w:rPr>
          <w:vertAlign w:val="superscript"/>
        </w:rPr>
      </w:pPr>
      <w:r>
        <w:tab/>
      </w:r>
      <w:r>
        <w:tab/>
        <w:t>Anne Mason, senior research fellow</w:t>
      </w:r>
      <w:r>
        <w:rPr>
          <w:vertAlign w:val="superscript"/>
        </w:rPr>
        <w:t>3</w:t>
      </w:r>
    </w:p>
    <w:p w:rsidR="00400459" w:rsidRDefault="00400459" w:rsidP="00400459">
      <w:pPr>
        <w:rPr>
          <w:vertAlign w:val="superscript"/>
        </w:rPr>
      </w:pPr>
      <w:r>
        <w:tab/>
      </w:r>
      <w:r>
        <w:tab/>
        <w:t>Dan Liu, research fellow</w:t>
      </w:r>
      <w:r>
        <w:rPr>
          <w:vertAlign w:val="superscript"/>
        </w:rPr>
        <w:t>3</w:t>
      </w:r>
    </w:p>
    <w:p w:rsidR="00400459" w:rsidRPr="007027B0" w:rsidRDefault="00400459" w:rsidP="00400459">
      <w:pPr>
        <w:ind w:left="1440"/>
        <w:rPr>
          <w:vertAlign w:val="superscript"/>
        </w:rPr>
      </w:pPr>
      <w:r>
        <w:t>Joanne Smithson</w:t>
      </w:r>
      <w:r w:rsidRPr="007027B0">
        <w:t xml:space="preserve">, </w:t>
      </w:r>
      <w:r>
        <w:t xml:space="preserve">independent </w:t>
      </w:r>
      <w:r w:rsidR="00545190">
        <w:t>researcher</w:t>
      </w:r>
      <w:r>
        <w:rPr>
          <w:vertAlign w:val="superscript"/>
        </w:rPr>
        <w:t>4</w:t>
      </w:r>
    </w:p>
    <w:p w:rsidR="00400459" w:rsidRDefault="00400459" w:rsidP="00400459">
      <w:pPr>
        <w:rPr>
          <w:b/>
        </w:rPr>
      </w:pPr>
    </w:p>
    <w:p w:rsidR="00400459" w:rsidRDefault="00400459" w:rsidP="00400459">
      <w:pPr>
        <w:ind w:left="1440" w:hanging="1440"/>
      </w:pPr>
      <w:r w:rsidRPr="007027B0">
        <w:rPr>
          <w:b/>
        </w:rPr>
        <w:t>Affiliations:</w:t>
      </w:r>
      <w:r>
        <w:rPr>
          <w:b/>
        </w:rPr>
        <w:tab/>
      </w:r>
      <w:r w:rsidRPr="007027B0">
        <w:rPr>
          <w:vertAlign w:val="superscript"/>
        </w:rPr>
        <w:t>1</w:t>
      </w:r>
      <w:r w:rsidRPr="007027B0">
        <w:t xml:space="preserve"> </w:t>
      </w:r>
      <w:r>
        <w:t>Department of Social Policy and Social Work, University of Birmingham, Edgbaston</w:t>
      </w:r>
      <w:proofErr w:type="gramStart"/>
      <w:r>
        <w:t>,</w:t>
      </w:r>
      <w:proofErr w:type="gramEnd"/>
      <w:r>
        <w:br/>
        <w:t>Birmingham, B15 2TT, UK</w:t>
      </w:r>
    </w:p>
    <w:p w:rsidR="00400459" w:rsidRDefault="00400459" w:rsidP="00400459">
      <w:pPr>
        <w:ind w:left="1440" w:hanging="1440"/>
      </w:pPr>
      <w:r w:rsidRPr="000503AE">
        <w:tab/>
      </w:r>
      <w:r>
        <w:rPr>
          <w:vertAlign w:val="superscript"/>
        </w:rPr>
        <w:t xml:space="preserve">2 </w:t>
      </w:r>
      <w:r w:rsidRPr="007027B0">
        <w:t xml:space="preserve">School of Medicine, Pharmacy and Health, Durham University Queen’s Campus, </w:t>
      </w:r>
      <w:proofErr w:type="spellStart"/>
      <w:r w:rsidRPr="007027B0">
        <w:t>Stockton-on-Tees</w:t>
      </w:r>
      <w:proofErr w:type="spellEnd"/>
      <w:r w:rsidRPr="007027B0">
        <w:t>, TS17 6BH, UK</w:t>
      </w:r>
    </w:p>
    <w:p w:rsidR="00400459" w:rsidRDefault="00400459" w:rsidP="00400459">
      <w:pPr>
        <w:ind w:left="1440"/>
      </w:pPr>
      <w:r>
        <w:rPr>
          <w:vertAlign w:val="superscript"/>
        </w:rPr>
        <w:t xml:space="preserve">3 </w:t>
      </w:r>
      <w:r w:rsidRPr="00842BD0">
        <w:t>Centre for Health Economics, University of York, York, YO10 5DD, UK</w:t>
      </w:r>
    </w:p>
    <w:p w:rsidR="00400459" w:rsidRPr="00270662" w:rsidRDefault="00400459" w:rsidP="00400459">
      <w:pPr>
        <w:ind w:left="1440"/>
      </w:pPr>
      <w:r>
        <w:rPr>
          <w:vertAlign w:val="superscript"/>
        </w:rPr>
        <w:t xml:space="preserve">4 </w:t>
      </w:r>
      <w:r>
        <w:t xml:space="preserve">Voluntary Organisations’ Network North East (VONNE), </w:t>
      </w:r>
      <w:r w:rsidRPr="00270662">
        <w:rPr>
          <w:lang w:val="en"/>
        </w:rPr>
        <w:t>MEA House</w:t>
      </w:r>
      <w:r>
        <w:rPr>
          <w:lang w:val="en"/>
        </w:rPr>
        <w:t xml:space="preserve">, </w:t>
      </w:r>
      <w:r w:rsidRPr="00270662">
        <w:rPr>
          <w:lang w:val="en"/>
        </w:rPr>
        <w:t>Ellison Place</w:t>
      </w:r>
      <w:r>
        <w:rPr>
          <w:lang w:val="en"/>
        </w:rPr>
        <w:t xml:space="preserve">, Newcastle upon Tyne, </w:t>
      </w:r>
      <w:r w:rsidRPr="00270662">
        <w:rPr>
          <w:lang w:val="en"/>
        </w:rPr>
        <w:t>NE1 8XS</w:t>
      </w:r>
      <w:r>
        <w:rPr>
          <w:lang w:val="en"/>
        </w:rPr>
        <w:t>, UK</w:t>
      </w:r>
      <w:r w:rsidRPr="00270662">
        <w:t xml:space="preserve"> </w:t>
      </w:r>
    </w:p>
    <w:p w:rsidR="00400459" w:rsidRPr="007027B0" w:rsidRDefault="00400459" w:rsidP="00400459"/>
    <w:p w:rsidR="00400459" w:rsidRPr="007027B0" w:rsidRDefault="00400459" w:rsidP="00400459">
      <w:pPr>
        <w:rPr>
          <w:b/>
        </w:rPr>
      </w:pPr>
      <w:r>
        <w:rPr>
          <w:b/>
        </w:rPr>
        <w:t>Corresponding author</w:t>
      </w:r>
      <w:r w:rsidRPr="007027B0">
        <w:rPr>
          <w:b/>
        </w:rPr>
        <w:t>:</w:t>
      </w:r>
    </w:p>
    <w:p w:rsidR="00400459" w:rsidRPr="007027B0" w:rsidRDefault="00400459" w:rsidP="00400459">
      <w:pPr>
        <w:ind w:left="1440" w:hanging="1440"/>
      </w:pPr>
      <w:r w:rsidRPr="007027B0">
        <w:t>Address:</w:t>
      </w:r>
      <w:r w:rsidRPr="007027B0">
        <w:tab/>
        <w:t>Dr Shelina Visram</w:t>
      </w:r>
      <w:proofErr w:type="gramStart"/>
      <w:r w:rsidRPr="007027B0">
        <w:t xml:space="preserve">, </w:t>
      </w:r>
      <w:r w:rsidR="00024939">
        <w:t xml:space="preserve"> 5</w:t>
      </w:r>
      <w:r w:rsidR="00024939" w:rsidRPr="00024939">
        <w:rPr>
          <w:vertAlign w:val="superscript"/>
        </w:rPr>
        <w:t>th</w:t>
      </w:r>
      <w:proofErr w:type="gramEnd"/>
      <w:r w:rsidR="00024939">
        <w:t xml:space="preserve"> floor, Sir James Spence Institute, Institute of Health and Society, Royal Victoria Infirmary, Newcastle-upon-Tyne, NE1 4LP, UK.</w:t>
      </w:r>
    </w:p>
    <w:p w:rsidR="00400459" w:rsidRPr="007027B0" w:rsidRDefault="00400459" w:rsidP="00400459">
      <w:r w:rsidRPr="007027B0">
        <w:t>Email:</w:t>
      </w:r>
      <w:r w:rsidRPr="007027B0">
        <w:tab/>
      </w:r>
      <w:r w:rsidRPr="007027B0">
        <w:tab/>
      </w:r>
      <w:hyperlink r:id="rId7" w:history="1">
        <w:r w:rsidR="00024939" w:rsidRPr="00D22C76">
          <w:rPr>
            <w:rStyle w:val="Hyperlink"/>
          </w:rPr>
          <w:t>shelina.visram@newcastle.ac.uk</w:t>
        </w:r>
      </w:hyperlink>
      <w:r w:rsidR="00024939">
        <w:rPr>
          <w:rStyle w:val="Hyperlink"/>
        </w:rPr>
        <w:t xml:space="preserve"> </w:t>
      </w:r>
    </w:p>
    <w:p w:rsidR="00400459" w:rsidRPr="007027B0" w:rsidRDefault="00400459" w:rsidP="00400459">
      <w:r w:rsidRPr="007027B0">
        <w:t>Telephone:</w:t>
      </w:r>
      <w:r w:rsidRPr="007027B0">
        <w:tab/>
        <w:t xml:space="preserve">+44 (0)191 </w:t>
      </w:r>
      <w:r w:rsidR="00024939">
        <w:t>208 2279</w:t>
      </w:r>
    </w:p>
    <w:p w:rsidR="00400459" w:rsidRDefault="00400459">
      <w:pPr>
        <w:rPr>
          <w:b/>
          <w:iCs/>
        </w:rPr>
      </w:pPr>
    </w:p>
    <w:p w:rsidR="00400459" w:rsidRDefault="00400459">
      <w:pPr>
        <w:rPr>
          <w:b/>
        </w:rPr>
      </w:pPr>
      <w:r>
        <w:rPr>
          <w:b/>
        </w:rPr>
        <w:br w:type="page"/>
      </w:r>
    </w:p>
    <w:p w:rsidR="00400459" w:rsidRDefault="00400459" w:rsidP="00400459">
      <w:pPr>
        <w:rPr>
          <w:b/>
        </w:rPr>
      </w:pPr>
      <w:r w:rsidRPr="0032043C">
        <w:rPr>
          <w:b/>
        </w:rPr>
        <w:lastRenderedPageBreak/>
        <w:t>ABSTRACT</w:t>
      </w:r>
    </w:p>
    <w:p w:rsidR="001C3CB0" w:rsidRPr="0032043C" w:rsidRDefault="001C3CB0" w:rsidP="00400459">
      <w:pPr>
        <w:rPr>
          <w:b/>
        </w:rPr>
      </w:pPr>
    </w:p>
    <w:p w:rsidR="00400459" w:rsidRDefault="00400459" w:rsidP="00400459">
      <w:r w:rsidRPr="00041891">
        <w:rPr>
          <w:b/>
        </w:rPr>
        <w:t>Background</w:t>
      </w:r>
      <w:r>
        <w:rPr>
          <w:b/>
        </w:rPr>
        <w:t xml:space="preserve">: </w:t>
      </w:r>
      <w:r w:rsidRPr="00041891">
        <w:t>The Health and Social Care Act 2012 gave councils in England responsibility for improving th</w:t>
      </w:r>
      <w:r w:rsidR="001C3CB0">
        <w:t xml:space="preserve">e health of their populations. </w:t>
      </w:r>
      <w:r w:rsidRPr="00041891">
        <w:t>Public health teams were transferred from the NHS, accompanied by a ri</w:t>
      </w:r>
      <w:r w:rsidR="001C3CB0">
        <w:t xml:space="preserve">ng-fenced public health grant. </w:t>
      </w:r>
      <w:r w:rsidRPr="00041891">
        <w:t xml:space="preserve">This study examines the </w:t>
      </w:r>
      <w:r w:rsidR="001C3CB0">
        <w:t xml:space="preserve">changing role of these teams </w:t>
      </w:r>
      <w:r w:rsidRPr="00041891">
        <w:t xml:space="preserve">within local government.  </w:t>
      </w:r>
    </w:p>
    <w:p w:rsidR="001C3CB0" w:rsidRPr="00041891" w:rsidRDefault="001C3CB0" w:rsidP="00400459">
      <w:pPr>
        <w:rPr>
          <w:b/>
        </w:rPr>
      </w:pPr>
    </w:p>
    <w:p w:rsidR="00400459" w:rsidRDefault="00400459" w:rsidP="00400459">
      <w:r w:rsidRPr="00041891">
        <w:rPr>
          <w:b/>
        </w:rPr>
        <w:t>Methods</w:t>
      </w:r>
      <w:r>
        <w:rPr>
          <w:b/>
        </w:rPr>
        <w:t xml:space="preserve">: </w:t>
      </w:r>
      <w:r w:rsidRPr="00041891">
        <w:t>In-depth case study research was conducted wit</w:t>
      </w:r>
      <w:r w:rsidR="001C3CB0">
        <w:t xml:space="preserve">hin 10 heterogeneous councils. </w:t>
      </w:r>
      <w:r w:rsidRPr="00041891">
        <w:t>Initial interviews (n=90) were carried out between October 2015 and March 2016, with follow-up inte</w:t>
      </w:r>
      <w:r w:rsidR="001C3CB0">
        <w:t xml:space="preserve">rviews (n=21) 12 months later. </w:t>
      </w:r>
      <w:r w:rsidRPr="00041891">
        <w:t xml:space="preserve">Interviewees included </w:t>
      </w:r>
      <w:r w:rsidR="001C3CB0">
        <w:t>elected members, d</w:t>
      </w:r>
      <w:r w:rsidRPr="00041891">
        <w:t xml:space="preserve">irectors of </w:t>
      </w:r>
      <w:r w:rsidR="001C3CB0">
        <w:t>p</w:t>
      </w:r>
      <w:r w:rsidRPr="00041891">
        <w:t xml:space="preserve">ublic </w:t>
      </w:r>
      <w:r w:rsidR="001C3CB0">
        <w:t>h</w:t>
      </w:r>
      <w:r w:rsidRPr="00041891">
        <w:t>ealth (</w:t>
      </w:r>
      <w:proofErr w:type="spellStart"/>
      <w:r w:rsidRPr="00041891">
        <w:t>DsPH</w:t>
      </w:r>
      <w:proofErr w:type="spellEnd"/>
      <w:r w:rsidRPr="00041891">
        <w:t>)</w:t>
      </w:r>
      <w:r w:rsidR="001C3CB0">
        <w:t xml:space="preserve"> and other </w:t>
      </w:r>
      <w:r>
        <w:t xml:space="preserve">local authority officers, </w:t>
      </w:r>
      <w:r w:rsidR="001C3CB0">
        <w:t xml:space="preserve">plus </w:t>
      </w:r>
      <w:r w:rsidRPr="00041891">
        <w:t>representatives from</w:t>
      </w:r>
      <w:r w:rsidR="001C3CB0">
        <w:t xml:space="preserve"> NHS commissioners, </w:t>
      </w:r>
      <w:r w:rsidRPr="00041891">
        <w:t xml:space="preserve">the voluntary sector and Healthwatch.  </w:t>
      </w:r>
    </w:p>
    <w:p w:rsidR="001C3CB0" w:rsidRPr="00041891" w:rsidRDefault="001C3CB0" w:rsidP="00400459"/>
    <w:p w:rsidR="00400459" w:rsidRDefault="00400459" w:rsidP="00400459">
      <w:r w:rsidRPr="00041891">
        <w:rPr>
          <w:b/>
        </w:rPr>
        <w:t>Results</w:t>
      </w:r>
      <w:r>
        <w:rPr>
          <w:b/>
        </w:rPr>
        <w:t xml:space="preserve">: </w:t>
      </w:r>
      <w:r w:rsidRPr="00041891">
        <w:t>Councils welcomed the contribution of public health professionals, but this was balanced against competing demands for financial reso</w:t>
      </w:r>
      <w:r w:rsidR="001C3CB0">
        <w:t xml:space="preserve">urces and democratic leverage. </w:t>
      </w:r>
      <w:proofErr w:type="spellStart"/>
      <w:r w:rsidRPr="00041891">
        <w:t>DsPH</w:t>
      </w:r>
      <w:proofErr w:type="spellEnd"/>
      <w:r w:rsidRPr="00041891">
        <w:t xml:space="preserve"> </w:t>
      </w:r>
      <w:r w:rsidR="009B29E9">
        <w:t xml:space="preserve">– seen by some as a ‘protected species’ – </w:t>
      </w:r>
      <w:r w:rsidRPr="00041891">
        <w:t>were relying increasingly on negotiating and networking skills to fulfil their role. Both the development of the existing specialist public health workforce and recruitment to, and development of, the future workforce were uncertain. This poses both threats and opportunities.</w:t>
      </w:r>
    </w:p>
    <w:p w:rsidR="001C3CB0" w:rsidRPr="00041891" w:rsidRDefault="001C3CB0" w:rsidP="00400459"/>
    <w:p w:rsidR="00400459" w:rsidRPr="00041891" w:rsidRDefault="00400459" w:rsidP="00400459">
      <w:r w:rsidRPr="00041891">
        <w:rPr>
          <w:b/>
        </w:rPr>
        <w:t>Conclusions</w:t>
      </w:r>
      <w:r>
        <w:rPr>
          <w:b/>
        </w:rPr>
        <w:t xml:space="preserve">: </w:t>
      </w:r>
      <w:r w:rsidRPr="00041891">
        <w:t>Currently the need for staff to retain specialist skills and maintain UK</w:t>
      </w:r>
      <w:r>
        <w:t xml:space="preserve">PH registration is respected. </w:t>
      </w:r>
      <w:r w:rsidRPr="00041891">
        <w:t xml:space="preserve">However, action is needed to address how future public health </w:t>
      </w:r>
      <w:r w:rsidR="001C3CB0">
        <w:t xml:space="preserve">professionals </w:t>
      </w:r>
      <w:r w:rsidRPr="00041891">
        <w:t>operating within local government will be recruited and developed.</w:t>
      </w:r>
    </w:p>
    <w:p w:rsidR="00400459" w:rsidRDefault="00400459">
      <w:pPr>
        <w:rPr>
          <w:b/>
          <w:iCs/>
        </w:rPr>
      </w:pPr>
      <w:r>
        <w:rPr>
          <w:b/>
          <w:iCs/>
        </w:rPr>
        <w:br w:type="page"/>
      </w:r>
    </w:p>
    <w:p w:rsidR="00016DA4" w:rsidRDefault="00016DA4" w:rsidP="00650624">
      <w:pPr>
        <w:rPr>
          <w:b/>
        </w:rPr>
      </w:pPr>
      <w:r w:rsidRPr="00650624">
        <w:rPr>
          <w:b/>
        </w:rPr>
        <w:lastRenderedPageBreak/>
        <w:t>INTRODUCTION</w:t>
      </w:r>
    </w:p>
    <w:p w:rsidR="00016DA4" w:rsidRDefault="00363187" w:rsidP="00650624">
      <w:r>
        <w:t>T</w:t>
      </w:r>
      <w:r w:rsidR="00016DA4" w:rsidRPr="00741168">
        <w:t xml:space="preserve">he Health &amp; Social Care Act 2012 gave upper </w:t>
      </w:r>
      <w:r>
        <w:t xml:space="preserve">tier </w:t>
      </w:r>
      <w:r w:rsidR="00016DA4" w:rsidRPr="00741168">
        <w:t>and single tier local authorities in England new responsibilities for improving the health of their populations</w:t>
      </w:r>
      <w:r w:rsidR="00545190">
        <w:t>.</w:t>
      </w:r>
      <w:hyperlink w:anchor="_ENREF_1" w:tooltip="UK Parliament, 2012 #394" w:history="1">
        <w:r w:rsidR="001F4F67">
          <w:fldChar w:fldCharType="begin"/>
        </w:r>
        <w:r w:rsidR="001F4F67">
          <w:instrText xml:space="preserve"> ADDIN EN.CITE &lt;EndNote&gt;&lt;Cite&gt;&lt;Author&gt;UK Parliament&lt;/Author&gt;&lt;Year&gt;2012&lt;/Year&gt;&lt;RecNum&gt;394&lt;/RecNum&gt;&lt;DisplayText&gt;&lt;style face="superscript"&gt;1&lt;/style&gt;&lt;/DisplayText&gt;&lt;record&gt;&lt;rec-number&gt;394&lt;/rec-number&gt;&lt;foreign-keys&gt;&lt;key app="EN" db-id="zwevwa9whxpv23exdxjp525mdewtxrfsfwtz" timestamp="1497517097"&gt;394&lt;/key&gt;&lt;/foreign-keys&gt;&lt;ref-type name="Web Page"&gt;12&lt;/ref-type&gt;&lt;contributors&gt;&lt;authors&gt;&lt;author&gt;UK Parliament,&lt;/author&gt;&lt;/authors&gt;&lt;/contributors&gt;&lt;titles&gt;&lt;title&gt;Health and Social Care Act 2012&lt;/title&gt;&lt;/titles&gt;&lt;dates&gt;&lt;year&gt;2012&lt;/year&gt;&lt;/dates&gt;&lt;pub-location&gt;Norwich&lt;/pub-location&gt;&lt;publisher&gt;The Stationery Office&lt;/publisher&gt;&lt;urls&gt;&lt;related-urls&gt;&lt;url&gt;http://www.legislation.gov.uk/ukpga/2012/7/contents/enacted&lt;/url&gt;&lt;/related-urls&gt;&lt;/urls&gt;&lt;/record&gt;&lt;/Cite&gt;&lt;/EndNote&gt;</w:instrText>
        </w:r>
        <w:r w:rsidR="001F4F67">
          <w:fldChar w:fldCharType="separate"/>
        </w:r>
        <w:r w:rsidR="001F4F67" w:rsidRPr="00545190">
          <w:rPr>
            <w:noProof/>
            <w:vertAlign w:val="superscript"/>
          </w:rPr>
          <w:t>1</w:t>
        </w:r>
        <w:r w:rsidR="001F4F67">
          <w:fldChar w:fldCharType="end"/>
        </w:r>
      </w:hyperlink>
      <w:r w:rsidR="00016DA4" w:rsidRPr="00741168">
        <w:t xml:space="preserve"> Directors of </w:t>
      </w:r>
      <w:r w:rsidR="00545190">
        <w:t>p</w:t>
      </w:r>
      <w:r w:rsidR="00016DA4" w:rsidRPr="00741168">
        <w:t xml:space="preserve">ublic </w:t>
      </w:r>
      <w:r w:rsidR="00545190">
        <w:t>h</w:t>
      </w:r>
      <w:r w:rsidR="00016DA4" w:rsidRPr="00741168">
        <w:t>ealth (</w:t>
      </w:r>
      <w:proofErr w:type="spellStart"/>
      <w:r w:rsidR="00016DA4" w:rsidRPr="00741168">
        <w:t>DsPH</w:t>
      </w:r>
      <w:proofErr w:type="spellEnd"/>
      <w:r w:rsidR="00016DA4" w:rsidRPr="00741168">
        <w:t xml:space="preserve">) and their teams were transferred from the </w:t>
      </w:r>
      <w:r w:rsidR="00545190">
        <w:t>National Health Service (</w:t>
      </w:r>
      <w:r w:rsidR="00016DA4" w:rsidRPr="00741168">
        <w:t>NHS</w:t>
      </w:r>
      <w:r w:rsidR="00545190">
        <w:t>)</w:t>
      </w:r>
      <w:r w:rsidR="00016DA4" w:rsidRPr="00741168">
        <w:t xml:space="preserve"> to local authorities, along with a ri</w:t>
      </w:r>
      <w:r w:rsidR="00545190">
        <w:t xml:space="preserve">ng-fenced public </w:t>
      </w:r>
      <w:r w:rsidR="00545190" w:rsidRPr="00363187">
        <w:t xml:space="preserve">health grant. </w:t>
      </w:r>
      <w:r w:rsidR="00016DA4" w:rsidRPr="00363187">
        <w:t>Section 30 of the Act required local authorities to appoint and employ a DPH</w:t>
      </w:r>
      <w:r w:rsidR="00AA26D5" w:rsidRPr="00363187">
        <w:t>,</w:t>
      </w:r>
      <w:r w:rsidR="00016DA4" w:rsidRPr="00363187">
        <w:t xml:space="preserve"> </w:t>
      </w:r>
      <w:r w:rsidR="00545190" w:rsidRPr="00363187">
        <w:t>with their core purpose being ‘</w:t>
      </w:r>
      <w:r w:rsidR="00016DA4" w:rsidRPr="00363187">
        <w:t>to act as an independent advocate for the health of the population and system leadership for its improvement and protection’.</w:t>
      </w:r>
      <w:hyperlink w:anchor="_ENREF_2" w:tooltip="ADPH, 2016 #1" w:history="1">
        <w:r w:rsidR="001F4F67" w:rsidRPr="00363187">
          <w:fldChar w:fldCharType="begin"/>
        </w:r>
        <w:r w:rsidR="001F4F67" w:rsidRPr="00363187">
          <w:instrText xml:space="preserve"> ADDIN EN.CITE &lt;EndNote&gt;&lt;Cite&gt;&lt;Author&gt;ADPH&lt;/Author&gt;&lt;Year&gt;2016&lt;/Year&gt;&lt;RecNum&gt;1&lt;/RecNum&gt;&lt;DisplayText&gt;&lt;style face="superscript"&gt;2&lt;/style&gt;&lt;/DisplayText&gt;&lt;record&gt;&lt;rec-number&gt;1&lt;/rec-number&gt;&lt;foreign-keys&gt;&lt;key app="EN" db-id="v20xp0ephppefxewpxc5wxagdpzrvaeawfxv" timestamp="1499254466"&gt;1&lt;/key&gt;&lt;/foreign-keys&gt;&lt;ref-type name="Web Page"&gt;12&lt;/ref-type&gt;&lt;contributors&gt;&lt;authors&gt;&lt;author&gt;ADPH,&lt;/author&gt;&lt;/authors&gt;&lt;/contributors&gt;&lt;titles&gt;&lt;title&gt;What is a Director of Public Health?&lt;/title&gt;&lt;/titles&gt;&lt;volume&gt;2017&lt;/volume&gt;&lt;number&gt;8 March&lt;/number&gt;&lt;dates&gt;&lt;year&gt;2016&lt;/year&gt;&lt;/dates&gt;&lt;pub-location&gt;London&lt;/pub-location&gt;&lt;publisher&gt;Association of Directors of Public Health&lt;/publisher&gt;&lt;urls&gt;&lt;related-urls&gt;&lt;url&gt;http://www.adph.org.uk/wp-content/uploads/2016/10/Role-of-a-Director-of-Public-Health.pdf&lt;/url&gt;&lt;/related-urls&gt;&lt;/urls&gt;&lt;/record&gt;&lt;/Cite&gt;&lt;/EndNote&gt;</w:instrText>
        </w:r>
        <w:r w:rsidR="001F4F67" w:rsidRPr="00363187">
          <w:fldChar w:fldCharType="separate"/>
        </w:r>
        <w:r w:rsidR="001F4F67" w:rsidRPr="00363187">
          <w:rPr>
            <w:noProof/>
            <w:vertAlign w:val="superscript"/>
          </w:rPr>
          <w:t>2</w:t>
        </w:r>
        <w:r w:rsidR="001F4F67" w:rsidRPr="00363187">
          <w:fldChar w:fldCharType="end"/>
        </w:r>
      </w:hyperlink>
      <w:hyperlink w:anchor="_ENREF_1" w:tooltip="UK Parliament, 2012 #394" w:history="1"/>
      <w:r w:rsidR="00016DA4" w:rsidRPr="00363187">
        <w:t xml:space="preserve"> </w:t>
      </w:r>
      <w:proofErr w:type="spellStart"/>
      <w:r w:rsidR="00016DA4" w:rsidRPr="00363187">
        <w:t>DsPH</w:t>
      </w:r>
      <w:proofErr w:type="spellEnd"/>
      <w:r w:rsidR="00016DA4" w:rsidRPr="00363187">
        <w:t xml:space="preserve"> should be trained, accredited and registered in specialist public health</w:t>
      </w:r>
      <w:r w:rsidR="00C95D5C" w:rsidRPr="00363187">
        <w:t xml:space="preserve"> with the</w:t>
      </w:r>
      <w:r>
        <w:t xml:space="preserve"> </w:t>
      </w:r>
      <w:r w:rsidR="00C95D5C" w:rsidRPr="00363187">
        <w:t>UK Public Health Register (UKPHR),</w:t>
      </w:r>
      <w:r>
        <w:t xml:space="preserve"> </w:t>
      </w:r>
      <w:r w:rsidRPr="00363187">
        <w:t>General Medical Council</w:t>
      </w:r>
      <w:r>
        <w:t xml:space="preserve"> or</w:t>
      </w:r>
      <w:r w:rsidR="00C95D5C" w:rsidRPr="00363187">
        <w:t xml:space="preserve"> General Dental Council</w:t>
      </w:r>
      <w:r w:rsidR="00016DA4" w:rsidRPr="00363187">
        <w:t>.</w:t>
      </w:r>
      <w:r w:rsidR="00C95D5C" w:rsidRPr="00363187">
        <w:t xml:space="preserve"> </w:t>
      </w:r>
      <w:r w:rsidR="00016DA4" w:rsidRPr="00363187">
        <w:t>There are two</w:t>
      </w:r>
      <w:r>
        <w:t xml:space="preserve"> </w:t>
      </w:r>
      <w:r w:rsidR="00016DA4" w:rsidRPr="00363187">
        <w:t xml:space="preserve">routes to gaining registration on the </w:t>
      </w:r>
      <w:r w:rsidR="00AA26D5" w:rsidRPr="00363187">
        <w:t xml:space="preserve">UKPHR – the </w:t>
      </w:r>
      <w:r>
        <w:t xml:space="preserve">standard specialist </w:t>
      </w:r>
      <w:r w:rsidR="00016DA4" w:rsidRPr="00363187">
        <w:t xml:space="preserve">route and the </w:t>
      </w:r>
      <w:r>
        <w:t xml:space="preserve">practitioner </w:t>
      </w:r>
      <w:r w:rsidR="00016DA4" w:rsidRPr="00363187">
        <w:t xml:space="preserve">route </w:t>
      </w:r>
      <w:r w:rsidR="00AA26D5" w:rsidRPr="00363187">
        <w:t xml:space="preserve">– which </w:t>
      </w:r>
      <w:r w:rsidR="00016DA4" w:rsidRPr="00363187">
        <w:t>are designed to describe level</w:t>
      </w:r>
      <w:r>
        <w:t>s</w:t>
      </w:r>
      <w:r w:rsidR="00016DA4" w:rsidRPr="00363187">
        <w:t xml:space="preserve"> of practice, not specific job role</w:t>
      </w:r>
      <w:r>
        <w:t>s</w:t>
      </w:r>
      <w:r w:rsidR="00016DA4" w:rsidRPr="00363187">
        <w:t>.</w:t>
      </w:r>
      <w:hyperlink w:anchor="_ENREF_3" w:tooltip="UKPHR, 2014 #2" w:history="1">
        <w:r w:rsidR="001F4F67" w:rsidRPr="00363187">
          <w:fldChar w:fldCharType="begin"/>
        </w:r>
        <w:r w:rsidR="001F4F67" w:rsidRPr="00363187">
          <w:instrText xml:space="preserve"> ADDIN EN.CITE &lt;EndNote&gt;&lt;Cite&gt;&lt;Author&gt;UKPHR&lt;/Author&gt;&lt;Year&gt;2014&lt;/Year&gt;&lt;RecNum&gt;2&lt;/RecNum&gt;&lt;DisplayText&gt;&lt;style face="superscript"&gt;3&lt;/style&gt;&lt;/DisplayText&gt;&lt;record&gt;&lt;rec-number&gt;2&lt;/rec-number&gt;&lt;foreign-keys&gt;&lt;key app="EN" db-id="v20xp0ephppefxewpxc5wxagdpzrvaeawfxv" timestamp="1499254544"&gt;2&lt;/key&gt;&lt;/foreign-keys&gt;&lt;ref-type name="Web Page"&gt;12&lt;/ref-type&gt;&lt;contributors&gt;&lt;authors&gt;&lt;author&gt;UKPHR,&lt;/author&gt;&lt;/authors&gt;&lt;/contributors&gt;&lt;titles&gt;&lt;title&gt;Public Health Practitioner Standards for Registration&lt;/title&gt;&lt;/titles&gt;&lt;volume&gt;2016&lt;/volume&gt;&lt;number&gt;13 December&lt;/number&gt;&lt;dates&gt;&lt;year&gt;2014&lt;/year&gt;&lt;/dates&gt;&lt;pub-location&gt;Birmingham&lt;/pub-location&gt;&lt;publisher&gt;UK Public Health Register&lt;/publisher&gt;&lt;urls&gt;&lt;related-urls&gt;&lt;url&gt;http://www.ukphr.org/wp-content/uploads/2014/08/UKPHR-Practitioner-Standards-14.pdf&lt;/url&gt;&lt;/related-urls&gt;&lt;/urls&gt;&lt;/record&gt;&lt;/Cite&gt;&lt;/EndNote&gt;</w:instrText>
        </w:r>
        <w:r w:rsidR="001F4F67" w:rsidRPr="00363187">
          <w:fldChar w:fldCharType="separate"/>
        </w:r>
        <w:r w:rsidR="001F4F67" w:rsidRPr="00363187">
          <w:rPr>
            <w:noProof/>
            <w:vertAlign w:val="superscript"/>
          </w:rPr>
          <w:t>3</w:t>
        </w:r>
        <w:r w:rsidR="001F4F67" w:rsidRPr="00363187">
          <w:fldChar w:fldCharType="end"/>
        </w:r>
      </w:hyperlink>
      <w:r w:rsidRPr="00363187">
        <w:rPr>
          <w:rFonts w:ascii="Arial" w:hAnsi="Arial" w:cs="Arial"/>
          <w:color w:val="FFFF99"/>
          <w:sz w:val="20"/>
          <w:szCs w:val="20"/>
          <w:lang w:val="en-US"/>
        </w:rPr>
        <w:t xml:space="preserve"> </w:t>
      </w:r>
      <w:r w:rsidRPr="00363187">
        <w:rPr>
          <w:lang w:val="en-US"/>
        </w:rPr>
        <w:t>The standard route entails completion of higher specialist training</w:t>
      </w:r>
      <w:r w:rsidR="00C95D5C" w:rsidRPr="00363187">
        <w:t xml:space="preserve"> </w:t>
      </w:r>
      <w:r>
        <w:t xml:space="preserve">using </w:t>
      </w:r>
      <w:r w:rsidR="00C95D5C">
        <w:t xml:space="preserve">a curriculum revised </w:t>
      </w:r>
      <w:r>
        <w:t xml:space="preserve">in 2015 </w:t>
      </w:r>
      <w:r w:rsidR="00C95D5C">
        <w:t xml:space="preserve">by the UK Faculty of Public Health in light of the reforms. </w:t>
      </w:r>
      <w:r w:rsidR="00016DA4" w:rsidRPr="00741168">
        <w:t xml:space="preserve">Alongside this is the Public Health Skills and Knowledge Framework, updated in 2016 to </w:t>
      </w:r>
      <w:r w:rsidR="00AA26D5">
        <w:t xml:space="preserve">reflect </w:t>
      </w:r>
      <w:r w:rsidR="00016DA4" w:rsidRPr="00741168">
        <w:t xml:space="preserve">changes in </w:t>
      </w:r>
      <w:r w:rsidR="00AA26D5">
        <w:t xml:space="preserve">public health </w:t>
      </w:r>
      <w:r w:rsidR="00016DA4" w:rsidRPr="00741168">
        <w:t>policy, practice and workforce planning across the UK.</w:t>
      </w:r>
      <w:hyperlink w:anchor="_ENREF_4" w:tooltip="PHE, 2016 #3" w:history="1">
        <w:r w:rsidR="001F4F67">
          <w:fldChar w:fldCharType="begin"/>
        </w:r>
        <w:r w:rsidR="001F4F67">
          <w:instrText xml:space="preserve"> ADDIN EN.CITE &lt;EndNote&gt;&lt;Cite&gt;&lt;Author&gt;PHE&lt;/Author&gt;&lt;Year&gt;2016&lt;/Year&gt;&lt;RecNum&gt;3&lt;/RecNum&gt;&lt;DisplayText&gt;&lt;style face="superscript"&gt;4&lt;/style&gt;&lt;/DisplayText&gt;&lt;record&gt;&lt;rec-number&gt;3&lt;/rec-number&gt;&lt;foreign-keys&gt;&lt;key app="EN" db-id="v20xp0ephppefxewpxc5wxagdpzrvaeawfxv" timestamp="1499254655"&gt;3&lt;/key&gt;&lt;/foreign-keys&gt;&lt;ref-type name="Report"&gt;27&lt;/ref-type&gt;&lt;contributors&gt;&lt;authors&gt;&lt;author&gt;PHE,&lt;/author&gt;&lt;/authors&gt;&lt;/contributors&gt;&lt;titles&gt;&lt;title&gt;Public Health Skills and Knowledge Framework&lt;/title&gt;&lt;/titles&gt;&lt;dates&gt;&lt;year&gt;2016&lt;/year&gt;&lt;/dates&gt;&lt;pub-location&gt;London&lt;/pub-location&gt;&lt;publisher&gt;Public Health England&lt;/publisher&gt;&lt;urls&gt;&lt;/urls&gt;&lt;/record&gt;&lt;/Cite&gt;&lt;/EndNote&gt;</w:instrText>
        </w:r>
        <w:r w:rsidR="001F4F67">
          <w:fldChar w:fldCharType="separate"/>
        </w:r>
        <w:r w:rsidR="001F4F67" w:rsidRPr="00AA26D5">
          <w:rPr>
            <w:noProof/>
            <w:vertAlign w:val="superscript"/>
          </w:rPr>
          <w:t>4</w:t>
        </w:r>
        <w:r w:rsidR="001F4F67">
          <w:fldChar w:fldCharType="end"/>
        </w:r>
      </w:hyperlink>
      <w:r w:rsidR="00016DA4" w:rsidRPr="00741168">
        <w:t xml:space="preserve">  </w:t>
      </w:r>
    </w:p>
    <w:p w:rsidR="00016DA4" w:rsidRDefault="00AA26D5" w:rsidP="00DB4640">
      <w:r>
        <w:t>The 2013 Public Health</w:t>
      </w:r>
      <w:r w:rsidR="00016DA4">
        <w:t xml:space="preserve"> Workforce Strategy </w:t>
      </w:r>
      <w:r w:rsidR="00016DA4" w:rsidRPr="00741168">
        <w:t>included a commitment to introduce statutory regulation for all public health</w:t>
      </w:r>
      <w:r w:rsidR="00363187">
        <w:t xml:space="preserve"> professionals</w:t>
      </w:r>
      <w:r w:rsidR="00016DA4" w:rsidRPr="00741168">
        <w:t>, but this was subsequently reversed.</w:t>
      </w:r>
      <w:hyperlink w:anchor="_ENREF_5" w:tooltip="Public Health Policy and Strategy Unit, 2016 #5" w:history="1">
        <w:r w:rsidR="001F4F67">
          <w:fldChar w:fldCharType="begin"/>
        </w:r>
        <w:r w:rsidR="001F4F67">
          <w:instrText xml:space="preserve"> ADDIN EN.CITE &lt;EndNote&gt;&lt;Cite&gt;&lt;Author&gt;Public Health Policy and Strategy Unit&lt;/Author&gt;&lt;Year&gt;2016&lt;/Year&gt;&lt;RecNum&gt;5&lt;/RecNum&gt;&lt;DisplayText&gt;&lt;style face="superscript"&gt;5&lt;/style&gt;&lt;/DisplayText&gt;&lt;record&gt;&lt;rec-number&gt;5&lt;/rec-number&gt;&lt;foreign-keys&gt;&lt;key app="EN" db-id="v20xp0ephppefxewpxc5wxagdpzrvaeawfxv" timestamp="1499255093"&gt;5&lt;/key&gt;&lt;/foreign-keys&gt;&lt;ref-type name="Report"&gt;27&lt;/ref-type&gt;&lt;contributors&gt;&lt;authors&gt;&lt;author&gt;Public Health Policy and Strategy Unit,&lt;/author&gt;&lt;/authors&gt;&lt;/contributors&gt;&lt;titles&gt;&lt;title&gt;Healthy lives, healthy people:  A review of the 2013 public health workforce strategy&lt;/title&gt;&lt;/titles&gt;&lt;dates&gt;&lt;year&gt;2016&lt;/year&gt;&lt;/dates&gt;&lt;pub-location&gt;London&lt;/pub-location&gt;&lt;publisher&gt;Department of Health, PHE and LGA&lt;/publisher&gt;&lt;urls&gt;&lt;/urls&gt;&lt;/record&gt;&lt;/Cite&gt;&lt;/EndNote&gt;</w:instrText>
        </w:r>
        <w:r w:rsidR="001F4F67">
          <w:fldChar w:fldCharType="separate"/>
        </w:r>
        <w:r w:rsidR="001F4F67" w:rsidRPr="00AA26D5">
          <w:rPr>
            <w:noProof/>
            <w:vertAlign w:val="superscript"/>
          </w:rPr>
          <w:t>5</w:t>
        </w:r>
        <w:r w:rsidR="001F4F67">
          <w:fldChar w:fldCharType="end"/>
        </w:r>
      </w:hyperlink>
      <w:r w:rsidR="00016DA4" w:rsidRPr="00741168">
        <w:t xml:space="preserve">  As a consequence, there is no statutory requirement for those without a medical background to </w:t>
      </w:r>
      <w:r w:rsidR="00016DA4">
        <w:t xml:space="preserve">undertake </w:t>
      </w:r>
      <w:r w:rsidR="00016DA4" w:rsidRPr="00741168">
        <w:t xml:space="preserve">continuing professional development (CPD) </w:t>
      </w:r>
      <w:r>
        <w:t xml:space="preserve">in order to remain registered. </w:t>
      </w:r>
      <w:r w:rsidR="00016DA4" w:rsidRPr="00741168">
        <w:t>The House of Commons Health Committee report on public health post-2013 noted</w:t>
      </w:r>
      <w:r w:rsidR="00016DA4">
        <w:t xml:space="preserve"> that specialist </w:t>
      </w:r>
      <w:r w:rsidR="00016DA4" w:rsidRPr="00741168">
        <w:t>public health training continues to be a popular choice amongst applicants from a range of backgrounds, inclu</w:t>
      </w:r>
      <w:r w:rsidR="00016DA4">
        <w:t>ding medicine.</w:t>
      </w:r>
      <w:hyperlink w:anchor="_ENREF_6" w:tooltip="UK Parliament, 2016 #6" w:history="1">
        <w:r w:rsidR="001F4F67">
          <w:fldChar w:fldCharType="begin"/>
        </w:r>
        <w:r w:rsidR="001F4F67">
          <w:instrText xml:space="preserve"> ADDIN EN.CITE &lt;EndNote&gt;&lt;Cite&gt;&lt;Author&gt;UK Parliament&lt;/Author&gt;&lt;Year&gt;2016&lt;/Year&gt;&lt;RecNum&gt;6&lt;/RecNum&gt;&lt;DisplayText&gt;&lt;style face="superscript"&gt;6&lt;/style&gt;&lt;/DisplayText&gt;&lt;record&gt;&lt;rec-number&gt;6&lt;/rec-number&gt;&lt;foreign-keys&gt;&lt;key app="EN" db-id="v20xp0ephppefxewpxc5wxagdpzrvaeawfxv" timestamp="1499255270"&gt;6&lt;/key&gt;&lt;/foreign-keys&gt;&lt;ref-type name="Report"&gt;27&lt;/ref-type&gt;&lt;contributors&gt;&lt;authors&gt;&lt;author&gt;UK Parliament,&lt;/author&gt;&lt;/authors&gt;&lt;/contributors&gt;&lt;titles&gt;&lt;title&gt;Public Health post-2013. Second report of session 2016-17&lt;/title&gt;&lt;/titles&gt;&lt;dates&gt;&lt;year&gt;2016&lt;/year&gt;&lt;/dates&gt;&lt;pub-location&gt;London&lt;/pub-location&gt;&lt;publisher&gt;House of Commons Health Committee&lt;/publisher&gt;&lt;urls&gt;&lt;/urls&gt;&lt;/record&gt;&lt;/Cite&gt;&lt;/EndNote&gt;</w:instrText>
        </w:r>
        <w:r w:rsidR="001F4F67">
          <w:fldChar w:fldCharType="separate"/>
        </w:r>
        <w:r w:rsidR="001F4F67" w:rsidRPr="00AA26D5">
          <w:rPr>
            <w:noProof/>
            <w:vertAlign w:val="superscript"/>
          </w:rPr>
          <w:t>6</w:t>
        </w:r>
        <w:r w:rsidR="001F4F67">
          <w:fldChar w:fldCharType="end"/>
        </w:r>
      </w:hyperlink>
      <w:r w:rsidR="00016DA4">
        <w:t xml:space="preserve"> However, it</w:t>
      </w:r>
      <w:r w:rsidR="00016DA4" w:rsidRPr="00741168">
        <w:t xml:space="preserve"> </w:t>
      </w:r>
      <w:r w:rsidR="00016DA4">
        <w:t xml:space="preserve">also </w:t>
      </w:r>
      <w:r w:rsidR="00016DA4" w:rsidRPr="00741168">
        <w:t xml:space="preserve">noted cuts to local government spending and identified </w:t>
      </w:r>
      <w:r w:rsidR="00DB4640">
        <w:t>‘</w:t>
      </w:r>
      <w:r w:rsidR="00DB4640" w:rsidRPr="00DB4640">
        <w:t>regulatory blocks created by differences in terms and conditions between organisations</w:t>
      </w:r>
      <w:r w:rsidR="00DB4640">
        <w:t>’</w:t>
      </w:r>
      <w:r w:rsidR="00363187">
        <w:t xml:space="preserve"> </w:t>
      </w:r>
      <w:r w:rsidR="00DB4640" w:rsidRPr="00DB4640">
        <w:t xml:space="preserve">that limit </w:t>
      </w:r>
      <w:r w:rsidR="00DB4640">
        <w:t xml:space="preserve">or discourage </w:t>
      </w:r>
      <w:r w:rsidR="00DB4640" w:rsidRPr="00DB4640">
        <w:t>movement</w:t>
      </w:r>
      <w:r w:rsidR="00622EA5">
        <w:t xml:space="preserve"> </w:t>
      </w:r>
      <w:r w:rsidR="00622EA5" w:rsidRPr="00741168">
        <w:t>in order to gain breadth of experience</w:t>
      </w:r>
      <w:r w:rsidR="00016DA4">
        <w:t xml:space="preserve">. Finally, there is no dataset to assess how the </w:t>
      </w:r>
      <w:r w:rsidR="00357C00">
        <w:t xml:space="preserve">public health </w:t>
      </w:r>
      <w:r w:rsidR="00016DA4">
        <w:t>workforce is changing over time</w:t>
      </w:r>
      <w:r w:rsidR="00016DA4" w:rsidRPr="00741168">
        <w:t xml:space="preserve">. </w:t>
      </w:r>
    </w:p>
    <w:p w:rsidR="00545190" w:rsidRPr="00306B63" w:rsidRDefault="00545190" w:rsidP="00545190">
      <w:r w:rsidRPr="00306B63">
        <w:t xml:space="preserve">This study examines the place of public health </w:t>
      </w:r>
      <w:r w:rsidR="00357C00">
        <w:t xml:space="preserve">professionals </w:t>
      </w:r>
      <w:r w:rsidRPr="00306B63">
        <w:t xml:space="preserve">within local government. It reflects on changes generated by the move </w:t>
      </w:r>
      <w:r>
        <w:t xml:space="preserve">of public health </w:t>
      </w:r>
      <w:r w:rsidRPr="00306B63">
        <w:t>to local government, the challenges of adapting to its new setting</w:t>
      </w:r>
      <w:r>
        <w:t>,</w:t>
      </w:r>
      <w:r w:rsidRPr="00306B63">
        <w:t xml:space="preserve"> and likely future demands.  </w:t>
      </w:r>
    </w:p>
    <w:p w:rsidR="00650624" w:rsidRDefault="00650624" w:rsidP="00650624">
      <w:pPr>
        <w:rPr>
          <w:b/>
        </w:rPr>
      </w:pPr>
    </w:p>
    <w:p w:rsidR="00016DA4" w:rsidRPr="00650624" w:rsidRDefault="00016DA4" w:rsidP="00650624">
      <w:pPr>
        <w:rPr>
          <w:b/>
        </w:rPr>
      </w:pPr>
      <w:r w:rsidRPr="00650624">
        <w:rPr>
          <w:b/>
        </w:rPr>
        <w:t xml:space="preserve">METHODS </w:t>
      </w:r>
    </w:p>
    <w:p w:rsidR="00357C00" w:rsidRDefault="00016DA4" w:rsidP="00650624">
      <w:r w:rsidRPr="00741168">
        <w:t>This paper draws on a Department of Health Policy Research Programme</w:t>
      </w:r>
      <w:r>
        <w:t xml:space="preserve"> funded project </w:t>
      </w:r>
      <w:r w:rsidR="00AA26D5">
        <w:t xml:space="preserve">that sought to </w:t>
      </w:r>
      <w:r>
        <w:t xml:space="preserve">evaluate the impact of the </w:t>
      </w:r>
      <w:r w:rsidR="00AA26D5">
        <w:t xml:space="preserve">2013 public health </w:t>
      </w:r>
      <w:r>
        <w:t>reforms</w:t>
      </w:r>
      <w:r w:rsidR="00AA26D5">
        <w:t>.</w:t>
      </w:r>
      <w:r w:rsidRPr="00741168">
        <w:t xml:space="preserve"> </w:t>
      </w:r>
      <w:r>
        <w:t xml:space="preserve">It involved </w:t>
      </w:r>
      <w:r w:rsidRPr="00741168">
        <w:t xml:space="preserve">in-depth case studies of 10 </w:t>
      </w:r>
      <w:r>
        <w:t xml:space="preserve">local authorities, </w:t>
      </w:r>
      <w:r w:rsidR="00357C00">
        <w:t xml:space="preserve">which </w:t>
      </w:r>
      <w:r w:rsidR="00357C00" w:rsidRPr="00741168">
        <w:t>were identified through purposive sampling</w:t>
      </w:r>
      <w:r w:rsidR="00357C00">
        <w:t xml:space="preserve"> to ensure </w:t>
      </w:r>
      <w:r w:rsidR="00357C00" w:rsidRPr="00741168">
        <w:t>a balance of political control, urban and rural mix, levels of deprivation</w:t>
      </w:r>
      <w:r w:rsidR="00357C00">
        <w:t>,</w:t>
      </w:r>
      <w:r w:rsidR="00357C00" w:rsidRPr="00741168">
        <w:t xml:space="preserve"> and local government structure from all </w:t>
      </w:r>
      <w:r w:rsidR="00357C00">
        <w:t xml:space="preserve">English </w:t>
      </w:r>
      <w:r w:rsidR="00357C00" w:rsidRPr="00741168">
        <w:t>regions.</w:t>
      </w:r>
      <w:r w:rsidR="00357C00">
        <w:t xml:space="preserve"> The main method used was semi-structured interviewing, although the project also involved documentary analysis</w:t>
      </w:r>
      <w:r w:rsidRPr="00741168">
        <w:t xml:space="preserve"> and observation of key meetings. Interviewees included </w:t>
      </w:r>
      <w:r w:rsidR="00357C00">
        <w:t>elected members</w:t>
      </w:r>
      <w:r>
        <w:t xml:space="preserve">, </w:t>
      </w:r>
      <w:proofErr w:type="spellStart"/>
      <w:r w:rsidRPr="00741168">
        <w:t>DsPH</w:t>
      </w:r>
      <w:proofErr w:type="spellEnd"/>
      <w:r w:rsidRPr="00741168">
        <w:t xml:space="preserve"> and other local authority offic</w:t>
      </w:r>
      <w:r w:rsidR="00AA26D5">
        <w:t xml:space="preserve">ers, and representatives from </w:t>
      </w:r>
      <w:r w:rsidRPr="00741168">
        <w:t>NHS commissioners, the voluntary, community and social enterprise (VCSE) sector and Healthwatch (the consumer champion for health a</w:t>
      </w:r>
      <w:r w:rsidR="00AA26D5">
        <w:t xml:space="preserve">nd social care in England). </w:t>
      </w:r>
      <w:r w:rsidR="00AA26D5" w:rsidRPr="00357C00">
        <w:t>See t</w:t>
      </w:r>
      <w:r w:rsidRPr="00357C00">
        <w:t>able 1</w:t>
      </w:r>
      <w:r w:rsidR="00AA26D5" w:rsidRPr="00357C00">
        <w:t>.</w:t>
      </w:r>
      <w:r w:rsidR="00AA26D5">
        <w:t xml:space="preserve"> </w:t>
      </w:r>
    </w:p>
    <w:p w:rsidR="00AE5027" w:rsidRPr="005C741C" w:rsidRDefault="00AE5027" w:rsidP="00AE5027">
      <w:pPr>
        <w:ind w:left="1440" w:hanging="1440"/>
        <w:rPr>
          <w:sz w:val="2"/>
        </w:rPr>
      </w:pPr>
    </w:p>
    <w:p w:rsidR="00AE5027" w:rsidRPr="002D3143" w:rsidRDefault="00AE5027" w:rsidP="00AE5027">
      <w:pPr>
        <w:rPr>
          <w:b/>
        </w:rPr>
      </w:pPr>
      <w:r w:rsidRPr="002D3143">
        <w:rPr>
          <w:b/>
        </w:rPr>
        <w:t xml:space="preserve">Table 1:  Interviewee </w:t>
      </w:r>
      <w:r>
        <w:rPr>
          <w:b/>
        </w:rPr>
        <w:t>b</w:t>
      </w:r>
      <w:r w:rsidRPr="002D3143">
        <w:rPr>
          <w:b/>
        </w:rPr>
        <w:t>reakdown</w:t>
      </w:r>
    </w:p>
    <w:tbl>
      <w:tblPr>
        <w:tblStyle w:val="TableGrid"/>
        <w:tblW w:w="0" w:type="auto"/>
        <w:tblInd w:w="0" w:type="dxa"/>
        <w:tblLook w:val="04A0" w:firstRow="1" w:lastRow="0" w:firstColumn="1" w:lastColumn="0" w:noHBand="0" w:noVBand="1"/>
      </w:tblPr>
      <w:tblGrid>
        <w:gridCol w:w="6142"/>
        <w:gridCol w:w="1408"/>
        <w:gridCol w:w="1466"/>
      </w:tblGrid>
      <w:tr w:rsidR="00AE5027" w:rsidRPr="00D93602" w:rsidTr="00B27589">
        <w:tc>
          <w:tcPr>
            <w:tcW w:w="6345" w:type="dxa"/>
            <w:tcBorders>
              <w:top w:val="single" w:sz="4" w:space="0" w:color="auto"/>
              <w:left w:val="single" w:sz="4" w:space="0" w:color="auto"/>
              <w:bottom w:val="single" w:sz="4" w:space="0" w:color="auto"/>
              <w:right w:val="single" w:sz="4" w:space="0" w:color="auto"/>
            </w:tcBorders>
            <w:vAlign w:val="center"/>
            <w:hideMark/>
          </w:tcPr>
          <w:p w:rsidR="00AE5027" w:rsidRPr="00D93602" w:rsidRDefault="00AE5027" w:rsidP="00B27589">
            <w:pPr>
              <w:jc w:val="center"/>
              <w:rPr>
                <w:b/>
                <w:bCs/>
              </w:rPr>
            </w:pPr>
            <w:r>
              <w:rPr>
                <w:b/>
                <w:bCs/>
              </w:rPr>
              <w:lastRenderedPageBreak/>
              <w:t>Roles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5027" w:rsidRPr="00D93602" w:rsidRDefault="00AE5027" w:rsidP="00B27589">
            <w:pPr>
              <w:jc w:val="center"/>
              <w:rPr>
                <w:b/>
                <w:bCs/>
              </w:rPr>
            </w:pPr>
            <w:r>
              <w:rPr>
                <w:b/>
                <w:bCs/>
              </w:rPr>
              <w:t xml:space="preserve">Initial </w:t>
            </w:r>
            <w:r w:rsidRPr="00D93602">
              <w:rPr>
                <w:b/>
                <w:bCs/>
              </w:rPr>
              <w:t>interviews</w:t>
            </w:r>
          </w:p>
        </w:tc>
        <w:tc>
          <w:tcPr>
            <w:tcW w:w="1479" w:type="dxa"/>
            <w:tcBorders>
              <w:top w:val="single" w:sz="4" w:space="0" w:color="auto"/>
              <w:left w:val="single" w:sz="4" w:space="0" w:color="auto"/>
              <w:bottom w:val="single" w:sz="4" w:space="0" w:color="auto"/>
              <w:right w:val="single" w:sz="4" w:space="0" w:color="auto"/>
            </w:tcBorders>
            <w:vAlign w:val="center"/>
            <w:hideMark/>
          </w:tcPr>
          <w:p w:rsidR="00AE5027" w:rsidRPr="00D93602" w:rsidRDefault="00AE5027" w:rsidP="00B27589">
            <w:pPr>
              <w:jc w:val="center"/>
              <w:rPr>
                <w:b/>
                <w:bCs/>
              </w:rPr>
            </w:pPr>
            <w:r>
              <w:rPr>
                <w:b/>
                <w:bCs/>
              </w:rPr>
              <w:t xml:space="preserve">Follow-up </w:t>
            </w:r>
            <w:r w:rsidRPr="00D93602">
              <w:rPr>
                <w:b/>
                <w:bCs/>
              </w:rPr>
              <w:t>interviews</w:t>
            </w:r>
          </w:p>
        </w:tc>
      </w:tr>
      <w:tr w:rsidR="00AE5027" w:rsidRPr="00D93602" w:rsidTr="00B27589">
        <w:tc>
          <w:tcPr>
            <w:tcW w:w="6345"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rPr>
                <w:bCs/>
              </w:rPr>
            </w:pPr>
            <w:r w:rsidRPr="00D93602">
              <w:rPr>
                <w:bCs/>
              </w:rPr>
              <w:t>DPH</w:t>
            </w:r>
            <w:r>
              <w:rPr>
                <w:bCs/>
              </w:rPr>
              <w:t xml:space="preserve"> </w:t>
            </w:r>
          </w:p>
        </w:tc>
        <w:tc>
          <w:tcPr>
            <w:tcW w:w="1418"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 xml:space="preserve">11 </w:t>
            </w:r>
          </w:p>
        </w:tc>
        <w:tc>
          <w:tcPr>
            <w:tcW w:w="1479"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Pr>
                <w:bCs/>
              </w:rPr>
              <w:t>9</w:t>
            </w:r>
          </w:p>
        </w:tc>
      </w:tr>
      <w:tr w:rsidR="00AE5027" w:rsidRPr="00D93602" w:rsidTr="00B27589">
        <w:tc>
          <w:tcPr>
            <w:tcW w:w="6345"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rPr>
                <w:bCs/>
              </w:rPr>
            </w:pPr>
            <w:r w:rsidRPr="00D93602">
              <w:rPr>
                <w:bCs/>
              </w:rPr>
              <w:t>VCSE sector</w:t>
            </w:r>
            <w:r>
              <w:rPr>
                <w:bCs/>
              </w:rPr>
              <w:t xml:space="preserve"> </w:t>
            </w:r>
          </w:p>
        </w:tc>
        <w:tc>
          <w:tcPr>
            <w:tcW w:w="1418"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10</w:t>
            </w:r>
          </w:p>
        </w:tc>
        <w:tc>
          <w:tcPr>
            <w:tcW w:w="1479"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1</w:t>
            </w:r>
          </w:p>
        </w:tc>
      </w:tr>
      <w:tr w:rsidR="00AE5027" w:rsidRPr="00D93602" w:rsidTr="00B27589">
        <w:tc>
          <w:tcPr>
            <w:tcW w:w="6345"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rPr>
                <w:bCs/>
              </w:rPr>
            </w:pPr>
            <w:r w:rsidRPr="00D93602">
              <w:rPr>
                <w:bCs/>
              </w:rPr>
              <w:t>Director with responsibility for adult social care</w:t>
            </w:r>
          </w:p>
        </w:tc>
        <w:tc>
          <w:tcPr>
            <w:tcW w:w="1418"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9</w:t>
            </w:r>
          </w:p>
        </w:tc>
        <w:tc>
          <w:tcPr>
            <w:tcW w:w="1479"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2</w:t>
            </w:r>
          </w:p>
        </w:tc>
      </w:tr>
      <w:tr w:rsidR="00AE5027" w:rsidRPr="00D93602" w:rsidTr="00B27589">
        <w:tc>
          <w:tcPr>
            <w:tcW w:w="6345"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rPr>
                <w:bCs/>
              </w:rPr>
            </w:pPr>
            <w:r w:rsidRPr="00D93602">
              <w:rPr>
                <w:bCs/>
              </w:rPr>
              <w:t>Director with re</w:t>
            </w:r>
            <w:r>
              <w:rPr>
                <w:bCs/>
              </w:rPr>
              <w:t>s</w:t>
            </w:r>
            <w:r w:rsidRPr="00D93602">
              <w:rPr>
                <w:bCs/>
              </w:rPr>
              <w:t>ponsibility for ch</w:t>
            </w:r>
            <w:r>
              <w:rPr>
                <w:bCs/>
              </w:rPr>
              <w:t>i</w:t>
            </w:r>
            <w:r w:rsidRPr="00D93602">
              <w:rPr>
                <w:bCs/>
              </w:rPr>
              <w:t>ldren</w:t>
            </w:r>
            <w:r>
              <w:rPr>
                <w:bCs/>
              </w:rPr>
              <w:t xml:space="preserve"> and</w:t>
            </w:r>
            <w:r w:rsidRPr="00D93602">
              <w:rPr>
                <w:bCs/>
              </w:rPr>
              <w:t xml:space="preserve"> young people’s services</w:t>
            </w:r>
          </w:p>
        </w:tc>
        <w:tc>
          <w:tcPr>
            <w:tcW w:w="1418"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8</w:t>
            </w:r>
          </w:p>
        </w:tc>
        <w:tc>
          <w:tcPr>
            <w:tcW w:w="1479"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1</w:t>
            </w:r>
          </w:p>
        </w:tc>
      </w:tr>
      <w:tr w:rsidR="00AE5027" w:rsidRPr="00D93602" w:rsidTr="00B27589">
        <w:tc>
          <w:tcPr>
            <w:tcW w:w="6345" w:type="dxa"/>
            <w:tcBorders>
              <w:top w:val="single" w:sz="4" w:space="0" w:color="auto"/>
              <w:left w:val="single" w:sz="4" w:space="0" w:color="auto"/>
              <w:bottom w:val="single" w:sz="4" w:space="0" w:color="auto"/>
              <w:right w:val="single" w:sz="4" w:space="0" w:color="auto"/>
            </w:tcBorders>
            <w:hideMark/>
          </w:tcPr>
          <w:p w:rsidR="00AE5027" w:rsidRPr="00D93602" w:rsidRDefault="00AE5027" w:rsidP="00B27589">
            <w:pPr>
              <w:rPr>
                <w:bCs/>
              </w:rPr>
            </w:pPr>
            <w:r>
              <w:rPr>
                <w:bCs/>
              </w:rPr>
              <w:t>Elected member (Health and Wellbeing Board chair)</w:t>
            </w:r>
          </w:p>
        </w:tc>
        <w:tc>
          <w:tcPr>
            <w:tcW w:w="1418" w:type="dxa"/>
            <w:tcBorders>
              <w:top w:val="single" w:sz="4" w:space="0" w:color="auto"/>
              <w:left w:val="single" w:sz="4" w:space="0" w:color="auto"/>
              <w:bottom w:val="single" w:sz="4" w:space="0" w:color="auto"/>
              <w:right w:val="single" w:sz="4" w:space="0" w:color="auto"/>
            </w:tcBorders>
            <w:hideMark/>
          </w:tcPr>
          <w:p w:rsidR="00AE5027" w:rsidRPr="00D93602" w:rsidRDefault="00AE5027" w:rsidP="00B27589">
            <w:pPr>
              <w:jc w:val="center"/>
              <w:rPr>
                <w:bCs/>
              </w:rPr>
            </w:pPr>
            <w:r w:rsidRPr="00D93602">
              <w:rPr>
                <w:bCs/>
              </w:rPr>
              <w:t>8</w:t>
            </w:r>
          </w:p>
        </w:tc>
        <w:tc>
          <w:tcPr>
            <w:tcW w:w="1479" w:type="dxa"/>
            <w:tcBorders>
              <w:top w:val="single" w:sz="4" w:space="0" w:color="auto"/>
              <w:left w:val="single" w:sz="4" w:space="0" w:color="auto"/>
              <w:bottom w:val="single" w:sz="4" w:space="0" w:color="auto"/>
              <w:right w:val="single" w:sz="4" w:space="0" w:color="auto"/>
            </w:tcBorders>
            <w:hideMark/>
          </w:tcPr>
          <w:p w:rsidR="00AE5027" w:rsidRPr="00D93602" w:rsidRDefault="00AE5027" w:rsidP="00B27589">
            <w:pPr>
              <w:jc w:val="center"/>
              <w:rPr>
                <w:bCs/>
              </w:rPr>
            </w:pPr>
            <w:r w:rsidRPr="00D93602">
              <w:rPr>
                <w:bCs/>
              </w:rPr>
              <w:t>2</w:t>
            </w:r>
          </w:p>
        </w:tc>
      </w:tr>
      <w:tr w:rsidR="00AE5027" w:rsidRPr="00D93602" w:rsidTr="00B27589">
        <w:tc>
          <w:tcPr>
            <w:tcW w:w="6345"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rPr>
                <w:bCs/>
              </w:rPr>
            </w:pPr>
            <w:r w:rsidRPr="00D93602">
              <w:rPr>
                <w:bCs/>
              </w:rPr>
              <w:t>Healthwatch</w:t>
            </w:r>
            <w:r>
              <w:rPr>
                <w:bCs/>
              </w:rPr>
              <w:t xml:space="preserve"> </w:t>
            </w:r>
          </w:p>
        </w:tc>
        <w:tc>
          <w:tcPr>
            <w:tcW w:w="1418"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8</w:t>
            </w:r>
          </w:p>
        </w:tc>
        <w:tc>
          <w:tcPr>
            <w:tcW w:w="1479"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0</w:t>
            </w:r>
          </w:p>
        </w:tc>
      </w:tr>
      <w:tr w:rsidR="00AE5027" w:rsidRPr="00D93602" w:rsidTr="00B27589">
        <w:tc>
          <w:tcPr>
            <w:tcW w:w="6345"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rPr>
                <w:bCs/>
              </w:rPr>
            </w:pPr>
            <w:r w:rsidRPr="00D93602">
              <w:rPr>
                <w:bCs/>
              </w:rPr>
              <w:t>CCG</w:t>
            </w:r>
            <w:r>
              <w:rPr>
                <w:bCs/>
              </w:rPr>
              <w:t xml:space="preserve"> representative (Health and Wellbeing Board v</w:t>
            </w:r>
            <w:r w:rsidRPr="00D93602">
              <w:rPr>
                <w:bCs/>
              </w:rPr>
              <w:t xml:space="preserve">ice </w:t>
            </w:r>
            <w:r>
              <w:rPr>
                <w:bCs/>
              </w:rPr>
              <w:t>chair)</w:t>
            </w:r>
          </w:p>
        </w:tc>
        <w:tc>
          <w:tcPr>
            <w:tcW w:w="1418"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7</w:t>
            </w:r>
          </w:p>
        </w:tc>
        <w:tc>
          <w:tcPr>
            <w:tcW w:w="1479"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1</w:t>
            </w:r>
          </w:p>
        </w:tc>
      </w:tr>
      <w:tr w:rsidR="00AE5027" w:rsidRPr="00D93602" w:rsidTr="00B27589">
        <w:tc>
          <w:tcPr>
            <w:tcW w:w="6345" w:type="dxa"/>
            <w:tcBorders>
              <w:top w:val="single" w:sz="4" w:space="0" w:color="auto"/>
              <w:left w:val="single" w:sz="4" w:space="0" w:color="auto"/>
              <w:bottom w:val="single" w:sz="4" w:space="0" w:color="auto"/>
              <w:right w:val="single" w:sz="4" w:space="0" w:color="auto"/>
            </w:tcBorders>
            <w:hideMark/>
          </w:tcPr>
          <w:p w:rsidR="00AE5027" w:rsidRPr="00D93602" w:rsidRDefault="00AE5027" w:rsidP="00B27589">
            <w:pPr>
              <w:rPr>
                <w:bCs/>
              </w:rPr>
            </w:pPr>
            <w:r>
              <w:rPr>
                <w:bCs/>
              </w:rPr>
              <w:t>Local authority c</w:t>
            </w:r>
            <w:r w:rsidRPr="00D93602">
              <w:rPr>
                <w:bCs/>
              </w:rPr>
              <w:t>hief executive</w:t>
            </w:r>
          </w:p>
        </w:tc>
        <w:tc>
          <w:tcPr>
            <w:tcW w:w="1418" w:type="dxa"/>
            <w:tcBorders>
              <w:top w:val="single" w:sz="4" w:space="0" w:color="auto"/>
              <w:left w:val="single" w:sz="4" w:space="0" w:color="auto"/>
              <w:bottom w:val="single" w:sz="4" w:space="0" w:color="auto"/>
              <w:right w:val="single" w:sz="4" w:space="0" w:color="auto"/>
            </w:tcBorders>
            <w:hideMark/>
          </w:tcPr>
          <w:p w:rsidR="00AE5027" w:rsidRPr="00D93602" w:rsidRDefault="00AE5027" w:rsidP="00B27589">
            <w:pPr>
              <w:jc w:val="center"/>
              <w:rPr>
                <w:bCs/>
              </w:rPr>
            </w:pPr>
            <w:r w:rsidRPr="00D93602">
              <w:rPr>
                <w:bCs/>
              </w:rPr>
              <w:t>7</w:t>
            </w:r>
          </w:p>
        </w:tc>
        <w:tc>
          <w:tcPr>
            <w:tcW w:w="1479" w:type="dxa"/>
            <w:tcBorders>
              <w:top w:val="single" w:sz="4" w:space="0" w:color="auto"/>
              <w:left w:val="single" w:sz="4" w:space="0" w:color="auto"/>
              <w:bottom w:val="single" w:sz="4" w:space="0" w:color="auto"/>
              <w:right w:val="single" w:sz="4" w:space="0" w:color="auto"/>
            </w:tcBorders>
            <w:hideMark/>
          </w:tcPr>
          <w:p w:rsidR="00AE5027" w:rsidRPr="00D93602" w:rsidRDefault="00AE5027" w:rsidP="00B27589">
            <w:pPr>
              <w:jc w:val="center"/>
              <w:rPr>
                <w:bCs/>
              </w:rPr>
            </w:pPr>
            <w:r w:rsidRPr="00D93602">
              <w:rPr>
                <w:bCs/>
              </w:rPr>
              <w:t>1</w:t>
            </w:r>
          </w:p>
        </w:tc>
      </w:tr>
      <w:tr w:rsidR="00AE5027" w:rsidRPr="00D93602" w:rsidTr="00B27589">
        <w:tc>
          <w:tcPr>
            <w:tcW w:w="6345"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rPr>
                <w:bCs/>
              </w:rPr>
            </w:pPr>
            <w:r>
              <w:rPr>
                <w:bCs/>
              </w:rPr>
              <w:t>Local a</w:t>
            </w:r>
            <w:r w:rsidRPr="00D93602">
              <w:rPr>
                <w:bCs/>
              </w:rPr>
              <w:t xml:space="preserve">uthority </w:t>
            </w:r>
            <w:r>
              <w:rPr>
                <w:bCs/>
              </w:rPr>
              <w:t>health s</w:t>
            </w:r>
            <w:r w:rsidRPr="00D93602">
              <w:rPr>
                <w:bCs/>
              </w:rPr>
              <w:t xml:space="preserve">crutiny </w:t>
            </w:r>
            <w:r>
              <w:rPr>
                <w:bCs/>
              </w:rPr>
              <w:t>committee chair</w:t>
            </w:r>
          </w:p>
        </w:tc>
        <w:tc>
          <w:tcPr>
            <w:tcW w:w="1418"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7</w:t>
            </w:r>
          </w:p>
        </w:tc>
        <w:tc>
          <w:tcPr>
            <w:tcW w:w="1479"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Pr>
                <w:bCs/>
              </w:rPr>
              <w:t>2</w:t>
            </w:r>
          </w:p>
        </w:tc>
      </w:tr>
      <w:tr w:rsidR="00AE5027" w:rsidRPr="00D93602" w:rsidTr="00B27589">
        <w:tc>
          <w:tcPr>
            <w:tcW w:w="6345" w:type="dxa"/>
            <w:tcBorders>
              <w:top w:val="single" w:sz="4" w:space="0" w:color="auto"/>
              <w:left w:val="single" w:sz="4" w:space="0" w:color="auto"/>
              <w:bottom w:val="single" w:sz="4" w:space="0" w:color="auto"/>
              <w:right w:val="single" w:sz="4" w:space="0" w:color="auto"/>
            </w:tcBorders>
            <w:hideMark/>
          </w:tcPr>
          <w:p w:rsidR="00AE5027" w:rsidRPr="00D93602" w:rsidRDefault="00AE5027" w:rsidP="00B27589">
            <w:pPr>
              <w:rPr>
                <w:bCs/>
              </w:rPr>
            </w:pPr>
            <w:r>
              <w:rPr>
                <w:bCs/>
              </w:rPr>
              <w:t>NHS England</w:t>
            </w:r>
          </w:p>
        </w:tc>
        <w:tc>
          <w:tcPr>
            <w:tcW w:w="1418" w:type="dxa"/>
            <w:tcBorders>
              <w:top w:val="single" w:sz="4" w:space="0" w:color="auto"/>
              <w:left w:val="single" w:sz="4" w:space="0" w:color="auto"/>
              <w:bottom w:val="single" w:sz="4" w:space="0" w:color="auto"/>
              <w:right w:val="single" w:sz="4" w:space="0" w:color="auto"/>
            </w:tcBorders>
            <w:hideMark/>
          </w:tcPr>
          <w:p w:rsidR="00AE5027" w:rsidRPr="00D93602" w:rsidRDefault="00AE5027" w:rsidP="00B27589">
            <w:pPr>
              <w:jc w:val="center"/>
              <w:rPr>
                <w:bCs/>
              </w:rPr>
            </w:pPr>
            <w:r w:rsidRPr="00D93602">
              <w:rPr>
                <w:bCs/>
              </w:rPr>
              <w:t>6</w:t>
            </w:r>
          </w:p>
        </w:tc>
        <w:tc>
          <w:tcPr>
            <w:tcW w:w="1479" w:type="dxa"/>
            <w:tcBorders>
              <w:top w:val="single" w:sz="4" w:space="0" w:color="auto"/>
              <w:left w:val="single" w:sz="4" w:space="0" w:color="auto"/>
              <w:bottom w:val="single" w:sz="4" w:space="0" w:color="auto"/>
              <w:right w:val="single" w:sz="4" w:space="0" w:color="auto"/>
            </w:tcBorders>
            <w:hideMark/>
          </w:tcPr>
          <w:p w:rsidR="00AE5027" w:rsidRPr="00D93602" w:rsidRDefault="00AE5027" w:rsidP="00B27589">
            <w:pPr>
              <w:jc w:val="center"/>
              <w:rPr>
                <w:bCs/>
              </w:rPr>
            </w:pPr>
            <w:r w:rsidRPr="00D93602">
              <w:rPr>
                <w:bCs/>
              </w:rPr>
              <w:t>0</w:t>
            </w:r>
          </w:p>
        </w:tc>
      </w:tr>
      <w:tr w:rsidR="00AE5027" w:rsidRPr="00D93602" w:rsidTr="00B27589">
        <w:tc>
          <w:tcPr>
            <w:tcW w:w="6345" w:type="dxa"/>
            <w:tcBorders>
              <w:top w:val="single" w:sz="4" w:space="0" w:color="auto"/>
              <w:left w:val="single" w:sz="4" w:space="0" w:color="auto"/>
              <w:bottom w:val="single" w:sz="4" w:space="0" w:color="auto"/>
              <w:right w:val="single" w:sz="4" w:space="0" w:color="auto"/>
            </w:tcBorders>
            <w:hideMark/>
          </w:tcPr>
          <w:p w:rsidR="00AE5027" w:rsidRPr="00D93602" w:rsidRDefault="00AE5027" w:rsidP="00B27589">
            <w:pPr>
              <w:rPr>
                <w:bCs/>
              </w:rPr>
            </w:pPr>
            <w:r w:rsidRPr="00D93602">
              <w:rPr>
                <w:bCs/>
              </w:rPr>
              <w:t>Others</w:t>
            </w:r>
            <w:r>
              <w:rPr>
                <w:bCs/>
              </w:rPr>
              <w:t xml:space="preserve"> (primarily elected members or public health staff)</w:t>
            </w:r>
          </w:p>
        </w:tc>
        <w:tc>
          <w:tcPr>
            <w:tcW w:w="1418" w:type="dxa"/>
            <w:tcBorders>
              <w:top w:val="single" w:sz="4" w:space="0" w:color="auto"/>
              <w:left w:val="single" w:sz="4" w:space="0" w:color="auto"/>
              <w:bottom w:val="single" w:sz="4" w:space="0" w:color="auto"/>
              <w:right w:val="single" w:sz="4" w:space="0" w:color="auto"/>
            </w:tcBorders>
            <w:hideMark/>
          </w:tcPr>
          <w:p w:rsidR="00AE5027" w:rsidRPr="00D93602" w:rsidRDefault="00AE5027" w:rsidP="00B27589">
            <w:pPr>
              <w:jc w:val="center"/>
              <w:rPr>
                <w:bCs/>
              </w:rPr>
            </w:pPr>
            <w:r w:rsidRPr="00D93602">
              <w:rPr>
                <w:bCs/>
              </w:rPr>
              <w:t>6</w:t>
            </w:r>
          </w:p>
        </w:tc>
        <w:tc>
          <w:tcPr>
            <w:tcW w:w="1479" w:type="dxa"/>
            <w:tcBorders>
              <w:top w:val="single" w:sz="4" w:space="0" w:color="auto"/>
              <w:left w:val="single" w:sz="4" w:space="0" w:color="auto"/>
              <w:bottom w:val="single" w:sz="4" w:space="0" w:color="auto"/>
              <w:right w:val="single" w:sz="4" w:space="0" w:color="auto"/>
            </w:tcBorders>
            <w:hideMark/>
          </w:tcPr>
          <w:p w:rsidR="00AE5027" w:rsidRPr="00D93602" w:rsidRDefault="00AE5027" w:rsidP="00B27589">
            <w:pPr>
              <w:jc w:val="center"/>
              <w:rPr>
                <w:bCs/>
              </w:rPr>
            </w:pPr>
            <w:r>
              <w:rPr>
                <w:bCs/>
              </w:rPr>
              <w:t>1</w:t>
            </w:r>
          </w:p>
        </w:tc>
      </w:tr>
      <w:tr w:rsidR="00AE5027" w:rsidRPr="00D93602" w:rsidTr="00B27589">
        <w:tc>
          <w:tcPr>
            <w:tcW w:w="6345"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rPr>
                <w:bCs/>
              </w:rPr>
            </w:pPr>
            <w:r>
              <w:rPr>
                <w:bCs/>
              </w:rPr>
              <w:t>District c</w:t>
            </w:r>
            <w:r w:rsidRPr="00D93602">
              <w:rPr>
                <w:bCs/>
              </w:rPr>
              <w:t xml:space="preserve">ouncil </w:t>
            </w:r>
          </w:p>
        </w:tc>
        <w:tc>
          <w:tcPr>
            <w:tcW w:w="1418"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3</w:t>
            </w:r>
          </w:p>
        </w:tc>
        <w:tc>
          <w:tcPr>
            <w:tcW w:w="1479" w:type="dxa"/>
            <w:tcBorders>
              <w:top w:val="single" w:sz="4" w:space="0" w:color="auto"/>
              <w:left w:val="single" w:sz="4" w:space="0" w:color="auto"/>
              <w:bottom w:val="single" w:sz="4" w:space="0" w:color="auto"/>
              <w:right w:val="single" w:sz="4" w:space="0" w:color="auto"/>
            </w:tcBorders>
          </w:tcPr>
          <w:p w:rsidR="00AE5027" w:rsidRPr="00D93602" w:rsidRDefault="00AE5027" w:rsidP="00B27589">
            <w:pPr>
              <w:jc w:val="center"/>
              <w:rPr>
                <w:bCs/>
              </w:rPr>
            </w:pPr>
            <w:r w:rsidRPr="00D93602">
              <w:rPr>
                <w:bCs/>
              </w:rPr>
              <w:t>1</w:t>
            </w:r>
          </w:p>
        </w:tc>
      </w:tr>
      <w:tr w:rsidR="00AE5027" w:rsidRPr="00D93602" w:rsidTr="00B27589">
        <w:tc>
          <w:tcPr>
            <w:tcW w:w="6345" w:type="dxa"/>
            <w:tcBorders>
              <w:top w:val="single" w:sz="4" w:space="0" w:color="auto"/>
              <w:left w:val="single" w:sz="4" w:space="0" w:color="auto"/>
              <w:bottom w:val="single" w:sz="4" w:space="0" w:color="auto"/>
              <w:right w:val="single" w:sz="4" w:space="0" w:color="auto"/>
            </w:tcBorders>
            <w:hideMark/>
          </w:tcPr>
          <w:p w:rsidR="00AE5027" w:rsidRPr="005C741C" w:rsidRDefault="00AE5027" w:rsidP="00B27589">
            <w:pPr>
              <w:rPr>
                <w:b/>
                <w:bCs/>
              </w:rPr>
            </w:pPr>
            <w:r w:rsidRPr="005C741C">
              <w:rPr>
                <w:b/>
                <w:bCs/>
              </w:rPr>
              <w:t>Total</w:t>
            </w:r>
            <w:r>
              <w:rPr>
                <w:b/>
                <w:bCs/>
              </w:rPr>
              <w:t>s</w:t>
            </w:r>
          </w:p>
        </w:tc>
        <w:tc>
          <w:tcPr>
            <w:tcW w:w="1418" w:type="dxa"/>
            <w:tcBorders>
              <w:top w:val="single" w:sz="4" w:space="0" w:color="auto"/>
              <w:left w:val="single" w:sz="4" w:space="0" w:color="auto"/>
              <w:bottom w:val="single" w:sz="4" w:space="0" w:color="auto"/>
              <w:right w:val="single" w:sz="4" w:space="0" w:color="auto"/>
            </w:tcBorders>
            <w:hideMark/>
          </w:tcPr>
          <w:p w:rsidR="00AE5027" w:rsidRPr="005C741C" w:rsidRDefault="00AE5027" w:rsidP="00B27589">
            <w:pPr>
              <w:jc w:val="center"/>
              <w:rPr>
                <w:b/>
                <w:bCs/>
              </w:rPr>
            </w:pPr>
            <w:r w:rsidRPr="005C741C">
              <w:rPr>
                <w:b/>
                <w:bCs/>
              </w:rPr>
              <w:t>90</w:t>
            </w:r>
          </w:p>
        </w:tc>
        <w:tc>
          <w:tcPr>
            <w:tcW w:w="1479" w:type="dxa"/>
            <w:tcBorders>
              <w:top w:val="single" w:sz="4" w:space="0" w:color="auto"/>
              <w:left w:val="single" w:sz="4" w:space="0" w:color="auto"/>
              <w:bottom w:val="single" w:sz="4" w:space="0" w:color="auto"/>
              <w:right w:val="single" w:sz="4" w:space="0" w:color="auto"/>
            </w:tcBorders>
            <w:hideMark/>
          </w:tcPr>
          <w:p w:rsidR="00AE5027" w:rsidRPr="005C741C" w:rsidRDefault="00AE5027" w:rsidP="00B27589">
            <w:pPr>
              <w:jc w:val="center"/>
              <w:rPr>
                <w:b/>
                <w:bCs/>
              </w:rPr>
            </w:pPr>
            <w:r w:rsidRPr="005C741C">
              <w:rPr>
                <w:b/>
                <w:bCs/>
              </w:rPr>
              <w:t>21</w:t>
            </w:r>
          </w:p>
        </w:tc>
      </w:tr>
    </w:tbl>
    <w:p w:rsidR="00AE5027" w:rsidRDefault="00AE5027" w:rsidP="00650624"/>
    <w:p w:rsidR="00016DA4" w:rsidRPr="00741168" w:rsidRDefault="00016DA4" w:rsidP="00650624">
      <w:r w:rsidRPr="00741168">
        <w:t>Initial interviews (n=90) were carried out in person or by phone between October 2015 and March 2016, with follow-up intervie</w:t>
      </w:r>
      <w:r>
        <w:t>ws (n=21)</w:t>
      </w:r>
      <w:r w:rsidRPr="00741168">
        <w:t xml:space="preserve"> with a sub-sample of participants in each si</w:t>
      </w:r>
      <w:r w:rsidR="00AA26D5">
        <w:t xml:space="preserve">te conducted 12 months later. </w:t>
      </w:r>
      <w:r w:rsidRPr="00741168">
        <w:t xml:space="preserve">Topics included changing roles and responsibilities, </w:t>
      </w:r>
      <w:r w:rsidR="00AA26D5">
        <w:t xml:space="preserve">views on the reforms, </w:t>
      </w:r>
      <w:r w:rsidRPr="00741168">
        <w:t>and the public health leadership role of local authorities. Interviews were audio-recorded and transcribed verbatim</w:t>
      </w:r>
      <w:r w:rsidR="00AA26D5">
        <w:t xml:space="preserve"> by a professional transcribing company</w:t>
      </w:r>
      <w:r w:rsidRPr="00741168">
        <w:t>. Initial coding was undertaken (</w:t>
      </w:r>
      <w:r w:rsidR="00AA26D5">
        <w:t xml:space="preserve">by </w:t>
      </w:r>
      <w:r w:rsidRPr="00741168">
        <w:t xml:space="preserve">LMJ) using </w:t>
      </w:r>
      <w:proofErr w:type="spellStart"/>
      <w:r w:rsidRPr="00741168">
        <w:t>NVivo</w:t>
      </w:r>
      <w:proofErr w:type="spellEnd"/>
      <w:r w:rsidRPr="00741168">
        <w:t xml:space="preserve"> 10 software to organise the data into nodes based on a framework developed from the interview schedule. Other team members (LM, SV, </w:t>
      </w:r>
      <w:proofErr w:type="gramStart"/>
      <w:r w:rsidRPr="00741168">
        <w:t>KM</w:t>
      </w:r>
      <w:proofErr w:type="gramEnd"/>
      <w:r w:rsidRPr="00741168">
        <w:t xml:space="preserve">) independently analysed the transcripts to identify emergent themes. The results were merged through repeated discussions, and verified by sharing draft reports with the external advisory group (which included a DPH and representation from NHS England, the Local Government Association (LGA), Healthwatch and </w:t>
      </w:r>
      <w:r w:rsidR="002926A6">
        <w:t xml:space="preserve">the </w:t>
      </w:r>
      <w:r w:rsidRPr="00741168">
        <w:t>VCSE</w:t>
      </w:r>
      <w:r w:rsidR="00AA26D5">
        <w:t xml:space="preserve"> sector</w:t>
      </w:r>
      <w:r w:rsidRPr="00741168">
        <w:t>).</w:t>
      </w:r>
    </w:p>
    <w:p w:rsidR="00016DA4" w:rsidRPr="00741168" w:rsidRDefault="00016DA4" w:rsidP="00650624"/>
    <w:p w:rsidR="00016DA4" w:rsidRPr="00650624" w:rsidRDefault="00016DA4" w:rsidP="00650624">
      <w:pPr>
        <w:rPr>
          <w:b/>
        </w:rPr>
      </w:pPr>
      <w:r w:rsidRPr="00650624">
        <w:rPr>
          <w:b/>
        </w:rPr>
        <w:t>RESULTS</w:t>
      </w:r>
    </w:p>
    <w:p w:rsidR="00016DA4" w:rsidRPr="00741168" w:rsidRDefault="00016DA4" w:rsidP="00650624">
      <w:r>
        <w:t>Findings are reported under three themes</w:t>
      </w:r>
      <w:r w:rsidR="00622EA5">
        <w:t xml:space="preserve"> relating to the topic of this paper</w:t>
      </w:r>
      <w:r>
        <w:t xml:space="preserve">: </w:t>
      </w:r>
      <w:r w:rsidR="002926A6">
        <w:t xml:space="preserve">valuing the </w:t>
      </w:r>
      <w:r>
        <w:t>public health workforce</w:t>
      </w:r>
      <w:r w:rsidR="002926A6">
        <w:t xml:space="preserve"> as a resource</w:t>
      </w:r>
      <w:r>
        <w:t>; leadership and power</w:t>
      </w:r>
      <w:r w:rsidRPr="00741168">
        <w:t xml:space="preserve">; and </w:t>
      </w:r>
      <w:r w:rsidR="002926A6">
        <w:t xml:space="preserve">developing a </w:t>
      </w:r>
      <w:r w:rsidRPr="00741168">
        <w:t xml:space="preserve">workforce </w:t>
      </w:r>
      <w:r w:rsidR="002926A6">
        <w:t>for the future</w:t>
      </w:r>
      <w:r w:rsidRPr="00741168">
        <w:t xml:space="preserve">. </w:t>
      </w:r>
    </w:p>
    <w:p w:rsidR="00016DA4" w:rsidRPr="00741168" w:rsidRDefault="00016DA4" w:rsidP="00650624">
      <w:pPr>
        <w:rPr>
          <w:b/>
        </w:rPr>
      </w:pPr>
      <w:r w:rsidRPr="00741168">
        <w:rPr>
          <w:b/>
        </w:rPr>
        <w:t>Va</w:t>
      </w:r>
      <w:r>
        <w:rPr>
          <w:b/>
        </w:rPr>
        <w:t>luing the public health workforce</w:t>
      </w:r>
      <w:r w:rsidR="002926A6">
        <w:rPr>
          <w:b/>
        </w:rPr>
        <w:t xml:space="preserve"> as a resource</w:t>
      </w:r>
    </w:p>
    <w:p w:rsidR="00016DA4" w:rsidRDefault="00016DA4" w:rsidP="00650624">
      <w:r w:rsidRPr="00741168">
        <w:t xml:space="preserve">Although the transfer </w:t>
      </w:r>
      <w:r>
        <w:t xml:space="preserve">of public health </w:t>
      </w:r>
      <w:r w:rsidRPr="00741168">
        <w:t>into local government had not always been smooth, local authority chief executives and strategic directors recognised and welcomed the contribution of public health skills and knowledge</w:t>
      </w:r>
      <w:r w:rsidR="00357C00">
        <w:t>. T</w:t>
      </w:r>
      <w:r w:rsidRPr="00741168">
        <w:t>his was increasingly evident in the follow-up</w:t>
      </w:r>
      <w:r w:rsidR="00E6089A">
        <w:t xml:space="preserve"> interviews</w:t>
      </w:r>
      <w:r>
        <w:t>.</w:t>
      </w:r>
      <w:r w:rsidR="00E6089A">
        <w:t xml:space="preserve"> </w:t>
      </w:r>
      <w:r w:rsidRPr="00741168">
        <w:t>Responses from elected members</w:t>
      </w:r>
      <w:r w:rsidR="00E6089A">
        <w:t>, however,</w:t>
      </w:r>
      <w:r w:rsidRPr="00741168">
        <w:t xml:space="preserve"> were more mixed. For some authorities, the salary scales of transferring public health</w:t>
      </w:r>
      <w:r w:rsidR="00357C00">
        <w:t xml:space="preserve"> staff</w:t>
      </w:r>
      <w:r w:rsidRPr="00741168">
        <w:t>, and the impact this had on li</w:t>
      </w:r>
      <w:r>
        <w:t>mited financial resources, drew comment</w:t>
      </w:r>
      <w:r w:rsidRPr="00741168">
        <w:t xml:space="preserve">. One </w:t>
      </w:r>
      <w:r w:rsidR="00E6089A">
        <w:t xml:space="preserve">elected </w:t>
      </w:r>
      <w:r w:rsidRPr="00741168">
        <w:t>mem</w:t>
      </w:r>
      <w:r w:rsidR="00E6089A">
        <w:t xml:space="preserve">ber reported </w:t>
      </w:r>
      <w:r w:rsidR="00357C00">
        <w:t xml:space="preserve">that </w:t>
      </w:r>
      <w:r w:rsidR="00E6089A">
        <w:t>the</w:t>
      </w:r>
      <w:r w:rsidR="00357C00">
        <w:t>ir</w:t>
      </w:r>
      <w:r w:rsidR="00E6089A">
        <w:t xml:space="preserve"> authority could not afford</w:t>
      </w:r>
      <w:r w:rsidRPr="00741168">
        <w:t xml:space="preserve"> to employ the first DPH </w:t>
      </w:r>
      <w:r w:rsidR="00E6089A">
        <w:t>“</w:t>
      </w:r>
      <w:r w:rsidRPr="00741168">
        <w:t>o</w:t>
      </w:r>
      <w:r w:rsidR="00E6089A">
        <w:t>n a doctor’s salary and pension”; as a result</w:t>
      </w:r>
      <w:r w:rsidRPr="00741168">
        <w:t>, the post and consequent resource requirement were shared with a neighbouring council. The chief executive of another cou</w:t>
      </w:r>
      <w:r w:rsidR="00E6089A">
        <w:t>ncil observed that the DPH was “</w:t>
      </w:r>
      <w:r w:rsidRPr="00741168">
        <w:t xml:space="preserve">the highest </w:t>
      </w:r>
      <w:r w:rsidR="00E6089A">
        <w:t>paid person in the organisation”</w:t>
      </w:r>
      <w:r w:rsidRPr="00741168">
        <w:t xml:space="preserve">. </w:t>
      </w:r>
    </w:p>
    <w:p w:rsidR="00016DA4" w:rsidRPr="00741168" w:rsidRDefault="00016DA4" w:rsidP="00650624">
      <w:r w:rsidRPr="00C8380A">
        <w:lastRenderedPageBreak/>
        <w:t xml:space="preserve">One DPH believed that misunderstandings arose amongst local government colleagues because of differences in terminology, such as the term </w:t>
      </w:r>
      <w:r w:rsidR="00E6089A" w:rsidRPr="00C8380A">
        <w:t xml:space="preserve">public health </w:t>
      </w:r>
      <w:r w:rsidRPr="00C8380A">
        <w:t>‘consultant’</w:t>
      </w:r>
      <w:r w:rsidR="00C8380A">
        <w:t xml:space="preserve"> being equated with </w:t>
      </w:r>
      <w:r w:rsidR="0070734F">
        <w:t xml:space="preserve">costly </w:t>
      </w:r>
      <w:r w:rsidR="00C8380A">
        <w:t>management consultants</w:t>
      </w:r>
      <w:r w:rsidR="00E6089A" w:rsidRPr="00C8380A">
        <w:t xml:space="preserve">. </w:t>
      </w:r>
      <w:r w:rsidRPr="00C8380A">
        <w:t xml:space="preserve">They believed </w:t>
      </w:r>
      <w:proofErr w:type="spellStart"/>
      <w:r w:rsidRPr="00C8380A">
        <w:t>DsPH</w:t>
      </w:r>
      <w:proofErr w:type="spellEnd"/>
      <w:r w:rsidRPr="00C8380A">
        <w:t xml:space="preserve"> were not necessarily valued </w:t>
      </w:r>
      <w:r w:rsidR="00E6089A" w:rsidRPr="00C8380A">
        <w:t>“</w:t>
      </w:r>
      <w:r w:rsidRPr="00C8380A">
        <w:t>because you didn’t have teams o</w:t>
      </w:r>
      <w:r w:rsidR="00E6089A" w:rsidRPr="00C8380A">
        <w:t xml:space="preserve">f 100 people you were directing”. </w:t>
      </w:r>
      <w:r w:rsidRPr="00C8380A">
        <w:t xml:space="preserve">However, another DPH reported </w:t>
      </w:r>
      <w:r w:rsidR="00E6089A" w:rsidRPr="00C8380A">
        <w:t xml:space="preserve">supporting </w:t>
      </w:r>
      <w:r w:rsidRPr="00C8380A">
        <w:t xml:space="preserve">a reduction in the number of consultants </w:t>
      </w:r>
      <w:r w:rsidR="00E6089A" w:rsidRPr="00C8380A">
        <w:t>“</w:t>
      </w:r>
      <w:r w:rsidRPr="00C8380A">
        <w:t>because I don’t need necessarily people who are not trai</w:t>
      </w:r>
      <w:r w:rsidR="00E6089A" w:rsidRPr="00C8380A">
        <w:t>ned to work in local government”</w:t>
      </w:r>
      <w:r w:rsidRPr="00C8380A">
        <w:t>, arguing the need for more avenues for public health workforce development in</w:t>
      </w:r>
      <w:r w:rsidR="0070734F">
        <w:t xml:space="preserve"> the new setting</w:t>
      </w:r>
      <w:r w:rsidRPr="00C8380A">
        <w:t xml:space="preserve">. This DPH spoke of </w:t>
      </w:r>
      <w:r w:rsidR="00E6089A" w:rsidRPr="00C8380A">
        <w:t>seeking</w:t>
      </w:r>
      <w:r w:rsidRPr="00C8380A">
        <w:t xml:space="preserve"> a </w:t>
      </w:r>
      <w:r w:rsidR="00E6089A" w:rsidRPr="00C8380A">
        <w:t>“</w:t>
      </w:r>
      <w:r w:rsidRPr="00C8380A">
        <w:t>health movement for change, ma</w:t>
      </w:r>
      <w:r w:rsidR="00E6089A" w:rsidRPr="00C8380A">
        <w:t>king health everyone’s business”</w:t>
      </w:r>
      <w:r w:rsidRPr="00C8380A">
        <w:t xml:space="preserve">, rather than relying </w:t>
      </w:r>
      <w:r w:rsidR="00E6089A" w:rsidRPr="00C8380A">
        <w:t xml:space="preserve">solely </w:t>
      </w:r>
      <w:r w:rsidRPr="00C8380A">
        <w:t>on the resource transferred from the NHS.</w:t>
      </w:r>
    </w:p>
    <w:p w:rsidR="00016DA4" w:rsidRPr="00741168" w:rsidRDefault="00016DA4" w:rsidP="00650624">
      <w:pPr>
        <w:rPr>
          <w:b/>
        </w:rPr>
      </w:pPr>
      <w:r>
        <w:rPr>
          <w:b/>
        </w:rPr>
        <w:t>Leadership and power</w:t>
      </w:r>
    </w:p>
    <w:p w:rsidR="008710F8" w:rsidRPr="00741168" w:rsidRDefault="00016DA4" w:rsidP="00650624">
      <w:r w:rsidRPr="00741168">
        <w:t xml:space="preserve">A major change in </w:t>
      </w:r>
      <w:r>
        <w:t>the role of public health</w:t>
      </w:r>
      <w:r w:rsidR="00622EA5">
        <w:t xml:space="preserve"> professionals</w:t>
      </w:r>
      <w:r>
        <w:t xml:space="preserve"> has been the need to </w:t>
      </w:r>
      <w:r w:rsidRPr="00741168">
        <w:t>operate in an e</w:t>
      </w:r>
      <w:r>
        <w:t>nvironment where elected members</w:t>
      </w:r>
      <w:r w:rsidRPr="00741168">
        <w:t xml:space="preserve"> have ultimate decision</w:t>
      </w:r>
      <w:r w:rsidR="00E6089A">
        <w:t xml:space="preserve">-making authority. </w:t>
      </w:r>
      <w:r>
        <w:t xml:space="preserve">Some </w:t>
      </w:r>
      <w:proofErr w:type="spellStart"/>
      <w:r>
        <w:t>DsPH</w:t>
      </w:r>
      <w:proofErr w:type="spellEnd"/>
      <w:r w:rsidRPr="00741168">
        <w:t xml:space="preserve"> found this challenging, particularly where priorities arising from the public health evidence base were not in line with the political priorities of the council. </w:t>
      </w:r>
      <w:r w:rsidR="008710F8">
        <w:t xml:space="preserve">An NHS commissioner highlighted the risks of making decisions “purely based on public opinion”, while also recognising that “if you just take a totally cold analytic approach, it’s difficult for people to become enthused or engaged by it”. </w:t>
      </w:r>
      <w:r w:rsidRPr="00741168">
        <w:t>Others welcomed the</w:t>
      </w:r>
      <w:r>
        <w:t xml:space="preserve"> support provided by elected members</w:t>
      </w:r>
      <w:r w:rsidRPr="00741168">
        <w:t xml:space="preserve">, with one </w:t>
      </w:r>
      <w:r>
        <w:t xml:space="preserve">DPH </w:t>
      </w:r>
      <w:r w:rsidR="00E6089A">
        <w:t>stating they were “</w:t>
      </w:r>
      <w:r w:rsidRPr="00741168">
        <w:t xml:space="preserve">pleasantly surprised to see opposition parties really articulating the importance </w:t>
      </w:r>
      <w:r w:rsidR="00E6089A">
        <w:t>of public health in the council”</w:t>
      </w:r>
      <w:r w:rsidRPr="00741168">
        <w:t xml:space="preserve">.  </w:t>
      </w:r>
      <w:r>
        <w:t xml:space="preserve"> </w:t>
      </w:r>
    </w:p>
    <w:p w:rsidR="00016DA4" w:rsidRPr="00741168" w:rsidRDefault="00016DA4" w:rsidP="00650624">
      <w:pPr>
        <w:rPr>
          <w:i/>
        </w:rPr>
      </w:pPr>
      <w:r w:rsidRPr="00741168">
        <w:t xml:space="preserve">The </w:t>
      </w:r>
      <w:r>
        <w:t>resulting distribution</w:t>
      </w:r>
      <w:r w:rsidRPr="00741168">
        <w:t xml:space="preserve"> of decision-</w:t>
      </w:r>
      <w:r>
        <w:t xml:space="preserve">making power </w:t>
      </w:r>
      <w:r w:rsidRPr="00741168">
        <w:t>va</w:t>
      </w:r>
      <w:r>
        <w:t xml:space="preserve">ried between authorities. </w:t>
      </w:r>
      <w:proofErr w:type="spellStart"/>
      <w:r w:rsidRPr="005D5EC8">
        <w:t>DsPH</w:t>
      </w:r>
      <w:proofErr w:type="spellEnd"/>
      <w:r w:rsidRPr="005D5EC8">
        <w:t xml:space="preserve"> were no longer able to re</w:t>
      </w:r>
      <w:r>
        <w:t>ly on their status or position in the</w:t>
      </w:r>
      <w:r w:rsidRPr="005D5EC8">
        <w:t xml:space="preserve"> mana</w:t>
      </w:r>
      <w:r>
        <w:t>gement hierarchy to secure power, and there was</w:t>
      </w:r>
      <w:r w:rsidRPr="00741168">
        <w:t xml:space="preserve"> increased reliance on soft skills such</w:t>
      </w:r>
      <w:r>
        <w:t xml:space="preserve"> as negotiating and networking. One</w:t>
      </w:r>
      <w:r w:rsidRPr="00741168">
        <w:t xml:space="preserve"> </w:t>
      </w:r>
      <w:r>
        <w:t xml:space="preserve">described this </w:t>
      </w:r>
      <w:r w:rsidRPr="00741168">
        <w:t xml:space="preserve">as being able to </w:t>
      </w:r>
      <w:r w:rsidR="00E6089A">
        <w:t>“</w:t>
      </w:r>
      <w:r w:rsidRPr="00741168">
        <w:t>win friends and influenc</w:t>
      </w:r>
      <w:r w:rsidR="00E6089A">
        <w:t xml:space="preserve">e people”. </w:t>
      </w:r>
      <w:r>
        <w:t>However, a</w:t>
      </w:r>
      <w:r w:rsidRPr="00F616C9">
        <w:t>lthough some reported open and positive relations</w:t>
      </w:r>
      <w:r w:rsidR="00357C00">
        <w:t>hips with members and officers (</w:t>
      </w:r>
      <w:r w:rsidRPr="00F616C9">
        <w:t>including in sites where the DPH reported to a strategic director rather than the chief executive</w:t>
      </w:r>
      <w:r w:rsidR="00357C00">
        <w:t>),</w:t>
      </w:r>
      <w:r w:rsidRPr="00F616C9">
        <w:t xml:space="preserve"> others reported </w:t>
      </w:r>
      <w:r w:rsidR="00E6089A">
        <w:t xml:space="preserve">restricted </w:t>
      </w:r>
      <w:r w:rsidRPr="00F616C9">
        <w:t xml:space="preserve">access to </w:t>
      </w:r>
      <w:r w:rsidR="00E6089A">
        <w:t>these decision-makers</w:t>
      </w:r>
      <w:r w:rsidRPr="00F616C9">
        <w:t xml:space="preserve"> and </w:t>
      </w:r>
      <w:r>
        <w:t xml:space="preserve">so their </w:t>
      </w:r>
      <w:r w:rsidRPr="00F616C9">
        <w:t>power</w:t>
      </w:r>
      <w:r>
        <w:t xml:space="preserve"> to negotiate or network was</w:t>
      </w:r>
      <w:r w:rsidRPr="00F616C9">
        <w:t xml:space="preserve"> limited</w:t>
      </w:r>
      <w:r w:rsidR="00E6089A">
        <w:t xml:space="preserve">. </w:t>
      </w:r>
      <w:proofErr w:type="spellStart"/>
      <w:r>
        <w:t>DsPH</w:t>
      </w:r>
      <w:proofErr w:type="spellEnd"/>
      <w:r>
        <w:t xml:space="preserve"> also had to develop </w:t>
      </w:r>
      <w:r w:rsidRPr="00741168">
        <w:t>capa</w:t>
      </w:r>
      <w:r>
        <w:t xml:space="preserve">bility to work </w:t>
      </w:r>
      <w:r w:rsidRPr="00741168">
        <w:t>within more overtly political contexts, learning how best to engage with politicians whose priority may be to respond to the demands (and voting choices) of their constituents. It is perhaps not surprising, therefore, that on</w:t>
      </w:r>
      <w:r w:rsidR="00E6089A">
        <w:t>e DPH commented on the need to “</w:t>
      </w:r>
      <w:r w:rsidRPr="00741168">
        <w:t>write a new public health handbook for local gover</w:t>
      </w:r>
      <w:r w:rsidR="00E6089A">
        <w:t>nment practice of public health”</w:t>
      </w:r>
      <w:r w:rsidRPr="00741168">
        <w:t>.</w:t>
      </w:r>
    </w:p>
    <w:p w:rsidR="00AE5027" w:rsidRPr="00AE5027" w:rsidRDefault="00AE5027" w:rsidP="00AE5027">
      <w:pPr>
        <w:rPr>
          <w:b/>
          <w:sz w:val="2"/>
        </w:rPr>
      </w:pPr>
    </w:p>
    <w:p w:rsidR="00AE5027" w:rsidRDefault="00AE5027" w:rsidP="00AE5027">
      <w:pPr>
        <w:rPr>
          <w:b/>
        </w:rPr>
      </w:pPr>
      <w:r>
        <w:rPr>
          <w:b/>
        </w:rPr>
        <w:t>Figure 1</w:t>
      </w:r>
      <w:r w:rsidRPr="005C741C">
        <w:rPr>
          <w:b/>
        </w:rPr>
        <w:t xml:space="preserve">: </w:t>
      </w:r>
      <w:r>
        <w:rPr>
          <w:b/>
        </w:rPr>
        <w:t>P</w:t>
      </w:r>
      <w:r w:rsidRPr="005C741C">
        <w:rPr>
          <w:b/>
        </w:rPr>
        <w:t>ower to make decisions</w:t>
      </w:r>
    </w:p>
    <w:tbl>
      <w:tblPr>
        <w:tblStyle w:val="TableGrid"/>
        <w:tblW w:w="0" w:type="auto"/>
        <w:tblInd w:w="0" w:type="dxa"/>
        <w:tblLook w:val="04A0" w:firstRow="1" w:lastRow="0" w:firstColumn="1" w:lastColumn="0" w:noHBand="0" w:noVBand="1"/>
      </w:tblPr>
      <w:tblGrid>
        <w:gridCol w:w="9016"/>
      </w:tblGrid>
      <w:tr w:rsidR="00AE5027" w:rsidTr="00AE5027">
        <w:tc>
          <w:tcPr>
            <w:tcW w:w="9016" w:type="dxa"/>
          </w:tcPr>
          <w:p w:rsidR="00AE5027" w:rsidRDefault="00AE5027" w:rsidP="00B27589">
            <w:pPr>
              <w:rPr>
                <w:i/>
              </w:rPr>
            </w:pPr>
          </w:p>
          <w:p w:rsidR="00AE5027" w:rsidRPr="00DD25E5" w:rsidRDefault="00AE5027" w:rsidP="00B27589">
            <w:pPr>
              <w:rPr>
                <w:i/>
              </w:rPr>
            </w:pPr>
            <w:r w:rsidRPr="00DD25E5">
              <w:rPr>
                <w:i/>
              </w:rPr>
              <w:t>You have to get a signature from the finance director</w:t>
            </w:r>
            <w:r>
              <w:rPr>
                <w:i/>
              </w:rPr>
              <w:t xml:space="preserve"> for any expenditure over £100. </w:t>
            </w:r>
            <w:r w:rsidRPr="00DD25E5">
              <w:rPr>
                <w:i/>
              </w:rPr>
              <w:t>Now</w:t>
            </w:r>
            <w:r>
              <w:rPr>
                <w:i/>
              </w:rPr>
              <w:t>,</w:t>
            </w:r>
            <w:r w:rsidRPr="00DD25E5">
              <w:rPr>
                <w:i/>
              </w:rPr>
              <w:t xml:space="preserve"> you try and innovate under those circumstances. There’s no freedom. There’s no empowerment to experiment, do anything. […] Part of the way in which the council controls the members is by not letting people anywhere near them. So it’s bizarre. My boss gets ver</w:t>
            </w:r>
            <w:r>
              <w:rPr>
                <w:i/>
              </w:rPr>
              <w:t>y upset if I go and speak to a C</w:t>
            </w:r>
            <w:r w:rsidRPr="00DD25E5">
              <w:rPr>
                <w:i/>
              </w:rPr>
              <w:t xml:space="preserve">abinet member without her present in the room. But I do it anyway. </w:t>
            </w:r>
          </w:p>
          <w:p w:rsidR="00AE5027" w:rsidRPr="00DD25E5" w:rsidRDefault="00AE5027" w:rsidP="00B27589">
            <w:pPr>
              <w:jc w:val="right"/>
            </w:pPr>
            <w:r w:rsidRPr="00DD25E5">
              <w:t>(DPH 6, follow-up interview)</w:t>
            </w:r>
          </w:p>
          <w:p w:rsidR="00AE5027" w:rsidRPr="00DD25E5" w:rsidRDefault="00AE5027" w:rsidP="00B27589">
            <w:pPr>
              <w:rPr>
                <w:i/>
              </w:rPr>
            </w:pPr>
          </w:p>
          <w:p w:rsidR="00AE5027" w:rsidRPr="00DD25E5" w:rsidRDefault="00AE5027" w:rsidP="00B27589">
            <w:pPr>
              <w:rPr>
                <w:i/>
              </w:rPr>
            </w:pPr>
            <w:r w:rsidRPr="00DD25E5">
              <w:rPr>
                <w:i/>
              </w:rPr>
              <w:t>There have been some examples where we've had to take a decision to the Cabinet member for health and wellbeing</w:t>
            </w:r>
            <w:r>
              <w:rPr>
                <w:i/>
              </w:rPr>
              <w:t>. B</w:t>
            </w:r>
            <w:r w:rsidRPr="00DD25E5">
              <w:rPr>
                <w:i/>
              </w:rPr>
              <w:t>ut mostly we've been able to make any changes to how the programmes</w:t>
            </w:r>
            <w:r>
              <w:rPr>
                <w:i/>
              </w:rPr>
              <w:t>,</w:t>
            </w:r>
            <w:r w:rsidRPr="00DD25E5">
              <w:rPr>
                <w:i/>
              </w:rPr>
              <w:t xml:space="preserve"> and how we use the grant, we've been able to do that within the delegated authority that we have. And other than reporting performance and progress – we do that to the Health and </w:t>
            </w:r>
            <w:r w:rsidRPr="00DD25E5">
              <w:rPr>
                <w:i/>
              </w:rPr>
              <w:lastRenderedPageBreak/>
              <w:t>Wellbeing Board and the CCG board – other than that, we haven't been required to seek approval or permission to do mostly what we've been doing.</w:t>
            </w:r>
          </w:p>
          <w:p w:rsidR="00AE5027" w:rsidRPr="00DD25E5" w:rsidRDefault="00AE5027" w:rsidP="00B27589">
            <w:pPr>
              <w:jc w:val="right"/>
            </w:pPr>
            <w:r w:rsidRPr="00DD25E5">
              <w:t>(DPH 3, initial interview)</w:t>
            </w:r>
          </w:p>
          <w:p w:rsidR="00AE5027" w:rsidRPr="00DD25E5" w:rsidRDefault="00AE5027" w:rsidP="00B27589">
            <w:pPr>
              <w:rPr>
                <w:i/>
              </w:rPr>
            </w:pPr>
          </w:p>
          <w:p w:rsidR="00AE5027" w:rsidRPr="005C741C" w:rsidRDefault="00AE5027" w:rsidP="00B27589">
            <w:pPr>
              <w:rPr>
                <w:i/>
              </w:rPr>
            </w:pPr>
            <w:r w:rsidRPr="00DD25E5">
              <w:rPr>
                <w:i/>
              </w:rPr>
              <w:t xml:space="preserve">I think if you embrace [the </w:t>
            </w:r>
            <w:r>
              <w:rPr>
                <w:i/>
              </w:rPr>
              <w:t xml:space="preserve">DPH </w:t>
            </w:r>
            <w:r w:rsidRPr="00DD25E5">
              <w:rPr>
                <w:i/>
              </w:rPr>
              <w:t>role] and you find it interesting then I think it’s a very, it can be</w:t>
            </w:r>
            <w:r w:rsidRPr="005C741C">
              <w:rPr>
                <w:i/>
              </w:rPr>
              <w:t xml:space="preserve"> incredibly rewarding. But it’s quite challenging and you have to be quite fleet of foot and you have to have political nous. It’s no good doing the job if yo</w:t>
            </w:r>
            <w:r>
              <w:rPr>
                <w:i/>
              </w:rPr>
              <w:t>u haven’t got any political nous. I</w:t>
            </w:r>
            <w:r w:rsidRPr="005C741C">
              <w:rPr>
                <w:i/>
              </w:rPr>
              <w:t>t’s a nightmare. You need to know where you’re going and you need to make sure you’ve covered all your bases before you plunge into something</w:t>
            </w:r>
            <w:r>
              <w:rPr>
                <w:i/>
              </w:rPr>
              <w:t>. […] I</w:t>
            </w:r>
            <w:r w:rsidRPr="005C741C">
              <w:rPr>
                <w:i/>
              </w:rPr>
              <w:t>n policy terms you have to be absolutely clear that you’re not going to end up doing something that’s unpalatable.</w:t>
            </w:r>
          </w:p>
          <w:p w:rsidR="00AE5027" w:rsidRDefault="00AE5027" w:rsidP="00B27589">
            <w:pPr>
              <w:jc w:val="right"/>
            </w:pPr>
            <w:r>
              <w:t xml:space="preserve"> </w:t>
            </w:r>
            <w:r w:rsidRPr="00DD25E5">
              <w:t>(DPH 5, initial interview)</w:t>
            </w:r>
          </w:p>
          <w:p w:rsidR="00AE5027" w:rsidRPr="005C741C" w:rsidRDefault="00AE5027" w:rsidP="00B27589">
            <w:pPr>
              <w:jc w:val="right"/>
            </w:pPr>
          </w:p>
        </w:tc>
      </w:tr>
    </w:tbl>
    <w:p w:rsidR="00AE5027" w:rsidRDefault="00AE5027" w:rsidP="00650624"/>
    <w:p w:rsidR="009E460F" w:rsidRDefault="00016DA4" w:rsidP="00650624">
      <w:r w:rsidRPr="00741168">
        <w:t>Power balances and r</w:t>
      </w:r>
      <w:r>
        <w:t xml:space="preserve">elationships between members and officers </w:t>
      </w:r>
      <w:r w:rsidRPr="00741168">
        <w:t>affected how the public health gra</w:t>
      </w:r>
      <w:r>
        <w:t>nt was used</w:t>
      </w:r>
      <w:r w:rsidR="00E6089A">
        <w:t xml:space="preserve">. </w:t>
      </w:r>
      <w:r w:rsidRPr="00741168">
        <w:t xml:space="preserve">Although the grant </w:t>
      </w:r>
      <w:r>
        <w:t xml:space="preserve">remains </w:t>
      </w:r>
      <w:r w:rsidRPr="00741168">
        <w:t>ring</w:t>
      </w:r>
      <w:r>
        <w:t>-</w:t>
      </w:r>
      <w:r w:rsidRPr="00741168">
        <w:t>fenced</w:t>
      </w:r>
      <w:r w:rsidR="00E6089A">
        <w:t xml:space="preserve"> at the time of writing</w:t>
      </w:r>
      <w:r w:rsidRPr="00741168">
        <w:t>, there were examples of it being invested in wider services</w:t>
      </w:r>
      <w:r>
        <w:t xml:space="preserve"> which contribute to public health outcomes</w:t>
      </w:r>
      <w:r w:rsidRPr="00741168">
        <w:t>, such as children’s centres or Fire &amp; Rescue Services</w:t>
      </w:r>
      <w:r w:rsidR="00E6089A">
        <w:t xml:space="preserve">. </w:t>
      </w:r>
      <w:r>
        <w:t>There were</w:t>
      </w:r>
      <w:r w:rsidR="00622EA5">
        <w:t xml:space="preserve"> also</w:t>
      </w:r>
      <w:r>
        <w:t xml:space="preserve"> examples of </w:t>
      </w:r>
      <w:proofErr w:type="spellStart"/>
      <w:r>
        <w:t>DsPH</w:t>
      </w:r>
      <w:proofErr w:type="spellEnd"/>
      <w:r>
        <w:t xml:space="preserve"> taking on additional responsibilities</w:t>
      </w:r>
      <w:r w:rsidR="00E6089A">
        <w:t xml:space="preserve"> and of</w:t>
      </w:r>
      <w:r>
        <w:t xml:space="preserve"> public health staff being</w:t>
      </w:r>
      <w:r w:rsidRPr="00741168">
        <w:t xml:space="preserve"> incorporated within centralised </w:t>
      </w:r>
      <w:r>
        <w:t>functions</w:t>
      </w:r>
      <w:r w:rsidRPr="00741168">
        <w:t xml:space="preserve"> or s</w:t>
      </w:r>
      <w:r>
        <w:t xml:space="preserve">pread across directorates, with </w:t>
      </w:r>
      <w:r w:rsidRPr="00741168">
        <w:t>operational accountability placed with the host service and not the DPH</w:t>
      </w:r>
      <w:r w:rsidR="00E6089A">
        <w:t xml:space="preserve">. </w:t>
      </w:r>
      <w:r w:rsidRPr="00741168">
        <w:t>One DPH described formal service level agreement</w:t>
      </w:r>
      <w:r w:rsidR="00622EA5">
        <w:t>s</w:t>
      </w:r>
      <w:r>
        <w:t xml:space="preserve"> with directorates over how the public health grant was to be deployed to further public health outcomes</w:t>
      </w:r>
      <w:r w:rsidR="00357C00">
        <w:t>,</w:t>
      </w:r>
      <w:r>
        <w:t xml:space="preserve"> whilst another</w:t>
      </w:r>
      <w:r w:rsidRPr="00AE4E11">
        <w:t xml:space="preserve"> descr</w:t>
      </w:r>
      <w:r>
        <w:t xml:space="preserve">ibed a gradual move </w:t>
      </w:r>
      <w:r w:rsidRPr="00AE4E11">
        <w:t>to le</w:t>
      </w:r>
      <w:r w:rsidR="00E6089A">
        <w:t>ss formal arrangements because “</w:t>
      </w:r>
      <w:r w:rsidRPr="00AE4E11">
        <w:t xml:space="preserve">over time those </w:t>
      </w:r>
      <w:r w:rsidR="00E6089A">
        <w:t>relationships have strengthened”</w:t>
      </w:r>
      <w:r w:rsidRPr="00AE4E11">
        <w:t>.</w:t>
      </w:r>
      <w:r>
        <w:t xml:space="preserve"> Many interviewees described </w:t>
      </w:r>
      <w:r w:rsidR="00E6089A">
        <w:t xml:space="preserve">growing </w:t>
      </w:r>
      <w:r>
        <w:t>trust between public health</w:t>
      </w:r>
      <w:r w:rsidR="00E6089A">
        <w:t xml:space="preserve"> teams</w:t>
      </w:r>
      <w:r>
        <w:t xml:space="preserve">, other local government officers and </w:t>
      </w:r>
      <w:r w:rsidR="00E6089A">
        <w:t xml:space="preserve">elected </w:t>
      </w:r>
      <w:r>
        <w:t>members</w:t>
      </w:r>
      <w:r w:rsidR="00E6089A">
        <w:t>,</w:t>
      </w:r>
      <w:r>
        <w:t xml:space="preserve"> </w:t>
      </w:r>
      <w:r w:rsidR="00E6089A">
        <w:t>result</w:t>
      </w:r>
      <w:r w:rsidR="00622EA5">
        <w:t>ing</w:t>
      </w:r>
      <w:r w:rsidR="00E6089A">
        <w:t xml:space="preserve"> in increased</w:t>
      </w:r>
      <w:r>
        <w:t xml:space="preserve"> networking abili</w:t>
      </w:r>
      <w:r w:rsidR="00E6089A">
        <w:t>ty and leverage in the decision-making process. However, one consequence of a</w:t>
      </w:r>
      <w:r>
        <w:t xml:space="preserve"> move away from formal agreements was that </w:t>
      </w:r>
      <w:r w:rsidRPr="00AE4E11">
        <w:t>the process for sec</w:t>
      </w:r>
      <w:r>
        <w:t xml:space="preserve">uring </w:t>
      </w:r>
      <w:r w:rsidRPr="00AE4E11">
        <w:t xml:space="preserve">CPD </w:t>
      </w:r>
      <w:r>
        <w:t xml:space="preserve">resources </w:t>
      </w:r>
      <w:r w:rsidRPr="00AE4E11">
        <w:t xml:space="preserve">for </w:t>
      </w:r>
      <w:r>
        <w:t xml:space="preserve">dispersed </w:t>
      </w:r>
      <w:r w:rsidRPr="00AE4E11">
        <w:t xml:space="preserve">public health </w:t>
      </w:r>
      <w:r w:rsidR="00357C00">
        <w:t>professionals</w:t>
      </w:r>
      <w:r w:rsidRPr="00AE4E11">
        <w:t xml:space="preserve"> was unclear.</w:t>
      </w:r>
    </w:p>
    <w:p w:rsidR="00AE5027" w:rsidRPr="00AE5027" w:rsidRDefault="00AE5027" w:rsidP="00AE5027">
      <w:pPr>
        <w:rPr>
          <w:b/>
          <w:sz w:val="2"/>
        </w:rPr>
      </w:pPr>
    </w:p>
    <w:p w:rsidR="00AE5027" w:rsidRDefault="00AE5027" w:rsidP="00AE5027">
      <w:pPr>
        <w:rPr>
          <w:b/>
        </w:rPr>
      </w:pPr>
      <w:r>
        <w:rPr>
          <w:b/>
        </w:rPr>
        <w:t>Figure 2</w:t>
      </w:r>
      <w:r w:rsidRPr="005C741C">
        <w:rPr>
          <w:b/>
        </w:rPr>
        <w:t>:  Managing the ring-fenced budget</w:t>
      </w:r>
    </w:p>
    <w:tbl>
      <w:tblPr>
        <w:tblStyle w:val="TableGrid"/>
        <w:tblW w:w="0" w:type="auto"/>
        <w:tblInd w:w="0" w:type="dxa"/>
        <w:tblLook w:val="04A0" w:firstRow="1" w:lastRow="0" w:firstColumn="1" w:lastColumn="0" w:noHBand="0" w:noVBand="1"/>
      </w:tblPr>
      <w:tblGrid>
        <w:gridCol w:w="9016"/>
      </w:tblGrid>
      <w:tr w:rsidR="00AE5027" w:rsidTr="00AE5027">
        <w:tc>
          <w:tcPr>
            <w:tcW w:w="9016" w:type="dxa"/>
          </w:tcPr>
          <w:p w:rsidR="00AE5027" w:rsidRDefault="00AE5027" w:rsidP="00B27589">
            <w:pPr>
              <w:rPr>
                <w:i/>
              </w:rPr>
            </w:pPr>
          </w:p>
          <w:p w:rsidR="00AE5027" w:rsidRDefault="00AE5027" w:rsidP="00B27589">
            <w:pPr>
              <w:rPr>
                <w:rFonts w:asciiTheme="minorHAnsi" w:hAnsiTheme="minorHAnsi" w:cs="Verdana"/>
                <w:i/>
              </w:rPr>
            </w:pPr>
            <w:r>
              <w:rPr>
                <w:rFonts w:asciiTheme="minorHAnsi" w:hAnsiTheme="minorHAnsi"/>
                <w:i/>
              </w:rPr>
              <w:t>W</w:t>
            </w:r>
            <w:r w:rsidRPr="00297FE2">
              <w:rPr>
                <w:rFonts w:asciiTheme="minorHAnsi" w:hAnsiTheme="minorHAnsi"/>
                <w:i/>
              </w:rPr>
              <w:t xml:space="preserve">e have SLAs </w:t>
            </w:r>
            <w:r>
              <w:rPr>
                <w:rFonts w:asciiTheme="minorHAnsi" w:hAnsiTheme="minorHAnsi"/>
                <w:i/>
              </w:rPr>
              <w:t xml:space="preserve">[service level agreements] </w:t>
            </w:r>
            <w:r w:rsidRPr="00297FE2">
              <w:rPr>
                <w:rFonts w:asciiTheme="minorHAnsi" w:hAnsiTheme="minorHAnsi"/>
                <w:i/>
              </w:rPr>
              <w:t xml:space="preserve">outlining in quite clear detail what it is we're going to be doing with the money and also the professional bits around either their </w:t>
            </w:r>
            <w:r>
              <w:rPr>
                <w:rFonts w:asciiTheme="minorHAnsi" w:hAnsiTheme="minorHAnsi"/>
                <w:i/>
              </w:rPr>
              <w:t xml:space="preserve">[staff located in other directorates] </w:t>
            </w:r>
            <w:r w:rsidRPr="00297FE2">
              <w:rPr>
                <w:rFonts w:asciiTheme="minorHAnsi" w:hAnsiTheme="minorHAnsi"/>
                <w:i/>
              </w:rPr>
              <w:t>professional development or CPD or some sort of benchmark. […]</w:t>
            </w:r>
            <w:r>
              <w:rPr>
                <w:rFonts w:asciiTheme="minorHAnsi" w:hAnsiTheme="minorHAnsi"/>
                <w:i/>
              </w:rPr>
              <w:t xml:space="preserve"> </w:t>
            </w:r>
            <w:r w:rsidRPr="00297FE2">
              <w:rPr>
                <w:rFonts w:asciiTheme="minorHAnsi" w:hAnsiTheme="minorHAnsi" w:cs="Verdana"/>
                <w:i/>
              </w:rPr>
              <w:t xml:space="preserve">So just trying to look at that and getting a view and saying, </w:t>
            </w:r>
            <w:r>
              <w:rPr>
                <w:rFonts w:asciiTheme="minorHAnsi" w:hAnsiTheme="minorHAnsi" w:cs="Verdana"/>
                <w:i/>
              </w:rPr>
              <w:t>‘W</w:t>
            </w:r>
            <w:r w:rsidRPr="00297FE2">
              <w:rPr>
                <w:rFonts w:asciiTheme="minorHAnsi" w:hAnsiTheme="minorHAnsi" w:cs="Verdana"/>
                <w:i/>
              </w:rPr>
              <w:t xml:space="preserve">ell, as part of the appraisal we will expect them to have a professional type appraisal, a PDP </w:t>
            </w:r>
            <w:r>
              <w:rPr>
                <w:rFonts w:asciiTheme="minorHAnsi" w:hAnsiTheme="minorHAnsi" w:cs="Verdana"/>
                <w:i/>
              </w:rPr>
              <w:t xml:space="preserve">[personal development plan] </w:t>
            </w:r>
            <w:r w:rsidRPr="00297FE2">
              <w:rPr>
                <w:rFonts w:asciiTheme="minorHAnsi" w:hAnsiTheme="minorHAnsi" w:cs="Verdana"/>
                <w:i/>
              </w:rPr>
              <w:t>type appraisal with the director of public health and in it they'd want to see that they've done what we'd called basic public health.</w:t>
            </w:r>
          </w:p>
          <w:p w:rsidR="00AE5027" w:rsidRPr="005C741C" w:rsidRDefault="00AE5027" w:rsidP="00B27589">
            <w:pPr>
              <w:jc w:val="right"/>
            </w:pPr>
            <w:r w:rsidRPr="00297FE2">
              <w:t>(DPH 9, initial interview)</w:t>
            </w:r>
          </w:p>
          <w:p w:rsidR="00AE5027" w:rsidRPr="00297FE2" w:rsidRDefault="00AE5027" w:rsidP="00B27589">
            <w:pPr>
              <w:rPr>
                <w:rFonts w:asciiTheme="minorHAnsi" w:hAnsiTheme="minorHAnsi"/>
                <w:i/>
              </w:rPr>
            </w:pPr>
          </w:p>
          <w:p w:rsidR="00AE5027" w:rsidRPr="00297FE2" w:rsidRDefault="00AE5027" w:rsidP="00B27589">
            <w:pPr>
              <w:rPr>
                <w:rFonts w:asciiTheme="minorHAnsi" w:hAnsiTheme="minorHAnsi"/>
                <w:i/>
              </w:rPr>
            </w:pPr>
            <w:r w:rsidRPr="00297FE2">
              <w:rPr>
                <w:rFonts w:asciiTheme="minorHAnsi" w:hAnsiTheme="minorHAnsi"/>
                <w:i/>
              </w:rPr>
              <w:t xml:space="preserve">We have funded public health activity in other parts of the council primarily, well, for two reasons. One, to secure some control over those other services and influence with a view to them becoming more integrated within the rest of the public health work. […] The second reason of course, and probably the more opportunistic reason is it does release savings elsewhere in the council. </w:t>
            </w:r>
            <w:r w:rsidRPr="00297FE2">
              <w:rPr>
                <w:rFonts w:asciiTheme="minorHAnsi" w:hAnsiTheme="minorHAnsi" w:cs="Verdana"/>
                <w:i/>
              </w:rPr>
              <w:t xml:space="preserve">So coming back to the </w:t>
            </w:r>
            <w:r>
              <w:rPr>
                <w:rFonts w:asciiTheme="minorHAnsi" w:hAnsiTheme="minorHAnsi" w:cs="Verdana"/>
                <w:i/>
              </w:rPr>
              <w:t>[name of service]</w:t>
            </w:r>
            <w:r w:rsidRPr="00297FE2">
              <w:rPr>
                <w:rFonts w:asciiTheme="minorHAnsi" w:hAnsiTheme="minorHAnsi" w:cs="Verdana"/>
                <w:i/>
              </w:rPr>
              <w:t xml:space="preserve"> example, we have, the result of this has been that we now spend less from within the </w:t>
            </w:r>
            <w:r>
              <w:rPr>
                <w:rFonts w:asciiTheme="minorHAnsi" w:hAnsiTheme="minorHAnsi" w:cs="Verdana"/>
                <w:i/>
              </w:rPr>
              <w:t xml:space="preserve">[X] </w:t>
            </w:r>
            <w:r w:rsidRPr="00297FE2">
              <w:rPr>
                <w:rFonts w:asciiTheme="minorHAnsi" w:hAnsiTheme="minorHAnsi" w:cs="Verdana"/>
                <w:i/>
              </w:rPr>
              <w:t xml:space="preserve">budget and so effectively we’ve made savings in the </w:t>
            </w:r>
            <w:r>
              <w:rPr>
                <w:rFonts w:asciiTheme="minorHAnsi" w:hAnsiTheme="minorHAnsi" w:cs="Verdana"/>
                <w:i/>
              </w:rPr>
              <w:t xml:space="preserve">[Y] </w:t>
            </w:r>
            <w:r w:rsidRPr="00297FE2">
              <w:rPr>
                <w:rFonts w:asciiTheme="minorHAnsi" w:hAnsiTheme="minorHAnsi" w:cs="Verdana"/>
                <w:i/>
              </w:rPr>
              <w:t xml:space="preserve">budget as a consequence of this. So there is a contribution to the council savings as well as trying to have a more integrated approach. </w:t>
            </w:r>
          </w:p>
          <w:p w:rsidR="00AE5027" w:rsidRDefault="00AE5027" w:rsidP="00B27589">
            <w:pPr>
              <w:jc w:val="right"/>
            </w:pPr>
            <w:r w:rsidRPr="00297FE2">
              <w:t>(DPH 3, follow-up interview)</w:t>
            </w:r>
          </w:p>
          <w:p w:rsidR="00AE5027" w:rsidRPr="005C741C" w:rsidRDefault="00AE5027" w:rsidP="00B27589">
            <w:pPr>
              <w:jc w:val="right"/>
            </w:pPr>
          </w:p>
        </w:tc>
      </w:tr>
    </w:tbl>
    <w:p w:rsidR="00AE5027" w:rsidRDefault="00AE5027" w:rsidP="00650624">
      <w:pPr>
        <w:rPr>
          <w:b/>
        </w:rPr>
      </w:pPr>
    </w:p>
    <w:p w:rsidR="00016DA4" w:rsidRPr="00741168" w:rsidRDefault="00016DA4" w:rsidP="00650624">
      <w:pPr>
        <w:rPr>
          <w:b/>
        </w:rPr>
      </w:pPr>
      <w:r w:rsidRPr="00741168">
        <w:rPr>
          <w:b/>
        </w:rPr>
        <w:t xml:space="preserve">Developing a workforce for the future </w:t>
      </w:r>
    </w:p>
    <w:p w:rsidR="00D14DFC" w:rsidRDefault="00016DA4" w:rsidP="009E460F">
      <w:r w:rsidRPr="00741168">
        <w:t>Interviewees had differe</w:t>
      </w:r>
      <w:r>
        <w:t>nt views over the balance between</w:t>
      </w:r>
      <w:r w:rsidRPr="00741168">
        <w:t xml:space="preserve"> sp</w:t>
      </w:r>
      <w:r w:rsidR="00E6089A">
        <w:t xml:space="preserve">ecialist </w:t>
      </w:r>
      <w:r w:rsidR="00357C00">
        <w:t xml:space="preserve">and broader </w:t>
      </w:r>
      <w:r w:rsidR="00E6089A">
        <w:t xml:space="preserve">public health </w:t>
      </w:r>
      <w:r w:rsidR="00622EA5">
        <w:t>functions</w:t>
      </w:r>
      <w:r w:rsidR="00E6089A">
        <w:t xml:space="preserve">. </w:t>
      </w:r>
      <w:r w:rsidRPr="00741168">
        <w:t>Many viewed the move into local government as an opportunity to</w:t>
      </w:r>
      <w:r>
        <w:t xml:space="preserve"> tap into an existing public health resource</w:t>
      </w:r>
      <w:r w:rsidR="00E6089A">
        <w:t xml:space="preserve">. </w:t>
      </w:r>
      <w:r w:rsidRPr="00741168">
        <w:t>For</w:t>
      </w:r>
      <w:r w:rsidR="00E6089A">
        <w:t xml:space="preserve"> example, one DPH spoke of the “</w:t>
      </w:r>
      <w:r w:rsidRPr="00741168">
        <w:t>wealth of talent of</w:t>
      </w:r>
      <w:r w:rsidR="00E6089A">
        <w:t xml:space="preserve"> people within local government”</w:t>
      </w:r>
      <w:r w:rsidRPr="00741168">
        <w:t xml:space="preserve"> and </w:t>
      </w:r>
      <w:r w:rsidR="00E6089A">
        <w:t xml:space="preserve">advised </w:t>
      </w:r>
      <w:r w:rsidRPr="00741168">
        <w:t>that publi</w:t>
      </w:r>
      <w:r w:rsidR="00E6089A">
        <w:t>c health should not be seen as “</w:t>
      </w:r>
      <w:r w:rsidRPr="00741168">
        <w:t>simply a tiny speciali</w:t>
      </w:r>
      <w:r w:rsidR="00E6089A">
        <w:t>ty with a tiny group of experts”</w:t>
      </w:r>
      <w:r w:rsidR="00F13D45">
        <w:t xml:space="preserve">. </w:t>
      </w:r>
      <w:r w:rsidRPr="00741168">
        <w:t>This commitment to broaden the resource</w:t>
      </w:r>
      <w:r>
        <w:t>, and make public health integral to every role and function,</w:t>
      </w:r>
      <w:r w:rsidRPr="00741168">
        <w:t xml:space="preserve"> was shared by those outs</w:t>
      </w:r>
      <w:r>
        <w:t>ide the transferred workforce</w:t>
      </w:r>
      <w:r w:rsidR="00F13D45">
        <w:t xml:space="preserve">. </w:t>
      </w:r>
      <w:r w:rsidRPr="00741168">
        <w:t>Most sites had introduced some form of training or development f</w:t>
      </w:r>
      <w:r>
        <w:t>or</w:t>
      </w:r>
      <w:r w:rsidR="00F13D45">
        <w:t xml:space="preserve"> elected members</w:t>
      </w:r>
      <w:r>
        <w:t xml:space="preserve">, </w:t>
      </w:r>
      <w:r w:rsidR="00F13D45">
        <w:t>local authority staff and communities</w:t>
      </w:r>
      <w:r w:rsidRPr="00741168">
        <w:t xml:space="preserve">, to raise awareness and increase public health skills. </w:t>
      </w:r>
      <w:r w:rsidR="009E460F">
        <w:t xml:space="preserve">However, there was felt to have been a </w:t>
      </w:r>
      <w:r w:rsidR="009E460F" w:rsidRPr="00285D9E">
        <w:t xml:space="preserve">loss </w:t>
      </w:r>
      <w:r w:rsidR="009E460F">
        <w:t xml:space="preserve">of </w:t>
      </w:r>
      <w:r w:rsidR="009E460F" w:rsidRPr="00285D9E">
        <w:t>healthcare public health expertise, linked</w:t>
      </w:r>
      <w:r w:rsidR="009E460F">
        <w:t xml:space="preserve"> </w:t>
      </w:r>
      <w:r w:rsidR="009E460F" w:rsidRPr="00285D9E">
        <w:t xml:space="preserve">to </w:t>
      </w:r>
      <w:r w:rsidR="009E460F">
        <w:t xml:space="preserve">an overall loss of capacity due to </w:t>
      </w:r>
      <w:r w:rsidR="009E460F" w:rsidRPr="00285D9E">
        <w:t>cuts in the public health grant.</w:t>
      </w:r>
      <w:r w:rsidR="009E460F">
        <w:t xml:space="preserve"> Some </w:t>
      </w:r>
      <w:r w:rsidR="009E460F" w:rsidRPr="00285D9E">
        <w:t>sites were able to maintain the level of public health input to their local CCG</w:t>
      </w:r>
      <w:r w:rsidR="009E460F">
        <w:t>s</w:t>
      </w:r>
      <w:r w:rsidR="009E460F" w:rsidRPr="00285D9E">
        <w:t xml:space="preserve"> and interviewees highlighted increased input in second phase fieldwork, partly influenced by the development</w:t>
      </w:r>
      <w:r w:rsidR="008A4A24">
        <w:t xml:space="preserve"> of</w:t>
      </w:r>
      <w:r w:rsidR="009E460F" w:rsidRPr="00285D9E">
        <w:t xml:space="preserve"> sustainability and transformation plans (STPs) and a renewed focus on</w:t>
      </w:r>
      <w:r w:rsidR="009E460F">
        <w:t xml:space="preserve"> prevention</w:t>
      </w:r>
      <w:r w:rsidR="009E460F" w:rsidRPr="00285D9E">
        <w:t>.</w:t>
      </w:r>
      <w:r w:rsidR="009420A5">
        <w:t xml:space="preserve"> Other NHS </w:t>
      </w:r>
      <w:r w:rsidR="008A4A24">
        <w:t>commissioner</w:t>
      </w:r>
      <w:r w:rsidR="009420A5">
        <w:t xml:space="preserve">s reported concerns that, with the shift to more of an upstream approach </w:t>
      </w:r>
      <w:r w:rsidR="00D14DFC">
        <w:t xml:space="preserve">following </w:t>
      </w:r>
      <w:r w:rsidR="009420A5">
        <w:t xml:space="preserve">the reforms, </w:t>
      </w:r>
      <w:r w:rsidR="008A4A24">
        <w:t>“we’re probably not as strong on the ‘here and now’ stuff”</w:t>
      </w:r>
      <w:r w:rsidR="00D14DFC">
        <w:t xml:space="preserve"> such as cardiovascular disease and diabetes prevention</w:t>
      </w:r>
      <w:r w:rsidR="008A4A24">
        <w:t>.</w:t>
      </w:r>
    </w:p>
    <w:p w:rsidR="00AE5027" w:rsidRPr="00AE5027" w:rsidRDefault="00AE5027" w:rsidP="009E460F">
      <w:pPr>
        <w:rPr>
          <w:sz w:val="2"/>
        </w:rPr>
      </w:pPr>
    </w:p>
    <w:p w:rsidR="00AE5027" w:rsidRDefault="00AE5027" w:rsidP="00AE5027">
      <w:pPr>
        <w:rPr>
          <w:b/>
        </w:rPr>
      </w:pPr>
      <w:r>
        <w:rPr>
          <w:b/>
        </w:rPr>
        <w:t>Figure 3</w:t>
      </w:r>
      <w:r w:rsidRPr="005C741C">
        <w:rPr>
          <w:b/>
        </w:rPr>
        <w:t xml:space="preserve">:  </w:t>
      </w:r>
      <w:r>
        <w:rPr>
          <w:b/>
        </w:rPr>
        <w:t>Impact on healthcare public health</w:t>
      </w:r>
    </w:p>
    <w:tbl>
      <w:tblPr>
        <w:tblStyle w:val="TableGrid"/>
        <w:tblW w:w="0" w:type="auto"/>
        <w:tblInd w:w="0" w:type="dxa"/>
        <w:tblLook w:val="04A0" w:firstRow="1" w:lastRow="0" w:firstColumn="1" w:lastColumn="0" w:noHBand="0" w:noVBand="1"/>
      </w:tblPr>
      <w:tblGrid>
        <w:gridCol w:w="9016"/>
      </w:tblGrid>
      <w:tr w:rsidR="00AE5027" w:rsidTr="00AE5027">
        <w:tc>
          <w:tcPr>
            <w:tcW w:w="9016" w:type="dxa"/>
          </w:tcPr>
          <w:p w:rsidR="00AE5027" w:rsidRDefault="00AE5027" w:rsidP="00B27589">
            <w:pPr>
              <w:rPr>
                <w:i/>
              </w:rPr>
            </w:pPr>
          </w:p>
          <w:p w:rsidR="00AE5027" w:rsidRDefault="00AE5027" w:rsidP="00B27589">
            <w:pPr>
              <w:rPr>
                <w:rFonts w:asciiTheme="minorHAnsi" w:hAnsiTheme="minorHAnsi"/>
                <w:i/>
              </w:rPr>
            </w:pPr>
            <w:r>
              <w:rPr>
                <w:rFonts w:asciiTheme="minorHAnsi" w:hAnsiTheme="minorHAnsi"/>
                <w:i/>
              </w:rPr>
              <w:t xml:space="preserve">We </w:t>
            </w:r>
            <w:r w:rsidRPr="00410CAE">
              <w:rPr>
                <w:rFonts w:asciiTheme="minorHAnsi" w:hAnsiTheme="minorHAnsi"/>
                <w:i/>
              </w:rPr>
              <w:t>all understand social aspects of health and the consequences and prevention. We understand it. So that remains really positive, and the shift from public health into local authorities</w:t>
            </w:r>
            <w:r>
              <w:rPr>
                <w:rFonts w:asciiTheme="minorHAnsi" w:hAnsiTheme="minorHAnsi"/>
                <w:i/>
              </w:rPr>
              <w:t xml:space="preserve"> </w:t>
            </w:r>
            <w:r w:rsidRPr="00410CAE">
              <w:rPr>
                <w:rFonts w:asciiTheme="minorHAnsi" w:hAnsiTheme="minorHAnsi"/>
                <w:i/>
              </w:rPr>
              <w:t>made that much stronger. […] What we have lost – and I share this view widely so it’s no surprise to anybody – I don’t believe we are as good at health prevention as we were. So I think we have lost something</w:t>
            </w:r>
            <w:r>
              <w:rPr>
                <w:rFonts w:asciiTheme="minorHAnsi" w:hAnsiTheme="minorHAnsi"/>
                <w:i/>
              </w:rPr>
              <w:t xml:space="preserve">. </w:t>
            </w:r>
            <w:r w:rsidRPr="00410CAE">
              <w:rPr>
                <w:rFonts w:asciiTheme="minorHAnsi" w:hAnsiTheme="minorHAnsi"/>
                <w:i/>
              </w:rPr>
              <w:t>And we’ve recognised it and we’re rebuilding it, but I don’t believe we’re as strong as we were as a PCT in typical health prevention work.</w:t>
            </w:r>
          </w:p>
          <w:p w:rsidR="00AE5027" w:rsidRDefault="00AE5027" w:rsidP="00B27589">
            <w:pPr>
              <w:rPr>
                <w:rFonts w:asciiTheme="minorHAnsi" w:hAnsiTheme="minorHAnsi"/>
                <w:i/>
              </w:rPr>
            </w:pPr>
          </w:p>
          <w:p w:rsidR="00AE5027" w:rsidRPr="00410CAE" w:rsidRDefault="00AE5027" w:rsidP="00B27589">
            <w:pPr>
              <w:jc w:val="right"/>
              <w:rPr>
                <w:rFonts w:asciiTheme="minorHAnsi" w:hAnsiTheme="minorHAnsi"/>
                <w:i/>
              </w:rPr>
            </w:pPr>
            <w:r>
              <w:rPr>
                <w:rFonts w:asciiTheme="minorHAnsi" w:hAnsiTheme="minorHAnsi"/>
              </w:rPr>
              <w:t>(NHS commissioner 8, initial interview)</w:t>
            </w:r>
            <w:r w:rsidRPr="00410CAE">
              <w:rPr>
                <w:rFonts w:asciiTheme="minorHAnsi" w:hAnsiTheme="minorHAnsi"/>
                <w:i/>
              </w:rPr>
              <w:t xml:space="preserve">  </w:t>
            </w:r>
          </w:p>
          <w:p w:rsidR="00AE5027" w:rsidRDefault="00AE5027" w:rsidP="00B27589">
            <w:pPr>
              <w:rPr>
                <w:rFonts w:asciiTheme="minorHAnsi" w:hAnsiTheme="minorHAnsi"/>
                <w:i/>
              </w:rPr>
            </w:pPr>
          </w:p>
          <w:p w:rsidR="00AE5027" w:rsidRDefault="00AE5027" w:rsidP="00B27589">
            <w:pPr>
              <w:rPr>
                <w:i/>
              </w:rPr>
            </w:pPr>
            <w:r w:rsidRPr="00592B8A">
              <w:rPr>
                <w:i/>
              </w:rPr>
              <w:t>We have a good connection with public health</w:t>
            </w:r>
            <w:r>
              <w:rPr>
                <w:i/>
              </w:rPr>
              <w:t>. W</w:t>
            </w:r>
            <w:r w:rsidRPr="00592B8A">
              <w:rPr>
                <w:i/>
              </w:rPr>
              <w:t>e have a public health consultant who works within the CCG, sits on the governing body, acts as an adviser, works sort of across the boundary. […]</w:t>
            </w:r>
            <w:r>
              <w:rPr>
                <w:i/>
              </w:rPr>
              <w:t xml:space="preserve"> One thing that was recognised was that the CCGs would… so t</w:t>
            </w:r>
            <w:r w:rsidRPr="00592B8A">
              <w:rPr>
                <w:i/>
              </w:rPr>
              <w:t>he PCTs had public health advice and expertise in-house</w:t>
            </w:r>
            <w:r>
              <w:rPr>
                <w:i/>
              </w:rPr>
              <w:t>;</w:t>
            </w:r>
            <w:r w:rsidRPr="00592B8A">
              <w:rPr>
                <w:i/>
              </w:rPr>
              <w:t xml:space="preserve"> CCGs were going to have that all removed. So we recognised that local authorities should support the CCGs with public health expertise. </w:t>
            </w:r>
          </w:p>
          <w:p w:rsidR="00AE5027" w:rsidRDefault="00AE5027" w:rsidP="00B27589">
            <w:pPr>
              <w:rPr>
                <w:i/>
              </w:rPr>
            </w:pPr>
          </w:p>
          <w:p w:rsidR="00AE5027" w:rsidRDefault="00AE5027" w:rsidP="00B27589">
            <w:pPr>
              <w:jc w:val="right"/>
            </w:pPr>
            <w:r>
              <w:t>(NHS commissioner 4, initial interview)</w:t>
            </w:r>
          </w:p>
          <w:p w:rsidR="00AE5027" w:rsidRPr="005C741C" w:rsidRDefault="00AE5027" w:rsidP="00B27589">
            <w:pPr>
              <w:jc w:val="right"/>
            </w:pPr>
          </w:p>
        </w:tc>
      </w:tr>
    </w:tbl>
    <w:p w:rsidR="00AE5027" w:rsidRDefault="00AE5027" w:rsidP="00650624"/>
    <w:p w:rsidR="00016DA4" w:rsidRDefault="00016DA4" w:rsidP="00650624">
      <w:r w:rsidRPr="00741168">
        <w:t>The future of public health as a specialist career was less clear</w:t>
      </w:r>
      <w:r>
        <w:t xml:space="preserve">, </w:t>
      </w:r>
      <w:r w:rsidRPr="00741168">
        <w:t xml:space="preserve">underlined by the increasingly generic roles </w:t>
      </w:r>
      <w:r>
        <w:t>undertaken by</w:t>
      </w:r>
      <w:r w:rsidRPr="00741168">
        <w:t xml:space="preserve"> public health</w:t>
      </w:r>
      <w:r>
        <w:t xml:space="preserve"> </w:t>
      </w:r>
      <w:r w:rsidR="00357C00">
        <w:t>professional</w:t>
      </w:r>
      <w:r>
        <w:t xml:space="preserve">s in </w:t>
      </w:r>
      <w:r w:rsidR="007A476C">
        <w:t xml:space="preserve">local government. </w:t>
      </w:r>
      <w:r w:rsidRPr="00741168">
        <w:t>Whilst one DPH believed that the public</w:t>
      </w:r>
      <w:r w:rsidR="007A476C">
        <w:t xml:space="preserve"> health training programme was “</w:t>
      </w:r>
      <w:r w:rsidRPr="00741168">
        <w:t>pretty mu</w:t>
      </w:r>
      <w:r w:rsidR="007A476C">
        <w:t>ch continuing at current levels”</w:t>
      </w:r>
      <w:r w:rsidRPr="00741168">
        <w:t>, others expre</w:t>
      </w:r>
      <w:r>
        <w:t>ssed uncertainty</w:t>
      </w:r>
      <w:r w:rsidR="007A476C">
        <w:t xml:space="preserve">. </w:t>
      </w:r>
      <w:r w:rsidRPr="00741168">
        <w:t>The</w:t>
      </w:r>
      <w:r>
        <w:t xml:space="preserve"> source of new recruits and </w:t>
      </w:r>
      <w:r w:rsidRPr="00741168">
        <w:t>career path</w:t>
      </w:r>
      <w:r>
        <w:t xml:space="preserve"> to be followed</w:t>
      </w:r>
      <w:r w:rsidRPr="00741168">
        <w:t xml:space="preserve"> were seen to be changing, with </w:t>
      </w:r>
      <w:r w:rsidR="007A476C">
        <w:t>one DPH stating that there was “</w:t>
      </w:r>
      <w:r w:rsidRPr="00741168">
        <w:t xml:space="preserve">much more reliance on people developing </w:t>
      </w:r>
      <w:r w:rsidRPr="00741168">
        <w:lastRenderedPageBreak/>
        <w:t xml:space="preserve">skills and knowledge and experience through their everyday work, and demonstrating that through the </w:t>
      </w:r>
      <w:r w:rsidR="007A476C">
        <w:t xml:space="preserve">portfolio”. </w:t>
      </w:r>
      <w:r w:rsidRPr="00741168">
        <w:t xml:space="preserve">They felt </w:t>
      </w:r>
      <w:r>
        <w:t xml:space="preserve">this may present challenges as generic roles reduced </w:t>
      </w:r>
      <w:r w:rsidRPr="00C64413">
        <w:t>opportunities to develop or ret</w:t>
      </w:r>
      <w:r>
        <w:t>ain specialist skills in ‘everyday work’. Others raised questions</w:t>
      </w:r>
      <w:r w:rsidRPr="00741168">
        <w:t xml:space="preserve"> over the critical mass required to ensure that a public </w:t>
      </w:r>
      <w:r>
        <w:t xml:space="preserve">health </w:t>
      </w:r>
      <w:r w:rsidRPr="00741168">
        <w:t xml:space="preserve">function was effectively delivered. </w:t>
      </w:r>
      <w:r>
        <w:t xml:space="preserve">Some </w:t>
      </w:r>
      <w:proofErr w:type="spellStart"/>
      <w:r>
        <w:t>DsPH</w:t>
      </w:r>
      <w:proofErr w:type="spellEnd"/>
      <w:r>
        <w:t xml:space="preserve"> </w:t>
      </w:r>
      <w:r w:rsidRPr="00741168">
        <w:t xml:space="preserve">believed there was </w:t>
      </w:r>
      <w:r w:rsidR="007A476C">
        <w:t>“</w:t>
      </w:r>
      <w:r w:rsidRPr="00741168">
        <w:t xml:space="preserve">an issue about how </w:t>
      </w:r>
      <w:r>
        <w:t>much [specialist</w:t>
      </w:r>
      <w:r w:rsidRPr="00741168">
        <w:t xml:space="preserve"> expertise] </w:t>
      </w:r>
      <w:r w:rsidR="007A476C">
        <w:t>is actually respected or wanted”</w:t>
      </w:r>
      <w:r>
        <w:t xml:space="preserve"> in local government</w:t>
      </w:r>
      <w:r w:rsidRPr="00741168">
        <w:t>, arising partly from the weight given</w:t>
      </w:r>
      <w:r>
        <w:t xml:space="preserve"> to advice </w:t>
      </w:r>
      <w:r w:rsidRPr="00741168">
        <w:t>supplie</w:t>
      </w:r>
      <w:r>
        <w:t>d by</w:t>
      </w:r>
      <w:r w:rsidR="0078750E">
        <w:t xml:space="preserve"> public health professionals</w:t>
      </w:r>
      <w:r w:rsidRPr="00741168">
        <w:t xml:space="preserve">. </w:t>
      </w:r>
      <w:r w:rsidR="0078750E">
        <w:t>A</w:t>
      </w:r>
      <w:r w:rsidRPr="00741168">
        <w:t xml:space="preserve"> sense of uncertainty was reflec</w:t>
      </w:r>
      <w:r w:rsidR="007A476C">
        <w:t>ted in statements made by other</w:t>
      </w:r>
      <w:r w:rsidRPr="00741168">
        <w:t xml:space="preserve"> local government</w:t>
      </w:r>
      <w:r w:rsidR="007A476C">
        <w:t xml:space="preserve"> interviewees</w:t>
      </w:r>
      <w:r w:rsidRPr="00741168">
        <w:t xml:space="preserve">, where a clinical background </w:t>
      </w:r>
      <w:r w:rsidR="007A476C">
        <w:t>could sometimes be regarded as a hindrance rather than an advantage</w:t>
      </w:r>
      <w:r w:rsidRPr="00741168">
        <w:t xml:space="preserve">.  </w:t>
      </w:r>
    </w:p>
    <w:p w:rsidR="00AE5027" w:rsidRPr="00AE5027" w:rsidRDefault="00AE5027" w:rsidP="00650624">
      <w:pPr>
        <w:rPr>
          <w:sz w:val="2"/>
        </w:rPr>
      </w:pPr>
    </w:p>
    <w:p w:rsidR="00AE5027" w:rsidRPr="005C741C" w:rsidRDefault="00AE5027" w:rsidP="00AE5027">
      <w:pPr>
        <w:rPr>
          <w:b/>
          <w:bCs/>
        </w:rPr>
      </w:pPr>
      <w:r w:rsidRPr="005C741C">
        <w:rPr>
          <w:b/>
          <w:bCs/>
        </w:rPr>
        <w:t xml:space="preserve">Figure </w:t>
      </w:r>
      <w:r>
        <w:rPr>
          <w:b/>
          <w:bCs/>
        </w:rPr>
        <w:t>4</w:t>
      </w:r>
      <w:r w:rsidRPr="005C741C">
        <w:rPr>
          <w:b/>
          <w:bCs/>
        </w:rPr>
        <w:t>:  A valued resource or a protected species?</w:t>
      </w:r>
    </w:p>
    <w:tbl>
      <w:tblPr>
        <w:tblStyle w:val="TableGrid"/>
        <w:tblW w:w="0" w:type="auto"/>
        <w:tblInd w:w="0" w:type="dxa"/>
        <w:tblLook w:val="04A0" w:firstRow="1" w:lastRow="0" w:firstColumn="1" w:lastColumn="0" w:noHBand="0" w:noVBand="1"/>
      </w:tblPr>
      <w:tblGrid>
        <w:gridCol w:w="9016"/>
      </w:tblGrid>
      <w:tr w:rsidR="00AE5027" w:rsidTr="00B27589">
        <w:tc>
          <w:tcPr>
            <w:tcW w:w="9242" w:type="dxa"/>
          </w:tcPr>
          <w:p w:rsidR="00AE5027" w:rsidRDefault="00AE5027" w:rsidP="00B27589">
            <w:pPr>
              <w:rPr>
                <w:bCs/>
                <w:i/>
              </w:rPr>
            </w:pPr>
          </w:p>
          <w:p w:rsidR="00AE5027" w:rsidRDefault="00AE5027" w:rsidP="00B27589">
            <w:pPr>
              <w:rPr>
                <w:i/>
              </w:rPr>
            </w:pPr>
            <w:r>
              <w:rPr>
                <w:i/>
              </w:rPr>
              <w:t>O</w:t>
            </w:r>
            <w:r w:rsidRPr="00323533">
              <w:rPr>
                <w:i/>
              </w:rPr>
              <w:t>f course you’ll still need the professional professionals, if you like, but I just think you don’t need an awful lot of them. Because actually what they should be doing is overseeing the whole process, so actually the public health work can be done by a wide range of people. In fact</w:t>
            </w:r>
            <w:r>
              <w:rPr>
                <w:i/>
              </w:rPr>
              <w:t>,</w:t>
            </w:r>
            <w:r w:rsidRPr="00323533">
              <w:rPr>
                <w:i/>
              </w:rPr>
              <w:t xml:space="preserve"> if anything staff trained up through the NHS are probably not the best that you’d want, because you’d actually want people to have a much broader and wider view of how to improve health. </w:t>
            </w:r>
          </w:p>
          <w:p w:rsidR="00AE5027" w:rsidRPr="00323533" w:rsidRDefault="00AE5027" w:rsidP="00B27589">
            <w:pPr>
              <w:rPr>
                <w:i/>
              </w:rPr>
            </w:pPr>
          </w:p>
          <w:p w:rsidR="00AE5027" w:rsidRPr="005C741C" w:rsidRDefault="00AE5027" w:rsidP="00B27589">
            <w:pPr>
              <w:jc w:val="right"/>
              <w:rPr>
                <w:bCs/>
              </w:rPr>
            </w:pPr>
            <w:r w:rsidRPr="00323533">
              <w:rPr>
                <w:bCs/>
              </w:rPr>
              <w:t>(</w:t>
            </w:r>
            <w:r>
              <w:rPr>
                <w:bCs/>
              </w:rPr>
              <w:t xml:space="preserve">HWB chair (elected member) </w:t>
            </w:r>
            <w:r w:rsidRPr="00323533">
              <w:rPr>
                <w:bCs/>
              </w:rPr>
              <w:t>2, follow-up interview)</w:t>
            </w:r>
          </w:p>
          <w:p w:rsidR="00AE5027" w:rsidRDefault="00AE5027" w:rsidP="00B27589">
            <w:pPr>
              <w:jc w:val="right"/>
              <w:rPr>
                <w:bCs/>
                <w:i/>
              </w:rPr>
            </w:pPr>
          </w:p>
          <w:p w:rsidR="00AE5027" w:rsidRDefault="00AE5027" w:rsidP="00B27589">
            <w:pPr>
              <w:rPr>
                <w:bCs/>
                <w:i/>
              </w:rPr>
            </w:pPr>
            <w:r>
              <w:rPr>
                <w:bCs/>
                <w:i/>
              </w:rPr>
              <w:t>I think from all the changes that we’ll see in terms of who fill other roles within the team, I think that [the DPH role] will remain a protected species. I think the Faculty [of Public Health] have very strong views about it, I think local NHS area teams have strong views about who ought to and ought to not do those sorts of jobs. […] Now actually hopefully they’ll be high quality, because they’ll have now spent this time in local government so they’ll have got some cross fertilisation that way. But I don’t think we’re going to see them coming from particularly different sources.</w:t>
            </w:r>
          </w:p>
          <w:p w:rsidR="00AE5027" w:rsidRDefault="00AE5027" w:rsidP="00B27589">
            <w:pPr>
              <w:rPr>
                <w:bCs/>
                <w:i/>
              </w:rPr>
            </w:pPr>
          </w:p>
          <w:p w:rsidR="00AE5027" w:rsidRPr="005C741C" w:rsidRDefault="00AE5027" w:rsidP="00B27589">
            <w:pPr>
              <w:jc w:val="right"/>
              <w:rPr>
                <w:bCs/>
              </w:rPr>
            </w:pPr>
            <w:r w:rsidRPr="00323533">
              <w:rPr>
                <w:bCs/>
              </w:rPr>
              <w:t>(</w:t>
            </w:r>
            <w:r>
              <w:rPr>
                <w:bCs/>
              </w:rPr>
              <w:t>HWB chair (elected member) 7</w:t>
            </w:r>
            <w:r w:rsidRPr="00323533">
              <w:rPr>
                <w:bCs/>
              </w:rPr>
              <w:t>, follow-up  interview)</w:t>
            </w:r>
          </w:p>
          <w:p w:rsidR="00AE5027" w:rsidRDefault="00AE5027" w:rsidP="00B27589">
            <w:pPr>
              <w:rPr>
                <w:b/>
                <w:bCs/>
              </w:rPr>
            </w:pPr>
          </w:p>
        </w:tc>
      </w:tr>
    </w:tbl>
    <w:p w:rsidR="00AE5027" w:rsidRDefault="00AE5027" w:rsidP="00650624">
      <w:pPr>
        <w:rPr>
          <w:i/>
        </w:rPr>
      </w:pPr>
    </w:p>
    <w:p w:rsidR="00016DA4" w:rsidRDefault="00016DA4" w:rsidP="00650624">
      <w:r w:rsidRPr="00741168">
        <w:t xml:space="preserve">Although no chief executive or member suggested that specialist knowledge would never be required, the cost of employing a </w:t>
      </w:r>
      <w:r w:rsidR="0078750E">
        <w:t xml:space="preserve">dedicated public health professional </w:t>
      </w:r>
      <w:r w:rsidRPr="00741168">
        <w:t>when th</w:t>
      </w:r>
      <w:r>
        <w:t xml:space="preserve">eir expertise </w:t>
      </w:r>
      <w:r w:rsidRPr="00741168">
        <w:t xml:space="preserve">may not be required on a </w:t>
      </w:r>
      <w:r w:rsidR="007A476C">
        <w:t>regular</w:t>
      </w:r>
      <w:r w:rsidRPr="00741168">
        <w:t xml:space="preserve"> basis was questioned</w:t>
      </w:r>
      <w:r w:rsidR="007A476C">
        <w:t xml:space="preserve">. </w:t>
      </w:r>
      <w:r>
        <w:t xml:space="preserve">The </w:t>
      </w:r>
      <w:r w:rsidR="007A476C">
        <w:t>current</w:t>
      </w:r>
      <w:r w:rsidR="0070734F">
        <w:t xml:space="preserve"> “</w:t>
      </w:r>
      <w:r>
        <w:t>protected</w:t>
      </w:r>
      <w:r w:rsidR="0070734F">
        <w:t xml:space="preserve"> species”</w:t>
      </w:r>
      <w:r w:rsidR="007A476C">
        <w:t xml:space="preserve"> status of </w:t>
      </w:r>
      <w:proofErr w:type="spellStart"/>
      <w:r w:rsidR="007A476C">
        <w:t>DsPH</w:t>
      </w:r>
      <w:proofErr w:type="spellEnd"/>
      <w:r w:rsidR="007A476C">
        <w:t xml:space="preserve"> could not therefore be guaranteed. </w:t>
      </w:r>
      <w:r>
        <w:t xml:space="preserve">However, a number of </w:t>
      </w:r>
      <w:proofErr w:type="spellStart"/>
      <w:r>
        <w:t>DsPH</w:t>
      </w:r>
      <w:proofErr w:type="spellEnd"/>
      <w:r>
        <w:t xml:space="preserve"> clearly welcomed the move to local government, partly because of the w</w:t>
      </w:r>
      <w:r w:rsidR="007A476C">
        <w:t xml:space="preserve">ider opportunities it offered. </w:t>
      </w:r>
      <w:r>
        <w:t xml:space="preserve">For them, a career as a public health </w:t>
      </w:r>
      <w:r w:rsidR="0078750E">
        <w:t xml:space="preserve">professional </w:t>
      </w:r>
      <w:r>
        <w:t xml:space="preserve">within local government was </w:t>
      </w:r>
      <w:r w:rsidR="007A476C">
        <w:t xml:space="preserve">reported to be </w:t>
      </w:r>
      <w:r>
        <w:t>very rewarding.</w:t>
      </w:r>
    </w:p>
    <w:p w:rsidR="00AE5027" w:rsidRPr="00AE5027" w:rsidRDefault="00AE5027" w:rsidP="00650624">
      <w:pPr>
        <w:rPr>
          <w:sz w:val="2"/>
        </w:rPr>
      </w:pPr>
    </w:p>
    <w:p w:rsidR="00AE5027" w:rsidRPr="005C741C" w:rsidRDefault="00AE5027" w:rsidP="00AE5027">
      <w:pPr>
        <w:rPr>
          <w:b/>
          <w:bCs/>
        </w:rPr>
      </w:pPr>
      <w:r w:rsidRPr="005C741C">
        <w:rPr>
          <w:b/>
          <w:bCs/>
        </w:rPr>
        <w:t xml:space="preserve">Figure </w:t>
      </w:r>
      <w:r>
        <w:rPr>
          <w:b/>
          <w:bCs/>
        </w:rPr>
        <w:t>5</w:t>
      </w:r>
      <w:r w:rsidRPr="005C741C">
        <w:rPr>
          <w:b/>
          <w:bCs/>
        </w:rPr>
        <w:t>:  Public health specialist – a future career choice?</w:t>
      </w:r>
    </w:p>
    <w:tbl>
      <w:tblPr>
        <w:tblStyle w:val="TableGrid"/>
        <w:tblW w:w="0" w:type="auto"/>
        <w:tblInd w:w="0" w:type="dxa"/>
        <w:tblLook w:val="04A0" w:firstRow="1" w:lastRow="0" w:firstColumn="1" w:lastColumn="0" w:noHBand="0" w:noVBand="1"/>
      </w:tblPr>
      <w:tblGrid>
        <w:gridCol w:w="9016"/>
      </w:tblGrid>
      <w:tr w:rsidR="00AE5027" w:rsidRPr="00CC29EE" w:rsidTr="00B27589">
        <w:tc>
          <w:tcPr>
            <w:tcW w:w="9242" w:type="dxa"/>
            <w:shd w:val="clear" w:color="auto" w:fill="auto"/>
          </w:tcPr>
          <w:p w:rsidR="00AE5027" w:rsidRPr="00CC29EE" w:rsidRDefault="00AE5027" w:rsidP="00B27589">
            <w:pPr>
              <w:rPr>
                <w:bCs/>
                <w:i/>
              </w:rPr>
            </w:pPr>
          </w:p>
          <w:p w:rsidR="00AE5027" w:rsidRPr="00CC29EE" w:rsidRDefault="00AE5027" w:rsidP="00B27589">
            <w:pPr>
              <w:rPr>
                <w:bCs/>
                <w:i/>
              </w:rPr>
            </w:pPr>
            <w:r w:rsidRPr="00CC29EE">
              <w:rPr>
                <w:bCs/>
                <w:i/>
              </w:rPr>
              <w:t xml:space="preserve">I think that the role of public health will be fully assimilated within local government. And I don't think, do you know what, I don't think I'd be appointing a DPH. I'd be looking at a different role, much more around public resilience, and then, yes looking at a whole system. […] I'd commission </w:t>
            </w:r>
            <w:r>
              <w:rPr>
                <w:bCs/>
                <w:i/>
              </w:rPr>
              <w:t xml:space="preserve">them </w:t>
            </w:r>
            <w:r w:rsidRPr="00CC29EE">
              <w:rPr>
                <w:bCs/>
                <w:i/>
              </w:rPr>
              <w:t xml:space="preserve">[people with specialist expertise]. Yes. I'd come to universities like yours, I'd start to commission that directly from providers or from universities. And I make a saving on it, I'm being very clear about that, that's about a savings agenda but being again far more targeted. </w:t>
            </w:r>
          </w:p>
          <w:p w:rsidR="00AE5027" w:rsidRPr="00CC29EE" w:rsidRDefault="00AE5027" w:rsidP="00B27589">
            <w:pPr>
              <w:jc w:val="right"/>
              <w:rPr>
                <w:bCs/>
              </w:rPr>
            </w:pPr>
          </w:p>
          <w:p w:rsidR="00AE5027" w:rsidRPr="00CC29EE" w:rsidRDefault="00AE5027" w:rsidP="00B27589">
            <w:pPr>
              <w:jc w:val="right"/>
              <w:rPr>
                <w:bCs/>
              </w:rPr>
            </w:pPr>
            <w:r w:rsidRPr="00CC29EE">
              <w:rPr>
                <w:bCs/>
              </w:rPr>
              <w:lastRenderedPageBreak/>
              <w:t>(Local authority chief executive 3, follow-up interview)</w:t>
            </w:r>
          </w:p>
          <w:p w:rsidR="00AE5027" w:rsidRPr="00CC29EE" w:rsidRDefault="00AE5027" w:rsidP="00B27589">
            <w:pPr>
              <w:rPr>
                <w:b/>
                <w:bCs/>
              </w:rPr>
            </w:pPr>
          </w:p>
          <w:p w:rsidR="00AE5027" w:rsidRPr="00CC29EE" w:rsidRDefault="00AE5027" w:rsidP="00B27589">
            <w:pPr>
              <w:rPr>
                <w:bCs/>
                <w:i/>
              </w:rPr>
            </w:pPr>
            <w:r w:rsidRPr="00CC29EE">
              <w:rPr>
                <w:bCs/>
                <w:i/>
              </w:rPr>
              <w:t>[P</w:t>
            </w:r>
            <w:r>
              <w:rPr>
                <w:bCs/>
                <w:i/>
              </w:rPr>
              <w:t xml:space="preserve">ublic </w:t>
            </w:r>
            <w:r w:rsidRPr="00CC29EE">
              <w:rPr>
                <w:bCs/>
                <w:i/>
              </w:rPr>
              <w:t>H</w:t>
            </w:r>
            <w:r>
              <w:rPr>
                <w:bCs/>
                <w:i/>
              </w:rPr>
              <w:t xml:space="preserve">ealth </w:t>
            </w:r>
            <w:r w:rsidRPr="00CC29EE">
              <w:rPr>
                <w:bCs/>
                <w:i/>
              </w:rPr>
              <w:t>E</w:t>
            </w:r>
            <w:r>
              <w:rPr>
                <w:bCs/>
                <w:i/>
              </w:rPr>
              <w:t>ngland</w:t>
            </w:r>
            <w:r w:rsidRPr="00CC29EE">
              <w:rPr>
                <w:bCs/>
                <w:i/>
              </w:rPr>
              <w:t xml:space="preserve">] need to recognise there are a wealth of talent of people within local government who would make excellent directors of public health. How are you going to get them into the specialist training programme and deploy them back into local government so that they have their training with us, but they’re going through the exam process? Because I would like to see eventually a chief exec in local government who is a public health person, you know, why not? So it’s rethinking the career route I think is important.  </w:t>
            </w:r>
          </w:p>
          <w:p w:rsidR="00AE5027" w:rsidRPr="00CC29EE" w:rsidRDefault="00AE5027" w:rsidP="00B27589">
            <w:pPr>
              <w:jc w:val="right"/>
              <w:rPr>
                <w:bCs/>
              </w:rPr>
            </w:pPr>
            <w:r w:rsidRPr="00CC29EE">
              <w:rPr>
                <w:bCs/>
              </w:rPr>
              <w:t>(DPH 2, initial interview)</w:t>
            </w:r>
          </w:p>
          <w:p w:rsidR="00AE5027" w:rsidRPr="00CC29EE" w:rsidRDefault="00AE5027" w:rsidP="00B27589">
            <w:pPr>
              <w:rPr>
                <w:bCs/>
                <w:i/>
              </w:rPr>
            </w:pPr>
          </w:p>
          <w:p w:rsidR="00AE5027" w:rsidRPr="00CC29EE" w:rsidRDefault="00AE5027" w:rsidP="00B27589">
            <w:pPr>
              <w:rPr>
                <w:b/>
                <w:bCs/>
                <w:i/>
              </w:rPr>
            </w:pPr>
            <w:r w:rsidRPr="00CC29EE">
              <w:rPr>
                <w:i/>
              </w:rPr>
              <w:t xml:space="preserve">The whole upstream approach [is] right at the heart of what the council does. It’s really interesting, yeah. It’s a great place to be ending my career on. If it does me for the next four years I shall be very happy. </w:t>
            </w:r>
          </w:p>
          <w:p w:rsidR="00AE5027" w:rsidRPr="00CC29EE" w:rsidRDefault="00AE5027" w:rsidP="00AE5027">
            <w:pPr>
              <w:jc w:val="right"/>
              <w:rPr>
                <w:bCs/>
              </w:rPr>
            </w:pPr>
            <w:r w:rsidRPr="00CC29EE">
              <w:rPr>
                <w:bCs/>
              </w:rPr>
              <w:t>(DPH 5, follow-up interview)</w:t>
            </w:r>
          </w:p>
          <w:p w:rsidR="00AE5027" w:rsidRPr="00CC29EE" w:rsidRDefault="00AE5027" w:rsidP="00B27589">
            <w:pPr>
              <w:rPr>
                <w:bCs/>
              </w:rPr>
            </w:pPr>
          </w:p>
        </w:tc>
      </w:tr>
    </w:tbl>
    <w:p w:rsidR="00AE5027" w:rsidRPr="000D4FB6" w:rsidRDefault="00AE5027" w:rsidP="00AE5027">
      <w:pPr>
        <w:rPr>
          <w:bCs/>
        </w:rPr>
      </w:pPr>
    </w:p>
    <w:p w:rsidR="00016DA4" w:rsidRPr="00650624" w:rsidRDefault="00652F78" w:rsidP="00650624">
      <w:pPr>
        <w:rPr>
          <w:b/>
        </w:rPr>
      </w:pPr>
      <w:r w:rsidRPr="00622EA5">
        <w:rPr>
          <w:i/>
        </w:rPr>
        <w:t xml:space="preserve"> </w:t>
      </w:r>
      <w:bookmarkStart w:id="0" w:name="_GoBack"/>
      <w:bookmarkEnd w:id="0"/>
      <w:r w:rsidR="00016DA4" w:rsidRPr="00650624">
        <w:rPr>
          <w:b/>
        </w:rPr>
        <w:t>DISCUSSION</w:t>
      </w:r>
    </w:p>
    <w:p w:rsidR="00016DA4" w:rsidRPr="00741168" w:rsidRDefault="00016DA4" w:rsidP="00650624">
      <w:pPr>
        <w:rPr>
          <w:b/>
        </w:rPr>
      </w:pPr>
      <w:r w:rsidRPr="00741168">
        <w:rPr>
          <w:b/>
        </w:rPr>
        <w:t>Main findings of the study</w:t>
      </w:r>
    </w:p>
    <w:p w:rsidR="00016DA4" w:rsidRPr="00741168" w:rsidRDefault="00016DA4" w:rsidP="00650624">
      <w:r w:rsidRPr="00741168">
        <w:t xml:space="preserve">This study finds that </w:t>
      </w:r>
      <w:r>
        <w:t xml:space="preserve">while </w:t>
      </w:r>
      <w:r w:rsidRPr="00741168">
        <w:t>value is placed on the contributio</w:t>
      </w:r>
      <w:r>
        <w:t xml:space="preserve">n of public health </w:t>
      </w:r>
      <w:r w:rsidR="0078750E">
        <w:t xml:space="preserve">professionals </w:t>
      </w:r>
      <w:r w:rsidRPr="00741168">
        <w:t xml:space="preserve">within local government, </w:t>
      </w:r>
      <w:r>
        <w:t xml:space="preserve">it </w:t>
      </w:r>
      <w:r w:rsidRPr="00741168">
        <w:t>is being balanced against financial stringency</w:t>
      </w:r>
      <w:r>
        <w:t xml:space="preserve"> across all local authority services</w:t>
      </w:r>
      <w:r w:rsidRPr="00741168">
        <w:t>, the likely demands associated with developing and maintaining specialist skills, and the demands placed on elected members to represent the in</w:t>
      </w:r>
      <w:r w:rsidR="00780C46">
        <w:t xml:space="preserve">terests of their constituents. </w:t>
      </w:r>
      <w:r w:rsidRPr="00741168">
        <w:t>The reforms have also dema</w:t>
      </w:r>
      <w:r w:rsidR="00780C46">
        <w:t>nded a rebalancing of the skill-</w:t>
      </w:r>
      <w:r w:rsidRPr="00741168">
        <w:t>set require</w:t>
      </w:r>
      <w:r>
        <w:t>d of public health</w:t>
      </w:r>
      <w:r w:rsidR="0078750E">
        <w:t xml:space="preserve"> teams</w:t>
      </w:r>
      <w:r w:rsidRPr="00741168">
        <w:t>, with an increased need for n</w:t>
      </w:r>
      <w:r>
        <w:t xml:space="preserve">egotiating, </w:t>
      </w:r>
      <w:r w:rsidRPr="00741168">
        <w:t>networking</w:t>
      </w:r>
      <w:r>
        <w:t>, communication and presentation</w:t>
      </w:r>
      <w:r w:rsidRPr="00741168">
        <w:t xml:space="preserve"> </w:t>
      </w:r>
      <w:r>
        <w:t xml:space="preserve">skills, </w:t>
      </w:r>
      <w:r w:rsidRPr="00741168">
        <w:t>greater focus on financial and people management skills</w:t>
      </w:r>
      <w:r>
        <w:t xml:space="preserve">, and an ability to </w:t>
      </w:r>
      <w:r w:rsidR="00780C46">
        <w:t xml:space="preserve">exercise political astuteness. </w:t>
      </w:r>
      <w:r>
        <w:t>Consequently, both the CPD</w:t>
      </w:r>
      <w:r w:rsidRPr="00741168">
        <w:t xml:space="preserve"> of </w:t>
      </w:r>
      <w:r>
        <w:t xml:space="preserve">the </w:t>
      </w:r>
      <w:r w:rsidRPr="00741168">
        <w:t>exis</w:t>
      </w:r>
      <w:r>
        <w:t>ting public health workforce</w:t>
      </w:r>
      <w:r w:rsidRPr="00741168">
        <w:t xml:space="preserve">, and the recruitment </w:t>
      </w:r>
      <w:r>
        <w:t xml:space="preserve">to, </w:t>
      </w:r>
      <w:r w:rsidRPr="00741168">
        <w:t>and develo</w:t>
      </w:r>
      <w:r>
        <w:t xml:space="preserve">pment of, the future specialist </w:t>
      </w:r>
      <w:r w:rsidR="0078750E">
        <w:t xml:space="preserve">function </w:t>
      </w:r>
      <w:r>
        <w:t>are</w:t>
      </w:r>
      <w:r w:rsidRPr="00741168">
        <w:t xml:space="preserve"> uncertain.</w:t>
      </w:r>
      <w:r w:rsidR="00780C46">
        <w:t xml:space="preserve"> </w:t>
      </w:r>
      <w:r>
        <w:t>This poses both threats and opportunities.</w:t>
      </w:r>
    </w:p>
    <w:p w:rsidR="00016DA4" w:rsidRPr="00741168" w:rsidRDefault="00016DA4" w:rsidP="00650624">
      <w:pPr>
        <w:rPr>
          <w:b/>
        </w:rPr>
      </w:pPr>
      <w:r w:rsidRPr="00741168">
        <w:rPr>
          <w:b/>
        </w:rPr>
        <w:t xml:space="preserve">What is already known on this </w:t>
      </w:r>
      <w:proofErr w:type="gramStart"/>
      <w:r w:rsidRPr="00741168">
        <w:rPr>
          <w:b/>
        </w:rPr>
        <w:t>topic</w:t>
      </w:r>
      <w:proofErr w:type="gramEnd"/>
    </w:p>
    <w:p w:rsidR="00016DA4" w:rsidRPr="00741168" w:rsidRDefault="00016DA4" w:rsidP="00650624">
      <w:r w:rsidRPr="00741168">
        <w:t xml:space="preserve">The impact of the </w:t>
      </w:r>
      <w:r w:rsidR="00780C46">
        <w:t xml:space="preserve">2013 reforms on decision-making, </w:t>
      </w:r>
      <w:r w:rsidRPr="00741168">
        <w:t xml:space="preserve">prioritisation of public health spending and commissioning </w:t>
      </w:r>
      <w:r>
        <w:t xml:space="preserve">have been </w:t>
      </w:r>
      <w:r w:rsidRPr="00741168">
        <w:t>well documented</w:t>
      </w:r>
      <w:r>
        <w:t>.</w:t>
      </w:r>
      <w:hyperlink w:anchor="_ENREF_7" w:tooltip="Gadsby, 2017 #9" w:history="1">
        <w:r w:rsidR="001F4F67">
          <w:fldChar w:fldCharType="begin">
            <w:fldData xml:space="preserve">PEVuZE5vdGU+PENpdGU+PEF1dGhvcj5HYWRzYnk8L0F1dGhvcj48WWVhcj4yMDE3PC9ZZWFyPjxS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==
</w:fldData>
          </w:fldChar>
        </w:r>
        <w:r w:rsidR="001F4F67">
          <w:instrText xml:space="preserve"> ADDIN EN.CITE </w:instrText>
        </w:r>
        <w:r w:rsidR="001F4F67">
          <w:fldChar w:fldCharType="begin">
            <w:fldData xml:space="preserve">PEVuZE5vdGU+PENpdGU+PEF1dGhvcj5HYWRzYnk8L0F1dGhvcj48WWVhcj4yMDE3PC9ZZWFyPjxS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==
</w:fldData>
          </w:fldChar>
        </w:r>
        <w:r w:rsidR="001F4F67">
          <w:instrText xml:space="preserve"> ADDIN EN.CITE.DATA </w:instrText>
        </w:r>
        <w:r w:rsidR="001F4F67">
          <w:fldChar w:fldCharType="end"/>
        </w:r>
        <w:r w:rsidR="001F4F67">
          <w:fldChar w:fldCharType="separate"/>
        </w:r>
        <w:r w:rsidR="001F4F67" w:rsidRPr="00AA3A1E">
          <w:rPr>
            <w:noProof/>
            <w:vertAlign w:val="superscript"/>
          </w:rPr>
          <w:t>7-9</w:t>
        </w:r>
        <w:r w:rsidR="001F4F67">
          <w:fldChar w:fldCharType="end"/>
        </w:r>
      </w:hyperlink>
      <w:r>
        <w:t xml:space="preserve">  </w:t>
      </w:r>
      <w:r w:rsidRPr="00741168">
        <w:t xml:space="preserve">Since the transfer of public health from local authorities </w:t>
      </w:r>
      <w:r w:rsidR="00AA3A1E">
        <w:t xml:space="preserve">to the NHS in </w:t>
      </w:r>
      <w:r w:rsidRPr="00741168">
        <w:t xml:space="preserve">1974, there have been persistent debates over </w:t>
      </w:r>
      <w:r w:rsidR="00AA3A1E">
        <w:t xml:space="preserve">its </w:t>
      </w:r>
      <w:r w:rsidRPr="00741168">
        <w:t>identity</w:t>
      </w:r>
      <w:r w:rsidR="00AA3A1E">
        <w:t xml:space="preserve"> and focus</w:t>
      </w:r>
      <w:r w:rsidRPr="00741168">
        <w:t>.</w:t>
      </w:r>
      <w:r>
        <w:t xml:space="preserve"> </w:t>
      </w:r>
      <w:r w:rsidRPr="00741168">
        <w:t xml:space="preserve">In  1993, </w:t>
      </w:r>
      <w:proofErr w:type="spellStart"/>
      <w:r w:rsidRPr="00741168">
        <w:t>Frenk</w:t>
      </w:r>
      <w:proofErr w:type="spellEnd"/>
      <w:r w:rsidR="005F731D">
        <w:fldChar w:fldCharType="begin"/>
      </w:r>
      <w:r w:rsidR="005F731D">
        <w:instrText xml:space="preserve"> HYPERLINK \l "_ENREF_10" \o "Frenk, 1993 #10" </w:instrText>
      </w:r>
      <w:r w:rsidR="005F731D">
        <w:fldChar w:fldCharType="separate"/>
      </w:r>
      <w:r w:rsidR="001F4F67">
        <w:fldChar w:fldCharType="begin"/>
      </w:r>
      <w:r w:rsidR="001F4F67">
        <w:instrText xml:space="preserve"> ADDIN EN.CITE &lt;EndNote&gt;&lt;Cite&gt;&lt;Author&gt;Frenk&lt;/Author&gt;&lt;Year&gt;1993&lt;/Year&gt;&lt;RecNum&gt;10&lt;/RecNum&gt;&lt;DisplayText&gt;&lt;style face="superscript"&gt;10&lt;/style&gt;&lt;/DisplayText&gt;&lt;record&gt;&lt;rec-number&gt;10&lt;/rec-number&gt;&lt;foreign-keys&gt;&lt;key app="EN" db-id="v20xp0ephppefxewpxc5wxagdpzrvaeawfxv" timestamp="1499255592"&gt;10&lt;/key&gt;&lt;/foreign-keys&gt;&lt;ref-type name="Journal Article"&gt;17&lt;/ref-type&gt;&lt;contributors&gt;&lt;authors&gt;&lt;author&gt;J Frenk&lt;/author&gt;&lt;/authors&gt;&lt;/contributors&gt;&lt;titles&gt;&lt;title&gt;The new public health&lt;/title&gt;&lt;secondary-title&gt;Annual Review of Public Health&lt;/secondary-title&gt;&lt;/titles&gt;&lt;periodical&gt;&lt;full-title&gt;Annual Review of Public Health&lt;/full-title&gt;&lt;/periodical&gt;&lt;pages&gt;469-490&lt;/pages&gt;&lt;volume&gt;14&lt;/volume&gt;&lt;dates&gt;&lt;year&gt;1993&lt;/year&gt;&lt;/dates&gt;&lt;urls&gt;&lt;/urls&gt;&lt;/record&gt;&lt;/Cite&gt;&lt;/EndNote&gt;</w:instrText>
      </w:r>
      <w:r w:rsidR="001F4F67">
        <w:fldChar w:fldCharType="separate"/>
      </w:r>
      <w:r w:rsidR="001F4F67" w:rsidRPr="00AA3A1E">
        <w:rPr>
          <w:noProof/>
          <w:vertAlign w:val="superscript"/>
        </w:rPr>
        <w:t>10</w:t>
      </w:r>
      <w:r w:rsidR="001F4F67">
        <w:fldChar w:fldCharType="end"/>
      </w:r>
      <w:r w:rsidR="005F731D">
        <w:fldChar w:fldCharType="end"/>
      </w:r>
      <w:r w:rsidR="00A52338">
        <w:t xml:space="preserve"> </w:t>
      </w:r>
      <w:r w:rsidR="00AA3A1E">
        <w:t>observed that “</w:t>
      </w:r>
      <w:r w:rsidRPr="00741168">
        <w:t>public  health is experiencing a severe identity crisis</w:t>
      </w:r>
      <w:r w:rsidR="00AA3A1E">
        <w:t>”</w:t>
      </w:r>
      <w:r w:rsidRPr="00741168">
        <w:t xml:space="preserve">, and </w:t>
      </w:r>
      <w:r w:rsidR="00C51F13">
        <w:t>15</w:t>
      </w:r>
      <w:r w:rsidRPr="00741168">
        <w:t xml:space="preserve"> years later, </w:t>
      </w:r>
      <w:proofErr w:type="spellStart"/>
      <w:r w:rsidRPr="00741168">
        <w:t>Foldspang</w:t>
      </w:r>
      <w:proofErr w:type="spellEnd"/>
      <w:r w:rsidR="005F731D">
        <w:fldChar w:fldCharType="begin"/>
      </w:r>
      <w:r w:rsidR="005F731D">
        <w:instrText xml:space="preserve"> HYPERLINK \l "_ENREF_11" \o "Foldspang, 2008 #11" </w:instrText>
      </w:r>
      <w:r w:rsidR="005F731D">
        <w:fldChar w:fldCharType="separate"/>
      </w:r>
      <w:r w:rsidR="001F4F67">
        <w:fldChar w:fldCharType="begin"/>
      </w:r>
      <w:r w:rsidR="001F4F67">
        <w:instrText xml:space="preserve"> ADDIN EN.CITE &lt;EndNote&gt;&lt;Cite&gt;&lt;Author&gt;Foldspang&lt;/Author&gt;&lt;Year&gt;2008&lt;/Year&gt;&lt;RecNum&gt;11&lt;/RecNum&gt;&lt;DisplayText&gt;&lt;style face="superscript"&gt;11&lt;/style&gt;&lt;/DisplayText&gt;&lt;record&gt;&lt;rec-number&gt;11&lt;/rec-number&gt;&lt;foreign-keys&gt;&lt;key app="EN" db-id="v20xp0ephppefxewpxc5wxagdpzrvaeawfxv" timestamp="1499255787"&gt;11&lt;/key&gt;&lt;/foreign-keys&gt;&lt;ref-type name="Journal Article"&gt;17&lt;/ref-type&gt;&lt;contributors&gt;&lt;authors&gt;&lt;author&gt;A Foldspang&lt;/author&gt;&lt;/authors&gt;&lt;/contributors&gt;&lt;titles&gt;&lt;title&gt;Developing the public health workforce in Europe: Association of Schools of Public Health in European Region (ASPHER)&lt;/title&gt;&lt;secondary-title&gt;Journal of Public Health Policy&lt;/secondary-title&gt;&lt;/titles&gt;&lt;periodical&gt;&lt;full-title&gt;Journal of Public Health Policy&lt;/full-title&gt;&lt;/periodical&gt;&lt;pages&gt;143-146&lt;/pages&gt;&lt;volume&gt;29&lt;/volume&gt;&lt;number&gt;1&lt;/number&gt;&lt;dates&gt;&lt;year&gt;2008&lt;/year&gt;&lt;/dates&gt;&lt;urls&gt;&lt;/urls&gt;&lt;/record&gt;&lt;/Cite&gt;&lt;/EndNote&gt;</w:instrText>
      </w:r>
      <w:r w:rsidR="001F4F67">
        <w:fldChar w:fldCharType="separate"/>
      </w:r>
      <w:r w:rsidR="001F4F67" w:rsidRPr="00C51F13">
        <w:rPr>
          <w:noProof/>
          <w:vertAlign w:val="superscript"/>
        </w:rPr>
        <w:t>11</w:t>
      </w:r>
      <w:r w:rsidR="001F4F67">
        <w:fldChar w:fldCharType="end"/>
      </w:r>
      <w:r w:rsidR="005F731D">
        <w:fldChar w:fldCharType="end"/>
      </w:r>
      <w:hyperlink w:anchor="_ENREF_11" w:tooltip="Foldspang, 2015 #13" w:history="1"/>
      <w:r w:rsidR="00A52338">
        <w:t xml:space="preserve"> </w:t>
      </w:r>
      <w:r w:rsidR="00AA3A1E">
        <w:t>wrote that “</w:t>
      </w:r>
      <w:r w:rsidRPr="00741168">
        <w:t>public health is characterized by an increasingly Babylonian number of kingdoms with each their language and indispensable self</w:t>
      </w:r>
      <w:r w:rsidR="00AA3A1E">
        <w:t>-identity and sets of concepts”</w:t>
      </w:r>
      <w:r w:rsidRPr="00741168">
        <w:t>.  There have been moves to establish frameworks to achieve consistency in approaches to professional development and standards</w:t>
      </w:r>
      <w:r w:rsidR="00C51F13">
        <w:t>,</w:t>
      </w:r>
      <w:r w:rsidRPr="00741168">
        <w:t xml:space="preserve"> for example</w:t>
      </w:r>
      <w:r w:rsidR="00C51F13">
        <w:t>,</w:t>
      </w:r>
      <w:r w:rsidRPr="00741168">
        <w:t xml:space="preserve"> the European Public Health Core Competencies Programme</w:t>
      </w:r>
      <w:r w:rsidR="00AA3A1E">
        <w:t>.</w:t>
      </w:r>
      <w:hyperlink w:anchor="_ENREF_12" w:tooltip="ASPHER, 2011 #12" w:history="1">
        <w:r w:rsidR="001F4F67">
          <w:fldChar w:fldCharType="begin"/>
        </w:r>
        <w:r w:rsidR="001F4F67">
          <w:instrText xml:space="preserve"> ADDIN EN.CITE &lt;EndNote&gt;&lt;Cite&gt;&lt;Author&gt;ASPHER&lt;/Author&gt;&lt;Year&gt;2011&lt;/Year&gt;&lt;RecNum&gt;12&lt;/RecNum&gt;&lt;DisplayText&gt;&lt;style face="superscript"&gt;12&lt;/style&gt;&lt;/DisplayText&gt;&lt;record&gt;&lt;rec-number&gt;12&lt;/rec-number&gt;&lt;foreign-keys&gt;&lt;key app="EN" db-id="v20xp0ephppefxewpxc5wxagdpzrvaeawfxv" timestamp="1499255945"&gt;12&lt;/key&gt;&lt;/foreign-keys&gt;&lt;ref-type name="Web Page"&gt;12&lt;/ref-type&gt;&lt;contributors&gt;&lt;authors&gt;&lt;author&gt;ASPHER,&lt;/author&gt;&lt;/authors&gt;&lt;/contributors&gt;&lt;titles&gt;&lt;title&gt;European Public Health Core Competences (EPHCCP) and European Public Health Reference Framework&lt;/title&gt;&lt;/titles&gt;&lt;volume&gt;2016&lt;/volume&gt;&lt;number&gt;13 December&lt;/number&gt;&lt;dates&gt;&lt;year&gt;2011&lt;/year&gt;&lt;/dates&gt;&lt;pub-location&gt;Brussels&lt;/pub-location&gt;&lt;publisher&gt;The Association of Schools of Public Health in the European Region&lt;/publisher&gt;&lt;urls&gt;&lt;related-urls&gt;&lt;url&gt;http://aphea.net/docs/research/ECCPHP.pdf&lt;/url&gt;&lt;/related-urls&gt;&lt;/urls&gt;&lt;/record&gt;&lt;/Cite&gt;&lt;/EndNote&gt;</w:instrText>
        </w:r>
        <w:r w:rsidR="001F4F67">
          <w:fldChar w:fldCharType="separate"/>
        </w:r>
        <w:r w:rsidR="001F4F67" w:rsidRPr="00C51F13">
          <w:rPr>
            <w:noProof/>
            <w:vertAlign w:val="superscript"/>
          </w:rPr>
          <w:t>12</w:t>
        </w:r>
        <w:r w:rsidR="001F4F67">
          <w:fldChar w:fldCharType="end"/>
        </w:r>
      </w:hyperlink>
      <w:r w:rsidRPr="00741168">
        <w:t xml:space="preserve"> </w:t>
      </w:r>
      <w:proofErr w:type="spellStart"/>
      <w:r w:rsidR="00C51F13">
        <w:t>Foldspang</w:t>
      </w:r>
      <w:proofErr w:type="spellEnd"/>
      <w:r w:rsidR="00C51F13">
        <w:t xml:space="preserve"> also advocates</w:t>
      </w:r>
      <w:r w:rsidRPr="00741168">
        <w:t xml:space="preserve"> </w:t>
      </w:r>
      <w:r w:rsidR="00C51F13">
        <w:t>“</w:t>
      </w:r>
      <w:r w:rsidRPr="00741168">
        <w:t>coherent and comprehensive national, regional and local public h</w:t>
      </w:r>
      <w:r w:rsidR="00C51F13">
        <w:t>ealth organizational structures”</w:t>
      </w:r>
      <w:r w:rsidRPr="00741168">
        <w:t>.</w:t>
      </w:r>
      <w:hyperlink w:anchor="_ENREF_13" w:tooltip="Foldspang, 2015 #13" w:history="1">
        <w:r w:rsidR="001F4F67">
          <w:fldChar w:fldCharType="begin"/>
        </w:r>
        <w:r w:rsidR="001F4F67">
          <w:instrText xml:space="preserve"> ADDIN EN.CITE &lt;EndNote&gt;&lt;Cite&gt;&lt;Author&gt;Foldspang&lt;/Author&gt;&lt;Year&gt;2015&lt;/Year&gt;&lt;RecNum&gt;13&lt;/RecNum&gt;&lt;DisplayText&gt;&lt;style face="superscript"&gt;13&lt;/style&gt;&lt;/DisplayText&gt;&lt;record&gt;&lt;rec-number&gt;13&lt;/rec-number&gt;&lt;foreign-keys&gt;&lt;key app="EN" db-id="v20xp0ephppefxewpxc5wxagdpzrvaeawfxv" timestamp="1499255980"&gt;13&lt;/key&gt;&lt;/foreign-keys&gt;&lt;ref-type name="Journal Article"&gt;17&lt;/ref-type&gt;&lt;contributors&gt;&lt;authors&gt;&lt;author&gt;A Foldspang&lt;/author&gt;&lt;/authors&gt;&lt;/contributors&gt;&lt;titles&gt;&lt;title&gt;Towards a public health profession: the roles of essential public health operations and lists of competences&lt;/title&gt;&lt;secondary-title&gt;European Journal of Public Health&lt;/secondary-title&gt;&lt;/titles&gt;&lt;periodical&gt;&lt;full-title&gt;European Journal of Public Health&lt;/full-title&gt;&lt;/periodical&gt;&lt;pages&gt;361-362&lt;/pages&gt;&lt;volume&gt;25&lt;/volume&gt;&lt;number&gt;3&lt;/number&gt;&lt;dates&gt;&lt;year&gt;2015&lt;/year&gt;&lt;/dates&gt;&lt;urls&gt;&lt;/urls&gt;&lt;/record&gt;&lt;/Cite&gt;&lt;/EndNote&gt;</w:instrText>
        </w:r>
        <w:r w:rsidR="001F4F67">
          <w:fldChar w:fldCharType="separate"/>
        </w:r>
        <w:r w:rsidR="001F4F67" w:rsidRPr="00C51F13">
          <w:rPr>
            <w:noProof/>
            <w:vertAlign w:val="superscript"/>
          </w:rPr>
          <w:t>13</w:t>
        </w:r>
        <w:r w:rsidR="001F4F67">
          <w:fldChar w:fldCharType="end"/>
        </w:r>
      </w:hyperlink>
      <w:r w:rsidRPr="00741168">
        <w:t xml:space="preserve">  </w:t>
      </w:r>
    </w:p>
    <w:p w:rsidR="00016DA4" w:rsidRDefault="00016DA4" w:rsidP="00650624">
      <w:r w:rsidRPr="00741168">
        <w:t xml:space="preserve">Both the UKPHR Practitioner Standards and the Public Health </w:t>
      </w:r>
      <w:r w:rsidR="00C51F13">
        <w:t xml:space="preserve">Skills and Knowledge Framework </w:t>
      </w:r>
      <w:r w:rsidR="00D44D19">
        <w:t xml:space="preserve">(PHSKF) </w:t>
      </w:r>
      <w:r w:rsidRPr="00741168">
        <w:t>focus</w:t>
      </w:r>
      <w:r w:rsidR="00C51F13">
        <w:t xml:space="preserve"> exclusively on public health.</w:t>
      </w:r>
      <w:r w:rsidR="00C51F13">
        <w:fldChar w:fldCharType="begin"/>
      </w:r>
      <w:r w:rsidR="00C51F13">
        <w:instrText xml:space="preserve"> ADDIN EN.CITE &lt;EndNote&gt;&lt;Cite&gt;&lt;Author&gt;PHE&lt;/Author&gt;&lt;Year&gt;2016&lt;/Year&gt;&lt;RecNum&gt;3&lt;/RecNum&gt;&lt;DisplayText&gt;&lt;style face="superscript"&gt;3, 4&lt;/style&gt;&lt;/DisplayText&gt;&lt;record&gt;&lt;rec-number&gt;3&lt;/rec-number&gt;&lt;foreign-keys&gt;&lt;key app="EN" db-id="v20xp0ephppefxewpxc5wxagdpzrvaeawfxv" timestamp="1499254655"&gt;3&lt;/key&gt;&lt;/foreign-keys&gt;&lt;ref-type name="Report"&gt;27&lt;/ref-type&gt;&lt;contributors&gt;&lt;authors&gt;&lt;author&gt;PHE,&lt;/author&gt;&lt;/authors&gt;&lt;/contributors&gt;&lt;titles&gt;&lt;title&gt;Public Health Skills and Knowledge Framework&lt;/title&gt;&lt;/titles&gt;&lt;dates&gt;&lt;year&gt;2016&lt;/year&gt;&lt;/dates&gt;&lt;pub-location&gt;London&lt;/pub-location&gt;&lt;publisher&gt;Public Health England&lt;/publisher&gt;&lt;urls&gt;&lt;/urls&gt;&lt;/record&gt;&lt;/Cite&gt;&lt;Cite&gt;&lt;Author&gt;UKPHR&lt;/Author&gt;&lt;Year&gt;2014&lt;/Year&gt;&lt;RecNum&gt;2&lt;/RecNum&gt;&lt;record&gt;&lt;rec-number&gt;2&lt;/rec-number&gt;&lt;foreign-keys&gt;&lt;key app="EN" db-id="v20xp0ephppefxewpxc5wxagdpzrvaeawfxv" timestamp="1499254544"&gt;2&lt;/key&gt;&lt;/foreign-keys&gt;&lt;ref-type name="Web Page"&gt;12&lt;/ref-type&gt;&lt;contributors&gt;&lt;authors&gt;&lt;author&gt;UKPHR,&lt;/author&gt;&lt;/authors&gt;&lt;/contributors&gt;&lt;titles&gt;&lt;title&gt;Public Health Practitioner Standards for Registration&lt;/title&gt;&lt;/titles&gt;&lt;volume&gt;2016&lt;/volume&gt;&lt;number&gt;13 December&lt;/number&gt;&lt;dates&gt;&lt;year&gt;2014&lt;/year&gt;&lt;/dates&gt;&lt;pub-location&gt;Birmingham&lt;/pub-location&gt;&lt;publisher&gt;UK Public Health Register&lt;/publisher&gt;&lt;urls&gt;&lt;related-urls&gt;&lt;url&gt;http://www.ukphr.org/wp-content/uploads/2014/08/UKPHR-Practitioner-Standards-14.pdf&lt;/url&gt;&lt;/related-urls&gt;&lt;/urls&gt;&lt;/record&gt;&lt;/Cite&gt;&lt;/EndNote&gt;</w:instrText>
      </w:r>
      <w:r w:rsidR="00C51F13">
        <w:fldChar w:fldCharType="separate"/>
      </w:r>
      <w:hyperlink w:anchor="_ENREF_3" w:tooltip="UKPHR, 2014 #2" w:history="1">
        <w:r w:rsidR="001F4F67" w:rsidRPr="00C51F13">
          <w:rPr>
            <w:noProof/>
            <w:vertAlign w:val="superscript"/>
          </w:rPr>
          <w:t>3</w:t>
        </w:r>
      </w:hyperlink>
      <w:r w:rsidR="00C51F13" w:rsidRPr="00C51F13">
        <w:rPr>
          <w:noProof/>
          <w:vertAlign w:val="superscript"/>
        </w:rPr>
        <w:t xml:space="preserve">, </w:t>
      </w:r>
      <w:hyperlink w:anchor="_ENREF_4" w:tooltip="PHE, 2016 #3" w:history="1">
        <w:r w:rsidR="001F4F67" w:rsidRPr="00C51F13">
          <w:rPr>
            <w:noProof/>
            <w:vertAlign w:val="superscript"/>
          </w:rPr>
          <w:t>4</w:t>
        </w:r>
      </w:hyperlink>
      <w:r w:rsidR="00C51F13">
        <w:fldChar w:fldCharType="end"/>
      </w:r>
      <w:r w:rsidR="00C51F13">
        <w:t xml:space="preserve"> </w:t>
      </w:r>
      <w:r w:rsidRPr="00741168">
        <w:t xml:space="preserve">However, reports of public health </w:t>
      </w:r>
      <w:r>
        <w:t xml:space="preserve">practice following the </w:t>
      </w:r>
      <w:r w:rsidR="00C51F13">
        <w:t>reforms</w:t>
      </w:r>
      <w:r>
        <w:t xml:space="preserve"> </w:t>
      </w:r>
      <w:r w:rsidRPr="00741168">
        <w:t xml:space="preserve">suggest broader management </w:t>
      </w:r>
      <w:r w:rsidR="00C51F13">
        <w:t>competencies are now required.</w:t>
      </w:r>
      <w:r w:rsidR="00946A85">
        <w:fldChar w:fldCharType="begin"/>
      </w:r>
      <w:r w:rsidR="00EB571F">
        <w:instrText xml:space="preserve"> ADDIN EN.CITE &lt;EndNote&gt;&lt;Cite&gt;&lt;Author&gt;PHE&lt;/Author&gt;&lt;Year&gt;2016&lt;/Year&gt;&lt;RecNum&gt;18&lt;/RecNum&gt;&lt;DisplayText&gt;&lt;style face="superscript"&gt;14, 15&lt;/style&gt;&lt;/DisplayText&gt;&lt;record&gt;&lt;rec-number&gt;18&lt;/rec-number&gt;&lt;foreign-keys&gt;&lt;key app="EN" db-id="v20xp0ephppefxewpxc5wxagdpzrvaeawfxv" timestamp="1499788658"&gt;18&lt;/key&gt;&lt;/foreign-keys&gt;&lt;ref-type name="Report"&gt;27&lt;/ref-type&gt;&lt;contributors&gt;&lt;authors&gt;&lt;author&gt;PHE,&lt;/author&gt;&lt;/authors&gt;&lt;/contributors&gt;&lt;titles&gt;&lt;title&gt;Fit for the Future – Public Health People. A review of the public health workforce&lt;/title&gt;&lt;/titles&gt;&lt;dates&gt;&lt;year&gt;2016&lt;/year&gt;&lt;/dates&gt;&lt;pub-location&gt;London&lt;/pub-location&gt;&lt;publisher&gt;Public Health England&lt;/publisher&gt;&lt;urls&gt;&lt;/urls&gt;&lt;/record&gt;&lt;/Cite&gt;&lt;Cite&gt;&lt;Author&gt;CFWI&lt;/Author&gt;&lt;Year&gt;2016&lt;/Year&gt;&lt;RecNum&gt;19&lt;/RecNum&gt;&lt;record&gt;&lt;rec-number&gt;19&lt;/rec-number&gt;&lt;foreign-keys&gt;&lt;key app="EN" db-id="v20xp0ephppefxewpxc5wxagdpzrvaeawfxv" timestamp="1499788979"&gt;19&lt;/key&gt;&lt;/foreign-keys&gt;&lt;ref-type name="Report"&gt;27&lt;/ref-type&gt;&lt;contributors&gt;&lt;authors&gt;&lt;author&gt;CFWI,&lt;/author&gt;&lt;/authors&gt;&lt;/contributors&gt;&lt;titles&gt;&lt;title&gt;Public health workforce of the future: a 20-year perspective&lt;/title&gt;&lt;/titles&gt;&lt;dates&gt;&lt;year&gt;2016&lt;/year&gt;&lt;/dates&gt;&lt;pub-location&gt;London&lt;/pub-location&gt;&lt;publisher&gt;Centre for Workforce Intelligence&lt;/publisher&gt;&lt;urls&gt;&lt;/urls&gt;&lt;/record&gt;&lt;/Cite&gt;&lt;/EndNote&gt;</w:instrText>
      </w:r>
      <w:r w:rsidR="00946A85">
        <w:fldChar w:fldCharType="separate"/>
      </w:r>
      <w:hyperlink w:anchor="_ENREF_14" w:tooltip="PHE, 2016 #18" w:history="1">
        <w:r w:rsidR="001F4F67" w:rsidRPr="00EB571F">
          <w:rPr>
            <w:noProof/>
            <w:vertAlign w:val="superscript"/>
          </w:rPr>
          <w:t>14</w:t>
        </w:r>
      </w:hyperlink>
      <w:r w:rsidR="00EB571F" w:rsidRPr="00EB571F">
        <w:rPr>
          <w:noProof/>
          <w:vertAlign w:val="superscript"/>
        </w:rPr>
        <w:t xml:space="preserve">, </w:t>
      </w:r>
      <w:hyperlink w:anchor="_ENREF_15" w:tooltip="CFWI, 2016 #19" w:history="1">
        <w:r w:rsidR="001F4F67" w:rsidRPr="00EB571F">
          <w:rPr>
            <w:noProof/>
            <w:vertAlign w:val="superscript"/>
          </w:rPr>
          <w:t>15</w:t>
        </w:r>
      </w:hyperlink>
      <w:r w:rsidR="00946A85">
        <w:fldChar w:fldCharType="end"/>
      </w:r>
      <w:r w:rsidR="00C51F13">
        <w:t xml:space="preserve"> </w:t>
      </w:r>
      <w:r w:rsidRPr="00741168">
        <w:t xml:space="preserve">For example, a </w:t>
      </w:r>
      <w:r w:rsidRPr="00954373">
        <w:t>survey to investigate experience</w:t>
      </w:r>
      <w:r w:rsidR="0078750E" w:rsidRPr="00954373">
        <w:t>s</w:t>
      </w:r>
      <w:r w:rsidRPr="00954373">
        <w:t xml:space="preserve"> within local government 12 months after the move of public health </w:t>
      </w:r>
      <w:r w:rsidR="00C51F13" w:rsidRPr="00954373">
        <w:t xml:space="preserve">teams </w:t>
      </w:r>
      <w:r w:rsidRPr="00954373">
        <w:t xml:space="preserve">found </w:t>
      </w:r>
      <w:r w:rsidR="00C51F13" w:rsidRPr="00954373">
        <w:t xml:space="preserve">widespread feeling amongst </w:t>
      </w:r>
      <w:proofErr w:type="spellStart"/>
      <w:r w:rsidR="00C51F13" w:rsidRPr="00954373">
        <w:t>DsPH</w:t>
      </w:r>
      <w:proofErr w:type="spellEnd"/>
      <w:r w:rsidRPr="00954373">
        <w:t xml:space="preserve"> that they had greater influence across the council </w:t>
      </w:r>
      <w:r w:rsidR="001F4F67">
        <w:lastRenderedPageBreak/>
        <w:t xml:space="preserve">(although </w:t>
      </w:r>
      <w:r w:rsidR="001F4F67" w:rsidRPr="001F4F67">
        <w:rPr>
          <w:lang w:val="en"/>
        </w:rPr>
        <w:t>48% said they felt ‘less able’ to influence local CCGs than before the reforms</w:t>
      </w:r>
      <w:r w:rsidR="001F4F67">
        <w:t xml:space="preserve">) </w:t>
      </w:r>
      <w:r w:rsidR="00C51F13">
        <w:t>.</w:t>
      </w:r>
      <w:hyperlink w:anchor="_ENREF_16" w:tooltip="Gadsby, 2017 #401" w:history="1">
        <w:r w:rsidR="001F4F67" w:rsidRPr="00C86138">
          <w:rPr>
            <w:rFonts w:cs="AdvTT378de93d"/>
            <w:sz w:val="24"/>
            <w:szCs w:val="24"/>
          </w:rPr>
          <w:fldChar w:fldCharType="begin"/>
        </w:r>
        <w:r w:rsidR="001F4F67">
          <w:rPr>
            <w:rFonts w:cs="AdvTT378de93d"/>
            <w:sz w:val="24"/>
            <w:szCs w:val="24"/>
          </w:rPr>
          <w:instrText xml:space="preserve"> ADDIN EN.CITE &lt;EndNote&gt;&lt;Cite&gt;&lt;Author&gt;Gadsby&lt;/Author&gt;&lt;Year&gt;2017&lt;/Year&gt;&lt;RecNum&gt;401&lt;/RecNum&gt;&lt;DisplayText&gt;&lt;style face="superscript"&gt;16&lt;/style&gt;&lt;/DisplayText&gt;&lt;record&gt;&lt;rec-number&gt;401&lt;/rec-number&gt;&lt;foreign-keys&gt;&lt;key app="EN" db-id="zwevwa9whxpv23exdxjp525mdewtxrfsfwtz" timestamp="1497616274"&gt;401&lt;/key&gt;&lt;/foreign-keys&gt;&lt;ref-type name="Journal Article"&gt;17&lt;/ref-type&gt;&lt;contributors&gt;&lt;authors&gt;&lt;author&gt;EW Gadsby&lt;/author&gt;&lt;author&gt;S Peckham&lt;/author&gt;&lt;author&gt;A Coleman&lt;/author&gt;&lt;author&gt;D Bramwell&lt;/author&gt;&lt;author&gt;N Perkins&lt;/author&gt;&lt;author&gt;LM Jenkins&lt;/author&gt;&lt;/authors&gt;&lt;/contributors&gt;&lt;titles&gt;&lt;title&gt;Commissioning for health improvement following the 2012 health and social care reforms in England: what has changed?&lt;/title&gt;&lt;secondary-title&gt;BMC Public Health&lt;/secondary-title&gt;&lt;/titles&gt;&lt;periodical&gt;&lt;full-title&gt;BMC Public Health&lt;/full-title&gt;&lt;/periodical&gt;&lt;pages&gt;211&lt;/pages&gt;&lt;volume&gt;17&lt;/volume&gt;&lt;dates&gt;&lt;year&gt;2017&lt;/year&gt;&lt;/dates&gt;&lt;urls&gt;&lt;/urls&gt;&lt;/record&gt;&lt;/Cite&gt;&lt;/EndNote&gt;</w:instrText>
        </w:r>
        <w:r w:rsidR="001F4F67" w:rsidRPr="00C86138">
          <w:rPr>
            <w:rFonts w:cs="AdvTT378de93d"/>
            <w:sz w:val="24"/>
            <w:szCs w:val="24"/>
          </w:rPr>
          <w:fldChar w:fldCharType="separate"/>
        </w:r>
        <w:r w:rsidR="001F4F67" w:rsidRPr="001F4F67">
          <w:rPr>
            <w:rFonts w:cs="AdvTT378de93d"/>
            <w:noProof/>
            <w:sz w:val="24"/>
            <w:szCs w:val="24"/>
            <w:vertAlign w:val="superscript"/>
          </w:rPr>
          <w:t>16</w:t>
        </w:r>
        <w:r w:rsidR="001F4F67" w:rsidRPr="00C86138">
          <w:rPr>
            <w:rFonts w:cs="AdvTT378de93d"/>
            <w:sz w:val="24"/>
            <w:szCs w:val="24"/>
          </w:rPr>
          <w:fldChar w:fldCharType="end"/>
        </w:r>
      </w:hyperlink>
      <w:hyperlink w:anchor="_ENREF_16" w:tooltip="Shickle, 2014 #14" w:history="1"/>
      <w:r w:rsidRPr="00741168">
        <w:t xml:space="preserve"> </w:t>
      </w:r>
      <w:r w:rsidR="00C51F13">
        <w:t>A</w:t>
      </w:r>
      <w:r w:rsidR="0078750E">
        <w:t xml:space="preserve"> separate</w:t>
      </w:r>
      <w:r w:rsidRPr="00741168">
        <w:t xml:space="preserve"> in-depth study of public health approaches to tackling alcohol misuse concluded that locating public health in loc</w:t>
      </w:r>
      <w:r w:rsidR="00C51F13">
        <w:t>al</w:t>
      </w:r>
      <w:r w:rsidR="0078750E">
        <w:t xml:space="preserve"> government had necessitated a ‘</w:t>
      </w:r>
      <w:r w:rsidRPr="00741168">
        <w:t>refocusing of how evidence of public health is conceptualised, to incorporate multiple, and political, understandings of health a</w:t>
      </w:r>
      <w:r w:rsidR="00C51F13">
        <w:t>nd wellbeing</w:t>
      </w:r>
      <w:r w:rsidR="0078750E">
        <w:t>’</w:t>
      </w:r>
      <w:r w:rsidRPr="00741168">
        <w:t>.</w:t>
      </w:r>
      <w:hyperlink w:anchor="_ENREF_17" w:tooltip="Phillips, 2015 #15" w:history="1">
        <w:r w:rsidR="001F4F67">
          <w:fldChar w:fldCharType="begin"/>
        </w:r>
        <w:r w:rsidR="001F4F67">
          <w:instrText xml:space="preserve"> ADDIN EN.CITE &lt;EndNote&gt;&lt;Cite&gt;&lt;Author&gt;Phillips&lt;/Author&gt;&lt;Year&gt;2015&lt;/Year&gt;&lt;RecNum&gt;15&lt;/RecNum&gt;&lt;DisplayText&gt;&lt;style face="superscript"&gt;17&lt;/style&gt;&lt;/DisplayText&gt;&lt;record&gt;&lt;rec-number&gt;15&lt;/rec-number&gt;&lt;foreign-keys&gt;&lt;key app="EN" db-id="v20xp0ephppefxewpxc5wxagdpzrvaeawfxv" timestamp="1499257922"&gt;15&lt;/key&gt;&lt;/foreign-keys&gt;&lt;ref-type name="Journal Article"&gt;17&lt;/ref-type&gt;&lt;contributors&gt;&lt;authors&gt;&lt;author&gt;G Phillips&lt;/author&gt;&lt;author&gt;J Green&lt;/author&gt;&lt;/authors&gt;&lt;/contributors&gt;&lt;titles&gt;&lt;title&gt;Working for the public health: politics, localism and epistemologies of practice&lt;/title&gt;&lt;secondary-title&gt;Sociology of Health &amp;amp; Illness&lt;/secondary-title&gt;&lt;/titles&gt;&lt;periodical&gt;&lt;full-title&gt;Sociology of Health &amp;amp; Illness&lt;/full-title&gt;&lt;/periodical&gt;&lt;pages&gt;491-505&lt;/pages&gt;&lt;volume&gt;37&lt;/volume&gt;&lt;number&gt;4&lt;/number&gt;&lt;dates&gt;&lt;year&gt;2015&lt;/year&gt;&lt;/dates&gt;&lt;urls&gt;&lt;/urls&gt;&lt;/record&gt;&lt;/Cite&gt;&lt;/EndNote&gt;</w:instrText>
        </w:r>
        <w:r w:rsidR="001F4F67">
          <w:fldChar w:fldCharType="separate"/>
        </w:r>
        <w:r w:rsidR="001F4F67" w:rsidRPr="001F4F67">
          <w:rPr>
            <w:noProof/>
            <w:vertAlign w:val="superscript"/>
          </w:rPr>
          <w:t>17</w:t>
        </w:r>
        <w:r w:rsidR="001F4F67">
          <w:fldChar w:fldCharType="end"/>
        </w:r>
      </w:hyperlink>
      <w:r w:rsidRPr="00741168">
        <w:t xml:space="preserve"> There has been a questioning of the balance of required competencie</w:t>
      </w:r>
      <w:r w:rsidR="00A76EB8">
        <w:t xml:space="preserve">s, such as </w:t>
      </w:r>
      <w:r w:rsidR="00836EC1">
        <w:t xml:space="preserve">Day et </w:t>
      </w:r>
      <w:proofErr w:type="spellStart"/>
      <w:r w:rsidR="00836EC1">
        <w:t>al’s</w:t>
      </w:r>
      <w:proofErr w:type="spellEnd"/>
      <w:hyperlink w:anchor="_ENREF_18" w:tooltip="Day, 2014 #17" w:history="1">
        <w:r w:rsidR="001F4F67">
          <w:fldChar w:fldCharType="begin"/>
        </w:r>
        <w:r w:rsidR="001F4F67">
          <w:instrText xml:space="preserve"> ADDIN EN.CITE &lt;EndNote&gt;&lt;Cite&gt;&lt;Author&gt;Day&lt;/Author&gt;&lt;Year&gt;2014&lt;/Year&gt;&lt;RecNum&gt;17&lt;/RecNum&gt;&lt;DisplayText&gt;&lt;style face="superscript"&gt;18&lt;/style&gt;&lt;/DisplayText&gt;&lt;record&gt;&lt;rec-number&gt;17&lt;/rec-number&gt;&lt;foreign-keys&gt;&lt;key app="EN" db-id="v20xp0ephppefxewpxc5wxagdpzrvaeawfxv" timestamp="1499781304"&gt;17&lt;/key&gt;&lt;/foreign-keys&gt;&lt;ref-type name="Journal Article"&gt;17&lt;/ref-type&gt;&lt;contributors&gt;&lt;authors&gt;&lt;author&gt;M Day&lt;/author&gt;&lt;author&gt;D Shickle&lt;/author&gt;&lt;author&gt;K Smith&lt;/author&gt;&lt;author&gt;K Zakariasen&lt;/author&gt;&lt;author&gt;J Moskol&lt;/author&gt;&lt;author&gt;T Oliver&lt;/author&gt;&lt;/authors&gt;&lt;/contributors&gt;&lt;titles&gt;&lt;title&gt;Training public health superheroes: five talents for public health leadership&lt;/title&gt;&lt;secondary-title&gt;Journal of Public Health&lt;/secondary-title&gt;&lt;/titles&gt;&lt;periodical&gt;&lt;full-title&gt;Journal of Public Health&lt;/full-title&gt;&lt;/periodical&gt;&lt;pages&gt;552-561&lt;/pages&gt;&lt;volume&gt;36&lt;/volume&gt;&lt;number&gt;4&lt;/number&gt;&lt;dates&gt;&lt;year&gt;2014&lt;/year&gt;&lt;/dates&gt;&lt;urls&gt;&lt;/urls&gt;&lt;/record&gt;&lt;/Cite&gt;&lt;/EndNote&gt;</w:instrText>
        </w:r>
        <w:r w:rsidR="001F4F67">
          <w:fldChar w:fldCharType="separate"/>
        </w:r>
        <w:r w:rsidR="001F4F67" w:rsidRPr="001F4F67">
          <w:rPr>
            <w:noProof/>
            <w:vertAlign w:val="superscript"/>
          </w:rPr>
          <w:t>18</w:t>
        </w:r>
        <w:r w:rsidR="001F4F67">
          <w:fldChar w:fldCharType="end"/>
        </w:r>
      </w:hyperlink>
      <w:hyperlink w:anchor="_ENREF_16" w:tooltip="Green, 2015 #16" w:history="1"/>
      <w:r w:rsidR="00A76EB8">
        <w:t xml:space="preserve"> proposal of </w:t>
      </w:r>
      <w:r w:rsidRPr="00741168">
        <w:t>five talen</w:t>
      </w:r>
      <w:r w:rsidR="00A76EB8">
        <w:t>ts for public health leadership</w:t>
      </w:r>
      <w:r w:rsidRPr="00741168">
        <w:t xml:space="preserve">: mentoring-nurturing, shaping-organising, </w:t>
      </w:r>
      <w:r w:rsidR="00836EC1" w:rsidRPr="00741168">
        <w:t xml:space="preserve">networking-connecting, </w:t>
      </w:r>
      <w:r w:rsidRPr="00741168">
        <w:t>knowing-interpreting and advocating-impacting.</w:t>
      </w:r>
      <w:r w:rsidR="005147C0">
        <w:t xml:space="preserve"> It has been suggested that,</w:t>
      </w:r>
      <w:r w:rsidRPr="00741168">
        <w:t xml:space="preserve"> as public health</w:t>
      </w:r>
      <w:r w:rsidR="0078750E">
        <w:t xml:space="preserve"> teams</w:t>
      </w:r>
      <w:r w:rsidRPr="00741168">
        <w:t xml:space="preserve"> now operate in different organisational, political and social contexts,</w:t>
      </w:r>
      <w:r w:rsidR="00946A85">
        <w:t xml:space="preserve"> ‘</w:t>
      </w:r>
      <w:r w:rsidRPr="00741168">
        <w:t xml:space="preserve">there can be no one model of how professionals and communities can and should relate, and there are clearly no easy answers for </w:t>
      </w:r>
      <w:r w:rsidR="00A76EB8">
        <w:t>critical public health practice</w:t>
      </w:r>
      <w:r w:rsidR="00946A85">
        <w:t>’</w:t>
      </w:r>
      <w:r w:rsidRPr="00741168">
        <w:t>.</w:t>
      </w:r>
      <w:hyperlink w:anchor="_ENREF_19" w:tooltip="Green, 2015 #16" w:history="1">
        <w:r w:rsidR="001F4F67">
          <w:fldChar w:fldCharType="begin"/>
        </w:r>
        <w:r w:rsidR="001F4F67">
          <w:instrText xml:space="preserve"> ADDIN EN.CITE &lt;EndNote&gt;&lt;Cite&gt;&lt;Author&gt;Green&lt;/Author&gt;&lt;Year&gt;2015&lt;/Year&gt;&lt;RecNum&gt;16&lt;/RecNum&gt;&lt;DisplayText&gt;&lt;style face="superscript"&gt;19&lt;/style&gt;&lt;/DisplayText&gt;&lt;record&gt;&lt;rec-number&gt;16&lt;/rec-number&gt;&lt;foreign-keys&gt;&lt;key app="EN" db-id="v20xp0ephppefxewpxc5wxagdpzrvaeawfxv" timestamp="1499257953"&gt;16&lt;/key&gt;&lt;/foreign-keys&gt;&lt;ref-type name="Journal Article"&gt;17&lt;/ref-type&gt;&lt;contributors&gt;&lt;authors&gt;&lt;author&gt;J Green&lt;/author&gt;&lt;/authors&gt;&lt;/contributors&gt;&lt;titles&gt;&lt;title&gt;The public health profession and the community&lt;/title&gt;&lt;secondary-title&gt;Critical Public Health&lt;/secondary-title&gt;&lt;/titles&gt;&lt;periodical&gt;&lt;full-title&gt;Critical Public Health&lt;/full-title&gt;&lt;/periodical&gt;&lt;pages&gt;123-124&lt;/pages&gt;&lt;volume&gt;25&lt;/volume&gt;&lt;number&gt;2&lt;/number&gt;&lt;dates&gt;&lt;year&gt;2015&lt;/year&gt;&lt;/dates&gt;&lt;urls&gt;&lt;/urls&gt;&lt;/record&gt;&lt;/Cite&gt;&lt;/EndNote&gt;</w:instrText>
        </w:r>
        <w:r w:rsidR="001F4F67">
          <w:fldChar w:fldCharType="separate"/>
        </w:r>
        <w:r w:rsidR="001F4F67" w:rsidRPr="001F4F67">
          <w:rPr>
            <w:noProof/>
            <w:vertAlign w:val="superscript"/>
          </w:rPr>
          <w:t>19</w:t>
        </w:r>
        <w:r w:rsidR="001F4F67">
          <w:fldChar w:fldCharType="end"/>
        </w:r>
      </w:hyperlink>
      <w:r w:rsidRPr="00741168">
        <w:t xml:space="preserve">  </w:t>
      </w:r>
    </w:p>
    <w:p w:rsidR="00016DA4" w:rsidRPr="00741168" w:rsidRDefault="00016DA4" w:rsidP="00650624">
      <w:pPr>
        <w:rPr>
          <w:b/>
        </w:rPr>
      </w:pPr>
      <w:r w:rsidRPr="00741168">
        <w:rPr>
          <w:b/>
        </w:rPr>
        <w:t>What this study adds</w:t>
      </w:r>
      <w:r>
        <w:rPr>
          <w:b/>
        </w:rPr>
        <w:t xml:space="preserve"> </w:t>
      </w:r>
    </w:p>
    <w:p w:rsidR="00016DA4" w:rsidRDefault="00016DA4" w:rsidP="00650624">
      <w:r w:rsidRPr="00741168">
        <w:t xml:space="preserve">This study finds that </w:t>
      </w:r>
      <w:r w:rsidR="00D44D19">
        <w:t xml:space="preserve">those </w:t>
      </w:r>
      <w:r>
        <w:t xml:space="preserve">public health </w:t>
      </w:r>
      <w:r w:rsidR="00D44D19">
        <w:t>staff who</w:t>
      </w:r>
      <w:r>
        <w:t xml:space="preserve"> transferred to local government </w:t>
      </w:r>
      <w:r w:rsidRPr="00741168">
        <w:t xml:space="preserve">cannot assume that their </w:t>
      </w:r>
      <w:r>
        <w:t>specialist skills</w:t>
      </w:r>
      <w:r w:rsidRPr="00741168">
        <w:t xml:space="preserve"> will automatically be understood o</w:t>
      </w:r>
      <w:r>
        <w:t>r valued</w:t>
      </w:r>
      <w:r w:rsidR="00D44D19">
        <w:t xml:space="preserve">. They therefore </w:t>
      </w:r>
      <w:r>
        <w:t>need to develop and make full use of a range of soft skills if they are to be successful advocates and leaders for the improvement and protection of public health</w:t>
      </w:r>
      <w:r w:rsidR="00D44D19">
        <w:t xml:space="preserve">. </w:t>
      </w:r>
      <w:r>
        <w:t>This study also finds that although t</w:t>
      </w:r>
      <w:r w:rsidRPr="00741168">
        <w:t>he PHSKF</w:t>
      </w:r>
      <w:r w:rsidRPr="00741168" w:rsidDel="0004087F">
        <w:t xml:space="preserve"> </w:t>
      </w:r>
      <w:r w:rsidRPr="00741168">
        <w:t>provides a much needed resource now that public healt</w:t>
      </w:r>
      <w:r>
        <w:t xml:space="preserve">h is ‘everyone’s business’, if councils are </w:t>
      </w:r>
      <w:r w:rsidRPr="00741168">
        <w:t>to develop staff to UKPHR registration level, opportunities ar</w:t>
      </w:r>
      <w:r>
        <w:t>e needed for them</w:t>
      </w:r>
      <w:r w:rsidRPr="00741168">
        <w:t xml:space="preserve"> to receive specialist training</w:t>
      </w:r>
      <w:r>
        <w:t xml:space="preserve"> and</w:t>
      </w:r>
      <w:r w:rsidRPr="00741168">
        <w:t xml:space="preserve"> gain experience in specialist settings. </w:t>
      </w:r>
      <w:r>
        <w:t xml:space="preserve">This necessitates </w:t>
      </w:r>
      <w:r w:rsidRPr="00204087">
        <w:t>tackl</w:t>
      </w:r>
      <w:r>
        <w:t>ing</w:t>
      </w:r>
      <w:r w:rsidR="00D44D19">
        <w:t xml:space="preserve"> the</w:t>
      </w:r>
      <w:r w:rsidRPr="00204087">
        <w:t xml:space="preserve"> ‘regulatory blocks’ which </w:t>
      </w:r>
      <w:r w:rsidR="00D44D19">
        <w:t xml:space="preserve">currently </w:t>
      </w:r>
      <w:r w:rsidRPr="00204087">
        <w:t xml:space="preserve">deter career moves between organisations.  </w:t>
      </w:r>
    </w:p>
    <w:p w:rsidR="00016DA4" w:rsidRPr="00741168" w:rsidRDefault="00016DA4" w:rsidP="00650624">
      <w:r w:rsidRPr="00741168">
        <w:t xml:space="preserve">Unlike the current position inherited from the NHS, in future councils will </w:t>
      </w:r>
      <w:r>
        <w:t xml:space="preserve">determine </w:t>
      </w:r>
      <w:r w:rsidR="00D44D19">
        <w:t xml:space="preserve">their public health resource. </w:t>
      </w:r>
      <w:r w:rsidRPr="00741168">
        <w:t>They may choose to de</w:t>
      </w:r>
      <w:r>
        <w:t>velop a specialist</w:t>
      </w:r>
      <w:r w:rsidRPr="00741168">
        <w:t xml:space="preserve"> resource and consequently support salaries which reflect the high costs associated with such skills</w:t>
      </w:r>
      <w:r w:rsidR="00D44D19">
        <w:t xml:space="preserve">. </w:t>
      </w:r>
      <w:r>
        <w:t xml:space="preserve">Alternatively, </w:t>
      </w:r>
      <w:r w:rsidR="00D44D19">
        <w:t xml:space="preserve">they </w:t>
      </w:r>
      <w:r>
        <w:t xml:space="preserve">may </w:t>
      </w:r>
      <w:r w:rsidRPr="00741168">
        <w:t>choose to rel</w:t>
      </w:r>
      <w:r w:rsidR="0078750E">
        <w:t>y on general practitioners</w:t>
      </w:r>
      <w:r>
        <w:t xml:space="preserve">, procuring or </w:t>
      </w:r>
      <w:r w:rsidRPr="00741168">
        <w:t xml:space="preserve">arranging to share specialist public health expertise across </w:t>
      </w:r>
      <w:r>
        <w:t xml:space="preserve">several </w:t>
      </w:r>
      <w:r w:rsidRPr="00741168">
        <w:t>local authorities.</w:t>
      </w:r>
      <w:r w:rsidR="00D44D19">
        <w:t xml:space="preserve"> </w:t>
      </w:r>
      <w:r>
        <w:t>Whichever choice individual councils make</w:t>
      </w:r>
      <w:r w:rsidRPr="00741168">
        <w:t xml:space="preserve">, there is a need for closer alignment and sharing of resources between agencies concerned with public </w:t>
      </w:r>
      <w:r>
        <w:t>health professional development, including</w:t>
      </w:r>
      <w:r w:rsidRPr="00741168">
        <w:t xml:space="preserve"> partners within local government, if t</w:t>
      </w:r>
      <w:r>
        <w:t>here is to be a coherent workforce</w:t>
      </w:r>
      <w:r w:rsidRPr="00741168">
        <w:t xml:space="preserve"> functioning in all the settings which the Health and Social Care Act requires.</w:t>
      </w:r>
    </w:p>
    <w:p w:rsidR="00016DA4" w:rsidRPr="00741168" w:rsidRDefault="00016DA4" w:rsidP="00650624">
      <w:pPr>
        <w:rPr>
          <w:b/>
        </w:rPr>
      </w:pPr>
      <w:r w:rsidRPr="00741168">
        <w:rPr>
          <w:b/>
        </w:rPr>
        <w:t>Limitations of this study</w:t>
      </w:r>
    </w:p>
    <w:p w:rsidR="00016DA4" w:rsidRDefault="00016DA4" w:rsidP="00650624">
      <w:r>
        <w:t>This study displays</w:t>
      </w:r>
      <w:r w:rsidRPr="00741168">
        <w:t xml:space="preserve"> limitations common</w:t>
      </w:r>
      <w:r w:rsidR="00D44D19">
        <w:t xml:space="preserve"> to much qualitative research. </w:t>
      </w:r>
      <w:r w:rsidRPr="00741168">
        <w:t>The case study sites</w:t>
      </w:r>
      <w:r w:rsidR="00D44D19">
        <w:t>, although heterogeneous,</w:t>
      </w:r>
      <w:r w:rsidRPr="00741168">
        <w:t xml:space="preserve"> represent </w:t>
      </w:r>
      <w:r>
        <w:t xml:space="preserve">only </w:t>
      </w:r>
      <w:r w:rsidRPr="00741168">
        <w:t xml:space="preserve">10 of </w:t>
      </w:r>
      <w:r>
        <w:t>152 upper and single tier local authorities in England</w:t>
      </w:r>
      <w:r w:rsidR="00D44D19">
        <w:t xml:space="preserve">. </w:t>
      </w:r>
      <w:r w:rsidRPr="00741168">
        <w:t xml:space="preserve">The lack of public health workforce data makes it difficult to assess whether our findings reflect changes in the </w:t>
      </w:r>
      <w:r w:rsidR="00D44D19">
        <w:t xml:space="preserve">workforce across England. </w:t>
      </w:r>
      <w:r w:rsidRPr="00741168">
        <w:t>It also means that the longer-term impact</w:t>
      </w:r>
      <w:r>
        <w:t xml:space="preserve"> </w:t>
      </w:r>
      <w:r w:rsidRPr="00741168">
        <w:t xml:space="preserve">of the pressures </w:t>
      </w:r>
      <w:r w:rsidR="00D44D19">
        <w:t>identified here</w:t>
      </w:r>
      <w:r w:rsidRPr="00741168">
        <w:t xml:space="preserve"> are </w:t>
      </w:r>
      <w:r>
        <w:t xml:space="preserve">inevitably </w:t>
      </w:r>
      <w:r w:rsidRPr="00741168">
        <w:t>unclear, including pressures of reducing financ</w:t>
      </w:r>
      <w:r w:rsidR="00D44D19">
        <w:t>ial resources, loss of decision-</w:t>
      </w:r>
      <w:r w:rsidRPr="00741168">
        <w:t xml:space="preserve">making power </w:t>
      </w:r>
      <w:r w:rsidR="0078750E">
        <w:t xml:space="preserve">for public health professionals </w:t>
      </w:r>
      <w:r w:rsidRPr="00741168">
        <w:t>and increasing demands</w:t>
      </w:r>
      <w:r>
        <w:t xml:space="preserve"> for soft </w:t>
      </w:r>
      <w:r w:rsidRPr="00741168">
        <w:t>skills.</w:t>
      </w:r>
    </w:p>
    <w:p w:rsidR="0070734F" w:rsidRDefault="0070734F" w:rsidP="00650624">
      <w:pPr>
        <w:rPr>
          <w:b/>
        </w:rPr>
      </w:pPr>
    </w:p>
    <w:p w:rsidR="00016DA4" w:rsidRPr="00650624" w:rsidRDefault="00016DA4" w:rsidP="00650624">
      <w:pPr>
        <w:rPr>
          <w:b/>
        </w:rPr>
      </w:pPr>
      <w:r w:rsidRPr="00650624">
        <w:rPr>
          <w:b/>
        </w:rPr>
        <w:t>CONCLUSION</w:t>
      </w:r>
    </w:p>
    <w:p w:rsidR="00016DA4" w:rsidRDefault="00016DA4" w:rsidP="00650624">
      <w:r>
        <w:t>The 2013</w:t>
      </w:r>
      <w:r w:rsidR="00D44D19">
        <w:t xml:space="preserve"> reforms</w:t>
      </w:r>
      <w:r>
        <w:t xml:space="preserve"> </w:t>
      </w:r>
      <w:r w:rsidRPr="00741168">
        <w:t>have led to a level of public health competency being developed amongst a far gre</w:t>
      </w:r>
      <w:r w:rsidR="00D44D19">
        <w:t xml:space="preserve">ater number of people. </w:t>
      </w:r>
      <w:r>
        <w:t>These</w:t>
      </w:r>
      <w:r w:rsidRPr="00741168">
        <w:t xml:space="preserve"> </w:t>
      </w:r>
      <w:r w:rsidR="00D44D19">
        <w:t xml:space="preserve">individuals </w:t>
      </w:r>
      <w:r w:rsidRPr="00741168">
        <w:t>shoul</w:t>
      </w:r>
      <w:r>
        <w:t xml:space="preserve">d be recognised as part of the wider </w:t>
      </w:r>
      <w:r w:rsidRPr="00741168">
        <w:t xml:space="preserve">public health </w:t>
      </w:r>
      <w:r>
        <w:t>workforce, contributing to increased opportunities for improving and protecting public health.</w:t>
      </w:r>
      <w:r w:rsidR="00D44D19">
        <w:t xml:space="preserve"> </w:t>
      </w:r>
      <w:r w:rsidRPr="00741168">
        <w:t>However, there is concern</w:t>
      </w:r>
      <w:r>
        <w:t xml:space="preserve"> in some quarters that the </w:t>
      </w:r>
      <w:r w:rsidRPr="00741168">
        <w:t>spe</w:t>
      </w:r>
      <w:r>
        <w:t xml:space="preserve">cialist resource may be weakened and </w:t>
      </w:r>
      <w:r>
        <w:lastRenderedPageBreak/>
        <w:t>reduced with unforeseen consequences</w:t>
      </w:r>
      <w:r w:rsidRPr="00741168">
        <w:t>.</w:t>
      </w:r>
      <w:r w:rsidR="00D44D19">
        <w:t xml:space="preserve"> </w:t>
      </w:r>
      <w:r>
        <w:t>W</w:t>
      </w:r>
      <w:r w:rsidRPr="00741168">
        <w:t xml:space="preserve">hilst the </w:t>
      </w:r>
      <w:r>
        <w:t xml:space="preserve">transfer of public health has </w:t>
      </w:r>
      <w:r w:rsidRPr="00741168">
        <w:t>been welcomed by many, this study fin</w:t>
      </w:r>
      <w:r>
        <w:t>ds that the value the specialist resource</w:t>
      </w:r>
      <w:r w:rsidRPr="00741168">
        <w:t xml:space="preserve"> offers councils is being measured against authorities’ judgement of the value of securing democratic and political leverage, and against the value of di</w:t>
      </w:r>
      <w:r w:rsidR="00D44D19">
        <w:t xml:space="preserve">minishing financial resources. </w:t>
      </w:r>
      <w:r w:rsidRPr="00741168">
        <w:t>Currently, the need for those staff members transferred from the NHS to retain specialist skills and maintain UKPHR registration is being respected</w:t>
      </w:r>
      <w:r w:rsidR="00D44D19">
        <w:t xml:space="preserve">. </w:t>
      </w:r>
      <w:r>
        <w:t xml:space="preserve">But action is needed to address how future public health </w:t>
      </w:r>
      <w:r w:rsidR="0078750E">
        <w:t>professionals</w:t>
      </w:r>
      <w:r>
        <w:t xml:space="preserve"> operating within local government will be recruited and developed, assuming it is acknowledged that they have an important contribution to make.</w:t>
      </w:r>
    </w:p>
    <w:p w:rsidR="00650624" w:rsidRDefault="00650624" w:rsidP="00650624">
      <w:pPr>
        <w:rPr>
          <w:b/>
        </w:rPr>
      </w:pPr>
    </w:p>
    <w:p w:rsidR="00016DA4" w:rsidRDefault="00016DA4" w:rsidP="00650624">
      <w:pPr>
        <w:rPr>
          <w:b/>
        </w:rPr>
      </w:pPr>
      <w:r w:rsidRPr="000E6313">
        <w:rPr>
          <w:b/>
        </w:rPr>
        <w:t>Acknowledgement</w:t>
      </w:r>
      <w:r w:rsidR="00650624">
        <w:rPr>
          <w:b/>
        </w:rPr>
        <w:t>s</w:t>
      </w:r>
    </w:p>
    <w:p w:rsidR="00016DA4" w:rsidRPr="000E6313" w:rsidRDefault="00C0424A" w:rsidP="00650624">
      <w:r>
        <w:t xml:space="preserve">The authors wish to thank all of those who took part in this study and also the members of the </w:t>
      </w:r>
      <w:r w:rsidR="00812575">
        <w:t xml:space="preserve">project </w:t>
      </w:r>
      <w:r>
        <w:t>advisory group. The study relates to r</w:t>
      </w:r>
      <w:r w:rsidR="00016DA4" w:rsidRPr="000E6313">
        <w:t>esearch commissioned and funded by the Department of Health Policy</w:t>
      </w:r>
      <w:r w:rsidR="00016DA4">
        <w:t xml:space="preserve"> </w:t>
      </w:r>
      <w:r w:rsidR="00016DA4" w:rsidRPr="000E6313">
        <w:t>Research Programme (</w:t>
      </w:r>
      <w:r w:rsidR="00016DA4" w:rsidRPr="009D57E1">
        <w:rPr>
          <w:i/>
        </w:rPr>
        <w:t>Commissioning public health services: the impact of the health reforms on access, health inequalities and innovation in service provision</w:t>
      </w:r>
      <w:r w:rsidR="00016DA4" w:rsidRPr="000E6313">
        <w:t xml:space="preserve">, PR-R6-1113-25002). </w:t>
      </w:r>
    </w:p>
    <w:p w:rsidR="00650624" w:rsidRDefault="00650624" w:rsidP="00650624">
      <w:pPr>
        <w:rPr>
          <w:b/>
        </w:rPr>
      </w:pPr>
    </w:p>
    <w:p w:rsidR="00650624" w:rsidRDefault="00650624" w:rsidP="00650624">
      <w:pPr>
        <w:rPr>
          <w:b/>
        </w:rPr>
      </w:pPr>
      <w:r>
        <w:rPr>
          <w:b/>
        </w:rPr>
        <w:t>Funding</w:t>
      </w:r>
    </w:p>
    <w:p w:rsidR="009D57E1" w:rsidRDefault="009D57E1" w:rsidP="009D57E1">
      <w:r>
        <w:t xml:space="preserve">This work was supported by </w:t>
      </w:r>
      <w:r w:rsidRPr="000E6313">
        <w:t>the Department of Health Policy</w:t>
      </w:r>
      <w:r>
        <w:t xml:space="preserve"> </w:t>
      </w:r>
      <w:r w:rsidRPr="000E6313">
        <w:t>Research Programme (</w:t>
      </w:r>
      <w:r>
        <w:t xml:space="preserve">PR-R6-1113-25002). </w:t>
      </w:r>
      <w:r w:rsidRPr="000E6313">
        <w:t>The views expressed in this</w:t>
      </w:r>
      <w:r>
        <w:t xml:space="preserve"> paper </w:t>
      </w:r>
      <w:r w:rsidRPr="000E6313">
        <w:t>are those of the authors and not necessarily those of the Department of Health</w:t>
      </w:r>
      <w:r>
        <w:t>.</w:t>
      </w:r>
    </w:p>
    <w:p w:rsidR="004B3249" w:rsidRDefault="004B3249" w:rsidP="009D57E1"/>
    <w:p w:rsidR="00AE5027" w:rsidRDefault="00AE5027">
      <w:pPr>
        <w:rPr>
          <w:b/>
        </w:rPr>
      </w:pPr>
      <w:r>
        <w:rPr>
          <w:b/>
        </w:rPr>
        <w:br w:type="page"/>
      </w:r>
    </w:p>
    <w:p w:rsidR="00016DA4" w:rsidRPr="00741168" w:rsidRDefault="00016DA4" w:rsidP="00650624">
      <w:pPr>
        <w:rPr>
          <w:b/>
        </w:rPr>
      </w:pPr>
      <w:r w:rsidRPr="00741168">
        <w:rPr>
          <w:b/>
        </w:rPr>
        <w:lastRenderedPageBreak/>
        <w:t>Reference list</w:t>
      </w:r>
    </w:p>
    <w:p w:rsidR="001F4F67" w:rsidRPr="001F4F67" w:rsidRDefault="00545190" w:rsidP="001F4F67">
      <w:pPr>
        <w:pStyle w:val="EndNoteBibliography"/>
        <w:spacing w:after="0"/>
      </w:pPr>
      <w:r>
        <w:fldChar w:fldCharType="begin"/>
      </w:r>
      <w:r>
        <w:instrText xml:space="preserve"> ADDIN EN.REFLIST </w:instrText>
      </w:r>
      <w:r>
        <w:fldChar w:fldCharType="separate"/>
      </w:r>
      <w:bookmarkStart w:id="1" w:name="_ENREF_1"/>
      <w:r w:rsidR="001F4F67" w:rsidRPr="001F4F67">
        <w:t>1.</w:t>
      </w:r>
      <w:r w:rsidR="001F4F67" w:rsidRPr="001F4F67">
        <w:tab/>
        <w:t xml:space="preserve">UK Parliament. Health and Social Care Act 2012.  Norwich: The Stationery Office; 2012; Available from: </w:t>
      </w:r>
      <w:hyperlink r:id="rId8" w:history="1">
        <w:r w:rsidR="001F4F67" w:rsidRPr="001F4F67">
          <w:rPr>
            <w:rStyle w:val="Hyperlink"/>
          </w:rPr>
          <w:t>http://www.legislation.gov.uk/ukpga/2012/7/contents/enacted</w:t>
        </w:r>
      </w:hyperlink>
      <w:r w:rsidR="001F4F67" w:rsidRPr="001F4F67">
        <w:t>.</w:t>
      </w:r>
      <w:bookmarkEnd w:id="1"/>
    </w:p>
    <w:p w:rsidR="001F4F67" w:rsidRPr="001F4F67" w:rsidRDefault="001F4F67" w:rsidP="001F4F67">
      <w:pPr>
        <w:pStyle w:val="EndNoteBibliography"/>
        <w:spacing w:after="0"/>
      </w:pPr>
      <w:bookmarkStart w:id="2" w:name="_ENREF_2"/>
      <w:r w:rsidRPr="001F4F67">
        <w:t>2.</w:t>
      </w:r>
      <w:r w:rsidRPr="001F4F67">
        <w:tab/>
        <w:t xml:space="preserve">ADPH. What is a Director of Public Health?  London: Association of Directors of Public Health; 2016 [cited 2017 8 March]; Available from: </w:t>
      </w:r>
      <w:hyperlink r:id="rId9" w:history="1">
        <w:r w:rsidRPr="001F4F67">
          <w:rPr>
            <w:rStyle w:val="Hyperlink"/>
          </w:rPr>
          <w:t>http://www.adph.org.uk/wp-content/uploads/2016/10/Role-of-a-Director-of-Public-Health.pdf</w:t>
        </w:r>
      </w:hyperlink>
      <w:r w:rsidRPr="001F4F67">
        <w:t>.</w:t>
      </w:r>
      <w:bookmarkEnd w:id="2"/>
    </w:p>
    <w:p w:rsidR="001F4F67" w:rsidRPr="001F4F67" w:rsidRDefault="001F4F67" w:rsidP="001F4F67">
      <w:pPr>
        <w:pStyle w:val="EndNoteBibliography"/>
        <w:spacing w:after="0"/>
      </w:pPr>
      <w:bookmarkStart w:id="3" w:name="_ENREF_3"/>
      <w:r w:rsidRPr="001F4F67">
        <w:t>3.</w:t>
      </w:r>
      <w:r w:rsidRPr="001F4F67">
        <w:tab/>
        <w:t xml:space="preserve">UKPHR. Public Health Practitioner Standards for Registration.  Birmingham: UK Public Health Register; 2014 [cited 2016 13 December]; Available from: </w:t>
      </w:r>
      <w:hyperlink r:id="rId10" w:history="1">
        <w:r w:rsidRPr="001F4F67">
          <w:rPr>
            <w:rStyle w:val="Hyperlink"/>
          </w:rPr>
          <w:t>http://www.ukphr.org/wp-content/uploads/2014/08/UKPHR-Practitioner-Standards-14.pdf</w:t>
        </w:r>
      </w:hyperlink>
      <w:r w:rsidRPr="001F4F67">
        <w:t>.</w:t>
      </w:r>
      <w:bookmarkEnd w:id="3"/>
    </w:p>
    <w:p w:rsidR="001F4F67" w:rsidRPr="001F4F67" w:rsidRDefault="001F4F67" w:rsidP="001F4F67">
      <w:pPr>
        <w:pStyle w:val="EndNoteBibliography"/>
        <w:spacing w:after="0"/>
      </w:pPr>
      <w:bookmarkStart w:id="4" w:name="_ENREF_4"/>
      <w:r w:rsidRPr="001F4F67">
        <w:t>4.</w:t>
      </w:r>
      <w:r w:rsidRPr="001F4F67">
        <w:tab/>
        <w:t>PHE. Public Health Skills and Knowledge Framework. London: Public Health England2016.</w:t>
      </w:r>
      <w:bookmarkEnd w:id="4"/>
    </w:p>
    <w:p w:rsidR="001F4F67" w:rsidRPr="001F4F67" w:rsidRDefault="001F4F67" w:rsidP="001F4F67">
      <w:pPr>
        <w:pStyle w:val="EndNoteBibliography"/>
        <w:spacing w:after="0"/>
      </w:pPr>
      <w:bookmarkStart w:id="5" w:name="_ENREF_5"/>
      <w:r w:rsidRPr="001F4F67">
        <w:t>5.</w:t>
      </w:r>
      <w:r w:rsidRPr="001F4F67">
        <w:tab/>
        <w:t>Public Health Policy and Strategy Unit. Healthy lives, healthy people:  A review of the 2013 public health workforce strategy. London: Department of Health, PHE and LGA2016.</w:t>
      </w:r>
      <w:bookmarkEnd w:id="5"/>
    </w:p>
    <w:p w:rsidR="001F4F67" w:rsidRPr="001F4F67" w:rsidRDefault="001F4F67" w:rsidP="001F4F67">
      <w:pPr>
        <w:pStyle w:val="EndNoteBibliography"/>
        <w:spacing w:after="0"/>
      </w:pPr>
      <w:bookmarkStart w:id="6" w:name="_ENREF_6"/>
      <w:r w:rsidRPr="001F4F67">
        <w:t>6.</w:t>
      </w:r>
      <w:r w:rsidRPr="001F4F67">
        <w:tab/>
        <w:t>UK Parliament. Public Health post-2013. Second report of session 2016-17. London: House of Commons Health Committee2016.</w:t>
      </w:r>
      <w:bookmarkEnd w:id="6"/>
    </w:p>
    <w:p w:rsidR="001F4F67" w:rsidRPr="001F4F67" w:rsidRDefault="001F4F67" w:rsidP="001F4F67">
      <w:pPr>
        <w:pStyle w:val="EndNoteBibliography"/>
        <w:spacing w:after="0"/>
      </w:pPr>
      <w:bookmarkStart w:id="7" w:name="_ENREF_7"/>
      <w:r w:rsidRPr="001F4F67">
        <w:t>7.</w:t>
      </w:r>
      <w:r w:rsidRPr="001F4F67">
        <w:tab/>
        <w:t>Gadsby E, Peckham S, Coleman A, Bramwell D, Perkins N, Jenkins L. Commissioning for health improvement following the 2012 Health and Social Care Reforms in England: what has changed? BMC Public Health. 2017; 17.</w:t>
      </w:r>
      <w:bookmarkEnd w:id="7"/>
    </w:p>
    <w:p w:rsidR="001F4F67" w:rsidRPr="001F4F67" w:rsidRDefault="001F4F67" w:rsidP="001F4F67">
      <w:pPr>
        <w:pStyle w:val="EndNoteBibliography"/>
        <w:spacing w:after="0"/>
      </w:pPr>
      <w:bookmarkStart w:id="8" w:name="_ENREF_8"/>
      <w:r w:rsidRPr="001F4F67">
        <w:t>8.</w:t>
      </w:r>
      <w:r w:rsidRPr="001F4F67">
        <w:tab/>
        <w:t>Hunter D, Marks L, Brown J, Scalabrini S, Salway S, Vale L, et al. The potential value of priority-setting methods in public health investment decisions:  qualitative findings from three English local authorities. Critical Public Health. 2016; 26:578-87.</w:t>
      </w:r>
      <w:bookmarkEnd w:id="8"/>
    </w:p>
    <w:p w:rsidR="001F4F67" w:rsidRPr="001F4F67" w:rsidRDefault="001F4F67" w:rsidP="001F4F67">
      <w:pPr>
        <w:pStyle w:val="EndNoteBibliography"/>
        <w:spacing w:after="0"/>
      </w:pPr>
      <w:bookmarkStart w:id="9" w:name="_ENREF_9"/>
      <w:r w:rsidRPr="001F4F67">
        <w:t>9.</w:t>
      </w:r>
      <w:r w:rsidRPr="001F4F67">
        <w:tab/>
        <w:t>Marks L, Hunter D, Scalabrini S, Gray J, McCafferty S, Payne N, et al. The return of public health to local government in England: changing the paramaters of the public health prioritization debate? Public Health. 2015; 129:1194-203.</w:t>
      </w:r>
      <w:bookmarkEnd w:id="9"/>
    </w:p>
    <w:p w:rsidR="001F4F67" w:rsidRPr="001F4F67" w:rsidRDefault="001F4F67" w:rsidP="001F4F67">
      <w:pPr>
        <w:pStyle w:val="EndNoteBibliography"/>
        <w:spacing w:after="0"/>
      </w:pPr>
      <w:bookmarkStart w:id="10" w:name="_ENREF_10"/>
      <w:r w:rsidRPr="001F4F67">
        <w:t>10.</w:t>
      </w:r>
      <w:r w:rsidRPr="001F4F67">
        <w:tab/>
        <w:t>Frenk J. The new public health. Annual Review of Public Health. 1993; 14:469-90.</w:t>
      </w:r>
      <w:bookmarkEnd w:id="10"/>
    </w:p>
    <w:p w:rsidR="001F4F67" w:rsidRPr="001F4F67" w:rsidRDefault="001F4F67" w:rsidP="001F4F67">
      <w:pPr>
        <w:pStyle w:val="EndNoteBibliography"/>
        <w:spacing w:after="0"/>
      </w:pPr>
      <w:bookmarkStart w:id="11" w:name="_ENREF_11"/>
      <w:r w:rsidRPr="001F4F67">
        <w:t>11.</w:t>
      </w:r>
      <w:r w:rsidRPr="001F4F67">
        <w:tab/>
        <w:t>Foldspang A. Developing the public health workforce in Europe: Association of Schools of Public Health in European Region (ASPHER). Journal of Public Health Policy. 2008; 29:143-6.</w:t>
      </w:r>
      <w:bookmarkEnd w:id="11"/>
    </w:p>
    <w:p w:rsidR="001F4F67" w:rsidRPr="001F4F67" w:rsidRDefault="001F4F67" w:rsidP="001F4F67">
      <w:pPr>
        <w:pStyle w:val="EndNoteBibliography"/>
        <w:spacing w:after="0"/>
      </w:pPr>
      <w:bookmarkStart w:id="12" w:name="_ENREF_12"/>
      <w:r w:rsidRPr="001F4F67">
        <w:t>12.</w:t>
      </w:r>
      <w:r w:rsidRPr="001F4F67">
        <w:tab/>
        <w:t xml:space="preserve">ASPHER. European Public Health Core Competences (EPHCCP) and European Public Health Reference Framework.  Brussels: The Association of Schools of Public Health in the European Region; 2011 [cited 2016 13 December]; Available from: </w:t>
      </w:r>
      <w:hyperlink r:id="rId11" w:history="1">
        <w:r w:rsidRPr="001F4F67">
          <w:rPr>
            <w:rStyle w:val="Hyperlink"/>
          </w:rPr>
          <w:t>http://aphea.net/docs/research/ECCPHP.pdf</w:t>
        </w:r>
      </w:hyperlink>
      <w:r w:rsidRPr="001F4F67">
        <w:t>.</w:t>
      </w:r>
      <w:bookmarkEnd w:id="12"/>
    </w:p>
    <w:p w:rsidR="001F4F67" w:rsidRPr="001F4F67" w:rsidRDefault="001F4F67" w:rsidP="001F4F67">
      <w:pPr>
        <w:pStyle w:val="EndNoteBibliography"/>
        <w:spacing w:after="0"/>
      </w:pPr>
      <w:bookmarkStart w:id="13" w:name="_ENREF_13"/>
      <w:r w:rsidRPr="001F4F67">
        <w:t>13.</w:t>
      </w:r>
      <w:r w:rsidRPr="001F4F67">
        <w:tab/>
        <w:t>Foldspang A. Towards a public health profession: the roles of essential public health operations and lists of competences. European Journal of Public Health. 2015; 25:361-2.</w:t>
      </w:r>
      <w:bookmarkEnd w:id="13"/>
    </w:p>
    <w:p w:rsidR="001F4F67" w:rsidRPr="001F4F67" w:rsidRDefault="001F4F67" w:rsidP="001F4F67">
      <w:pPr>
        <w:pStyle w:val="EndNoteBibliography"/>
        <w:spacing w:after="0"/>
      </w:pPr>
      <w:bookmarkStart w:id="14" w:name="_ENREF_14"/>
      <w:r w:rsidRPr="001F4F67">
        <w:t>14.</w:t>
      </w:r>
      <w:r w:rsidRPr="001F4F67">
        <w:tab/>
        <w:t>PHE. Fit for the Future – Public Health People. A review of the public health workforce. London: Public Health England2016.</w:t>
      </w:r>
      <w:bookmarkEnd w:id="14"/>
    </w:p>
    <w:p w:rsidR="001F4F67" w:rsidRPr="001F4F67" w:rsidRDefault="001F4F67" w:rsidP="001F4F67">
      <w:pPr>
        <w:pStyle w:val="EndNoteBibliography"/>
        <w:spacing w:after="0"/>
      </w:pPr>
      <w:bookmarkStart w:id="15" w:name="_ENREF_15"/>
      <w:r w:rsidRPr="001F4F67">
        <w:t>15.</w:t>
      </w:r>
      <w:r w:rsidRPr="001F4F67">
        <w:tab/>
        <w:t>CFWI. Public health workforce of the future: a 20-year perspective. London: Centre for Workforce Intelligence2016.</w:t>
      </w:r>
      <w:bookmarkEnd w:id="15"/>
    </w:p>
    <w:p w:rsidR="001F4F67" w:rsidRPr="001F4F67" w:rsidRDefault="001F4F67" w:rsidP="001F4F67">
      <w:pPr>
        <w:pStyle w:val="EndNoteBibliography"/>
        <w:spacing w:after="0"/>
      </w:pPr>
      <w:bookmarkStart w:id="16" w:name="_ENREF_16"/>
      <w:r w:rsidRPr="001F4F67">
        <w:t>16.</w:t>
      </w:r>
      <w:r w:rsidRPr="001F4F67">
        <w:tab/>
        <w:t>Gadsby E, Peckham S, Coleman A, Bramwell D, Perkins N, Jenkins L. Commissioning for health improvement following the 2012 health and social care reforms in England: what has changed? BMC Public Health. 2017; 17:211.</w:t>
      </w:r>
      <w:bookmarkEnd w:id="16"/>
    </w:p>
    <w:p w:rsidR="001F4F67" w:rsidRPr="001F4F67" w:rsidRDefault="001F4F67" w:rsidP="001F4F67">
      <w:pPr>
        <w:pStyle w:val="EndNoteBibliography"/>
        <w:spacing w:after="0"/>
      </w:pPr>
      <w:bookmarkStart w:id="17" w:name="_ENREF_17"/>
      <w:r w:rsidRPr="001F4F67">
        <w:t>17.</w:t>
      </w:r>
      <w:r w:rsidRPr="001F4F67">
        <w:tab/>
        <w:t>Phillips G, Green J. Working for the public health: politics, localism and epistemologies of practice. Sociology of Health &amp; Illness. 2015; 37:491-505.</w:t>
      </w:r>
      <w:bookmarkEnd w:id="17"/>
    </w:p>
    <w:p w:rsidR="001F4F67" w:rsidRPr="001F4F67" w:rsidRDefault="001F4F67" w:rsidP="001F4F67">
      <w:pPr>
        <w:pStyle w:val="EndNoteBibliography"/>
        <w:spacing w:after="0"/>
      </w:pPr>
      <w:bookmarkStart w:id="18" w:name="_ENREF_18"/>
      <w:r w:rsidRPr="001F4F67">
        <w:t>18.</w:t>
      </w:r>
      <w:r w:rsidRPr="001F4F67">
        <w:tab/>
        <w:t>Day M, Shickle D, Smith K, Zakariasen K, Moskol J, Oliver T. Training public health superheroes: five talents for public health leadership. Journal of Public Health. 2014; 36:552-61.</w:t>
      </w:r>
      <w:bookmarkEnd w:id="18"/>
    </w:p>
    <w:p w:rsidR="001F4F67" w:rsidRPr="001F4F67" w:rsidRDefault="001F4F67" w:rsidP="001F4F67">
      <w:pPr>
        <w:pStyle w:val="EndNoteBibliography"/>
      </w:pPr>
      <w:bookmarkStart w:id="19" w:name="_ENREF_19"/>
      <w:r w:rsidRPr="001F4F67">
        <w:t>19.</w:t>
      </w:r>
      <w:r w:rsidRPr="001F4F67">
        <w:tab/>
        <w:t>Green J. The public health profession and the community. Critical Public Health. 2015; 25:123-4.</w:t>
      </w:r>
      <w:bookmarkEnd w:id="19"/>
    </w:p>
    <w:p w:rsidR="00016DA4" w:rsidRPr="007027B0" w:rsidRDefault="00545190" w:rsidP="00650624">
      <w:pPr>
        <w:ind w:left="1440" w:hanging="1440"/>
      </w:pPr>
      <w:r>
        <w:fldChar w:fldCharType="end"/>
      </w:r>
    </w:p>
    <w:sectPr w:rsidR="00016DA4" w:rsidRPr="007027B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F3D" w:rsidRDefault="001C7F3D" w:rsidP="00400459">
      <w:pPr>
        <w:spacing w:after="0" w:line="240" w:lineRule="auto"/>
      </w:pPr>
      <w:r>
        <w:separator/>
      </w:r>
    </w:p>
  </w:endnote>
  <w:endnote w:type="continuationSeparator" w:id="0">
    <w:p w:rsidR="001C7F3D" w:rsidRDefault="001C7F3D" w:rsidP="0040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dvTT378de93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494745"/>
      <w:docPartObj>
        <w:docPartGallery w:val="Page Numbers (Bottom of Page)"/>
        <w:docPartUnique/>
      </w:docPartObj>
    </w:sdtPr>
    <w:sdtEndPr>
      <w:rPr>
        <w:noProof/>
      </w:rPr>
    </w:sdtEndPr>
    <w:sdtContent>
      <w:p w:rsidR="001C7F3D" w:rsidRDefault="001C7F3D">
        <w:pPr>
          <w:pStyle w:val="Footer"/>
          <w:jc w:val="center"/>
        </w:pPr>
        <w:r>
          <w:fldChar w:fldCharType="begin"/>
        </w:r>
        <w:r>
          <w:instrText xml:space="preserve"> PAGE   \* MERGEFORMAT </w:instrText>
        </w:r>
        <w:r>
          <w:fldChar w:fldCharType="separate"/>
        </w:r>
        <w:r w:rsidR="00AE5027">
          <w:rPr>
            <w:noProof/>
          </w:rPr>
          <w:t>12</w:t>
        </w:r>
        <w:r>
          <w:rPr>
            <w:noProof/>
          </w:rPr>
          <w:fldChar w:fldCharType="end"/>
        </w:r>
      </w:p>
    </w:sdtContent>
  </w:sdt>
  <w:p w:rsidR="001C7F3D" w:rsidRDefault="001C7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F3D" w:rsidRDefault="001C7F3D" w:rsidP="00400459">
      <w:pPr>
        <w:spacing w:after="0" w:line="240" w:lineRule="auto"/>
      </w:pPr>
      <w:r>
        <w:separator/>
      </w:r>
    </w:p>
  </w:footnote>
  <w:footnote w:type="continuationSeparator" w:id="0">
    <w:p w:rsidR="001C7F3D" w:rsidRDefault="001C7F3D" w:rsidP="004004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F10EC"/>
    <w:multiLevelType w:val="multilevel"/>
    <w:tmpl w:val="BA8E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ublic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1F6509"/>
    <w:rsid w:val="00016DA4"/>
    <w:rsid w:val="00024939"/>
    <w:rsid w:val="00192F4E"/>
    <w:rsid w:val="001C3CB0"/>
    <w:rsid w:val="001C7F3D"/>
    <w:rsid w:val="001D339F"/>
    <w:rsid w:val="001F4F67"/>
    <w:rsid w:val="001F6509"/>
    <w:rsid w:val="00256B65"/>
    <w:rsid w:val="00270662"/>
    <w:rsid w:val="00273FE6"/>
    <w:rsid w:val="00285D9E"/>
    <w:rsid w:val="00290A0E"/>
    <w:rsid w:val="002926A6"/>
    <w:rsid w:val="0032043C"/>
    <w:rsid w:val="00357C00"/>
    <w:rsid w:val="00363187"/>
    <w:rsid w:val="003E6096"/>
    <w:rsid w:val="00400459"/>
    <w:rsid w:val="004B3249"/>
    <w:rsid w:val="005147C0"/>
    <w:rsid w:val="00545190"/>
    <w:rsid w:val="00562000"/>
    <w:rsid w:val="005B0993"/>
    <w:rsid w:val="005F731D"/>
    <w:rsid w:val="00622EA5"/>
    <w:rsid w:val="00633E8B"/>
    <w:rsid w:val="00650624"/>
    <w:rsid w:val="00652F78"/>
    <w:rsid w:val="006A5539"/>
    <w:rsid w:val="0070734F"/>
    <w:rsid w:val="007520E0"/>
    <w:rsid w:val="00780C46"/>
    <w:rsid w:val="0078750E"/>
    <w:rsid w:val="007958BE"/>
    <w:rsid w:val="007A476C"/>
    <w:rsid w:val="007B721A"/>
    <w:rsid w:val="00812575"/>
    <w:rsid w:val="00836EC1"/>
    <w:rsid w:val="008710F8"/>
    <w:rsid w:val="008A4A24"/>
    <w:rsid w:val="008C5942"/>
    <w:rsid w:val="009420A5"/>
    <w:rsid w:val="00946A85"/>
    <w:rsid w:val="00954373"/>
    <w:rsid w:val="009B29E9"/>
    <w:rsid w:val="009D57E1"/>
    <w:rsid w:val="009E460F"/>
    <w:rsid w:val="00A52338"/>
    <w:rsid w:val="00A76EB8"/>
    <w:rsid w:val="00AA26D5"/>
    <w:rsid w:val="00AA3A1E"/>
    <w:rsid w:val="00AE5027"/>
    <w:rsid w:val="00B522A8"/>
    <w:rsid w:val="00BA4D12"/>
    <w:rsid w:val="00BB5AA6"/>
    <w:rsid w:val="00BE375C"/>
    <w:rsid w:val="00C0424A"/>
    <w:rsid w:val="00C51F13"/>
    <w:rsid w:val="00C8380A"/>
    <w:rsid w:val="00C95D5C"/>
    <w:rsid w:val="00CA26EF"/>
    <w:rsid w:val="00D1196A"/>
    <w:rsid w:val="00D14DFC"/>
    <w:rsid w:val="00D44D19"/>
    <w:rsid w:val="00D619D1"/>
    <w:rsid w:val="00DB4640"/>
    <w:rsid w:val="00E56A32"/>
    <w:rsid w:val="00E6089A"/>
    <w:rsid w:val="00EB571F"/>
    <w:rsid w:val="00F13D45"/>
    <w:rsid w:val="00FC20CA"/>
    <w:rsid w:val="00FD4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5EAA1-C698-42D6-B73C-91D0B20F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509"/>
    <w:rPr>
      <w:color w:val="0000FF" w:themeColor="hyperlink"/>
      <w:u w:val="single"/>
    </w:rPr>
  </w:style>
  <w:style w:type="character" w:styleId="Strong">
    <w:name w:val="Strong"/>
    <w:basedOn w:val="DefaultParagraphFont"/>
    <w:uiPriority w:val="22"/>
    <w:qFormat/>
    <w:rsid w:val="0032043C"/>
    <w:rPr>
      <w:b/>
      <w:bCs/>
    </w:rPr>
  </w:style>
  <w:style w:type="paragraph" w:styleId="NormalWeb">
    <w:name w:val="Normal (Web)"/>
    <w:basedOn w:val="Normal"/>
    <w:uiPriority w:val="99"/>
    <w:semiHidden/>
    <w:unhideWhenUsed/>
    <w:rsid w:val="006506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00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459"/>
  </w:style>
  <w:style w:type="paragraph" w:styleId="Footer">
    <w:name w:val="footer"/>
    <w:basedOn w:val="Normal"/>
    <w:link w:val="FooterChar"/>
    <w:uiPriority w:val="99"/>
    <w:unhideWhenUsed/>
    <w:rsid w:val="00400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459"/>
  </w:style>
  <w:style w:type="paragraph" w:customStyle="1" w:styleId="EndNoteBibliographyTitle">
    <w:name w:val="EndNote Bibliography Title"/>
    <w:basedOn w:val="Normal"/>
    <w:link w:val="EndNoteBibliographyTitleChar"/>
    <w:rsid w:val="0054519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45190"/>
    <w:rPr>
      <w:rFonts w:ascii="Calibri" w:hAnsi="Calibri"/>
      <w:noProof/>
      <w:lang w:val="en-US"/>
    </w:rPr>
  </w:style>
  <w:style w:type="paragraph" w:customStyle="1" w:styleId="EndNoteBibliography">
    <w:name w:val="EndNote Bibliography"/>
    <w:basedOn w:val="Normal"/>
    <w:link w:val="EndNoteBibliographyChar"/>
    <w:rsid w:val="0054519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45190"/>
    <w:rPr>
      <w:rFonts w:ascii="Calibri" w:hAnsi="Calibri"/>
      <w:noProof/>
      <w:lang w:val="en-US"/>
    </w:rPr>
  </w:style>
  <w:style w:type="paragraph" w:styleId="BalloonText">
    <w:name w:val="Balloon Text"/>
    <w:basedOn w:val="Normal"/>
    <w:link w:val="BalloonTextChar"/>
    <w:uiPriority w:val="99"/>
    <w:semiHidden/>
    <w:unhideWhenUsed/>
    <w:rsid w:val="00024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939"/>
    <w:rPr>
      <w:rFonts w:ascii="Segoe UI" w:hAnsi="Segoe UI" w:cs="Segoe UI"/>
      <w:sz w:val="18"/>
      <w:szCs w:val="18"/>
    </w:rPr>
  </w:style>
  <w:style w:type="table" w:styleId="TableGrid">
    <w:name w:val="Table Grid"/>
    <w:basedOn w:val="TableNormal"/>
    <w:uiPriority w:val="59"/>
    <w:rsid w:val="004B324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44631">
      <w:bodyDiv w:val="1"/>
      <w:marLeft w:val="0"/>
      <w:marRight w:val="0"/>
      <w:marTop w:val="0"/>
      <w:marBottom w:val="0"/>
      <w:divBdr>
        <w:top w:val="none" w:sz="0" w:space="0" w:color="auto"/>
        <w:left w:val="none" w:sz="0" w:space="0" w:color="auto"/>
        <w:bottom w:val="none" w:sz="0" w:space="0" w:color="auto"/>
        <w:right w:val="none" w:sz="0" w:space="0" w:color="auto"/>
      </w:divBdr>
      <w:divsChild>
        <w:div w:id="2120055467">
          <w:marLeft w:val="0"/>
          <w:marRight w:val="0"/>
          <w:marTop w:val="0"/>
          <w:marBottom w:val="0"/>
          <w:divBdr>
            <w:top w:val="none" w:sz="0" w:space="0" w:color="auto"/>
            <w:left w:val="none" w:sz="0" w:space="0" w:color="auto"/>
            <w:bottom w:val="none" w:sz="0" w:space="0" w:color="auto"/>
            <w:right w:val="none" w:sz="0" w:space="0" w:color="auto"/>
          </w:divBdr>
          <w:divsChild>
            <w:div w:id="1937974958">
              <w:marLeft w:val="0"/>
              <w:marRight w:val="0"/>
              <w:marTop w:val="0"/>
              <w:marBottom w:val="0"/>
              <w:divBdr>
                <w:top w:val="none" w:sz="0" w:space="0" w:color="auto"/>
                <w:left w:val="none" w:sz="0" w:space="0" w:color="auto"/>
                <w:bottom w:val="none" w:sz="0" w:space="0" w:color="auto"/>
                <w:right w:val="none" w:sz="0" w:space="0" w:color="auto"/>
              </w:divBdr>
              <w:divsChild>
                <w:div w:id="728457302">
                  <w:marLeft w:val="0"/>
                  <w:marRight w:val="0"/>
                  <w:marTop w:val="0"/>
                  <w:marBottom w:val="0"/>
                  <w:divBdr>
                    <w:top w:val="none" w:sz="0" w:space="0" w:color="auto"/>
                    <w:left w:val="none" w:sz="0" w:space="0" w:color="auto"/>
                    <w:bottom w:val="none" w:sz="0" w:space="0" w:color="auto"/>
                    <w:right w:val="none" w:sz="0" w:space="0" w:color="auto"/>
                  </w:divBdr>
                  <w:divsChild>
                    <w:div w:id="117913992">
                      <w:marLeft w:val="0"/>
                      <w:marRight w:val="0"/>
                      <w:marTop w:val="0"/>
                      <w:marBottom w:val="0"/>
                      <w:divBdr>
                        <w:top w:val="none" w:sz="0" w:space="0" w:color="auto"/>
                        <w:left w:val="none" w:sz="0" w:space="0" w:color="auto"/>
                        <w:bottom w:val="none" w:sz="0" w:space="0" w:color="auto"/>
                        <w:right w:val="none" w:sz="0" w:space="0" w:color="auto"/>
                      </w:divBdr>
                      <w:divsChild>
                        <w:div w:id="1259946382">
                          <w:marLeft w:val="0"/>
                          <w:marRight w:val="0"/>
                          <w:marTop w:val="0"/>
                          <w:marBottom w:val="0"/>
                          <w:divBdr>
                            <w:top w:val="none" w:sz="0" w:space="0" w:color="auto"/>
                            <w:left w:val="none" w:sz="0" w:space="0" w:color="auto"/>
                            <w:bottom w:val="none" w:sz="0" w:space="0" w:color="auto"/>
                            <w:right w:val="none" w:sz="0" w:space="0" w:color="auto"/>
                          </w:divBdr>
                          <w:divsChild>
                            <w:div w:id="26693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2/7/contents/enact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lina.visram@newcastle.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hea.net/docs/research/ECCPHP.pdf" TargetMode="External"/><Relationship Id="rId5" Type="http://schemas.openxmlformats.org/officeDocument/2006/relationships/footnotes" Target="footnotes.xml"/><Relationship Id="rId10" Type="http://schemas.openxmlformats.org/officeDocument/2006/relationships/hyperlink" Target="http://www.ukphr.org/wp-content/uploads/2014/08/UKPHR-Practitioner-Standards-14.pdf" TargetMode="External"/><Relationship Id="rId4" Type="http://schemas.openxmlformats.org/officeDocument/2006/relationships/webSettings" Target="webSettings.xml"/><Relationship Id="rId9" Type="http://schemas.openxmlformats.org/officeDocument/2006/relationships/hyperlink" Target="http://www.adph.org.uk/wp-content/uploads/2016/10/Role-of-a-Director-of-Public-Healt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7273</Words>
  <Characters>41457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48633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Shelina Visram</dc:creator>
  <cp:lastModifiedBy>Shelina Visram</cp:lastModifiedBy>
  <cp:revision>3</cp:revision>
  <dcterms:created xsi:type="dcterms:W3CDTF">2017-10-16T12:27:00Z</dcterms:created>
  <dcterms:modified xsi:type="dcterms:W3CDTF">2017-10-16T12:31:00Z</dcterms:modified>
</cp:coreProperties>
</file>