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666FD" w14:textId="23FE7C2C" w:rsidR="00331880" w:rsidRPr="00331880" w:rsidRDefault="00331880" w:rsidP="00D61BE8">
      <w:pPr>
        <w:pStyle w:val="BATitle"/>
      </w:pPr>
      <w:bookmarkStart w:id="0" w:name="_GoBack"/>
      <w:bookmarkEnd w:id="0"/>
      <w:r w:rsidRPr="00331880">
        <w:t xml:space="preserve">Real-time analysis of molecular conformation using </w:t>
      </w:r>
      <w:r w:rsidR="00850593">
        <w:t>silicon electrophotonic</w:t>
      </w:r>
      <w:r w:rsidRPr="00331880">
        <w:t xml:space="preserve"> biosensors </w:t>
      </w:r>
    </w:p>
    <w:p w14:paraId="6699D9FD" w14:textId="77777777" w:rsidR="00331880" w:rsidRDefault="00331880" w:rsidP="00331880">
      <w:pPr>
        <w:pStyle w:val="BCAuthorAddress"/>
        <w:rPr>
          <w:vertAlign w:val="superscript"/>
        </w:rPr>
      </w:pPr>
      <w:r w:rsidRPr="00331880">
        <w:t>José Juan-Colás</w:t>
      </w:r>
      <w:r>
        <w:t xml:space="preserve"> </w:t>
      </w:r>
      <w:r w:rsidRPr="00331880">
        <w:rPr>
          <w:vertAlign w:val="superscript"/>
        </w:rPr>
        <w:t>§</w:t>
      </w:r>
      <w:r w:rsidR="002E52AC" w:rsidRPr="002E52AC">
        <w:rPr>
          <w:vertAlign w:val="superscript"/>
        </w:rPr>
        <w:t>†</w:t>
      </w:r>
      <w:r w:rsidR="002E52AC">
        <w:t xml:space="preserve"> </w:t>
      </w:r>
      <w:r w:rsidRPr="00331880">
        <w:t>*, Thomas F. Krauss</w:t>
      </w:r>
      <w:r w:rsidR="002E52AC" w:rsidRPr="002E52AC">
        <w:rPr>
          <w:vertAlign w:val="superscript"/>
        </w:rPr>
        <w:t>†</w:t>
      </w:r>
      <w:r w:rsidRPr="00331880">
        <w:t xml:space="preserve"> and Steven D. Johnson</w:t>
      </w:r>
      <w:r w:rsidR="002E52AC" w:rsidRPr="00331880">
        <w:rPr>
          <w:vertAlign w:val="superscript"/>
        </w:rPr>
        <w:t>§</w:t>
      </w:r>
    </w:p>
    <w:p w14:paraId="374CB646" w14:textId="77777777" w:rsidR="00331880" w:rsidRPr="00A86975" w:rsidRDefault="002E52AC" w:rsidP="00331880">
      <w:pPr>
        <w:pStyle w:val="BCAuthorAddress"/>
      </w:pPr>
      <w:r w:rsidRPr="00331880">
        <w:rPr>
          <w:vertAlign w:val="superscript"/>
        </w:rPr>
        <w:t>§</w:t>
      </w:r>
      <w:r w:rsidR="00331880">
        <w:rPr>
          <w:vertAlign w:val="superscript"/>
        </w:rPr>
        <w:t xml:space="preserve"> </w:t>
      </w:r>
      <w:r w:rsidR="00331880" w:rsidRPr="00B02367">
        <w:t>The Department of Electronics, University of York, Heslington, York YO10 5DD, UK</w:t>
      </w:r>
    </w:p>
    <w:p w14:paraId="14F95C78" w14:textId="77777777" w:rsidR="00331880" w:rsidRPr="00A86975" w:rsidRDefault="002E52AC" w:rsidP="00331880">
      <w:pPr>
        <w:pStyle w:val="BCAuthorAddress"/>
      </w:pPr>
      <w:r w:rsidRPr="002E52AC">
        <w:rPr>
          <w:vertAlign w:val="superscript"/>
        </w:rPr>
        <w:t>†</w:t>
      </w:r>
      <w:r w:rsidR="00331880">
        <w:rPr>
          <w:vertAlign w:val="superscript"/>
        </w:rPr>
        <w:t xml:space="preserve"> </w:t>
      </w:r>
      <w:r w:rsidR="00331880" w:rsidRPr="00B02367">
        <w:t>Department of Physics, University of York, Heslington, York YO10 5DD</w:t>
      </w:r>
    </w:p>
    <w:p w14:paraId="3D5D348C" w14:textId="77777777" w:rsidR="00331880" w:rsidRPr="00331880" w:rsidRDefault="00331880" w:rsidP="00331880">
      <w:pPr>
        <w:pStyle w:val="BIEmailAddress"/>
      </w:pPr>
    </w:p>
    <w:p w14:paraId="3BB5A73E" w14:textId="77777777" w:rsidR="00331880" w:rsidRDefault="00331880" w:rsidP="00835CBD">
      <w:pPr>
        <w:pStyle w:val="BCAuthorAddress"/>
      </w:pPr>
    </w:p>
    <w:p w14:paraId="42DDBAD5" w14:textId="04CF1BB0" w:rsidR="00D44927" w:rsidRDefault="00552A07" w:rsidP="00331880">
      <w:pPr>
        <w:pStyle w:val="BDAbstract"/>
      </w:pPr>
      <w:r w:rsidRPr="006532A9">
        <w:rPr>
          <w:rStyle w:val="BDAbstractTitleChar"/>
        </w:rPr>
        <w:t>ABSTRACT</w:t>
      </w:r>
      <w:r w:rsidR="006532A9" w:rsidRPr="006532A9">
        <w:rPr>
          <w:rStyle w:val="BDAbstractTitleChar"/>
        </w:rPr>
        <w:t>:</w:t>
      </w:r>
      <w:r w:rsidRPr="00BE533F">
        <w:t xml:space="preserve"> </w:t>
      </w:r>
      <w:r w:rsidR="00331880" w:rsidRPr="00331880">
        <w:t>Silicon microring resonators are widely used as optical biosensors because of their high sensitivity and promise of low-cost mass-manufacturing. Typically, they only measure the adsorbed molecular mass via the refractive index change they detect. Here, we propose and demonstrate a silicon microring biosensor that can measure molecular thickness and density as well as electrochemical activity simultaneously, thereby enabling quantification of the conformation of surface-immobilized biological and molecular layers in real time. Insight into the molecular conformation is obtained by recording the resonance shift from two geometrically distinct ring-resonators connected to a single access waveguide. The resonant cavities both support a single TE polarized optical mode</w:t>
      </w:r>
      <w:r w:rsidR="00672E83">
        <w:t xml:space="preserve"> but </w:t>
      </w:r>
      <w:r w:rsidR="00672E83" w:rsidRPr="00331880">
        <w:t>have differe</w:t>
      </w:r>
      <w:r w:rsidR="00672E83">
        <w:t>nt widths (480 and 580 nm)</w:t>
      </w:r>
      <w:r w:rsidR="00331880" w:rsidRPr="00331880">
        <w:t>; the extent of their evanescent fields is</w:t>
      </w:r>
      <w:r w:rsidR="00672E83">
        <w:t xml:space="preserve"> thus</w:t>
      </w:r>
      <w:r w:rsidR="00331880" w:rsidRPr="00331880">
        <w:t xml:space="preserve"> very different providing different depth-resolution of the interaction with a molecular layer on the sensor surface. By combining the optical shift from these two measurements, we demonstrate unambiguous quantification of the thickness and the refractive index of a molecular layer assembled on the waveguide. The precision of the technique is 0.05 nm and 0.005 RIU in the molecular layer thickness and refractive index, respectively. We demonstrate the cascaded </w:t>
      </w:r>
      <w:r w:rsidR="00E9684B">
        <w:t xml:space="preserve">electrophotonic </w:t>
      </w:r>
      <w:r w:rsidR="00331880" w:rsidRPr="00331880">
        <w:t xml:space="preserve">ring resonator system using </w:t>
      </w:r>
      <w:r w:rsidR="00850593">
        <w:t>two</w:t>
      </w:r>
      <w:r w:rsidR="00331880" w:rsidRPr="00331880">
        <w:t xml:space="preserve"> exemplar systems, namely a) physisorption of a bovine serum albumin monolayer</w:t>
      </w:r>
      <w:r w:rsidR="00B538A8">
        <w:t xml:space="preserve"> and </w:t>
      </w:r>
      <w:r w:rsidR="00850593">
        <w:t>b</w:t>
      </w:r>
      <w:r w:rsidR="00B538A8">
        <w:t xml:space="preserve">) an </w:t>
      </w:r>
      <w:r w:rsidR="00331880" w:rsidRPr="00331880">
        <w:t xml:space="preserve">electroactive DNA oligonucleotide hairpin, where we uniquely show the ability to monitor electrochemical activity and conformational change with the same device. This novel sensor geometry provides a new approach for monitoring the conformation and conformational changes in an inexpensive and </w:t>
      </w:r>
      <w:r w:rsidR="009F2C8B" w:rsidRPr="00331880">
        <w:t>miniaturi</w:t>
      </w:r>
      <w:r w:rsidR="009F2C8B">
        <w:t>z</w:t>
      </w:r>
      <w:r w:rsidR="009F2C8B" w:rsidRPr="00331880">
        <w:t xml:space="preserve">ed </w:t>
      </w:r>
      <w:r w:rsidR="00331880" w:rsidRPr="00331880">
        <w:t>platform that is amenable to multiplexed, high-throughput measurements.</w:t>
      </w:r>
    </w:p>
    <w:p w14:paraId="6C01A29F" w14:textId="77777777" w:rsidR="00AB7C50" w:rsidRDefault="00AB7C50" w:rsidP="004D5850">
      <w:pPr>
        <w:pStyle w:val="TAMainText"/>
        <w:sectPr w:rsidR="00AB7C50" w:rsidSect="004E35E0">
          <w:footerReference w:type="even" r:id="rId8"/>
          <w:footerReference w:type="default" r:id="rId9"/>
          <w:type w:val="continuous"/>
          <w:pgSz w:w="12240" w:h="15840"/>
          <w:pgMar w:top="720" w:right="1094" w:bottom="720" w:left="1094" w:header="720" w:footer="720" w:gutter="0"/>
          <w:cols w:space="461"/>
        </w:sectPr>
      </w:pPr>
    </w:p>
    <w:p w14:paraId="566DCE16" w14:textId="2E1F0C28" w:rsidR="00B9768F" w:rsidRPr="00EE2C87" w:rsidRDefault="00B9768F" w:rsidP="00D77968">
      <w:pPr>
        <w:pStyle w:val="TDAckTitle"/>
        <w:rPr>
          <w:b w:val="0"/>
        </w:rPr>
      </w:pPr>
      <w:r>
        <w:t xml:space="preserve">Keywords: </w:t>
      </w:r>
      <w:r>
        <w:rPr>
          <w:b w:val="0"/>
        </w:rPr>
        <w:t>photonic biosensing, cascaded ring resonators</w:t>
      </w:r>
      <w:r w:rsidR="00D77968">
        <w:rPr>
          <w:b w:val="0"/>
        </w:rPr>
        <w:t xml:space="preserve">, electrophotonic biosensor, </w:t>
      </w:r>
      <w:r w:rsidR="00D77968" w:rsidRPr="00D77968">
        <w:rPr>
          <w:b w:val="0"/>
        </w:rPr>
        <w:t>thickness and refractive index extraction</w:t>
      </w:r>
    </w:p>
    <w:p w14:paraId="49B11054" w14:textId="6A001C36" w:rsidR="00307A9D" w:rsidRDefault="00307A9D" w:rsidP="004D5850">
      <w:pPr>
        <w:pStyle w:val="TAMainText"/>
        <w:sectPr w:rsidR="00307A9D" w:rsidSect="00307A9D">
          <w:type w:val="continuous"/>
          <w:pgSz w:w="12240" w:h="15840"/>
          <w:pgMar w:top="720" w:right="1094" w:bottom="720" w:left="1094" w:header="720" w:footer="720" w:gutter="0"/>
          <w:cols w:space="461"/>
        </w:sectPr>
      </w:pPr>
    </w:p>
    <w:p w14:paraId="4F5557E4" w14:textId="719E993D" w:rsidR="002E52AC" w:rsidRPr="002E52AC" w:rsidRDefault="00307A9D" w:rsidP="004D5850">
      <w:pPr>
        <w:pStyle w:val="TAMainText"/>
      </w:pPr>
      <w:r>
        <w:br w:type="page"/>
      </w:r>
      <w:r w:rsidR="002E52AC">
        <w:lastRenderedPageBreak/>
        <w:t xml:space="preserve"> </w:t>
      </w:r>
      <w:r w:rsidR="002E52AC" w:rsidRPr="002E52AC">
        <w:t>The three-dimensional fold or conformation of a protein determines its function. Many important degenerative conditions, including Alzheimer’s disease, result from protein mis-folding. For disease diagnosis it is therefore important to not only measure the presence of a specific protein, but also its conf</w:t>
      </w:r>
      <w:r w:rsidR="003E04D3">
        <w:t>o</w:t>
      </w:r>
      <w:r w:rsidR="002E52AC" w:rsidRPr="002E52AC">
        <w:t xml:space="preserve">rmation. Furthermore, conformation is not always static. Many biological and molecular processes, for example the entry of a pathogen such as HIV into a target </w:t>
      </w:r>
      <w:r w:rsidR="000B59E5" w:rsidRPr="002E52AC">
        <w:t>cell</w:t>
      </w:r>
      <w:r w:rsidR="000B59E5">
        <w:t xml:space="preserve"> (</w:t>
      </w:r>
      <w:r w:rsidR="00AA4E0D">
        <w:t>1)</w:t>
      </w:r>
      <w:r w:rsidR="002E52AC" w:rsidRPr="002E52AC">
        <w:t xml:space="preserve">, critically depend on specific conformational changes. A number of biophysical techniques have been developed to study protein conformation and conformational change including X-ray </w:t>
      </w:r>
      <w:r w:rsidR="000B59E5" w:rsidRPr="002E52AC">
        <w:t>crystallography</w:t>
      </w:r>
      <w:r w:rsidR="000B59E5">
        <w:t xml:space="preserve"> (</w:t>
      </w:r>
      <w:r w:rsidR="002E52AC" w:rsidRPr="00EE2C87">
        <w:t>2</w:t>
      </w:r>
      <w:r w:rsidR="00AA4E0D">
        <w:t>)</w:t>
      </w:r>
      <w:r w:rsidR="002E52AC" w:rsidRPr="002E52AC">
        <w:t xml:space="preserve">, neutron </w:t>
      </w:r>
      <w:r w:rsidR="000B59E5" w:rsidRPr="002E52AC">
        <w:t>reflectometry</w:t>
      </w:r>
      <w:r w:rsidR="000B59E5">
        <w:t xml:space="preserve"> (</w:t>
      </w:r>
      <w:r w:rsidR="002E52AC" w:rsidRPr="00EE2C87">
        <w:t>3</w:t>
      </w:r>
      <w:r w:rsidR="000575D0">
        <w:t>),(</w:t>
      </w:r>
      <w:r w:rsidR="002E52AC" w:rsidRPr="00EE2C87">
        <w:t>4</w:t>
      </w:r>
      <w:r w:rsidR="00AA4E0D">
        <w:t>),</w:t>
      </w:r>
      <w:r w:rsidR="002E52AC" w:rsidRPr="002E52AC">
        <w:t xml:space="preserve"> and nuclear magnetic resonance (NMR)</w:t>
      </w:r>
      <w:r w:rsidR="00AA4E0D">
        <w:t>(5)</w:t>
      </w:r>
      <w:r w:rsidR="002E52AC" w:rsidRPr="002E52AC">
        <w:t>. While X-ray crystallography offers very high spatial resolution, the need for a crystallized sample limits the ability to probe conformational changes as they occur in real-time. Both neutron reflectometry and NMR are capable of studying conformational dynamics, but they are not suitable for high throughput screening and require bulky and expensive equipment.</w:t>
      </w:r>
    </w:p>
    <w:p w14:paraId="1819AFDB" w14:textId="2C699405" w:rsidR="002E52AC" w:rsidRPr="002E52AC" w:rsidRDefault="002E52AC" w:rsidP="004D5850">
      <w:pPr>
        <w:pStyle w:val="TAMainText"/>
      </w:pPr>
      <w:r w:rsidRPr="002E52AC">
        <w:t xml:space="preserve">Label-free photonic biosensors have emerged as a promising, low-cost diagnostic platform for the specific and sensitive detection of protein biomarkers.  The sensitivity of these techniques arises from the overlap of the evanescent optical field with a biological layer immobilized on the sensor surface. Changes in the density, D, and/or the thickness, </w:t>
      </w:r>
      <w:r w:rsidRPr="002E52AC">
        <w:rPr>
          <w:i/>
        </w:rPr>
        <w:t>t</w:t>
      </w:r>
      <w:r w:rsidRPr="002E52AC">
        <w:t xml:space="preserve">, of the layer are reflected in a change in the averaged refractive index of the layer, </w:t>
      </w:r>
      <w:r w:rsidRPr="002E52AC">
        <w:rPr>
          <w:i/>
        </w:rPr>
        <w:t>n</w:t>
      </w:r>
      <w:r w:rsidRPr="002E52AC">
        <w:t>, which is translated directly into the effective refractive index,</w:t>
      </w:r>
      <w:r>
        <w:t xml:space="preserve"> </w:t>
      </w:r>
      <w:r>
        <w:rPr>
          <w:i/>
        </w:rPr>
        <w:t>n</w:t>
      </w:r>
      <w:r>
        <w:rPr>
          <w:i/>
          <w:vertAlign w:val="subscript"/>
        </w:rPr>
        <w:t>eff</w:t>
      </w:r>
      <w:r w:rsidRPr="002E52AC">
        <w:t xml:space="preserve">, of the optical mode. In conventional, single mode evanescent wave sensors, it is not possible to disentangle changes in </w:t>
      </w:r>
      <w:r w:rsidRPr="00EE2C87">
        <w:rPr>
          <w:i/>
        </w:rPr>
        <w:t>n</w:t>
      </w:r>
      <w:r w:rsidRPr="002E52AC">
        <w:t xml:space="preserve"> and </w:t>
      </w:r>
      <w:r w:rsidRPr="00EE2C87">
        <w:rPr>
          <w:i/>
        </w:rPr>
        <w:t>t</w:t>
      </w:r>
      <w:r w:rsidRPr="002E52AC">
        <w:t xml:space="preserve"> from the single measurement of </w:t>
      </w:r>
      <w:r>
        <w:rPr>
          <w:i/>
        </w:rPr>
        <w:t>n</w:t>
      </w:r>
      <w:r>
        <w:rPr>
          <w:i/>
          <w:vertAlign w:val="subscript"/>
        </w:rPr>
        <w:t>eff</w:t>
      </w:r>
      <w:r w:rsidRPr="002E52AC">
        <w:t xml:space="preserve"> (a given change in </w:t>
      </w:r>
      <w:r>
        <w:rPr>
          <w:i/>
        </w:rPr>
        <w:t>n</w:t>
      </w:r>
      <w:r>
        <w:rPr>
          <w:i/>
          <w:vertAlign w:val="subscript"/>
        </w:rPr>
        <w:t>eff</w:t>
      </w:r>
      <w:r w:rsidRPr="002E52AC">
        <w:t xml:space="preserve"> could be either due to a thick layer of low average refractive index, or a thin layer with high refractive index). Recently, dual-</w:t>
      </w:r>
      <w:r w:rsidR="009F2C8B" w:rsidRPr="002E52AC">
        <w:t>polari</w:t>
      </w:r>
      <w:r w:rsidR="009F2C8B">
        <w:t>z</w:t>
      </w:r>
      <w:r w:rsidR="009F2C8B" w:rsidRPr="002E52AC">
        <w:t xml:space="preserve">ation </w:t>
      </w:r>
      <w:r w:rsidRPr="002E52AC">
        <w:t>interferometry (DPI)</w:t>
      </w:r>
      <w:r w:rsidR="00AA4E0D">
        <w:t>(6)</w:t>
      </w:r>
      <w:r w:rsidR="00AA4E0D" w:rsidRPr="002E52AC">
        <w:t xml:space="preserve"> </w:t>
      </w:r>
      <w:r w:rsidRPr="002E52AC">
        <w:t>and dual-</w:t>
      </w:r>
      <w:r w:rsidR="009F2C8B" w:rsidRPr="002E52AC">
        <w:t>polari</w:t>
      </w:r>
      <w:r w:rsidR="009F2C8B">
        <w:t>z</w:t>
      </w:r>
      <w:r w:rsidR="009F2C8B" w:rsidRPr="002E52AC">
        <w:t xml:space="preserve">ation </w:t>
      </w:r>
      <w:r w:rsidRPr="002E52AC">
        <w:t>silicon microring analysis</w:t>
      </w:r>
      <w:r w:rsidR="00AA4E0D">
        <w:t>(7)</w:t>
      </w:r>
      <w:r w:rsidR="00AA4E0D" w:rsidRPr="002E52AC">
        <w:t xml:space="preserve"> </w:t>
      </w:r>
      <w:r w:rsidRPr="002E52AC">
        <w:t xml:space="preserve">have been shown to enable deconvolution of </w:t>
      </w:r>
      <w:r w:rsidRPr="002E52AC">
        <w:rPr>
          <w:i/>
        </w:rPr>
        <w:t>n</w:t>
      </w:r>
      <w:r w:rsidRPr="002E52AC">
        <w:t xml:space="preserve"> and </w:t>
      </w:r>
      <w:r w:rsidRPr="002E52AC">
        <w:rPr>
          <w:i/>
        </w:rPr>
        <w:t>t</w:t>
      </w:r>
      <w:r w:rsidRPr="002E52AC">
        <w:t xml:space="preserve"> enabling quantification of conformational changes in surface-bound proteins. Here, two uncorrelated measurements of the molecular layer are performed (using the orthogonally polarized transverse electric (TE) and transverse magnetic (TM) fundamental modes). These modes have a different interaction with the surface-bound molecules due to differences in the lateral extent of their evanescent tails. Each mode thus experiences a different variation in </w:t>
      </w:r>
      <w:r>
        <w:rPr>
          <w:i/>
        </w:rPr>
        <w:t>n</w:t>
      </w:r>
      <w:r>
        <w:rPr>
          <w:i/>
          <w:vertAlign w:val="subscript"/>
        </w:rPr>
        <w:t>eff</w:t>
      </w:r>
      <w:r w:rsidRPr="002E52AC">
        <w:t>.</w:t>
      </w:r>
      <w:r>
        <w:t xml:space="preserve"> </w:t>
      </w:r>
      <w:r w:rsidRPr="002E52AC">
        <w:t xml:space="preserve">The change in </w:t>
      </w:r>
      <w:r>
        <w:rPr>
          <w:i/>
        </w:rPr>
        <w:t>n</w:t>
      </w:r>
      <w:r>
        <w:rPr>
          <w:i/>
          <w:vertAlign w:val="subscript"/>
        </w:rPr>
        <w:t>eff</w:t>
      </w:r>
      <w:r w:rsidRPr="002E52AC">
        <w:t xml:space="preserve"> can be modelled for each optical mode through a system of equations which can then be individually resolved to unambiguously determine both </w:t>
      </w:r>
      <w:r w:rsidRPr="000B59E5">
        <w:rPr>
          <w:i/>
        </w:rPr>
        <w:t>n</w:t>
      </w:r>
      <w:r w:rsidRPr="002E52AC">
        <w:t xml:space="preserve"> and </w:t>
      </w:r>
      <w:r w:rsidRPr="000B59E5">
        <w:rPr>
          <w:i/>
        </w:rPr>
        <w:t>t</w:t>
      </w:r>
      <w:r w:rsidR="000B59E5">
        <w:rPr>
          <w:i/>
        </w:rPr>
        <w:t xml:space="preserve"> </w:t>
      </w:r>
      <w:r w:rsidR="00AA4E0D">
        <w:t>(</w:t>
      </w:r>
      <w:r w:rsidRPr="00EE2C87">
        <w:t>6</w:t>
      </w:r>
      <w:r w:rsidR="000575D0">
        <w:t>)</w:t>
      </w:r>
      <w:r w:rsidR="000B59E5">
        <w:t>,</w:t>
      </w:r>
      <w:r w:rsidR="000575D0">
        <w:t>(</w:t>
      </w:r>
      <w:r w:rsidR="00AA4E0D">
        <w:t>7)</w:t>
      </w:r>
      <w:r w:rsidRPr="002E52AC">
        <w:t xml:space="preserve"> Nevertheless, as TE and TM modes have different orientations, they sample different molecular directions, which adds uncertainty to the calculated layer properties</w:t>
      </w:r>
      <w:r w:rsidR="00B538A8">
        <w:t xml:space="preserve"> especially when trying to determine conformation</w:t>
      </w:r>
      <w:r w:rsidRPr="002E52AC">
        <w:t xml:space="preserve">. Furthermore, these techniques require the sensor to be excited with both TE and TM </w:t>
      </w:r>
      <w:r w:rsidR="009F2C8B" w:rsidRPr="002E52AC">
        <w:t>polari</w:t>
      </w:r>
      <w:r w:rsidR="009F2C8B">
        <w:t>z</w:t>
      </w:r>
      <w:r w:rsidR="009F2C8B" w:rsidRPr="002E52AC">
        <w:t>ations</w:t>
      </w:r>
      <w:r w:rsidRPr="002E52AC">
        <w:t xml:space="preserve">, adding complexity to the design and operation of the sensor. The TE and TM modes are also fixed in a given system, which limits the available degrees of freedom for designing and maximising the light-matter interaction. </w:t>
      </w:r>
    </w:p>
    <w:p w14:paraId="2C7C18DC" w14:textId="6BFC70EE" w:rsidR="002E52AC" w:rsidRDefault="002E52AC" w:rsidP="004D5850">
      <w:pPr>
        <w:pStyle w:val="TAMainText"/>
      </w:pPr>
      <w:r w:rsidRPr="002E52AC">
        <w:t xml:space="preserve">In this letter, we present an innovative label-free biosensor that is capable of quantifying conformation in biological and molecular layers with sub-nanometre resolution and in real time, using only a single </w:t>
      </w:r>
      <w:r w:rsidR="009F2C8B" w:rsidRPr="002E52AC">
        <w:t>polari</w:t>
      </w:r>
      <w:r w:rsidR="009F2C8B">
        <w:t>z</w:t>
      </w:r>
      <w:r w:rsidR="009F2C8B" w:rsidRPr="002E52AC">
        <w:t>ation</w:t>
      </w:r>
      <w:r w:rsidRPr="002E52AC">
        <w:t>. As in dual-</w:t>
      </w:r>
      <w:r w:rsidR="009F2C8B" w:rsidRPr="002E52AC">
        <w:t>polari</w:t>
      </w:r>
      <w:r w:rsidR="009F2C8B">
        <w:t>z</w:t>
      </w:r>
      <w:r w:rsidR="009F2C8B" w:rsidRPr="002E52AC">
        <w:t xml:space="preserve">ation </w:t>
      </w:r>
      <w:r w:rsidRPr="002E52AC">
        <w:t xml:space="preserve">silicon microring analysis, the technology is based on silicon photonic ring resonator </w:t>
      </w:r>
      <w:r w:rsidR="000B59E5" w:rsidRPr="002E52AC">
        <w:t>biosensors</w:t>
      </w:r>
      <w:r w:rsidR="000B59E5">
        <w:t xml:space="preserve"> (</w:t>
      </w:r>
      <w:r w:rsidR="00AA4E0D">
        <w:t>8)</w:t>
      </w:r>
      <w:r>
        <w:t>,</w:t>
      </w:r>
      <w:r w:rsidRPr="002E52AC">
        <w:t xml:space="preserve"> but we now use a cascade of two separate rings operating in the same </w:t>
      </w:r>
      <w:r w:rsidR="009F2C8B" w:rsidRPr="002E52AC">
        <w:t>polari</w:t>
      </w:r>
      <w:r w:rsidR="009F2C8B">
        <w:t>z</w:t>
      </w:r>
      <w:r w:rsidR="009F2C8B" w:rsidRPr="002E52AC">
        <w:t xml:space="preserve">ation </w:t>
      </w:r>
      <w:r w:rsidRPr="002E52AC">
        <w:t>(see Fig</w:t>
      </w:r>
      <w:r>
        <w:t>ure</w:t>
      </w:r>
      <w:r w:rsidRPr="002E52AC">
        <w:t xml:space="preserve"> 1). The rings are made of waveguides of different widths to control the evanescent tails of the respective resonant modes. The resonance wavelengths of each ring will therefore respond differently to a change in refractive index at the sensor surface which provides the required two-equation system to resolve both </w:t>
      </w:r>
      <w:r w:rsidRPr="002E52AC">
        <w:rPr>
          <w:i/>
        </w:rPr>
        <w:t>n</w:t>
      </w:r>
      <w:r w:rsidRPr="002E52AC">
        <w:t xml:space="preserve"> and </w:t>
      </w:r>
      <w:r w:rsidRPr="002E52AC">
        <w:rPr>
          <w:i/>
        </w:rPr>
        <w:t>t</w:t>
      </w:r>
      <w:r w:rsidRPr="002E52AC">
        <w:t>.</w:t>
      </w:r>
      <w:r w:rsidR="00E1784C">
        <w:t xml:space="preserve"> Furthermore, by selectively doping the surface of the silicon substrate it is also possible to perform electrochemical </w:t>
      </w:r>
      <w:r w:rsidR="009F2C8B">
        <w:t xml:space="preserve">characterization </w:t>
      </w:r>
      <w:r w:rsidR="00E1784C">
        <w:t xml:space="preserve">of surface immobilized redox-active systems alongside photonic </w:t>
      </w:r>
      <w:r w:rsidR="000B59E5">
        <w:t>measurements (</w:t>
      </w:r>
      <w:r w:rsidR="00AA4E0D">
        <w:t>9</w:t>
      </w:r>
      <w:r w:rsidR="000B59E5">
        <w:t>). Here</w:t>
      </w:r>
      <w:r w:rsidR="00E1784C">
        <w:t xml:space="preserve"> we exploit this capability to fully characterize the conformation of an electroactive DNA hairpin. </w:t>
      </w:r>
    </w:p>
    <w:p w14:paraId="2FD28185" w14:textId="10FF1CA3" w:rsidR="002E52AC" w:rsidRDefault="002E52AC" w:rsidP="00183FAD">
      <w:pPr>
        <w:pStyle w:val="VAFigureCaption"/>
        <w:jc w:val="center"/>
      </w:pPr>
    </w:p>
    <w:p w14:paraId="39BF9DBD" w14:textId="33531200" w:rsidR="002E52AC" w:rsidRDefault="00183FAD" w:rsidP="00183FAD">
      <w:pPr>
        <w:pStyle w:val="VAFigureCaption"/>
      </w:pPr>
      <w:r>
        <w:rPr>
          <w:b/>
        </w:rPr>
        <w:t>Figure</w:t>
      </w:r>
      <w:r w:rsidRPr="00183FAD">
        <w:t xml:space="preserve"> 1</w:t>
      </w:r>
      <w:r>
        <w:rPr>
          <w:b/>
        </w:rPr>
        <w:t>.</w:t>
      </w:r>
      <w:r w:rsidRPr="00183FAD">
        <w:t xml:space="preserve"> The cascaded photonic ring resonator biosensor. (a) Two ring resonators with different cavity widths are cascaded along the same access waveguide. (b) Simulation of the electric field distribution of the optical mode for each of the ring resonators at the cross section of the waveguides</w:t>
      </w:r>
      <w:r w:rsidR="00F20DFA">
        <w:t xml:space="preserve"> (air cladding)</w:t>
      </w:r>
      <w:r w:rsidRPr="00183FAD">
        <w:t xml:space="preserve">. Two different waveguide widths (here 480 and 580 nm) are employed to control the overlap of the evanescent wave of each sensor with a molecular layer </w:t>
      </w:r>
      <w:r w:rsidR="009F2C8B" w:rsidRPr="00183FAD">
        <w:t>immobili</w:t>
      </w:r>
      <w:r w:rsidR="009F2C8B">
        <w:t>z</w:t>
      </w:r>
      <w:r w:rsidR="009F2C8B" w:rsidRPr="00183FAD">
        <w:t xml:space="preserve">ed </w:t>
      </w:r>
      <w:r w:rsidRPr="00183FAD">
        <w:t>on the sensor surface. The discontinuity of the electric field distribution at the boundary of each waveguide originates from the need to satisfy the continuity of the tangential component of the electric displacement field at the interface. The origin of the graph in X-direction refers to the centre of each waveguide.</w:t>
      </w:r>
    </w:p>
    <w:p w14:paraId="4D348127" w14:textId="77777777" w:rsidR="00C933CE" w:rsidRDefault="00C933CE" w:rsidP="004D5850">
      <w:pPr>
        <w:pStyle w:val="TAMainText"/>
      </w:pPr>
    </w:p>
    <w:p w14:paraId="59F8F788" w14:textId="77777777" w:rsidR="00C933CE" w:rsidRDefault="00C933CE" w:rsidP="004D5850">
      <w:pPr>
        <w:pStyle w:val="TAMainText"/>
      </w:pPr>
    </w:p>
    <w:p w14:paraId="38CDE376" w14:textId="724B9DFD" w:rsidR="007126DE" w:rsidRDefault="007126DE" w:rsidP="004D5850">
      <w:pPr>
        <w:pStyle w:val="TAMainText"/>
      </w:pPr>
      <w:r>
        <w:t>CASCADED CONFIGURATION</w:t>
      </w:r>
      <w:r w:rsidRPr="00140F0C" w:rsidDel="007126DE">
        <w:t xml:space="preserve"> </w:t>
      </w:r>
    </w:p>
    <w:p w14:paraId="05D8CE1C" w14:textId="2F075DF3" w:rsidR="002E52AC" w:rsidRPr="0015390E" w:rsidRDefault="00D04556" w:rsidP="004D5850">
      <w:pPr>
        <w:pStyle w:val="TAMainText"/>
      </w:pPr>
      <w:r>
        <w:t xml:space="preserve">DESIGN AND FABRICATION. </w:t>
      </w:r>
      <w:r w:rsidR="0015390E" w:rsidRPr="0015390E">
        <w:t xml:space="preserve">Ideally, the individual cavities in the cascaded ring resonator sensor should be designed to </w:t>
      </w:r>
      <w:r w:rsidR="00D87B3B" w:rsidRPr="0015390E">
        <w:t>maximi</w:t>
      </w:r>
      <w:r w:rsidR="00D87B3B">
        <w:t>z</w:t>
      </w:r>
      <w:r w:rsidR="00D87B3B" w:rsidRPr="0015390E">
        <w:t xml:space="preserve">e </w:t>
      </w:r>
      <w:r w:rsidR="0015390E" w:rsidRPr="0015390E">
        <w:t xml:space="preserve">the differences in evanescent fields in order to increase the orthogonality of the two-equation system. This can be achieved using resonators with a large difference in width. However, there are two important limitations to consider. Firstly, guidance of second order modes should be avoided as they decrease the Q-factor of the cavity, and thus limit </w:t>
      </w:r>
      <w:r w:rsidR="00B538A8">
        <w:t xml:space="preserve">the </w:t>
      </w:r>
      <w:r w:rsidR="0015390E" w:rsidRPr="0015390E">
        <w:t xml:space="preserve">detection sensitivity. This condition is satisfied using a cavity waveguide with a width of less than 586 nm for a </w:t>
      </w:r>
      <w:r w:rsidR="0015390E">
        <w:t xml:space="preserve">cavity length of around 200 </w:t>
      </w:r>
      <w:r w:rsidR="00AA4E0D">
        <w:t>µm</w:t>
      </w:r>
      <w:r w:rsidR="000B59E5">
        <w:t xml:space="preserve"> </w:t>
      </w:r>
      <w:r w:rsidR="00AA4E0D">
        <w:t>(10)</w:t>
      </w:r>
      <w:r w:rsidR="0015390E" w:rsidRPr="0015390E">
        <w:t>. Secondly, the propagation losses increase for ring widths smaller than 360 nm, again leading to a reductio</w:t>
      </w:r>
      <w:r w:rsidR="0015390E">
        <w:t xml:space="preserve">n in the Q-factor of the </w:t>
      </w:r>
      <w:r w:rsidR="00AA4E0D">
        <w:t>cavity</w:t>
      </w:r>
      <w:r w:rsidR="000B59E5">
        <w:t xml:space="preserve"> </w:t>
      </w:r>
      <w:r w:rsidR="00AA4E0D">
        <w:t>(8)</w:t>
      </w:r>
      <w:r w:rsidR="0015390E" w:rsidRPr="0015390E">
        <w:t>. We thus designed the cascaded ring resonator sensor with waveguide widths of 480 and 580 nm (Fig</w:t>
      </w:r>
      <w:r w:rsidR="0015390E">
        <w:t>ure</w:t>
      </w:r>
      <w:r w:rsidR="0015390E" w:rsidRPr="0015390E">
        <w:t xml:space="preserve"> 1) and with cavity lengths of approximately 200 µm and 210 µm</w:t>
      </w:r>
      <w:r w:rsidR="00B538A8">
        <w:t>,</w:t>
      </w:r>
      <w:r w:rsidR="0015390E" w:rsidRPr="0015390E">
        <w:t xml:space="preserve"> respectively. Different cavity lengths were employed to avoid overlap between coinciding resonances and to ease identification of the respective </w:t>
      </w:r>
      <w:r w:rsidR="0015390E" w:rsidRPr="0015390E">
        <w:lastRenderedPageBreak/>
        <w:t>resonance combs (Fig</w:t>
      </w:r>
      <w:r w:rsidR="0015390E">
        <w:t>ure</w:t>
      </w:r>
      <w:r w:rsidR="0015390E" w:rsidRPr="0015390E">
        <w:t xml:space="preserve"> 2 (a)). The penetration depth (distance over which the energy density of the mode decreases by a factor 1/e into a water cladding layer) was calculated to be approximately 80 nm and 49 nm for the 480 nm and 580 nm resonators</w:t>
      </w:r>
      <w:r w:rsidR="00F20DFA">
        <w:t xml:space="preserve"> (with an air cladding)</w:t>
      </w:r>
      <w:r w:rsidR="0015390E" w:rsidRPr="0015390E">
        <w:t>, respectively (Fig</w:t>
      </w:r>
      <w:r w:rsidR="0015390E">
        <w:t>ure</w:t>
      </w:r>
      <w:r w:rsidR="0015390E" w:rsidRPr="0015390E">
        <w:t xml:space="preserve"> 1 (b)) (see supp</w:t>
      </w:r>
      <w:r w:rsidR="0058318B">
        <w:t>orting</w:t>
      </w:r>
      <w:r w:rsidR="0015390E" w:rsidRPr="0015390E">
        <w:t xml:space="preserve"> information (SI)).</w:t>
      </w:r>
    </w:p>
    <w:p w14:paraId="6967B14E" w14:textId="77777777" w:rsidR="002E52AC" w:rsidRDefault="002E52AC" w:rsidP="000E75E3">
      <w:pPr>
        <w:pStyle w:val="VDTableTitle"/>
      </w:pPr>
    </w:p>
    <w:p w14:paraId="4A09F2D3" w14:textId="14CC4784" w:rsidR="002E52AC" w:rsidRDefault="002E52AC" w:rsidP="00D04556">
      <w:pPr>
        <w:pStyle w:val="VDTableTitle"/>
        <w:jc w:val="center"/>
      </w:pPr>
    </w:p>
    <w:p w14:paraId="7AB55B4C" w14:textId="77777777" w:rsidR="00D04556" w:rsidRPr="00D04556" w:rsidRDefault="00D04556" w:rsidP="00D04556">
      <w:pPr>
        <w:pStyle w:val="VAFigureCaption"/>
      </w:pPr>
      <w:r>
        <w:rPr>
          <w:b/>
        </w:rPr>
        <w:t>Figure</w:t>
      </w:r>
      <w:r w:rsidRPr="00183FAD">
        <w:t xml:space="preserve"> </w:t>
      </w:r>
      <w:r>
        <w:t>2</w:t>
      </w:r>
      <w:r>
        <w:rPr>
          <w:b/>
        </w:rPr>
        <w:t>.</w:t>
      </w:r>
      <w:r w:rsidRPr="00183FAD">
        <w:t xml:space="preserve"> </w:t>
      </w:r>
      <w:r w:rsidRPr="00D04556">
        <w:t>Performance of the cascaded ring resonator configuration. (a) Transmission spectrum of the cascaded ring configuration (air cladding). Resonance peaks can be identified via their free spectral range (FSR), which are 2.42 nm and 2.69 nm, for the 480 and 580 nm wide sensors, respectively. (b) Resonance wavelength shift of the cascaded ring configuration against changes in the bulk refractive index. Measurements were performed using a range of NaCl solutions of different molar concentration. Sensitivities of 65 nm/RIU and 43 nm/RIU are obtained, for the 480 and 580 nm wide sensors</w:t>
      </w:r>
      <w:r w:rsidR="00B538A8">
        <w:t>,</w:t>
      </w:r>
      <w:r w:rsidRPr="00D04556">
        <w:t xml:space="preserve"> respectively.</w:t>
      </w:r>
    </w:p>
    <w:p w14:paraId="1A7C59DD" w14:textId="48ABF896" w:rsidR="002E52AC" w:rsidRDefault="00D04556" w:rsidP="004D5850">
      <w:pPr>
        <w:pStyle w:val="TAMainText"/>
      </w:pPr>
      <w:r w:rsidRPr="00D04556">
        <w:t>The device was fabricated in silicon-on-insulator (SOI) wafer (220 nm silicon thickness on a 2 µm layer of buried oxide) (SOITEC, France) with a rib waveguide profile (30 nm slab thickness). Surface doped substrates (n-type, average doping density of 7.5 x 10</w:t>
      </w:r>
      <w:r w:rsidRPr="00D04556">
        <w:rPr>
          <w:vertAlign w:val="superscript"/>
        </w:rPr>
        <w:t>16</w:t>
      </w:r>
      <w:r w:rsidRPr="00D04556">
        <w:t xml:space="preserve"> cm</w:t>
      </w:r>
      <w:r w:rsidRPr="00D04556">
        <w:rPr>
          <w:vertAlign w:val="superscript"/>
        </w:rPr>
        <w:t>-3</w:t>
      </w:r>
      <w:r w:rsidRPr="00D04556">
        <w:t xml:space="preserve">) were used for the combined photonic and electrochemical measurement, as discussed </w:t>
      </w:r>
      <w:r>
        <w:t>below and in</w:t>
      </w:r>
      <w:r w:rsidR="000B59E5">
        <w:t xml:space="preserve"> </w:t>
      </w:r>
      <w:r w:rsidR="000575D0">
        <w:t>(9)</w:t>
      </w:r>
      <w:r w:rsidRPr="00D04556">
        <w:t>. The Q-factor, sensitivity, minimum resolvable optical shift and limit of detection (LOD) of each ring resonator is given in table 1, which are comparable to similar ring resona</w:t>
      </w:r>
      <w:r>
        <w:t xml:space="preserve">tors reported in the literature </w:t>
      </w:r>
      <w:r w:rsidR="00AA4E0D">
        <w:t>(</w:t>
      </w:r>
      <w:r w:rsidRPr="00EE2C87">
        <w:t>7</w:t>
      </w:r>
      <w:r w:rsidR="000575D0">
        <w:t>),(</w:t>
      </w:r>
      <w:r w:rsidR="00AA4E0D">
        <w:t>8</w:t>
      </w:r>
      <w:r w:rsidR="000575D0">
        <w:t>)</w:t>
      </w:r>
      <w:r w:rsidR="00AA4E0D">
        <w:t>,</w:t>
      </w:r>
      <w:r w:rsidR="000575D0">
        <w:t>(</w:t>
      </w:r>
      <w:r w:rsidR="008C4985" w:rsidRPr="00EE2C87">
        <w:t>9</w:t>
      </w:r>
      <w:r w:rsidR="00AA4E0D">
        <w:t>)</w:t>
      </w:r>
      <w:r w:rsidRPr="00D04556">
        <w:t>).</w:t>
      </w:r>
    </w:p>
    <w:tbl>
      <w:tblPr>
        <w:tblStyle w:val="TableGrid"/>
        <w:tblW w:w="4743" w:type="dxa"/>
        <w:tblLook w:val="04A0" w:firstRow="1" w:lastRow="0" w:firstColumn="1" w:lastColumn="0" w:noHBand="0" w:noVBand="1"/>
      </w:tblPr>
      <w:tblGrid>
        <w:gridCol w:w="1815"/>
        <w:gridCol w:w="1471"/>
        <w:gridCol w:w="1457"/>
      </w:tblGrid>
      <w:tr w:rsidR="006834E4" w:rsidRPr="00D04556" w14:paraId="1B87F150" w14:textId="77777777" w:rsidTr="005C1BAC">
        <w:tc>
          <w:tcPr>
            <w:tcW w:w="1815" w:type="dxa"/>
          </w:tcPr>
          <w:p w14:paraId="51126E20" w14:textId="77777777" w:rsidR="006834E4" w:rsidRPr="00672E83" w:rsidRDefault="006834E4" w:rsidP="005C1BAC">
            <w:pPr>
              <w:pStyle w:val="TCTableBody"/>
              <w:framePr w:hSpace="0" w:wrap="auto" w:vAnchor="margin" w:hAnchor="text" w:yAlign="inline"/>
            </w:pPr>
            <w:r w:rsidRPr="00672E83">
              <w:t>Waveguide width</w:t>
            </w:r>
          </w:p>
        </w:tc>
        <w:tc>
          <w:tcPr>
            <w:tcW w:w="1471" w:type="dxa"/>
          </w:tcPr>
          <w:p w14:paraId="4B17A042" w14:textId="77777777" w:rsidR="006834E4" w:rsidRPr="004C7053" w:rsidRDefault="006834E4" w:rsidP="005C1BAC">
            <w:pPr>
              <w:pStyle w:val="TCTableBody"/>
              <w:framePr w:hSpace="0" w:wrap="auto" w:vAnchor="margin" w:hAnchor="text" w:yAlign="inline"/>
            </w:pPr>
            <w:r w:rsidRPr="004C7053">
              <w:t>480 nm</w:t>
            </w:r>
          </w:p>
        </w:tc>
        <w:tc>
          <w:tcPr>
            <w:tcW w:w="1457" w:type="dxa"/>
          </w:tcPr>
          <w:p w14:paraId="646BEDA0" w14:textId="77777777" w:rsidR="006834E4" w:rsidRPr="004C7053" w:rsidRDefault="006834E4" w:rsidP="005C1BAC">
            <w:pPr>
              <w:pStyle w:val="TCTableBody"/>
              <w:framePr w:hSpace="0" w:wrap="auto" w:vAnchor="margin" w:hAnchor="text" w:yAlign="inline"/>
            </w:pPr>
            <w:r w:rsidRPr="004C7053">
              <w:t>580 nm</w:t>
            </w:r>
          </w:p>
        </w:tc>
      </w:tr>
      <w:tr w:rsidR="006834E4" w:rsidRPr="00D04556" w14:paraId="0D74F0C1" w14:textId="77777777" w:rsidTr="005C1BAC">
        <w:tc>
          <w:tcPr>
            <w:tcW w:w="1815" w:type="dxa"/>
          </w:tcPr>
          <w:p w14:paraId="3616CC23" w14:textId="77777777" w:rsidR="00B91ACD" w:rsidRDefault="006834E4" w:rsidP="005C1BAC">
            <w:pPr>
              <w:pStyle w:val="TCTableBody"/>
              <w:framePr w:hSpace="0" w:wrap="auto" w:vAnchor="margin" w:hAnchor="text" w:yAlign="inline"/>
            </w:pPr>
            <w:r w:rsidRPr="00672E83">
              <w:t>Penetration depth</w:t>
            </w:r>
          </w:p>
          <w:p w14:paraId="494149E7" w14:textId="5A277094" w:rsidR="006834E4" w:rsidRPr="00672E83" w:rsidRDefault="00B91ACD" w:rsidP="005C1BAC">
            <w:pPr>
              <w:pStyle w:val="TCTableBody"/>
              <w:framePr w:hSpace="0" w:wrap="auto" w:vAnchor="margin" w:hAnchor="text" w:yAlign="inline"/>
            </w:pPr>
            <w:r>
              <w:t>(air cladding)</w:t>
            </w:r>
          </w:p>
        </w:tc>
        <w:tc>
          <w:tcPr>
            <w:tcW w:w="1471" w:type="dxa"/>
          </w:tcPr>
          <w:p w14:paraId="68BCF377" w14:textId="77777777" w:rsidR="006834E4" w:rsidRPr="00B91ACD" w:rsidRDefault="006834E4" w:rsidP="005C1BAC">
            <w:pPr>
              <w:pStyle w:val="TCTableBody"/>
              <w:framePr w:hSpace="0" w:wrap="auto" w:vAnchor="margin" w:hAnchor="text" w:yAlign="inline"/>
              <w:rPr>
                <w:b w:val="0"/>
              </w:rPr>
            </w:pPr>
            <w:r w:rsidRPr="00B91ACD">
              <w:rPr>
                <w:b w:val="0"/>
              </w:rPr>
              <w:t>80 nm</w:t>
            </w:r>
          </w:p>
        </w:tc>
        <w:tc>
          <w:tcPr>
            <w:tcW w:w="1457" w:type="dxa"/>
          </w:tcPr>
          <w:p w14:paraId="33D50030" w14:textId="77777777" w:rsidR="006834E4" w:rsidRPr="00B91ACD" w:rsidRDefault="006834E4" w:rsidP="005C1BAC">
            <w:pPr>
              <w:pStyle w:val="TCTableBody"/>
              <w:framePr w:hSpace="0" w:wrap="auto" w:vAnchor="margin" w:hAnchor="text" w:yAlign="inline"/>
              <w:rPr>
                <w:b w:val="0"/>
              </w:rPr>
            </w:pPr>
            <w:r w:rsidRPr="00B91ACD">
              <w:rPr>
                <w:b w:val="0"/>
              </w:rPr>
              <w:t>49 nm</w:t>
            </w:r>
          </w:p>
        </w:tc>
      </w:tr>
      <w:tr w:rsidR="006834E4" w:rsidRPr="00D04556" w14:paraId="3E62440A" w14:textId="77777777" w:rsidTr="005C1BAC">
        <w:tc>
          <w:tcPr>
            <w:tcW w:w="1815" w:type="dxa"/>
          </w:tcPr>
          <w:p w14:paraId="5A44E23F" w14:textId="77777777" w:rsidR="006834E4" w:rsidRPr="00672E83" w:rsidRDefault="006834E4" w:rsidP="005C1BAC">
            <w:pPr>
              <w:pStyle w:val="TCTableBody"/>
              <w:framePr w:hSpace="0" w:wrap="auto" w:vAnchor="margin" w:hAnchor="text" w:yAlign="inline"/>
            </w:pPr>
            <w:r w:rsidRPr="00672E83">
              <w:t xml:space="preserve">Q-factor </w:t>
            </w:r>
          </w:p>
        </w:tc>
        <w:tc>
          <w:tcPr>
            <w:tcW w:w="1471" w:type="dxa"/>
          </w:tcPr>
          <w:p w14:paraId="1FA86554" w14:textId="77777777" w:rsidR="006834E4" w:rsidRPr="00B91ACD" w:rsidRDefault="006834E4" w:rsidP="005C1BAC">
            <w:pPr>
              <w:pStyle w:val="TCTableBody"/>
              <w:framePr w:hSpace="0" w:wrap="auto" w:vAnchor="margin" w:hAnchor="text" w:yAlign="inline"/>
              <w:rPr>
                <w:b w:val="0"/>
              </w:rPr>
            </w:pPr>
            <w:r w:rsidRPr="00B91ACD">
              <w:rPr>
                <w:b w:val="0"/>
              </w:rPr>
              <w:t>50,000</w:t>
            </w:r>
          </w:p>
        </w:tc>
        <w:tc>
          <w:tcPr>
            <w:tcW w:w="1457" w:type="dxa"/>
          </w:tcPr>
          <w:p w14:paraId="1A440436" w14:textId="77777777" w:rsidR="006834E4" w:rsidRPr="00B91ACD" w:rsidRDefault="006834E4" w:rsidP="005C1BAC">
            <w:pPr>
              <w:pStyle w:val="TCTableBody"/>
              <w:framePr w:hSpace="0" w:wrap="auto" w:vAnchor="margin" w:hAnchor="text" w:yAlign="inline"/>
              <w:rPr>
                <w:b w:val="0"/>
              </w:rPr>
            </w:pPr>
            <w:r w:rsidRPr="00B91ACD">
              <w:rPr>
                <w:b w:val="0"/>
              </w:rPr>
              <w:t>40,000</w:t>
            </w:r>
          </w:p>
        </w:tc>
      </w:tr>
      <w:tr w:rsidR="006834E4" w:rsidRPr="00D04556" w14:paraId="7A63FFA4" w14:textId="77777777" w:rsidTr="005C1BAC">
        <w:tc>
          <w:tcPr>
            <w:tcW w:w="1815" w:type="dxa"/>
          </w:tcPr>
          <w:p w14:paraId="5AD904DB" w14:textId="77777777" w:rsidR="006834E4" w:rsidRPr="00672E83" w:rsidRDefault="006834E4" w:rsidP="005C1BAC">
            <w:pPr>
              <w:pStyle w:val="TCTableBody"/>
              <w:framePr w:hSpace="0" w:wrap="auto" w:vAnchor="margin" w:hAnchor="text" w:yAlign="inline"/>
            </w:pPr>
            <w:r w:rsidRPr="00672E83">
              <w:t>Cavity length</w:t>
            </w:r>
          </w:p>
        </w:tc>
        <w:tc>
          <w:tcPr>
            <w:tcW w:w="1471" w:type="dxa"/>
          </w:tcPr>
          <w:p w14:paraId="529C1B80" w14:textId="77777777" w:rsidR="006834E4" w:rsidRPr="00B91ACD" w:rsidRDefault="006834E4" w:rsidP="005C1BAC">
            <w:pPr>
              <w:pStyle w:val="TCTableBody"/>
              <w:framePr w:hSpace="0" w:wrap="auto" w:vAnchor="margin" w:hAnchor="text" w:yAlign="inline"/>
              <w:rPr>
                <w:b w:val="0"/>
              </w:rPr>
            </w:pPr>
            <w:r w:rsidRPr="00B91ACD">
              <w:rPr>
                <w:b w:val="0"/>
              </w:rPr>
              <w:t>≈ 200 µm</w:t>
            </w:r>
          </w:p>
        </w:tc>
        <w:tc>
          <w:tcPr>
            <w:tcW w:w="1457" w:type="dxa"/>
          </w:tcPr>
          <w:p w14:paraId="49D7E474" w14:textId="77777777" w:rsidR="006834E4" w:rsidRPr="00B91ACD" w:rsidRDefault="006834E4" w:rsidP="005C1BAC">
            <w:pPr>
              <w:pStyle w:val="TCTableBody"/>
              <w:framePr w:hSpace="0" w:wrap="auto" w:vAnchor="margin" w:hAnchor="text" w:yAlign="inline"/>
              <w:rPr>
                <w:b w:val="0"/>
              </w:rPr>
            </w:pPr>
            <w:r w:rsidRPr="00B91ACD">
              <w:rPr>
                <w:b w:val="0"/>
              </w:rPr>
              <w:t>≈ 210 µm</w:t>
            </w:r>
          </w:p>
        </w:tc>
      </w:tr>
      <w:tr w:rsidR="006834E4" w:rsidRPr="00D04556" w14:paraId="2E5BF12D" w14:textId="77777777" w:rsidTr="005C1BAC">
        <w:tc>
          <w:tcPr>
            <w:tcW w:w="1815" w:type="dxa"/>
          </w:tcPr>
          <w:p w14:paraId="69533E0C" w14:textId="77777777" w:rsidR="006834E4" w:rsidRPr="00672E83" w:rsidRDefault="006834E4" w:rsidP="005C1BAC">
            <w:pPr>
              <w:pStyle w:val="TCTableBody"/>
              <w:framePr w:hSpace="0" w:wrap="auto" w:vAnchor="margin" w:hAnchor="text" w:yAlign="inline"/>
            </w:pPr>
            <w:r w:rsidRPr="00672E83">
              <w:t>FSR</w:t>
            </w:r>
          </w:p>
        </w:tc>
        <w:tc>
          <w:tcPr>
            <w:tcW w:w="1471" w:type="dxa"/>
          </w:tcPr>
          <w:p w14:paraId="39803BC9" w14:textId="77777777" w:rsidR="006834E4" w:rsidRPr="00B91ACD" w:rsidRDefault="006834E4" w:rsidP="005C1BAC">
            <w:pPr>
              <w:pStyle w:val="TCTableBody"/>
              <w:framePr w:hSpace="0" w:wrap="auto" w:vAnchor="margin" w:hAnchor="text" w:yAlign="inline"/>
              <w:rPr>
                <w:b w:val="0"/>
              </w:rPr>
            </w:pPr>
            <w:r w:rsidRPr="00B91ACD">
              <w:rPr>
                <w:b w:val="0"/>
              </w:rPr>
              <w:t>2.42 nm</w:t>
            </w:r>
          </w:p>
        </w:tc>
        <w:tc>
          <w:tcPr>
            <w:tcW w:w="1457" w:type="dxa"/>
          </w:tcPr>
          <w:p w14:paraId="0782574E" w14:textId="77777777" w:rsidR="006834E4" w:rsidRPr="00B91ACD" w:rsidRDefault="006834E4" w:rsidP="005C1BAC">
            <w:pPr>
              <w:pStyle w:val="TCTableBody"/>
              <w:framePr w:hSpace="0" w:wrap="auto" w:vAnchor="margin" w:hAnchor="text" w:yAlign="inline"/>
              <w:rPr>
                <w:b w:val="0"/>
              </w:rPr>
            </w:pPr>
            <w:r w:rsidRPr="00B91ACD">
              <w:rPr>
                <w:b w:val="0"/>
              </w:rPr>
              <w:t>2.69 nm</w:t>
            </w:r>
          </w:p>
        </w:tc>
      </w:tr>
      <w:tr w:rsidR="006834E4" w:rsidRPr="00D04556" w14:paraId="089BE982" w14:textId="77777777" w:rsidTr="005C1BAC">
        <w:tc>
          <w:tcPr>
            <w:tcW w:w="1815" w:type="dxa"/>
          </w:tcPr>
          <w:p w14:paraId="18401AC6" w14:textId="77777777" w:rsidR="006834E4" w:rsidRPr="00672E83" w:rsidRDefault="006834E4" w:rsidP="005C1BAC">
            <w:pPr>
              <w:pStyle w:val="TCTableBody"/>
              <w:framePr w:hSpace="0" w:wrap="auto" w:vAnchor="margin" w:hAnchor="text" w:yAlign="inline"/>
            </w:pPr>
            <w:r w:rsidRPr="00672E83">
              <w:t xml:space="preserve">Bulk sensitivity </w:t>
            </w:r>
          </w:p>
        </w:tc>
        <w:tc>
          <w:tcPr>
            <w:tcW w:w="1471" w:type="dxa"/>
          </w:tcPr>
          <w:p w14:paraId="6E4FE615" w14:textId="77777777" w:rsidR="006834E4" w:rsidRPr="00B91ACD" w:rsidRDefault="006834E4" w:rsidP="005C1BAC">
            <w:pPr>
              <w:pStyle w:val="TCTableBody"/>
              <w:framePr w:hSpace="0" w:wrap="auto" w:vAnchor="margin" w:hAnchor="text" w:yAlign="inline"/>
              <w:rPr>
                <w:b w:val="0"/>
              </w:rPr>
            </w:pPr>
            <w:r w:rsidRPr="00B91ACD">
              <w:rPr>
                <w:b w:val="0"/>
              </w:rPr>
              <w:t>65 nm/RIU</w:t>
            </w:r>
          </w:p>
        </w:tc>
        <w:tc>
          <w:tcPr>
            <w:tcW w:w="1457" w:type="dxa"/>
          </w:tcPr>
          <w:p w14:paraId="0A3AB0C3" w14:textId="77777777" w:rsidR="006834E4" w:rsidRPr="00B91ACD" w:rsidRDefault="006834E4" w:rsidP="005C1BAC">
            <w:pPr>
              <w:pStyle w:val="TCTableBody"/>
              <w:framePr w:hSpace="0" w:wrap="auto" w:vAnchor="margin" w:hAnchor="text" w:yAlign="inline"/>
              <w:rPr>
                <w:b w:val="0"/>
              </w:rPr>
            </w:pPr>
            <w:r w:rsidRPr="00B91ACD">
              <w:rPr>
                <w:b w:val="0"/>
              </w:rPr>
              <w:t>43 nm/RIU</w:t>
            </w:r>
          </w:p>
        </w:tc>
      </w:tr>
      <w:tr w:rsidR="006834E4" w:rsidRPr="00D04556" w14:paraId="366BD4C5" w14:textId="77777777" w:rsidTr="005C1BAC">
        <w:tc>
          <w:tcPr>
            <w:tcW w:w="1815" w:type="dxa"/>
          </w:tcPr>
          <w:p w14:paraId="6059CA56" w14:textId="77777777" w:rsidR="006834E4" w:rsidRPr="00672E83" w:rsidRDefault="006834E4" w:rsidP="005C1BAC">
            <w:pPr>
              <w:pStyle w:val="TCTableBody"/>
              <w:framePr w:hSpace="0" w:wrap="auto" w:vAnchor="margin" w:hAnchor="text" w:yAlign="inline"/>
            </w:pPr>
            <w:r w:rsidRPr="00672E83">
              <w:t>Δλ</w:t>
            </w:r>
            <w:r w:rsidRPr="00672E83">
              <w:rPr>
                <w:vertAlign w:val="subscript"/>
              </w:rPr>
              <w:t>min</w:t>
            </w:r>
          </w:p>
        </w:tc>
        <w:tc>
          <w:tcPr>
            <w:tcW w:w="1471" w:type="dxa"/>
          </w:tcPr>
          <w:p w14:paraId="6FB4223A" w14:textId="77777777" w:rsidR="006834E4" w:rsidRPr="00B91ACD" w:rsidRDefault="006834E4" w:rsidP="005C1BAC">
            <w:pPr>
              <w:pStyle w:val="TCTableBody"/>
              <w:framePr w:hSpace="0" w:wrap="auto" w:vAnchor="margin" w:hAnchor="text" w:yAlign="inline"/>
              <w:rPr>
                <w:b w:val="0"/>
              </w:rPr>
            </w:pPr>
            <w:r w:rsidRPr="00B91ACD">
              <w:rPr>
                <w:b w:val="0"/>
              </w:rPr>
              <w:t>0.75 pm</w:t>
            </w:r>
          </w:p>
        </w:tc>
        <w:tc>
          <w:tcPr>
            <w:tcW w:w="1457" w:type="dxa"/>
          </w:tcPr>
          <w:p w14:paraId="6C91F4DE" w14:textId="77777777" w:rsidR="006834E4" w:rsidRPr="00B91ACD" w:rsidRDefault="006834E4" w:rsidP="005C1BAC">
            <w:pPr>
              <w:pStyle w:val="TCTableBody"/>
              <w:framePr w:hSpace="0" w:wrap="auto" w:vAnchor="margin" w:hAnchor="text" w:yAlign="inline"/>
              <w:rPr>
                <w:b w:val="0"/>
              </w:rPr>
            </w:pPr>
            <w:r w:rsidRPr="00B91ACD">
              <w:rPr>
                <w:b w:val="0"/>
              </w:rPr>
              <w:t>1.05 pm</w:t>
            </w:r>
          </w:p>
        </w:tc>
      </w:tr>
      <w:tr w:rsidR="006834E4" w:rsidRPr="00D04556" w14:paraId="0447F7FE" w14:textId="77777777" w:rsidTr="005C1BAC">
        <w:tc>
          <w:tcPr>
            <w:tcW w:w="1815" w:type="dxa"/>
          </w:tcPr>
          <w:p w14:paraId="61CE679A" w14:textId="77777777" w:rsidR="006834E4" w:rsidRPr="00672E83" w:rsidRDefault="006834E4" w:rsidP="005C1BAC">
            <w:pPr>
              <w:pStyle w:val="TCTableBody"/>
              <w:framePr w:hSpace="0" w:wrap="auto" w:vAnchor="margin" w:hAnchor="text" w:yAlign="inline"/>
            </w:pPr>
            <w:r w:rsidRPr="00672E83">
              <w:t>LOD</w:t>
            </w:r>
          </w:p>
        </w:tc>
        <w:tc>
          <w:tcPr>
            <w:tcW w:w="1471" w:type="dxa"/>
          </w:tcPr>
          <w:p w14:paraId="46695736" w14:textId="77777777" w:rsidR="006834E4" w:rsidRPr="00B91ACD" w:rsidRDefault="006834E4" w:rsidP="005C1BAC">
            <w:pPr>
              <w:pStyle w:val="TCTableBody"/>
              <w:framePr w:hSpace="0" w:wrap="auto" w:vAnchor="margin" w:hAnchor="text" w:yAlign="inline"/>
              <w:rPr>
                <w:b w:val="0"/>
              </w:rPr>
            </w:pPr>
            <w:r w:rsidRPr="00B91ACD">
              <w:rPr>
                <w:b w:val="0"/>
              </w:rPr>
              <w:t>1.15x10</w:t>
            </w:r>
            <w:r w:rsidRPr="00B91ACD">
              <w:rPr>
                <w:b w:val="0"/>
                <w:vertAlign w:val="superscript"/>
              </w:rPr>
              <w:t>-5</w:t>
            </w:r>
            <w:r w:rsidRPr="00B91ACD">
              <w:rPr>
                <w:b w:val="0"/>
              </w:rPr>
              <w:t xml:space="preserve"> RIU</w:t>
            </w:r>
          </w:p>
        </w:tc>
        <w:tc>
          <w:tcPr>
            <w:tcW w:w="1457" w:type="dxa"/>
          </w:tcPr>
          <w:p w14:paraId="52438B68" w14:textId="77777777" w:rsidR="006834E4" w:rsidRPr="00B91ACD" w:rsidRDefault="006834E4" w:rsidP="005C1BAC">
            <w:pPr>
              <w:pStyle w:val="TCTableBody"/>
              <w:framePr w:hSpace="0" w:wrap="auto" w:vAnchor="margin" w:hAnchor="text" w:yAlign="inline"/>
              <w:rPr>
                <w:b w:val="0"/>
              </w:rPr>
            </w:pPr>
            <w:r w:rsidRPr="00B91ACD">
              <w:rPr>
                <w:b w:val="0"/>
              </w:rPr>
              <w:t>2.45x10</w:t>
            </w:r>
            <w:r w:rsidRPr="00B91ACD">
              <w:rPr>
                <w:b w:val="0"/>
                <w:vertAlign w:val="superscript"/>
              </w:rPr>
              <w:t>-5</w:t>
            </w:r>
            <w:r w:rsidRPr="00B91ACD">
              <w:rPr>
                <w:b w:val="0"/>
              </w:rPr>
              <w:t xml:space="preserve"> RIU</w:t>
            </w:r>
          </w:p>
        </w:tc>
      </w:tr>
    </w:tbl>
    <w:p w14:paraId="49EC4456" w14:textId="102703A3" w:rsidR="005F688E" w:rsidRPr="005F688E" w:rsidRDefault="005F688E" w:rsidP="005F688E">
      <w:pPr>
        <w:pStyle w:val="VDTableTitle"/>
      </w:pPr>
      <w:r>
        <w:t xml:space="preserve">Table 1. </w:t>
      </w:r>
      <w:r w:rsidRPr="005F688E">
        <w:t xml:space="preserve">Performance details of both </w:t>
      </w:r>
      <w:r w:rsidR="00067EC3">
        <w:t xml:space="preserve">electrophotonic </w:t>
      </w:r>
      <w:r w:rsidRPr="005F688E">
        <w:t xml:space="preserve">microring resonators. </w:t>
      </w:r>
    </w:p>
    <w:p w14:paraId="7A008560" w14:textId="151915C3" w:rsidR="00D04556" w:rsidRPr="00AC4F29" w:rsidRDefault="005F688E">
      <w:pPr>
        <w:pStyle w:val="FETableFootnote"/>
      </w:pPr>
      <w:r w:rsidRPr="00AC4F29">
        <w:t xml:space="preserve">The Q-factor of both rings is found considering an air cladding layer, while the bulk sensitivity was measured by </w:t>
      </w:r>
      <w:r w:rsidR="00B538A8" w:rsidRPr="00AC4F29">
        <w:t xml:space="preserve">exposing </w:t>
      </w:r>
      <w:r w:rsidRPr="00AC4F29">
        <w:t xml:space="preserve">the sensors </w:t>
      </w:r>
      <w:r w:rsidR="00B538A8" w:rsidRPr="00AC4F29">
        <w:t>to</w:t>
      </w:r>
      <w:r w:rsidRPr="00AC4F29">
        <w:t xml:space="preserve"> a range of NaCl aqueous solutions of different refractive index (Figure 2(b)).</w:t>
      </w:r>
    </w:p>
    <w:p w14:paraId="0109B20F" w14:textId="5BD515A0" w:rsidR="008335D0" w:rsidRDefault="000D3EDE" w:rsidP="004D5850">
      <w:pPr>
        <w:pStyle w:val="TAMainText"/>
      </w:pPr>
      <w:r>
        <w:t xml:space="preserve">THICKNESS AND REFRACTIVE INDEX EXTRACTION PROTOCOL. </w:t>
      </w:r>
      <w:r w:rsidRPr="000D3EDE">
        <w:t>A two-equation system linking the wavelength shift for each sensor (Δλ</w:t>
      </w:r>
      <w:r w:rsidRPr="000D3EDE">
        <w:rPr>
          <w:vertAlign w:val="subscript"/>
        </w:rPr>
        <w:t>480nm</w:t>
      </w:r>
      <w:r w:rsidRPr="000D3EDE">
        <w:t xml:space="preserve"> and Δλ</w:t>
      </w:r>
      <w:r w:rsidRPr="000D3EDE">
        <w:rPr>
          <w:vertAlign w:val="subscript"/>
        </w:rPr>
        <w:t>580nm</w:t>
      </w:r>
      <w:r w:rsidRPr="000D3EDE">
        <w:t xml:space="preserve">) is needed to extract the thickness of a molecular layer </w:t>
      </w:r>
      <w:r w:rsidR="009F2C8B" w:rsidRPr="000D3EDE">
        <w:t>immobili</w:t>
      </w:r>
      <w:r w:rsidR="009F2C8B">
        <w:t>z</w:t>
      </w:r>
      <w:r w:rsidR="009F2C8B" w:rsidRPr="000D3EDE">
        <w:t xml:space="preserve">ed </w:t>
      </w:r>
      <w:r w:rsidRPr="000D3EDE">
        <w:t>on the surface of each sensor. We fo</w:t>
      </w:r>
      <w:r>
        <w:t xml:space="preserve">llowed the method described </w:t>
      </w:r>
      <w:r w:rsidR="00AA4E0D">
        <w:t>in</w:t>
      </w:r>
      <w:r w:rsidR="000B59E5">
        <w:t xml:space="preserve"> </w:t>
      </w:r>
      <w:r w:rsidR="00AA4E0D">
        <w:t>(7)</w:t>
      </w:r>
      <w:r w:rsidR="00AA4E0D" w:rsidRPr="000D3EDE">
        <w:t xml:space="preserve"> </w:t>
      </w:r>
      <w:r w:rsidRPr="000D3EDE">
        <w:t>to model the interaction of the optical field with the overlayer, in which Δλ</w:t>
      </w:r>
      <w:r w:rsidRPr="000D3EDE">
        <w:rPr>
          <w:vertAlign w:val="subscript"/>
        </w:rPr>
        <w:t>480nm</w:t>
      </w:r>
      <w:r w:rsidRPr="000D3EDE">
        <w:t xml:space="preserve"> and Δλ</w:t>
      </w:r>
      <w:r w:rsidRPr="000D3EDE">
        <w:rPr>
          <w:vertAlign w:val="subscript"/>
        </w:rPr>
        <w:t>580nm</w:t>
      </w:r>
      <w:r w:rsidRPr="000D3EDE">
        <w:t xml:space="preserve"> are described by two functions </w:t>
      </w:r>
      <w:r w:rsidRPr="000D3EDE">
        <w:rPr>
          <w:i/>
        </w:rPr>
        <w:t>f(t,n)</w:t>
      </w:r>
      <w:r w:rsidRPr="000D3EDE">
        <w:t xml:space="preserve"> and </w:t>
      </w:r>
      <w:r w:rsidRPr="000D3EDE">
        <w:rPr>
          <w:i/>
        </w:rPr>
        <w:t>g(t,n)</w:t>
      </w:r>
      <w:r w:rsidRPr="000D3EDE">
        <w:t>, respectively. First, a set of electromagnetic simulations is performed using COMSOL Multiphysics to calculate Δλ</w:t>
      </w:r>
      <w:r w:rsidRPr="000D3EDE">
        <w:rPr>
          <w:vertAlign w:val="subscript"/>
        </w:rPr>
        <w:t>480nm</w:t>
      </w:r>
      <w:r w:rsidRPr="000D3EDE">
        <w:t xml:space="preserve"> and Δλ</w:t>
      </w:r>
      <w:r w:rsidRPr="000D3EDE">
        <w:rPr>
          <w:vertAlign w:val="subscript"/>
        </w:rPr>
        <w:t>580nm</w:t>
      </w:r>
      <w:r w:rsidRPr="000D3EDE">
        <w:t xml:space="preserve"> as a function of </w:t>
      </w:r>
      <w:r w:rsidRPr="000D3EDE">
        <w:rPr>
          <w:i/>
        </w:rPr>
        <w:t>t</w:t>
      </w:r>
      <w:r w:rsidRPr="000D3EDE">
        <w:t xml:space="preserve"> and </w:t>
      </w:r>
      <w:r w:rsidRPr="000D3EDE">
        <w:rPr>
          <w:i/>
        </w:rPr>
        <w:t>n</w:t>
      </w:r>
      <w:r w:rsidRPr="000D3EDE">
        <w:t xml:space="preserve"> for a background of water (n=1.32) These simulations are then fitted to an analytical model to determine the wavelength shift as </w:t>
      </w:r>
      <w:r>
        <w:t>a function of</w:t>
      </w:r>
      <w:r w:rsidRPr="00EE2C87">
        <w:rPr>
          <w:i/>
        </w:rPr>
        <w:t xml:space="preserve"> t</w:t>
      </w:r>
      <w:r>
        <w:t xml:space="preserve"> and </w:t>
      </w:r>
      <w:r w:rsidRPr="00EE2C87">
        <w:rPr>
          <w:i/>
        </w:rPr>
        <w:t>n</w:t>
      </w:r>
      <w:r>
        <w:t xml:space="preserve"> (see SI)</w:t>
      </w:r>
      <w:r w:rsidR="000B59E5">
        <w:t xml:space="preserve"> </w:t>
      </w:r>
      <w:r w:rsidR="000575D0">
        <w:t>(7)</w:t>
      </w:r>
      <w:r w:rsidRPr="000D3EDE">
        <w:t>. After fitting and retrieving all the parameters, a coefficient of determination R</w:t>
      </w:r>
      <w:r w:rsidRPr="000D3EDE">
        <w:rPr>
          <w:vertAlign w:val="superscript"/>
        </w:rPr>
        <w:t>2</w:t>
      </w:r>
      <w:r w:rsidRPr="000D3EDE">
        <w:t xml:space="preserve"> of 0.9992 is obtained for both waveguides, confirming the validity of the model (Fig</w:t>
      </w:r>
      <w:r>
        <w:t>ure</w:t>
      </w:r>
      <w:r w:rsidRPr="000D3EDE">
        <w:t xml:space="preserve"> 3(a)). Finally, the functions </w:t>
      </w:r>
      <w:r w:rsidRPr="000D3EDE">
        <w:rPr>
          <w:i/>
        </w:rPr>
        <w:t>f(t,n)</w:t>
      </w:r>
      <w:r w:rsidRPr="000D3EDE">
        <w:t xml:space="preserve"> and </w:t>
      </w:r>
      <w:r w:rsidRPr="000D3EDE">
        <w:rPr>
          <w:i/>
        </w:rPr>
        <w:t>g(t,n)</w:t>
      </w:r>
      <w:r w:rsidRPr="000D3EDE">
        <w:t xml:space="preserve"> are fitted to experimental measurements of Δλ</w:t>
      </w:r>
      <w:r w:rsidRPr="000D3EDE">
        <w:rPr>
          <w:vertAlign w:val="subscript"/>
        </w:rPr>
        <w:t>480nm</w:t>
      </w:r>
      <w:r w:rsidRPr="000D3EDE">
        <w:t xml:space="preserve"> and Δλ</w:t>
      </w:r>
      <w:r w:rsidRPr="000D3EDE">
        <w:rPr>
          <w:vertAlign w:val="subscript"/>
        </w:rPr>
        <w:t>580nm</w:t>
      </w:r>
      <w:r w:rsidRPr="000D3EDE">
        <w:t xml:space="preserve"> to obtain two continuous functions of the thickness and refractive index of the molecular layer (Fig</w:t>
      </w:r>
      <w:r>
        <w:t>ure</w:t>
      </w:r>
      <w:r w:rsidRPr="000D3EDE">
        <w:t xml:space="preserve"> 3(b)). The point at which these two functions intersect corresponds to the unique solution of the thickness and refractive index of the molecular layer (Fig</w:t>
      </w:r>
      <w:r>
        <w:t>ure</w:t>
      </w:r>
      <w:r w:rsidRPr="000D3EDE">
        <w:t xml:space="preserve"> 3(c)). We note that the accuracy of this model is critically dependent on the exact geometry of each waveguide. We therefore </w:t>
      </w:r>
      <w:r w:rsidR="009F2C8B" w:rsidRPr="000D3EDE">
        <w:t>characteri</w:t>
      </w:r>
      <w:r w:rsidR="009F2C8B">
        <w:t>z</w:t>
      </w:r>
      <w:r w:rsidR="009F2C8B" w:rsidRPr="000D3EDE">
        <w:t xml:space="preserve">ed </w:t>
      </w:r>
      <w:r w:rsidRPr="000D3EDE">
        <w:t xml:space="preserve">the dimensions of each waveguide using AFM (BioScope Resolve 2, Bruker), and found values of 482 x 202 nm and 578 x 205 nm for the width and height of each ring resonator, respectively. </w:t>
      </w:r>
      <w:r w:rsidR="00F854A0">
        <w:t xml:space="preserve">Additionally, it is possible to perform an in-line calibration to calculate the geometry of the ring cavities with an </w:t>
      </w:r>
      <w:r w:rsidR="00F854A0" w:rsidRPr="00F854A0">
        <w:t xml:space="preserve">accuracy of ± 2 nm in width and ± 1 nm in height </w:t>
      </w:r>
      <w:r w:rsidR="00F854A0">
        <w:t xml:space="preserve">(see SI). </w:t>
      </w:r>
      <w:r w:rsidR="002C3BA7">
        <w:t xml:space="preserve">This calibration can be performed </w:t>
      </w:r>
      <w:r w:rsidR="00E1784C">
        <w:t>prior</w:t>
      </w:r>
      <w:r w:rsidR="002C3BA7">
        <w:t xml:space="preserve"> to an experiment to </w:t>
      </w:r>
      <w:r w:rsidR="00E1784C">
        <w:t>ensure</w:t>
      </w:r>
      <w:r w:rsidR="002C3BA7">
        <w:t xml:space="preserve"> accurate quantification of the molecular layer. </w:t>
      </w:r>
      <w:r w:rsidRPr="000D3EDE">
        <w:t xml:space="preserve">The noise in wavelength measurement, defined as three times the standard deviation, was found experimentally to be 0.43 nm for the 480 nm waveguide and 0.38 nm for the 580 nm waveguide. Assuming that the noise follows a Gaussian distribution with a standard deviation of 0.43 nm (maximum error from both resonators), </w:t>
      </w:r>
      <w:r w:rsidR="0005364D">
        <w:t xml:space="preserve">it is then used </w:t>
      </w:r>
      <w:r w:rsidR="0005364D" w:rsidRPr="0005364D">
        <w:t xml:space="preserve">to determine the error for a simulated wavelength layer of </w:t>
      </w:r>
      <w:r w:rsidR="0005364D" w:rsidRPr="00D100B8">
        <w:rPr>
          <w:i/>
        </w:rPr>
        <w:t xml:space="preserve">t </w:t>
      </w:r>
      <w:r w:rsidR="0005364D" w:rsidRPr="0005364D">
        <w:t xml:space="preserve">= 2 nm and </w:t>
      </w:r>
      <w:r w:rsidR="0005364D" w:rsidRPr="00D100B8">
        <w:rPr>
          <w:i/>
        </w:rPr>
        <w:t>n</w:t>
      </w:r>
      <w:r w:rsidR="0005364D" w:rsidRPr="0005364D">
        <w:t xml:space="preserve"> = 1.45 RIU</w:t>
      </w:r>
      <w:r w:rsidR="0005364D">
        <w:t>. T</w:t>
      </w:r>
      <w:r w:rsidR="0005364D" w:rsidRPr="000D3EDE">
        <w:t xml:space="preserve">he </w:t>
      </w:r>
      <w:r w:rsidRPr="000D3EDE">
        <w:t xml:space="preserve">error in </w:t>
      </w:r>
      <w:r w:rsidRPr="004C7053">
        <w:rPr>
          <w:i/>
        </w:rPr>
        <w:t>t</w:t>
      </w:r>
      <w:r w:rsidRPr="000D3EDE">
        <w:t xml:space="preserve"> and </w:t>
      </w:r>
      <w:r w:rsidRPr="004C7053">
        <w:rPr>
          <w:i/>
        </w:rPr>
        <w:t>n</w:t>
      </w:r>
      <w:r w:rsidRPr="000D3EDE">
        <w:t xml:space="preserve"> is </w:t>
      </w:r>
      <w:r w:rsidR="0005364D">
        <w:t xml:space="preserve">therefore </w:t>
      </w:r>
      <w:r w:rsidRPr="000D3EDE">
        <w:t>found to be 0.05 nm and 0.005 RIU respectively</w:t>
      </w:r>
      <w:r w:rsidR="00B55BD6">
        <w:t xml:space="preserve">, </w:t>
      </w:r>
      <w:r w:rsidR="0005364D">
        <w:t>calculated considering experimental wavelength errors</w:t>
      </w:r>
      <w:r w:rsidR="00B55BD6">
        <w:t xml:space="preserve"> (see SI)</w:t>
      </w:r>
      <w:r w:rsidR="0005364D">
        <w:t xml:space="preserve">. </w:t>
      </w:r>
      <w:r w:rsidRPr="000D3EDE">
        <w:t xml:space="preserve">The accuracy of the thickness measurement achieved with our cascaded resonator is therefore comparable to that of a dual </w:t>
      </w:r>
      <w:r w:rsidR="009F2C8B" w:rsidRPr="000D3EDE">
        <w:t>polari</w:t>
      </w:r>
      <w:r w:rsidR="009F2C8B">
        <w:t>z</w:t>
      </w:r>
      <w:r w:rsidR="009F2C8B" w:rsidRPr="000D3EDE">
        <w:t xml:space="preserve">ation </w:t>
      </w:r>
      <w:r w:rsidRPr="000D3EDE">
        <w:t>microring (where the thickness r</w:t>
      </w:r>
      <w:r w:rsidR="000E2124">
        <w:t>esolution is typically 0.02 nm)</w:t>
      </w:r>
      <w:r w:rsidR="000B59E5">
        <w:t xml:space="preserve"> </w:t>
      </w:r>
      <w:r w:rsidR="00AA4E0D">
        <w:t>(7)</w:t>
      </w:r>
      <w:r w:rsidR="00AA4E0D" w:rsidRPr="000D3EDE">
        <w:t xml:space="preserve"> </w:t>
      </w:r>
      <w:r w:rsidRPr="000D3EDE">
        <w:t>and an order of magnitude better than that achieved with DPI (resolution of 0.1 nm)</w:t>
      </w:r>
      <w:r w:rsidR="00AA4E0D">
        <w:t>(</w:t>
      </w:r>
      <w:r w:rsidRPr="00EE2C87">
        <w:t>6</w:t>
      </w:r>
      <w:r w:rsidR="000575D0">
        <w:t>)</w:t>
      </w:r>
      <w:r w:rsidR="000E2124" w:rsidRPr="00EE2C87">
        <w:t>,</w:t>
      </w:r>
      <w:r w:rsidR="000575D0">
        <w:t>(</w:t>
      </w:r>
      <w:r w:rsidRPr="00EE2C87">
        <w:t>11</w:t>
      </w:r>
      <w:r w:rsidR="00AA4E0D">
        <w:t>)</w:t>
      </w:r>
      <w:r w:rsidRPr="000D3EDE">
        <w:t>.</w:t>
      </w:r>
      <w:r w:rsidR="00367DFE">
        <w:t xml:space="preserve"> </w:t>
      </w:r>
      <w:r w:rsidR="002C3C63">
        <w:t xml:space="preserve">The temporal limit of detection of this technique is given by the throughput of the employed optical instrumentation.  In our system, a </w:t>
      </w:r>
      <w:r w:rsidR="002C3C63" w:rsidRPr="002C3C63">
        <w:t>broadband ASE (Ampli</w:t>
      </w:r>
      <w:r w:rsidR="007C1B30">
        <w:t>fi</w:t>
      </w:r>
      <w:r w:rsidR="002C3C63" w:rsidRPr="002C3C63">
        <w:t>ed Spontaneous Emission) source (1520-1620 nm)</w:t>
      </w:r>
      <w:r w:rsidR="002C3C63">
        <w:t xml:space="preserve"> and an</w:t>
      </w:r>
      <w:r w:rsidR="002C3C63" w:rsidRPr="002C3C63">
        <w:t xml:space="preserve"> Optical Spectrum Analyser (OSA)</w:t>
      </w:r>
      <w:r w:rsidR="002C3C63">
        <w:t xml:space="preserve"> are employed, yielding a temporal resolution of approximately 60 seconds.</w:t>
      </w:r>
    </w:p>
    <w:p w14:paraId="6C00A65D" w14:textId="77777777" w:rsidR="008335D0" w:rsidRDefault="008335D0" w:rsidP="004D5850">
      <w:pPr>
        <w:pStyle w:val="TAMainText"/>
      </w:pPr>
    </w:p>
    <w:p w14:paraId="6FFB3179" w14:textId="77777777" w:rsidR="008335D0" w:rsidRDefault="008335D0" w:rsidP="004D5850">
      <w:pPr>
        <w:pStyle w:val="TAMainText"/>
        <w:sectPr w:rsidR="008335D0" w:rsidSect="00984F9E">
          <w:type w:val="continuous"/>
          <w:pgSz w:w="12240" w:h="15840"/>
          <w:pgMar w:top="720" w:right="1094" w:bottom="720" w:left="1094" w:header="720" w:footer="720" w:gutter="0"/>
          <w:cols w:num="2" w:space="461"/>
        </w:sectPr>
      </w:pPr>
    </w:p>
    <w:p w14:paraId="12A5E5B9" w14:textId="77777777" w:rsidR="008335D0" w:rsidRDefault="008335D0" w:rsidP="004D5850">
      <w:pPr>
        <w:pStyle w:val="TAMainText"/>
        <w:sectPr w:rsidR="008335D0" w:rsidSect="00984F9E">
          <w:type w:val="continuous"/>
          <w:pgSz w:w="12240" w:h="15840"/>
          <w:pgMar w:top="720" w:right="1094" w:bottom="720" w:left="1094" w:header="720" w:footer="720" w:gutter="0"/>
          <w:cols w:num="2" w:space="461"/>
        </w:sectPr>
      </w:pPr>
    </w:p>
    <w:p w14:paraId="016A99F1" w14:textId="77777777" w:rsidR="008335D0" w:rsidRDefault="008335D0" w:rsidP="000E75E3">
      <w:pPr>
        <w:pStyle w:val="VDTableTitle"/>
        <w:sectPr w:rsidR="008335D0" w:rsidSect="008335D0">
          <w:type w:val="continuous"/>
          <w:pgSz w:w="12240" w:h="15840"/>
          <w:pgMar w:top="720" w:right="1094" w:bottom="720" w:left="1094" w:header="720" w:footer="720" w:gutter="0"/>
          <w:cols w:space="461"/>
        </w:sectPr>
      </w:pPr>
    </w:p>
    <w:p w14:paraId="71A05AB6" w14:textId="7493C708" w:rsidR="008335D0" w:rsidRDefault="008335D0" w:rsidP="008335D0">
      <w:pPr>
        <w:pStyle w:val="BBAuthorName"/>
        <w:jc w:val="center"/>
        <w:rPr>
          <w:kern w:val="21"/>
          <w:sz w:val="19"/>
          <w:szCs w:val="19"/>
        </w:rPr>
      </w:pPr>
    </w:p>
    <w:p w14:paraId="2FC4DFBF" w14:textId="77777777" w:rsidR="008335D0" w:rsidRPr="008335D0" w:rsidRDefault="008335D0" w:rsidP="008335D0">
      <w:pPr>
        <w:pStyle w:val="VAFigureCaption"/>
      </w:pPr>
      <w:r>
        <w:rPr>
          <w:b/>
        </w:rPr>
        <w:t>Figure</w:t>
      </w:r>
      <w:r>
        <w:t xml:space="preserve"> 3.</w:t>
      </w:r>
      <w:r w:rsidRPr="008335D0">
        <w:t xml:space="preserve"> Extraction of thickness and refractive index. (a) Simulations of the wavelength shifts for both waveguide geometries as a function of the thickness of a molecular layer (assuming a refractive index of 1.45 RIU for the molecular layer and 1.32 RIU for the surrounding aqueous solvent). A coefficient of determination R</w:t>
      </w:r>
      <w:r w:rsidRPr="008335D0">
        <w:rPr>
          <w:vertAlign w:val="superscript"/>
        </w:rPr>
        <w:t>2</w:t>
      </w:r>
      <w:r w:rsidRPr="008335D0">
        <w:t xml:space="preserve"> of 0.9992 was obtained for each waveguide. (b) Solving protocol by plotting</w:t>
      </w:r>
      <w:r>
        <w:t xml:space="preserve"> </w:t>
      </w:r>
      <w:r w:rsidRPr="008335D0">
        <w:rPr>
          <w:i/>
        </w:rPr>
        <w:t>f(t,n)</w:t>
      </w:r>
      <w:r>
        <w:t xml:space="preserve"> =</w:t>
      </w:r>
      <w:r w:rsidRPr="008335D0">
        <w:t xml:space="preserve">  Δλ</w:t>
      </w:r>
      <w:r w:rsidRPr="008335D0">
        <w:rPr>
          <w:vertAlign w:val="subscript"/>
        </w:rPr>
        <w:t>480nm</w:t>
      </w:r>
      <w:r w:rsidRPr="008335D0">
        <w:t xml:space="preserve"> and</w:t>
      </w:r>
      <w:r>
        <w:t xml:space="preserve"> </w:t>
      </w:r>
      <w:r w:rsidRPr="008335D0">
        <w:rPr>
          <w:i/>
        </w:rPr>
        <w:t>g(t,n)</w:t>
      </w:r>
      <w:r>
        <w:t xml:space="preserve"> =</w:t>
      </w:r>
      <w:r w:rsidRPr="008335D0">
        <w:t xml:space="preserve"> Δλ</w:t>
      </w:r>
      <w:r w:rsidRPr="008335D0">
        <w:rPr>
          <w:vertAlign w:val="subscript"/>
        </w:rPr>
        <w:t>580nm</w:t>
      </w:r>
      <w:r w:rsidRPr="008335D0">
        <w:t>. The intersection point of both curves corresponds to the solution of the two-equation system, which in the example shown corresponds to a layer thickness of 3.5 nm with a refractive index of 1.485 RIU. (c) Summary of the process. The resonance dips from both sensors are first measured in real time. The corresponding wavelength shifts, Δλ</w:t>
      </w:r>
      <w:r w:rsidRPr="00086246">
        <w:rPr>
          <w:vertAlign w:val="subscript"/>
        </w:rPr>
        <w:t>480nm</w:t>
      </w:r>
      <w:r w:rsidRPr="008335D0">
        <w:t xml:space="preserve"> and Δλ</w:t>
      </w:r>
      <w:r w:rsidRPr="00086246">
        <w:rPr>
          <w:vertAlign w:val="subscript"/>
        </w:rPr>
        <w:t>580nm</w:t>
      </w:r>
      <w:r w:rsidRPr="008335D0">
        <w:t>, are then fitted to the model, which is solved obtaining both the thickness (</w:t>
      </w:r>
      <w:r w:rsidR="00086246" w:rsidRPr="00086246">
        <w:rPr>
          <w:i/>
        </w:rPr>
        <w:t>t</w:t>
      </w:r>
      <w:r w:rsidR="00086246">
        <w:t>)</w:t>
      </w:r>
      <w:r w:rsidRPr="008335D0">
        <w:t xml:space="preserve"> and the refractive index (</w:t>
      </w:r>
      <w:r w:rsidR="00086246" w:rsidRPr="00086246">
        <w:rPr>
          <w:i/>
        </w:rPr>
        <w:t>n</w:t>
      </w:r>
      <w:r w:rsidRPr="008335D0">
        <w:t>) of the molecular layer.</w:t>
      </w:r>
    </w:p>
    <w:p w14:paraId="5983EF13" w14:textId="77777777" w:rsidR="008335D0" w:rsidRDefault="00711159" w:rsidP="004D5850">
      <w:pPr>
        <w:pStyle w:val="TAMainText"/>
      </w:pPr>
      <w:r>
        <w:t>RESULTS AND DISCUSSION</w:t>
      </w:r>
    </w:p>
    <w:p w14:paraId="35777FC0" w14:textId="6E526DEF" w:rsidR="00711159" w:rsidRDefault="00711159" w:rsidP="004D5850">
      <w:pPr>
        <w:pStyle w:val="TAMainText"/>
      </w:pPr>
      <w:r w:rsidRPr="00711159">
        <w:t>PHYSISORPTION OF A BOVINE SERUM ALBUMIN MONOLAYER</w:t>
      </w:r>
      <w:r>
        <w:t xml:space="preserve">. </w:t>
      </w:r>
      <w:r w:rsidRPr="00711159">
        <w:t xml:space="preserve">As an initial test, we verified our method by monitoring the adsorption of bovine serum albumin (BSA). BSA is a protein used widely as </w:t>
      </w:r>
      <w:r w:rsidR="00B538A8">
        <w:t xml:space="preserve">a </w:t>
      </w:r>
      <w:r w:rsidRPr="00711159">
        <w:t xml:space="preserve">blocking agent in immunoassays to </w:t>
      </w:r>
      <w:r>
        <w:t xml:space="preserve">prevent non-specific </w:t>
      </w:r>
      <w:r w:rsidR="00AA4E0D">
        <w:t>adsorption</w:t>
      </w:r>
      <w:r w:rsidR="000B59E5">
        <w:t xml:space="preserve"> </w:t>
      </w:r>
      <w:r w:rsidR="00AA4E0D">
        <w:t>(12)</w:t>
      </w:r>
      <w:r w:rsidRPr="00711159">
        <w:t xml:space="preserve">, and has been studied previously as an exemplar for </w:t>
      </w:r>
      <w:r w:rsidR="00AA4E0D" w:rsidRPr="00711159">
        <w:t>DPI</w:t>
      </w:r>
      <w:r w:rsidR="000B59E5">
        <w:t xml:space="preserve"> </w:t>
      </w:r>
      <w:r w:rsidR="00AA4E0D">
        <w:t>(11)</w:t>
      </w:r>
      <w:r w:rsidR="00AA4E0D" w:rsidRPr="00711159">
        <w:t xml:space="preserve"> </w:t>
      </w:r>
      <w:r w:rsidRPr="00711159">
        <w:t>and dual-</w:t>
      </w:r>
      <w:r w:rsidR="009F2C8B" w:rsidRPr="00711159">
        <w:t>polari</w:t>
      </w:r>
      <w:r w:rsidR="009F2C8B">
        <w:t>z</w:t>
      </w:r>
      <w:r w:rsidR="009F2C8B" w:rsidRPr="00711159">
        <w:t xml:space="preserve">ation </w:t>
      </w:r>
      <w:r w:rsidRPr="00711159">
        <w:t xml:space="preserve">silicon microring </w:t>
      </w:r>
      <w:r w:rsidR="00AA4E0D" w:rsidRPr="00711159">
        <w:t>analysis</w:t>
      </w:r>
      <w:r w:rsidR="00AA4E0D">
        <w:t>(7)</w:t>
      </w:r>
      <w:r w:rsidRPr="00711159">
        <w:t>. BSA (Sigma-Aldrich, UK) was dissolved in a 2</w:t>
      </w:r>
      <w:r>
        <w:t xml:space="preserve"> </w:t>
      </w:r>
      <w:r w:rsidRPr="00711159">
        <w:t>mM phosphate buffer solution, pH 3 to a concentration of 0.1 mg/mL. The pH of the buffer solution is set below the isoelectric point of BSA (pI = 4.7) to ensure that the protein will assemble in a thin</w:t>
      </w:r>
      <w:r w:rsidR="00444295">
        <w:t>,</w:t>
      </w:r>
      <w:r w:rsidRPr="00711159">
        <w:t xml:space="preserve"> dense layer due to its electrostatic attraction with the substrate, coupled with electrostatic repulsion between </w:t>
      </w:r>
      <w:r w:rsidR="00AA4E0D" w:rsidRPr="00711159">
        <w:t>proteins</w:t>
      </w:r>
      <w:r w:rsidR="000B59E5">
        <w:t xml:space="preserve"> </w:t>
      </w:r>
      <w:r w:rsidR="00AA4E0D">
        <w:t>(7)</w:t>
      </w:r>
      <w:r w:rsidRPr="00711159">
        <w:t>. Phosphate buffer pH 3 was initially injected over the sensor surface at a rate of 30 µL/min, until a stable resonance wavelength was obtained for each sensor (Fig</w:t>
      </w:r>
      <w:r>
        <w:t>ure</w:t>
      </w:r>
      <w:r w:rsidRPr="00711159">
        <w:t xml:space="preserve"> 4 (a)). Subsequently, the BSA solution was injected over the sensor at 30 µL/min for 60 min </w:t>
      </w:r>
      <w:r w:rsidR="004F290A" w:rsidRPr="004F290A">
        <w:t>and</w:t>
      </w:r>
      <w:r w:rsidR="004F290A">
        <w:t xml:space="preserve"> then left incubating for 30 min</w:t>
      </w:r>
      <w:r w:rsidRPr="00711159">
        <w:t>. The thickness and refractive index of the BSA layer is shown in Fig</w:t>
      </w:r>
      <w:r>
        <w:t>ure</w:t>
      </w:r>
      <w:r w:rsidRPr="00711159">
        <w:t xml:space="preserve"> 4 (b)-(c), respectively. At equilibrium, we obtained a layer thickness of 1.26 nm </w:t>
      </w:r>
      <w:r w:rsidR="00B332EB">
        <w:t>±</w:t>
      </w:r>
      <w:r w:rsidRPr="00711159">
        <w:t xml:space="preserve"> 0.05 nm and a refractive index of 1.432 </w:t>
      </w:r>
      <w:r w:rsidR="00B332EB">
        <w:t>±</w:t>
      </w:r>
      <w:r w:rsidRPr="00711159">
        <w:t xml:space="preserve"> 0.005 RIU. These values agree well with those estimated for a BSA layer assembled on a dual </w:t>
      </w:r>
      <w:r w:rsidR="009F2C8B" w:rsidRPr="00711159">
        <w:t>polari</w:t>
      </w:r>
      <w:r w:rsidR="009F2C8B">
        <w:t>z</w:t>
      </w:r>
      <w:r w:rsidR="009F2C8B" w:rsidRPr="00711159">
        <w:t xml:space="preserve">ation </w:t>
      </w:r>
      <w:r w:rsidRPr="00711159">
        <w:t>ring resonator (thickness of 1.4 nm and</w:t>
      </w:r>
      <w:r>
        <w:t xml:space="preserve"> refractive index of 1.433 RIU)</w:t>
      </w:r>
      <w:r w:rsidR="000B59E5">
        <w:t xml:space="preserve"> </w:t>
      </w:r>
      <w:r w:rsidR="00AA4E0D">
        <w:t>(7)</w:t>
      </w:r>
      <w:r w:rsidRPr="00711159">
        <w:t>.</w:t>
      </w:r>
    </w:p>
    <w:p w14:paraId="7C88DFD5" w14:textId="77777777" w:rsidR="00B2131F" w:rsidRPr="008335D0" w:rsidRDefault="00B2131F" w:rsidP="004D5850">
      <w:pPr>
        <w:pStyle w:val="TAMainText"/>
      </w:pPr>
    </w:p>
    <w:p w14:paraId="446CA60B" w14:textId="659F71F4" w:rsidR="002E52AC" w:rsidRDefault="002E52AC" w:rsidP="000E75E3">
      <w:pPr>
        <w:pStyle w:val="VDTableTitle"/>
      </w:pPr>
    </w:p>
    <w:p w14:paraId="172ABDCE" w14:textId="77777777" w:rsidR="00511D71" w:rsidRDefault="00511D71" w:rsidP="00511D71">
      <w:pPr>
        <w:pStyle w:val="VAFigureCaption"/>
        <w:rPr>
          <w:b/>
        </w:rPr>
      </w:pPr>
      <w:r>
        <w:rPr>
          <w:b/>
        </w:rPr>
        <w:t>Figure</w:t>
      </w:r>
      <w:r>
        <w:t xml:space="preserve"> 4. Real-time </w:t>
      </w:r>
      <w:r w:rsidRPr="003D4CCB">
        <w:t xml:space="preserve">adsorption of BSA on </w:t>
      </w:r>
      <w:r>
        <w:t>a</w:t>
      </w:r>
      <w:r w:rsidRPr="003D4CCB">
        <w:t xml:space="preserve"> silicon surface</w:t>
      </w:r>
      <w:r>
        <w:t xml:space="preserve"> monitored using a cascading ring resonator sensor. (a</w:t>
      </w:r>
      <w:r w:rsidRPr="003D4CCB">
        <w:t>) The resonance</w:t>
      </w:r>
      <w:r>
        <w:t xml:space="preserve"> </w:t>
      </w:r>
      <w:r w:rsidRPr="003D4CCB">
        <w:t>wavelength of both 480 and 580 nm width ring sensors was monitored continuously while</w:t>
      </w:r>
      <w:r>
        <w:t xml:space="preserve"> </w:t>
      </w:r>
      <w:r w:rsidRPr="003D4CCB">
        <w:t xml:space="preserve">BSA molecules are adsorbed </w:t>
      </w:r>
      <w:r>
        <w:t>on the sensor surface at pH 3. (b</w:t>
      </w:r>
      <w:r w:rsidRPr="003D4CCB">
        <w:t>)</w:t>
      </w:r>
      <w:r>
        <w:t>–(c</w:t>
      </w:r>
      <w:r w:rsidRPr="003D4CCB">
        <w:t>) show the estimations</w:t>
      </w:r>
      <w:r>
        <w:t xml:space="preserve"> </w:t>
      </w:r>
      <w:r w:rsidRPr="003D4CCB">
        <w:t>of both thickness and refractive index of the layer, respectively</w:t>
      </w:r>
      <w:r>
        <w:t>.</w:t>
      </w:r>
    </w:p>
    <w:p w14:paraId="771DBE24" w14:textId="77777777" w:rsidR="00AD2B13" w:rsidRDefault="00AD2B13" w:rsidP="004D5850">
      <w:pPr>
        <w:pStyle w:val="TAMainText"/>
      </w:pPr>
    </w:p>
    <w:p w14:paraId="4B146117" w14:textId="1C4D97E4" w:rsidR="003136F6" w:rsidRDefault="00AD2B13" w:rsidP="004D5850">
      <w:pPr>
        <w:pStyle w:val="TAMainText"/>
      </w:pPr>
      <w:r w:rsidRPr="00AD2B13">
        <w:t>MONITORING THE CONFORMATIONAL CHANGES OF AN ELECTROACTIVE DNA OLIGONUCLEOTIDE HAIRPIN</w:t>
      </w:r>
      <w:r>
        <w:t>.</w:t>
      </w:r>
      <w:r w:rsidR="003136F6">
        <w:t xml:space="preserve"> </w:t>
      </w:r>
      <w:r w:rsidR="00B348A1">
        <w:t>By</w:t>
      </w:r>
      <w:r w:rsidR="003136F6">
        <w:t xml:space="preserve"> combining the cascaded ring structure with our recently developed silicon electrophotonic </w:t>
      </w:r>
      <w:r w:rsidR="000B59E5">
        <w:t>sensor (</w:t>
      </w:r>
      <w:r w:rsidR="00AA4E0D">
        <w:t>9)</w:t>
      </w:r>
      <w:r w:rsidR="003136F6">
        <w:t>, we introduce the truly unique capability of monitoring electrochemical activity together with quantification of molecular conformation. This capability allows us to directly interrogate the dependence between molecular conformation</w:t>
      </w:r>
      <w:r w:rsidR="004001A0">
        <w:t xml:space="preserve"> (optical interrogation)</w:t>
      </w:r>
      <w:r w:rsidR="003136F6">
        <w:t xml:space="preserve"> and redox activity</w:t>
      </w:r>
      <w:r w:rsidR="004001A0">
        <w:t xml:space="preserve"> (electrochemical interrogation)</w:t>
      </w:r>
      <w:r w:rsidR="003136F6">
        <w:t>. We note, while combined electrochemical and optical measurements have been demonstrated using electrochemical-surface plasmon resonance (EC-SPR)</w:t>
      </w:r>
      <w:r w:rsidR="000B59E5">
        <w:t xml:space="preserve"> </w:t>
      </w:r>
      <w:r w:rsidR="00AA4E0D">
        <w:t>(</w:t>
      </w:r>
      <w:r w:rsidR="003136F6" w:rsidRPr="00EE2C87">
        <w:t>1</w:t>
      </w:r>
      <w:r w:rsidR="00430D05">
        <w:t>3</w:t>
      </w:r>
      <w:r w:rsidR="00AA4E0D">
        <w:t>)</w:t>
      </w:r>
      <w:r w:rsidR="003136F6">
        <w:t>, EC-SPR employs a single mode and it thus remains challenging to unambiguously quantify conformation</w:t>
      </w:r>
      <w:r w:rsidR="000B59E5">
        <w:t xml:space="preserve"> </w:t>
      </w:r>
      <w:r w:rsidR="0012273F">
        <w:t>(</w:t>
      </w:r>
      <w:r w:rsidR="003136F6" w:rsidRPr="00EE2C87">
        <w:t>1</w:t>
      </w:r>
      <w:r w:rsidR="00430D05">
        <w:t>4</w:t>
      </w:r>
      <w:r w:rsidR="0012273F">
        <w:t>)</w:t>
      </w:r>
      <w:r w:rsidR="003136F6">
        <w:t>. Here we employ redox labelled DNA hairpins</w:t>
      </w:r>
      <w:r w:rsidR="000B59E5">
        <w:t xml:space="preserve"> </w:t>
      </w:r>
      <w:r w:rsidR="0012273F">
        <w:t>(</w:t>
      </w:r>
      <w:r w:rsidR="003136F6" w:rsidRPr="00EE2C87">
        <w:t>1</w:t>
      </w:r>
      <w:r w:rsidR="00430D05">
        <w:t>5</w:t>
      </w:r>
      <w:r w:rsidR="0012273F">
        <w:t>)</w:t>
      </w:r>
      <w:r w:rsidR="003136F6" w:rsidRPr="00EE2C87">
        <w:t>,</w:t>
      </w:r>
      <w:r w:rsidR="0012273F">
        <w:t>(</w:t>
      </w:r>
      <w:r w:rsidR="00A2218D" w:rsidRPr="00EE2C87">
        <w:t>1</w:t>
      </w:r>
      <w:r w:rsidR="00430D05">
        <w:t>6</w:t>
      </w:r>
      <w:r w:rsidR="0012273F">
        <w:t>),</w:t>
      </w:r>
      <w:r w:rsidR="003136F6" w:rsidRPr="0012273F">
        <w:t xml:space="preserve"> </w:t>
      </w:r>
      <w:r w:rsidR="003136F6">
        <w:t xml:space="preserve">as a model system to demonstrate our multi-modal measurement capability. These DNA hairpins change conformation upon binding to a complementary DNA strand, which leads to a shift in the electrochemical activity of the redox label. Although this change in redox activity </w:t>
      </w:r>
      <w:r w:rsidR="00444295">
        <w:t xml:space="preserve">is typically used to indicate </w:t>
      </w:r>
      <w:r w:rsidR="003136F6">
        <w:t xml:space="preserve">a change in the structure of the </w:t>
      </w:r>
      <w:r w:rsidR="009F2C8B">
        <w:t xml:space="preserve">immobilized </w:t>
      </w:r>
      <w:r w:rsidR="003136F6">
        <w:t>DNA layer,</w:t>
      </w:r>
      <w:r w:rsidR="00444295">
        <w:t xml:space="preserve"> electrochemical measurements alone </w:t>
      </w:r>
      <w:r w:rsidR="005B3D2C">
        <w:t>cannot</w:t>
      </w:r>
      <w:r w:rsidR="003136F6">
        <w:t xml:space="preserve"> </w:t>
      </w:r>
      <w:r w:rsidR="00444295">
        <w:t>unambiguously confirm a change in structure or provide a</w:t>
      </w:r>
      <w:r w:rsidR="003136F6">
        <w:t xml:space="preserve"> quantitative measure of molecular conformation</w:t>
      </w:r>
      <w:r w:rsidR="00444295">
        <w:t xml:space="preserve">. </w:t>
      </w:r>
      <w:r w:rsidR="009F4BE6">
        <w:t xml:space="preserve">Our technology </w:t>
      </w:r>
      <w:r w:rsidR="003D676C">
        <w:t xml:space="preserve">precisely </w:t>
      </w:r>
      <w:r w:rsidR="009F4BE6">
        <w:t>resolves</w:t>
      </w:r>
      <w:r w:rsidR="00DC5EDD">
        <w:t xml:space="preserve"> </w:t>
      </w:r>
      <w:r w:rsidR="009F4BE6">
        <w:t>this ambiguity</w:t>
      </w:r>
      <w:r w:rsidR="00DC5EDD">
        <w:t xml:space="preserve"> </w:t>
      </w:r>
      <w:r w:rsidR="009F4BE6">
        <w:t xml:space="preserve">and lack of quantitative </w:t>
      </w:r>
      <w:r w:rsidR="00D100B8">
        <w:t>analysis</w:t>
      </w:r>
      <w:r w:rsidR="00DC5EDD">
        <w:t xml:space="preserve">, </w:t>
      </w:r>
      <w:r w:rsidR="00DC5EDD" w:rsidRPr="004F7F24">
        <w:rPr>
          <w:i/>
        </w:rPr>
        <w:t xml:space="preserve">in </w:t>
      </w:r>
      <w:r w:rsidR="007C1B30" w:rsidRPr="004F7F24">
        <w:rPr>
          <w:i/>
        </w:rPr>
        <w:t>situ</w:t>
      </w:r>
      <w:r w:rsidR="007C1B30" w:rsidRPr="004F7F24">
        <w:t>,</w:t>
      </w:r>
      <w:r w:rsidR="007C1B30">
        <w:t xml:space="preserve"> by</w:t>
      </w:r>
      <w:r w:rsidR="009F4BE6">
        <w:t xml:space="preserve"> combining optical measurements of molecular conformation with complementary electrochemical characterization of redox activity.</w:t>
      </w:r>
    </w:p>
    <w:p w14:paraId="67DD8C7D" w14:textId="1E92E7CE" w:rsidR="00E35832" w:rsidRDefault="00E35832" w:rsidP="004D5850">
      <w:pPr>
        <w:pStyle w:val="TAMainText"/>
      </w:pPr>
      <w:r w:rsidRPr="00E35832">
        <w:t xml:space="preserve">Our model system consists of an electroactive DNA hairpin (iba GmbH) modified at the 3'- end with methylene blue (MB) as the redox probe. This </w:t>
      </w:r>
      <w:r w:rsidR="00777AD9" w:rsidRPr="00E35832">
        <w:t>oligonucleotide</w:t>
      </w:r>
      <w:r w:rsidRPr="00E35832">
        <w:t xml:space="preserve">, named MB-DNA, undergoes conformational change upon exposure to a complementary DNA strand (named </w:t>
      </w:r>
      <w:r w:rsidR="005B3D2C">
        <w:t>Catalyst</w:t>
      </w:r>
      <w:r w:rsidRPr="00E35832">
        <w:t>) which binds to a short toe-hold thereby displacing the double-stranded neck-region (shown schematically in Fig</w:t>
      </w:r>
      <w:r>
        <w:t>ure</w:t>
      </w:r>
      <w:r w:rsidRPr="00E35832">
        <w:t xml:space="preserve"> </w:t>
      </w:r>
      <w:r w:rsidR="00311704">
        <w:t>5</w:t>
      </w:r>
      <w:r w:rsidRPr="00E35832">
        <w:t>). The 5'- end of MB-DNA strand is thiol modified</w:t>
      </w:r>
      <w:r w:rsidR="00C401B7">
        <w:t>, which</w:t>
      </w:r>
      <w:r w:rsidR="00C401B7" w:rsidRPr="005C653D">
        <w:t xml:space="preserve"> can be bound covalently to a thiol (-SH) reactive surface.</w:t>
      </w:r>
      <w:r w:rsidR="00C401B7">
        <w:t xml:space="preserve"> </w:t>
      </w:r>
      <w:r w:rsidR="00C401B7" w:rsidRPr="005C653D">
        <w:t>Accordingly, the silicon sensor surface was modified to create a thiol reactive Cu</w:t>
      </w:r>
      <w:r w:rsidR="00C401B7" w:rsidRPr="005C653D">
        <w:rPr>
          <w:vertAlign w:val="superscript"/>
        </w:rPr>
        <w:t>1+</w:t>
      </w:r>
      <w:r w:rsidR="00C401B7" w:rsidRPr="005C653D">
        <w:t xml:space="preserve"> surface</w:t>
      </w:r>
      <w:r w:rsidR="000B59E5">
        <w:t xml:space="preserve"> </w:t>
      </w:r>
      <w:r w:rsidR="0012273F">
        <w:t>(</w:t>
      </w:r>
      <w:r w:rsidR="00C401B7" w:rsidRPr="00EE2C87">
        <w:t>1</w:t>
      </w:r>
      <w:r w:rsidR="00430D05">
        <w:t>7</w:t>
      </w:r>
      <w:r w:rsidR="0012273F">
        <w:t>)</w:t>
      </w:r>
      <w:r w:rsidR="00C401B7" w:rsidRPr="005C653D">
        <w:t xml:space="preserve"> (see SI). </w:t>
      </w:r>
      <w:r w:rsidRPr="00E35832">
        <w:t xml:space="preserve">The sequences of MB-DNA and </w:t>
      </w:r>
      <w:r w:rsidR="005B3D2C">
        <w:t>Catalyst</w:t>
      </w:r>
      <w:r w:rsidRPr="00E35832">
        <w:t xml:space="preserve"> are given in the </w:t>
      </w:r>
      <w:r w:rsidR="0058318B">
        <w:t>supporting</w:t>
      </w:r>
      <w:r w:rsidRPr="00E35832">
        <w:t xml:space="preserve"> information and were obtained from</w:t>
      </w:r>
      <w:r w:rsidR="000B59E5">
        <w:t xml:space="preserve"> </w:t>
      </w:r>
      <w:r w:rsidR="0012273F">
        <w:t>(1</w:t>
      </w:r>
      <w:r w:rsidR="001D663A">
        <w:t>8</w:t>
      </w:r>
      <w:r w:rsidR="0012273F">
        <w:t>)</w:t>
      </w:r>
      <w:r w:rsidRPr="00E35832">
        <w:t>.</w:t>
      </w:r>
    </w:p>
    <w:p w14:paraId="39638F25" w14:textId="039E030F" w:rsidR="00175023" w:rsidRPr="00E35832" w:rsidRDefault="00175023" w:rsidP="004D5850">
      <w:pPr>
        <w:pStyle w:val="TAMainText"/>
      </w:pPr>
    </w:p>
    <w:p w14:paraId="643CF14F" w14:textId="56C49AD0" w:rsidR="00B11357" w:rsidRDefault="00175023" w:rsidP="004D5850">
      <w:pPr>
        <w:pStyle w:val="TAMainText"/>
      </w:pPr>
      <w:r>
        <w:rPr>
          <w:b/>
        </w:rPr>
        <w:t>Figure</w:t>
      </w:r>
      <w:r>
        <w:t xml:space="preserve"> </w:t>
      </w:r>
      <w:r w:rsidR="00311704">
        <w:t>5</w:t>
      </w:r>
      <w:r>
        <w:t xml:space="preserve">. </w:t>
      </w:r>
      <w:r w:rsidRPr="00175023">
        <w:t xml:space="preserve">Illustration of a toehold-mediated conformational change of the MB-DNA. MB-DNA closed) The MB-DNA strand is </w:t>
      </w:r>
      <w:r w:rsidR="009F2C8B" w:rsidRPr="00175023">
        <w:t>immobili</w:t>
      </w:r>
      <w:r w:rsidR="009F2C8B">
        <w:t>z</w:t>
      </w:r>
      <w:r w:rsidR="009F2C8B" w:rsidRPr="00175023">
        <w:t xml:space="preserve">ed </w:t>
      </w:r>
      <w:r w:rsidRPr="00175023">
        <w:t xml:space="preserve">on the sensors. MB-DNA open) Toehold-mediated displacement triggered by the </w:t>
      </w:r>
      <w:r w:rsidR="006C0943">
        <w:t>ssDNA Catalyst</w:t>
      </w:r>
      <w:r w:rsidR="006C0943" w:rsidRPr="00175023">
        <w:t xml:space="preserve"> </w:t>
      </w:r>
      <w:r w:rsidRPr="00175023">
        <w:t>strand results in a conformational change of the MB-DNA strand.</w:t>
      </w:r>
      <w:r w:rsidR="003609D3">
        <w:t xml:space="preserve"> Due to the high flexibility </w:t>
      </w:r>
      <w:r w:rsidR="006C0943">
        <w:t>of the resulting</w:t>
      </w:r>
      <w:r w:rsidR="003609D3">
        <w:t xml:space="preserve"> single stranded region</w:t>
      </w:r>
      <w:r w:rsidR="006C0943">
        <w:t xml:space="preserve"> attached to the sensor surface</w:t>
      </w:r>
      <w:r w:rsidR="003609D3">
        <w:t xml:space="preserve">, the </w:t>
      </w:r>
      <w:r w:rsidR="000F5038">
        <w:t>MB-DNA collapses on the surface</w:t>
      </w:r>
      <w:r w:rsidR="003609D3">
        <w:t>.</w:t>
      </w:r>
      <w:r w:rsidR="00B11357" w:rsidRPr="00B11357">
        <w:t xml:space="preserve"> </w:t>
      </w:r>
    </w:p>
    <w:p w14:paraId="22FECF42" w14:textId="77777777" w:rsidR="00B11357" w:rsidRDefault="00B11357" w:rsidP="004D5850">
      <w:pPr>
        <w:pStyle w:val="TAMainText"/>
      </w:pPr>
    </w:p>
    <w:p w14:paraId="5A7765C0" w14:textId="2B4306DE" w:rsidR="00B11357" w:rsidRDefault="00B11357" w:rsidP="004D5850">
      <w:pPr>
        <w:pStyle w:val="TAMainText"/>
      </w:pPr>
      <w:r w:rsidRPr="003C627E">
        <w:t>Following formation of the Cu</w:t>
      </w:r>
      <w:r w:rsidRPr="003C627E">
        <w:rPr>
          <w:vertAlign w:val="superscript"/>
        </w:rPr>
        <w:t>1+</w:t>
      </w:r>
      <w:r w:rsidRPr="003C627E">
        <w:t xml:space="preserve"> modified silicon surface</w:t>
      </w:r>
      <w:r>
        <w:t xml:space="preserve"> (see SI), </w:t>
      </w:r>
      <w:r w:rsidRPr="003C627E">
        <w:t>a solution of MB-DNA (in PB (pH 7)) at a concentration of 1</w:t>
      </w:r>
      <w:r w:rsidR="00DC4123">
        <w:t xml:space="preserve"> </w:t>
      </w:r>
      <w:r w:rsidRPr="003C627E">
        <w:t xml:space="preserve">µM was injected over </w:t>
      </w:r>
      <w:r>
        <w:t xml:space="preserve">the </w:t>
      </w:r>
      <w:r w:rsidRPr="003C627E">
        <w:t>sensor surface at 20 µL/min (Fig</w:t>
      </w:r>
      <w:r>
        <w:t>ure</w:t>
      </w:r>
      <w:r w:rsidRPr="003C627E">
        <w:t xml:space="preserve"> </w:t>
      </w:r>
      <w:r>
        <w:t>5</w:t>
      </w:r>
      <w:r w:rsidRPr="003C627E">
        <w:t xml:space="preserve">, MB-DNA closed), until a stable wavelength shift was observed after 50 mins indicating saturation. For simplicity, the absolute wavelength shift at the end of each step </w:t>
      </w:r>
      <w:r>
        <w:t>is</w:t>
      </w:r>
      <w:r w:rsidRPr="003C627E">
        <w:t xml:space="preserve"> shown for this experiment in table 2. </w:t>
      </w:r>
    </w:p>
    <w:p w14:paraId="6E03C27F" w14:textId="2D53CC08" w:rsidR="00511D71" w:rsidRPr="00175023" w:rsidRDefault="00511D71" w:rsidP="00175023">
      <w:pPr>
        <w:pStyle w:val="VAFigureCaption"/>
        <w:rPr>
          <w:b/>
        </w:rPr>
      </w:pPr>
    </w:p>
    <w:tbl>
      <w:tblPr>
        <w:tblStyle w:val="TableGrid"/>
        <w:tblW w:w="4796" w:type="dxa"/>
        <w:tblLayout w:type="fixed"/>
        <w:tblLook w:val="04A0" w:firstRow="1" w:lastRow="0" w:firstColumn="1" w:lastColumn="0" w:noHBand="0" w:noVBand="1"/>
      </w:tblPr>
      <w:tblGrid>
        <w:gridCol w:w="851"/>
        <w:gridCol w:w="850"/>
        <w:gridCol w:w="851"/>
        <w:gridCol w:w="1134"/>
        <w:gridCol w:w="1110"/>
      </w:tblGrid>
      <w:tr w:rsidR="00B11357" w:rsidRPr="00655E37" w14:paraId="5D010281" w14:textId="77777777" w:rsidTr="00EE2C87">
        <w:trPr>
          <w:trHeight w:val="213"/>
        </w:trPr>
        <w:tc>
          <w:tcPr>
            <w:tcW w:w="851" w:type="dxa"/>
            <w:vMerge w:val="restart"/>
            <w:vAlign w:val="center"/>
          </w:tcPr>
          <w:p w14:paraId="3B4C55A5" w14:textId="77777777" w:rsidR="00B11357" w:rsidRPr="00655E37" w:rsidRDefault="00B11357" w:rsidP="00B11357">
            <w:pPr>
              <w:pStyle w:val="TCTableBody"/>
              <w:framePr w:hSpace="0" w:wrap="auto" w:vAnchor="margin" w:hAnchor="text" w:yAlign="inline"/>
            </w:pPr>
            <w:r w:rsidRPr="00655E37">
              <w:t>Step</w:t>
            </w:r>
          </w:p>
        </w:tc>
        <w:tc>
          <w:tcPr>
            <w:tcW w:w="1701" w:type="dxa"/>
            <w:gridSpan w:val="2"/>
          </w:tcPr>
          <w:p w14:paraId="7A7E81D1" w14:textId="77777777" w:rsidR="00B11357" w:rsidRPr="00655E37" w:rsidRDefault="00B11357" w:rsidP="00B11357">
            <w:pPr>
              <w:pStyle w:val="TCTableBody"/>
              <w:framePr w:hSpace="0" w:wrap="auto" w:vAnchor="margin" w:hAnchor="text" w:yAlign="inline"/>
            </w:pPr>
            <w:r w:rsidRPr="00655E37">
              <w:t>Absolute</w:t>
            </w:r>
          </w:p>
          <w:p w14:paraId="624717D3" w14:textId="77777777" w:rsidR="00B11357" w:rsidRPr="00655E37" w:rsidRDefault="00B11357" w:rsidP="00B11357">
            <w:pPr>
              <w:pStyle w:val="TCTableBody"/>
              <w:framePr w:hSpace="0" w:wrap="auto" w:vAnchor="margin" w:hAnchor="text" w:yAlign="inline"/>
            </w:pPr>
            <w:r w:rsidRPr="00655E37">
              <w:t>wavelength shift</w:t>
            </w:r>
            <w:r>
              <w:t xml:space="preserve"> [nm]</w:t>
            </w:r>
          </w:p>
        </w:tc>
        <w:tc>
          <w:tcPr>
            <w:tcW w:w="1134" w:type="dxa"/>
            <w:vMerge w:val="restart"/>
            <w:vAlign w:val="center"/>
          </w:tcPr>
          <w:p w14:paraId="5C69DEE1" w14:textId="77777777" w:rsidR="00B11357" w:rsidRPr="00655E37" w:rsidRDefault="00B11357" w:rsidP="00B11357">
            <w:pPr>
              <w:pStyle w:val="TCTableBody"/>
              <w:framePr w:hSpace="0" w:wrap="auto" w:vAnchor="margin" w:hAnchor="text" w:yAlign="inline"/>
            </w:pPr>
            <w:r w:rsidRPr="00655E37">
              <w:t>Thickness</w:t>
            </w:r>
          </w:p>
          <w:p w14:paraId="649846C9" w14:textId="77777777" w:rsidR="00B11357" w:rsidRPr="00655E37" w:rsidRDefault="00B11357" w:rsidP="00B11357">
            <w:pPr>
              <w:pStyle w:val="TCTableBody"/>
              <w:framePr w:hSpace="0" w:wrap="auto" w:vAnchor="margin" w:hAnchor="text" w:yAlign="inline"/>
              <w:rPr>
                <w:i/>
              </w:rPr>
            </w:pPr>
            <w:r>
              <w:rPr>
                <w:i/>
              </w:rPr>
              <w:t xml:space="preserve">t </w:t>
            </w:r>
            <w:r w:rsidRPr="001B203E">
              <w:t>[nm]</w:t>
            </w:r>
          </w:p>
        </w:tc>
        <w:tc>
          <w:tcPr>
            <w:tcW w:w="1110" w:type="dxa"/>
            <w:vMerge w:val="restart"/>
            <w:vAlign w:val="center"/>
          </w:tcPr>
          <w:p w14:paraId="40E0802F" w14:textId="77777777" w:rsidR="00B11357" w:rsidRPr="00655E37" w:rsidRDefault="00B11357" w:rsidP="00B11357">
            <w:pPr>
              <w:pStyle w:val="TCTableBody"/>
              <w:framePr w:hSpace="0" w:wrap="auto" w:vAnchor="margin" w:hAnchor="text" w:yAlign="inline"/>
            </w:pPr>
            <w:r w:rsidRPr="00655E37">
              <w:t>Refractive index</w:t>
            </w:r>
          </w:p>
          <w:p w14:paraId="7FA26BE1" w14:textId="77777777" w:rsidR="00B11357" w:rsidRDefault="00B11357" w:rsidP="00B11357">
            <w:pPr>
              <w:pStyle w:val="TCTableBody"/>
              <w:framePr w:hSpace="0" w:wrap="auto" w:vAnchor="margin" w:hAnchor="text" w:yAlign="inline"/>
            </w:pPr>
            <w:r w:rsidRPr="00655E37">
              <w:t>n</w:t>
            </w:r>
          </w:p>
          <w:p w14:paraId="15118AA8" w14:textId="77777777" w:rsidR="00B11357" w:rsidRPr="001B203E" w:rsidRDefault="00B11357" w:rsidP="00B11357">
            <w:pPr>
              <w:pStyle w:val="TCTableBody"/>
              <w:framePr w:hSpace="0" w:wrap="auto" w:vAnchor="margin" w:hAnchor="text" w:yAlign="inline"/>
            </w:pPr>
            <w:r w:rsidRPr="001B203E">
              <w:t>[RIU]</w:t>
            </w:r>
          </w:p>
        </w:tc>
      </w:tr>
      <w:tr w:rsidR="00B11357" w:rsidRPr="00655E37" w14:paraId="787FE6F0" w14:textId="77777777" w:rsidTr="00EE2C87">
        <w:trPr>
          <w:trHeight w:val="213"/>
        </w:trPr>
        <w:tc>
          <w:tcPr>
            <w:tcW w:w="851" w:type="dxa"/>
            <w:vMerge/>
          </w:tcPr>
          <w:p w14:paraId="0ACA06E7" w14:textId="77777777" w:rsidR="00B11357" w:rsidRPr="00655E37" w:rsidRDefault="00B11357" w:rsidP="00B11357">
            <w:pPr>
              <w:pStyle w:val="TCTableBody"/>
              <w:framePr w:hSpace="0" w:wrap="auto" w:vAnchor="margin" w:hAnchor="text" w:yAlign="inline"/>
            </w:pPr>
          </w:p>
        </w:tc>
        <w:tc>
          <w:tcPr>
            <w:tcW w:w="850" w:type="dxa"/>
          </w:tcPr>
          <w:p w14:paraId="03777EF3" w14:textId="77777777" w:rsidR="00B11357" w:rsidRPr="00655E37" w:rsidRDefault="00B11357" w:rsidP="00B11357">
            <w:pPr>
              <w:pStyle w:val="TCTableBody"/>
              <w:framePr w:hSpace="0" w:wrap="auto" w:vAnchor="margin" w:hAnchor="text" w:yAlign="inline"/>
            </w:pPr>
            <w:r>
              <w:t xml:space="preserve">480 </w:t>
            </w:r>
            <w:r w:rsidRPr="00655E37">
              <w:t>nm sensor</w:t>
            </w:r>
          </w:p>
        </w:tc>
        <w:tc>
          <w:tcPr>
            <w:tcW w:w="851" w:type="dxa"/>
          </w:tcPr>
          <w:p w14:paraId="1A4DD824" w14:textId="77777777" w:rsidR="00B11357" w:rsidRPr="00655E37" w:rsidRDefault="00B11357" w:rsidP="00B11357">
            <w:pPr>
              <w:pStyle w:val="TCTableBody"/>
              <w:framePr w:hSpace="0" w:wrap="auto" w:vAnchor="margin" w:hAnchor="text" w:yAlign="inline"/>
            </w:pPr>
            <w:r w:rsidRPr="00655E37">
              <w:t>580 nm</w:t>
            </w:r>
            <w:r>
              <w:t xml:space="preserve"> </w:t>
            </w:r>
            <w:r w:rsidRPr="00655E37">
              <w:t>sensor</w:t>
            </w:r>
          </w:p>
        </w:tc>
        <w:tc>
          <w:tcPr>
            <w:tcW w:w="1134" w:type="dxa"/>
            <w:vMerge/>
          </w:tcPr>
          <w:p w14:paraId="3769A8D5" w14:textId="77777777" w:rsidR="00B11357" w:rsidRPr="00655E37" w:rsidRDefault="00B11357" w:rsidP="00B11357">
            <w:pPr>
              <w:pStyle w:val="TCTableBody"/>
              <w:framePr w:hSpace="0" w:wrap="auto" w:vAnchor="margin" w:hAnchor="text" w:yAlign="inline"/>
            </w:pPr>
          </w:p>
        </w:tc>
        <w:tc>
          <w:tcPr>
            <w:tcW w:w="1110" w:type="dxa"/>
            <w:vMerge/>
          </w:tcPr>
          <w:p w14:paraId="6B7EBF5B" w14:textId="77777777" w:rsidR="00B11357" w:rsidRPr="00655E37" w:rsidRDefault="00B11357" w:rsidP="00B11357">
            <w:pPr>
              <w:pStyle w:val="TCTableBody"/>
              <w:framePr w:hSpace="0" w:wrap="auto" w:vAnchor="margin" w:hAnchor="text" w:yAlign="inline"/>
            </w:pPr>
          </w:p>
        </w:tc>
      </w:tr>
      <w:tr w:rsidR="00B11357" w:rsidRPr="00655E37" w14:paraId="4EC2071B" w14:textId="77777777" w:rsidTr="00EE2C87">
        <w:tc>
          <w:tcPr>
            <w:tcW w:w="851" w:type="dxa"/>
          </w:tcPr>
          <w:p w14:paraId="5DCB8025" w14:textId="77777777" w:rsidR="00B11357" w:rsidRPr="00655E37" w:rsidRDefault="00B11357" w:rsidP="00B11357">
            <w:pPr>
              <w:pStyle w:val="TCTableBody"/>
              <w:framePr w:hSpace="0" w:wrap="auto" w:vAnchor="margin" w:hAnchor="text" w:yAlign="inline"/>
            </w:pPr>
            <w:r w:rsidRPr="00655E37">
              <w:t>MB-DNA closed</w:t>
            </w:r>
          </w:p>
        </w:tc>
        <w:tc>
          <w:tcPr>
            <w:tcW w:w="850" w:type="dxa"/>
          </w:tcPr>
          <w:p w14:paraId="62FFE820" w14:textId="77777777" w:rsidR="00B11357" w:rsidRPr="00D100B8" w:rsidRDefault="00B11357" w:rsidP="00B11357">
            <w:pPr>
              <w:pStyle w:val="TCTableBody"/>
              <w:framePr w:hSpace="0" w:wrap="auto" w:vAnchor="margin" w:hAnchor="text" w:yAlign="inline"/>
            </w:pPr>
            <w:r w:rsidRPr="00D100B8">
              <w:t>0.2784</w:t>
            </w:r>
          </w:p>
        </w:tc>
        <w:tc>
          <w:tcPr>
            <w:tcW w:w="851" w:type="dxa"/>
          </w:tcPr>
          <w:p w14:paraId="0E7907EB" w14:textId="77777777" w:rsidR="00B11357" w:rsidRPr="00D100B8" w:rsidRDefault="00B11357" w:rsidP="00B11357">
            <w:pPr>
              <w:pStyle w:val="TCTableBody"/>
              <w:framePr w:hSpace="0" w:wrap="auto" w:vAnchor="margin" w:hAnchor="text" w:yAlign="inline"/>
            </w:pPr>
            <w:r w:rsidRPr="00D100B8">
              <w:t>0.2028</w:t>
            </w:r>
          </w:p>
        </w:tc>
        <w:tc>
          <w:tcPr>
            <w:tcW w:w="1134" w:type="dxa"/>
          </w:tcPr>
          <w:p w14:paraId="54317240" w14:textId="77777777" w:rsidR="00B11357" w:rsidRPr="00D100B8" w:rsidRDefault="00B11357" w:rsidP="00B11357">
            <w:pPr>
              <w:pStyle w:val="TCTableBody"/>
              <w:framePr w:hSpace="0" w:wrap="auto" w:vAnchor="margin" w:hAnchor="text" w:yAlign="inline"/>
            </w:pPr>
            <w:r w:rsidRPr="00D100B8">
              <w:t xml:space="preserve">1.97 </w:t>
            </w:r>
            <w:r>
              <w:t>±</w:t>
            </w:r>
            <w:r w:rsidRPr="00D100B8">
              <w:t xml:space="preserve"> 0.05</w:t>
            </w:r>
          </w:p>
          <w:p w14:paraId="07F8DDB7" w14:textId="77777777" w:rsidR="00B11357" w:rsidRPr="00D100B8" w:rsidRDefault="00B11357" w:rsidP="00B11357">
            <w:pPr>
              <w:pStyle w:val="TCTableBody"/>
              <w:framePr w:hSpace="0" w:wrap="auto" w:vAnchor="margin" w:hAnchor="text" w:yAlign="inline"/>
            </w:pPr>
          </w:p>
        </w:tc>
        <w:tc>
          <w:tcPr>
            <w:tcW w:w="1110" w:type="dxa"/>
          </w:tcPr>
          <w:p w14:paraId="715E6E80" w14:textId="77777777" w:rsidR="00B11357" w:rsidRPr="00D100B8" w:rsidRDefault="00B11357" w:rsidP="00B11357">
            <w:pPr>
              <w:pStyle w:val="TCTableBody"/>
              <w:framePr w:hSpace="0" w:wrap="auto" w:vAnchor="margin" w:hAnchor="text" w:yAlign="inline"/>
            </w:pPr>
            <w:r w:rsidRPr="00D100B8">
              <w:t xml:space="preserve">1.427 </w:t>
            </w:r>
            <w:r>
              <w:t>±</w:t>
            </w:r>
            <w:r w:rsidRPr="00D100B8">
              <w:t xml:space="preserve"> 0.005</w:t>
            </w:r>
          </w:p>
        </w:tc>
      </w:tr>
      <w:tr w:rsidR="00B11357" w:rsidRPr="00655E37" w14:paraId="331A60D0" w14:textId="77777777" w:rsidTr="00EE2C87">
        <w:tc>
          <w:tcPr>
            <w:tcW w:w="851" w:type="dxa"/>
          </w:tcPr>
          <w:p w14:paraId="04977226" w14:textId="77777777" w:rsidR="00B11357" w:rsidRPr="00655E37" w:rsidRDefault="00B11357" w:rsidP="00B11357">
            <w:pPr>
              <w:pStyle w:val="TCTableBody"/>
              <w:framePr w:hSpace="0" w:wrap="auto" w:vAnchor="margin" w:hAnchor="text" w:yAlign="inline"/>
            </w:pPr>
            <w:r w:rsidRPr="00655E37">
              <w:t>MB-DNA open</w:t>
            </w:r>
          </w:p>
        </w:tc>
        <w:tc>
          <w:tcPr>
            <w:tcW w:w="850" w:type="dxa"/>
          </w:tcPr>
          <w:p w14:paraId="4102DF64" w14:textId="77777777" w:rsidR="00B11357" w:rsidRPr="00D100B8" w:rsidRDefault="00B11357" w:rsidP="00B11357">
            <w:pPr>
              <w:pStyle w:val="TCTableBody"/>
              <w:framePr w:hSpace="0" w:wrap="auto" w:vAnchor="margin" w:hAnchor="text" w:yAlign="inline"/>
            </w:pPr>
            <w:r w:rsidRPr="00D100B8">
              <w:t>0.455</w:t>
            </w:r>
          </w:p>
        </w:tc>
        <w:tc>
          <w:tcPr>
            <w:tcW w:w="851" w:type="dxa"/>
          </w:tcPr>
          <w:p w14:paraId="2640D306" w14:textId="77777777" w:rsidR="00B11357" w:rsidRPr="00D100B8" w:rsidRDefault="00B11357" w:rsidP="00B11357">
            <w:pPr>
              <w:pStyle w:val="TCTableBody"/>
              <w:framePr w:hSpace="0" w:wrap="auto" w:vAnchor="margin" w:hAnchor="text" w:yAlign="inline"/>
            </w:pPr>
            <w:r w:rsidRPr="00D100B8">
              <w:t xml:space="preserve">0.3158 </w:t>
            </w:r>
          </w:p>
        </w:tc>
        <w:tc>
          <w:tcPr>
            <w:tcW w:w="1134" w:type="dxa"/>
          </w:tcPr>
          <w:p w14:paraId="1FEC62E6" w14:textId="77777777" w:rsidR="00B11357" w:rsidRPr="00D100B8" w:rsidRDefault="00B11357" w:rsidP="00B11357">
            <w:pPr>
              <w:pStyle w:val="TCTableBody"/>
              <w:framePr w:hSpace="0" w:wrap="auto" w:vAnchor="margin" w:hAnchor="text" w:yAlign="inline"/>
            </w:pPr>
            <w:r w:rsidRPr="00D100B8">
              <w:t xml:space="preserve">2.21 </w:t>
            </w:r>
            <w:r>
              <w:t>±</w:t>
            </w:r>
            <w:r w:rsidRPr="00D100B8">
              <w:t xml:space="preserve"> 0.05</w:t>
            </w:r>
          </w:p>
        </w:tc>
        <w:tc>
          <w:tcPr>
            <w:tcW w:w="1110" w:type="dxa"/>
          </w:tcPr>
          <w:p w14:paraId="4A9AE39A" w14:textId="77777777" w:rsidR="00B11357" w:rsidRPr="00D100B8" w:rsidRDefault="00B11357" w:rsidP="00B11357">
            <w:pPr>
              <w:pStyle w:val="TCTableBody"/>
              <w:framePr w:hSpace="0" w:wrap="auto" w:vAnchor="margin" w:hAnchor="text" w:yAlign="inline"/>
            </w:pPr>
            <w:r w:rsidRPr="00D100B8">
              <w:t xml:space="preserve">1.443 </w:t>
            </w:r>
            <w:r>
              <w:t>±</w:t>
            </w:r>
            <w:r w:rsidRPr="00D100B8">
              <w:t xml:space="preserve"> 0.005</w:t>
            </w:r>
          </w:p>
        </w:tc>
      </w:tr>
    </w:tbl>
    <w:p w14:paraId="19C43041" w14:textId="77777777" w:rsidR="004177A3" w:rsidRDefault="004177A3" w:rsidP="004D5850">
      <w:pPr>
        <w:pStyle w:val="TAMainText"/>
      </w:pPr>
    </w:p>
    <w:p w14:paraId="167BF4CC" w14:textId="77777777" w:rsidR="00655E37" w:rsidRDefault="004177A3" w:rsidP="004177A3">
      <w:pPr>
        <w:pStyle w:val="VDTableTitle"/>
      </w:pPr>
      <w:r>
        <w:t xml:space="preserve">Table 2. </w:t>
      </w:r>
      <w:r w:rsidRPr="004177A3">
        <w:t>Optical monitoring response analysis of a toehold-mediated conformational change of the MB-DNA.</w:t>
      </w:r>
    </w:p>
    <w:p w14:paraId="0F8C2BC9" w14:textId="77777777" w:rsidR="00621A26" w:rsidRDefault="00621A26" w:rsidP="004D5850">
      <w:pPr>
        <w:pStyle w:val="TAMainText"/>
      </w:pPr>
    </w:p>
    <w:p w14:paraId="631A47F1" w14:textId="363551F6" w:rsidR="004177A3" w:rsidRPr="004177A3" w:rsidRDefault="004177A3" w:rsidP="004D5850">
      <w:pPr>
        <w:pStyle w:val="TAMainText"/>
      </w:pPr>
      <w:r w:rsidRPr="004177A3">
        <w:t xml:space="preserve">After resolving the two-system equation for the experimental data of table 2 (accounting for the presence of the MPTS-Cu layer, see </w:t>
      </w:r>
      <w:r w:rsidR="00784187">
        <w:t>SI</w:t>
      </w:r>
      <w:r w:rsidRPr="004177A3">
        <w:t xml:space="preserve">), we find that the thickness and refractive index of the MB-DNA monolayer is </w:t>
      </w:r>
      <m:oMath>
        <m:r>
          <w:rPr>
            <w:rFonts w:ascii="Cambria Math" w:hAnsi="Cambria Math"/>
          </w:rPr>
          <m:t>t</m:t>
        </m:r>
      </m:oMath>
      <w:r w:rsidRPr="004177A3">
        <w:t xml:space="preserve"> = 1.97 </w:t>
      </w:r>
      <w:r w:rsidR="00B332EB">
        <w:t>±</w:t>
      </w:r>
      <w:r w:rsidRPr="004177A3">
        <w:t xml:space="preserve"> 0.05 nm and </w:t>
      </w:r>
      <m:oMath>
        <m:r>
          <w:rPr>
            <w:rFonts w:ascii="Cambria Math" w:hAnsi="Cambria Math"/>
          </w:rPr>
          <m:t>n</m:t>
        </m:r>
      </m:oMath>
      <w:r w:rsidRPr="004177A3">
        <w:t xml:space="preserve"> = 1.427 </w:t>
      </w:r>
      <w:r w:rsidR="00B332EB">
        <w:t>±</w:t>
      </w:r>
      <w:r w:rsidRPr="004177A3">
        <w:t xml:space="preserve"> 0.005 RIU, respectively. Assuming a uniform surface density, consistent orientation of the MB-DNA molecule and polymorphic orientation of the single stranded loop </w:t>
      </w:r>
      <w:r w:rsidR="00665872" w:rsidRPr="004177A3">
        <w:t>region</w:t>
      </w:r>
      <w:r w:rsidR="00665872">
        <w:t xml:space="preserve"> (</w:t>
      </w:r>
      <w:r w:rsidR="00897A78" w:rsidRPr="00EE2C87">
        <w:t>20</w:t>
      </w:r>
      <w:r w:rsidR="0012273F">
        <w:t>)</w:t>
      </w:r>
      <w:r w:rsidRPr="004177A3">
        <w:t>, the angle of the molecules with respect to the silicon surface is calculated to be 21.2°. Such a high tilt angle suggests a low density DNA monolayer. This is confirmed by electrochemical measurements of the MB redox active label (Fig</w:t>
      </w:r>
      <w:r>
        <w:t>ure</w:t>
      </w:r>
      <w:r w:rsidRPr="004177A3">
        <w:t xml:space="preserve"> </w:t>
      </w:r>
      <w:r w:rsidR="00311704">
        <w:t>6</w:t>
      </w:r>
      <w:r w:rsidR="00F7273B">
        <w:t>(a)-(b)</w:t>
      </w:r>
      <w:r w:rsidRPr="004177A3">
        <w:t>). From the area under the MB reduction peak (at -0.5 V) we calculate the density of MB-DNA at the surface to be equal to 1 x10</w:t>
      </w:r>
      <w:r w:rsidRPr="004177A3">
        <w:rPr>
          <w:vertAlign w:val="superscript"/>
        </w:rPr>
        <w:t>11</w:t>
      </w:r>
      <w:r w:rsidRPr="004177A3">
        <w:t xml:space="preserve"> molecules/cm</w:t>
      </w:r>
      <w:r w:rsidRPr="004177A3">
        <w:rPr>
          <w:vertAlign w:val="superscript"/>
        </w:rPr>
        <w:t>2</w:t>
      </w:r>
      <w:r w:rsidRPr="004177A3">
        <w:t>.</w:t>
      </w:r>
      <w:r w:rsidR="001F75B4">
        <w:t xml:space="preserve"> </w:t>
      </w:r>
      <w:r w:rsidR="00B10123">
        <w:t xml:space="preserve">We note, </w:t>
      </w:r>
      <w:r w:rsidR="00841B8C">
        <w:t>qu</w:t>
      </w:r>
      <w:r w:rsidR="004969DA">
        <w:t>antification of m</w:t>
      </w:r>
      <w:r w:rsidR="00B10123">
        <w:t xml:space="preserve">olecular density </w:t>
      </w:r>
      <w:r w:rsidR="00FA608B">
        <w:t xml:space="preserve">using conventional </w:t>
      </w:r>
      <w:r w:rsidR="004969DA">
        <w:t>(i.e. und</w:t>
      </w:r>
      <w:r w:rsidR="008C4985">
        <w:t>o</w:t>
      </w:r>
      <w:r w:rsidR="004969DA">
        <w:t>ped) ring resonators, require assumptions to be made regarding the RI and structure of the surface immobilized molecules</w:t>
      </w:r>
      <w:r w:rsidR="00841B8C">
        <w:t xml:space="preserve">. Here, the density is obtained directly from the electrochemical information, </w:t>
      </w:r>
      <w:r w:rsidR="004969DA">
        <w:t xml:space="preserve">highlighting the </w:t>
      </w:r>
      <w:r w:rsidR="004C3612">
        <w:t>capabilities</w:t>
      </w:r>
      <w:r w:rsidR="004969DA">
        <w:t xml:space="preserve"> </w:t>
      </w:r>
      <w:r w:rsidR="00841B8C">
        <w:t xml:space="preserve">and benefits </w:t>
      </w:r>
      <w:r w:rsidR="004969DA">
        <w:t xml:space="preserve">of our dual-mode electro-photonic technology. </w:t>
      </w:r>
    </w:p>
    <w:p w14:paraId="0246E396" w14:textId="34D60685" w:rsidR="00F7273B" w:rsidRPr="00F7273B" w:rsidRDefault="00F7273B" w:rsidP="004D5850">
      <w:pPr>
        <w:pStyle w:val="TAMainText"/>
      </w:pPr>
      <w:r w:rsidRPr="00F7273B">
        <w:t xml:space="preserve">Next, the MB-DNA functionalized surface was exposed to 1 µM of the invading strand, </w:t>
      </w:r>
      <w:r w:rsidR="005B3D2C">
        <w:t>Catalyst</w:t>
      </w:r>
      <w:r w:rsidRPr="00F7273B">
        <w:t xml:space="preserve">, to catalyse toehold-mediated displacement and opening of the </w:t>
      </w:r>
      <w:r w:rsidR="00D87B3B" w:rsidRPr="00F7273B">
        <w:t>immobili</w:t>
      </w:r>
      <w:r w:rsidR="00D87B3B">
        <w:t>z</w:t>
      </w:r>
      <w:r w:rsidR="00D87B3B" w:rsidRPr="00F7273B">
        <w:t xml:space="preserve">ed </w:t>
      </w:r>
      <w:r w:rsidRPr="00F7273B">
        <w:t>hairpin (Fig</w:t>
      </w:r>
      <w:r>
        <w:t>ure</w:t>
      </w:r>
      <w:r w:rsidRPr="00F7273B">
        <w:t xml:space="preserve"> </w:t>
      </w:r>
      <w:r w:rsidR="00311704">
        <w:t>5</w:t>
      </w:r>
      <w:r w:rsidRPr="00F7273B">
        <w:t>, MB-DNA open). Again, the invading strand was allowed to flow over the sensor surface until a stable wavelength shift was achieved. Cyclic voltammograms now show two reduction peaks following toehold-mediated displacement; a large peak at approximately -0.6 V and a shoulder at -0.48 V (Fig</w:t>
      </w:r>
      <w:r>
        <w:t>ure</w:t>
      </w:r>
      <w:r w:rsidRPr="00F7273B">
        <w:t xml:space="preserve"> </w:t>
      </w:r>
      <w:r w:rsidR="00311704">
        <w:t>6</w:t>
      </w:r>
      <w:r w:rsidRPr="00F7273B">
        <w:t>(c)). From the area under the two peaks, we calculate that the surface coverage is unchanged (9 x 10</w:t>
      </w:r>
      <w:r w:rsidRPr="00F7273B">
        <w:rPr>
          <w:vertAlign w:val="superscript"/>
        </w:rPr>
        <w:t>10</w:t>
      </w:r>
      <w:r w:rsidRPr="00F7273B">
        <w:t xml:space="preserve"> molecules/cm</w:t>
      </w:r>
      <w:r w:rsidRPr="00F7273B">
        <w:rPr>
          <w:vertAlign w:val="superscript"/>
        </w:rPr>
        <w:t>2</w:t>
      </w:r>
      <w:r w:rsidRPr="00F7273B">
        <w:t xml:space="preserve">), indicating no MB-DNA was released from the surface. The presence of two reduction peaks is indicative of two different species immobilized on the surface; MB-DNA in the closed conformation which is electrochemically reduced at -0.48 V, and MB-DNA in the open conformation which is indicated by the reduction peak at -0.6 V. After fitting two independent Gaussians to each reduction process and integrating the area under each curve, we estimate that 74.2% of the </w:t>
      </w:r>
      <w:r w:rsidR="009F2C8B" w:rsidRPr="00F7273B">
        <w:t>immobili</w:t>
      </w:r>
      <w:r w:rsidR="009F2C8B">
        <w:t>z</w:t>
      </w:r>
      <w:r w:rsidR="009F2C8B" w:rsidRPr="00F7273B">
        <w:t xml:space="preserve">ed </w:t>
      </w:r>
      <w:r w:rsidRPr="00F7273B">
        <w:t>MB-DNA oligonucleotides have undergone toe-hold mediated strand displacement and are in the open conformation.</w:t>
      </w:r>
      <w:r w:rsidR="00C54120">
        <w:t xml:space="preserve"> </w:t>
      </w:r>
    </w:p>
    <w:p w14:paraId="7495AEB5" w14:textId="77777777" w:rsidR="00AD2B13" w:rsidRPr="00AD2B13" w:rsidRDefault="00AD2B13" w:rsidP="004D5850">
      <w:pPr>
        <w:pStyle w:val="TAMainText"/>
      </w:pPr>
    </w:p>
    <w:p w14:paraId="4B8B0497" w14:textId="5FD38331" w:rsidR="00B11357" w:rsidRDefault="00B11357" w:rsidP="00B11357">
      <w:pPr>
        <w:pStyle w:val="VAFigureCaption"/>
      </w:pPr>
      <w:r>
        <w:rPr>
          <w:b/>
        </w:rPr>
        <w:t>Figure</w:t>
      </w:r>
      <w:r>
        <w:t xml:space="preserve"> 6. </w:t>
      </w:r>
      <w:r w:rsidRPr="00732EDA">
        <w:t>Electrochemical interrogation of the MB-DNA strand before and after toehold</w:t>
      </w:r>
      <w:r>
        <w:t>-</w:t>
      </w:r>
      <w:r w:rsidRPr="00732EDA">
        <w:t>mediated</w:t>
      </w:r>
      <w:r>
        <w:t xml:space="preserve"> </w:t>
      </w:r>
      <w:r w:rsidRPr="00732EDA">
        <w:t xml:space="preserve">displacement. </w:t>
      </w:r>
      <w:r>
        <w:t>(a)-(b</w:t>
      </w:r>
      <w:r w:rsidRPr="00732EDA">
        <w:t>) After Step 1 (before the toehold-mediated displacement), a single</w:t>
      </w:r>
      <w:r>
        <w:t xml:space="preserve"> </w:t>
      </w:r>
      <w:r w:rsidRPr="00732EDA">
        <w:t xml:space="preserve">reduction peak can be observed at a voltage of -0.5 V. </w:t>
      </w:r>
      <w:r>
        <w:t>(c</w:t>
      </w:r>
      <w:r w:rsidRPr="00732EDA">
        <w:t>) After Step 2 (after the toehold</w:t>
      </w:r>
      <w:r>
        <w:t>-</w:t>
      </w:r>
      <w:r w:rsidRPr="00732EDA">
        <w:t>mediated</w:t>
      </w:r>
      <w:r>
        <w:t xml:space="preserve"> </w:t>
      </w:r>
      <w:r w:rsidRPr="00732EDA">
        <w:t>displacement), a reduction peak resulting from the combination of the reduction</w:t>
      </w:r>
      <w:r>
        <w:t xml:space="preserve"> </w:t>
      </w:r>
      <w:r w:rsidRPr="00732EDA">
        <w:t>processes is observed at -0.55 V.</w:t>
      </w:r>
    </w:p>
    <w:p w14:paraId="25F23F64" w14:textId="40417827" w:rsidR="00B11357" w:rsidRDefault="00B11357" w:rsidP="004D5850">
      <w:pPr>
        <w:pStyle w:val="TAMainText"/>
      </w:pPr>
      <w:r w:rsidRPr="000B2C6D">
        <w:t xml:space="preserve">The shift in reduction potential of the open DNA hairpins arises from the sensitivity of the electrochemical properties of the MB label to the local environment (such as electrostatic potential, pH, solvent </w:t>
      </w:r>
      <w:r w:rsidR="00665872" w:rsidRPr="000B2C6D">
        <w:t>access)</w:t>
      </w:r>
      <w:r w:rsidR="00665872">
        <w:t xml:space="preserve"> (</w:t>
      </w:r>
      <w:r>
        <w:t>21)</w:t>
      </w:r>
      <w:r w:rsidRPr="000B2C6D">
        <w:t xml:space="preserve"> which will be different depending on whether MB-DNA is in the open or closed conformation. While the electrochemical measurements are indicative of conformational change and can be used to quantify the efficiency of the displacement reaction, they do not provide detailed, unambiguous and quantifiable information about the structure of the DNA monolayer. For instance, non-specific binding of the strand </w:t>
      </w:r>
      <w:r>
        <w:t>Catalyst</w:t>
      </w:r>
      <w:r w:rsidRPr="000B2C6D">
        <w:t xml:space="preserve"> could restrict access of counter ions to the MB label, changing the thermodynamics of the electrochemical reaction. This means that the </w:t>
      </w:r>
      <w:r>
        <w:t>conformation of the DNA hairpin</w:t>
      </w:r>
      <w:r w:rsidRPr="000B2C6D">
        <w:t xml:space="preserve"> cannot be unambiguously inferred from the electrochemical measurements alone. </w:t>
      </w:r>
    </w:p>
    <w:p w14:paraId="59769D4B" w14:textId="0A25D8FF" w:rsidR="00B11357" w:rsidRDefault="00B11357" w:rsidP="004D5850">
      <w:pPr>
        <w:pStyle w:val="TAMainText"/>
      </w:pPr>
      <w:r w:rsidRPr="000B2C6D">
        <w:t xml:space="preserve">Using the electrophotonic approach, however, we can complement the electrochemical information with the precise structural information revealed by the cascaded ring photonic measurement. From the shifts in resonance wavelength following toe-hold mediated strand displacement (Table 2), we find that the thickness of the MB-DNA layer has only changed moderately, increasing from 1.97 nm to 2.21 nm. This increase is associated with a change in the </w:t>
      </w:r>
      <w:r>
        <w:t>length of the double stranded region</w:t>
      </w:r>
      <w:r w:rsidRPr="000B2C6D">
        <w:t xml:space="preserve"> (16 base pairs in the double stranded neck-region</w:t>
      </w:r>
      <w:r>
        <w:t xml:space="preserve"> of the closed hairpin</w:t>
      </w:r>
      <w:r w:rsidRPr="000B2C6D">
        <w:t xml:space="preserve">, </w:t>
      </w:r>
      <w:r>
        <w:t xml:space="preserve">compared to </w:t>
      </w:r>
      <w:r w:rsidRPr="000B2C6D">
        <w:t>23 base pairs following hybridi</w:t>
      </w:r>
      <w:r w:rsidR="009F2C8B">
        <w:t>z</w:t>
      </w:r>
      <w:r w:rsidRPr="000B2C6D">
        <w:t xml:space="preserve">ation of </w:t>
      </w:r>
      <w:r>
        <w:t>Catalyst</w:t>
      </w:r>
      <w:r w:rsidRPr="000B2C6D">
        <w:t xml:space="preserve"> to MB-DNA, see SI). We also observe a significant increase in refractive index (from 1.427 to 1.443 RIU). As discussed above, the number of surface immobilized MB-DNA is identical before and after opening of the DNA hairpin. The change in refractive index is thus related to the</w:t>
      </w:r>
      <w:r>
        <w:t xml:space="preserve"> length of the single stranded region attached to the surface. Single stranded DNA exhibits a short persistence length is thus highly </w:t>
      </w:r>
      <w:r w:rsidRPr="003D676C">
        <w:t>conformationally flexible</w:t>
      </w:r>
      <w:r>
        <w:t xml:space="preserve"> and </w:t>
      </w:r>
      <w:r w:rsidR="00DC4123">
        <w:t>dynamic (</w:t>
      </w:r>
      <w:r w:rsidRPr="008658C3">
        <w:t>1</w:t>
      </w:r>
      <w:r>
        <w:t xml:space="preserve">9). As a result, the open hairpin collapses onto the surface leading to an increase in refractive </w:t>
      </w:r>
      <w:r w:rsidR="00DC4123">
        <w:t>index (</w:t>
      </w:r>
      <w:r w:rsidRPr="008658C3">
        <w:t>1</w:t>
      </w:r>
      <w:r>
        <w:t>9)</w:t>
      </w:r>
      <w:r w:rsidRPr="000B2C6D">
        <w:t xml:space="preserve">. </w:t>
      </w:r>
    </w:p>
    <w:p w14:paraId="367D2867" w14:textId="77777777" w:rsidR="00B11357" w:rsidRDefault="00B11357" w:rsidP="004D5850">
      <w:pPr>
        <w:pStyle w:val="TAMainText"/>
      </w:pPr>
      <w:r>
        <w:t xml:space="preserve">Following an electrophotonic interrogation, we have therefore been able to precisely and unambiguously quantify changes in molecular conformation </w:t>
      </w:r>
      <w:r w:rsidRPr="000B2C6D">
        <w:t xml:space="preserve">of MB-DNA </w:t>
      </w:r>
      <w:r>
        <w:t xml:space="preserve">from the optical data (orientation angle, </w:t>
      </w:r>
      <w:r w:rsidRPr="00764FF1">
        <w:rPr>
          <w:i/>
        </w:rPr>
        <w:t>t</w:t>
      </w:r>
      <w:r>
        <w:t xml:space="preserve"> and </w:t>
      </w:r>
      <w:r w:rsidRPr="00764FF1">
        <w:rPr>
          <w:i/>
        </w:rPr>
        <w:t>n</w:t>
      </w:r>
      <w:r>
        <w:t xml:space="preserve">); while complementing it with information of the molecular layer assembly retrieved from the electrochemical domain (precise molecular surface density and efficiency of the displacement reaction). </w:t>
      </w:r>
    </w:p>
    <w:p w14:paraId="7A83CF4E" w14:textId="77777777" w:rsidR="00B11357" w:rsidRDefault="00B11357" w:rsidP="004D5850">
      <w:pPr>
        <w:pStyle w:val="TAMainText"/>
      </w:pPr>
    </w:p>
    <w:p w14:paraId="2DB4E603" w14:textId="77777777" w:rsidR="00B11357" w:rsidRDefault="00B11357" w:rsidP="00B11357">
      <w:pPr>
        <w:pStyle w:val="VAFigureCaption"/>
      </w:pPr>
      <w:r>
        <w:t>CONCLUSIONS</w:t>
      </w:r>
    </w:p>
    <w:p w14:paraId="0FE8D28A" w14:textId="5FE3F50B" w:rsidR="00B11357" w:rsidRPr="0068261F" w:rsidRDefault="00B11357" w:rsidP="004D5850">
      <w:pPr>
        <w:pStyle w:val="TAMainText"/>
      </w:pPr>
      <w:r>
        <w:t>W</w:t>
      </w:r>
      <w:r w:rsidRPr="0068261F">
        <w:t>e have introduced a novel configuration of electro-optical biosensors that is able to provide insight into complex conformational changes of surface bound molecular layers. Employing a single TE optical mode, quantification of the refractive index and thickness of molecular layers such as proteins and DNA oligonucleotides has been performed in real time by tailoring the light-matter interaction at the sensor surface. Our novel configuration not only reduces the complexity of the sensor design and experimental setup compared to dual-polari</w:t>
      </w:r>
      <w:r w:rsidR="009F2C8B">
        <w:t>z</w:t>
      </w:r>
      <w:r w:rsidRPr="0068261F">
        <w:t>ation approaches, but it can also be implemented on small footprints enabling a highly multiplexed sensor platform</w:t>
      </w:r>
      <w:r>
        <w:t xml:space="preserve"> for parallel measurements</w:t>
      </w:r>
      <w:r w:rsidRPr="0068261F">
        <w:t>. More importantly, the technique is unambiguous, as the single polari</w:t>
      </w:r>
      <w:r w:rsidR="009F2C8B">
        <w:t>z</w:t>
      </w:r>
      <w:r w:rsidRPr="0068261F">
        <w:t xml:space="preserve">ation used is guaranteed to probe the same molecular orientation, while TE and TM modes are oriented orthogonally and respond differently to changes in different directions. This approach can be further extended to a larger number of rings, which would ultimately reduce the noise of our system and </w:t>
      </w:r>
      <w:r>
        <w:t xml:space="preserve">further </w:t>
      </w:r>
      <w:r w:rsidRPr="0068261F">
        <w:t>increase measurement accuracy. We have verified the technique against the well-characteri</w:t>
      </w:r>
      <w:r w:rsidR="009F2C8B">
        <w:t>z</w:t>
      </w:r>
      <w:r w:rsidRPr="0068261F">
        <w:t>ed BSA protein system and have shown consistency with similar surface based techniques such as DPI and dual-polari</w:t>
      </w:r>
      <w:r w:rsidR="009F2C8B">
        <w:t>z</w:t>
      </w:r>
      <w:r w:rsidRPr="0068261F">
        <w:t>ation ring resonator analysis.</w:t>
      </w:r>
      <w:r w:rsidRPr="0068261F">
        <w:rPr>
          <w:vertAlign w:val="superscript"/>
        </w:rPr>
        <w:t xml:space="preserve"> </w:t>
      </w:r>
      <w:r w:rsidRPr="0068261F">
        <w:t>The ability to combine with electrochemical interrogation</w:t>
      </w:r>
      <w:r>
        <w:t xml:space="preserve"> not only</w:t>
      </w:r>
      <w:r w:rsidRPr="0068261F">
        <w:t xml:space="preserve"> further broadens the application-space, allowing multiparameter profiling of electroactive molecules such as enzymes or redox labelled molecules</w:t>
      </w:r>
      <w:r>
        <w:t>, but also provides deeper insight into the structure of molecular layers</w:t>
      </w:r>
      <w:r w:rsidRPr="0068261F">
        <w:t>. Our technique thus provides a powerful analytical tool for quantifying and understanding of complex molecular and (bio)molecular processes.</w:t>
      </w:r>
    </w:p>
    <w:p w14:paraId="71E1BC9D" w14:textId="77777777" w:rsidR="00B11357" w:rsidRPr="00175023" w:rsidRDefault="00B11357" w:rsidP="00B11357">
      <w:pPr>
        <w:pStyle w:val="VAFigureCaption"/>
        <w:rPr>
          <w:b/>
        </w:rPr>
      </w:pPr>
    </w:p>
    <w:p w14:paraId="7C0DD3FC" w14:textId="77777777" w:rsidR="00B11357" w:rsidRDefault="00B11357" w:rsidP="00B11357">
      <w:pPr>
        <w:pStyle w:val="TESupportingInfoTitle"/>
      </w:pPr>
      <w:r>
        <w:t>ASSOCIATED CONTENT</w:t>
      </w:r>
      <w:r w:rsidRPr="00BE533F">
        <w:t xml:space="preserve"> </w:t>
      </w:r>
    </w:p>
    <w:p w14:paraId="398A5B9D" w14:textId="77777777" w:rsidR="00B11357" w:rsidRDefault="00B11357" w:rsidP="00B11357">
      <w:pPr>
        <w:pStyle w:val="FAAuthorInfoSubtitle"/>
      </w:pPr>
      <w:r w:rsidRPr="00157E12">
        <w:t>Supporting Information</w:t>
      </w:r>
    </w:p>
    <w:p w14:paraId="0BE973A0" w14:textId="77777777" w:rsidR="00B11357" w:rsidRPr="001120C0" w:rsidRDefault="00B11357" w:rsidP="00B11357">
      <w:pPr>
        <w:pStyle w:val="TESupportingInformation"/>
      </w:pPr>
      <w:r>
        <w:t>A PDF file is supplied providing information about the supporting</w:t>
      </w:r>
      <w:r w:rsidRPr="001120C0">
        <w:rPr>
          <w:color w:val="000000"/>
          <w:sz w:val="20"/>
        </w:rPr>
        <w:t xml:space="preserve"> </w:t>
      </w:r>
      <w:r w:rsidRPr="001120C0">
        <w:t xml:space="preserve">simulations of the electrical field distribution at the sensor-solution interface, the modelling of the interaction optical field with the overlayer, </w:t>
      </w:r>
      <w:r w:rsidRPr="00F56A77">
        <w:t>thickness and refractive index accuracy calculation</w:t>
      </w:r>
      <w:r>
        <w:t xml:space="preserve">, </w:t>
      </w:r>
      <w:r w:rsidRPr="001120C0">
        <w:t>simulations of the structural conformation of the DNA oligonucleotides employed</w:t>
      </w:r>
      <w:r>
        <w:t xml:space="preserve">, </w:t>
      </w:r>
      <w:r w:rsidRPr="001120C0">
        <w:t>quantification of the MPTS-Cu molecular layer</w:t>
      </w:r>
      <w:r>
        <w:t xml:space="preserve"> and the protocol to perform an </w:t>
      </w:r>
      <w:r w:rsidRPr="002244A1">
        <w:t>in-line device geometry calibration.</w:t>
      </w:r>
    </w:p>
    <w:p w14:paraId="16056F95" w14:textId="77777777" w:rsidR="00B11357" w:rsidRDefault="00B11357" w:rsidP="00B11357">
      <w:pPr>
        <w:pStyle w:val="TESupportingInformation"/>
      </w:pPr>
    </w:p>
    <w:p w14:paraId="69967248" w14:textId="77777777" w:rsidR="00B11357" w:rsidRDefault="00B11357" w:rsidP="00B11357">
      <w:pPr>
        <w:pStyle w:val="TESupportingInformation"/>
      </w:pPr>
    </w:p>
    <w:p w14:paraId="4BAB151D" w14:textId="77777777" w:rsidR="00B11357" w:rsidRDefault="00B11357" w:rsidP="00B11357">
      <w:pPr>
        <w:pStyle w:val="AuthorInformationTitle"/>
      </w:pPr>
      <w:r>
        <w:t>AUTHOR INFORMATION</w:t>
      </w:r>
    </w:p>
    <w:p w14:paraId="7D55D505" w14:textId="77777777" w:rsidR="00B11357" w:rsidRDefault="00B11357" w:rsidP="00B11357">
      <w:pPr>
        <w:pStyle w:val="FAAuthorInfoSubtitle"/>
      </w:pPr>
      <w:r>
        <w:t>Corresponding Author</w:t>
      </w:r>
    </w:p>
    <w:p w14:paraId="60DA18B3" w14:textId="77777777" w:rsidR="00B11357" w:rsidRPr="001120C0" w:rsidRDefault="00B11357" w:rsidP="00B11357">
      <w:pPr>
        <w:pStyle w:val="FAAuthorInfoSubtitle"/>
        <w:rPr>
          <w:rFonts w:ascii="Arno Pro" w:hAnsi="Arno Pro"/>
          <w:kern w:val="20"/>
          <w:sz w:val="18"/>
        </w:rPr>
      </w:pPr>
      <w:r w:rsidRPr="001120C0">
        <w:rPr>
          <w:rFonts w:ascii="Arno Pro" w:hAnsi="Arno Pro"/>
          <w:kern w:val="20"/>
          <w:sz w:val="18"/>
        </w:rPr>
        <w:t xml:space="preserve">*E-mail address: </w:t>
      </w:r>
      <w:hyperlink r:id="rId10" w:history="1">
        <w:r w:rsidRPr="001120C0">
          <w:rPr>
            <w:rStyle w:val="Hyperlink"/>
            <w:rFonts w:ascii="Arno Pro" w:hAnsi="Arno Pro"/>
            <w:kern w:val="20"/>
            <w:sz w:val="18"/>
          </w:rPr>
          <w:t>jose.juancolas@york.ac.uk</w:t>
        </w:r>
      </w:hyperlink>
      <w:r w:rsidRPr="001120C0">
        <w:rPr>
          <w:rFonts w:ascii="Arno Pro" w:hAnsi="Arno Pro"/>
          <w:kern w:val="20"/>
          <w:sz w:val="18"/>
        </w:rPr>
        <w:t xml:space="preserve"> (</w:t>
      </w:r>
      <w:r>
        <w:rPr>
          <w:rFonts w:ascii="Arno Pro" w:hAnsi="Arno Pro"/>
          <w:kern w:val="20"/>
          <w:sz w:val="18"/>
        </w:rPr>
        <w:t>J.</w:t>
      </w:r>
      <w:r w:rsidRPr="001120C0">
        <w:rPr>
          <w:rFonts w:ascii="Arno Pro" w:hAnsi="Arno Pro"/>
          <w:kern w:val="20"/>
          <w:sz w:val="18"/>
        </w:rPr>
        <w:t xml:space="preserve"> J</w:t>
      </w:r>
      <w:r>
        <w:rPr>
          <w:rFonts w:ascii="Arno Pro" w:hAnsi="Arno Pro"/>
          <w:kern w:val="20"/>
          <w:sz w:val="18"/>
        </w:rPr>
        <w:t>uan-Colas</w:t>
      </w:r>
      <w:r w:rsidRPr="001120C0">
        <w:rPr>
          <w:rFonts w:ascii="Arno Pro" w:hAnsi="Arno Pro"/>
          <w:kern w:val="20"/>
          <w:sz w:val="18"/>
        </w:rPr>
        <w:t>)</w:t>
      </w:r>
    </w:p>
    <w:p w14:paraId="29F27CD8" w14:textId="77777777" w:rsidR="00B11357" w:rsidRDefault="00B11357" w:rsidP="00B11357">
      <w:pPr>
        <w:pStyle w:val="TDAckTitle"/>
      </w:pPr>
      <w:r w:rsidRPr="00A71C00">
        <w:t>ACKNOWLEDGMENT</w:t>
      </w:r>
      <w:r w:rsidRPr="00BE533F">
        <w:t xml:space="preserve"> </w:t>
      </w:r>
    </w:p>
    <w:p w14:paraId="56AC40EF" w14:textId="77777777" w:rsidR="00B11357" w:rsidRDefault="00B11357" w:rsidP="00B11357">
      <w:pPr>
        <w:pStyle w:val="TDAcknowledgments"/>
      </w:pPr>
      <w:r w:rsidRPr="001120C0">
        <w:t xml:space="preserve">The research was supported by a PhD studentship funded by the Departments of Physics and Electronics of the University of York, an Institutional Equipment Grant and financial support from the EPSRC Platform Grant EP/K040820/1, by the EPSRC Programme Grant ‘Structured Light’ EP/J01771X/1, the MRC Discovery Grant </w:t>
      </w:r>
      <w:r w:rsidRPr="001120C0">
        <w:rPr>
          <w:lang w:val="en-US"/>
        </w:rPr>
        <w:t>MC_PC_15073</w:t>
      </w:r>
      <w:r w:rsidRPr="001120C0">
        <w:t xml:space="preserve"> and by the Biological Physical Sciences Institute at the University of York. The dataset associated with this research </w:t>
      </w:r>
      <w:r>
        <w:t>will be</w:t>
      </w:r>
      <w:r w:rsidRPr="001120C0">
        <w:t xml:space="preserve"> available </w:t>
      </w:r>
      <w:r>
        <w:t>online from the University of York Data Catalogue at DOI</w:t>
      </w:r>
      <w:r w:rsidRPr="001120C0">
        <w:t xml:space="preserve"> </w:t>
      </w:r>
      <w:r w:rsidRPr="00D21BDA">
        <w:t>10.15124/13614bdb-a131-4da7-b80f-1c42258a8d77</w:t>
      </w:r>
      <w:r w:rsidRPr="001120C0">
        <w:t xml:space="preserve">. The authors would like to thank Avacta Life Sciences Ltd. for supplying </w:t>
      </w:r>
      <w:r>
        <w:t>materials</w:t>
      </w:r>
      <w:r w:rsidRPr="001120C0">
        <w:t>.</w:t>
      </w:r>
    </w:p>
    <w:p w14:paraId="29440231" w14:textId="77777777" w:rsidR="00B11357" w:rsidRDefault="00B11357" w:rsidP="00B11357"/>
    <w:p w14:paraId="3114E4D3" w14:textId="77777777" w:rsidR="00B11357" w:rsidRPr="00101D1F" w:rsidRDefault="00B11357" w:rsidP="00B11357">
      <w:pPr>
        <w:pStyle w:val="TDAckTitle"/>
      </w:pPr>
      <w:r>
        <w:t>REFERENCES</w:t>
      </w:r>
    </w:p>
    <w:p w14:paraId="099B3006" w14:textId="77777777" w:rsidR="00B11357" w:rsidRPr="00ED6250" w:rsidRDefault="00B11357" w:rsidP="00B11357">
      <w:pPr>
        <w:pStyle w:val="TFReferencesSection"/>
        <w:numPr>
          <w:ilvl w:val="0"/>
          <w:numId w:val="9"/>
        </w:numPr>
      </w:pPr>
      <w:r w:rsidRPr="001120C0">
        <w:t>Sullivan, N.</w:t>
      </w:r>
      <w:r>
        <w:t>;</w:t>
      </w:r>
      <w:r w:rsidRPr="001120C0">
        <w:t xml:space="preserve"> Sun, Y.</w:t>
      </w:r>
      <w:r>
        <w:t>;</w:t>
      </w:r>
      <w:r w:rsidRPr="001120C0">
        <w:t xml:space="preserve"> Sattentau,</w:t>
      </w:r>
      <w:r>
        <w:t xml:space="preserve"> Q.;</w:t>
      </w:r>
      <w:r w:rsidRPr="001120C0">
        <w:t xml:space="preserve"> Thali,</w:t>
      </w:r>
      <w:r>
        <w:t xml:space="preserve"> M.;</w:t>
      </w:r>
      <w:r w:rsidRPr="001120C0">
        <w:t xml:space="preserve"> Wu,</w:t>
      </w:r>
      <w:r>
        <w:t xml:space="preserve"> D.;</w:t>
      </w:r>
      <w:r w:rsidRPr="001120C0">
        <w:t xml:space="preserve"> Denisova,</w:t>
      </w:r>
      <w:r>
        <w:t xml:space="preserve"> G.;</w:t>
      </w:r>
      <w:r w:rsidRPr="001120C0">
        <w:t xml:space="preserve"> Gershoni,</w:t>
      </w:r>
      <w:r>
        <w:t xml:space="preserve"> J.;</w:t>
      </w:r>
      <w:r w:rsidRPr="001120C0">
        <w:t xml:space="preserve"> Robinson,</w:t>
      </w:r>
      <w:r>
        <w:t xml:space="preserve"> J.;</w:t>
      </w:r>
      <w:r w:rsidRPr="001120C0">
        <w:t xml:space="preserve"> Moore, J</w:t>
      </w:r>
      <w:r>
        <w:t>.;</w:t>
      </w:r>
      <w:r w:rsidRPr="001120C0">
        <w:t>.Sodroski, J</w:t>
      </w:r>
      <w:r w:rsidRPr="00ED6250">
        <w:t>.</w:t>
      </w:r>
      <w:r>
        <w:t xml:space="preserve"> </w:t>
      </w:r>
      <w:r w:rsidRPr="00C933CE">
        <w:t>CD4-Induced Conformational Changes in the Human Immunodeficiency Virus Type 1 gp120 Glycoprotein: Consequences for Virus Entry and Neutralization</w:t>
      </w:r>
      <w:r>
        <w:t>.</w:t>
      </w:r>
      <w:r w:rsidRPr="001120C0">
        <w:rPr>
          <w:rFonts w:ascii="Times New Roman" w:hAnsi="Times New Roman"/>
          <w:bCs/>
          <w:i/>
          <w:color w:val="000000" w:themeColor="text1"/>
          <w:kern w:val="0"/>
          <w:sz w:val="20"/>
          <w:szCs w:val="20"/>
        </w:rPr>
        <w:t xml:space="preserve"> </w:t>
      </w:r>
      <w:r w:rsidRPr="001120C0">
        <w:rPr>
          <w:bCs/>
          <w:i/>
        </w:rPr>
        <w:t xml:space="preserve">J. Virol </w:t>
      </w:r>
      <w:r w:rsidRPr="001120C0">
        <w:rPr>
          <w:b/>
          <w:bCs/>
        </w:rPr>
        <w:t>1998</w:t>
      </w:r>
      <w:r>
        <w:rPr>
          <w:bCs/>
        </w:rPr>
        <w:t xml:space="preserve">, </w:t>
      </w:r>
      <w:r w:rsidRPr="001120C0">
        <w:rPr>
          <w:bCs/>
        </w:rPr>
        <w:t>72, 4697-4703.</w:t>
      </w:r>
    </w:p>
    <w:p w14:paraId="218E0097" w14:textId="77777777" w:rsidR="00B11357" w:rsidRPr="00ED6250" w:rsidRDefault="00B11357" w:rsidP="00B11357">
      <w:pPr>
        <w:pStyle w:val="TFReferencesSection"/>
        <w:numPr>
          <w:ilvl w:val="0"/>
          <w:numId w:val="9"/>
        </w:numPr>
      </w:pPr>
      <w:r w:rsidRPr="006D6F7B">
        <w:rPr>
          <w:bCs/>
        </w:rPr>
        <w:t>Powel, D. R.</w:t>
      </w:r>
      <w:r w:rsidRPr="00C933CE">
        <w:t xml:space="preserve"> </w:t>
      </w:r>
      <w:r w:rsidRPr="00C933CE">
        <w:rPr>
          <w:bCs/>
        </w:rPr>
        <w:t>Review of X-Ray Crystallography</w:t>
      </w:r>
      <w:r>
        <w:rPr>
          <w:bCs/>
        </w:rPr>
        <w:t>.</w:t>
      </w:r>
      <w:r w:rsidRPr="006D6F7B">
        <w:rPr>
          <w:bCs/>
        </w:rPr>
        <w:t xml:space="preserve"> </w:t>
      </w:r>
      <w:r w:rsidRPr="006D6F7B">
        <w:rPr>
          <w:bCs/>
          <w:i/>
        </w:rPr>
        <w:t xml:space="preserve">Journal of Chemical Education </w:t>
      </w:r>
      <w:r>
        <w:rPr>
          <w:b/>
          <w:bCs/>
        </w:rPr>
        <w:t>2016</w:t>
      </w:r>
      <w:r w:rsidRPr="006D6F7B">
        <w:rPr>
          <w:bCs/>
        </w:rPr>
        <w:t>,</w:t>
      </w:r>
      <w:r>
        <w:rPr>
          <w:bCs/>
        </w:rPr>
        <w:t xml:space="preserve"> 93, 591-592</w:t>
      </w:r>
      <w:r w:rsidRPr="006D6F7B">
        <w:rPr>
          <w:bCs/>
          <w:i/>
        </w:rPr>
        <w:t>.</w:t>
      </w:r>
    </w:p>
    <w:p w14:paraId="5FB9735A" w14:textId="77777777" w:rsidR="00B11357" w:rsidRPr="00C933CE" w:rsidRDefault="00B11357" w:rsidP="00B11357">
      <w:pPr>
        <w:pStyle w:val="TFReferencesSection"/>
        <w:numPr>
          <w:ilvl w:val="0"/>
          <w:numId w:val="9"/>
        </w:numPr>
        <w:rPr>
          <w:bCs/>
        </w:rPr>
      </w:pPr>
      <w:r w:rsidRPr="00C933CE">
        <w:rPr>
          <w:bCs/>
        </w:rPr>
        <w:t>Penfold, J.; Thomas, R. K.</w:t>
      </w:r>
      <w:r w:rsidRPr="00C933CE">
        <w:t xml:space="preserve"> </w:t>
      </w:r>
      <w:r w:rsidRPr="00C933CE">
        <w:rPr>
          <w:bCs/>
        </w:rPr>
        <w:t>The application of the specular reflection of neutrons to</w:t>
      </w:r>
      <w:r>
        <w:rPr>
          <w:bCs/>
        </w:rPr>
        <w:t xml:space="preserve"> </w:t>
      </w:r>
      <w:r w:rsidRPr="00C933CE">
        <w:rPr>
          <w:bCs/>
        </w:rPr>
        <w:t xml:space="preserve">the study of surfaces and interfaces. </w:t>
      </w:r>
      <w:r w:rsidRPr="00C933CE">
        <w:rPr>
          <w:bCs/>
          <w:i/>
        </w:rPr>
        <w:t xml:space="preserve">J. Phys.: Condens. Matter </w:t>
      </w:r>
      <w:r w:rsidRPr="00C933CE">
        <w:rPr>
          <w:b/>
          <w:bCs/>
        </w:rPr>
        <w:t>1990</w:t>
      </w:r>
      <w:r w:rsidRPr="00C933CE">
        <w:rPr>
          <w:bCs/>
        </w:rPr>
        <w:t>,</w:t>
      </w:r>
      <w:r w:rsidRPr="00C933CE">
        <w:rPr>
          <w:b/>
          <w:bCs/>
        </w:rPr>
        <w:t xml:space="preserve"> </w:t>
      </w:r>
      <w:r w:rsidRPr="00C933CE">
        <w:rPr>
          <w:bCs/>
        </w:rPr>
        <w:t>2, 1369-1412.</w:t>
      </w:r>
    </w:p>
    <w:p w14:paraId="688B1D02" w14:textId="77777777" w:rsidR="00B11357" w:rsidRPr="00962514" w:rsidRDefault="00B11357" w:rsidP="00B11357">
      <w:pPr>
        <w:pStyle w:val="TFReferencesSection"/>
        <w:numPr>
          <w:ilvl w:val="0"/>
          <w:numId w:val="9"/>
        </w:numPr>
        <w:rPr>
          <w:bCs/>
        </w:rPr>
      </w:pPr>
      <w:r w:rsidRPr="00EE2C87">
        <w:rPr>
          <w:bCs/>
        </w:rPr>
        <w:t>Fragneto-Cusani, G. Neutron reflectivity at the solid/liquid interface: examples of applications in biophysics.</w:t>
      </w:r>
      <w:r w:rsidRPr="00EE2C87">
        <w:rPr>
          <w:rFonts w:ascii="Times New Roman" w:hAnsi="Times New Roman"/>
          <w:bCs/>
          <w:i/>
          <w:color w:val="000000"/>
          <w:sz w:val="20"/>
        </w:rPr>
        <w:t xml:space="preserve"> </w:t>
      </w:r>
      <w:r w:rsidRPr="00156E08">
        <w:rPr>
          <w:bCs/>
          <w:i/>
          <w:lang w:val="es-ES"/>
        </w:rPr>
        <w:t xml:space="preserve">J. Phys.: Condens. </w:t>
      </w:r>
      <w:r w:rsidRPr="00962514">
        <w:rPr>
          <w:bCs/>
          <w:i/>
        </w:rPr>
        <w:t xml:space="preserve">Matter </w:t>
      </w:r>
      <w:r>
        <w:rPr>
          <w:b/>
          <w:bCs/>
        </w:rPr>
        <w:t>2001</w:t>
      </w:r>
      <w:r>
        <w:rPr>
          <w:bCs/>
        </w:rPr>
        <w:t>, 13</w:t>
      </w:r>
      <w:r w:rsidRPr="00962514">
        <w:rPr>
          <w:bCs/>
        </w:rPr>
        <w:t>, 4973-4989.</w:t>
      </w:r>
    </w:p>
    <w:p w14:paraId="3BE4C359" w14:textId="77777777" w:rsidR="00B11357" w:rsidRPr="00963797" w:rsidRDefault="00B11357" w:rsidP="00B11357">
      <w:pPr>
        <w:pStyle w:val="TFReferencesSection"/>
        <w:numPr>
          <w:ilvl w:val="0"/>
          <w:numId w:val="9"/>
        </w:numPr>
      </w:pPr>
      <w:r w:rsidRPr="00963797">
        <w:rPr>
          <w:bCs/>
        </w:rPr>
        <w:t>Wishart, D.S.; Sykes B. D.; Richards, F. M.</w:t>
      </w:r>
      <w:r w:rsidRPr="00370FC7">
        <w:t xml:space="preserve"> </w:t>
      </w:r>
      <w:r w:rsidRPr="00370FC7">
        <w:rPr>
          <w:bCs/>
        </w:rPr>
        <w:t>Relationship between nuclear magnetic resonance chemical shift and protein secondary structure</w:t>
      </w:r>
      <w:r>
        <w:rPr>
          <w:bCs/>
        </w:rPr>
        <w:t>.</w:t>
      </w:r>
      <w:r w:rsidRPr="00963797">
        <w:rPr>
          <w:bCs/>
        </w:rPr>
        <w:t xml:space="preserve"> </w:t>
      </w:r>
      <w:r w:rsidRPr="00963797">
        <w:rPr>
          <w:bCs/>
          <w:i/>
        </w:rPr>
        <w:t>Journal of Molecular Biology</w:t>
      </w:r>
      <w:r w:rsidRPr="00963797">
        <w:rPr>
          <w:bCs/>
        </w:rPr>
        <w:t xml:space="preserve"> </w:t>
      </w:r>
      <w:r w:rsidRPr="00963797">
        <w:rPr>
          <w:b/>
          <w:bCs/>
        </w:rPr>
        <w:t>1991</w:t>
      </w:r>
      <w:r w:rsidRPr="00963797">
        <w:rPr>
          <w:bCs/>
        </w:rPr>
        <w:t>, 222, 311-333.</w:t>
      </w:r>
    </w:p>
    <w:p w14:paraId="5226FD34" w14:textId="77777777" w:rsidR="00B11357" w:rsidRPr="004F4137" w:rsidRDefault="00B11357" w:rsidP="00B11357">
      <w:pPr>
        <w:pStyle w:val="TFReferencesSection"/>
        <w:numPr>
          <w:ilvl w:val="0"/>
          <w:numId w:val="9"/>
        </w:numPr>
      </w:pPr>
      <w:r w:rsidRPr="00963797">
        <w:rPr>
          <w:bCs/>
        </w:rPr>
        <w:t>Cross, G.H.; Reeves, A. A.; Brand, S.; Popplewell, J. F.; Peel, L. L.; Swann, M. J.; Freeman, N. J.</w:t>
      </w:r>
      <w:r w:rsidRPr="00370FC7">
        <w:t xml:space="preserve"> </w:t>
      </w:r>
      <w:r w:rsidRPr="00370FC7">
        <w:rPr>
          <w:bCs/>
        </w:rPr>
        <w:t>A new quantitative optical biosensor for protein characterisation</w:t>
      </w:r>
      <w:r>
        <w:rPr>
          <w:bCs/>
        </w:rPr>
        <w:t>.</w:t>
      </w:r>
      <w:r w:rsidRPr="00963797">
        <w:rPr>
          <w:bCs/>
        </w:rPr>
        <w:t xml:space="preserve"> </w:t>
      </w:r>
      <w:r w:rsidRPr="00963797">
        <w:rPr>
          <w:bCs/>
          <w:i/>
        </w:rPr>
        <w:t xml:space="preserve">Biosensors and Bioelectronics </w:t>
      </w:r>
      <w:r w:rsidRPr="00963797">
        <w:rPr>
          <w:b/>
          <w:bCs/>
        </w:rPr>
        <w:t>2003</w:t>
      </w:r>
      <w:r w:rsidRPr="00963797">
        <w:rPr>
          <w:bCs/>
        </w:rPr>
        <w:t>, 19, 383-390.</w:t>
      </w:r>
    </w:p>
    <w:p w14:paraId="3CCCA5DB" w14:textId="77777777" w:rsidR="00B11357" w:rsidRPr="003F0A01" w:rsidRDefault="00B11357" w:rsidP="00B11357">
      <w:pPr>
        <w:pStyle w:val="TFReferencesSection"/>
        <w:numPr>
          <w:ilvl w:val="0"/>
          <w:numId w:val="9"/>
        </w:numPr>
        <w:rPr>
          <w:bCs/>
        </w:rPr>
      </w:pPr>
      <w:r w:rsidRPr="003F0A01">
        <w:rPr>
          <w:bCs/>
        </w:rPr>
        <w:t>Hoste, J-W.</w:t>
      </w:r>
      <w:r>
        <w:rPr>
          <w:bCs/>
        </w:rPr>
        <w:t>;</w:t>
      </w:r>
      <w:r w:rsidRPr="003F0A01">
        <w:rPr>
          <w:bCs/>
        </w:rPr>
        <w:t xml:space="preserve"> Werquin, S.</w:t>
      </w:r>
      <w:r>
        <w:rPr>
          <w:bCs/>
        </w:rPr>
        <w:t>;</w:t>
      </w:r>
      <w:r w:rsidRPr="003F0A01">
        <w:rPr>
          <w:bCs/>
        </w:rPr>
        <w:t xml:space="preserve"> Claes T.</w:t>
      </w:r>
      <w:r>
        <w:rPr>
          <w:bCs/>
        </w:rPr>
        <w:t>;</w:t>
      </w:r>
      <w:r w:rsidRPr="003F0A01">
        <w:rPr>
          <w:bCs/>
        </w:rPr>
        <w:t xml:space="preserve"> Bienstman, P.</w:t>
      </w:r>
      <w:r>
        <w:rPr>
          <w:bCs/>
        </w:rPr>
        <w:t xml:space="preserve"> </w:t>
      </w:r>
      <w:r w:rsidRPr="00370FC7">
        <w:rPr>
          <w:bCs/>
        </w:rPr>
        <w:t>Conformational analysis of proteins with a dual polarisation silicon microring</w:t>
      </w:r>
      <w:r>
        <w:rPr>
          <w:bCs/>
        </w:rPr>
        <w:t xml:space="preserve">. </w:t>
      </w:r>
      <w:r w:rsidRPr="003F0A01">
        <w:rPr>
          <w:bCs/>
          <w:i/>
        </w:rPr>
        <w:t>Optics Express</w:t>
      </w:r>
      <w:r>
        <w:rPr>
          <w:bCs/>
          <w:i/>
        </w:rPr>
        <w:t xml:space="preserve"> </w:t>
      </w:r>
      <w:r>
        <w:rPr>
          <w:b/>
          <w:bCs/>
        </w:rPr>
        <w:t>2014</w:t>
      </w:r>
      <w:r>
        <w:rPr>
          <w:bCs/>
        </w:rPr>
        <w:t>, 22, 311-333.</w:t>
      </w:r>
    </w:p>
    <w:p w14:paraId="1203A6F7" w14:textId="77777777" w:rsidR="00B11357" w:rsidRDefault="00B11357" w:rsidP="00B11357">
      <w:pPr>
        <w:pStyle w:val="TFReferencesSection"/>
        <w:numPr>
          <w:ilvl w:val="0"/>
          <w:numId w:val="9"/>
        </w:numPr>
        <w:rPr>
          <w:bCs/>
        </w:rPr>
      </w:pPr>
      <w:r w:rsidRPr="003F0A01">
        <w:rPr>
          <w:bCs/>
        </w:rPr>
        <w:t>Bogaerts, W.; De Heyn, P.; Van Vaerenbergh, T.;</w:t>
      </w:r>
      <w:r w:rsidRPr="003F0A01">
        <w:t xml:space="preserve"> </w:t>
      </w:r>
      <w:r w:rsidRPr="003F0A01">
        <w:rPr>
          <w:bCs/>
        </w:rPr>
        <w:t>De Vos, K.; Selvaraja, S. K.; Claes, T.; Dumon, P.; Bienstman, P.; Van Thourhout, D.; Baets, R.</w:t>
      </w:r>
      <w:r>
        <w:rPr>
          <w:bCs/>
        </w:rPr>
        <w:t xml:space="preserve"> </w:t>
      </w:r>
      <w:r w:rsidRPr="00370FC7">
        <w:rPr>
          <w:bCs/>
        </w:rPr>
        <w:t>Silicon microring resonators</w:t>
      </w:r>
      <w:r>
        <w:rPr>
          <w:bCs/>
        </w:rPr>
        <w:t>.</w:t>
      </w:r>
      <w:r w:rsidRPr="003F0A01">
        <w:rPr>
          <w:bCs/>
        </w:rPr>
        <w:t xml:space="preserve"> </w:t>
      </w:r>
      <w:r w:rsidRPr="003F0A01">
        <w:rPr>
          <w:bCs/>
          <w:i/>
        </w:rPr>
        <w:t>Laser and Photonics Reviews</w:t>
      </w:r>
      <w:r>
        <w:rPr>
          <w:bCs/>
          <w:i/>
        </w:rPr>
        <w:t xml:space="preserve"> </w:t>
      </w:r>
      <w:r>
        <w:rPr>
          <w:b/>
          <w:bCs/>
        </w:rPr>
        <w:t>2012</w:t>
      </w:r>
      <w:r>
        <w:rPr>
          <w:bCs/>
        </w:rPr>
        <w:t>, 6, 47-73.</w:t>
      </w:r>
    </w:p>
    <w:p w14:paraId="3129147E" w14:textId="77777777" w:rsidR="00B11357" w:rsidRPr="00C94B90" w:rsidRDefault="00B11357" w:rsidP="00B11357">
      <w:pPr>
        <w:pStyle w:val="TFReferencesSection"/>
        <w:numPr>
          <w:ilvl w:val="0"/>
          <w:numId w:val="9"/>
        </w:numPr>
      </w:pPr>
      <w:r w:rsidRPr="007B4656">
        <w:rPr>
          <w:bCs/>
        </w:rPr>
        <w:t>Juan-Colás, J.</w:t>
      </w:r>
      <w:r>
        <w:rPr>
          <w:bCs/>
        </w:rPr>
        <w:t>;</w:t>
      </w:r>
      <w:r w:rsidRPr="007B4656">
        <w:rPr>
          <w:bCs/>
        </w:rPr>
        <w:t xml:space="preserve"> Parkin, A.</w:t>
      </w:r>
      <w:r>
        <w:rPr>
          <w:bCs/>
        </w:rPr>
        <w:t>;</w:t>
      </w:r>
      <w:r w:rsidRPr="007B4656">
        <w:rPr>
          <w:bCs/>
        </w:rPr>
        <w:t xml:space="preserve"> Dunn, K. E.</w:t>
      </w:r>
      <w:r>
        <w:rPr>
          <w:bCs/>
        </w:rPr>
        <w:t>;</w:t>
      </w:r>
      <w:r w:rsidRPr="007B4656">
        <w:rPr>
          <w:bCs/>
        </w:rPr>
        <w:t xml:space="preserve"> Scullion, M. G.</w:t>
      </w:r>
      <w:r>
        <w:rPr>
          <w:bCs/>
        </w:rPr>
        <w:t>;</w:t>
      </w:r>
      <w:r w:rsidRPr="007B4656">
        <w:rPr>
          <w:bCs/>
        </w:rPr>
        <w:t xml:space="preserve"> Krauss, T. F.</w:t>
      </w:r>
      <w:r>
        <w:rPr>
          <w:bCs/>
        </w:rPr>
        <w:t>;</w:t>
      </w:r>
      <w:r w:rsidRPr="007B4656">
        <w:rPr>
          <w:bCs/>
        </w:rPr>
        <w:t xml:space="preserve"> Johnson, S. D</w:t>
      </w:r>
      <w:r>
        <w:rPr>
          <w:bCs/>
        </w:rPr>
        <w:t>.</w:t>
      </w:r>
      <w:r w:rsidRPr="00370FC7">
        <w:t xml:space="preserve"> </w:t>
      </w:r>
      <w:r w:rsidRPr="00370FC7">
        <w:rPr>
          <w:bCs/>
        </w:rPr>
        <w:t>The electrophotonic silicon biosensor</w:t>
      </w:r>
      <w:r>
        <w:rPr>
          <w:bCs/>
        </w:rPr>
        <w:t xml:space="preserve">.  </w:t>
      </w:r>
      <w:r w:rsidRPr="007B4656">
        <w:rPr>
          <w:bCs/>
          <w:i/>
        </w:rPr>
        <w:t xml:space="preserve">Nature Communications </w:t>
      </w:r>
      <w:r>
        <w:rPr>
          <w:b/>
          <w:bCs/>
        </w:rPr>
        <w:t xml:space="preserve">2016, </w:t>
      </w:r>
      <w:r w:rsidRPr="007B4656">
        <w:rPr>
          <w:bCs/>
        </w:rPr>
        <w:t>7:12769.</w:t>
      </w:r>
    </w:p>
    <w:p w14:paraId="1003F98C" w14:textId="77777777" w:rsidR="00B11357" w:rsidRPr="009C1351" w:rsidRDefault="00B11357" w:rsidP="00B11357">
      <w:pPr>
        <w:pStyle w:val="TFReferencesSection"/>
        <w:numPr>
          <w:ilvl w:val="0"/>
          <w:numId w:val="9"/>
        </w:numPr>
      </w:pPr>
      <w:r w:rsidRPr="003F0A01">
        <w:rPr>
          <w:bCs/>
        </w:rPr>
        <w:t>Okamoto, K.</w:t>
      </w:r>
      <w:r>
        <w:rPr>
          <w:bCs/>
        </w:rPr>
        <w:t xml:space="preserve"> </w:t>
      </w:r>
      <w:r w:rsidRPr="003F0A01">
        <w:rPr>
          <w:bCs/>
        </w:rPr>
        <w:t xml:space="preserve">“Fundamentals of Optical Waveguides”, </w:t>
      </w:r>
      <w:r w:rsidRPr="003F0A01">
        <w:rPr>
          <w:bCs/>
          <w:i/>
        </w:rPr>
        <w:t>Elsevier</w:t>
      </w:r>
      <w:r w:rsidRPr="003F0A01">
        <w:rPr>
          <w:bCs/>
        </w:rPr>
        <w:t xml:space="preserve"> </w:t>
      </w:r>
      <w:r w:rsidRPr="003F0A01">
        <w:rPr>
          <w:b/>
          <w:bCs/>
        </w:rPr>
        <w:t>2006</w:t>
      </w:r>
      <w:r w:rsidRPr="003F0A01">
        <w:rPr>
          <w:bCs/>
        </w:rPr>
        <w:t>.</w:t>
      </w:r>
    </w:p>
    <w:p w14:paraId="03892630" w14:textId="77777777" w:rsidR="00B11357" w:rsidRPr="007B4656" w:rsidRDefault="00B11357" w:rsidP="00B11357">
      <w:pPr>
        <w:pStyle w:val="TFReferencesSection"/>
        <w:numPr>
          <w:ilvl w:val="0"/>
          <w:numId w:val="9"/>
        </w:numPr>
        <w:rPr>
          <w:bCs/>
        </w:rPr>
      </w:pPr>
      <w:r w:rsidRPr="007B4656">
        <w:rPr>
          <w:bCs/>
        </w:rPr>
        <w:t>Freeman, N. J.</w:t>
      </w:r>
      <w:r>
        <w:rPr>
          <w:bCs/>
        </w:rPr>
        <w:t>;</w:t>
      </w:r>
      <w:r w:rsidRPr="007B4656">
        <w:rPr>
          <w:bCs/>
        </w:rPr>
        <w:t xml:space="preserve"> Peel, L. L.</w:t>
      </w:r>
      <w:r>
        <w:rPr>
          <w:bCs/>
        </w:rPr>
        <w:t>;</w:t>
      </w:r>
      <w:r w:rsidRPr="007B4656">
        <w:rPr>
          <w:bCs/>
        </w:rPr>
        <w:t xml:space="preserve"> Swann, M. J.</w:t>
      </w:r>
      <w:r>
        <w:rPr>
          <w:bCs/>
        </w:rPr>
        <w:t>;</w:t>
      </w:r>
      <w:r w:rsidRPr="007B4656">
        <w:rPr>
          <w:bCs/>
        </w:rPr>
        <w:t xml:space="preserve"> Cross, G. H.</w:t>
      </w:r>
      <w:r>
        <w:rPr>
          <w:bCs/>
        </w:rPr>
        <w:t>;</w:t>
      </w:r>
      <w:r w:rsidRPr="007B4656">
        <w:rPr>
          <w:bCs/>
        </w:rPr>
        <w:t xml:space="preserve"> Reeves, A.</w:t>
      </w:r>
      <w:r>
        <w:rPr>
          <w:bCs/>
        </w:rPr>
        <w:t>;</w:t>
      </w:r>
      <w:r w:rsidRPr="007B4656">
        <w:rPr>
          <w:bCs/>
        </w:rPr>
        <w:t xml:space="preserve"> Brand, S.</w:t>
      </w:r>
      <w:r>
        <w:rPr>
          <w:bCs/>
        </w:rPr>
        <w:t>;</w:t>
      </w:r>
      <w:r w:rsidRPr="007B4656">
        <w:rPr>
          <w:bCs/>
        </w:rPr>
        <w:t xml:space="preserve"> Lu, J. R.</w:t>
      </w:r>
      <w:r>
        <w:rPr>
          <w:bCs/>
        </w:rPr>
        <w:t xml:space="preserve"> </w:t>
      </w:r>
      <w:r w:rsidRPr="00370FC7">
        <w:rPr>
          <w:bCs/>
        </w:rPr>
        <w:t>Real time, high resolution studies of protein adsorption and structure at the solid–liquid interface using dual polarization interferometry</w:t>
      </w:r>
      <w:r>
        <w:rPr>
          <w:bCs/>
        </w:rPr>
        <w:t xml:space="preserve">. </w:t>
      </w:r>
      <w:r w:rsidRPr="007B4656">
        <w:rPr>
          <w:bCs/>
          <w:i/>
        </w:rPr>
        <w:t xml:space="preserve">J. Phys.: Condens. Matter </w:t>
      </w:r>
      <w:r w:rsidRPr="007B4656">
        <w:rPr>
          <w:b/>
          <w:bCs/>
        </w:rPr>
        <w:t>2004</w:t>
      </w:r>
      <w:r>
        <w:rPr>
          <w:bCs/>
          <w:i/>
        </w:rPr>
        <w:t xml:space="preserve">, </w:t>
      </w:r>
      <w:r w:rsidRPr="007B4656">
        <w:rPr>
          <w:bCs/>
        </w:rPr>
        <w:t>16</w:t>
      </w:r>
      <w:r w:rsidRPr="007B4656">
        <w:rPr>
          <w:b/>
          <w:bCs/>
        </w:rPr>
        <w:t>,</w:t>
      </w:r>
      <w:r w:rsidRPr="007B4656">
        <w:rPr>
          <w:bCs/>
        </w:rPr>
        <w:t xml:space="preserve"> </w:t>
      </w:r>
      <w:r>
        <w:rPr>
          <w:bCs/>
        </w:rPr>
        <w:t>2493–2496</w:t>
      </w:r>
      <w:r w:rsidRPr="007B4656">
        <w:rPr>
          <w:bCs/>
        </w:rPr>
        <w:t>.</w:t>
      </w:r>
    </w:p>
    <w:p w14:paraId="3F8AA700" w14:textId="77777777" w:rsidR="00B11357" w:rsidRPr="007B4656" w:rsidRDefault="00B11357" w:rsidP="00B11357">
      <w:pPr>
        <w:pStyle w:val="TFReferencesSection"/>
        <w:numPr>
          <w:ilvl w:val="0"/>
          <w:numId w:val="9"/>
        </w:numPr>
      </w:pPr>
      <w:r w:rsidRPr="007B4656">
        <w:rPr>
          <w:bCs/>
        </w:rPr>
        <w:t>Brorson, S. H.</w:t>
      </w:r>
      <w:r w:rsidRPr="00370FC7">
        <w:t xml:space="preserve"> </w:t>
      </w:r>
      <w:r w:rsidRPr="00370FC7">
        <w:rPr>
          <w:bCs/>
        </w:rPr>
        <w:t>Bovine serum albumin (BSA) as a reagent against non-specific immunogold labeling on LR-White and epoxy resin</w:t>
      </w:r>
      <w:r>
        <w:rPr>
          <w:bCs/>
        </w:rPr>
        <w:t xml:space="preserve">.  </w:t>
      </w:r>
      <w:r w:rsidRPr="007B4656">
        <w:rPr>
          <w:bCs/>
          <w:i/>
        </w:rPr>
        <w:t>Micron</w:t>
      </w:r>
      <w:r w:rsidRPr="007B4656">
        <w:rPr>
          <w:bCs/>
        </w:rPr>
        <w:t xml:space="preserve"> </w:t>
      </w:r>
      <w:r w:rsidRPr="007B4656">
        <w:rPr>
          <w:b/>
          <w:bCs/>
        </w:rPr>
        <w:t>1997</w:t>
      </w:r>
      <w:r>
        <w:rPr>
          <w:bCs/>
        </w:rPr>
        <w:t xml:space="preserve">, </w:t>
      </w:r>
      <w:r w:rsidRPr="007B4656">
        <w:rPr>
          <w:bCs/>
        </w:rPr>
        <w:t>28</w:t>
      </w:r>
      <w:r w:rsidRPr="007B4656">
        <w:rPr>
          <w:b/>
          <w:bCs/>
        </w:rPr>
        <w:t xml:space="preserve">, </w:t>
      </w:r>
      <w:r w:rsidRPr="007B4656">
        <w:rPr>
          <w:bCs/>
        </w:rPr>
        <w:t>189-</w:t>
      </w:r>
      <w:r>
        <w:rPr>
          <w:bCs/>
        </w:rPr>
        <w:t>195</w:t>
      </w:r>
      <w:r w:rsidRPr="007B4656">
        <w:rPr>
          <w:bCs/>
        </w:rPr>
        <w:t>.</w:t>
      </w:r>
    </w:p>
    <w:p w14:paraId="4535813E" w14:textId="77777777" w:rsidR="00B11357" w:rsidRPr="007B4656" w:rsidRDefault="00B11357" w:rsidP="00B11357">
      <w:pPr>
        <w:pStyle w:val="TFReferencesSection"/>
        <w:ind w:firstLine="0"/>
      </w:pPr>
    </w:p>
    <w:p w14:paraId="30AC03FC" w14:textId="77777777" w:rsidR="00B11357" w:rsidRPr="00A2218D" w:rsidRDefault="00B11357" w:rsidP="00B11357">
      <w:pPr>
        <w:pStyle w:val="TFReferencesSection"/>
        <w:numPr>
          <w:ilvl w:val="0"/>
          <w:numId w:val="9"/>
        </w:numPr>
        <w:rPr>
          <w:bCs/>
        </w:rPr>
      </w:pPr>
      <w:r w:rsidRPr="00A2218D">
        <w:rPr>
          <w:bCs/>
        </w:rPr>
        <w:t>Salamifar, S.E.</w:t>
      </w:r>
      <w:r>
        <w:rPr>
          <w:bCs/>
        </w:rPr>
        <w:t>; Lai, R.Y.</w:t>
      </w:r>
      <w:r w:rsidRPr="00556A2A">
        <w:t xml:space="preserve"> </w:t>
      </w:r>
      <w:r w:rsidRPr="00556A2A">
        <w:rPr>
          <w:bCs/>
        </w:rPr>
        <w:t>Application of Electrochemical Surface Plasmon Resonance Spectroscopy for Characterization of Electrochemical DNA Sensors</w:t>
      </w:r>
      <w:r>
        <w:rPr>
          <w:bCs/>
        </w:rPr>
        <w:t>.</w:t>
      </w:r>
      <w:r w:rsidRPr="00A2218D">
        <w:rPr>
          <w:rFonts w:ascii="Times New Roman" w:hAnsi="Times New Roman"/>
          <w:bCs/>
          <w:i/>
          <w:color w:val="000000"/>
          <w:sz w:val="20"/>
        </w:rPr>
        <w:t xml:space="preserve"> </w:t>
      </w:r>
      <w:r w:rsidRPr="00A2218D">
        <w:rPr>
          <w:bCs/>
          <w:i/>
        </w:rPr>
        <w:t xml:space="preserve">Colloids Surf B Biointerfaces </w:t>
      </w:r>
      <w:r w:rsidRPr="00A2218D">
        <w:rPr>
          <w:b/>
          <w:bCs/>
        </w:rPr>
        <w:t>2014</w:t>
      </w:r>
      <w:r w:rsidRPr="00A2218D">
        <w:rPr>
          <w:bCs/>
        </w:rPr>
        <w:t>,</w:t>
      </w:r>
      <w:r w:rsidRPr="00A2218D">
        <w:rPr>
          <w:b/>
          <w:bCs/>
        </w:rPr>
        <w:t xml:space="preserve"> </w:t>
      </w:r>
      <w:r w:rsidRPr="00A2218D">
        <w:rPr>
          <w:bCs/>
        </w:rPr>
        <w:t>122, 835-839.</w:t>
      </w:r>
    </w:p>
    <w:p w14:paraId="5221B9EE" w14:textId="77777777" w:rsidR="00B11357" w:rsidRPr="00D92D8B" w:rsidRDefault="00B11357" w:rsidP="00B11357">
      <w:pPr>
        <w:pStyle w:val="TFReferencesSection"/>
        <w:numPr>
          <w:ilvl w:val="0"/>
          <w:numId w:val="9"/>
        </w:numPr>
        <w:rPr>
          <w:bCs/>
        </w:rPr>
      </w:pPr>
      <w:r w:rsidRPr="00D92D8B">
        <w:rPr>
          <w:bCs/>
        </w:rPr>
        <w:t>Gestwicki, J. E.</w:t>
      </w:r>
      <w:r>
        <w:rPr>
          <w:bCs/>
        </w:rPr>
        <w:t xml:space="preserve">; </w:t>
      </w:r>
      <w:r w:rsidRPr="00556A2A">
        <w:rPr>
          <w:bCs/>
        </w:rPr>
        <w:t>Hsieh</w:t>
      </w:r>
      <w:r>
        <w:rPr>
          <w:bCs/>
        </w:rPr>
        <w:t>,</w:t>
      </w:r>
      <w:r w:rsidRPr="00556A2A">
        <w:rPr>
          <w:bCs/>
        </w:rPr>
        <w:t xml:space="preserve"> H</w:t>
      </w:r>
      <w:r>
        <w:rPr>
          <w:bCs/>
        </w:rPr>
        <w:t>.</w:t>
      </w:r>
      <w:r w:rsidRPr="00556A2A">
        <w:rPr>
          <w:bCs/>
        </w:rPr>
        <w:t>V</w:t>
      </w:r>
      <w:r>
        <w:rPr>
          <w:bCs/>
        </w:rPr>
        <w:t>.;</w:t>
      </w:r>
      <w:r w:rsidRPr="00556A2A">
        <w:rPr>
          <w:bCs/>
        </w:rPr>
        <w:t xml:space="preserve"> Pitner</w:t>
      </w:r>
      <w:r>
        <w:rPr>
          <w:bCs/>
        </w:rPr>
        <w:t>,</w:t>
      </w:r>
      <w:r w:rsidRPr="00556A2A">
        <w:rPr>
          <w:bCs/>
        </w:rPr>
        <w:t xml:space="preserve"> J</w:t>
      </w:r>
      <w:r>
        <w:rPr>
          <w:bCs/>
        </w:rPr>
        <w:t>.</w:t>
      </w:r>
      <w:r w:rsidRPr="00556A2A">
        <w:rPr>
          <w:bCs/>
        </w:rPr>
        <w:t>B.</w:t>
      </w:r>
      <w:r w:rsidRPr="00D92D8B">
        <w:rPr>
          <w:bCs/>
        </w:rPr>
        <w:t xml:space="preserve"> </w:t>
      </w:r>
      <w:r w:rsidRPr="00556A2A">
        <w:rPr>
          <w:bCs/>
        </w:rPr>
        <w:t>Using receptor conformational change to detect low molecular weight analytes by surface plasmon resonance</w:t>
      </w:r>
      <w:r>
        <w:rPr>
          <w:bCs/>
        </w:rPr>
        <w:t xml:space="preserve">. </w:t>
      </w:r>
      <w:r w:rsidRPr="00D92D8B">
        <w:rPr>
          <w:bCs/>
          <w:i/>
        </w:rPr>
        <w:t>Anal. Chem.</w:t>
      </w:r>
      <w:r w:rsidRPr="00D92D8B">
        <w:rPr>
          <w:bCs/>
        </w:rPr>
        <w:t xml:space="preserve"> </w:t>
      </w:r>
      <w:r w:rsidRPr="00D92D8B">
        <w:rPr>
          <w:b/>
          <w:bCs/>
        </w:rPr>
        <w:t>2001</w:t>
      </w:r>
      <w:r>
        <w:rPr>
          <w:b/>
          <w:bCs/>
        </w:rPr>
        <w:t xml:space="preserve">, </w:t>
      </w:r>
      <w:r w:rsidRPr="00D92D8B">
        <w:rPr>
          <w:bCs/>
        </w:rPr>
        <w:t>73, 5732–5737.</w:t>
      </w:r>
    </w:p>
    <w:p w14:paraId="72E6C210" w14:textId="77777777" w:rsidR="00B11357" w:rsidRPr="00ED6250" w:rsidRDefault="00B11357" w:rsidP="00B11357">
      <w:pPr>
        <w:pStyle w:val="TFReferencesSection"/>
        <w:numPr>
          <w:ilvl w:val="0"/>
          <w:numId w:val="9"/>
        </w:numPr>
      </w:pPr>
      <w:r w:rsidRPr="00556A2A">
        <w:rPr>
          <w:bCs/>
        </w:rPr>
        <w:t>Haasnoot, C.A.;</w:t>
      </w:r>
      <w:r>
        <w:t xml:space="preserve"> de Bruin, S.H.; Janssen, H. G. J. M.;</w:t>
      </w:r>
      <w:r w:rsidRPr="00556A2A">
        <w:t xml:space="preserve"> </w:t>
      </w:r>
      <w:r>
        <w:t>Binnendijk, T.J.J.;</w:t>
      </w:r>
      <w:r w:rsidRPr="00556A2A">
        <w:t xml:space="preserve"> </w:t>
      </w:r>
      <w:r>
        <w:t>Hilbers, C.W.;</w:t>
      </w:r>
      <w:r w:rsidRPr="00556A2A">
        <w:t xml:space="preserve"> </w:t>
      </w:r>
      <w:r>
        <w:t xml:space="preserve">van der Marel, G.A.; van Boom, J.H. </w:t>
      </w:r>
      <w:r w:rsidRPr="00556A2A">
        <w:rPr>
          <w:bCs/>
        </w:rPr>
        <w:t xml:space="preserve">Structure, Kinetics and Thermodynamics of DNA Hairpin Fragments in Solution. </w:t>
      </w:r>
      <w:r w:rsidRPr="00556A2A">
        <w:rPr>
          <w:bCs/>
          <w:i/>
        </w:rPr>
        <w:t xml:space="preserve">J Biomol. Struct. Dyn. </w:t>
      </w:r>
      <w:r w:rsidRPr="00556A2A">
        <w:rPr>
          <w:b/>
          <w:bCs/>
        </w:rPr>
        <w:t>1983</w:t>
      </w:r>
      <w:r w:rsidRPr="00556A2A">
        <w:rPr>
          <w:bCs/>
        </w:rPr>
        <w:t>, 1, 115-129.</w:t>
      </w:r>
    </w:p>
    <w:p w14:paraId="19AFE184" w14:textId="77777777" w:rsidR="00B11357" w:rsidRPr="00897A78" w:rsidRDefault="00B11357" w:rsidP="00B11357">
      <w:pPr>
        <w:pStyle w:val="TFReferencesSection"/>
        <w:numPr>
          <w:ilvl w:val="0"/>
          <w:numId w:val="9"/>
        </w:numPr>
        <w:rPr>
          <w:bCs/>
          <w:lang w:val="es-ES"/>
        </w:rPr>
      </w:pPr>
      <w:r w:rsidRPr="000B59E5">
        <w:rPr>
          <w:bCs/>
        </w:rPr>
        <w:t>Fan, C.; Plaxco, K.W.; A. J. Heeger. Electrochemical interrogation of conformational changes as a reagentless method for the sequence-specific detection of DNA.</w:t>
      </w:r>
      <w:r w:rsidRPr="000B59E5">
        <w:rPr>
          <w:rFonts w:ascii="Times New Roman" w:hAnsi="Times New Roman"/>
          <w:bCs/>
          <w:i/>
          <w:color w:val="000000"/>
          <w:sz w:val="20"/>
        </w:rPr>
        <w:t xml:space="preserve"> </w:t>
      </w:r>
      <w:r w:rsidRPr="00BA08CB">
        <w:rPr>
          <w:bCs/>
          <w:i/>
          <w:lang w:val="es-ES"/>
        </w:rPr>
        <w:t>PNAS</w:t>
      </w:r>
      <w:r w:rsidRPr="00BA08CB">
        <w:rPr>
          <w:bCs/>
          <w:lang w:val="es-ES"/>
        </w:rPr>
        <w:t xml:space="preserve"> </w:t>
      </w:r>
      <w:r w:rsidRPr="00BA08CB">
        <w:rPr>
          <w:b/>
          <w:bCs/>
          <w:lang w:val="es-ES"/>
        </w:rPr>
        <w:t>2003</w:t>
      </w:r>
      <w:r>
        <w:rPr>
          <w:bCs/>
          <w:lang w:val="es-ES"/>
        </w:rPr>
        <w:t>,</w:t>
      </w:r>
      <w:r>
        <w:rPr>
          <w:b/>
          <w:bCs/>
          <w:lang w:val="es-ES"/>
        </w:rPr>
        <w:t xml:space="preserve"> </w:t>
      </w:r>
      <w:r w:rsidRPr="00BA08CB">
        <w:rPr>
          <w:bCs/>
          <w:lang w:val="es-ES"/>
        </w:rPr>
        <w:t>100, 9134-</w:t>
      </w:r>
      <w:r>
        <w:rPr>
          <w:bCs/>
          <w:lang w:val="es-ES"/>
        </w:rPr>
        <w:t>9137</w:t>
      </w:r>
      <w:r w:rsidRPr="00BA08CB">
        <w:rPr>
          <w:bCs/>
          <w:lang w:val="es-ES"/>
        </w:rPr>
        <w:t>.</w:t>
      </w:r>
    </w:p>
    <w:p w14:paraId="0B6B489E" w14:textId="77777777" w:rsidR="00B11357" w:rsidRPr="00A522E0" w:rsidRDefault="00B11357" w:rsidP="00B11357">
      <w:pPr>
        <w:pStyle w:val="TFReferencesSection"/>
        <w:numPr>
          <w:ilvl w:val="0"/>
          <w:numId w:val="9"/>
        </w:numPr>
        <w:rPr>
          <w:bCs/>
        </w:rPr>
      </w:pPr>
      <w:r w:rsidRPr="007B4656">
        <w:rPr>
          <w:bCs/>
        </w:rPr>
        <w:t>Johnson, S. D.</w:t>
      </w:r>
      <w:r>
        <w:rPr>
          <w:bCs/>
        </w:rPr>
        <w:t>;</w:t>
      </w:r>
      <w:r w:rsidRPr="007B4656">
        <w:rPr>
          <w:bCs/>
        </w:rPr>
        <w:t xml:space="preserve"> Evans, D.</w:t>
      </w:r>
      <w:r>
        <w:rPr>
          <w:bCs/>
        </w:rPr>
        <w:t>;</w:t>
      </w:r>
      <w:r w:rsidRPr="007B4656">
        <w:rPr>
          <w:bCs/>
        </w:rPr>
        <w:t xml:space="preserve"> Laurenson, S.</w:t>
      </w:r>
      <w:r>
        <w:rPr>
          <w:bCs/>
        </w:rPr>
        <w:t>;</w:t>
      </w:r>
      <w:r w:rsidRPr="007B4656">
        <w:rPr>
          <w:bCs/>
        </w:rPr>
        <w:t xml:space="preserve"> Paul, D.</w:t>
      </w:r>
      <w:r>
        <w:rPr>
          <w:bCs/>
        </w:rPr>
        <w:t>;</w:t>
      </w:r>
      <w:r w:rsidRPr="007B4656">
        <w:rPr>
          <w:bCs/>
        </w:rPr>
        <w:t xml:space="preserve"> Davies, A. G.</w:t>
      </w:r>
      <w:r>
        <w:rPr>
          <w:bCs/>
        </w:rPr>
        <w:t>;</w:t>
      </w:r>
      <w:r w:rsidRPr="007B4656">
        <w:rPr>
          <w:bCs/>
        </w:rPr>
        <w:t xml:space="preserve"> Ferrigno, P. K.</w:t>
      </w:r>
      <w:r>
        <w:rPr>
          <w:bCs/>
        </w:rPr>
        <w:t>;</w:t>
      </w:r>
      <w:r w:rsidRPr="007B4656">
        <w:rPr>
          <w:bCs/>
        </w:rPr>
        <w:t xml:space="preserve"> Wälti, C.</w:t>
      </w:r>
      <w:r w:rsidRPr="00370FC7">
        <w:t xml:space="preserve"> </w:t>
      </w:r>
      <w:r w:rsidRPr="00370FC7">
        <w:rPr>
          <w:bCs/>
        </w:rPr>
        <w:t>Surface-Immobilized Peptide Aptamers as Probe Molecules for Protein Detection</w:t>
      </w:r>
      <w:r>
        <w:rPr>
          <w:bCs/>
        </w:rPr>
        <w:t xml:space="preserve">.  </w:t>
      </w:r>
      <w:r w:rsidRPr="007B4656">
        <w:rPr>
          <w:bCs/>
          <w:i/>
        </w:rPr>
        <w:t>Anal. Chem.</w:t>
      </w:r>
      <w:r w:rsidRPr="007B4656">
        <w:rPr>
          <w:bCs/>
        </w:rPr>
        <w:t xml:space="preserve"> </w:t>
      </w:r>
      <w:r w:rsidRPr="007B4656">
        <w:rPr>
          <w:b/>
          <w:bCs/>
        </w:rPr>
        <w:t>2008</w:t>
      </w:r>
      <w:r>
        <w:rPr>
          <w:b/>
          <w:bCs/>
        </w:rPr>
        <w:t xml:space="preserve">, </w:t>
      </w:r>
      <w:r w:rsidRPr="007B4656">
        <w:rPr>
          <w:bCs/>
        </w:rPr>
        <w:t>80, 978–983.</w:t>
      </w:r>
    </w:p>
    <w:p w14:paraId="2DCD89B3" w14:textId="77777777" w:rsidR="00B11357" w:rsidRPr="00897CB9" w:rsidRDefault="00B11357" w:rsidP="00B11357">
      <w:pPr>
        <w:pStyle w:val="TFReferencesSection"/>
        <w:numPr>
          <w:ilvl w:val="0"/>
          <w:numId w:val="9"/>
        </w:numPr>
        <w:rPr>
          <w:bCs/>
        </w:rPr>
      </w:pPr>
      <w:r w:rsidRPr="00897CB9">
        <w:rPr>
          <w:bCs/>
        </w:rPr>
        <w:t>Green, S. J.</w:t>
      </w:r>
      <w:r>
        <w:rPr>
          <w:bCs/>
        </w:rPr>
        <w:t>;</w:t>
      </w:r>
      <w:r w:rsidRPr="00897CB9">
        <w:rPr>
          <w:bCs/>
        </w:rPr>
        <w:t xml:space="preserve"> Lubrich, D.</w:t>
      </w:r>
      <w:r>
        <w:rPr>
          <w:bCs/>
        </w:rPr>
        <w:t>;</w:t>
      </w:r>
      <w:r w:rsidRPr="00897CB9">
        <w:rPr>
          <w:bCs/>
        </w:rPr>
        <w:t xml:space="preserve"> Turberfield, A. J.</w:t>
      </w:r>
      <w:r>
        <w:rPr>
          <w:bCs/>
        </w:rPr>
        <w:t xml:space="preserve"> </w:t>
      </w:r>
      <w:r w:rsidRPr="002A1286">
        <w:rPr>
          <w:bCs/>
        </w:rPr>
        <w:t>DNA Hairpins: Fuel for Autonomous DNA Devices</w:t>
      </w:r>
      <w:r>
        <w:rPr>
          <w:bCs/>
        </w:rPr>
        <w:t xml:space="preserve">. </w:t>
      </w:r>
      <w:r w:rsidRPr="00897CB9">
        <w:rPr>
          <w:bCs/>
          <w:i/>
        </w:rPr>
        <w:t>Biophys J.</w:t>
      </w:r>
      <w:r w:rsidRPr="00897CB9">
        <w:rPr>
          <w:bCs/>
        </w:rPr>
        <w:t xml:space="preserve"> </w:t>
      </w:r>
      <w:r w:rsidRPr="00897CB9">
        <w:rPr>
          <w:b/>
          <w:bCs/>
        </w:rPr>
        <w:t>2006</w:t>
      </w:r>
      <w:r>
        <w:rPr>
          <w:bCs/>
        </w:rPr>
        <w:t>, 91</w:t>
      </w:r>
      <w:r w:rsidRPr="00897CB9">
        <w:rPr>
          <w:bCs/>
        </w:rPr>
        <w:t>, 2966–2975.</w:t>
      </w:r>
    </w:p>
    <w:p w14:paraId="412869A0" w14:textId="77777777" w:rsidR="00B11357" w:rsidRDefault="00B11357" w:rsidP="00B11357">
      <w:pPr>
        <w:pStyle w:val="TFReferencesSection"/>
        <w:numPr>
          <w:ilvl w:val="0"/>
          <w:numId w:val="9"/>
        </w:numPr>
        <w:rPr>
          <w:bCs/>
        </w:rPr>
      </w:pPr>
      <w:r w:rsidRPr="00897A78">
        <w:rPr>
          <w:bCs/>
        </w:rPr>
        <w:t>Murphy</w:t>
      </w:r>
      <w:r>
        <w:rPr>
          <w:bCs/>
        </w:rPr>
        <w:t>,</w:t>
      </w:r>
      <w:r w:rsidRPr="00897A78">
        <w:rPr>
          <w:bCs/>
        </w:rPr>
        <w:t xml:space="preserve"> M</w:t>
      </w:r>
      <w:r>
        <w:rPr>
          <w:bCs/>
        </w:rPr>
        <w:t>.</w:t>
      </w:r>
      <w:r w:rsidRPr="00897A78">
        <w:rPr>
          <w:bCs/>
        </w:rPr>
        <w:t>C</w:t>
      </w:r>
      <w:r>
        <w:rPr>
          <w:bCs/>
        </w:rPr>
        <w:t>.;</w:t>
      </w:r>
      <w:r w:rsidRPr="00897A78">
        <w:rPr>
          <w:bCs/>
        </w:rPr>
        <w:t xml:space="preserve"> Rasnik</w:t>
      </w:r>
      <w:r>
        <w:rPr>
          <w:bCs/>
        </w:rPr>
        <w:t>,</w:t>
      </w:r>
      <w:r w:rsidRPr="00897A78">
        <w:rPr>
          <w:bCs/>
        </w:rPr>
        <w:t xml:space="preserve"> I</w:t>
      </w:r>
      <w:r>
        <w:rPr>
          <w:bCs/>
        </w:rPr>
        <w:t>.;</w:t>
      </w:r>
      <w:r w:rsidRPr="00897A78">
        <w:rPr>
          <w:bCs/>
        </w:rPr>
        <w:t xml:space="preserve"> Cheng</w:t>
      </w:r>
      <w:r>
        <w:rPr>
          <w:bCs/>
        </w:rPr>
        <w:t>, W.;</w:t>
      </w:r>
      <w:r w:rsidRPr="00897A78">
        <w:rPr>
          <w:bCs/>
        </w:rPr>
        <w:t xml:space="preserve"> Lohman</w:t>
      </w:r>
      <w:r>
        <w:rPr>
          <w:bCs/>
        </w:rPr>
        <w:t>,</w:t>
      </w:r>
      <w:r w:rsidRPr="00897A78">
        <w:rPr>
          <w:bCs/>
        </w:rPr>
        <w:t xml:space="preserve"> T</w:t>
      </w:r>
      <w:r>
        <w:rPr>
          <w:bCs/>
        </w:rPr>
        <w:t>.</w:t>
      </w:r>
      <w:r w:rsidRPr="00897A78">
        <w:rPr>
          <w:bCs/>
        </w:rPr>
        <w:t>M</w:t>
      </w:r>
      <w:r>
        <w:rPr>
          <w:bCs/>
        </w:rPr>
        <w:t>.;</w:t>
      </w:r>
      <w:r w:rsidRPr="00897A78">
        <w:rPr>
          <w:bCs/>
        </w:rPr>
        <w:t xml:space="preserve"> Ha</w:t>
      </w:r>
      <w:r>
        <w:rPr>
          <w:bCs/>
        </w:rPr>
        <w:t>,</w:t>
      </w:r>
      <w:r w:rsidRPr="00897A78">
        <w:rPr>
          <w:bCs/>
        </w:rPr>
        <w:t xml:space="preserve"> T.</w:t>
      </w:r>
      <w:r w:rsidRPr="005E07A9">
        <w:t xml:space="preserve"> </w:t>
      </w:r>
      <w:r w:rsidRPr="005E07A9">
        <w:rPr>
          <w:bCs/>
        </w:rPr>
        <w:t>Probing Single-Stranded DNA Conformational Flexibility Using Fluorescence Spectroscopy</w:t>
      </w:r>
      <w:r>
        <w:rPr>
          <w:bCs/>
        </w:rPr>
        <w:t>.</w:t>
      </w:r>
      <w:r w:rsidRPr="00897A78">
        <w:rPr>
          <w:bCs/>
        </w:rPr>
        <w:t xml:space="preserve"> </w:t>
      </w:r>
      <w:r w:rsidRPr="00897CB9">
        <w:rPr>
          <w:bCs/>
          <w:i/>
        </w:rPr>
        <w:t>Biophys J</w:t>
      </w:r>
      <w:r w:rsidRPr="00897A78">
        <w:rPr>
          <w:bCs/>
        </w:rPr>
        <w:t xml:space="preserve">. </w:t>
      </w:r>
      <w:r w:rsidRPr="007C1B30">
        <w:rPr>
          <w:b/>
          <w:bCs/>
        </w:rPr>
        <w:t>2004</w:t>
      </w:r>
      <w:r>
        <w:rPr>
          <w:bCs/>
        </w:rPr>
        <w:t>,</w:t>
      </w:r>
      <w:r w:rsidRPr="00897A78">
        <w:rPr>
          <w:bCs/>
        </w:rPr>
        <w:t>86</w:t>
      </w:r>
      <w:r>
        <w:rPr>
          <w:bCs/>
        </w:rPr>
        <w:t>,</w:t>
      </w:r>
      <w:r w:rsidRPr="00897A78">
        <w:rPr>
          <w:bCs/>
        </w:rPr>
        <w:t>2530-2537.</w:t>
      </w:r>
    </w:p>
    <w:p w14:paraId="4668F18C" w14:textId="77777777" w:rsidR="00B11357" w:rsidRPr="008658C3" w:rsidRDefault="00B11357" w:rsidP="00B11357">
      <w:pPr>
        <w:pStyle w:val="TFReferencesSection"/>
        <w:numPr>
          <w:ilvl w:val="0"/>
          <w:numId w:val="9"/>
        </w:numPr>
        <w:rPr>
          <w:bCs/>
        </w:rPr>
      </w:pPr>
      <w:r w:rsidRPr="00677052">
        <w:rPr>
          <w:bCs/>
        </w:rPr>
        <w:t>Ahmadian, A.</w:t>
      </w:r>
      <w:r>
        <w:rPr>
          <w:bCs/>
        </w:rPr>
        <w:t>;</w:t>
      </w:r>
      <w:r w:rsidRPr="00677052">
        <w:rPr>
          <w:bCs/>
        </w:rPr>
        <w:t xml:space="preserve"> Gharizadeh, B.</w:t>
      </w:r>
      <w:r>
        <w:rPr>
          <w:bCs/>
        </w:rPr>
        <w:t>;</w:t>
      </w:r>
      <w:r w:rsidRPr="00677052">
        <w:rPr>
          <w:bCs/>
        </w:rPr>
        <w:t xml:space="preserve"> Gustafsson, A.C.</w:t>
      </w:r>
      <w:r>
        <w:rPr>
          <w:bCs/>
        </w:rPr>
        <w:t>;</w:t>
      </w:r>
      <w:r w:rsidRPr="00677052">
        <w:rPr>
          <w:bCs/>
        </w:rPr>
        <w:t xml:space="preserve"> Sterky, F.</w:t>
      </w:r>
      <w:r>
        <w:rPr>
          <w:bCs/>
        </w:rPr>
        <w:t>;</w:t>
      </w:r>
      <w:r w:rsidRPr="00677052">
        <w:rPr>
          <w:bCs/>
        </w:rPr>
        <w:t xml:space="preserve"> Nyrén, P.</w:t>
      </w:r>
      <w:r>
        <w:rPr>
          <w:bCs/>
        </w:rPr>
        <w:t>;</w:t>
      </w:r>
      <w:r w:rsidRPr="00677052">
        <w:rPr>
          <w:bCs/>
        </w:rPr>
        <w:t xml:space="preserve"> Uhlén, M.</w:t>
      </w:r>
      <w:r>
        <w:rPr>
          <w:bCs/>
        </w:rPr>
        <w:t>;</w:t>
      </w:r>
      <w:r w:rsidRPr="00677052">
        <w:rPr>
          <w:bCs/>
        </w:rPr>
        <w:t xml:space="preserve"> Lundeberg</w:t>
      </w:r>
      <w:r>
        <w:rPr>
          <w:bCs/>
        </w:rPr>
        <w:t xml:space="preserve">. </w:t>
      </w:r>
      <w:r w:rsidRPr="008658C3">
        <w:rPr>
          <w:bCs/>
        </w:rPr>
        <w:t xml:space="preserve">Single-Nucleotide Polymorphism Analysis by Pyrosequencing. J. </w:t>
      </w:r>
      <w:r w:rsidRPr="008658C3">
        <w:rPr>
          <w:bCs/>
          <w:i/>
        </w:rPr>
        <w:t xml:space="preserve">Anal Biochem </w:t>
      </w:r>
      <w:r w:rsidRPr="008658C3">
        <w:rPr>
          <w:b/>
          <w:bCs/>
        </w:rPr>
        <w:t>2000</w:t>
      </w:r>
      <w:r w:rsidRPr="008658C3">
        <w:rPr>
          <w:bCs/>
        </w:rPr>
        <w:t>, 280, 103-110.</w:t>
      </w:r>
    </w:p>
    <w:p w14:paraId="43075A35" w14:textId="77777777" w:rsidR="00B11357" w:rsidRPr="00E1089B" w:rsidRDefault="00B11357" w:rsidP="00B11357">
      <w:pPr>
        <w:pStyle w:val="TFReferencesSection"/>
        <w:numPr>
          <w:ilvl w:val="0"/>
          <w:numId w:val="9"/>
        </w:numPr>
        <w:jc w:val="left"/>
        <w:rPr>
          <w:bCs/>
        </w:rPr>
      </w:pPr>
      <w:r w:rsidRPr="00E1089B">
        <w:rPr>
          <w:bCs/>
        </w:rPr>
        <w:t>Koutsoumpeli, E.</w:t>
      </w:r>
      <w:r>
        <w:rPr>
          <w:bCs/>
        </w:rPr>
        <w:t>;</w:t>
      </w:r>
      <w:r w:rsidRPr="00E1089B">
        <w:rPr>
          <w:bCs/>
        </w:rPr>
        <w:t xml:space="preserve"> Murray, J.</w:t>
      </w:r>
      <w:r>
        <w:rPr>
          <w:bCs/>
        </w:rPr>
        <w:t>;</w:t>
      </w:r>
      <w:r w:rsidRPr="00E1089B">
        <w:rPr>
          <w:bCs/>
        </w:rPr>
        <w:t xml:space="preserve"> Langford, D.</w:t>
      </w:r>
      <w:r>
        <w:rPr>
          <w:bCs/>
        </w:rPr>
        <w:t>;</w:t>
      </w:r>
      <w:r w:rsidRPr="00E1089B">
        <w:rPr>
          <w:bCs/>
        </w:rPr>
        <w:t xml:space="preserve"> Bon, R. A.</w:t>
      </w:r>
      <w:r>
        <w:rPr>
          <w:bCs/>
        </w:rPr>
        <w:t xml:space="preserve">; </w:t>
      </w:r>
      <w:r w:rsidRPr="00E1089B">
        <w:rPr>
          <w:bCs/>
        </w:rPr>
        <w:t>Johnson, S. D.</w:t>
      </w:r>
      <w:r>
        <w:rPr>
          <w:bCs/>
        </w:rPr>
        <w:t xml:space="preserve"> </w:t>
      </w:r>
      <w:r w:rsidRPr="002A1286">
        <w:rPr>
          <w:bCs/>
        </w:rPr>
        <w:t>Probing molecular interactions with methylene blue derivatized self-assembled monolayers</w:t>
      </w:r>
      <w:r>
        <w:rPr>
          <w:bCs/>
        </w:rPr>
        <w:t xml:space="preserve">. </w:t>
      </w:r>
      <w:r w:rsidRPr="00E1089B">
        <w:rPr>
          <w:bCs/>
          <w:i/>
        </w:rPr>
        <w:t xml:space="preserve">Sensing and BioSensing Research </w:t>
      </w:r>
      <w:r>
        <w:rPr>
          <w:b/>
          <w:bCs/>
        </w:rPr>
        <w:t>2015</w:t>
      </w:r>
      <w:r w:rsidRPr="00E1089B">
        <w:rPr>
          <w:bCs/>
        </w:rPr>
        <w:t>,</w:t>
      </w:r>
      <w:r>
        <w:rPr>
          <w:b/>
          <w:bCs/>
        </w:rPr>
        <w:t xml:space="preserve"> </w:t>
      </w:r>
      <w:r w:rsidRPr="00E1089B">
        <w:rPr>
          <w:bCs/>
        </w:rPr>
        <w:t>6, 1-6.</w:t>
      </w:r>
    </w:p>
    <w:p w14:paraId="0C1C6EA3" w14:textId="77777777" w:rsidR="00B11357" w:rsidRPr="00861B71" w:rsidRDefault="00B11357" w:rsidP="00B11357">
      <w:pPr>
        <w:pStyle w:val="TFReferencesSection"/>
        <w:ind w:left="547" w:firstLine="0"/>
      </w:pPr>
    </w:p>
    <w:p w14:paraId="39CD0C5A" w14:textId="77777777" w:rsidR="00B11357" w:rsidRDefault="00B11357" w:rsidP="00B11357">
      <w:pPr>
        <w:pStyle w:val="SNSynopsisTOC"/>
        <w:sectPr w:rsidR="00B11357" w:rsidSect="00B11357">
          <w:pgSz w:w="12240" w:h="15840"/>
          <w:pgMar w:top="720" w:right="1094" w:bottom="720" w:left="1094" w:header="720" w:footer="720" w:gutter="0"/>
          <w:cols w:num="2" w:space="461"/>
        </w:sectPr>
      </w:pPr>
    </w:p>
    <w:p w14:paraId="2D5C3EF5" w14:textId="0495ECC9" w:rsidR="00E43DF7" w:rsidRDefault="00E43DF7">
      <w:pPr>
        <w:spacing w:after="0"/>
        <w:jc w:val="left"/>
      </w:pPr>
      <w:r>
        <w:br w:type="page"/>
      </w:r>
    </w:p>
    <w:p w14:paraId="4D4C8A4C" w14:textId="77777777" w:rsidR="00D61BE8" w:rsidRDefault="00D61BE8" w:rsidP="004D5850">
      <w:pPr>
        <w:pStyle w:val="TAMainText"/>
      </w:pPr>
      <w:r w:rsidRPr="00D61BE8">
        <w:t>For Table of Contents Use Onl</w:t>
      </w:r>
      <w:r>
        <w:t>y</w:t>
      </w:r>
    </w:p>
    <w:p w14:paraId="02897CBF" w14:textId="45223B5F" w:rsidR="00D61BE8" w:rsidRPr="00EE2C87" w:rsidRDefault="00D61BE8" w:rsidP="004D5850">
      <w:pPr>
        <w:pStyle w:val="TAMainText"/>
      </w:pPr>
      <w:r w:rsidRPr="00EE2C87">
        <w:t xml:space="preserve">Real-time analysis of molecular conformation using silicon electrophotonic biosensors </w:t>
      </w:r>
    </w:p>
    <w:p w14:paraId="6F8368FA" w14:textId="77777777" w:rsidR="00D61BE8" w:rsidRPr="00EE2C87" w:rsidRDefault="00D61BE8" w:rsidP="00EE2C87">
      <w:pPr>
        <w:pStyle w:val="BCAuthorAddress"/>
        <w:ind w:firstLine="180"/>
        <w:rPr>
          <w:rFonts w:ascii="Myriad Pro" w:hAnsi="Myriad Pro"/>
          <w:sz w:val="16"/>
          <w:vertAlign w:val="superscript"/>
        </w:rPr>
      </w:pPr>
      <w:r w:rsidRPr="00EE2C87">
        <w:rPr>
          <w:rFonts w:ascii="Myriad Pro" w:hAnsi="Myriad Pro"/>
          <w:sz w:val="16"/>
        </w:rPr>
        <w:t xml:space="preserve">José Juan-Colás </w:t>
      </w:r>
      <w:r w:rsidRPr="00EE2C87">
        <w:rPr>
          <w:rFonts w:ascii="Myriad Pro" w:hAnsi="Myriad Pro"/>
          <w:sz w:val="16"/>
          <w:vertAlign w:val="superscript"/>
        </w:rPr>
        <w:t>§†</w:t>
      </w:r>
      <w:r w:rsidRPr="00EE2C87">
        <w:rPr>
          <w:rFonts w:ascii="Myriad Pro" w:hAnsi="Myriad Pro"/>
          <w:sz w:val="16"/>
        </w:rPr>
        <w:t xml:space="preserve"> *, Thomas F. Krauss</w:t>
      </w:r>
      <w:r w:rsidRPr="00EE2C87">
        <w:rPr>
          <w:rFonts w:ascii="Myriad Pro" w:hAnsi="Myriad Pro"/>
          <w:sz w:val="16"/>
          <w:vertAlign w:val="superscript"/>
        </w:rPr>
        <w:t>†</w:t>
      </w:r>
      <w:r w:rsidRPr="00EE2C87">
        <w:rPr>
          <w:rFonts w:ascii="Myriad Pro" w:hAnsi="Myriad Pro"/>
          <w:sz w:val="16"/>
        </w:rPr>
        <w:t xml:space="preserve"> and Steven D. Johnson</w:t>
      </w:r>
      <w:r w:rsidRPr="00EE2C87">
        <w:rPr>
          <w:rFonts w:ascii="Myriad Pro" w:hAnsi="Myriad Pro"/>
          <w:sz w:val="16"/>
          <w:vertAlign w:val="superscript"/>
        </w:rPr>
        <w:t>§</w:t>
      </w:r>
    </w:p>
    <w:p w14:paraId="1F5F2481" w14:textId="77777777" w:rsidR="00D61BE8" w:rsidRPr="00EE2C87" w:rsidRDefault="00D61BE8" w:rsidP="00EE2C87">
      <w:pPr>
        <w:pStyle w:val="BCAuthorAddress"/>
        <w:ind w:firstLine="180"/>
        <w:rPr>
          <w:rFonts w:ascii="Myriad Pro" w:hAnsi="Myriad Pro"/>
          <w:sz w:val="16"/>
        </w:rPr>
      </w:pPr>
      <w:r w:rsidRPr="00EE2C87">
        <w:rPr>
          <w:rFonts w:ascii="Myriad Pro" w:hAnsi="Myriad Pro"/>
          <w:sz w:val="16"/>
          <w:vertAlign w:val="superscript"/>
        </w:rPr>
        <w:t xml:space="preserve">§ </w:t>
      </w:r>
      <w:r w:rsidRPr="00EE2C87">
        <w:rPr>
          <w:rFonts w:ascii="Myriad Pro" w:hAnsi="Myriad Pro"/>
          <w:sz w:val="16"/>
        </w:rPr>
        <w:t>The Department of Electronics, University of York, Heslington, York YO10 5DD, UK</w:t>
      </w:r>
    </w:p>
    <w:p w14:paraId="20081FA3" w14:textId="77777777" w:rsidR="00D61BE8" w:rsidRPr="00EE2C87" w:rsidRDefault="00D61BE8" w:rsidP="00EE2C87">
      <w:pPr>
        <w:pStyle w:val="BCAuthorAddress"/>
        <w:ind w:firstLine="180"/>
        <w:rPr>
          <w:rFonts w:ascii="Myriad Pro" w:hAnsi="Myriad Pro"/>
          <w:sz w:val="16"/>
        </w:rPr>
      </w:pPr>
      <w:r w:rsidRPr="00EE2C87">
        <w:rPr>
          <w:rFonts w:ascii="Myriad Pro" w:hAnsi="Myriad Pro"/>
          <w:sz w:val="16"/>
          <w:vertAlign w:val="superscript"/>
        </w:rPr>
        <w:t xml:space="preserve">† </w:t>
      </w:r>
      <w:r w:rsidRPr="00EE2C87">
        <w:rPr>
          <w:rFonts w:ascii="Myriad Pro" w:hAnsi="Myriad Pro"/>
          <w:sz w:val="16"/>
        </w:rPr>
        <w:t>Department of Physics, University of York, Heslington, York YO10 5DD</w:t>
      </w:r>
    </w:p>
    <w:p w14:paraId="0966B876" w14:textId="77777777" w:rsidR="00D61BE8" w:rsidRDefault="00D61BE8" w:rsidP="004D5850">
      <w:pPr>
        <w:pStyle w:val="TAMainText"/>
      </w:pPr>
    </w:p>
    <w:p w14:paraId="51D81402" w14:textId="77777777" w:rsidR="00D61BE8" w:rsidRDefault="00D61BE8" w:rsidP="004D5850">
      <w:pPr>
        <w:pStyle w:val="TAMainText"/>
      </w:pPr>
    </w:p>
    <w:p w14:paraId="09ACD4D3" w14:textId="025DC3D3" w:rsidR="00E43DF7" w:rsidRDefault="00E43DF7" w:rsidP="004D5850">
      <w:pPr>
        <w:pStyle w:val="TAMainText"/>
        <w:jc w:val="center"/>
        <w:sectPr w:rsidR="00E43DF7" w:rsidSect="00307A9D">
          <w:type w:val="continuous"/>
          <w:pgSz w:w="12240" w:h="15840"/>
          <w:pgMar w:top="720" w:right="1094" w:bottom="720" w:left="1094" w:header="720" w:footer="720" w:gutter="0"/>
          <w:cols w:space="461"/>
        </w:sectPr>
      </w:pPr>
      <w:r>
        <w:rPr>
          <w:noProof/>
          <w:lang w:eastAsia="en-GB"/>
        </w:rPr>
        <w:drawing>
          <wp:inline distT="0" distB="0" distL="0" distR="0" wp14:anchorId="466D6B08" wp14:editId="6EAFFD93">
            <wp:extent cx="4490700" cy="257735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8509" cy="2622011"/>
                    </a:xfrm>
                    <a:prstGeom prst="rect">
                      <a:avLst/>
                    </a:prstGeom>
                  </pic:spPr>
                </pic:pic>
              </a:graphicData>
            </a:graphic>
          </wp:inline>
        </w:drawing>
      </w:r>
    </w:p>
    <w:p w14:paraId="33287B22" w14:textId="2F88C854" w:rsidR="00D61BE8" w:rsidRPr="00D61BE8" w:rsidRDefault="00D61BE8" w:rsidP="004D5850">
      <w:pPr>
        <w:pStyle w:val="TAMainText"/>
      </w:pPr>
      <w:r>
        <w:t>R</w:t>
      </w:r>
      <w:r w:rsidRPr="00D61BE8">
        <w:t>ecording the resonance shift from two geometrically distinct ring-resonators connected to a single access waveguide</w:t>
      </w:r>
      <w:r>
        <w:t xml:space="preserve">, </w:t>
      </w:r>
      <w:r w:rsidRPr="00D61BE8">
        <w:t>unambiguous quantification of the thickness and the refractive index of a molecular layer assembled on the waveguide</w:t>
      </w:r>
      <w:r>
        <w:t xml:space="preserve"> is obtained with a</w:t>
      </w:r>
      <w:r w:rsidRPr="00D61BE8">
        <w:t xml:space="preserve"> precision of the technique is 0.05 nm and 0.005 RIU in the molecular layer thickness and refractive index, respectively. </w:t>
      </w:r>
      <w:r>
        <w:t>This is further complemented with electrochemical interrogation to provide deeper insight into the biomolecular process occurring at the sensor surface.</w:t>
      </w:r>
      <w:r w:rsidRPr="00D61BE8">
        <w:t xml:space="preserve"> This novel sensor geometry provides a new approach for monitoring the conformation and conformational changes in an inexpensive and miniaturized platform that is amenable to multiplexed, high-throughput measurements.</w:t>
      </w:r>
    </w:p>
    <w:p w14:paraId="711AC8B5" w14:textId="1E3CB176" w:rsidR="00A66EDD" w:rsidRPr="008940F3" w:rsidRDefault="00A66EDD" w:rsidP="008940F3">
      <w:pPr>
        <w:spacing w:after="0"/>
        <w:jc w:val="left"/>
        <w:rPr>
          <w:rFonts w:ascii="Arno Pro" w:hAnsi="Arno Pro"/>
          <w:sz w:val="20"/>
        </w:rPr>
      </w:pPr>
    </w:p>
    <w:sectPr w:rsidR="00A66EDD" w:rsidRPr="008940F3" w:rsidSect="00984F9E">
      <w:headerReference w:type="even" r:id="rId12"/>
      <w:footerReference w:type="even" r:id="rId13"/>
      <w:footerReference w:type="default" r:id="rId14"/>
      <w:type w:val="continuous"/>
      <w:pgSz w:w="12240" w:h="15840"/>
      <w:pgMar w:top="720" w:right="1094" w:bottom="720" w:left="1094" w:header="0" w:footer="0" w:gutter="0"/>
      <w:cols w:space="4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7E4F6" w14:textId="77777777" w:rsidR="00820AE6" w:rsidRDefault="00820AE6">
      <w:r>
        <w:separator/>
      </w:r>
    </w:p>
    <w:p w14:paraId="5E2764B1" w14:textId="77777777" w:rsidR="00820AE6" w:rsidRDefault="00820AE6"/>
  </w:endnote>
  <w:endnote w:type="continuationSeparator" w:id="0">
    <w:p w14:paraId="70D15EAF" w14:textId="77777777" w:rsidR="00820AE6" w:rsidRDefault="00820AE6">
      <w:r>
        <w:continuationSeparator/>
      </w:r>
    </w:p>
    <w:p w14:paraId="2B2A536A" w14:textId="77777777" w:rsidR="00820AE6" w:rsidRDefault="00820AE6"/>
  </w:endnote>
  <w:endnote w:type="continuationNotice" w:id="1">
    <w:p w14:paraId="47EC2AE7" w14:textId="77777777" w:rsidR="00820AE6" w:rsidRDefault="00820A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embedRegular r:id="rId1" w:subsetted="1" w:fontKey="{398CB134-4609-4CEE-A593-0194F28EC98D}"/>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Myriad Pro Light">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Arno Pro">
    <w:altName w:val="Constant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embedItalic r:id="rId2" w:subsetted="1" w:fontKey="{B5232B5A-3C18-4191-9702-EB8496CD64FE}"/>
  </w:font>
  <w:font w:name="Myriad Pro">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7B87" w14:textId="77777777" w:rsidR="00B538A8" w:rsidRDefault="00B538A8">
    <w:pPr>
      <w:framePr w:wrap="around" w:vAnchor="text" w:hAnchor="margin" w:xAlign="right" w:y="1"/>
      <w:rPr>
        <w:rStyle w:val="PageNumber"/>
      </w:rPr>
    </w:pPr>
    <w:r>
      <w:rPr>
        <w:rStyle w:val="PageNumber"/>
      </w:rPr>
      <w:t xml:space="preserve">PAGE  </w:t>
    </w:r>
    <w:r>
      <w:rPr>
        <w:rStyle w:val="PageNumber"/>
        <w:noProof/>
      </w:rPr>
      <w:t>2</w:t>
    </w:r>
  </w:p>
  <w:p w14:paraId="30B2CC46" w14:textId="77777777" w:rsidR="00B538A8" w:rsidRDefault="00B538A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A8712" w14:textId="77777777" w:rsidR="00B538A8" w:rsidRDefault="00B538A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0BA7C" w14:textId="77777777" w:rsidR="00B538A8" w:rsidRDefault="00B538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2F0E5F" w14:textId="77777777" w:rsidR="00B538A8" w:rsidRDefault="00B538A8">
    <w:pPr>
      <w:pStyle w:val="Footer"/>
      <w:ind w:right="360"/>
    </w:pPr>
  </w:p>
  <w:p w14:paraId="07473EDD" w14:textId="77777777" w:rsidR="00B538A8" w:rsidRDefault="00B538A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0BC46" w14:textId="79C29A33" w:rsidR="00B538A8" w:rsidRDefault="00B538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07A9">
      <w:rPr>
        <w:rStyle w:val="PageNumber"/>
        <w:noProof/>
      </w:rPr>
      <w:t>9</w:t>
    </w:r>
    <w:r>
      <w:rPr>
        <w:rStyle w:val="PageNumber"/>
      </w:rPr>
      <w:fldChar w:fldCharType="end"/>
    </w:r>
  </w:p>
  <w:p w14:paraId="66939F38" w14:textId="77777777" w:rsidR="00B538A8" w:rsidRDefault="00B538A8">
    <w:pPr>
      <w:pStyle w:val="Footer"/>
      <w:ind w:right="360"/>
    </w:pPr>
  </w:p>
  <w:p w14:paraId="485026B9" w14:textId="77777777" w:rsidR="00B538A8" w:rsidRDefault="00B538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855D7" w14:textId="77777777" w:rsidR="00820AE6" w:rsidRDefault="00820AE6">
      <w:r>
        <w:separator/>
      </w:r>
    </w:p>
    <w:p w14:paraId="614207B3" w14:textId="77777777" w:rsidR="00820AE6" w:rsidRDefault="00820AE6"/>
  </w:footnote>
  <w:footnote w:type="continuationSeparator" w:id="0">
    <w:p w14:paraId="31B78A99" w14:textId="77777777" w:rsidR="00820AE6" w:rsidRDefault="00820AE6">
      <w:r>
        <w:continuationSeparator/>
      </w:r>
    </w:p>
    <w:p w14:paraId="694CD27E" w14:textId="77777777" w:rsidR="00820AE6" w:rsidRDefault="00820AE6"/>
  </w:footnote>
  <w:footnote w:type="continuationNotice" w:id="1">
    <w:p w14:paraId="3EF5FC21" w14:textId="77777777" w:rsidR="00820AE6" w:rsidRDefault="00820AE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6188" w14:textId="77777777" w:rsidR="00B538A8" w:rsidRDefault="00B538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C352A"/>
    <w:multiLevelType w:val="hybridMultilevel"/>
    <w:tmpl w:val="776E15A4"/>
    <w:lvl w:ilvl="0" w:tplc="75883D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2"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5"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6"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7" w15:restartNumberingAfterBreak="0">
    <w:nsid w:val="449B3CD3"/>
    <w:multiLevelType w:val="hybridMultilevel"/>
    <w:tmpl w:val="4F0CD562"/>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4BB17FAA"/>
    <w:multiLevelType w:val="hybridMultilevel"/>
    <w:tmpl w:val="4F0CD562"/>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4F4C5D25"/>
    <w:multiLevelType w:val="hybridMultilevel"/>
    <w:tmpl w:val="45DC8FD8"/>
    <w:lvl w:ilvl="0" w:tplc="394EDF54">
      <w:start w:val="3"/>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315A9"/>
    <w:multiLevelType w:val="hybridMultilevel"/>
    <w:tmpl w:val="BB7E3F52"/>
    <w:lvl w:ilvl="0" w:tplc="BF5600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8"/>
  </w:num>
  <w:num w:numId="8">
    <w:abstractNumId w:val="7"/>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TrueTypeFonts/>
  <w:saveSubset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D9"/>
    <w:rsid w:val="0000685E"/>
    <w:rsid w:val="00016657"/>
    <w:rsid w:val="000201D0"/>
    <w:rsid w:val="0003046A"/>
    <w:rsid w:val="0005364D"/>
    <w:rsid w:val="00053761"/>
    <w:rsid w:val="000556BA"/>
    <w:rsid w:val="000575D0"/>
    <w:rsid w:val="00060CF5"/>
    <w:rsid w:val="00067EC3"/>
    <w:rsid w:val="00086246"/>
    <w:rsid w:val="000A65BB"/>
    <w:rsid w:val="000B2AFA"/>
    <w:rsid w:val="000B2C6D"/>
    <w:rsid w:val="000B59E5"/>
    <w:rsid w:val="000D2D84"/>
    <w:rsid w:val="000D3EDE"/>
    <w:rsid w:val="000E2124"/>
    <w:rsid w:val="000E75E3"/>
    <w:rsid w:val="000F2AA0"/>
    <w:rsid w:val="000F5038"/>
    <w:rsid w:val="00101D1F"/>
    <w:rsid w:val="001120C0"/>
    <w:rsid w:val="0012273F"/>
    <w:rsid w:val="00125108"/>
    <w:rsid w:val="001267F2"/>
    <w:rsid w:val="001379DD"/>
    <w:rsid w:val="00141659"/>
    <w:rsid w:val="0015109A"/>
    <w:rsid w:val="0015390E"/>
    <w:rsid w:val="00156E08"/>
    <w:rsid w:val="00157E12"/>
    <w:rsid w:val="00174BF7"/>
    <w:rsid w:val="00175023"/>
    <w:rsid w:val="00183FAD"/>
    <w:rsid w:val="00185B9C"/>
    <w:rsid w:val="00186D63"/>
    <w:rsid w:val="001B203E"/>
    <w:rsid w:val="001D663A"/>
    <w:rsid w:val="001E02A9"/>
    <w:rsid w:val="001E451C"/>
    <w:rsid w:val="001F75B4"/>
    <w:rsid w:val="0020288D"/>
    <w:rsid w:val="002031A2"/>
    <w:rsid w:val="00211FE2"/>
    <w:rsid w:val="0022040A"/>
    <w:rsid w:val="002244A1"/>
    <w:rsid w:val="00231322"/>
    <w:rsid w:val="0023337A"/>
    <w:rsid w:val="00234535"/>
    <w:rsid w:val="00235086"/>
    <w:rsid w:val="00236C32"/>
    <w:rsid w:val="002408E5"/>
    <w:rsid w:val="00243CF2"/>
    <w:rsid w:val="0024409A"/>
    <w:rsid w:val="00260E98"/>
    <w:rsid w:val="00267095"/>
    <w:rsid w:val="002729FB"/>
    <w:rsid w:val="00282C6F"/>
    <w:rsid w:val="00285874"/>
    <w:rsid w:val="002A1286"/>
    <w:rsid w:val="002A7098"/>
    <w:rsid w:val="002A7D96"/>
    <w:rsid w:val="002C3431"/>
    <w:rsid w:val="002C3BA7"/>
    <w:rsid w:val="002C3C63"/>
    <w:rsid w:val="002C531B"/>
    <w:rsid w:val="002D5DF0"/>
    <w:rsid w:val="002E356F"/>
    <w:rsid w:val="002E52AC"/>
    <w:rsid w:val="002F076F"/>
    <w:rsid w:val="0030493C"/>
    <w:rsid w:val="00307A9D"/>
    <w:rsid w:val="00310911"/>
    <w:rsid w:val="00311704"/>
    <w:rsid w:val="003136F6"/>
    <w:rsid w:val="00314E76"/>
    <w:rsid w:val="00324805"/>
    <w:rsid w:val="00331880"/>
    <w:rsid w:val="00334E27"/>
    <w:rsid w:val="003449F8"/>
    <w:rsid w:val="00346EBB"/>
    <w:rsid w:val="0035002E"/>
    <w:rsid w:val="003547B0"/>
    <w:rsid w:val="00357396"/>
    <w:rsid w:val="003609D3"/>
    <w:rsid w:val="003634DF"/>
    <w:rsid w:val="003679A1"/>
    <w:rsid w:val="00367DFE"/>
    <w:rsid w:val="00370FC7"/>
    <w:rsid w:val="003746CC"/>
    <w:rsid w:val="003876AC"/>
    <w:rsid w:val="003A0F5F"/>
    <w:rsid w:val="003B4AF3"/>
    <w:rsid w:val="003C2BE3"/>
    <w:rsid w:val="003C6081"/>
    <w:rsid w:val="003C627E"/>
    <w:rsid w:val="003D676C"/>
    <w:rsid w:val="003E04D3"/>
    <w:rsid w:val="003E5207"/>
    <w:rsid w:val="003E60D9"/>
    <w:rsid w:val="003E7659"/>
    <w:rsid w:val="003F0A01"/>
    <w:rsid w:val="003F2D42"/>
    <w:rsid w:val="003F4B14"/>
    <w:rsid w:val="004001A0"/>
    <w:rsid w:val="00400844"/>
    <w:rsid w:val="00403BB4"/>
    <w:rsid w:val="0041079D"/>
    <w:rsid w:val="00414F13"/>
    <w:rsid w:val="004177A3"/>
    <w:rsid w:val="0042106F"/>
    <w:rsid w:val="00422950"/>
    <w:rsid w:val="00425020"/>
    <w:rsid w:val="00425EC4"/>
    <w:rsid w:val="00427112"/>
    <w:rsid w:val="00430D05"/>
    <w:rsid w:val="004363F1"/>
    <w:rsid w:val="00444295"/>
    <w:rsid w:val="004564CF"/>
    <w:rsid w:val="004626BB"/>
    <w:rsid w:val="004730DF"/>
    <w:rsid w:val="0049449E"/>
    <w:rsid w:val="004969DA"/>
    <w:rsid w:val="00496B72"/>
    <w:rsid w:val="004A0406"/>
    <w:rsid w:val="004A742B"/>
    <w:rsid w:val="004B5508"/>
    <w:rsid w:val="004C345C"/>
    <w:rsid w:val="004C3612"/>
    <w:rsid w:val="004C514A"/>
    <w:rsid w:val="004C7053"/>
    <w:rsid w:val="004D30F8"/>
    <w:rsid w:val="004D5850"/>
    <w:rsid w:val="004E35E0"/>
    <w:rsid w:val="004F0F96"/>
    <w:rsid w:val="004F290A"/>
    <w:rsid w:val="004F57AA"/>
    <w:rsid w:val="00510334"/>
    <w:rsid w:val="00511D71"/>
    <w:rsid w:val="00514C13"/>
    <w:rsid w:val="0052104A"/>
    <w:rsid w:val="00522D1F"/>
    <w:rsid w:val="005327A4"/>
    <w:rsid w:val="005329C7"/>
    <w:rsid w:val="00540044"/>
    <w:rsid w:val="0054359A"/>
    <w:rsid w:val="00551789"/>
    <w:rsid w:val="00552A07"/>
    <w:rsid w:val="00556A2A"/>
    <w:rsid w:val="005754B8"/>
    <w:rsid w:val="00575965"/>
    <w:rsid w:val="005774F1"/>
    <w:rsid w:val="0058053F"/>
    <w:rsid w:val="0058273B"/>
    <w:rsid w:val="0058318B"/>
    <w:rsid w:val="00591A57"/>
    <w:rsid w:val="0059535F"/>
    <w:rsid w:val="005963AA"/>
    <w:rsid w:val="005A037C"/>
    <w:rsid w:val="005A1E30"/>
    <w:rsid w:val="005B3D2C"/>
    <w:rsid w:val="005B57D6"/>
    <w:rsid w:val="005C1BAC"/>
    <w:rsid w:val="005C3D74"/>
    <w:rsid w:val="005C653D"/>
    <w:rsid w:val="005D0C10"/>
    <w:rsid w:val="005D2065"/>
    <w:rsid w:val="005E07A9"/>
    <w:rsid w:val="005E1A0B"/>
    <w:rsid w:val="005E3DF4"/>
    <w:rsid w:val="005F5C5C"/>
    <w:rsid w:val="005F688E"/>
    <w:rsid w:val="006019C2"/>
    <w:rsid w:val="00604751"/>
    <w:rsid w:val="00604E00"/>
    <w:rsid w:val="00604F23"/>
    <w:rsid w:val="00610249"/>
    <w:rsid w:val="00614F2E"/>
    <w:rsid w:val="00616D68"/>
    <w:rsid w:val="00621A26"/>
    <w:rsid w:val="00622C85"/>
    <w:rsid w:val="00624C1F"/>
    <w:rsid w:val="00631B3F"/>
    <w:rsid w:val="00631E32"/>
    <w:rsid w:val="0064353C"/>
    <w:rsid w:val="00647013"/>
    <w:rsid w:val="0065276D"/>
    <w:rsid w:val="006532A9"/>
    <w:rsid w:val="00655E37"/>
    <w:rsid w:val="00664C22"/>
    <w:rsid w:val="00665872"/>
    <w:rsid w:val="00672E83"/>
    <w:rsid w:val="00677052"/>
    <w:rsid w:val="0068261F"/>
    <w:rsid w:val="00682E76"/>
    <w:rsid w:val="006834E4"/>
    <w:rsid w:val="00683910"/>
    <w:rsid w:val="006B2581"/>
    <w:rsid w:val="006C0240"/>
    <w:rsid w:val="006C0943"/>
    <w:rsid w:val="006C4F62"/>
    <w:rsid w:val="006D6F7B"/>
    <w:rsid w:val="006E6BC5"/>
    <w:rsid w:val="006F0FCF"/>
    <w:rsid w:val="006F268D"/>
    <w:rsid w:val="006F5303"/>
    <w:rsid w:val="00700250"/>
    <w:rsid w:val="007009DA"/>
    <w:rsid w:val="00711159"/>
    <w:rsid w:val="0071182A"/>
    <w:rsid w:val="007126DE"/>
    <w:rsid w:val="007130C0"/>
    <w:rsid w:val="007179F0"/>
    <w:rsid w:val="00722AA1"/>
    <w:rsid w:val="00723DC9"/>
    <w:rsid w:val="00725E67"/>
    <w:rsid w:val="007331FF"/>
    <w:rsid w:val="00742B9A"/>
    <w:rsid w:val="007629D3"/>
    <w:rsid w:val="00764FF1"/>
    <w:rsid w:val="00777AD9"/>
    <w:rsid w:val="00783D09"/>
    <w:rsid w:val="00784187"/>
    <w:rsid w:val="00795991"/>
    <w:rsid w:val="007960CA"/>
    <w:rsid w:val="007A5528"/>
    <w:rsid w:val="007B4656"/>
    <w:rsid w:val="007C1383"/>
    <w:rsid w:val="007C1B30"/>
    <w:rsid w:val="007C6D32"/>
    <w:rsid w:val="007E124C"/>
    <w:rsid w:val="007E19EA"/>
    <w:rsid w:val="007E50D2"/>
    <w:rsid w:val="007F3FDD"/>
    <w:rsid w:val="007F6792"/>
    <w:rsid w:val="00803489"/>
    <w:rsid w:val="00817F86"/>
    <w:rsid w:val="00820AE6"/>
    <w:rsid w:val="00825D70"/>
    <w:rsid w:val="0082771B"/>
    <w:rsid w:val="008335D0"/>
    <w:rsid w:val="008348A2"/>
    <w:rsid w:val="00835CBD"/>
    <w:rsid w:val="00841B8C"/>
    <w:rsid w:val="00850593"/>
    <w:rsid w:val="00861B71"/>
    <w:rsid w:val="00865479"/>
    <w:rsid w:val="008655C0"/>
    <w:rsid w:val="00866861"/>
    <w:rsid w:val="00893F61"/>
    <w:rsid w:val="008940F3"/>
    <w:rsid w:val="00897477"/>
    <w:rsid w:val="00897A78"/>
    <w:rsid w:val="00897CB9"/>
    <w:rsid w:val="008A28A0"/>
    <w:rsid w:val="008A3542"/>
    <w:rsid w:val="008B1E9A"/>
    <w:rsid w:val="008B3228"/>
    <w:rsid w:val="008B3498"/>
    <w:rsid w:val="008C4985"/>
    <w:rsid w:val="008C75D6"/>
    <w:rsid w:val="008C7DF6"/>
    <w:rsid w:val="008D045D"/>
    <w:rsid w:val="008D17E5"/>
    <w:rsid w:val="008D2DFE"/>
    <w:rsid w:val="008D3D15"/>
    <w:rsid w:val="008D567C"/>
    <w:rsid w:val="008F3D03"/>
    <w:rsid w:val="0092037A"/>
    <w:rsid w:val="009246AD"/>
    <w:rsid w:val="00927CDC"/>
    <w:rsid w:val="00934A66"/>
    <w:rsid w:val="009428CE"/>
    <w:rsid w:val="00944996"/>
    <w:rsid w:val="00946208"/>
    <w:rsid w:val="00957C0B"/>
    <w:rsid w:val="00962514"/>
    <w:rsid w:val="00963797"/>
    <w:rsid w:val="00967927"/>
    <w:rsid w:val="00974EE3"/>
    <w:rsid w:val="00984F9E"/>
    <w:rsid w:val="00994A95"/>
    <w:rsid w:val="009A2BBF"/>
    <w:rsid w:val="009C1A18"/>
    <w:rsid w:val="009D5768"/>
    <w:rsid w:val="009E25E4"/>
    <w:rsid w:val="009E3B56"/>
    <w:rsid w:val="009E603B"/>
    <w:rsid w:val="009F2C8B"/>
    <w:rsid w:val="009F4BE6"/>
    <w:rsid w:val="009F4D0F"/>
    <w:rsid w:val="009F69D9"/>
    <w:rsid w:val="00A02D62"/>
    <w:rsid w:val="00A201AD"/>
    <w:rsid w:val="00A2218D"/>
    <w:rsid w:val="00A269C9"/>
    <w:rsid w:val="00A35A0C"/>
    <w:rsid w:val="00A40D6B"/>
    <w:rsid w:val="00A444E1"/>
    <w:rsid w:val="00A460B5"/>
    <w:rsid w:val="00A46C91"/>
    <w:rsid w:val="00A522E0"/>
    <w:rsid w:val="00A65C18"/>
    <w:rsid w:val="00A66999"/>
    <w:rsid w:val="00A66EDD"/>
    <w:rsid w:val="00A71C00"/>
    <w:rsid w:val="00A8299E"/>
    <w:rsid w:val="00AA4E0D"/>
    <w:rsid w:val="00AB26B0"/>
    <w:rsid w:val="00AB7C50"/>
    <w:rsid w:val="00AC1426"/>
    <w:rsid w:val="00AC1839"/>
    <w:rsid w:val="00AC43B1"/>
    <w:rsid w:val="00AC4F29"/>
    <w:rsid w:val="00AC5F97"/>
    <w:rsid w:val="00AC6438"/>
    <w:rsid w:val="00AD2B13"/>
    <w:rsid w:val="00AD7EBD"/>
    <w:rsid w:val="00AE4B97"/>
    <w:rsid w:val="00AF1765"/>
    <w:rsid w:val="00AF2AD1"/>
    <w:rsid w:val="00B0713D"/>
    <w:rsid w:val="00B10123"/>
    <w:rsid w:val="00B11357"/>
    <w:rsid w:val="00B16FF8"/>
    <w:rsid w:val="00B2131F"/>
    <w:rsid w:val="00B25415"/>
    <w:rsid w:val="00B258CE"/>
    <w:rsid w:val="00B3141F"/>
    <w:rsid w:val="00B332EB"/>
    <w:rsid w:val="00B348A1"/>
    <w:rsid w:val="00B42C29"/>
    <w:rsid w:val="00B45B32"/>
    <w:rsid w:val="00B538A8"/>
    <w:rsid w:val="00B55BD6"/>
    <w:rsid w:val="00B563D9"/>
    <w:rsid w:val="00B65A79"/>
    <w:rsid w:val="00B71491"/>
    <w:rsid w:val="00B7618D"/>
    <w:rsid w:val="00B8646B"/>
    <w:rsid w:val="00B86854"/>
    <w:rsid w:val="00B875D7"/>
    <w:rsid w:val="00B91ACD"/>
    <w:rsid w:val="00B9216C"/>
    <w:rsid w:val="00B931CA"/>
    <w:rsid w:val="00B93387"/>
    <w:rsid w:val="00B97259"/>
    <w:rsid w:val="00B9768F"/>
    <w:rsid w:val="00BA08CB"/>
    <w:rsid w:val="00BB1134"/>
    <w:rsid w:val="00BB54D9"/>
    <w:rsid w:val="00BC261E"/>
    <w:rsid w:val="00BC3E2A"/>
    <w:rsid w:val="00BD0668"/>
    <w:rsid w:val="00BD5122"/>
    <w:rsid w:val="00BD5B21"/>
    <w:rsid w:val="00BE533F"/>
    <w:rsid w:val="00C03386"/>
    <w:rsid w:val="00C06CFC"/>
    <w:rsid w:val="00C17F3C"/>
    <w:rsid w:val="00C30403"/>
    <w:rsid w:val="00C401B7"/>
    <w:rsid w:val="00C43A2E"/>
    <w:rsid w:val="00C45E7B"/>
    <w:rsid w:val="00C53F14"/>
    <w:rsid w:val="00C54120"/>
    <w:rsid w:val="00C72D78"/>
    <w:rsid w:val="00C77856"/>
    <w:rsid w:val="00C9140C"/>
    <w:rsid w:val="00C933CE"/>
    <w:rsid w:val="00C94B90"/>
    <w:rsid w:val="00C973F3"/>
    <w:rsid w:val="00CA15CA"/>
    <w:rsid w:val="00CC0F15"/>
    <w:rsid w:val="00CC2879"/>
    <w:rsid w:val="00CE1C3F"/>
    <w:rsid w:val="00CE7102"/>
    <w:rsid w:val="00CF1A3E"/>
    <w:rsid w:val="00CF46FB"/>
    <w:rsid w:val="00D02091"/>
    <w:rsid w:val="00D020AC"/>
    <w:rsid w:val="00D038CD"/>
    <w:rsid w:val="00D04556"/>
    <w:rsid w:val="00D0596F"/>
    <w:rsid w:val="00D07F0D"/>
    <w:rsid w:val="00D100B8"/>
    <w:rsid w:val="00D13B1B"/>
    <w:rsid w:val="00D14714"/>
    <w:rsid w:val="00D16564"/>
    <w:rsid w:val="00D21BDA"/>
    <w:rsid w:val="00D225B7"/>
    <w:rsid w:val="00D22F2D"/>
    <w:rsid w:val="00D37A96"/>
    <w:rsid w:val="00D44927"/>
    <w:rsid w:val="00D50F82"/>
    <w:rsid w:val="00D60F85"/>
    <w:rsid w:val="00D61BE8"/>
    <w:rsid w:val="00D61DBF"/>
    <w:rsid w:val="00D6638F"/>
    <w:rsid w:val="00D66756"/>
    <w:rsid w:val="00D74058"/>
    <w:rsid w:val="00D77968"/>
    <w:rsid w:val="00D86677"/>
    <w:rsid w:val="00D870A9"/>
    <w:rsid w:val="00D87B3B"/>
    <w:rsid w:val="00D928D2"/>
    <w:rsid w:val="00D92D8B"/>
    <w:rsid w:val="00D96464"/>
    <w:rsid w:val="00DB043A"/>
    <w:rsid w:val="00DB6039"/>
    <w:rsid w:val="00DC05F9"/>
    <w:rsid w:val="00DC4123"/>
    <w:rsid w:val="00DC5EDD"/>
    <w:rsid w:val="00DD1EEC"/>
    <w:rsid w:val="00DD29EF"/>
    <w:rsid w:val="00DD7797"/>
    <w:rsid w:val="00DE78D2"/>
    <w:rsid w:val="00DF59F4"/>
    <w:rsid w:val="00DF63A9"/>
    <w:rsid w:val="00DF683D"/>
    <w:rsid w:val="00E07413"/>
    <w:rsid w:val="00E074F2"/>
    <w:rsid w:val="00E1089B"/>
    <w:rsid w:val="00E1784C"/>
    <w:rsid w:val="00E20C70"/>
    <w:rsid w:val="00E2340D"/>
    <w:rsid w:val="00E2715D"/>
    <w:rsid w:val="00E32A18"/>
    <w:rsid w:val="00E35832"/>
    <w:rsid w:val="00E408E6"/>
    <w:rsid w:val="00E43DF7"/>
    <w:rsid w:val="00E46242"/>
    <w:rsid w:val="00E4659D"/>
    <w:rsid w:val="00E46BD3"/>
    <w:rsid w:val="00E52911"/>
    <w:rsid w:val="00E6319F"/>
    <w:rsid w:val="00E63488"/>
    <w:rsid w:val="00E65825"/>
    <w:rsid w:val="00E75388"/>
    <w:rsid w:val="00E805BC"/>
    <w:rsid w:val="00E81250"/>
    <w:rsid w:val="00E84CB9"/>
    <w:rsid w:val="00E87537"/>
    <w:rsid w:val="00E96302"/>
    <w:rsid w:val="00E9684B"/>
    <w:rsid w:val="00EA282F"/>
    <w:rsid w:val="00EB5412"/>
    <w:rsid w:val="00EC3741"/>
    <w:rsid w:val="00ED3249"/>
    <w:rsid w:val="00ED66E8"/>
    <w:rsid w:val="00EE2C87"/>
    <w:rsid w:val="00EE4A7A"/>
    <w:rsid w:val="00F103D7"/>
    <w:rsid w:val="00F10E56"/>
    <w:rsid w:val="00F20DFA"/>
    <w:rsid w:val="00F33580"/>
    <w:rsid w:val="00F33AA9"/>
    <w:rsid w:val="00F413A1"/>
    <w:rsid w:val="00F5355D"/>
    <w:rsid w:val="00F5421E"/>
    <w:rsid w:val="00F56A77"/>
    <w:rsid w:val="00F6706D"/>
    <w:rsid w:val="00F7273B"/>
    <w:rsid w:val="00F767E5"/>
    <w:rsid w:val="00F8537A"/>
    <w:rsid w:val="00F854A0"/>
    <w:rsid w:val="00F8789E"/>
    <w:rsid w:val="00F91E57"/>
    <w:rsid w:val="00F93C19"/>
    <w:rsid w:val="00F97782"/>
    <w:rsid w:val="00FA0D5E"/>
    <w:rsid w:val="00FA2718"/>
    <w:rsid w:val="00FA608B"/>
    <w:rsid w:val="00FC4AF2"/>
    <w:rsid w:val="00FD0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4AAEF"/>
  <w15:docId w15:val="{0BFBD117-3286-4A1D-9FF7-5D6119EB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BE8"/>
    <w:pPr>
      <w:spacing w:after="200"/>
      <w:jc w:val="both"/>
    </w:pPr>
    <w:rPr>
      <w:rFonts w:ascii="Times" w:hAnsi="Times"/>
      <w:sz w:val="24"/>
      <w:lang w:val="en-GB"/>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next w:val="Normal"/>
    <w:autoRedefine/>
    <w:rsid w:val="00AC5F97"/>
    <w:pPr>
      <w:spacing w:after="0"/>
      <w:ind w:firstLine="187"/>
    </w:pPr>
    <w:rPr>
      <w:rFonts w:ascii="Arno Pro" w:hAnsi="Arno Pro"/>
      <w:kern w:val="19"/>
      <w:sz w:val="17"/>
      <w:szCs w:val="14"/>
    </w:rPr>
  </w:style>
  <w:style w:type="paragraph" w:customStyle="1" w:styleId="TAMainText">
    <w:name w:val="TA_Main_Text"/>
    <w:basedOn w:val="Normal"/>
    <w:autoRedefine/>
    <w:rsid w:val="004D5850"/>
    <w:pPr>
      <w:spacing w:after="60"/>
      <w:ind w:firstLine="180"/>
    </w:pPr>
    <w:rPr>
      <w:rFonts w:ascii="Arno Pro" w:hAnsi="Arno Pro"/>
      <w:kern w:val="21"/>
      <w:sz w:val="19"/>
    </w:rPr>
  </w:style>
  <w:style w:type="paragraph" w:customStyle="1" w:styleId="BATitle">
    <w:name w:val="BA_Title"/>
    <w:basedOn w:val="Normal"/>
    <w:next w:val="BBAuthorName"/>
    <w:autoRedefine/>
    <w:rsid w:val="00D61BE8"/>
    <w:pPr>
      <w:spacing w:before="1400" w:after="180"/>
      <w:jc w:val="left"/>
    </w:pPr>
    <w:rPr>
      <w:rFonts w:ascii="Myriad Pro Light" w:hAnsi="Myriad Pro Light"/>
      <w:b/>
      <w:kern w:val="36"/>
      <w:sz w:val="20"/>
    </w:rPr>
  </w:style>
  <w:style w:type="paragraph" w:customStyle="1" w:styleId="BBAuthorName">
    <w:name w:val="BB_Author_Name"/>
    <w:basedOn w:val="Normal"/>
    <w:next w:val="BCAuthorAddress"/>
    <w:autoRedefine/>
    <w:rsid w:val="000E75E3"/>
    <w:pPr>
      <w:spacing w:after="180"/>
      <w:jc w:val="left"/>
    </w:pPr>
    <w:rPr>
      <w:rFonts w:ascii="Arno Pro" w:hAnsi="Arno Pro"/>
      <w:kern w:val="26"/>
    </w:rPr>
  </w:style>
  <w:style w:type="paragraph" w:customStyle="1" w:styleId="BCAuthorAddress">
    <w:name w:val="BC_Author_Address"/>
    <w:basedOn w:val="Normal"/>
    <w:next w:val="BIEmailAddress"/>
    <w:autoRedefine/>
    <w:rsid w:val="00331880"/>
    <w:pPr>
      <w:spacing w:after="60"/>
      <w:jc w:val="left"/>
    </w:pPr>
    <w:rPr>
      <w:rFonts w:ascii="Arno Pro" w:hAnsi="Arno Pro"/>
      <w:kern w:val="26"/>
    </w:rPr>
  </w:style>
  <w:style w:type="paragraph" w:customStyle="1" w:styleId="BIEmailAddress">
    <w:name w:val="BI_Email_Address"/>
    <w:basedOn w:val="Normal"/>
    <w:next w:val="AIReceivedDate"/>
    <w:autoRedefine/>
    <w:rsid w:val="003A0F5F"/>
    <w:pPr>
      <w:spacing w:after="100"/>
      <w:jc w:val="left"/>
    </w:pPr>
    <w:rPr>
      <w:rFonts w:ascii="Arno Pro" w:hAnsi="Arno Pro"/>
      <w:sz w:val="18"/>
    </w:rPr>
  </w:style>
  <w:style w:type="paragraph" w:customStyle="1" w:styleId="AIReceivedDate">
    <w:name w:val="AI_Received_Date"/>
    <w:basedOn w:val="Normal"/>
    <w:next w:val="Normal"/>
    <w:autoRedefine/>
    <w:rsid w:val="00A444E1"/>
    <w:pPr>
      <w:spacing w:after="100"/>
      <w:jc w:val="left"/>
    </w:pPr>
    <w:rPr>
      <w:rFonts w:ascii="Arno Pro" w:hAnsi="Arno Pro"/>
      <w:sz w:val="18"/>
    </w:rPr>
  </w:style>
  <w:style w:type="paragraph" w:customStyle="1" w:styleId="BDAbstract">
    <w:name w:val="BD_Abstract"/>
    <w:basedOn w:val="Normal"/>
    <w:next w:val="TAMainText"/>
    <w:link w:val="BDAbstractChar"/>
    <w:autoRedefine/>
    <w:rsid w:val="000E75E3"/>
    <w:pPr>
      <w:pBdr>
        <w:top w:val="single" w:sz="4" w:space="1" w:color="auto"/>
        <w:bottom w:val="single" w:sz="4" w:space="1" w:color="auto"/>
      </w:pBdr>
      <w:spacing w:before="100" w:after="600"/>
    </w:pPr>
    <w:rPr>
      <w:rFonts w:ascii="Arno Pro" w:hAnsi="Arno Pro"/>
      <w:kern w:val="21"/>
      <w:sz w:val="19"/>
    </w:rPr>
  </w:style>
  <w:style w:type="paragraph" w:customStyle="1" w:styleId="TDAcknowledgments">
    <w:name w:val="TD_Acknowledgments"/>
    <w:basedOn w:val="Normal"/>
    <w:next w:val="Normal"/>
    <w:link w:val="TDAcknowledgmentsChar"/>
    <w:autoRedefine/>
    <w:rsid w:val="00D21BDA"/>
    <w:pPr>
      <w:spacing w:after="0"/>
    </w:pPr>
    <w:rPr>
      <w:rFonts w:ascii="Arno Pro" w:hAnsi="Arno Pro"/>
      <w:kern w:val="20"/>
      <w:sz w:val="18"/>
    </w:rPr>
  </w:style>
  <w:style w:type="paragraph" w:customStyle="1" w:styleId="TESupportingInformation">
    <w:name w:val="TE_Supporting_Information"/>
    <w:basedOn w:val="Normal"/>
    <w:next w:val="Normal"/>
    <w:autoRedefine/>
    <w:rsid w:val="00157E12"/>
    <w:pPr>
      <w:spacing w:after="0"/>
    </w:pPr>
    <w:rPr>
      <w:rFonts w:ascii="Arno Pro" w:hAnsi="Arno Pro"/>
      <w:kern w:val="20"/>
      <w:sz w:val="18"/>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8335D0"/>
    <w:pPr>
      <w:spacing w:before="200" w:after="120"/>
      <w:ind w:firstLine="142"/>
    </w:pPr>
    <w:rPr>
      <w:rFonts w:ascii="Arno Pro" w:hAnsi="Arno Pro"/>
      <w:kern w:val="20"/>
      <w:sz w:val="18"/>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DC4123"/>
    <w:pPr>
      <w:spacing w:before="60" w:after="120"/>
      <w:ind w:firstLine="187"/>
    </w:pPr>
    <w:rPr>
      <w:rFonts w:ascii="Arno Pro" w:hAnsi="Arno Pro"/>
      <w:sz w:val="19"/>
      <w:szCs w:val="19"/>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D038CD"/>
    <w:pPr>
      <w:framePr w:hSpace="141" w:wrap="around" w:vAnchor="text" w:hAnchor="margin" w:y="175"/>
      <w:spacing w:before="20" w:after="0"/>
      <w:ind w:left="33"/>
      <w:jc w:val="center"/>
    </w:pPr>
    <w:rPr>
      <w:rFonts w:ascii="Arno Pro" w:hAnsi="Arno Pro"/>
      <w:b/>
      <w:kern w:val="20"/>
      <w:sz w:val="18"/>
    </w:rPr>
  </w:style>
  <w:style w:type="paragraph" w:customStyle="1" w:styleId="StyleFACorrespondingAuthorFootnote7pt">
    <w:name w:val="Style FA_Corresponding_Author_Footnote + 7 pt"/>
    <w:basedOn w:val="Normal"/>
    <w:next w:val="BGKeywords"/>
    <w:link w:val="StyleFACorrespondingAuthorFootnote7ptChar"/>
    <w:autoRedefine/>
    <w:rsid w:val="000D2D84"/>
    <w:pPr>
      <w:spacing w:after="0"/>
      <w:jc w:val="left"/>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0E75E3"/>
    <w:pPr>
      <w:spacing w:after="60"/>
    </w:pPr>
    <w:rPr>
      <w:rFonts w:ascii="Arno Pro" w:hAnsi="Arno Pro"/>
      <w:kern w:val="22"/>
      <w:sz w:val="20"/>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E20C70"/>
    <w:pPr>
      <w:framePr w:wrap="around" w:vAnchor="margin" w:hAnchor="text"/>
    </w:pPr>
    <w:rPr>
      <w:b w:val="0"/>
      <w:bCs/>
      <w:kern w:val="22"/>
      <w:sz w:val="15"/>
    </w:rPr>
  </w:style>
  <w:style w:type="character" w:customStyle="1" w:styleId="StyleFACorrespondingAuthorFootnote7ptChar">
    <w:name w:val="Style FA_Corresponding_Author_Footnote + 7 pt Char"/>
    <w:link w:val="StyleFACorrespondingAuthorFootnote7pt"/>
    <w:rsid w:val="000D2D84"/>
    <w:rPr>
      <w:rFonts w:ascii="Arno Pro" w:hAnsi="Arno Pro"/>
      <w:kern w:val="20"/>
      <w:sz w:val="18"/>
      <w:lang w:val="en-US" w:eastAsia="en-US" w:bidi="ar-SA"/>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0E75E3"/>
    <w:rPr>
      <w:rFonts w:ascii="Arno Pro" w:hAnsi="Arno Pro"/>
      <w:kern w:val="21"/>
      <w:sz w:val="19"/>
      <w:lang w:val="en-US" w:eastAsia="en-US" w:bidi="ar-SA"/>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D21BDA"/>
    <w:rPr>
      <w:rFonts w:ascii="Arno Pro" w:hAnsi="Arno Pro"/>
      <w:kern w:val="20"/>
      <w:sz w:val="18"/>
      <w:lang w:val="en-GB"/>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D038CD"/>
    <w:rPr>
      <w:rFonts w:ascii="Arno Pro" w:hAnsi="Arno Pro"/>
      <w:b/>
      <w:kern w:val="20"/>
      <w:sz w:val="18"/>
      <w:lang w:val="en-GB"/>
    </w:rPr>
  </w:style>
  <w:style w:type="character" w:customStyle="1" w:styleId="StyleTCTableBodyBoldChar">
    <w:name w:val="Style TC_Table_Body + Bold Char"/>
    <w:link w:val="StyleTCTableBodyBold"/>
    <w:rsid w:val="000E75E3"/>
    <w:rPr>
      <w:rFonts w:ascii="Arno Pro" w:hAnsi="Arno Pro"/>
      <w:bCs/>
      <w:kern w:val="22"/>
      <w:sz w:val="15"/>
      <w:lang w:val="en-GB"/>
    </w:rPr>
  </w:style>
  <w:style w:type="paragraph" w:customStyle="1" w:styleId="SectionContent">
    <w:name w:val="Section_Content"/>
    <w:basedOn w:val="Normal"/>
    <w:next w:val="Normal"/>
    <w:autoRedefine/>
    <w:rsid w:val="00E6319F"/>
    <w:pPr>
      <w:spacing w:after="0"/>
    </w:pPr>
    <w:rPr>
      <w:rFonts w:ascii="Arno Pro" w:hAnsi="Arno Pro"/>
      <w:kern w:val="20"/>
      <w:sz w:val="18"/>
    </w:rPr>
  </w:style>
  <w:style w:type="paragraph" w:customStyle="1" w:styleId="TESectionHeading">
    <w:name w:val="TE_Section_Heading"/>
    <w:basedOn w:val="TESupportingInfoTitle"/>
    <w:qFormat/>
    <w:rsid w:val="00E87537"/>
  </w:style>
  <w:style w:type="table" w:styleId="TableGrid">
    <w:name w:val="Table Grid"/>
    <w:basedOn w:val="TableNormal"/>
    <w:uiPriority w:val="59"/>
    <w:rsid w:val="00D045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6246"/>
    <w:rPr>
      <w:color w:val="808080"/>
    </w:rPr>
  </w:style>
  <w:style w:type="paragraph" w:styleId="Caption">
    <w:name w:val="caption"/>
    <w:basedOn w:val="Normal"/>
    <w:next w:val="Normal"/>
    <w:qFormat/>
    <w:rsid w:val="00511D71"/>
    <w:pPr>
      <w:spacing w:after="0"/>
      <w:jc w:val="left"/>
    </w:pPr>
    <w:rPr>
      <w:rFonts w:ascii="Times New Roman" w:hAnsi="Times New Roman"/>
      <w:b/>
      <w:bCs/>
      <w:sz w:val="20"/>
    </w:rPr>
  </w:style>
  <w:style w:type="paragraph" w:styleId="Revision">
    <w:name w:val="Revision"/>
    <w:hidden/>
    <w:uiPriority w:val="99"/>
    <w:semiHidden/>
    <w:rsid w:val="00D21BDA"/>
    <w:rPr>
      <w:rFonts w:ascii="Times" w:hAnsi="Times"/>
      <w:sz w:val="24"/>
      <w:lang w:val="en-GB"/>
    </w:rPr>
  </w:style>
  <w:style w:type="paragraph" w:styleId="ListParagraph">
    <w:name w:val="List Paragraph"/>
    <w:basedOn w:val="Normal"/>
    <w:uiPriority w:val="34"/>
    <w:qFormat/>
    <w:rsid w:val="00D870A9"/>
    <w:pPr>
      <w:ind w:left="720"/>
      <w:contextualSpacing/>
    </w:pPr>
  </w:style>
  <w:style w:type="character" w:styleId="CommentReference">
    <w:name w:val="annotation reference"/>
    <w:basedOn w:val="DefaultParagraphFont"/>
    <w:semiHidden/>
    <w:unhideWhenUsed/>
    <w:rsid w:val="00E1784C"/>
    <w:rPr>
      <w:sz w:val="18"/>
      <w:szCs w:val="18"/>
    </w:rPr>
  </w:style>
  <w:style w:type="paragraph" w:styleId="CommentText">
    <w:name w:val="annotation text"/>
    <w:basedOn w:val="Normal"/>
    <w:link w:val="CommentTextChar"/>
    <w:semiHidden/>
    <w:unhideWhenUsed/>
    <w:rsid w:val="00E1784C"/>
    <w:rPr>
      <w:szCs w:val="24"/>
    </w:rPr>
  </w:style>
  <w:style w:type="character" w:customStyle="1" w:styleId="CommentTextChar">
    <w:name w:val="Comment Text Char"/>
    <w:basedOn w:val="DefaultParagraphFont"/>
    <w:link w:val="CommentText"/>
    <w:semiHidden/>
    <w:rsid w:val="00E1784C"/>
    <w:rPr>
      <w:rFonts w:ascii="Times" w:hAnsi="Times"/>
      <w:sz w:val="24"/>
      <w:szCs w:val="24"/>
      <w:lang w:val="en-GB"/>
    </w:rPr>
  </w:style>
  <w:style w:type="paragraph" w:styleId="CommentSubject">
    <w:name w:val="annotation subject"/>
    <w:basedOn w:val="CommentText"/>
    <w:next w:val="CommentText"/>
    <w:link w:val="CommentSubjectChar"/>
    <w:semiHidden/>
    <w:unhideWhenUsed/>
    <w:rsid w:val="00E1784C"/>
    <w:rPr>
      <w:b/>
      <w:bCs/>
      <w:sz w:val="20"/>
      <w:szCs w:val="20"/>
    </w:rPr>
  </w:style>
  <w:style w:type="character" w:customStyle="1" w:styleId="CommentSubjectChar">
    <w:name w:val="Comment Subject Char"/>
    <w:basedOn w:val="CommentTextChar"/>
    <w:link w:val="CommentSubject"/>
    <w:semiHidden/>
    <w:rsid w:val="00E1784C"/>
    <w:rPr>
      <w:rFonts w:ascii="Times" w:hAnsi="Times"/>
      <w:b/>
      <w:bCs/>
      <w:sz w:val="24"/>
      <w:szCs w:val="24"/>
      <w:lang w:val="en-GB"/>
    </w:rPr>
  </w:style>
  <w:style w:type="paragraph" w:styleId="Header">
    <w:name w:val="header"/>
    <w:basedOn w:val="Normal"/>
    <w:link w:val="HeaderChar"/>
    <w:unhideWhenUsed/>
    <w:rsid w:val="00E20C70"/>
    <w:pPr>
      <w:tabs>
        <w:tab w:val="center" w:pos="4513"/>
        <w:tab w:val="right" w:pos="9026"/>
      </w:tabs>
      <w:spacing w:after="0"/>
    </w:pPr>
  </w:style>
  <w:style w:type="character" w:customStyle="1" w:styleId="HeaderChar">
    <w:name w:val="Header Char"/>
    <w:basedOn w:val="DefaultParagraphFont"/>
    <w:link w:val="Header"/>
    <w:rsid w:val="00E20C70"/>
    <w:rPr>
      <w:rFonts w:ascii="Times" w:hAnsi="Time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72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se.juancolas@york.ac.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87CD-DAF2-428C-9462-BB052780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D6F42E7.dotm</Template>
  <TotalTime>0</TotalTime>
  <Pages>8</Pages>
  <Words>4972</Words>
  <Characters>28178</Characters>
  <Application>Microsoft Office Word</Application>
  <DocSecurity>4</DocSecurity>
  <Lines>234</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33084</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jjc525</dc:creator>
  <cp:keywords/>
  <cp:lastModifiedBy>Lucy Cook</cp:lastModifiedBy>
  <cp:revision>2</cp:revision>
  <cp:lastPrinted>2017-07-31T10:03:00Z</cp:lastPrinted>
  <dcterms:created xsi:type="dcterms:W3CDTF">2017-09-26T16:13:00Z</dcterms:created>
  <dcterms:modified xsi:type="dcterms:W3CDTF">2017-09-26T16:13:00Z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http://www.zotero.org/styles/sensors</vt:lpwstr>
  </property>
  <property fmtid="{D5CDD505-2E9C-101B-9397-08002B2CF9AE}" pid="21" name="Mendeley Recent Style Name 9_1">
    <vt:lpwstr>Sensors</vt:lpwstr>
  </property>
</Properties>
</file>