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06" w:rsidRDefault="004B2179" w:rsidP="00160103">
      <w:pPr>
        <w:spacing w:line="240" w:lineRule="auto"/>
        <w:jc w:val="center"/>
        <w:rPr>
          <w:b/>
          <w:sz w:val="44"/>
          <w:szCs w:val="52"/>
        </w:rPr>
      </w:pPr>
      <w:bookmarkStart w:id="0" w:name="_GoBack"/>
      <w:bookmarkEnd w:id="0"/>
      <w:r w:rsidRPr="003D54D9">
        <w:rPr>
          <w:b/>
          <w:sz w:val="44"/>
          <w:szCs w:val="52"/>
        </w:rPr>
        <w:t>Delayed D</w:t>
      </w:r>
      <w:r w:rsidR="002E1841" w:rsidRPr="003D54D9">
        <w:rPr>
          <w:b/>
          <w:sz w:val="44"/>
          <w:szCs w:val="52"/>
        </w:rPr>
        <w:t>ischarges</w:t>
      </w:r>
      <w:r w:rsidR="001D3BD5">
        <w:rPr>
          <w:b/>
          <w:sz w:val="44"/>
          <w:szCs w:val="52"/>
        </w:rPr>
        <w:t xml:space="preserve"> </w:t>
      </w:r>
      <w:r w:rsidR="00F85A05">
        <w:rPr>
          <w:b/>
          <w:sz w:val="44"/>
          <w:szCs w:val="52"/>
        </w:rPr>
        <w:t>and</w:t>
      </w:r>
      <w:r w:rsidR="001D3BD5">
        <w:rPr>
          <w:b/>
          <w:sz w:val="44"/>
          <w:szCs w:val="52"/>
        </w:rPr>
        <w:t xml:space="preserve"> </w:t>
      </w:r>
      <w:r w:rsidR="00DF5A51">
        <w:rPr>
          <w:b/>
          <w:sz w:val="44"/>
          <w:szCs w:val="52"/>
        </w:rPr>
        <w:t>Hospital T</w:t>
      </w:r>
      <w:r w:rsidR="001D3BD5">
        <w:rPr>
          <w:b/>
          <w:sz w:val="44"/>
          <w:szCs w:val="52"/>
        </w:rPr>
        <w:t>ype</w:t>
      </w:r>
      <w:r w:rsidR="00F85A05">
        <w:rPr>
          <w:b/>
          <w:sz w:val="44"/>
          <w:szCs w:val="52"/>
        </w:rPr>
        <w:t>:</w:t>
      </w:r>
      <w:r w:rsidR="002E1841" w:rsidRPr="003D54D9">
        <w:rPr>
          <w:b/>
          <w:sz w:val="44"/>
          <w:szCs w:val="52"/>
        </w:rPr>
        <w:t xml:space="preserve"> </w:t>
      </w:r>
    </w:p>
    <w:p w:rsidR="00D87A3C" w:rsidRPr="003D54D9" w:rsidRDefault="001D3BD5" w:rsidP="00160103">
      <w:pPr>
        <w:spacing w:line="360" w:lineRule="auto"/>
        <w:jc w:val="center"/>
        <w:rPr>
          <w:b/>
          <w:sz w:val="44"/>
          <w:szCs w:val="52"/>
        </w:rPr>
      </w:pPr>
      <w:r>
        <w:rPr>
          <w:b/>
          <w:sz w:val="44"/>
          <w:szCs w:val="52"/>
        </w:rPr>
        <w:t xml:space="preserve">Evidence from </w:t>
      </w:r>
      <w:r w:rsidR="00DE7BBF" w:rsidRPr="003D54D9">
        <w:rPr>
          <w:b/>
          <w:sz w:val="44"/>
          <w:szCs w:val="52"/>
        </w:rPr>
        <w:t>the</w:t>
      </w:r>
      <w:r w:rsidR="002E1841" w:rsidRPr="003D54D9">
        <w:rPr>
          <w:b/>
          <w:sz w:val="44"/>
          <w:szCs w:val="52"/>
        </w:rPr>
        <w:t xml:space="preserve"> English NHS</w:t>
      </w:r>
    </w:p>
    <w:p w:rsidR="00D87A3C" w:rsidRPr="00FE7BF5" w:rsidRDefault="00027652" w:rsidP="00160103">
      <w:pPr>
        <w:spacing w:line="360" w:lineRule="auto"/>
        <w:jc w:val="center"/>
        <w:rPr>
          <w:color w:val="000000" w:themeColor="text1"/>
          <w:sz w:val="28"/>
          <w:vertAlign w:val="superscript"/>
        </w:rPr>
      </w:pPr>
      <w:r w:rsidRPr="00FE7BF5">
        <w:rPr>
          <w:color w:val="000000" w:themeColor="text1"/>
          <w:sz w:val="28"/>
        </w:rPr>
        <w:t>J</w:t>
      </w:r>
      <w:r w:rsidR="00123709" w:rsidRPr="00FE7BF5">
        <w:rPr>
          <w:color w:val="000000" w:themeColor="text1"/>
          <w:sz w:val="28"/>
        </w:rPr>
        <w:t>ames Gaughan</w:t>
      </w:r>
      <w:r w:rsidR="003F0CA6" w:rsidRPr="00FE7BF5">
        <w:rPr>
          <w:color w:val="000000" w:themeColor="text1"/>
          <w:sz w:val="28"/>
          <w:vertAlign w:val="superscript"/>
        </w:rPr>
        <w:t>1</w:t>
      </w:r>
      <w:r w:rsidR="001E281E" w:rsidRPr="00FE7BF5">
        <w:rPr>
          <w:color w:val="000000" w:themeColor="text1"/>
          <w:sz w:val="28"/>
        </w:rPr>
        <w:t xml:space="preserve">       </w:t>
      </w:r>
      <w:r w:rsidR="00123709" w:rsidRPr="00FE7BF5">
        <w:rPr>
          <w:color w:val="000000" w:themeColor="text1"/>
          <w:sz w:val="28"/>
        </w:rPr>
        <w:t xml:space="preserve"> Hugh Gravelle</w:t>
      </w:r>
      <w:r w:rsidR="003F0CA6" w:rsidRPr="00FE7BF5">
        <w:rPr>
          <w:color w:val="000000" w:themeColor="text1"/>
          <w:sz w:val="28"/>
          <w:vertAlign w:val="superscript"/>
        </w:rPr>
        <w:t>1</w:t>
      </w:r>
      <w:r w:rsidR="001E281E" w:rsidRPr="00FE7BF5">
        <w:rPr>
          <w:color w:val="000000" w:themeColor="text1"/>
          <w:sz w:val="28"/>
        </w:rPr>
        <w:t xml:space="preserve">        </w:t>
      </w:r>
      <w:r w:rsidRPr="00FE7BF5">
        <w:rPr>
          <w:color w:val="000000" w:themeColor="text1"/>
          <w:sz w:val="28"/>
        </w:rPr>
        <w:t>Luigi Siciliani</w:t>
      </w:r>
      <w:r w:rsidR="003F0CA6" w:rsidRPr="00FE7BF5">
        <w:rPr>
          <w:color w:val="000000" w:themeColor="text1"/>
          <w:sz w:val="28"/>
        </w:rPr>
        <w:t xml:space="preserve"> </w:t>
      </w:r>
      <w:r w:rsidR="003F0CA6" w:rsidRPr="00FE7BF5">
        <w:rPr>
          <w:color w:val="000000" w:themeColor="text1"/>
          <w:sz w:val="28"/>
          <w:vertAlign w:val="superscript"/>
        </w:rPr>
        <w:t>1,2</w:t>
      </w:r>
    </w:p>
    <w:p w:rsidR="004A57C4" w:rsidRDefault="004A57C4" w:rsidP="00AF4920">
      <w:pPr>
        <w:pStyle w:val="Heading1"/>
        <w:spacing w:line="480" w:lineRule="auto"/>
        <w:jc w:val="center"/>
        <w:rPr>
          <w:b w:val="0"/>
          <w:color w:val="auto"/>
        </w:rPr>
      </w:pPr>
      <w:r w:rsidRPr="004A57C4">
        <w:rPr>
          <w:b w:val="0"/>
          <w:color w:val="auto"/>
        </w:rPr>
        <w:t>(Revised version)</w:t>
      </w:r>
    </w:p>
    <w:p w:rsidR="004A57C4" w:rsidRPr="004A57C4" w:rsidRDefault="004A57C4" w:rsidP="004A57C4">
      <w:pPr>
        <w:jc w:val="center"/>
        <w:rPr>
          <w:sz w:val="28"/>
        </w:rPr>
      </w:pPr>
      <w:r w:rsidRPr="004A57C4">
        <w:rPr>
          <w:sz w:val="28"/>
        </w:rPr>
        <w:t>June 2016</w:t>
      </w:r>
    </w:p>
    <w:p w:rsidR="004B2179" w:rsidRPr="005E6343" w:rsidRDefault="00FE7BF5" w:rsidP="00AF4920">
      <w:pPr>
        <w:pStyle w:val="Heading1"/>
        <w:spacing w:line="480" w:lineRule="auto"/>
        <w:jc w:val="center"/>
      </w:pPr>
      <w:r w:rsidRPr="005E6343">
        <w:t>Abstract</w:t>
      </w:r>
    </w:p>
    <w:p w:rsidR="003F0CA6" w:rsidRDefault="00FE7BF5" w:rsidP="003D54D9">
      <w:pPr>
        <w:spacing w:line="240" w:lineRule="auto"/>
        <w:jc w:val="both"/>
      </w:pPr>
      <w:r>
        <w:rPr>
          <w:sz w:val="24"/>
          <w:szCs w:val="24"/>
        </w:rPr>
        <w:t>D</w:t>
      </w:r>
      <w:r w:rsidR="004F774B" w:rsidRPr="003D54D9">
        <w:rPr>
          <w:sz w:val="24"/>
          <w:szCs w:val="24"/>
        </w:rPr>
        <w:t>elayed discharges of patients</w:t>
      </w:r>
      <w:r>
        <w:rPr>
          <w:sz w:val="24"/>
          <w:szCs w:val="24"/>
        </w:rPr>
        <w:t xml:space="preserve"> from hospital</w:t>
      </w:r>
      <w:r w:rsidR="00716CA0">
        <w:rPr>
          <w:sz w:val="24"/>
          <w:szCs w:val="24"/>
        </w:rPr>
        <w:t>, commonly known as</w:t>
      </w:r>
      <w:r>
        <w:rPr>
          <w:sz w:val="24"/>
          <w:szCs w:val="24"/>
        </w:rPr>
        <w:t xml:space="preserve"> </w:t>
      </w:r>
      <w:r w:rsidR="004F774B" w:rsidRPr="003D54D9">
        <w:rPr>
          <w:sz w:val="24"/>
          <w:szCs w:val="24"/>
        </w:rPr>
        <w:t>bed-blocking</w:t>
      </w:r>
      <w:r w:rsidR="00716CA0">
        <w:rPr>
          <w:sz w:val="24"/>
          <w:szCs w:val="24"/>
        </w:rPr>
        <w:t>,</w:t>
      </w:r>
      <w:r>
        <w:rPr>
          <w:sz w:val="24"/>
          <w:szCs w:val="24"/>
        </w:rPr>
        <w:t xml:space="preserve"> </w:t>
      </w:r>
      <w:r w:rsidR="00BA1759">
        <w:rPr>
          <w:sz w:val="24"/>
          <w:szCs w:val="24"/>
        </w:rPr>
        <w:t>are</w:t>
      </w:r>
      <w:r w:rsidR="00BA1759" w:rsidRPr="003D54D9">
        <w:rPr>
          <w:sz w:val="24"/>
          <w:szCs w:val="24"/>
        </w:rPr>
        <w:t xml:space="preserve"> </w:t>
      </w:r>
      <w:r w:rsidR="004F774B" w:rsidRPr="003D54D9">
        <w:rPr>
          <w:sz w:val="24"/>
          <w:szCs w:val="24"/>
        </w:rPr>
        <w:t>a long standing policy concern</w:t>
      </w:r>
      <w:r>
        <w:rPr>
          <w:sz w:val="24"/>
          <w:szCs w:val="24"/>
        </w:rPr>
        <w:t>.</w:t>
      </w:r>
      <w:r w:rsidR="00070E42">
        <w:rPr>
          <w:sz w:val="24"/>
          <w:szCs w:val="24"/>
        </w:rPr>
        <w:t xml:space="preserve"> </w:t>
      </w:r>
      <w:r w:rsidR="00716CA0">
        <w:rPr>
          <w:sz w:val="24"/>
          <w:szCs w:val="24"/>
        </w:rPr>
        <w:t xml:space="preserve">Delays can </w:t>
      </w:r>
      <w:r>
        <w:rPr>
          <w:sz w:val="24"/>
          <w:szCs w:val="24"/>
        </w:rPr>
        <w:t xml:space="preserve">increase the overall cost of treatment and may worsen patient outcomes. </w:t>
      </w:r>
      <w:r w:rsidR="001F168E">
        <w:rPr>
          <w:sz w:val="24"/>
          <w:szCs w:val="24"/>
        </w:rPr>
        <w:t xml:space="preserve"> We</w:t>
      </w:r>
      <w:r w:rsidR="00EF36D2">
        <w:rPr>
          <w:sz w:val="24"/>
          <w:szCs w:val="24"/>
        </w:rPr>
        <w:t xml:space="preserve"> </w:t>
      </w:r>
      <w:r w:rsidR="001F168E">
        <w:rPr>
          <w:sz w:val="24"/>
          <w:szCs w:val="24"/>
        </w:rPr>
        <w:t>investigate</w:t>
      </w:r>
      <w:r w:rsidR="00EF36D2">
        <w:rPr>
          <w:sz w:val="24"/>
          <w:szCs w:val="24"/>
        </w:rPr>
        <w:t xml:space="preserve"> how delayed discharges </w:t>
      </w:r>
      <w:r w:rsidR="001F168E">
        <w:rPr>
          <w:sz w:val="24"/>
          <w:szCs w:val="24"/>
        </w:rPr>
        <w:t xml:space="preserve">vary </w:t>
      </w:r>
      <w:r w:rsidR="008935F5">
        <w:rPr>
          <w:sz w:val="24"/>
          <w:szCs w:val="24"/>
        </w:rPr>
        <w:t xml:space="preserve">by </w:t>
      </w:r>
      <w:r w:rsidR="00EF36D2">
        <w:rPr>
          <w:sz w:val="24"/>
          <w:szCs w:val="24"/>
        </w:rPr>
        <w:t>hospital type</w:t>
      </w:r>
      <w:r w:rsidR="00EC16C3">
        <w:rPr>
          <w:sz w:val="24"/>
          <w:szCs w:val="24"/>
        </w:rPr>
        <w:t xml:space="preserve"> (Acute, Specialist, Mental Health, Teaching</w:t>
      </w:r>
      <w:r>
        <w:rPr>
          <w:sz w:val="24"/>
          <w:szCs w:val="24"/>
        </w:rPr>
        <w:t xml:space="preserve">), </w:t>
      </w:r>
      <w:r w:rsidR="00DB7DB8">
        <w:rPr>
          <w:sz w:val="24"/>
          <w:szCs w:val="24"/>
        </w:rPr>
        <w:t xml:space="preserve">and </w:t>
      </w:r>
      <w:r w:rsidR="00AB480E">
        <w:rPr>
          <w:sz w:val="24"/>
          <w:szCs w:val="24"/>
        </w:rPr>
        <w:t xml:space="preserve">the extent to which such differences can be explained </w:t>
      </w:r>
      <w:r>
        <w:rPr>
          <w:sz w:val="24"/>
          <w:szCs w:val="24"/>
        </w:rPr>
        <w:t xml:space="preserve">by </w:t>
      </w:r>
      <w:r w:rsidR="009F0C33">
        <w:rPr>
          <w:sz w:val="24"/>
          <w:szCs w:val="24"/>
        </w:rPr>
        <w:t>demograph</w:t>
      </w:r>
      <w:r>
        <w:rPr>
          <w:sz w:val="24"/>
          <w:szCs w:val="24"/>
        </w:rPr>
        <w:t>y</w:t>
      </w:r>
      <w:r w:rsidR="009F0C33">
        <w:rPr>
          <w:sz w:val="24"/>
          <w:szCs w:val="24"/>
        </w:rPr>
        <w:t>, case-mix</w:t>
      </w:r>
      <w:r w:rsidR="004B5B32">
        <w:rPr>
          <w:sz w:val="24"/>
          <w:szCs w:val="24"/>
        </w:rPr>
        <w:t xml:space="preserve">, </w:t>
      </w:r>
      <w:r>
        <w:rPr>
          <w:sz w:val="24"/>
          <w:szCs w:val="24"/>
        </w:rPr>
        <w:t xml:space="preserve">the availability of </w:t>
      </w:r>
      <w:r w:rsidR="00AB480E">
        <w:rPr>
          <w:sz w:val="24"/>
          <w:szCs w:val="24"/>
        </w:rPr>
        <w:t>long-term care</w:t>
      </w:r>
      <w:r w:rsidR="00924D1A">
        <w:rPr>
          <w:sz w:val="24"/>
          <w:szCs w:val="24"/>
        </w:rPr>
        <w:t>,</w:t>
      </w:r>
      <w:r w:rsidR="00DB7DB8">
        <w:rPr>
          <w:sz w:val="24"/>
          <w:szCs w:val="24"/>
        </w:rPr>
        <w:t xml:space="preserve"> and </w:t>
      </w:r>
      <w:r w:rsidR="001F168E">
        <w:rPr>
          <w:sz w:val="24"/>
          <w:szCs w:val="24"/>
        </w:rPr>
        <w:t xml:space="preserve">hospital </w:t>
      </w:r>
      <w:r w:rsidR="00DB7DB8">
        <w:rPr>
          <w:sz w:val="24"/>
          <w:szCs w:val="24"/>
        </w:rPr>
        <w:t>governance</w:t>
      </w:r>
      <w:r w:rsidR="001F168E">
        <w:rPr>
          <w:sz w:val="24"/>
          <w:szCs w:val="24"/>
        </w:rPr>
        <w:t xml:space="preserve"> as reflected in </w:t>
      </w:r>
      <w:r w:rsidR="00DB7DB8">
        <w:rPr>
          <w:sz w:val="24"/>
          <w:szCs w:val="24"/>
        </w:rPr>
        <w:t>whether the hospital has Foundation Trust status which give</w:t>
      </w:r>
      <w:r w:rsidR="000B2E84">
        <w:rPr>
          <w:sz w:val="24"/>
          <w:szCs w:val="24"/>
        </w:rPr>
        <w:t>s</w:t>
      </w:r>
      <w:r w:rsidR="00DB7DB8">
        <w:rPr>
          <w:sz w:val="24"/>
          <w:szCs w:val="24"/>
        </w:rPr>
        <w:t xml:space="preserve">  greater  autonomy and flexibility in staffing and pay. </w:t>
      </w:r>
      <w:r w:rsidR="00943649">
        <w:rPr>
          <w:sz w:val="24"/>
          <w:szCs w:val="24"/>
        </w:rPr>
        <w:t xml:space="preserve">We use a </w:t>
      </w:r>
      <w:r w:rsidR="00F85A05">
        <w:rPr>
          <w:sz w:val="24"/>
          <w:szCs w:val="24"/>
        </w:rPr>
        <w:t>new panel</w:t>
      </w:r>
      <w:r w:rsidR="00943649">
        <w:rPr>
          <w:sz w:val="24"/>
          <w:szCs w:val="24"/>
        </w:rPr>
        <w:t xml:space="preserve"> database </w:t>
      </w:r>
      <w:r w:rsidR="001F168E">
        <w:rPr>
          <w:sz w:val="24"/>
          <w:szCs w:val="24"/>
        </w:rPr>
        <w:t xml:space="preserve">of </w:t>
      </w:r>
      <w:r w:rsidR="002A0A04">
        <w:rPr>
          <w:sz w:val="24"/>
          <w:szCs w:val="24"/>
        </w:rPr>
        <w:t xml:space="preserve">delays </w:t>
      </w:r>
      <w:r w:rsidR="008935F5">
        <w:rPr>
          <w:sz w:val="24"/>
          <w:szCs w:val="24"/>
        </w:rPr>
        <w:t xml:space="preserve">in </w:t>
      </w:r>
      <w:r w:rsidR="00DB7DB8">
        <w:rPr>
          <w:sz w:val="24"/>
          <w:szCs w:val="24"/>
        </w:rPr>
        <w:t>all English NHS hospital Tr</w:t>
      </w:r>
      <w:r w:rsidR="00DB18A9">
        <w:rPr>
          <w:sz w:val="24"/>
          <w:szCs w:val="24"/>
        </w:rPr>
        <w:t>ust</w:t>
      </w:r>
      <w:r w:rsidR="00DB7DB8">
        <w:rPr>
          <w:sz w:val="24"/>
          <w:szCs w:val="24"/>
        </w:rPr>
        <w:t>s</w:t>
      </w:r>
      <w:r w:rsidR="00DB18A9">
        <w:rPr>
          <w:sz w:val="24"/>
          <w:szCs w:val="24"/>
        </w:rPr>
        <w:t xml:space="preserve"> </w:t>
      </w:r>
      <w:r w:rsidR="00DB7DB8">
        <w:rPr>
          <w:sz w:val="24"/>
          <w:szCs w:val="24"/>
        </w:rPr>
        <w:t xml:space="preserve">from </w:t>
      </w:r>
      <w:r w:rsidR="004F774B" w:rsidRPr="003D54D9">
        <w:rPr>
          <w:sz w:val="24"/>
          <w:szCs w:val="24"/>
        </w:rPr>
        <w:t>2011</w:t>
      </w:r>
      <w:r w:rsidR="00DB18A9">
        <w:rPr>
          <w:sz w:val="24"/>
          <w:szCs w:val="24"/>
        </w:rPr>
        <w:t>/</w:t>
      </w:r>
      <w:r w:rsidR="00696175">
        <w:rPr>
          <w:sz w:val="24"/>
          <w:szCs w:val="24"/>
        </w:rPr>
        <w:t>1</w:t>
      </w:r>
      <w:r w:rsidR="00DB7DB8">
        <w:rPr>
          <w:sz w:val="24"/>
          <w:szCs w:val="24"/>
        </w:rPr>
        <w:t xml:space="preserve">2 to </w:t>
      </w:r>
      <w:r w:rsidR="00DB18A9">
        <w:rPr>
          <w:sz w:val="24"/>
          <w:szCs w:val="24"/>
        </w:rPr>
        <w:t>2013/14</w:t>
      </w:r>
      <w:r w:rsidR="00F85A05">
        <w:rPr>
          <w:sz w:val="24"/>
          <w:szCs w:val="24"/>
        </w:rPr>
        <w:t>.</w:t>
      </w:r>
      <w:r w:rsidR="00943649">
        <w:rPr>
          <w:sz w:val="24"/>
          <w:szCs w:val="24"/>
        </w:rPr>
        <w:t xml:space="preserve"> </w:t>
      </w:r>
      <w:r w:rsidR="00925C94">
        <w:rPr>
          <w:sz w:val="24"/>
          <w:szCs w:val="24"/>
        </w:rPr>
        <w:t xml:space="preserve">Employing count data </w:t>
      </w:r>
      <w:r w:rsidR="00925C94" w:rsidRPr="004B5B32">
        <w:rPr>
          <w:sz w:val="24"/>
          <w:szCs w:val="24"/>
        </w:rPr>
        <w:t>models, w</w:t>
      </w:r>
      <w:r w:rsidR="00943649" w:rsidRPr="004B5B32">
        <w:rPr>
          <w:sz w:val="24"/>
          <w:szCs w:val="24"/>
        </w:rPr>
        <w:t xml:space="preserve">e </w:t>
      </w:r>
      <w:r w:rsidR="00A170EE" w:rsidRPr="004B5B32">
        <w:rPr>
          <w:sz w:val="24"/>
          <w:szCs w:val="24"/>
        </w:rPr>
        <w:t>find</w:t>
      </w:r>
      <w:r w:rsidR="002A0A04" w:rsidRPr="004B5B32">
        <w:rPr>
          <w:sz w:val="24"/>
          <w:szCs w:val="24"/>
        </w:rPr>
        <w:t xml:space="preserve"> </w:t>
      </w:r>
      <w:r w:rsidR="007626CE" w:rsidRPr="004B5B32">
        <w:rPr>
          <w:sz w:val="24"/>
          <w:szCs w:val="24"/>
        </w:rPr>
        <w:t xml:space="preserve">that </w:t>
      </w:r>
      <w:r w:rsidR="007A0417" w:rsidRPr="004B5B32">
        <w:rPr>
          <w:sz w:val="24"/>
          <w:szCs w:val="24"/>
        </w:rPr>
        <w:t xml:space="preserve">a greater local supply of long-term care (care home beds) is associated with fewer delays. Hospitals which are </w:t>
      </w:r>
      <w:r w:rsidR="00CA68C4" w:rsidRPr="004B5B32">
        <w:rPr>
          <w:sz w:val="24"/>
          <w:szCs w:val="24"/>
        </w:rPr>
        <w:t xml:space="preserve">Foundation Trusts </w:t>
      </w:r>
      <w:r w:rsidR="007A0417" w:rsidRPr="004B5B32">
        <w:rPr>
          <w:sz w:val="24"/>
          <w:szCs w:val="24"/>
        </w:rPr>
        <w:t xml:space="preserve">have </w:t>
      </w:r>
      <w:r w:rsidR="004F774B" w:rsidRPr="004B5B32">
        <w:rPr>
          <w:sz w:val="24"/>
          <w:szCs w:val="24"/>
        </w:rPr>
        <w:t xml:space="preserve">fewer </w:t>
      </w:r>
      <w:r w:rsidR="00DB7DB8" w:rsidRPr="004B5B32">
        <w:rPr>
          <w:sz w:val="24"/>
          <w:szCs w:val="24"/>
        </w:rPr>
        <w:t>delayed discharges</w:t>
      </w:r>
      <w:r w:rsidR="004B5B32" w:rsidRPr="004B5B32">
        <w:rPr>
          <w:rFonts w:eastAsiaTheme="majorEastAsia" w:cstheme="majorBidi"/>
          <w:bCs/>
          <w:sz w:val="24"/>
          <w:szCs w:val="24"/>
        </w:rPr>
        <w:t xml:space="preserve"> and </w:t>
      </w:r>
      <w:r w:rsidR="004B5B32" w:rsidRPr="004B5B32">
        <w:rPr>
          <w:sz w:val="24"/>
          <w:szCs w:val="24"/>
        </w:rPr>
        <w:t>might therefore be used as exemplars of good practice in managing delays</w:t>
      </w:r>
      <w:r w:rsidR="007A0417" w:rsidRPr="004B5B32">
        <w:rPr>
          <w:sz w:val="24"/>
          <w:szCs w:val="24"/>
        </w:rPr>
        <w:t>.</w:t>
      </w:r>
      <w:r w:rsidR="00DB7DB8" w:rsidRPr="004B5B32">
        <w:rPr>
          <w:sz w:val="24"/>
          <w:szCs w:val="24"/>
        </w:rPr>
        <w:t xml:space="preserve"> </w:t>
      </w:r>
      <w:r w:rsidR="007A0417" w:rsidRPr="004B5B32">
        <w:rPr>
          <w:sz w:val="24"/>
          <w:szCs w:val="24"/>
        </w:rPr>
        <w:t>Mental Health Trusts have more delayed discharges than</w:t>
      </w:r>
      <w:r w:rsidR="00DB18A9" w:rsidRPr="004B5B32">
        <w:rPr>
          <w:sz w:val="24"/>
          <w:szCs w:val="24"/>
        </w:rPr>
        <w:t xml:space="preserve"> Acute</w:t>
      </w:r>
      <w:r w:rsidR="007A0417" w:rsidRPr="004B5B32">
        <w:rPr>
          <w:sz w:val="24"/>
          <w:szCs w:val="24"/>
        </w:rPr>
        <w:t xml:space="preserve"> </w:t>
      </w:r>
      <w:r w:rsidR="00DB18A9" w:rsidRPr="004B5B32">
        <w:rPr>
          <w:sz w:val="24"/>
          <w:szCs w:val="24"/>
        </w:rPr>
        <w:t>Trusts</w:t>
      </w:r>
      <w:r w:rsidR="007A0417" w:rsidRPr="004B5B32">
        <w:rPr>
          <w:sz w:val="24"/>
          <w:szCs w:val="24"/>
        </w:rPr>
        <w:t xml:space="preserve"> but a smaller proportion of them are</w:t>
      </w:r>
      <w:r w:rsidR="007A0417">
        <w:rPr>
          <w:sz w:val="24"/>
          <w:szCs w:val="24"/>
        </w:rPr>
        <w:t xml:space="preserve"> attributed to the NHS</w:t>
      </w:r>
      <w:r w:rsidR="008935F5">
        <w:rPr>
          <w:sz w:val="24"/>
          <w:szCs w:val="24"/>
        </w:rPr>
        <w:t>,</w:t>
      </w:r>
      <w:r w:rsidR="001F168E">
        <w:rPr>
          <w:sz w:val="24"/>
          <w:szCs w:val="24"/>
        </w:rPr>
        <w:t xml:space="preserve"> possibly indicating</w:t>
      </w:r>
      <w:r w:rsidR="004B5B32">
        <w:rPr>
          <w:sz w:val="24"/>
          <w:szCs w:val="24"/>
        </w:rPr>
        <w:t xml:space="preserve"> </w:t>
      </w:r>
      <w:r w:rsidR="003264DC">
        <w:rPr>
          <w:sz w:val="24"/>
          <w:szCs w:val="24"/>
        </w:rPr>
        <w:t xml:space="preserve">a relatively greater </w:t>
      </w:r>
      <w:r w:rsidR="00F85A05">
        <w:rPr>
          <w:sz w:val="24"/>
          <w:szCs w:val="24"/>
        </w:rPr>
        <w:t>lack of</w:t>
      </w:r>
      <w:r w:rsidR="004B5B32">
        <w:rPr>
          <w:sz w:val="24"/>
          <w:szCs w:val="24"/>
        </w:rPr>
        <w:t xml:space="preserve"> adequate</w:t>
      </w:r>
      <w:r w:rsidR="00F85A05">
        <w:rPr>
          <w:sz w:val="24"/>
          <w:szCs w:val="24"/>
        </w:rPr>
        <w:t xml:space="preserve"> </w:t>
      </w:r>
      <w:r w:rsidR="003264DC">
        <w:rPr>
          <w:sz w:val="24"/>
          <w:szCs w:val="24"/>
        </w:rPr>
        <w:t xml:space="preserve">community care </w:t>
      </w:r>
      <w:r w:rsidR="00B2729B">
        <w:rPr>
          <w:sz w:val="24"/>
          <w:szCs w:val="24"/>
        </w:rPr>
        <w:t xml:space="preserve">for </w:t>
      </w:r>
      <w:r w:rsidR="003264DC">
        <w:rPr>
          <w:sz w:val="24"/>
          <w:szCs w:val="24"/>
        </w:rPr>
        <w:t xml:space="preserve">mental health patients. </w:t>
      </w:r>
    </w:p>
    <w:p w:rsidR="003F0CA6" w:rsidRDefault="003F0CA6" w:rsidP="003D54D9">
      <w:pPr>
        <w:spacing w:line="240" w:lineRule="auto"/>
        <w:jc w:val="both"/>
      </w:pPr>
      <w:r w:rsidRPr="003D54D9">
        <w:rPr>
          <w:vertAlign w:val="superscript"/>
        </w:rPr>
        <w:t>1</w:t>
      </w:r>
      <w:r>
        <w:t xml:space="preserve"> </w:t>
      </w:r>
      <w:r w:rsidR="003830CC" w:rsidRPr="003830CC">
        <w:rPr>
          <w:sz w:val="24"/>
          <w:szCs w:val="24"/>
        </w:rPr>
        <w:t xml:space="preserve">Economics of Social and Health Care Research Unit, </w:t>
      </w:r>
      <w:r w:rsidRPr="003830CC">
        <w:rPr>
          <w:sz w:val="24"/>
          <w:szCs w:val="24"/>
        </w:rPr>
        <w:t>Centre for Health Economics, University of York</w:t>
      </w:r>
    </w:p>
    <w:p w:rsidR="00F10D36" w:rsidRDefault="003F0CA6" w:rsidP="00AF4920">
      <w:pPr>
        <w:spacing w:line="480" w:lineRule="auto"/>
        <w:rPr>
          <w:sz w:val="24"/>
        </w:rPr>
      </w:pPr>
      <w:r w:rsidRPr="003D54D9">
        <w:rPr>
          <w:vertAlign w:val="superscript"/>
        </w:rPr>
        <w:t>2</w:t>
      </w:r>
      <w:r>
        <w:t xml:space="preserve"> </w:t>
      </w:r>
      <w:r w:rsidRPr="003D54D9">
        <w:rPr>
          <w:sz w:val="24"/>
        </w:rPr>
        <w:t>Department of Economics and Related Studies, University of York</w:t>
      </w:r>
    </w:p>
    <w:p w:rsidR="00971B46" w:rsidRPr="00160103" w:rsidRDefault="00971B46" w:rsidP="00160103">
      <w:pPr>
        <w:sectPr w:rsidR="00971B46" w:rsidRPr="00160103" w:rsidSect="003A4577">
          <w:footerReference w:type="default" r:id="rId9"/>
          <w:pgSz w:w="11906" w:h="16838"/>
          <w:pgMar w:top="1440" w:right="1440" w:bottom="1440" w:left="1440" w:header="708" w:footer="708" w:gutter="0"/>
          <w:cols w:space="708"/>
          <w:docGrid w:linePitch="360"/>
        </w:sectPr>
      </w:pPr>
      <w:r w:rsidRPr="005E6343">
        <w:rPr>
          <w:i/>
          <w:sz w:val="24"/>
          <w:szCs w:val="24"/>
        </w:rPr>
        <w:t>JEL</w:t>
      </w:r>
      <w:r w:rsidRPr="0077794A">
        <w:rPr>
          <w:sz w:val="24"/>
          <w:szCs w:val="24"/>
        </w:rPr>
        <w:t xml:space="preserve">: </w:t>
      </w:r>
      <w:r w:rsidR="009C694B">
        <w:rPr>
          <w:rFonts w:cs="AdvTT6120e2aa"/>
          <w:sz w:val="24"/>
          <w:szCs w:val="24"/>
        </w:rPr>
        <w:t>I10,</w:t>
      </w:r>
      <w:r w:rsidRPr="0077794A">
        <w:rPr>
          <w:rFonts w:cs="AdvTT6120e2aa"/>
          <w:sz w:val="24"/>
          <w:szCs w:val="24"/>
        </w:rPr>
        <w:t xml:space="preserve"> I18</w:t>
      </w:r>
    </w:p>
    <w:p w:rsidR="005446C1" w:rsidRPr="005E6343" w:rsidRDefault="00F10D36" w:rsidP="00160103">
      <w:pPr>
        <w:pStyle w:val="Heading1"/>
        <w:spacing w:line="360" w:lineRule="auto"/>
      </w:pPr>
      <w:r w:rsidRPr="005E6343">
        <w:lastRenderedPageBreak/>
        <w:t>Policy Points</w:t>
      </w:r>
    </w:p>
    <w:p w:rsidR="0067432A" w:rsidRPr="00160103" w:rsidRDefault="0067432A" w:rsidP="00160103">
      <w:pPr>
        <w:pStyle w:val="ListParagraph"/>
        <w:numPr>
          <w:ilvl w:val="0"/>
          <w:numId w:val="7"/>
        </w:numPr>
        <w:spacing w:line="360" w:lineRule="auto"/>
        <w:jc w:val="both"/>
        <w:rPr>
          <w:rFonts w:eastAsiaTheme="majorEastAsia" w:cstheme="majorBidi"/>
          <w:bCs/>
          <w:sz w:val="24"/>
          <w:szCs w:val="24"/>
        </w:rPr>
      </w:pPr>
      <w:r w:rsidRPr="00160103">
        <w:rPr>
          <w:rFonts w:eastAsiaTheme="majorEastAsia" w:cstheme="majorBidi"/>
          <w:bCs/>
          <w:sz w:val="24"/>
          <w:szCs w:val="24"/>
        </w:rPr>
        <w:t xml:space="preserve">Foundation Trusts </w:t>
      </w:r>
      <w:r w:rsidR="00593AA9" w:rsidRPr="00160103">
        <w:rPr>
          <w:rFonts w:eastAsiaTheme="majorEastAsia" w:cstheme="majorBidi"/>
          <w:bCs/>
          <w:sz w:val="24"/>
          <w:szCs w:val="24"/>
        </w:rPr>
        <w:t xml:space="preserve">have </w:t>
      </w:r>
      <w:r w:rsidR="00C91BF5" w:rsidRPr="00160103">
        <w:rPr>
          <w:rFonts w:eastAsiaTheme="majorEastAsia" w:cstheme="majorBidi"/>
          <w:bCs/>
          <w:sz w:val="24"/>
          <w:szCs w:val="24"/>
        </w:rPr>
        <w:t xml:space="preserve">fewer </w:t>
      </w:r>
      <w:r w:rsidR="00593AA9" w:rsidRPr="00160103">
        <w:rPr>
          <w:rFonts w:eastAsiaTheme="majorEastAsia" w:cstheme="majorBidi"/>
          <w:bCs/>
          <w:sz w:val="24"/>
          <w:szCs w:val="24"/>
        </w:rPr>
        <w:t>delayed discharges</w:t>
      </w:r>
      <w:r w:rsidR="0085676B" w:rsidRPr="00160103">
        <w:rPr>
          <w:rFonts w:eastAsiaTheme="majorEastAsia" w:cstheme="majorBidi"/>
          <w:bCs/>
          <w:sz w:val="24"/>
          <w:szCs w:val="24"/>
        </w:rPr>
        <w:t xml:space="preserve"> and </w:t>
      </w:r>
      <w:r w:rsidR="0085676B" w:rsidRPr="009F2CF6">
        <w:rPr>
          <w:sz w:val="24"/>
          <w:szCs w:val="24"/>
        </w:rPr>
        <w:t>might therefore be used as exemplars of good practice in managing delays.</w:t>
      </w:r>
    </w:p>
    <w:p w:rsidR="005D2322" w:rsidRPr="009F2CF6" w:rsidRDefault="0085676B" w:rsidP="00160103">
      <w:pPr>
        <w:pStyle w:val="ListParagraph"/>
        <w:numPr>
          <w:ilvl w:val="0"/>
          <w:numId w:val="7"/>
        </w:numPr>
        <w:spacing w:line="360" w:lineRule="auto"/>
        <w:jc w:val="both"/>
        <w:rPr>
          <w:rFonts w:eastAsiaTheme="majorEastAsia" w:cstheme="majorBidi"/>
          <w:bCs/>
          <w:sz w:val="24"/>
          <w:szCs w:val="24"/>
        </w:rPr>
      </w:pPr>
      <w:r w:rsidRPr="009F2CF6">
        <w:rPr>
          <w:sz w:val="24"/>
          <w:szCs w:val="24"/>
        </w:rPr>
        <w:t xml:space="preserve">Mental Health Trusts </w:t>
      </w:r>
      <w:r w:rsidR="008935F5">
        <w:rPr>
          <w:sz w:val="24"/>
          <w:szCs w:val="24"/>
        </w:rPr>
        <w:t xml:space="preserve">incur </w:t>
      </w:r>
      <w:r w:rsidRPr="009F2CF6">
        <w:rPr>
          <w:sz w:val="24"/>
          <w:szCs w:val="24"/>
        </w:rPr>
        <w:t>more delays with a</w:t>
      </w:r>
      <w:r w:rsidR="005D2322" w:rsidRPr="009F2CF6">
        <w:rPr>
          <w:rFonts w:eastAsiaTheme="majorEastAsia" w:cstheme="majorBidi"/>
          <w:bCs/>
          <w:sz w:val="24"/>
          <w:szCs w:val="24"/>
        </w:rPr>
        <w:t xml:space="preserve"> higher proportion outside the control of the NHS</w:t>
      </w:r>
      <w:r w:rsidRPr="009F2CF6">
        <w:rPr>
          <w:rFonts w:eastAsiaTheme="majorEastAsia" w:cstheme="majorBidi"/>
          <w:bCs/>
          <w:sz w:val="24"/>
          <w:szCs w:val="24"/>
        </w:rPr>
        <w:t xml:space="preserve">. </w:t>
      </w:r>
      <w:r w:rsidRPr="009F2CF6">
        <w:rPr>
          <w:sz w:val="24"/>
          <w:szCs w:val="24"/>
        </w:rPr>
        <w:t>This may indicate unmet need for mental health patients</w:t>
      </w:r>
      <w:r w:rsidR="005D2322" w:rsidRPr="009F2CF6">
        <w:rPr>
          <w:rFonts w:eastAsiaTheme="majorEastAsia" w:cstheme="majorBidi"/>
          <w:bCs/>
          <w:sz w:val="24"/>
          <w:szCs w:val="24"/>
        </w:rPr>
        <w:t xml:space="preserve">, </w:t>
      </w:r>
      <w:r w:rsidRPr="009F2CF6">
        <w:rPr>
          <w:rFonts w:eastAsiaTheme="majorEastAsia" w:cstheme="majorBidi"/>
          <w:bCs/>
          <w:sz w:val="24"/>
          <w:szCs w:val="24"/>
        </w:rPr>
        <w:t xml:space="preserve">and </w:t>
      </w:r>
      <w:r w:rsidR="005D2322" w:rsidRPr="009F2CF6">
        <w:rPr>
          <w:rFonts w:eastAsiaTheme="majorEastAsia" w:cstheme="majorBidi"/>
          <w:bCs/>
          <w:sz w:val="24"/>
          <w:szCs w:val="24"/>
        </w:rPr>
        <w:t xml:space="preserve">possible lack of coordination over provision of </w:t>
      </w:r>
      <w:r w:rsidRPr="009F2CF6">
        <w:rPr>
          <w:rFonts w:eastAsiaTheme="majorEastAsia" w:cstheme="majorBidi"/>
          <w:bCs/>
          <w:sz w:val="24"/>
          <w:szCs w:val="24"/>
        </w:rPr>
        <w:t>social</w:t>
      </w:r>
      <w:r w:rsidR="005D2322" w:rsidRPr="009F2CF6">
        <w:rPr>
          <w:rFonts w:eastAsiaTheme="majorEastAsia" w:cstheme="majorBidi"/>
          <w:bCs/>
          <w:sz w:val="24"/>
          <w:szCs w:val="24"/>
        </w:rPr>
        <w:t xml:space="preserve"> care.</w:t>
      </w:r>
    </w:p>
    <w:p w:rsidR="00FE7BF5" w:rsidRPr="00160103" w:rsidRDefault="00914D63" w:rsidP="00160103">
      <w:pPr>
        <w:pStyle w:val="ListParagraph"/>
        <w:numPr>
          <w:ilvl w:val="0"/>
          <w:numId w:val="7"/>
        </w:numPr>
        <w:spacing w:line="360" w:lineRule="auto"/>
        <w:jc w:val="both"/>
        <w:rPr>
          <w:rFonts w:eastAsiaTheme="majorEastAsia" w:cstheme="majorBidi"/>
          <w:bCs/>
          <w:sz w:val="24"/>
          <w:szCs w:val="24"/>
        </w:rPr>
      </w:pPr>
      <w:r w:rsidRPr="00160103">
        <w:rPr>
          <w:rFonts w:eastAsiaTheme="majorEastAsia" w:cstheme="majorBidi"/>
          <w:bCs/>
          <w:sz w:val="24"/>
          <w:szCs w:val="24"/>
        </w:rPr>
        <w:t>Greater local provision of long-term care</w:t>
      </w:r>
      <w:r w:rsidR="0085676B" w:rsidRPr="00160103">
        <w:rPr>
          <w:rFonts w:eastAsiaTheme="majorEastAsia" w:cstheme="majorBidi"/>
          <w:bCs/>
          <w:sz w:val="24"/>
          <w:szCs w:val="24"/>
        </w:rPr>
        <w:t xml:space="preserve"> beds</w:t>
      </w:r>
      <w:r w:rsidR="009F2CF6">
        <w:rPr>
          <w:rFonts w:eastAsiaTheme="majorEastAsia" w:cstheme="majorBidi"/>
          <w:bCs/>
          <w:sz w:val="24"/>
          <w:szCs w:val="24"/>
        </w:rPr>
        <w:t xml:space="preserve"> in care homes</w:t>
      </w:r>
      <w:r w:rsidRPr="00160103">
        <w:rPr>
          <w:rFonts w:eastAsiaTheme="majorEastAsia" w:cstheme="majorBidi"/>
          <w:bCs/>
          <w:sz w:val="24"/>
          <w:szCs w:val="24"/>
        </w:rPr>
        <w:t xml:space="preserve"> reduces delayed discharges</w:t>
      </w:r>
      <w:r w:rsidR="009F2CF6">
        <w:rPr>
          <w:rFonts w:eastAsiaTheme="majorEastAsia" w:cstheme="majorBidi"/>
          <w:bCs/>
          <w:sz w:val="24"/>
          <w:szCs w:val="24"/>
        </w:rPr>
        <w:t xml:space="preserve"> in hospitals</w:t>
      </w:r>
      <w:r w:rsidRPr="00160103">
        <w:rPr>
          <w:rFonts w:eastAsiaTheme="majorEastAsia" w:cstheme="majorBidi"/>
          <w:bCs/>
          <w:sz w:val="24"/>
          <w:szCs w:val="24"/>
        </w:rPr>
        <w:t xml:space="preserve">, </w:t>
      </w:r>
      <w:r w:rsidR="009F2CF6">
        <w:rPr>
          <w:rFonts w:eastAsiaTheme="majorEastAsia" w:cstheme="majorBidi"/>
          <w:bCs/>
          <w:sz w:val="24"/>
          <w:szCs w:val="24"/>
        </w:rPr>
        <w:t xml:space="preserve">confirming the </w:t>
      </w:r>
      <w:r w:rsidR="00924D1A">
        <w:rPr>
          <w:rFonts w:eastAsiaTheme="majorEastAsia" w:cstheme="majorBidi"/>
          <w:bCs/>
          <w:sz w:val="24"/>
          <w:szCs w:val="24"/>
        </w:rPr>
        <w:t xml:space="preserve">importance </w:t>
      </w:r>
      <w:r w:rsidR="009F2CF6">
        <w:rPr>
          <w:rFonts w:eastAsiaTheme="majorEastAsia" w:cstheme="majorBidi"/>
          <w:bCs/>
          <w:sz w:val="24"/>
          <w:szCs w:val="24"/>
        </w:rPr>
        <w:t>of coordinating health and social care.</w:t>
      </w:r>
      <w:r w:rsidRPr="00160103">
        <w:rPr>
          <w:rFonts w:eastAsiaTheme="majorEastAsia" w:cstheme="majorBidi"/>
          <w:bCs/>
          <w:sz w:val="24"/>
          <w:szCs w:val="24"/>
        </w:rPr>
        <w:t xml:space="preserve">  </w:t>
      </w:r>
    </w:p>
    <w:p w:rsidR="0085676B" w:rsidRDefault="0085676B" w:rsidP="0085676B">
      <w:pPr>
        <w:spacing w:line="480" w:lineRule="auto"/>
        <w:jc w:val="both"/>
        <w:rPr>
          <w:sz w:val="24"/>
          <w:szCs w:val="24"/>
        </w:rPr>
      </w:pPr>
    </w:p>
    <w:p w:rsidR="00943649" w:rsidRDefault="00943649">
      <w:pPr>
        <w:rPr>
          <w:rFonts w:asciiTheme="majorHAnsi" w:eastAsiaTheme="majorEastAsia" w:hAnsiTheme="majorHAnsi" w:cstheme="majorBidi"/>
          <w:b/>
          <w:bCs/>
          <w:color w:val="365F91" w:themeColor="accent1" w:themeShade="BF"/>
          <w:sz w:val="28"/>
          <w:szCs w:val="28"/>
        </w:rPr>
      </w:pPr>
    </w:p>
    <w:p w:rsidR="0085676B" w:rsidRDefault="0085676B">
      <w:pPr>
        <w:rPr>
          <w:rFonts w:asciiTheme="majorHAnsi" w:eastAsiaTheme="majorEastAsia" w:hAnsiTheme="majorHAnsi" w:cstheme="majorBidi"/>
          <w:b/>
          <w:bCs/>
          <w:color w:val="365F91" w:themeColor="accent1" w:themeShade="BF"/>
          <w:sz w:val="28"/>
          <w:szCs w:val="28"/>
        </w:rPr>
      </w:pPr>
      <w:r>
        <w:br w:type="page"/>
      </w:r>
    </w:p>
    <w:p w:rsidR="00FF3DCD" w:rsidRPr="005E6343" w:rsidRDefault="00D87A3C" w:rsidP="00FC5A2A">
      <w:pPr>
        <w:pStyle w:val="Heading1"/>
        <w:spacing w:line="480" w:lineRule="auto"/>
      </w:pPr>
      <w:r w:rsidRPr="005E6343">
        <w:lastRenderedPageBreak/>
        <w:t xml:space="preserve">1. </w:t>
      </w:r>
      <w:r w:rsidR="004A493D" w:rsidRPr="005E6343">
        <w:t>Introduction</w:t>
      </w:r>
    </w:p>
    <w:p w:rsidR="00FF3DCD" w:rsidRDefault="00971A56" w:rsidP="00957CE4">
      <w:pPr>
        <w:spacing w:after="0" w:line="480" w:lineRule="auto"/>
        <w:jc w:val="both"/>
        <w:rPr>
          <w:sz w:val="24"/>
          <w:szCs w:val="24"/>
        </w:rPr>
      </w:pPr>
      <w:r>
        <w:rPr>
          <w:sz w:val="24"/>
          <w:szCs w:val="24"/>
        </w:rPr>
        <w:t>Over 1.2 million bed-days were lost in</w:t>
      </w:r>
      <w:r w:rsidR="00F72821">
        <w:rPr>
          <w:sz w:val="24"/>
          <w:szCs w:val="24"/>
        </w:rPr>
        <w:t xml:space="preserve"> </w:t>
      </w:r>
      <w:r>
        <w:rPr>
          <w:sz w:val="24"/>
          <w:szCs w:val="24"/>
        </w:rPr>
        <w:t xml:space="preserve">the National Health Service (NHS) in </w:t>
      </w:r>
      <w:r w:rsidR="00F72821">
        <w:rPr>
          <w:sz w:val="24"/>
          <w:szCs w:val="24"/>
        </w:rPr>
        <w:t xml:space="preserve">England </w:t>
      </w:r>
      <w:r w:rsidR="003264DC">
        <w:rPr>
          <w:sz w:val="24"/>
          <w:szCs w:val="24"/>
        </w:rPr>
        <w:t>in 201</w:t>
      </w:r>
      <w:r w:rsidR="00026B6D">
        <w:rPr>
          <w:sz w:val="24"/>
          <w:szCs w:val="24"/>
        </w:rPr>
        <w:t>3</w:t>
      </w:r>
      <w:r w:rsidR="003264DC">
        <w:rPr>
          <w:sz w:val="24"/>
          <w:szCs w:val="24"/>
        </w:rPr>
        <w:t>/1</w:t>
      </w:r>
      <w:r w:rsidR="00026B6D">
        <w:rPr>
          <w:sz w:val="24"/>
          <w:szCs w:val="24"/>
        </w:rPr>
        <w:t>4</w:t>
      </w:r>
      <w:r w:rsidR="003264DC">
        <w:rPr>
          <w:sz w:val="24"/>
          <w:szCs w:val="24"/>
        </w:rPr>
        <w:t xml:space="preserve"> because </w:t>
      </w:r>
      <w:r w:rsidR="00F72821">
        <w:rPr>
          <w:sz w:val="24"/>
          <w:szCs w:val="24"/>
        </w:rPr>
        <w:t>patients remain</w:t>
      </w:r>
      <w:r w:rsidR="003264DC">
        <w:rPr>
          <w:sz w:val="24"/>
          <w:szCs w:val="24"/>
        </w:rPr>
        <w:t>ed</w:t>
      </w:r>
      <w:r w:rsidR="00F72821">
        <w:rPr>
          <w:sz w:val="24"/>
          <w:szCs w:val="24"/>
        </w:rPr>
        <w:t xml:space="preserve"> in hospital after they were medically ready to be discharged. </w:t>
      </w:r>
      <w:r w:rsidR="00E7173F">
        <w:rPr>
          <w:sz w:val="24"/>
          <w:szCs w:val="24"/>
        </w:rPr>
        <w:t xml:space="preserve"> The annual cost of patients aged 65 and over occupying hospital beds but no longer in need of acute treatment has been estimated at £820m (NAO, 2016). </w:t>
      </w:r>
      <w:r w:rsidR="00F72821">
        <w:rPr>
          <w:sz w:val="24"/>
          <w:szCs w:val="24"/>
        </w:rPr>
        <w:t xml:space="preserve">Such </w:t>
      </w:r>
      <w:r w:rsidR="008C01C5">
        <w:rPr>
          <w:sz w:val="24"/>
          <w:szCs w:val="24"/>
        </w:rPr>
        <w:t>d</w:t>
      </w:r>
      <w:r w:rsidR="003264DC">
        <w:rPr>
          <w:sz w:val="24"/>
          <w:szCs w:val="24"/>
        </w:rPr>
        <w:t xml:space="preserve">elayed discharges, </w:t>
      </w:r>
      <w:r w:rsidR="007308AA" w:rsidRPr="003D54D9">
        <w:rPr>
          <w:sz w:val="24"/>
          <w:szCs w:val="24"/>
        </w:rPr>
        <w:t xml:space="preserve">often </w:t>
      </w:r>
      <w:r w:rsidR="000317D0" w:rsidRPr="003D54D9">
        <w:rPr>
          <w:sz w:val="24"/>
          <w:szCs w:val="24"/>
        </w:rPr>
        <w:t>referred to</w:t>
      </w:r>
      <w:r w:rsidR="007308AA" w:rsidRPr="003D54D9">
        <w:rPr>
          <w:sz w:val="24"/>
          <w:szCs w:val="24"/>
        </w:rPr>
        <w:t xml:space="preserve"> as bed-blocking</w:t>
      </w:r>
      <w:r w:rsidR="009051FA" w:rsidRPr="003D54D9">
        <w:rPr>
          <w:sz w:val="24"/>
          <w:szCs w:val="24"/>
        </w:rPr>
        <w:t>,</w:t>
      </w:r>
      <w:r w:rsidR="003242CB" w:rsidRPr="003D54D9">
        <w:rPr>
          <w:sz w:val="24"/>
          <w:szCs w:val="24"/>
        </w:rPr>
        <w:t xml:space="preserve"> </w:t>
      </w:r>
      <w:r w:rsidR="001E7C91">
        <w:rPr>
          <w:sz w:val="24"/>
          <w:szCs w:val="24"/>
        </w:rPr>
        <w:t>are</w:t>
      </w:r>
      <w:r w:rsidR="001E7C91" w:rsidRPr="003D54D9">
        <w:rPr>
          <w:sz w:val="24"/>
          <w:szCs w:val="24"/>
        </w:rPr>
        <w:t xml:space="preserve"> </w:t>
      </w:r>
      <w:r w:rsidR="003242CB" w:rsidRPr="003D54D9">
        <w:rPr>
          <w:sz w:val="24"/>
          <w:szCs w:val="24"/>
        </w:rPr>
        <w:t>a long standing policy concern</w:t>
      </w:r>
      <w:r w:rsidR="007308AA" w:rsidRPr="003D54D9">
        <w:rPr>
          <w:sz w:val="24"/>
          <w:szCs w:val="24"/>
        </w:rPr>
        <w:t>.</w:t>
      </w:r>
      <w:r w:rsidR="003242CB" w:rsidRPr="003D54D9">
        <w:rPr>
          <w:sz w:val="24"/>
          <w:szCs w:val="24"/>
        </w:rPr>
        <w:t xml:space="preserve"> In the U.K. </w:t>
      </w:r>
      <w:r w:rsidR="009051FA" w:rsidRPr="003D54D9">
        <w:rPr>
          <w:sz w:val="24"/>
          <w:szCs w:val="24"/>
        </w:rPr>
        <w:t>the issue</w:t>
      </w:r>
      <w:r w:rsidR="003242CB" w:rsidRPr="003D54D9">
        <w:rPr>
          <w:sz w:val="24"/>
          <w:szCs w:val="24"/>
        </w:rPr>
        <w:t xml:space="preserve"> is</w:t>
      </w:r>
      <w:r w:rsidR="00293F36">
        <w:rPr>
          <w:sz w:val="24"/>
          <w:szCs w:val="24"/>
        </w:rPr>
        <w:t xml:space="preserve"> </w:t>
      </w:r>
      <w:r w:rsidR="003242CB" w:rsidRPr="003D54D9">
        <w:rPr>
          <w:sz w:val="24"/>
          <w:szCs w:val="24"/>
        </w:rPr>
        <w:t xml:space="preserve">as old as the NHS. </w:t>
      </w:r>
      <w:r w:rsidR="00716C9A" w:rsidRPr="003D54D9">
        <w:rPr>
          <w:sz w:val="24"/>
          <w:szCs w:val="24"/>
        </w:rPr>
        <w:t>Lowe and McKeown (1949)</w:t>
      </w:r>
      <w:r w:rsidR="003242CB" w:rsidRPr="003D54D9">
        <w:rPr>
          <w:sz w:val="24"/>
          <w:szCs w:val="24"/>
        </w:rPr>
        <w:t xml:space="preserve"> </w:t>
      </w:r>
      <w:r w:rsidR="003264DC">
        <w:rPr>
          <w:sz w:val="24"/>
          <w:szCs w:val="24"/>
        </w:rPr>
        <w:t>noted</w:t>
      </w:r>
      <w:r w:rsidR="007F0015">
        <w:rPr>
          <w:sz w:val="24"/>
          <w:szCs w:val="24"/>
        </w:rPr>
        <w:t xml:space="preserve"> that</w:t>
      </w:r>
      <w:r w:rsidR="00716C9A" w:rsidRPr="003D54D9">
        <w:rPr>
          <w:sz w:val="24"/>
          <w:szCs w:val="24"/>
        </w:rPr>
        <w:t xml:space="preserve"> the creation of the NHS</w:t>
      </w:r>
      <w:r w:rsidR="009051FA" w:rsidRPr="003D54D9">
        <w:rPr>
          <w:sz w:val="24"/>
          <w:szCs w:val="24"/>
        </w:rPr>
        <w:t xml:space="preserve"> </w:t>
      </w:r>
      <w:r w:rsidR="003264DC">
        <w:rPr>
          <w:sz w:val="24"/>
          <w:szCs w:val="24"/>
        </w:rPr>
        <w:t xml:space="preserve">divided the </w:t>
      </w:r>
      <w:r w:rsidR="00BA1836" w:rsidRPr="003D54D9">
        <w:rPr>
          <w:sz w:val="24"/>
          <w:szCs w:val="24"/>
        </w:rPr>
        <w:t xml:space="preserve">responsibility for </w:t>
      </w:r>
      <w:r w:rsidR="001F2F44">
        <w:rPr>
          <w:sz w:val="24"/>
          <w:szCs w:val="24"/>
        </w:rPr>
        <w:t>health</w:t>
      </w:r>
      <w:r w:rsidR="001F2F44" w:rsidRPr="003D54D9">
        <w:rPr>
          <w:sz w:val="24"/>
          <w:szCs w:val="24"/>
        </w:rPr>
        <w:t xml:space="preserve"> </w:t>
      </w:r>
      <w:r w:rsidR="001A4377" w:rsidRPr="003D54D9">
        <w:rPr>
          <w:sz w:val="24"/>
          <w:szCs w:val="24"/>
        </w:rPr>
        <w:t xml:space="preserve">and other forms of care </w:t>
      </w:r>
      <w:r w:rsidR="003264DC">
        <w:rPr>
          <w:sz w:val="24"/>
          <w:szCs w:val="24"/>
        </w:rPr>
        <w:t xml:space="preserve">and </w:t>
      </w:r>
      <w:r w:rsidR="001A4377" w:rsidRPr="003D54D9">
        <w:rPr>
          <w:sz w:val="24"/>
          <w:szCs w:val="24"/>
        </w:rPr>
        <w:t xml:space="preserve">allocation of patients to appropriate care </w:t>
      </w:r>
      <w:r w:rsidR="00D30FBA" w:rsidRPr="003D54D9">
        <w:rPr>
          <w:sz w:val="24"/>
          <w:szCs w:val="24"/>
        </w:rPr>
        <w:t xml:space="preserve">setting </w:t>
      </w:r>
      <w:r w:rsidR="00242379" w:rsidRPr="003D54D9">
        <w:rPr>
          <w:sz w:val="24"/>
          <w:szCs w:val="24"/>
        </w:rPr>
        <w:t>began to increas</w:t>
      </w:r>
      <w:r w:rsidR="00725D89" w:rsidRPr="003D54D9">
        <w:rPr>
          <w:sz w:val="24"/>
          <w:szCs w:val="24"/>
        </w:rPr>
        <w:t>e</w:t>
      </w:r>
      <w:r w:rsidR="0051423B" w:rsidRPr="003D54D9">
        <w:rPr>
          <w:sz w:val="24"/>
          <w:szCs w:val="24"/>
        </w:rPr>
        <w:t xml:space="preserve"> in importance</w:t>
      </w:r>
      <w:r w:rsidR="003264DC">
        <w:rPr>
          <w:sz w:val="24"/>
          <w:szCs w:val="24"/>
        </w:rPr>
        <w:t>.</w:t>
      </w:r>
      <w:r w:rsidR="00FF04EE" w:rsidRPr="003D54D9">
        <w:rPr>
          <w:rStyle w:val="FootnoteReference"/>
          <w:sz w:val="24"/>
          <w:szCs w:val="24"/>
        </w:rPr>
        <w:footnoteReference w:id="1"/>
      </w:r>
      <w:r w:rsidR="001A4377" w:rsidRPr="003D54D9">
        <w:rPr>
          <w:sz w:val="24"/>
          <w:szCs w:val="24"/>
        </w:rPr>
        <w:t xml:space="preserve"> </w:t>
      </w:r>
    </w:p>
    <w:p w:rsidR="00957CE4" w:rsidRDefault="00957CE4" w:rsidP="00957CE4">
      <w:pPr>
        <w:spacing w:after="0" w:line="480" w:lineRule="auto"/>
        <w:jc w:val="both"/>
        <w:rPr>
          <w:sz w:val="24"/>
          <w:szCs w:val="24"/>
        </w:rPr>
      </w:pPr>
    </w:p>
    <w:p w:rsidR="001E7C91" w:rsidRDefault="003264DC" w:rsidP="00957CE4">
      <w:pPr>
        <w:spacing w:after="0" w:line="480" w:lineRule="auto"/>
        <w:jc w:val="both"/>
        <w:rPr>
          <w:sz w:val="24"/>
          <w:szCs w:val="24"/>
        </w:rPr>
      </w:pPr>
      <w:r>
        <w:rPr>
          <w:sz w:val="24"/>
          <w:szCs w:val="24"/>
        </w:rPr>
        <w:t xml:space="preserve">Despite subsequent changes in the </w:t>
      </w:r>
      <w:r w:rsidR="00D1517E" w:rsidRPr="003D54D9">
        <w:rPr>
          <w:sz w:val="24"/>
          <w:szCs w:val="24"/>
        </w:rPr>
        <w:t xml:space="preserve">provision </w:t>
      </w:r>
      <w:r>
        <w:rPr>
          <w:sz w:val="24"/>
          <w:szCs w:val="24"/>
        </w:rPr>
        <w:t xml:space="preserve">and organisation </w:t>
      </w:r>
      <w:r w:rsidR="00D1517E" w:rsidRPr="003D54D9">
        <w:rPr>
          <w:sz w:val="24"/>
          <w:szCs w:val="24"/>
        </w:rPr>
        <w:t>of</w:t>
      </w:r>
      <w:r w:rsidR="001A4377" w:rsidRPr="003D54D9">
        <w:rPr>
          <w:sz w:val="24"/>
          <w:szCs w:val="24"/>
        </w:rPr>
        <w:t xml:space="preserve"> </w:t>
      </w:r>
      <w:r w:rsidR="001F2F44">
        <w:rPr>
          <w:sz w:val="24"/>
          <w:szCs w:val="24"/>
        </w:rPr>
        <w:t>health</w:t>
      </w:r>
      <w:r w:rsidR="001F2F44" w:rsidRPr="003D54D9">
        <w:rPr>
          <w:sz w:val="24"/>
          <w:szCs w:val="24"/>
        </w:rPr>
        <w:t xml:space="preserve"> </w:t>
      </w:r>
      <w:r w:rsidR="001A4377" w:rsidRPr="003D54D9">
        <w:rPr>
          <w:sz w:val="24"/>
          <w:szCs w:val="24"/>
        </w:rPr>
        <w:t xml:space="preserve">and long-term care (LTC) </w:t>
      </w:r>
      <w:r>
        <w:rPr>
          <w:sz w:val="24"/>
          <w:szCs w:val="24"/>
        </w:rPr>
        <w:t>services,</w:t>
      </w:r>
      <w:r w:rsidR="00AD1033" w:rsidRPr="003D54D9">
        <w:rPr>
          <w:sz w:val="24"/>
          <w:szCs w:val="24"/>
        </w:rPr>
        <w:t xml:space="preserve"> including attempts to improve integration between the sectors (Glasby et al</w:t>
      </w:r>
      <w:r w:rsidR="00594365">
        <w:rPr>
          <w:sz w:val="24"/>
          <w:szCs w:val="24"/>
        </w:rPr>
        <w:t>.</w:t>
      </w:r>
      <w:r w:rsidR="00AD1033" w:rsidRPr="003D54D9">
        <w:rPr>
          <w:sz w:val="24"/>
          <w:szCs w:val="24"/>
        </w:rPr>
        <w:t xml:space="preserve"> 2011)</w:t>
      </w:r>
      <w:r>
        <w:rPr>
          <w:sz w:val="24"/>
          <w:szCs w:val="24"/>
        </w:rPr>
        <w:t>, the problem of delayed discharges persists.  As t</w:t>
      </w:r>
      <w:r w:rsidR="006874D3" w:rsidRPr="003D54D9">
        <w:rPr>
          <w:sz w:val="24"/>
          <w:szCs w:val="24"/>
        </w:rPr>
        <w:t>he King’s Fund reported</w:t>
      </w:r>
      <w:r>
        <w:rPr>
          <w:sz w:val="24"/>
          <w:szCs w:val="24"/>
        </w:rPr>
        <w:t>,</w:t>
      </w:r>
      <w:r w:rsidR="006874D3" w:rsidRPr="003D54D9">
        <w:rPr>
          <w:sz w:val="24"/>
          <w:szCs w:val="24"/>
        </w:rPr>
        <w:t xml:space="preserve"> delayed discharges remain an important concern among NHS managers (Appleby et al</w:t>
      </w:r>
      <w:r w:rsidR="00594365">
        <w:rPr>
          <w:sz w:val="24"/>
          <w:szCs w:val="24"/>
        </w:rPr>
        <w:t>.</w:t>
      </w:r>
      <w:r w:rsidR="006874D3" w:rsidRPr="003D54D9">
        <w:rPr>
          <w:sz w:val="24"/>
          <w:szCs w:val="24"/>
        </w:rPr>
        <w:t xml:space="preserve"> 2013)</w:t>
      </w:r>
      <w:r w:rsidR="006874D3">
        <w:rPr>
          <w:sz w:val="24"/>
          <w:szCs w:val="24"/>
        </w:rPr>
        <w:t xml:space="preserve">. </w:t>
      </w:r>
      <w:r w:rsidR="00242379" w:rsidRPr="003D54D9">
        <w:rPr>
          <w:sz w:val="24"/>
          <w:szCs w:val="24"/>
        </w:rPr>
        <w:t xml:space="preserve">A recent report of the House of Commons Health Committee pointed to delayed discharges as one of the reasons for </w:t>
      </w:r>
      <w:r>
        <w:rPr>
          <w:sz w:val="24"/>
          <w:szCs w:val="24"/>
        </w:rPr>
        <w:t xml:space="preserve">hospital </w:t>
      </w:r>
      <w:r w:rsidR="00242379" w:rsidRPr="003D54D9">
        <w:rPr>
          <w:sz w:val="24"/>
          <w:szCs w:val="24"/>
        </w:rPr>
        <w:t xml:space="preserve">accident and emergency </w:t>
      </w:r>
      <w:r w:rsidR="00725D89" w:rsidRPr="003D54D9">
        <w:rPr>
          <w:sz w:val="24"/>
          <w:szCs w:val="24"/>
        </w:rPr>
        <w:t>departments</w:t>
      </w:r>
      <w:r w:rsidR="00242379" w:rsidRPr="003D54D9">
        <w:rPr>
          <w:sz w:val="24"/>
          <w:szCs w:val="24"/>
        </w:rPr>
        <w:t xml:space="preserve"> </w:t>
      </w:r>
      <w:r w:rsidRPr="003D54D9">
        <w:rPr>
          <w:sz w:val="24"/>
          <w:szCs w:val="24"/>
        </w:rPr>
        <w:t xml:space="preserve">missing </w:t>
      </w:r>
      <w:r>
        <w:rPr>
          <w:sz w:val="24"/>
          <w:szCs w:val="24"/>
        </w:rPr>
        <w:t xml:space="preserve">their </w:t>
      </w:r>
      <w:r w:rsidRPr="003D54D9">
        <w:rPr>
          <w:sz w:val="24"/>
          <w:szCs w:val="24"/>
        </w:rPr>
        <w:t xml:space="preserve">access targets </w:t>
      </w:r>
      <w:r w:rsidR="00242379" w:rsidRPr="003D54D9">
        <w:rPr>
          <w:sz w:val="24"/>
          <w:szCs w:val="24"/>
        </w:rPr>
        <w:t xml:space="preserve">(House of Commons Health Committee 2013). </w:t>
      </w:r>
      <w:r w:rsidR="00924D1A">
        <w:rPr>
          <w:sz w:val="24"/>
          <w:szCs w:val="24"/>
        </w:rPr>
        <w:t xml:space="preserve"> </w:t>
      </w:r>
    </w:p>
    <w:p w:rsidR="00957CE4" w:rsidRDefault="00957CE4" w:rsidP="00957CE4">
      <w:pPr>
        <w:spacing w:after="0" w:line="480" w:lineRule="auto"/>
        <w:jc w:val="both"/>
        <w:rPr>
          <w:sz w:val="24"/>
          <w:szCs w:val="24"/>
        </w:rPr>
      </w:pPr>
    </w:p>
    <w:p w:rsidR="00957CE4" w:rsidRDefault="00864896" w:rsidP="00957CE4">
      <w:pPr>
        <w:spacing w:after="0" w:line="480" w:lineRule="auto"/>
        <w:jc w:val="both"/>
        <w:rPr>
          <w:sz w:val="24"/>
          <w:szCs w:val="24"/>
        </w:rPr>
      </w:pPr>
      <w:r>
        <w:rPr>
          <w:sz w:val="24"/>
          <w:szCs w:val="24"/>
        </w:rPr>
        <w:t xml:space="preserve">Concern about delays is also not limited to the </w:t>
      </w:r>
      <w:r w:rsidR="00293F36">
        <w:rPr>
          <w:sz w:val="24"/>
          <w:szCs w:val="24"/>
        </w:rPr>
        <w:t>U.K</w:t>
      </w:r>
      <w:r>
        <w:rPr>
          <w:sz w:val="24"/>
          <w:szCs w:val="24"/>
        </w:rPr>
        <w:t xml:space="preserve">. </w:t>
      </w:r>
      <w:r w:rsidR="003264DC">
        <w:rPr>
          <w:sz w:val="24"/>
          <w:szCs w:val="24"/>
        </w:rPr>
        <w:t xml:space="preserve"> In many </w:t>
      </w:r>
      <w:r w:rsidR="00B60C54">
        <w:rPr>
          <w:sz w:val="24"/>
          <w:szCs w:val="24"/>
        </w:rPr>
        <w:t xml:space="preserve">member countries of the </w:t>
      </w:r>
      <w:r w:rsidR="00BF378D">
        <w:rPr>
          <w:sz w:val="24"/>
          <w:szCs w:val="24"/>
        </w:rPr>
        <w:t>O</w:t>
      </w:r>
      <w:r w:rsidR="00B60C54">
        <w:rPr>
          <w:sz w:val="24"/>
          <w:szCs w:val="24"/>
        </w:rPr>
        <w:t xml:space="preserve">rganisation for </w:t>
      </w:r>
      <w:r w:rsidR="00BF378D">
        <w:rPr>
          <w:sz w:val="24"/>
          <w:szCs w:val="24"/>
        </w:rPr>
        <w:t>Economic Co</w:t>
      </w:r>
      <w:r w:rsidR="00B60C54">
        <w:rPr>
          <w:sz w:val="24"/>
          <w:szCs w:val="24"/>
        </w:rPr>
        <w:t xml:space="preserve">-operation and </w:t>
      </w:r>
      <w:r w:rsidR="00BF378D">
        <w:rPr>
          <w:sz w:val="24"/>
          <w:szCs w:val="24"/>
        </w:rPr>
        <w:t xml:space="preserve">Development </w:t>
      </w:r>
      <w:r w:rsidR="00B60C54">
        <w:rPr>
          <w:sz w:val="24"/>
          <w:szCs w:val="24"/>
        </w:rPr>
        <w:t xml:space="preserve">(OECD), hospital and long-term care provision is frequently divided between different sets of institutions. The funding and </w:t>
      </w:r>
      <w:r w:rsidR="00B60C54">
        <w:rPr>
          <w:sz w:val="24"/>
          <w:szCs w:val="24"/>
        </w:rPr>
        <w:lastRenderedPageBreak/>
        <w:t xml:space="preserve">organisation of these two </w:t>
      </w:r>
      <w:r w:rsidR="00BF378D">
        <w:rPr>
          <w:sz w:val="24"/>
          <w:szCs w:val="24"/>
        </w:rPr>
        <w:t>sectors</w:t>
      </w:r>
      <w:r w:rsidR="00B60C54">
        <w:rPr>
          <w:sz w:val="24"/>
          <w:szCs w:val="24"/>
        </w:rPr>
        <w:t xml:space="preserve"> often differ</w:t>
      </w:r>
      <w:r w:rsidR="00BF378D">
        <w:rPr>
          <w:sz w:val="24"/>
          <w:szCs w:val="24"/>
        </w:rPr>
        <w:t>,</w:t>
      </w:r>
      <w:r w:rsidR="00B60C54">
        <w:rPr>
          <w:sz w:val="24"/>
          <w:szCs w:val="24"/>
        </w:rPr>
        <w:t xml:space="preserve"> with each acting independently of the other. </w:t>
      </w:r>
      <w:r w:rsidR="00BF378D">
        <w:rPr>
          <w:sz w:val="24"/>
          <w:szCs w:val="24"/>
        </w:rPr>
        <w:t xml:space="preserve">The separation of responsibilities </w:t>
      </w:r>
      <w:r w:rsidR="00B60C54">
        <w:rPr>
          <w:sz w:val="24"/>
          <w:szCs w:val="24"/>
        </w:rPr>
        <w:t xml:space="preserve">can lead to delays </w:t>
      </w:r>
      <w:r w:rsidR="00BF378D">
        <w:rPr>
          <w:sz w:val="24"/>
          <w:szCs w:val="24"/>
        </w:rPr>
        <w:t>due to lack of</w:t>
      </w:r>
      <w:r w:rsidR="00B60C54">
        <w:rPr>
          <w:sz w:val="24"/>
          <w:szCs w:val="24"/>
        </w:rPr>
        <w:t xml:space="preserve"> communication </w:t>
      </w:r>
      <w:r w:rsidR="00BF378D">
        <w:rPr>
          <w:sz w:val="24"/>
          <w:szCs w:val="24"/>
        </w:rPr>
        <w:t>and coordination. The supply</w:t>
      </w:r>
      <w:r w:rsidR="00293F36">
        <w:rPr>
          <w:sz w:val="24"/>
          <w:szCs w:val="24"/>
        </w:rPr>
        <w:t xml:space="preserve"> </w:t>
      </w:r>
      <w:r w:rsidR="00BF378D">
        <w:rPr>
          <w:sz w:val="24"/>
          <w:szCs w:val="24"/>
        </w:rPr>
        <w:t xml:space="preserve">of </w:t>
      </w:r>
      <w:r w:rsidR="00293F36">
        <w:rPr>
          <w:sz w:val="24"/>
          <w:szCs w:val="24"/>
        </w:rPr>
        <w:t>long-term care is not controlled by</w:t>
      </w:r>
      <w:r w:rsidR="00BF378D">
        <w:rPr>
          <w:sz w:val="24"/>
          <w:szCs w:val="24"/>
        </w:rPr>
        <w:t xml:space="preserve"> the</w:t>
      </w:r>
      <w:r w:rsidR="00293F36">
        <w:rPr>
          <w:sz w:val="24"/>
          <w:szCs w:val="24"/>
        </w:rPr>
        <w:t xml:space="preserve"> hospital</w:t>
      </w:r>
      <w:r w:rsidR="00BF378D">
        <w:rPr>
          <w:sz w:val="24"/>
          <w:szCs w:val="24"/>
        </w:rPr>
        <w:t>s</w:t>
      </w:r>
      <w:r w:rsidR="00293F36">
        <w:rPr>
          <w:sz w:val="24"/>
          <w:szCs w:val="24"/>
        </w:rPr>
        <w:t xml:space="preserve">. </w:t>
      </w:r>
      <w:r w:rsidR="00BF378D">
        <w:rPr>
          <w:sz w:val="24"/>
          <w:szCs w:val="24"/>
        </w:rPr>
        <w:t>But</w:t>
      </w:r>
      <w:r w:rsidR="00293F36">
        <w:rPr>
          <w:sz w:val="24"/>
          <w:szCs w:val="24"/>
        </w:rPr>
        <w:t xml:space="preserve"> if a care home bed is not available when a hospital patient</w:t>
      </w:r>
      <w:r w:rsidR="003264DC">
        <w:rPr>
          <w:sz w:val="24"/>
          <w:szCs w:val="24"/>
        </w:rPr>
        <w:t xml:space="preserve"> is ready to be transferred, the</w:t>
      </w:r>
      <w:r w:rsidR="00293F36">
        <w:rPr>
          <w:sz w:val="24"/>
          <w:szCs w:val="24"/>
        </w:rPr>
        <w:t xml:space="preserve"> patient is forced to remain in hospital until a bed becomes free or they are sufficiently recovered to go home. </w:t>
      </w:r>
      <w:r w:rsidR="000306F5">
        <w:rPr>
          <w:sz w:val="24"/>
          <w:szCs w:val="24"/>
        </w:rPr>
        <w:t xml:space="preserve">Delays may be the result of poor </w:t>
      </w:r>
      <w:r w:rsidR="00E7173F">
        <w:rPr>
          <w:sz w:val="24"/>
          <w:szCs w:val="24"/>
        </w:rPr>
        <w:t xml:space="preserve">hospital </w:t>
      </w:r>
      <w:r w:rsidR="000306F5">
        <w:rPr>
          <w:sz w:val="24"/>
          <w:szCs w:val="24"/>
        </w:rPr>
        <w:t>management and protocols</w:t>
      </w:r>
      <w:r w:rsidR="00E7173F">
        <w:rPr>
          <w:sz w:val="24"/>
          <w:szCs w:val="24"/>
        </w:rPr>
        <w:t>.</w:t>
      </w:r>
      <w:r w:rsidR="000306F5">
        <w:rPr>
          <w:sz w:val="24"/>
          <w:szCs w:val="24"/>
        </w:rPr>
        <w:t xml:space="preserve">  </w:t>
      </w:r>
      <w:r w:rsidR="00750658">
        <w:rPr>
          <w:sz w:val="24"/>
          <w:szCs w:val="24"/>
        </w:rPr>
        <w:t xml:space="preserve">For example, </w:t>
      </w:r>
      <w:r w:rsidR="00E7173F">
        <w:rPr>
          <w:sz w:val="24"/>
          <w:szCs w:val="24"/>
        </w:rPr>
        <w:t xml:space="preserve">a patient may have a delayed discharge because </w:t>
      </w:r>
      <w:r w:rsidR="00750658">
        <w:rPr>
          <w:sz w:val="24"/>
          <w:szCs w:val="24"/>
        </w:rPr>
        <w:t xml:space="preserve">a consultant (senior doctor) is not on duty </w:t>
      </w:r>
      <w:r w:rsidR="00E7173F">
        <w:rPr>
          <w:sz w:val="24"/>
          <w:szCs w:val="24"/>
        </w:rPr>
        <w:t xml:space="preserve">to authorise the discharge or because </w:t>
      </w:r>
      <w:r w:rsidR="001D1C18">
        <w:rPr>
          <w:sz w:val="24"/>
          <w:szCs w:val="24"/>
        </w:rPr>
        <w:t>they are waiting for a transfer to non-acute NHS community care.</w:t>
      </w:r>
      <w:r w:rsidR="001D1C18" w:rsidDel="001D1C18">
        <w:rPr>
          <w:sz w:val="24"/>
          <w:szCs w:val="24"/>
        </w:rPr>
        <w:t xml:space="preserve"> </w:t>
      </w:r>
    </w:p>
    <w:p w:rsidR="001D1C18" w:rsidRDefault="001D1C18" w:rsidP="00957CE4">
      <w:pPr>
        <w:spacing w:after="0" w:line="480" w:lineRule="auto"/>
        <w:jc w:val="both"/>
        <w:rPr>
          <w:sz w:val="24"/>
          <w:szCs w:val="24"/>
        </w:rPr>
      </w:pPr>
    </w:p>
    <w:p w:rsidR="00AC6932" w:rsidRDefault="003264DC" w:rsidP="00957CE4">
      <w:pPr>
        <w:spacing w:after="0" w:line="480" w:lineRule="auto"/>
        <w:jc w:val="both"/>
        <w:rPr>
          <w:sz w:val="24"/>
          <w:szCs w:val="24"/>
        </w:rPr>
      </w:pPr>
      <w:r>
        <w:rPr>
          <w:sz w:val="24"/>
          <w:szCs w:val="24"/>
        </w:rPr>
        <w:t>A</w:t>
      </w:r>
      <w:r w:rsidR="00AC6932" w:rsidRPr="003D54D9">
        <w:rPr>
          <w:sz w:val="24"/>
          <w:szCs w:val="24"/>
        </w:rPr>
        <w:t xml:space="preserve"> growing</w:t>
      </w:r>
      <w:r w:rsidR="00AC6932">
        <w:rPr>
          <w:sz w:val="24"/>
          <w:szCs w:val="24"/>
        </w:rPr>
        <w:t xml:space="preserve"> elderly population, measured both </w:t>
      </w:r>
      <w:r>
        <w:rPr>
          <w:sz w:val="24"/>
          <w:szCs w:val="24"/>
        </w:rPr>
        <w:t>absolutely</w:t>
      </w:r>
      <w:r w:rsidR="001620B3">
        <w:rPr>
          <w:sz w:val="24"/>
          <w:szCs w:val="24"/>
        </w:rPr>
        <w:t xml:space="preserve"> </w:t>
      </w:r>
      <w:r w:rsidR="00AC6932">
        <w:rPr>
          <w:sz w:val="24"/>
          <w:szCs w:val="24"/>
        </w:rPr>
        <w:t xml:space="preserve">and as </w:t>
      </w:r>
      <w:r w:rsidR="00293F36">
        <w:rPr>
          <w:sz w:val="24"/>
          <w:szCs w:val="24"/>
        </w:rPr>
        <w:t xml:space="preserve">a </w:t>
      </w:r>
      <w:r w:rsidR="00AC6932">
        <w:rPr>
          <w:sz w:val="24"/>
          <w:szCs w:val="24"/>
        </w:rPr>
        <w:t>proportion of the</w:t>
      </w:r>
      <w:r w:rsidR="001620B3">
        <w:rPr>
          <w:sz w:val="24"/>
          <w:szCs w:val="24"/>
        </w:rPr>
        <w:t xml:space="preserve"> total</w:t>
      </w:r>
      <w:r w:rsidR="00AC6932">
        <w:rPr>
          <w:sz w:val="24"/>
          <w:szCs w:val="24"/>
        </w:rPr>
        <w:t xml:space="preserve"> population</w:t>
      </w:r>
      <w:r w:rsidR="00AC6932" w:rsidRPr="003D54D9">
        <w:rPr>
          <w:sz w:val="24"/>
          <w:szCs w:val="24"/>
        </w:rPr>
        <w:t xml:space="preserve"> (European Commission Economic Policy Committee 2009)</w:t>
      </w:r>
      <w:r w:rsidR="001E7C91">
        <w:rPr>
          <w:sz w:val="24"/>
          <w:szCs w:val="24"/>
        </w:rPr>
        <w:t>,</w:t>
      </w:r>
      <w:r>
        <w:rPr>
          <w:sz w:val="24"/>
          <w:szCs w:val="24"/>
        </w:rPr>
        <w:t xml:space="preserve"> suggests that the problem is likely to become worse</w:t>
      </w:r>
      <w:r w:rsidR="00957CE4">
        <w:rPr>
          <w:sz w:val="24"/>
          <w:szCs w:val="24"/>
        </w:rPr>
        <w:t xml:space="preserve"> because </w:t>
      </w:r>
      <w:r w:rsidR="00AC6932">
        <w:rPr>
          <w:sz w:val="24"/>
          <w:szCs w:val="24"/>
        </w:rPr>
        <w:t xml:space="preserve">use of health </w:t>
      </w:r>
      <w:r w:rsidR="00AC6932" w:rsidRPr="003D54D9">
        <w:rPr>
          <w:sz w:val="24"/>
          <w:szCs w:val="24"/>
        </w:rPr>
        <w:t xml:space="preserve">and LTC </w:t>
      </w:r>
      <w:r w:rsidR="00AC6932">
        <w:rPr>
          <w:sz w:val="24"/>
          <w:szCs w:val="24"/>
        </w:rPr>
        <w:t xml:space="preserve">services </w:t>
      </w:r>
      <w:r w:rsidR="00AC6932" w:rsidRPr="00FB5834">
        <w:rPr>
          <w:sz w:val="24"/>
          <w:szCs w:val="24"/>
        </w:rPr>
        <w:t xml:space="preserve">is concentrated among the elderly </w:t>
      </w:r>
      <w:r w:rsidR="00AC6932" w:rsidRPr="003D54D9">
        <w:rPr>
          <w:sz w:val="24"/>
          <w:szCs w:val="24"/>
        </w:rPr>
        <w:t>(de Maijer et al</w:t>
      </w:r>
      <w:r w:rsidR="00594365">
        <w:rPr>
          <w:sz w:val="24"/>
          <w:szCs w:val="24"/>
        </w:rPr>
        <w:t>.</w:t>
      </w:r>
      <w:r w:rsidR="00AC6932" w:rsidRPr="003D54D9">
        <w:rPr>
          <w:sz w:val="24"/>
          <w:szCs w:val="24"/>
        </w:rPr>
        <w:t xml:space="preserve"> 2011)</w:t>
      </w:r>
      <w:r w:rsidR="00AC6932">
        <w:rPr>
          <w:sz w:val="24"/>
          <w:szCs w:val="24"/>
        </w:rPr>
        <w:t xml:space="preserve">. </w:t>
      </w:r>
      <w:r w:rsidR="00AC6932" w:rsidRPr="003D54D9">
        <w:rPr>
          <w:sz w:val="24"/>
          <w:szCs w:val="24"/>
        </w:rPr>
        <w:t>Bardsley et al</w:t>
      </w:r>
      <w:r w:rsidR="00594365">
        <w:rPr>
          <w:sz w:val="24"/>
          <w:szCs w:val="24"/>
        </w:rPr>
        <w:t>.</w:t>
      </w:r>
      <w:r w:rsidR="00AC6932" w:rsidRPr="003D54D9">
        <w:rPr>
          <w:sz w:val="24"/>
          <w:szCs w:val="24"/>
        </w:rPr>
        <w:t xml:space="preserve"> (2012) found</w:t>
      </w:r>
      <w:r w:rsidR="00AC6932">
        <w:rPr>
          <w:sz w:val="24"/>
          <w:szCs w:val="24"/>
        </w:rPr>
        <w:t xml:space="preserve"> that</w:t>
      </w:r>
      <w:r w:rsidR="00AC6932" w:rsidRPr="003D54D9">
        <w:rPr>
          <w:sz w:val="24"/>
          <w:szCs w:val="24"/>
        </w:rPr>
        <w:t xml:space="preserve"> 10% of people aged over 75 in 2005/6 used both hospital and LTC in the same year. </w:t>
      </w:r>
      <w:r w:rsidR="00957CE4">
        <w:rPr>
          <w:sz w:val="24"/>
          <w:szCs w:val="24"/>
        </w:rPr>
        <w:t xml:space="preserve"> </w:t>
      </w:r>
      <w:r w:rsidR="00AC6932" w:rsidRPr="003D54D9">
        <w:rPr>
          <w:sz w:val="24"/>
          <w:szCs w:val="24"/>
        </w:rPr>
        <w:t>This</w:t>
      </w:r>
      <w:r w:rsidR="00AC6932">
        <w:rPr>
          <w:sz w:val="24"/>
          <w:szCs w:val="24"/>
        </w:rPr>
        <w:t xml:space="preserve"> demand pressure</w:t>
      </w:r>
      <w:r w:rsidR="00AC6932" w:rsidRPr="003D54D9">
        <w:rPr>
          <w:sz w:val="24"/>
          <w:szCs w:val="24"/>
        </w:rPr>
        <w:t xml:space="preserve"> increases the importance of allocating patients to the </w:t>
      </w:r>
      <w:r w:rsidR="00957CE4">
        <w:rPr>
          <w:sz w:val="24"/>
          <w:szCs w:val="24"/>
        </w:rPr>
        <w:t xml:space="preserve">appropriate </w:t>
      </w:r>
      <w:r w:rsidR="00AC6932" w:rsidRPr="003D54D9">
        <w:rPr>
          <w:sz w:val="24"/>
          <w:szCs w:val="24"/>
        </w:rPr>
        <w:t>care setting</w:t>
      </w:r>
      <w:r w:rsidR="00202044">
        <w:rPr>
          <w:sz w:val="24"/>
          <w:szCs w:val="24"/>
        </w:rPr>
        <w:t xml:space="preserve"> </w:t>
      </w:r>
      <w:r w:rsidR="00AC6932" w:rsidRPr="00752965">
        <w:rPr>
          <w:sz w:val="24"/>
          <w:szCs w:val="24"/>
        </w:rPr>
        <w:t>(see Kuhn and Nusch</w:t>
      </w:r>
      <w:r w:rsidR="00AC6932">
        <w:rPr>
          <w:sz w:val="24"/>
          <w:szCs w:val="24"/>
        </w:rPr>
        <w:t>e</w:t>
      </w:r>
      <w:r w:rsidR="00AC6932" w:rsidRPr="003D54D9">
        <w:rPr>
          <w:sz w:val="24"/>
          <w:szCs w:val="24"/>
        </w:rPr>
        <w:t xml:space="preserve">ler 2011 </w:t>
      </w:r>
      <w:r w:rsidR="00AC6932">
        <w:rPr>
          <w:sz w:val="24"/>
          <w:szCs w:val="24"/>
        </w:rPr>
        <w:t>f</w:t>
      </w:r>
      <w:r w:rsidR="00AC6932" w:rsidRPr="003D54D9">
        <w:rPr>
          <w:sz w:val="24"/>
          <w:szCs w:val="24"/>
        </w:rPr>
        <w:t xml:space="preserve">or a theoretical analysis). </w:t>
      </w:r>
    </w:p>
    <w:p w:rsidR="00957CE4" w:rsidRDefault="00957CE4" w:rsidP="00957CE4">
      <w:pPr>
        <w:spacing w:after="0" w:line="480" w:lineRule="auto"/>
        <w:jc w:val="both"/>
        <w:rPr>
          <w:sz w:val="24"/>
          <w:szCs w:val="24"/>
        </w:rPr>
      </w:pPr>
    </w:p>
    <w:p w:rsidR="00957CE4" w:rsidRDefault="00D22E68" w:rsidP="00957CE4">
      <w:pPr>
        <w:spacing w:after="0" w:line="480" w:lineRule="auto"/>
        <w:jc w:val="both"/>
        <w:rPr>
          <w:sz w:val="24"/>
          <w:szCs w:val="24"/>
        </w:rPr>
      </w:pPr>
      <w:r w:rsidRPr="003D54D9">
        <w:rPr>
          <w:sz w:val="24"/>
          <w:szCs w:val="24"/>
        </w:rPr>
        <w:t xml:space="preserve">The </w:t>
      </w:r>
      <w:r w:rsidR="00202044">
        <w:rPr>
          <w:sz w:val="24"/>
          <w:szCs w:val="24"/>
        </w:rPr>
        <w:t>cost</w:t>
      </w:r>
      <w:r w:rsidR="00202044" w:rsidRPr="003D54D9">
        <w:rPr>
          <w:sz w:val="24"/>
          <w:szCs w:val="24"/>
        </w:rPr>
        <w:t xml:space="preserve"> </w:t>
      </w:r>
      <w:r w:rsidRPr="003D54D9">
        <w:rPr>
          <w:sz w:val="24"/>
          <w:szCs w:val="24"/>
        </w:rPr>
        <w:t>of</w:t>
      </w:r>
      <w:r w:rsidR="008C0373">
        <w:rPr>
          <w:sz w:val="24"/>
          <w:szCs w:val="24"/>
        </w:rPr>
        <w:t xml:space="preserve"> </w:t>
      </w:r>
      <w:r w:rsidR="000317D0" w:rsidRPr="003D54D9">
        <w:rPr>
          <w:sz w:val="24"/>
          <w:szCs w:val="24"/>
        </w:rPr>
        <w:t>delays in discharging patients from hospital</w:t>
      </w:r>
      <w:r w:rsidRPr="003D54D9">
        <w:rPr>
          <w:sz w:val="24"/>
          <w:szCs w:val="24"/>
        </w:rPr>
        <w:t xml:space="preserve"> is</w:t>
      </w:r>
      <w:r w:rsidR="001F2F44">
        <w:rPr>
          <w:sz w:val="24"/>
          <w:szCs w:val="24"/>
        </w:rPr>
        <w:t xml:space="preserve"> </w:t>
      </w:r>
      <w:r w:rsidRPr="003D54D9">
        <w:rPr>
          <w:sz w:val="24"/>
          <w:szCs w:val="24"/>
        </w:rPr>
        <w:t>financial</w:t>
      </w:r>
      <w:r w:rsidR="003830CC">
        <w:rPr>
          <w:sz w:val="24"/>
          <w:szCs w:val="24"/>
        </w:rPr>
        <w:t xml:space="preserve"> and clinical</w:t>
      </w:r>
      <w:r w:rsidRPr="003D54D9">
        <w:rPr>
          <w:sz w:val="24"/>
          <w:szCs w:val="24"/>
        </w:rPr>
        <w:t xml:space="preserve">. </w:t>
      </w:r>
      <w:r w:rsidR="003830CC">
        <w:rPr>
          <w:sz w:val="24"/>
          <w:szCs w:val="24"/>
        </w:rPr>
        <w:t xml:space="preserve">Since </w:t>
      </w:r>
      <w:r w:rsidR="001F2F44">
        <w:rPr>
          <w:sz w:val="24"/>
          <w:szCs w:val="24"/>
        </w:rPr>
        <w:t xml:space="preserve">hospital </w:t>
      </w:r>
      <w:r w:rsidRPr="003D54D9">
        <w:rPr>
          <w:sz w:val="24"/>
          <w:szCs w:val="24"/>
        </w:rPr>
        <w:t xml:space="preserve">care is more expensive </w:t>
      </w:r>
      <w:r w:rsidR="00202044">
        <w:rPr>
          <w:sz w:val="24"/>
          <w:szCs w:val="24"/>
        </w:rPr>
        <w:t>than</w:t>
      </w:r>
      <w:r w:rsidR="00254C70">
        <w:rPr>
          <w:sz w:val="24"/>
          <w:szCs w:val="24"/>
        </w:rPr>
        <w:t xml:space="preserve"> </w:t>
      </w:r>
      <w:r w:rsidR="008C0373">
        <w:rPr>
          <w:sz w:val="24"/>
          <w:szCs w:val="24"/>
        </w:rPr>
        <w:t xml:space="preserve">care in </w:t>
      </w:r>
      <w:r w:rsidRPr="003D54D9">
        <w:rPr>
          <w:sz w:val="24"/>
          <w:szCs w:val="24"/>
        </w:rPr>
        <w:t>other sett</w:t>
      </w:r>
      <w:r w:rsidR="00950C75" w:rsidRPr="003D54D9">
        <w:rPr>
          <w:sz w:val="24"/>
          <w:szCs w:val="24"/>
        </w:rPr>
        <w:t>ings</w:t>
      </w:r>
      <w:r w:rsidR="003830CC">
        <w:rPr>
          <w:sz w:val="24"/>
          <w:szCs w:val="24"/>
        </w:rPr>
        <w:t xml:space="preserve">, </w:t>
      </w:r>
      <w:r w:rsidR="00950C75" w:rsidRPr="003D54D9">
        <w:rPr>
          <w:sz w:val="24"/>
          <w:szCs w:val="24"/>
        </w:rPr>
        <w:t>a patient who</w:t>
      </w:r>
      <w:r w:rsidRPr="003D54D9">
        <w:rPr>
          <w:sz w:val="24"/>
          <w:szCs w:val="24"/>
        </w:rPr>
        <w:t xml:space="preserve"> can be appropriately cared for in another setting, such as a </w:t>
      </w:r>
      <w:r w:rsidR="00950C75" w:rsidRPr="003D54D9">
        <w:rPr>
          <w:sz w:val="24"/>
          <w:szCs w:val="24"/>
        </w:rPr>
        <w:t xml:space="preserve">LTC </w:t>
      </w:r>
      <w:r w:rsidRPr="003D54D9">
        <w:rPr>
          <w:sz w:val="24"/>
          <w:szCs w:val="24"/>
        </w:rPr>
        <w:t>institution (residential home or nursing home) or with support in their own home (homecare)</w:t>
      </w:r>
      <w:r w:rsidR="00950C75" w:rsidRPr="003D54D9">
        <w:rPr>
          <w:sz w:val="24"/>
          <w:szCs w:val="24"/>
        </w:rPr>
        <w:t xml:space="preserve"> </w:t>
      </w:r>
      <w:r w:rsidR="00254C70">
        <w:rPr>
          <w:sz w:val="24"/>
          <w:szCs w:val="24"/>
        </w:rPr>
        <w:t>will be less costly to treat</w:t>
      </w:r>
      <w:r w:rsidR="003830CC">
        <w:rPr>
          <w:sz w:val="24"/>
          <w:szCs w:val="24"/>
        </w:rPr>
        <w:t xml:space="preserve"> if discharged from hospital</w:t>
      </w:r>
      <w:r w:rsidRPr="003D54D9">
        <w:rPr>
          <w:sz w:val="24"/>
          <w:szCs w:val="24"/>
        </w:rPr>
        <w:t>.</w:t>
      </w:r>
      <w:r w:rsidR="008C0373">
        <w:rPr>
          <w:sz w:val="24"/>
          <w:szCs w:val="24"/>
        </w:rPr>
        <w:t xml:space="preserve"> </w:t>
      </w:r>
      <w:r w:rsidR="003830CC">
        <w:rPr>
          <w:sz w:val="24"/>
          <w:szCs w:val="24"/>
        </w:rPr>
        <w:t xml:space="preserve"> </w:t>
      </w:r>
      <w:r w:rsidRPr="003D54D9">
        <w:rPr>
          <w:sz w:val="24"/>
          <w:szCs w:val="24"/>
        </w:rPr>
        <w:t>The</w:t>
      </w:r>
      <w:r w:rsidR="003830CC">
        <w:rPr>
          <w:sz w:val="24"/>
          <w:szCs w:val="24"/>
        </w:rPr>
        <w:t>re</w:t>
      </w:r>
      <w:r w:rsidR="008935F5">
        <w:rPr>
          <w:sz w:val="24"/>
          <w:szCs w:val="24"/>
        </w:rPr>
        <w:t xml:space="preserve"> are also</w:t>
      </w:r>
      <w:r w:rsidRPr="003D54D9">
        <w:rPr>
          <w:sz w:val="24"/>
          <w:szCs w:val="24"/>
        </w:rPr>
        <w:t xml:space="preserve"> </w:t>
      </w:r>
      <w:r w:rsidR="007153DF">
        <w:rPr>
          <w:sz w:val="24"/>
          <w:szCs w:val="24"/>
        </w:rPr>
        <w:t xml:space="preserve">some greater </w:t>
      </w:r>
      <w:r w:rsidR="003830CC">
        <w:rPr>
          <w:sz w:val="24"/>
          <w:szCs w:val="24"/>
        </w:rPr>
        <w:t xml:space="preserve">clinical risks </w:t>
      </w:r>
      <w:r w:rsidRPr="003D54D9">
        <w:rPr>
          <w:sz w:val="24"/>
          <w:szCs w:val="24"/>
        </w:rPr>
        <w:t xml:space="preserve">to the patient of being in </w:t>
      </w:r>
      <w:r w:rsidRPr="003D54D9">
        <w:rPr>
          <w:sz w:val="24"/>
          <w:szCs w:val="24"/>
        </w:rPr>
        <w:lastRenderedPageBreak/>
        <w:t>hospital</w:t>
      </w:r>
      <w:r w:rsidR="003830CC">
        <w:rPr>
          <w:sz w:val="24"/>
          <w:szCs w:val="24"/>
        </w:rPr>
        <w:t xml:space="preserve"> when medically ready to be discharged including hospital acquired infection and pressure sores</w:t>
      </w:r>
      <w:r w:rsidR="007153DF">
        <w:rPr>
          <w:sz w:val="24"/>
          <w:szCs w:val="24"/>
        </w:rPr>
        <w:t xml:space="preserve"> (Health Foundation 2013)</w:t>
      </w:r>
      <w:r w:rsidR="003830CC">
        <w:rPr>
          <w:sz w:val="24"/>
          <w:szCs w:val="24"/>
        </w:rPr>
        <w:t xml:space="preserve">. </w:t>
      </w:r>
    </w:p>
    <w:p w:rsidR="007153DF" w:rsidRDefault="007153DF" w:rsidP="00957CE4">
      <w:pPr>
        <w:spacing w:after="0" w:line="480" w:lineRule="auto"/>
        <w:jc w:val="both"/>
        <w:rPr>
          <w:sz w:val="24"/>
          <w:szCs w:val="24"/>
        </w:rPr>
      </w:pPr>
    </w:p>
    <w:p w:rsidR="001D163A" w:rsidRDefault="003830CC" w:rsidP="00957CE4">
      <w:pPr>
        <w:spacing w:after="0" w:line="480" w:lineRule="auto"/>
        <w:jc w:val="both"/>
        <w:rPr>
          <w:sz w:val="24"/>
          <w:szCs w:val="24"/>
        </w:rPr>
      </w:pPr>
      <w:r>
        <w:rPr>
          <w:sz w:val="24"/>
          <w:szCs w:val="24"/>
        </w:rPr>
        <w:t xml:space="preserve">Previous </w:t>
      </w:r>
      <w:r w:rsidR="00770FBC">
        <w:rPr>
          <w:sz w:val="24"/>
          <w:szCs w:val="24"/>
        </w:rPr>
        <w:t xml:space="preserve">research suggests </w:t>
      </w:r>
      <w:r>
        <w:rPr>
          <w:sz w:val="24"/>
          <w:szCs w:val="24"/>
        </w:rPr>
        <w:t xml:space="preserve">that </w:t>
      </w:r>
      <w:r w:rsidR="00770FBC">
        <w:rPr>
          <w:sz w:val="24"/>
          <w:szCs w:val="24"/>
        </w:rPr>
        <w:t>p</w:t>
      </w:r>
      <w:r w:rsidR="00DF2F31">
        <w:rPr>
          <w:sz w:val="24"/>
          <w:szCs w:val="24"/>
        </w:rPr>
        <w:t>rovision of LTC affects the extent of bed blocking (Fernandez and</w:t>
      </w:r>
      <w:r w:rsidR="008125B9">
        <w:rPr>
          <w:sz w:val="24"/>
          <w:szCs w:val="24"/>
        </w:rPr>
        <w:t xml:space="preserve"> F</w:t>
      </w:r>
      <w:r w:rsidR="00864896">
        <w:rPr>
          <w:sz w:val="24"/>
          <w:szCs w:val="24"/>
        </w:rPr>
        <w:t>o</w:t>
      </w:r>
      <w:r w:rsidR="008125B9">
        <w:rPr>
          <w:sz w:val="24"/>
          <w:szCs w:val="24"/>
        </w:rPr>
        <w:t>rder 2008, Gaughan et al</w:t>
      </w:r>
      <w:r w:rsidR="00594365">
        <w:rPr>
          <w:sz w:val="24"/>
          <w:szCs w:val="24"/>
        </w:rPr>
        <w:t>.</w:t>
      </w:r>
      <w:r w:rsidR="008125B9">
        <w:rPr>
          <w:sz w:val="24"/>
          <w:szCs w:val="24"/>
        </w:rPr>
        <w:t xml:space="preserve"> 2015</w:t>
      </w:r>
      <w:r w:rsidR="00DF2F31">
        <w:rPr>
          <w:sz w:val="24"/>
          <w:szCs w:val="24"/>
        </w:rPr>
        <w:t>)</w:t>
      </w:r>
      <w:r w:rsidR="00770FBC">
        <w:rPr>
          <w:sz w:val="24"/>
          <w:szCs w:val="24"/>
        </w:rPr>
        <w:t xml:space="preserve">. </w:t>
      </w:r>
      <w:r>
        <w:rPr>
          <w:sz w:val="24"/>
          <w:szCs w:val="24"/>
        </w:rPr>
        <w:t xml:space="preserve"> But h</w:t>
      </w:r>
      <w:r w:rsidR="00DF2F31">
        <w:rPr>
          <w:sz w:val="24"/>
          <w:szCs w:val="24"/>
        </w:rPr>
        <w:t>ospital</w:t>
      </w:r>
      <w:r>
        <w:rPr>
          <w:sz w:val="24"/>
          <w:szCs w:val="24"/>
        </w:rPr>
        <w:t>s</w:t>
      </w:r>
      <w:r w:rsidR="00DF2F31">
        <w:rPr>
          <w:sz w:val="24"/>
          <w:szCs w:val="24"/>
        </w:rPr>
        <w:t xml:space="preserve"> can also </w:t>
      </w:r>
      <w:r>
        <w:rPr>
          <w:sz w:val="24"/>
          <w:szCs w:val="24"/>
        </w:rPr>
        <w:t xml:space="preserve">reduce bed blocking </w:t>
      </w:r>
      <w:r w:rsidR="00DF2F31">
        <w:rPr>
          <w:sz w:val="24"/>
          <w:szCs w:val="24"/>
        </w:rPr>
        <w:t>through</w:t>
      </w:r>
      <w:r w:rsidR="00676BEA">
        <w:rPr>
          <w:sz w:val="24"/>
          <w:szCs w:val="24"/>
        </w:rPr>
        <w:t xml:space="preserve"> </w:t>
      </w:r>
      <w:r w:rsidR="00A1060E" w:rsidRPr="003D54D9">
        <w:rPr>
          <w:sz w:val="24"/>
          <w:szCs w:val="24"/>
        </w:rPr>
        <w:t xml:space="preserve">good discharge planning and communication with LTC providers. </w:t>
      </w:r>
      <w:r w:rsidR="00F35AED">
        <w:rPr>
          <w:sz w:val="24"/>
          <w:szCs w:val="24"/>
        </w:rPr>
        <w:t>For example, a</w:t>
      </w:r>
      <w:r w:rsidR="00A1060E" w:rsidRPr="003D54D9">
        <w:rPr>
          <w:sz w:val="24"/>
          <w:szCs w:val="24"/>
        </w:rPr>
        <w:t xml:space="preserve">n internal </w:t>
      </w:r>
      <w:r w:rsidR="00F35AED">
        <w:rPr>
          <w:sz w:val="24"/>
          <w:szCs w:val="24"/>
        </w:rPr>
        <w:t xml:space="preserve">analysis of delays in </w:t>
      </w:r>
      <w:r w:rsidR="00A1060E" w:rsidRPr="003D54D9">
        <w:rPr>
          <w:sz w:val="24"/>
          <w:szCs w:val="24"/>
        </w:rPr>
        <w:t>th</w:t>
      </w:r>
      <w:r>
        <w:rPr>
          <w:sz w:val="24"/>
          <w:szCs w:val="24"/>
        </w:rPr>
        <w:t>e Sheffield Teaching Trust (</w:t>
      </w:r>
      <w:r w:rsidR="00A1060E" w:rsidRPr="003D54D9">
        <w:rPr>
          <w:sz w:val="24"/>
          <w:szCs w:val="24"/>
        </w:rPr>
        <w:t xml:space="preserve">Health Foundation 2013) </w:t>
      </w:r>
      <w:r w:rsidR="00A10BA0" w:rsidRPr="003D54D9">
        <w:rPr>
          <w:sz w:val="24"/>
          <w:szCs w:val="24"/>
        </w:rPr>
        <w:t>resulted in changes</w:t>
      </w:r>
      <w:r w:rsidR="00A1060E" w:rsidRPr="003D54D9">
        <w:rPr>
          <w:sz w:val="24"/>
          <w:szCs w:val="24"/>
        </w:rPr>
        <w:t xml:space="preserve"> in procedure which reduced delays without increasing readmissions, an indication that </w:t>
      </w:r>
      <w:r w:rsidR="00770FBC">
        <w:rPr>
          <w:sz w:val="24"/>
          <w:szCs w:val="24"/>
        </w:rPr>
        <w:t xml:space="preserve">the more prompt </w:t>
      </w:r>
      <w:r w:rsidR="00A1060E" w:rsidRPr="003D54D9">
        <w:rPr>
          <w:sz w:val="24"/>
          <w:szCs w:val="24"/>
        </w:rPr>
        <w:t xml:space="preserve">discharges were appropriate. </w:t>
      </w:r>
    </w:p>
    <w:p w:rsidR="00957CE4" w:rsidRDefault="00957CE4" w:rsidP="00957CE4">
      <w:pPr>
        <w:spacing w:after="0" w:line="480" w:lineRule="auto"/>
        <w:jc w:val="both"/>
        <w:rPr>
          <w:sz w:val="24"/>
          <w:szCs w:val="24"/>
        </w:rPr>
      </w:pPr>
    </w:p>
    <w:p w:rsidR="00B5572D" w:rsidRPr="00957CE4" w:rsidRDefault="00B5572D" w:rsidP="00957CE4">
      <w:pPr>
        <w:pStyle w:val="Heading2"/>
      </w:pPr>
      <w:r w:rsidRPr="005E6343">
        <w:rPr>
          <w:color w:val="365F91" w:themeColor="accent1" w:themeShade="BF"/>
        </w:rPr>
        <w:t>1.</w:t>
      </w:r>
      <w:r w:rsidR="001D163A" w:rsidRPr="005E6343">
        <w:rPr>
          <w:color w:val="365F91" w:themeColor="accent1" w:themeShade="BF"/>
        </w:rPr>
        <w:t>1</w:t>
      </w:r>
      <w:r w:rsidRPr="005E6343">
        <w:rPr>
          <w:color w:val="365F91" w:themeColor="accent1" w:themeShade="BF"/>
        </w:rPr>
        <w:t xml:space="preserve">. </w:t>
      </w:r>
      <w:r w:rsidR="001D163A" w:rsidRPr="005E6343">
        <w:rPr>
          <w:color w:val="365F91" w:themeColor="accent1" w:themeShade="BF"/>
        </w:rPr>
        <w:t>Aims</w:t>
      </w:r>
      <w:r w:rsidR="00716CA0" w:rsidRPr="005E6343">
        <w:rPr>
          <w:color w:val="365F91" w:themeColor="accent1" w:themeShade="BF"/>
        </w:rPr>
        <w:t xml:space="preserve"> and</w:t>
      </w:r>
      <w:r w:rsidRPr="005E6343">
        <w:rPr>
          <w:color w:val="365F91" w:themeColor="accent1" w:themeShade="BF"/>
        </w:rPr>
        <w:t xml:space="preserve"> </w:t>
      </w:r>
      <w:r w:rsidR="001D163A" w:rsidRPr="005E6343">
        <w:rPr>
          <w:color w:val="365F91" w:themeColor="accent1" w:themeShade="BF"/>
        </w:rPr>
        <w:t>h</w:t>
      </w:r>
      <w:r w:rsidR="00EC3306" w:rsidRPr="005E6343">
        <w:rPr>
          <w:color w:val="365F91" w:themeColor="accent1" w:themeShade="BF"/>
        </w:rPr>
        <w:t>ypotheses</w:t>
      </w:r>
    </w:p>
    <w:p w:rsidR="00957CE4" w:rsidRDefault="00957CE4" w:rsidP="00957CE4">
      <w:pPr>
        <w:spacing w:after="0" w:line="480" w:lineRule="auto"/>
        <w:jc w:val="both"/>
        <w:rPr>
          <w:sz w:val="24"/>
          <w:szCs w:val="24"/>
        </w:rPr>
      </w:pPr>
    </w:p>
    <w:p w:rsidR="001E7C91" w:rsidRDefault="006D57D8" w:rsidP="00957CE4">
      <w:pPr>
        <w:spacing w:after="0" w:line="480" w:lineRule="auto"/>
        <w:jc w:val="both"/>
        <w:rPr>
          <w:sz w:val="24"/>
          <w:szCs w:val="24"/>
        </w:rPr>
      </w:pPr>
      <w:r>
        <w:rPr>
          <w:sz w:val="24"/>
          <w:szCs w:val="24"/>
        </w:rPr>
        <w:t>We investigate how delayed discharges vary by type of NHS hospital.  NHS hospitals are classified for administrative and regulatory purposes in two main ways.  First, depending on their patient group and functions they are designated as Acute, Specialist, Teaching or Mental Health. Second, depending on their governance structure</w:t>
      </w:r>
      <w:r w:rsidR="005837A5">
        <w:rPr>
          <w:sz w:val="24"/>
          <w:szCs w:val="24"/>
        </w:rPr>
        <w:t>,</w:t>
      </w:r>
      <w:r>
        <w:rPr>
          <w:sz w:val="24"/>
          <w:szCs w:val="24"/>
        </w:rPr>
        <w:t xml:space="preserve"> they may have Foundation Trust </w:t>
      </w:r>
      <w:r w:rsidR="003D4D76">
        <w:rPr>
          <w:sz w:val="24"/>
          <w:szCs w:val="24"/>
        </w:rPr>
        <w:t xml:space="preserve">(FT) </w:t>
      </w:r>
      <w:r>
        <w:rPr>
          <w:sz w:val="24"/>
          <w:szCs w:val="24"/>
        </w:rPr>
        <w:t>status</w:t>
      </w:r>
      <w:r w:rsidR="00FA4971">
        <w:rPr>
          <w:sz w:val="24"/>
          <w:szCs w:val="24"/>
        </w:rPr>
        <w:t>,</w:t>
      </w:r>
      <w:r>
        <w:rPr>
          <w:sz w:val="24"/>
          <w:szCs w:val="24"/>
        </w:rPr>
        <w:t xml:space="preserve"> which gives them greater autonomy. </w:t>
      </w:r>
    </w:p>
    <w:p w:rsidR="00EB5541" w:rsidRDefault="00EB5541" w:rsidP="00957CE4">
      <w:pPr>
        <w:spacing w:after="0" w:line="480" w:lineRule="auto"/>
        <w:jc w:val="both"/>
        <w:rPr>
          <w:sz w:val="24"/>
          <w:szCs w:val="24"/>
        </w:rPr>
      </w:pPr>
    </w:p>
    <w:p w:rsidR="00EB5541" w:rsidRDefault="001E7C91" w:rsidP="00EB5541">
      <w:pPr>
        <w:spacing w:after="0" w:line="480" w:lineRule="auto"/>
        <w:jc w:val="both"/>
        <w:rPr>
          <w:sz w:val="24"/>
          <w:szCs w:val="24"/>
        </w:rPr>
      </w:pPr>
      <w:r>
        <w:rPr>
          <w:sz w:val="24"/>
          <w:szCs w:val="24"/>
        </w:rPr>
        <w:t xml:space="preserve">We focus on hospital type since </w:t>
      </w:r>
      <w:r w:rsidR="008157E9">
        <w:rPr>
          <w:sz w:val="24"/>
          <w:szCs w:val="24"/>
        </w:rPr>
        <w:t xml:space="preserve">it </w:t>
      </w:r>
      <w:r w:rsidR="005837A5">
        <w:rPr>
          <w:sz w:val="24"/>
          <w:szCs w:val="24"/>
        </w:rPr>
        <w:t xml:space="preserve">is readily observed and </w:t>
      </w:r>
      <w:r w:rsidR="006D57D8">
        <w:rPr>
          <w:sz w:val="24"/>
          <w:szCs w:val="24"/>
        </w:rPr>
        <w:t xml:space="preserve">many existing NHS policies are defined in terms of hospital type. </w:t>
      </w:r>
      <w:r w:rsidR="001360D6">
        <w:rPr>
          <w:sz w:val="24"/>
          <w:szCs w:val="24"/>
        </w:rPr>
        <w:t xml:space="preserve">For example, </w:t>
      </w:r>
      <w:r w:rsidR="006F4FBD">
        <w:rPr>
          <w:sz w:val="24"/>
          <w:szCs w:val="24"/>
        </w:rPr>
        <w:t xml:space="preserve">Specialist hospitals receive top-up payments </w:t>
      </w:r>
      <w:r w:rsidR="001360D6">
        <w:rPr>
          <w:sz w:val="24"/>
          <w:szCs w:val="24"/>
        </w:rPr>
        <w:t>over and above the standard payments for each patient treated.</w:t>
      </w:r>
      <w:r w:rsidR="001360D6">
        <w:rPr>
          <w:rStyle w:val="FootnoteReference"/>
          <w:sz w:val="24"/>
          <w:szCs w:val="24"/>
        </w:rPr>
        <w:footnoteReference w:id="2"/>
      </w:r>
      <w:r w:rsidR="001360D6">
        <w:rPr>
          <w:sz w:val="24"/>
          <w:szCs w:val="24"/>
        </w:rPr>
        <w:t xml:space="preserve">  Mental Health providers have different payment rules from other providers</w:t>
      </w:r>
      <w:r w:rsidR="008157E9">
        <w:rPr>
          <w:sz w:val="24"/>
          <w:szCs w:val="24"/>
        </w:rPr>
        <w:t xml:space="preserve"> with a greater proportion of their </w:t>
      </w:r>
      <w:r w:rsidR="008157E9">
        <w:rPr>
          <w:sz w:val="24"/>
          <w:szCs w:val="24"/>
        </w:rPr>
        <w:lastRenderedPageBreak/>
        <w:t xml:space="preserve">funding coming from block contracts with local healthcare budget holders and less varying with the number of patients treated.  </w:t>
      </w:r>
      <w:r w:rsidR="006F4FBD">
        <w:rPr>
          <w:sz w:val="24"/>
          <w:szCs w:val="24"/>
        </w:rPr>
        <w:t xml:space="preserve">Teaching hospitals </w:t>
      </w:r>
      <w:r w:rsidR="001360D6">
        <w:rPr>
          <w:sz w:val="24"/>
          <w:szCs w:val="24"/>
        </w:rPr>
        <w:t xml:space="preserve">receive </w:t>
      </w:r>
      <w:r w:rsidR="006F4FBD">
        <w:rPr>
          <w:sz w:val="24"/>
          <w:szCs w:val="24"/>
        </w:rPr>
        <w:t xml:space="preserve">additional payments for teaching services. Hospitals with Foundation Trust status </w:t>
      </w:r>
      <w:r w:rsidR="005837A5">
        <w:rPr>
          <w:sz w:val="24"/>
          <w:szCs w:val="24"/>
        </w:rPr>
        <w:t xml:space="preserve">face </w:t>
      </w:r>
      <w:r w:rsidR="006F4FBD">
        <w:rPr>
          <w:sz w:val="24"/>
          <w:szCs w:val="24"/>
        </w:rPr>
        <w:t xml:space="preserve">a less constraining regulatory </w:t>
      </w:r>
      <w:r w:rsidR="005837A5">
        <w:rPr>
          <w:sz w:val="24"/>
          <w:szCs w:val="24"/>
        </w:rPr>
        <w:t xml:space="preserve">regime </w:t>
      </w:r>
      <w:r w:rsidR="006F4FBD">
        <w:rPr>
          <w:sz w:val="24"/>
          <w:szCs w:val="24"/>
        </w:rPr>
        <w:t xml:space="preserve">than other </w:t>
      </w:r>
      <w:r w:rsidR="005837A5">
        <w:rPr>
          <w:sz w:val="24"/>
          <w:szCs w:val="24"/>
        </w:rPr>
        <w:t xml:space="preserve">hospitals: they do not have to break even each year, can borrow to invest, and </w:t>
      </w:r>
      <w:r w:rsidR="006F4FBD">
        <w:rPr>
          <w:sz w:val="24"/>
          <w:szCs w:val="24"/>
        </w:rPr>
        <w:t xml:space="preserve">have greater freedom </w:t>
      </w:r>
      <w:r w:rsidR="00FA4971">
        <w:rPr>
          <w:sz w:val="24"/>
          <w:szCs w:val="24"/>
        </w:rPr>
        <w:t xml:space="preserve">in </w:t>
      </w:r>
      <w:r w:rsidR="006F4FBD">
        <w:rPr>
          <w:sz w:val="24"/>
          <w:szCs w:val="24"/>
        </w:rPr>
        <w:t>pay</w:t>
      </w:r>
      <w:r w:rsidR="005837A5">
        <w:rPr>
          <w:sz w:val="24"/>
          <w:szCs w:val="24"/>
        </w:rPr>
        <w:t>ing their staff</w:t>
      </w:r>
      <w:r w:rsidR="006F4FBD">
        <w:rPr>
          <w:sz w:val="24"/>
          <w:szCs w:val="24"/>
        </w:rPr>
        <w:t>.</w:t>
      </w:r>
      <w:r w:rsidR="00AA200B">
        <w:rPr>
          <w:sz w:val="24"/>
          <w:szCs w:val="24"/>
        </w:rPr>
        <w:t xml:space="preserve"> H</w:t>
      </w:r>
      <w:r w:rsidR="00AA200B" w:rsidRPr="0036466D">
        <w:rPr>
          <w:sz w:val="24"/>
          <w:szCs w:val="24"/>
        </w:rPr>
        <w:t>ospital</w:t>
      </w:r>
      <w:r w:rsidR="00AA200B">
        <w:rPr>
          <w:sz w:val="24"/>
          <w:szCs w:val="24"/>
        </w:rPr>
        <w:t xml:space="preserve"> types</w:t>
      </w:r>
      <w:r w:rsidR="00AA200B" w:rsidRPr="0036466D">
        <w:rPr>
          <w:sz w:val="24"/>
          <w:szCs w:val="24"/>
        </w:rPr>
        <w:t xml:space="preserve"> </w:t>
      </w:r>
      <w:r w:rsidR="00AA200B">
        <w:rPr>
          <w:sz w:val="24"/>
          <w:szCs w:val="24"/>
        </w:rPr>
        <w:t>with</w:t>
      </w:r>
      <w:r w:rsidR="00AA200B" w:rsidRPr="0036466D">
        <w:rPr>
          <w:sz w:val="24"/>
          <w:szCs w:val="24"/>
        </w:rPr>
        <w:t xml:space="preserve"> </w:t>
      </w:r>
      <w:r w:rsidR="00D02B22">
        <w:rPr>
          <w:sz w:val="24"/>
          <w:szCs w:val="24"/>
        </w:rPr>
        <w:t>fewer</w:t>
      </w:r>
      <w:r w:rsidR="00D02B22" w:rsidRPr="0036466D">
        <w:rPr>
          <w:sz w:val="24"/>
          <w:szCs w:val="24"/>
        </w:rPr>
        <w:t xml:space="preserve"> </w:t>
      </w:r>
      <w:r w:rsidR="00AA200B" w:rsidRPr="0036466D">
        <w:rPr>
          <w:sz w:val="24"/>
          <w:szCs w:val="24"/>
        </w:rPr>
        <w:t xml:space="preserve">delays could be used as examples of good practice. </w:t>
      </w:r>
      <w:r w:rsidR="00AA200B">
        <w:rPr>
          <w:sz w:val="24"/>
          <w:szCs w:val="24"/>
        </w:rPr>
        <w:t xml:space="preserve">Those with </w:t>
      </w:r>
      <w:r w:rsidR="00D02B22">
        <w:rPr>
          <w:sz w:val="24"/>
          <w:szCs w:val="24"/>
        </w:rPr>
        <w:t xml:space="preserve">more </w:t>
      </w:r>
      <w:r w:rsidR="00AA200B">
        <w:rPr>
          <w:sz w:val="24"/>
          <w:szCs w:val="24"/>
        </w:rPr>
        <w:t xml:space="preserve">delays could be targeted by specific </w:t>
      </w:r>
      <w:r w:rsidR="00AA200B" w:rsidRPr="0036466D">
        <w:rPr>
          <w:sz w:val="24"/>
          <w:szCs w:val="24"/>
        </w:rPr>
        <w:t>policy interventions.</w:t>
      </w:r>
      <w:r w:rsidR="00AA200B">
        <w:rPr>
          <w:sz w:val="24"/>
          <w:szCs w:val="24"/>
        </w:rPr>
        <w:t xml:space="preserve"> </w:t>
      </w:r>
      <w:r w:rsidR="008157E9">
        <w:rPr>
          <w:sz w:val="24"/>
          <w:szCs w:val="24"/>
        </w:rPr>
        <w:t xml:space="preserve"> </w:t>
      </w:r>
      <w:r w:rsidR="00EB5541">
        <w:rPr>
          <w:sz w:val="24"/>
          <w:szCs w:val="24"/>
        </w:rPr>
        <w:t xml:space="preserve">Moreover, our data on delayed discharges is at hospital rather than individual patient level. </w:t>
      </w:r>
    </w:p>
    <w:p w:rsidR="006F4FBD" w:rsidRDefault="006F4FBD" w:rsidP="00957CE4">
      <w:pPr>
        <w:spacing w:after="0" w:line="480" w:lineRule="auto"/>
        <w:jc w:val="both"/>
        <w:rPr>
          <w:sz w:val="24"/>
          <w:szCs w:val="24"/>
        </w:rPr>
      </w:pPr>
    </w:p>
    <w:p w:rsidR="003D4D76" w:rsidRDefault="0089455F" w:rsidP="003D4D76">
      <w:pPr>
        <w:spacing w:after="0" w:line="480" w:lineRule="auto"/>
        <w:jc w:val="both"/>
        <w:rPr>
          <w:sz w:val="24"/>
          <w:szCs w:val="24"/>
        </w:rPr>
      </w:pPr>
      <w:r>
        <w:rPr>
          <w:sz w:val="24"/>
          <w:szCs w:val="24"/>
        </w:rPr>
        <w:t xml:space="preserve">We compare differences in delays </w:t>
      </w:r>
      <w:r w:rsidR="003D4D76">
        <w:rPr>
          <w:sz w:val="24"/>
          <w:szCs w:val="24"/>
        </w:rPr>
        <w:t xml:space="preserve">across types of provider </w:t>
      </w:r>
      <w:r>
        <w:rPr>
          <w:sz w:val="24"/>
          <w:szCs w:val="24"/>
        </w:rPr>
        <w:t>before and after controllin</w:t>
      </w:r>
      <w:r w:rsidR="003D4D76">
        <w:rPr>
          <w:sz w:val="24"/>
          <w:szCs w:val="24"/>
        </w:rPr>
        <w:t xml:space="preserve">g for a range of factors such as patient </w:t>
      </w:r>
      <w:r>
        <w:rPr>
          <w:sz w:val="24"/>
          <w:szCs w:val="24"/>
        </w:rPr>
        <w:t xml:space="preserve">demographics, case-mix, size and long-term care availability. </w:t>
      </w:r>
      <w:r w:rsidR="003D4D76">
        <w:rPr>
          <w:sz w:val="24"/>
          <w:szCs w:val="24"/>
        </w:rPr>
        <w:t xml:space="preserve"> Any remaining differences across hospital type after allowing for these factors </w:t>
      </w:r>
      <w:r>
        <w:rPr>
          <w:sz w:val="24"/>
          <w:szCs w:val="24"/>
        </w:rPr>
        <w:t>may be due</w:t>
      </w:r>
      <w:r w:rsidR="008A6BA8">
        <w:rPr>
          <w:sz w:val="24"/>
          <w:szCs w:val="24"/>
        </w:rPr>
        <w:t xml:space="preserve"> to</w:t>
      </w:r>
      <w:r>
        <w:rPr>
          <w:sz w:val="24"/>
          <w:szCs w:val="24"/>
        </w:rPr>
        <w:t xml:space="preserve"> </w:t>
      </w:r>
      <w:r w:rsidR="008A6BA8">
        <w:rPr>
          <w:sz w:val="24"/>
          <w:szCs w:val="24"/>
        </w:rPr>
        <w:t xml:space="preserve">the </w:t>
      </w:r>
      <w:r>
        <w:rPr>
          <w:sz w:val="24"/>
          <w:szCs w:val="24"/>
        </w:rPr>
        <w:t xml:space="preserve">different type of organisation (due to specialisation or greater autonomy), different services (acute, mental health services) or </w:t>
      </w:r>
      <w:r w:rsidR="00BA1759">
        <w:rPr>
          <w:sz w:val="24"/>
          <w:szCs w:val="24"/>
        </w:rPr>
        <w:t xml:space="preserve">additional </w:t>
      </w:r>
      <w:r>
        <w:rPr>
          <w:sz w:val="24"/>
          <w:szCs w:val="24"/>
        </w:rPr>
        <w:t>responsibilities (such as teaching).</w:t>
      </w:r>
      <w:r w:rsidR="003D4D76">
        <w:rPr>
          <w:sz w:val="24"/>
          <w:szCs w:val="24"/>
        </w:rPr>
        <w:t xml:space="preserve">  </w:t>
      </w:r>
    </w:p>
    <w:p w:rsidR="003D4D76" w:rsidRDefault="003D4D76" w:rsidP="00957CE4">
      <w:pPr>
        <w:spacing w:after="0" w:line="480" w:lineRule="auto"/>
        <w:jc w:val="both"/>
        <w:rPr>
          <w:sz w:val="24"/>
          <w:szCs w:val="24"/>
        </w:rPr>
      </w:pPr>
    </w:p>
    <w:p w:rsidR="00FF3DCD" w:rsidRDefault="008E2953" w:rsidP="00957CE4">
      <w:pPr>
        <w:spacing w:after="0" w:line="480" w:lineRule="auto"/>
        <w:jc w:val="both"/>
        <w:rPr>
          <w:sz w:val="24"/>
          <w:szCs w:val="24"/>
        </w:rPr>
      </w:pPr>
      <w:r>
        <w:rPr>
          <w:sz w:val="24"/>
          <w:szCs w:val="24"/>
        </w:rPr>
        <w:t xml:space="preserve">The </w:t>
      </w:r>
      <w:r w:rsidR="003D4D76" w:rsidRPr="003D4D76">
        <w:rPr>
          <w:i/>
          <w:sz w:val="24"/>
          <w:szCs w:val="24"/>
        </w:rPr>
        <w:t>a priori</w:t>
      </w:r>
      <w:r w:rsidR="003D4D76">
        <w:rPr>
          <w:sz w:val="24"/>
          <w:szCs w:val="24"/>
        </w:rPr>
        <w:t xml:space="preserve"> </w:t>
      </w:r>
      <w:r>
        <w:rPr>
          <w:sz w:val="24"/>
          <w:szCs w:val="24"/>
        </w:rPr>
        <w:t>effect of hospital type on delays is unclear.</w:t>
      </w:r>
      <w:r w:rsidR="003B10B7">
        <w:rPr>
          <w:sz w:val="24"/>
          <w:szCs w:val="24"/>
        </w:rPr>
        <w:t xml:space="preserve"> Foundation Trust </w:t>
      </w:r>
      <w:r w:rsidR="003D4D76">
        <w:rPr>
          <w:sz w:val="24"/>
          <w:szCs w:val="24"/>
        </w:rPr>
        <w:t xml:space="preserve">(FT) </w:t>
      </w:r>
      <w:r w:rsidR="00772922" w:rsidRPr="003D54D9">
        <w:rPr>
          <w:sz w:val="24"/>
          <w:szCs w:val="24"/>
        </w:rPr>
        <w:t xml:space="preserve">status </w:t>
      </w:r>
      <w:r w:rsidR="00C756EE">
        <w:rPr>
          <w:sz w:val="24"/>
          <w:szCs w:val="24"/>
        </w:rPr>
        <w:t>require</w:t>
      </w:r>
      <w:r w:rsidR="00DD604A">
        <w:rPr>
          <w:sz w:val="24"/>
          <w:szCs w:val="24"/>
        </w:rPr>
        <w:t>s</w:t>
      </w:r>
      <w:r w:rsidR="00C756EE">
        <w:rPr>
          <w:sz w:val="24"/>
          <w:szCs w:val="24"/>
        </w:rPr>
        <w:t xml:space="preserve"> that the </w:t>
      </w:r>
      <w:r w:rsidR="00F84C33">
        <w:rPr>
          <w:sz w:val="24"/>
          <w:szCs w:val="24"/>
        </w:rPr>
        <w:t>hospital demonstrates</w:t>
      </w:r>
      <w:r w:rsidR="00772922" w:rsidRPr="003D54D9">
        <w:rPr>
          <w:sz w:val="24"/>
          <w:szCs w:val="24"/>
        </w:rPr>
        <w:t xml:space="preserve"> quality </w:t>
      </w:r>
      <w:r w:rsidR="00473096" w:rsidRPr="003D54D9">
        <w:rPr>
          <w:sz w:val="24"/>
          <w:szCs w:val="24"/>
        </w:rPr>
        <w:t>of</w:t>
      </w:r>
      <w:r w:rsidR="00772922" w:rsidRPr="003D54D9">
        <w:rPr>
          <w:sz w:val="24"/>
          <w:szCs w:val="24"/>
        </w:rPr>
        <w:t xml:space="preserve"> care and financial viability (Monitor 2007, Monitor 2013). </w:t>
      </w:r>
      <w:r w:rsidR="00C756EE">
        <w:rPr>
          <w:sz w:val="24"/>
          <w:szCs w:val="24"/>
        </w:rPr>
        <w:t>FT</w:t>
      </w:r>
      <w:r w:rsidR="00C756EE" w:rsidRPr="003D54D9">
        <w:rPr>
          <w:sz w:val="24"/>
          <w:szCs w:val="24"/>
        </w:rPr>
        <w:t xml:space="preserve"> </w:t>
      </w:r>
      <w:r w:rsidR="00772922" w:rsidRPr="003D54D9">
        <w:rPr>
          <w:sz w:val="24"/>
          <w:szCs w:val="24"/>
        </w:rPr>
        <w:t>status can be considered a label of good quality</w:t>
      </w:r>
      <w:r w:rsidR="006A580F">
        <w:rPr>
          <w:sz w:val="24"/>
          <w:szCs w:val="24"/>
        </w:rPr>
        <w:t xml:space="preserve"> care</w:t>
      </w:r>
      <w:r w:rsidR="00772922" w:rsidRPr="003D54D9">
        <w:rPr>
          <w:sz w:val="24"/>
          <w:szCs w:val="24"/>
        </w:rPr>
        <w:t xml:space="preserve">. Higher quality, driven by more efficient </w:t>
      </w:r>
      <w:r w:rsidR="00DD604A">
        <w:rPr>
          <w:sz w:val="24"/>
          <w:szCs w:val="24"/>
        </w:rPr>
        <w:t>management</w:t>
      </w:r>
      <w:r w:rsidR="00DD604A" w:rsidRPr="003D54D9">
        <w:rPr>
          <w:sz w:val="24"/>
          <w:szCs w:val="24"/>
        </w:rPr>
        <w:t xml:space="preserve"> </w:t>
      </w:r>
      <w:r w:rsidR="006A580F">
        <w:rPr>
          <w:sz w:val="24"/>
          <w:szCs w:val="24"/>
        </w:rPr>
        <w:t xml:space="preserve">of </w:t>
      </w:r>
      <w:r w:rsidR="00772922" w:rsidRPr="003D54D9">
        <w:rPr>
          <w:sz w:val="24"/>
          <w:szCs w:val="24"/>
        </w:rPr>
        <w:t xml:space="preserve">patient </w:t>
      </w:r>
      <w:r w:rsidR="00DD604A">
        <w:rPr>
          <w:sz w:val="24"/>
          <w:szCs w:val="24"/>
        </w:rPr>
        <w:t>pathways</w:t>
      </w:r>
      <w:r w:rsidR="00772922" w:rsidRPr="003D54D9">
        <w:rPr>
          <w:sz w:val="24"/>
          <w:szCs w:val="24"/>
        </w:rPr>
        <w:t>, may reduce delays</w:t>
      </w:r>
      <w:r>
        <w:rPr>
          <w:sz w:val="24"/>
          <w:szCs w:val="24"/>
        </w:rPr>
        <w:t xml:space="preserve"> </w:t>
      </w:r>
      <w:r w:rsidR="00C756EE">
        <w:rPr>
          <w:sz w:val="24"/>
          <w:szCs w:val="24"/>
        </w:rPr>
        <w:t xml:space="preserve">of discharge </w:t>
      </w:r>
      <w:r>
        <w:rPr>
          <w:sz w:val="24"/>
          <w:szCs w:val="24"/>
        </w:rPr>
        <w:t xml:space="preserve">but </w:t>
      </w:r>
      <w:r w:rsidR="00C756EE">
        <w:rPr>
          <w:sz w:val="24"/>
          <w:szCs w:val="24"/>
        </w:rPr>
        <w:t>mig</w:t>
      </w:r>
      <w:r w:rsidR="00B74469">
        <w:rPr>
          <w:sz w:val="24"/>
          <w:szCs w:val="24"/>
        </w:rPr>
        <w:t xml:space="preserve">ht </w:t>
      </w:r>
      <w:r w:rsidR="00AC27DA">
        <w:rPr>
          <w:sz w:val="24"/>
          <w:szCs w:val="24"/>
        </w:rPr>
        <w:t xml:space="preserve">also </w:t>
      </w:r>
      <w:r w:rsidR="00B74469">
        <w:rPr>
          <w:sz w:val="24"/>
          <w:szCs w:val="24"/>
        </w:rPr>
        <w:t xml:space="preserve">attract </w:t>
      </w:r>
      <w:r w:rsidR="00DD604A">
        <w:rPr>
          <w:sz w:val="24"/>
          <w:szCs w:val="24"/>
        </w:rPr>
        <w:t xml:space="preserve">more severe and complex </w:t>
      </w:r>
      <w:r w:rsidR="00B74469">
        <w:rPr>
          <w:sz w:val="24"/>
          <w:szCs w:val="24"/>
        </w:rPr>
        <w:t xml:space="preserve">patients </w:t>
      </w:r>
      <w:r w:rsidR="006A580F">
        <w:rPr>
          <w:sz w:val="24"/>
          <w:szCs w:val="24"/>
        </w:rPr>
        <w:t xml:space="preserve">with </w:t>
      </w:r>
      <w:r w:rsidR="00DD604A">
        <w:rPr>
          <w:sz w:val="24"/>
          <w:szCs w:val="24"/>
        </w:rPr>
        <w:t>a higher risk of</w:t>
      </w:r>
      <w:r w:rsidR="00B74469">
        <w:rPr>
          <w:sz w:val="24"/>
          <w:szCs w:val="24"/>
        </w:rPr>
        <w:t xml:space="preserve"> suffering delay</w:t>
      </w:r>
      <w:r w:rsidR="00F84C33">
        <w:rPr>
          <w:sz w:val="24"/>
          <w:szCs w:val="24"/>
        </w:rPr>
        <w:t xml:space="preserve">. </w:t>
      </w:r>
    </w:p>
    <w:p w:rsidR="00957CE4" w:rsidRDefault="00957CE4" w:rsidP="00957CE4">
      <w:pPr>
        <w:spacing w:after="0" w:line="480" w:lineRule="auto"/>
        <w:jc w:val="both"/>
        <w:rPr>
          <w:sz w:val="24"/>
          <w:szCs w:val="24"/>
        </w:rPr>
      </w:pPr>
    </w:p>
    <w:p w:rsidR="00907CDC" w:rsidRDefault="006C2083" w:rsidP="00957CE4">
      <w:pPr>
        <w:spacing w:after="0" w:line="480" w:lineRule="auto"/>
        <w:jc w:val="both"/>
        <w:rPr>
          <w:sz w:val="24"/>
          <w:szCs w:val="24"/>
        </w:rPr>
      </w:pPr>
      <w:r w:rsidRPr="003D54D9">
        <w:rPr>
          <w:sz w:val="24"/>
          <w:szCs w:val="24"/>
        </w:rPr>
        <w:t>Specialist Trust</w:t>
      </w:r>
      <w:r w:rsidR="008E2953">
        <w:rPr>
          <w:sz w:val="24"/>
          <w:szCs w:val="24"/>
        </w:rPr>
        <w:t>s</w:t>
      </w:r>
      <w:r w:rsidRPr="003D54D9">
        <w:rPr>
          <w:sz w:val="24"/>
          <w:szCs w:val="24"/>
        </w:rPr>
        <w:t xml:space="preserve"> </w:t>
      </w:r>
      <w:r w:rsidR="00907CDC">
        <w:rPr>
          <w:sz w:val="24"/>
          <w:szCs w:val="24"/>
        </w:rPr>
        <w:t xml:space="preserve">may obtain efficiency gains and provide higher quality by </w:t>
      </w:r>
      <w:r w:rsidRPr="003D54D9">
        <w:rPr>
          <w:sz w:val="24"/>
          <w:szCs w:val="24"/>
        </w:rPr>
        <w:t>focus</w:t>
      </w:r>
      <w:r w:rsidR="006A580F">
        <w:rPr>
          <w:sz w:val="24"/>
          <w:szCs w:val="24"/>
        </w:rPr>
        <w:t>sing on a narrower</w:t>
      </w:r>
      <w:r w:rsidR="00907CDC">
        <w:rPr>
          <w:sz w:val="24"/>
          <w:szCs w:val="24"/>
        </w:rPr>
        <w:t xml:space="preserve"> </w:t>
      </w:r>
      <w:r w:rsidR="006A580F">
        <w:rPr>
          <w:sz w:val="24"/>
          <w:szCs w:val="24"/>
        </w:rPr>
        <w:t>range of patients</w:t>
      </w:r>
      <w:r w:rsidR="00907CDC">
        <w:rPr>
          <w:sz w:val="24"/>
          <w:szCs w:val="24"/>
        </w:rPr>
        <w:t xml:space="preserve">, such as </w:t>
      </w:r>
      <w:r w:rsidR="006A580F">
        <w:rPr>
          <w:sz w:val="24"/>
          <w:szCs w:val="24"/>
        </w:rPr>
        <w:t xml:space="preserve">those with </w:t>
      </w:r>
      <w:r w:rsidRPr="003D54D9">
        <w:rPr>
          <w:sz w:val="24"/>
          <w:szCs w:val="24"/>
        </w:rPr>
        <w:t>cardiovascular or orthopaedics</w:t>
      </w:r>
      <w:r w:rsidR="00907CDC">
        <w:rPr>
          <w:sz w:val="24"/>
          <w:szCs w:val="24"/>
        </w:rPr>
        <w:t xml:space="preserve"> conditions. </w:t>
      </w:r>
      <w:r w:rsidR="006A580F">
        <w:rPr>
          <w:sz w:val="24"/>
          <w:szCs w:val="24"/>
        </w:rPr>
        <w:t xml:space="preserve"> This may lead to </w:t>
      </w:r>
      <w:r w:rsidR="00D02B22">
        <w:rPr>
          <w:sz w:val="24"/>
          <w:szCs w:val="24"/>
        </w:rPr>
        <w:t>fewer</w:t>
      </w:r>
      <w:r w:rsidR="006A580F">
        <w:rPr>
          <w:sz w:val="24"/>
          <w:szCs w:val="24"/>
        </w:rPr>
        <w:t xml:space="preserve"> delays for these patients. But specialist hospitals may also </w:t>
      </w:r>
      <w:r w:rsidR="00907CDC">
        <w:rPr>
          <w:sz w:val="24"/>
          <w:szCs w:val="24"/>
        </w:rPr>
        <w:t>attract</w:t>
      </w:r>
      <w:r w:rsidRPr="003D54D9">
        <w:rPr>
          <w:sz w:val="24"/>
          <w:szCs w:val="24"/>
        </w:rPr>
        <w:t xml:space="preserve"> </w:t>
      </w:r>
      <w:r w:rsidRPr="003D54D9">
        <w:rPr>
          <w:sz w:val="24"/>
          <w:szCs w:val="24"/>
        </w:rPr>
        <w:lastRenderedPageBreak/>
        <w:t xml:space="preserve">more complex </w:t>
      </w:r>
      <w:r w:rsidR="003E3156">
        <w:rPr>
          <w:sz w:val="24"/>
          <w:szCs w:val="24"/>
        </w:rPr>
        <w:t>patients</w:t>
      </w:r>
      <w:r w:rsidR="00AC27DA">
        <w:rPr>
          <w:sz w:val="24"/>
          <w:szCs w:val="24"/>
        </w:rPr>
        <w:t xml:space="preserve"> </w:t>
      </w:r>
      <w:r w:rsidR="00907CDC">
        <w:rPr>
          <w:sz w:val="24"/>
          <w:szCs w:val="24"/>
        </w:rPr>
        <w:t xml:space="preserve">who </w:t>
      </w:r>
      <w:r w:rsidR="00AC27DA">
        <w:rPr>
          <w:sz w:val="24"/>
          <w:szCs w:val="24"/>
        </w:rPr>
        <w:t xml:space="preserve">may </w:t>
      </w:r>
      <w:r w:rsidR="006A580F">
        <w:rPr>
          <w:sz w:val="24"/>
          <w:szCs w:val="24"/>
        </w:rPr>
        <w:t>have more requirement</w:t>
      </w:r>
      <w:r w:rsidR="00150422">
        <w:rPr>
          <w:sz w:val="24"/>
          <w:szCs w:val="24"/>
        </w:rPr>
        <w:t>s</w:t>
      </w:r>
      <w:r w:rsidR="006A580F">
        <w:rPr>
          <w:sz w:val="24"/>
          <w:szCs w:val="24"/>
        </w:rPr>
        <w:t xml:space="preserve"> for post treatment </w:t>
      </w:r>
      <w:r w:rsidR="008E2953">
        <w:rPr>
          <w:sz w:val="24"/>
          <w:szCs w:val="24"/>
        </w:rPr>
        <w:t xml:space="preserve">long-term care services </w:t>
      </w:r>
      <w:r w:rsidR="006A580F">
        <w:rPr>
          <w:sz w:val="24"/>
          <w:szCs w:val="24"/>
        </w:rPr>
        <w:t xml:space="preserve">which may take longer to arrange.  </w:t>
      </w:r>
      <w:r w:rsidR="00003AAC" w:rsidRPr="003D54D9">
        <w:rPr>
          <w:sz w:val="24"/>
          <w:szCs w:val="24"/>
        </w:rPr>
        <w:t xml:space="preserve">Teaching Trusts </w:t>
      </w:r>
      <w:r w:rsidR="006A580F">
        <w:rPr>
          <w:sz w:val="24"/>
          <w:szCs w:val="24"/>
        </w:rPr>
        <w:t xml:space="preserve">also educate </w:t>
      </w:r>
      <w:r w:rsidR="00003AAC" w:rsidRPr="003D54D9">
        <w:rPr>
          <w:sz w:val="24"/>
          <w:szCs w:val="24"/>
        </w:rPr>
        <w:t>medical students</w:t>
      </w:r>
      <w:r w:rsidR="006A580F">
        <w:rPr>
          <w:sz w:val="24"/>
          <w:szCs w:val="24"/>
        </w:rPr>
        <w:t xml:space="preserve"> as well as treating patients and this reduce</w:t>
      </w:r>
      <w:r w:rsidR="00150422">
        <w:rPr>
          <w:sz w:val="24"/>
          <w:szCs w:val="24"/>
        </w:rPr>
        <w:t>s</w:t>
      </w:r>
      <w:r w:rsidR="006A580F">
        <w:rPr>
          <w:sz w:val="24"/>
          <w:szCs w:val="24"/>
        </w:rPr>
        <w:t xml:space="preserve"> the amount of attention that senior staff can devote to patient care once immediate medical needs are met.  Teaching hospitals may also </w:t>
      </w:r>
      <w:r w:rsidR="00907CDC">
        <w:rPr>
          <w:sz w:val="24"/>
          <w:szCs w:val="24"/>
        </w:rPr>
        <w:t xml:space="preserve">attract </w:t>
      </w:r>
      <w:r w:rsidR="006A580F">
        <w:rPr>
          <w:sz w:val="24"/>
          <w:szCs w:val="24"/>
        </w:rPr>
        <w:t xml:space="preserve">more </w:t>
      </w:r>
      <w:r w:rsidR="00907CDC">
        <w:rPr>
          <w:sz w:val="24"/>
          <w:szCs w:val="24"/>
        </w:rPr>
        <w:t xml:space="preserve">complex patients who are more prone to delays. </w:t>
      </w:r>
    </w:p>
    <w:p w:rsidR="00957CE4" w:rsidRDefault="00957CE4" w:rsidP="00957CE4">
      <w:pPr>
        <w:spacing w:after="0" w:line="480" w:lineRule="auto"/>
        <w:jc w:val="both"/>
        <w:rPr>
          <w:sz w:val="24"/>
          <w:szCs w:val="24"/>
        </w:rPr>
      </w:pPr>
    </w:p>
    <w:p w:rsidR="00FF3DCD" w:rsidRDefault="00A203F5" w:rsidP="00957CE4">
      <w:pPr>
        <w:spacing w:after="0" w:line="480" w:lineRule="auto"/>
        <w:jc w:val="both"/>
        <w:rPr>
          <w:sz w:val="24"/>
          <w:szCs w:val="24"/>
        </w:rPr>
      </w:pPr>
      <w:r w:rsidRPr="003D54D9">
        <w:rPr>
          <w:sz w:val="24"/>
          <w:szCs w:val="24"/>
        </w:rPr>
        <w:t xml:space="preserve">Mental Health Trusts </w:t>
      </w:r>
      <w:r w:rsidR="006A580F">
        <w:rPr>
          <w:sz w:val="24"/>
          <w:szCs w:val="24"/>
        </w:rPr>
        <w:t xml:space="preserve">treat patients with serious mental illness </w:t>
      </w:r>
      <w:r w:rsidR="00684DD0">
        <w:rPr>
          <w:sz w:val="24"/>
          <w:szCs w:val="24"/>
        </w:rPr>
        <w:t xml:space="preserve">rather than physical health problems.  These patients are often managed partly by community facilities such </w:t>
      </w:r>
      <w:r w:rsidR="00150422">
        <w:rPr>
          <w:sz w:val="24"/>
          <w:szCs w:val="24"/>
        </w:rPr>
        <w:t xml:space="preserve">as </w:t>
      </w:r>
      <w:r w:rsidR="00684DD0">
        <w:rPr>
          <w:sz w:val="24"/>
          <w:szCs w:val="24"/>
        </w:rPr>
        <w:t xml:space="preserve">Crisis Resolution Teams and Home Treatment Teams.  Thus they may have better links to community and long term care than other types of hospital but their patients may be more difficult to place in suitable facilities outside hospital.  </w:t>
      </w:r>
      <w:r w:rsidR="00150422">
        <w:rPr>
          <w:sz w:val="24"/>
          <w:szCs w:val="24"/>
        </w:rPr>
        <w:t>T</w:t>
      </w:r>
      <w:r w:rsidR="00684DD0">
        <w:rPr>
          <w:sz w:val="24"/>
          <w:szCs w:val="24"/>
        </w:rPr>
        <w:t xml:space="preserve">here is </w:t>
      </w:r>
      <w:r w:rsidR="00150422">
        <w:rPr>
          <w:sz w:val="24"/>
          <w:szCs w:val="24"/>
        </w:rPr>
        <w:t xml:space="preserve">also </w:t>
      </w:r>
      <w:r w:rsidRPr="003D54D9">
        <w:rPr>
          <w:sz w:val="24"/>
          <w:szCs w:val="24"/>
        </w:rPr>
        <w:t>concern that mental health services are relatively underfunded. Where this results in insufficie</w:t>
      </w:r>
      <w:r w:rsidR="001D7001" w:rsidRPr="003D54D9">
        <w:rPr>
          <w:sz w:val="24"/>
          <w:szCs w:val="24"/>
        </w:rPr>
        <w:t xml:space="preserve">nt resources in the hospital </w:t>
      </w:r>
      <w:r w:rsidRPr="003D54D9">
        <w:rPr>
          <w:sz w:val="24"/>
          <w:szCs w:val="24"/>
        </w:rPr>
        <w:t xml:space="preserve">or provision of </w:t>
      </w:r>
      <w:r w:rsidR="00146E39">
        <w:rPr>
          <w:sz w:val="24"/>
          <w:szCs w:val="24"/>
        </w:rPr>
        <w:t xml:space="preserve">community care </w:t>
      </w:r>
      <w:r w:rsidRPr="003D54D9">
        <w:rPr>
          <w:sz w:val="24"/>
          <w:szCs w:val="24"/>
        </w:rPr>
        <w:t>for mental health conditions, this could i</w:t>
      </w:r>
      <w:r w:rsidRPr="00804964">
        <w:rPr>
          <w:sz w:val="24"/>
          <w:szCs w:val="24"/>
        </w:rPr>
        <w:t>ncrease delay</w:t>
      </w:r>
      <w:r w:rsidR="00B74469">
        <w:rPr>
          <w:sz w:val="24"/>
          <w:szCs w:val="24"/>
        </w:rPr>
        <w:t>ed discharges</w:t>
      </w:r>
      <w:r w:rsidRPr="00804964">
        <w:rPr>
          <w:sz w:val="24"/>
          <w:szCs w:val="24"/>
        </w:rPr>
        <w:t>.</w:t>
      </w:r>
    </w:p>
    <w:p w:rsidR="00957CE4" w:rsidRDefault="00957CE4" w:rsidP="00957CE4">
      <w:pPr>
        <w:spacing w:after="0" w:line="480" w:lineRule="auto"/>
        <w:jc w:val="both"/>
        <w:rPr>
          <w:sz w:val="24"/>
          <w:szCs w:val="24"/>
        </w:rPr>
      </w:pPr>
    </w:p>
    <w:p w:rsidR="00FF3DCD" w:rsidRPr="005E6343" w:rsidRDefault="00D87A3C" w:rsidP="00957CE4">
      <w:pPr>
        <w:pStyle w:val="Heading2"/>
        <w:spacing w:before="0" w:line="480" w:lineRule="auto"/>
        <w:rPr>
          <w:color w:val="365F91" w:themeColor="accent1" w:themeShade="BF"/>
        </w:rPr>
      </w:pPr>
      <w:r w:rsidRPr="005E6343">
        <w:rPr>
          <w:color w:val="365F91" w:themeColor="accent1" w:themeShade="BF"/>
        </w:rPr>
        <w:t>1.</w:t>
      </w:r>
      <w:r w:rsidR="004173FD" w:rsidRPr="005E6343">
        <w:rPr>
          <w:color w:val="365F91" w:themeColor="accent1" w:themeShade="BF"/>
        </w:rPr>
        <w:t>2</w:t>
      </w:r>
      <w:r w:rsidR="00027652" w:rsidRPr="005E6343">
        <w:rPr>
          <w:color w:val="365F91" w:themeColor="accent1" w:themeShade="BF"/>
        </w:rPr>
        <w:t>.</w:t>
      </w:r>
      <w:r w:rsidRPr="005E6343">
        <w:rPr>
          <w:color w:val="365F91" w:themeColor="accent1" w:themeShade="BF"/>
        </w:rPr>
        <w:t xml:space="preserve"> </w:t>
      </w:r>
      <w:r w:rsidR="00931611" w:rsidRPr="005E6343">
        <w:rPr>
          <w:color w:val="365F91" w:themeColor="accent1" w:themeShade="BF"/>
        </w:rPr>
        <w:t xml:space="preserve">Related </w:t>
      </w:r>
      <w:r w:rsidR="000C0EFC" w:rsidRPr="005E6343">
        <w:rPr>
          <w:color w:val="365F91" w:themeColor="accent1" w:themeShade="BF"/>
        </w:rPr>
        <w:t>L</w:t>
      </w:r>
      <w:r w:rsidR="00931611" w:rsidRPr="005E6343">
        <w:rPr>
          <w:color w:val="365F91" w:themeColor="accent1" w:themeShade="BF"/>
        </w:rPr>
        <w:t>iterature</w:t>
      </w:r>
    </w:p>
    <w:p w:rsidR="00FF3DCD" w:rsidRDefault="00292772" w:rsidP="00957CE4">
      <w:pPr>
        <w:spacing w:after="0" w:line="480" w:lineRule="auto"/>
        <w:jc w:val="both"/>
        <w:rPr>
          <w:sz w:val="24"/>
          <w:szCs w:val="24"/>
        </w:rPr>
      </w:pPr>
      <w:r w:rsidRPr="003D54D9">
        <w:rPr>
          <w:sz w:val="24"/>
          <w:szCs w:val="24"/>
        </w:rPr>
        <w:t xml:space="preserve">Forder (2009) investigated the degree of substitution between hospital and </w:t>
      </w:r>
      <w:r w:rsidR="00D628DF" w:rsidRPr="003D54D9">
        <w:rPr>
          <w:sz w:val="24"/>
          <w:szCs w:val="24"/>
        </w:rPr>
        <w:t>LTC</w:t>
      </w:r>
      <w:r w:rsidRPr="003D54D9">
        <w:rPr>
          <w:sz w:val="24"/>
          <w:szCs w:val="24"/>
        </w:rPr>
        <w:t xml:space="preserve"> in 8000 English census </w:t>
      </w:r>
      <w:r w:rsidR="002D295C" w:rsidRPr="003D54D9">
        <w:rPr>
          <w:sz w:val="24"/>
          <w:szCs w:val="24"/>
        </w:rPr>
        <w:t xml:space="preserve">ward </w:t>
      </w:r>
      <w:r w:rsidRPr="003D54D9">
        <w:rPr>
          <w:sz w:val="24"/>
          <w:szCs w:val="24"/>
        </w:rPr>
        <w:t>areas</w:t>
      </w:r>
      <w:r w:rsidR="004257D7">
        <w:rPr>
          <w:sz w:val="24"/>
          <w:szCs w:val="24"/>
        </w:rPr>
        <w:t xml:space="preserve"> and</w:t>
      </w:r>
      <w:r w:rsidRPr="003D54D9">
        <w:rPr>
          <w:sz w:val="24"/>
          <w:szCs w:val="24"/>
        </w:rPr>
        <w:t xml:space="preserve"> </w:t>
      </w:r>
      <w:r w:rsidR="00684DD0">
        <w:rPr>
          <w:sz w:val="24"/>
          <w:szCs w:val="24"/>
        </w:rPr>
        <w:t xml:space="preserve">estimated </w:t>
      </w:r>
      <w:r w:rsidR="00E80FAA">
        <w:rPr>
          <w:sz w:val="24"/>
          <w:szCs w:val="24"/>
        </w:rPr>
        <w:t xml:space="preserve">that </w:t>
      </w:r>
      <w:r w:rsidRPr="003D54D9">
        <w:rPr>
          <w:sz w:val="24"/>
          <w:szCs w:val="24"/>
        </w:rPr>
        <w:t>a £1 increase in spending on care</w:t>
      </w:r>
      <w:r w:rsidR="00641AED">
        <w:rPr>
          <w:sz w:val="24"/>
          <w:szCs w:val="24"/>
        </w:rPr>
        <w:t xml:space="preserve"> </w:t>
      </w:r>
      <w:r w:rsidRPr="003D54D9">
        <w:rPr>
          <w:sz w:val="24"/>
          <w:szCs w:val="24"/>
        </w:rPr>
        <w:t>homes was associated with a £0.35 fall in hospital co</w:t>
      </w:r>
      <w:r w:rsidR="00E04A7B" w:rsidRPr="003D54D9">
        <w:rPr>
          <w:sz w:val="24"/>
          <w:szCs w:val="24"/>
        </w:rPr>
        <w:t>s</w:t>
      </w:r>
      <w:r w:rsidRPr="003D54D9">
        <w:rPr>
          <w:sz w:val="24"/>
          <w:szCs w:val="24"/>
        </w:rPr>
        <w:t xml:space="preserve">ts. </w:t>
      </w:r>
      <w:r w:rsidR="00684DD0">
        <w:rPr>
          <w:sz w:val="24"/>
          <w:szCs w:val="24"/>
        </w:rPr>
        <w:t xml:space="preserve"> </w:t>
      </w:r>
      <w:r w:rsidR="004648C4" w:rsidRPr="003D54D9">
        <w:rPr>
          <w:sz w:val="24"/>
          <w:szCs w:val="24"/>
        </w:rPr>
        <w:t>Fernandez and Forder (2008) and Gaughan et al</w:t>
      </w:r>
      <w:r w:rsidR="00CC60BC" w:rsidRPr="003D54D9">
        <w:rPr>
          <w:sz w:val="24"/>
          <w:szCs w:val="24"/>
        </w:rPr>
        <w:t>.</w:t>
      </w:r>
      <w:r w:rsidR="008125B9">
        <w:rPr>
          <w:sz w:val="24"/>
          <w:szCs w:val="24"/>
        </w:rPr>
        <w:t xml:space="preserve"> (2015</w:t>
      </w:r>
      <w:r w:rsidR="004648C4" w:rsidRPr="003D54D9">
        <w:rPr>
          <w:sz w:val="24"/>
          <w:szCs w:val="24"/>
        </w:rPr>
        <w:t xml:space="preserve">) found </w:t>
      </w:r>
      <w:r w:rsidR="00684DD0">
        <w:rPr>
          <w:sz w:val="24"/>
          <w:szCs w:val="24"/>
        </w:rPr>
        <w:t xml:space="preserve">that </w:t>
      </w:r>
      <w:r w:rsidRPr="003D54D9">
        <w:rPr>
          <w:sz w:val="24"/>
          <w:szCs w:val="24"/>
        </w:rPr>
        <w:t xml:space="preserve">English </w:t>
      </w:r>
      <w:r w:rsidR="004648C4" w:rsidRPr="003D54D9">
        <w:rPr>
          <w:sz w:val="24"/>
          <w:szCs w:val="24"/>
        </w:rPr>
        <w:t>patients living in Local Authorities with fewer care</w:t>
      </w:r>
      <w:r w:rsidR="00641AED">
        <w:rPr>
          <w:sz w:val="24"/>
          <w:szCs w:val="24"/>
        </w:rPr>
        <w:t xml:space="preserve"> </w:t>
      </w:r>
      <w:r w:rsidR="004648C4" w:rsidRPr="003D54D9">
        <w:rPr>
          <w:sz w:val="24"/>
          <w:szCs w:val="24"/>
        </w:rPr>
        <w:t>home and nursing</w:t>
      </w:r>
      <w:r w:rsidR="001D178A">
        <w:rPr>
          <w:sz w:val="24"/>
          <w:szCs w:val="24"/>
        </w:rPr>
        <w:t xml:space="preserve"> </w:t>
      </w:r>
      <w:r w:rsidR="004648C4" w:rsidRPr="003D54D9">
        <w:rPr>
          <w:sz w:val="24"/>
          <w:szCs w:val="24"/>
        </w:rPr>
        <w:t xml:space="preserve">home beds </w:t>
      </w:r>
      <w:r w:rsidR="00492D24" w:rsidRPr="003D54D9">
        <w:rPr>
          <w:sz w:val="24"/>
          <w:szCs w:val="24"/>
        </w:rPr>
        <w:t xml:space="preserve">were </w:t>
      </w:r>
      <w:r w:rsidR="00684DD0">
        <w:rPr>
          <w:sz w:val="24"/>
          <w:szCs w:val="24"/>
        </w:rPr>
        <w:t xml:space="preserve">more likely to have a </w:t>
      </w:r>
      <w:r w:rsidR="00492D24" w:rsidRPr="003D54D9">
        <w:rPr>
          <w:sz w:val="24"/>
          <w:szCs w:val="24"/>
        </w:rPr>
        <w:t xml:space="preserve">delayed </w:t>
      </w:r>
      <w:r w:rsidR="00684DD0">
        <w:rPr>
          <w:sz w:val="24"/>
          <w:szCs w:val="24"/>
        </w:rPr>
        <w:t>discharge.  H</w:t>
      </w:r>
      <w:r w:rsidR="00A16C49">
        <w:rPr>
          <w:sz w:val="24"/>
          <w:szCs w:val="24"/>
        </w:rPr>
        <w:t>ospital</w:t>
      </w:r>
      <w:r w:rsidRPr="003D54D9">
        <w:rPr>
          <w:sz w:val="24"/>
          <w:szCs w:val="24"/>
        </w:rPr>
        <w:t xml:space="preserve"> readmissions </w:t>
      </w:r>
      <w:r w:rsidR="00684DD0">
        <w:rPr>
          <w:sz w:val="24"/>
          <w:szCs w:val="24"/>
        </w:rPr>
        <w:t xml:space="preserve">are also </w:t>
      </w:r>
      <w:r w:rsidRPr="003D54D9">
        <w:rPr>
          <w:sz w:val="24"/>
          <w:szCs w:val="24"/>
        </w:rPr>
        <w:t>higher in</w:t>
      </w:r>
      <w:r w:rsidR="00A16C49">
        <w:rPr>
          <w:sz w:val="24"/>
          <w:szCs w:val="24"/>
        </w:rPr>
        <w:t xml:space="preserve"> Local</w:t>
      </w:r>
      <w:r w:rsidRPr="003D54D9">
        <w:rPr>
          <w:sz w:val="24"/>
          <w:szCs w:val="24"/>
        </w:rPr>
        <w:t xml:space="preserve"> </w:t>
      </w:r>
      <w:r w:rsidR="000905FC" w:rsidRPr="003D54D9">
        <w:rPr>
          <w:sz w:val="24"/>
          <w:szCs w:val="24"/>
        </w:rPr>
        <w:t>Authorities</w:t>
      </w:r>
      <w:r w:rsidRPr="003D54D9">
        <w:rPr>
          <w:sz w:val="24"/>
          <w:szCs w:val="24"/>
        </w:rPr>
        <w:t xml:space="preserve"> with lower care</w:t>
      </w:r>
      <w:r w:rsidR="00641AED">
        <w:rPr>
          <w:sz w:val="24"/>
          <w:szCs w:val="24"/>
        </w:rPr>
        <w:t xml:space="preserve"> </w:t>
      </w:r>
      <w:r w:rsidRPr="003D54D9">
        <w:rPr>
          <w:sz w:val="24"/>
          <w:szCs w:val="24"/>
        </w:rPr>
        <w:t>home or home help supply</w:t>
      </w:r>
      <w:r w:rsidR="00684DD0">
        <w:rPr>
          <w:sz w:val="24"/>
          <w:szCs w:val="24"/>
        </w:rPr>
        <w:t xml:space="preserve"> </w:t>
      </w:r>
      <w:r w:rsidR="00496825">
        <w:rPr>
          <w:sz w:val="24"/>
          <w:szCs w:val="24"/>
        </w:rPr>
        <w:t>(</w:t>
      </w:r>
      <w:r w:rsidR="00684DD0" w:rsidRPr="003D54D9">
        <w:rPr>
          <w:sz w:val="24"/>
          <w:szCs w:val="24"/>
        </w:rPr>
        <w:t>Fernandez and Forder 2008)</w:t>
      </w:r>
      <w:r w:rsidRPr="003D54D9">
        <w:rPr>
          <w:sz w:val="24"/>
          <w:szCs w:val="24"/>
        </w:rPr>
        <w:t>.</w:t>
      </w:r>
      <w:r w:rsidR="00087771" w:rsidRPr="003D54D9">
        <w:rPr>
          <w:sz w:val="24"/>
          <w:szCs w:val="24"/>
        </w:rPr>
        <w:t xml:space="preserve"> </w:t>
      </w:r>
    </w:p>
    <w:p w:rsidR="00957CE4" w:rsidRDefault="00957CE4" w:rsidP="00957CE4">
      <w:pPr>
        <w:spacing w:after="0" w:line="480" w:lineRule="auto"/>
        <w:jc w:val="both"/>
        <w:rPr>
          <w:sz w:val="24"/>
          <w:szCs w:val="24"/>
        </w:rPr>
      </w:pPr>
    </w:p>
    <w:p w:rsidR="00B767B7" w:rsidRDefault="00146E39">
      <w:pPr>
        <w:spacing w:after="0" w:line="480" w:lineRule="auto"/>
        <w:jc w:val="both"/>
        <w:rPr>
          <w:sz w:val="24"/>
          <w:szCs w:val="24"/>
        </w:rPr>
      </w:pPr>
      <w:r>
        <w:rPr>
          <w:sz w:val="24"/>
          <w:szCs w:val="24"/>
        </w:rPr>
        <w:lastRenderedPageBreak/>
        <w:t xml:space="preserve"> </w:t>
      </w:r>
      <w:r w:rsidR="004D11AD" w:rsidRPr="003D54D9">
        <w:rPr>
          <w:sz w:val="24"/>
          <w:szCs w:val="24"/>
        </w:rPr>
        <w:t>Our</w:t>
      </w:r>
      <w:r w:rsidR="004601F3" w:rsidRPr="003D54D9">
        <w:rPr>
          <w:sz w:val="24"/>
          <w:szCs w:val="24"/>
        </w:rPr>
        <w:t xml:space="preserve"> study contributes to</w:t>
      </w:r>
      <w:r w:rsidR="00EB5541">
        <w:rPr>
          <w:sz w:val="24"/>
          <w:szCs w:val="24"/>
        </w:rPr>
        <w:t xml:space="preserve"> the</w:t>
      </w:r>
      <w:r w:rsidR="004601F3" w:rsidRPr="003D54D9">
        <w:rPr>
          <w:sz w:val="24"/>
          <w:szCs w:val="24"/>
        </w:rPr>
        <w:t xml:space="preserve"> literature on the substitution of hospital and LTC</w:t>
      </w:r>
      <w:r w:rsidR="002A2B1D" w:rsidRPr="003D54D9">
        <w:rPr>
          <w:sz w:val="24"/>
          <w:szCs w:val="24"/>
        </w:rPr>
        <w:t>.</w:t>
      </w:r>
      <w:r w:rsidR="004601F3" w:rsidRPr="003D54D9">
        <w:rPr>
          <w:sz w:val="24"/>
          <w:szCs w:val="24"/>
        </w:rPr>
        <w:t xml:space="preserve"> </w:t>
      </w:r>
      <w:r w:rsidR="00684DD0">
        <w:rPr>
          <w:sz w:val="24"/>
          <w:szCs w:val="24"/>
        </w:rPr>
        <w:t xml:space="preserve"> The analyses in </w:t>
      </w:r>
      <w:r w:rsidR="00684DD0" w:rsidRPr="003D54D9">
        <w:rPr>
          <w:sz w:val="24"/>
          <w:szCs w:val="24"/>
        </w:rPr>
        <w:t>Fernandez and Forder (2008) and Gaughan et al.</w:t>
      </w:r>
      <w:r w:rsidR="00684DD0">
        <w:rPr>
          <w:sz w:val="24"/>
          <w:szCs w:val="24"/>
        </w:rPr>
        <w:t xml:space="preserve"> (2015</w:t>
      </w:r>
      <w:r w:rsidR="00684DD0" w:rsidRPr="003D54D9">
        <w:rPr>
          <w:sz w:val="24"/>
          <w:szCs w:val="24"/>
        </w:rPr>
        <w:t>)</w:t>
      </w:r>
      <w:r w:rsidR="00684DD0">
        <w:rPr>
          <w:sz w:val="24"/>
          <w:szCs w:val="24"/>
        </w:rPr>
        <w:t xml:space="preserve"> were at </w:t>
      </w:r>
      <w:r w:rsidR="002A2B1D" w:rsidRPr="003D54D9">
        <w:rPr>
          <w:sz w:val="24"/>
          <w:szCs w:val="24"/>
        </w:rPr>
        <w:t xml:space="preserve">Local </w:t>
      </w:r>
      <w:r w:rsidR="00684DD0">
        <w:rPr>
          <w:sz w:val="24"/>
          <w:szCs w:val="24"/>
        </w:rPr>
        <w:t>Authority level and could not examine the impact of hospital characteristics</w:t>
      </w:r>
      <w:r w:rsidR="005A6895">
        <w:rPr>
          <w:sz w:val="24"/>
          <w:szCs w:val="24"/>
        </w:rPr>
        <w:t xml:space="preserve"> on hospital delays since </w:t>
      </w:r>
      <w:r w:rsidR="00ED14F2">
        <w:rPr>
          <w:sz w:val="24"/>
          <w:szCs w:val="24"/>
        </w:rPr>
        <w:t>patients resident in a local authorit</w:t>
      </w:r>
      <w:r w:rsidR="005A6895">
        <w:rPr>
          <w:sz w:val="24"/>
          <w:szCs w:val="24"/>
        </w:rPr>
        <w:t>y</w:t>
      </w:r>
      <w:r w:rsidR="00ED14F2">
        <w:rPr>
          <w:sz w:val="24"/>
          <w:szCs w:val="24"/>
        </w:rPr>
        <w:t xml:space="preserve"> are likely to be treated in several hospital</w:t>
      </w:r>
      <w:r w:rsidR="00EF27FC">
        <w:rPr>
          <w:sz w:val="24"/>
          <w:szCs w:val="24"/>
        </w:rPr>
        <w:t>s</w:t>
      </w:r>
      <w:r w:rsidR="00ED14F2">
        <w:rPr>
          <w:sz w:val="24"/>
          <w:szCs w:val="24"/>
        </w:rPr>
        <w:t>.  We believe</w:t>
      </w:r>
      <w:r w:rsidR="005A6895">
        <w:rPr>
          <w:sz w:val="24"/>
          <w:szCs w:val="24"/>
        </w:rPr>
        <w:t xml:space="preserve"> our study is the first </w:t>
      </w:r>
      <w:r w:rsidR="00ED14F2">
        <w:rPr>
          <w:sz w:val="24"/>
          <w:szCs w:val="24"/>
        </w:rPr>
        <w:t>which attempts to examine</w:t>
      </w:r>
      <w:r w:rsidR="006F4FBD" w:rsidRPr="00B767B7">
        <w:rPr>
          <w:sz w:val="24"/>
          <w:szCs w:val="24"/>
        </w:rPr>
        <w:t xml:space="preserve"> variations in delayed discharges across </w:t>
      </w:r>
      <w:r w:rsidR="006F4FBD" w:rsidRPr="00B767B7">
        <w:rPr>
          <w:i/>
          <w:sz w:val="24"/>
          <w:szCs w:val="24"/>
        </w:rPr>
        <w:t>hospitals.</w:t>
      </w:r>
      <w:r w:rsidR="00ED14F2">
        <w:rPr>
          <w:i/>
          <w:sz w:val="24"/>
          <w:szCs w:val="24"/>
        </w:rPr>
        <w:t xml:space="preserve"> </w:t>
      </w:r>
      <w:r>
        <w:rPr>
          <w:sz w:val="24"/>
          <w:szCs w:val="24"/>
        </w:rPr>
        <w:t xml:space="preserve"> It is also relevant for the </w:t>
      </w:r>
      <w:r w:rsidR="00B767B7" w:rsidRPr="00160103">
        <w:rPr>
          <w:sz w:val="24"/>
          <w:szCs w:val="24"/>
        </w:rPr>
        <w:t>extensive empirical literature on quality and efficiency di</w:t>
      </w:r>
      <w:r w:rsidR="00ED14F2">
        <w:rPr>
          <w:sz w:val="24"/>
          <w:szCs w:val="24"/>
        </w:rPr>
        <w:t>fferences across hospital types (</w:t>
      </w:r>
      <w:r w:rsidR="00B767B7" w:rsidRPr="00160103">
        <w:rPr>
          <w:sz w:val="24"/>
          <w:szCs w:val="24"/>
        </w:rPr>
        <w:t>for-profit versus non-profit, specialised versus non-specialised</w:t>
      </w:r>
      <w:r w:rsidR="00ED14F2">
        <w:rPr>
          <w:sz w:val="24"/>
          <w:szCs w:val="24"/>
        </w:rPr>
        <w:t xml:space="preserve"> etc) as surveyed in Eggleston (</w:t>
      </w:r>
      <w:r w:rsidR="00B767B7" w:rsidRPr="00160103">
        <w:rPr>
          <w:sz w:val="24"/>
          <w:szCs w:val="24"/>
        </w:rPr>
        <w:t>2008</w:t>
      </w:r>
      <w:r w:rsidR="00ED14F2">
        <w:rPr>
          <w:sz w:val="24"/>
          <w:szCs w:val="24"/>
        </w:rPr>
        <w:t xml:space="preserve">). </w:t>
      </w:r>
    </w:p>
    <w:p w:rsidR="00957CE4" w:rsidRDefault="00957CE4" w:rsidP="00957CE4">
      <w:pPr>
        <w:spacing w:after="0" w:line="480" w:lineRule="auto"/>
        <w:jc w:val="both"/>
        <w:rPr>
          <w:sz w:val="24"/>
          <w:szCs w:val="24"/>
        </w:rPr>
      </w:pPr>
    </w:p>
    <w:p w:rsidR="00FF3DCD" w:rsidRDefault="00742D32" w:rsidP="00957CE4">
      <w:pPr>
        <w:spacing w:after="0" w:line="480" w:lineRule="auto"/>
        <w:jc w:val="both"/>
        <w:rPr>
          <w:sz w:val="24"/>
          <w:szCs w:val="24"/>
        </w:rPr>
      </w:pPr>
      <w:r w:rsidRPr="003D54D9">
        <w:rPr>
          <w:sz w:val="24"/>
          <w:szCs w:val="24"/>
        </w:rPr>
        <w:t xml:space="preserve">Section </w:t>
      </w:r>
      <w:r w:rsidR="00C54600">
        <w:rPr>
          <w:sz w:val="24"/>
          <w:szCs w:val="24"/>
        </w:rPr>
        <w:t>2</w:t>
      </w:r>
      <w:r w:rsidRPr="003D54D9">
        <w:rPr>
          <w:sz w:val="24"/>
          <w:szCs w:val="24"/>
        </w:rPr>
        <w:t xml:space="preserve"> details the data.</w:t>
      </w:r>
      <w:r w:rsidR="00C54600">
        <w:rPr>
          <w:sz w:val="24"/>
          <w:szCs w:val="24"/>
        </w:rPr>
        <w:t xml:space="preserve"> Section</w:t>
      </w:r>
      <w:r w:rsidRPr="003D54D9">
        <w:rPr>
          <w:sz w:val="24"/>
          <w:szCs w:val="24"/>
        </w:rPr>
        <w:t xml:space="preserve"> </w:t>
      </w:r>
      <w:r w:rsidR="00C54600">
        <w:rPr>
          <w:sz w:val="24"/>
          <w:szCs w:val="24"/>
        </w:rPr>
        <w:t>3</w:t>
      </w:r>
      <w:r w:rsidR="00C54600" w:rsidRPr="003D54D9">
        <w:rPr>
          <w:sz w:val="24"/>
          <w:szCs w:val="24"/>
        </w:rPr>
        <w:t xml:space="preserve"> </w:t>
      </w:r>
      <w:r w:rsidR="00C54600">
        <w:rPr>
          <w:sz w:val="24"/>
          <w:szCs w:val="24"/>
        </w:rPr>
        <w:t>provides the methods</w:t>
      </w:r>
      <w:r w:rsidR="00C54600" w:rsidRPr="003D54D9">
        <w:rPr>
          <w:sz w:val="24"/>
          <w:szCs w:val="24"/>
        </w:rPr>
        <w:t xml:space="preserve">. </w:t>
      </w:r>
      <w:r w:rsidRPr="003D54D9">
        <w:rPr>
          <w:sz w:val="24"/>
          <w:szCs w:val="24"/>
        </w:rPr>
        <w:t>Section 4 report</w:t>
      </w:r>
      <w:r w:rsidR="00B66EFD">
        <w:rPr>
          <w:sz w:val="24"/>
          <w:szCs w:val="24"/>
        </w:rPr>
        <w:t>s</w:t>
      </w:r>
      <w:r w:rsidRPr="003D54D9">
        <w:rPr>
          <w:sz w:val="24"/>
          <w:szCs w:val="24"/>
        </w:rPr>
        <w:t xml:space="preserve"> descriptive statistics and </w:t>
      </w:r>
      <w:r w:rsidR="00B66EFD">
        <w:rPr>
          <w:sz w:val="24"/>
          <w:szCs w:val="24"/>
        </w:rPr>
        <w:t>regression results</w:t>
      </w:r>
      <w:r w:rsidRPr="003D54D9">
        <w:rPr>
          <w:sz w:val="24"/>
          <w:szCs w:val="24"/>
        </w:rPr>
        <w:t xml:space="preserve">. Section 5 </w:t>
      </w:r>
      <w:r w:rsidR="00B66EFD">
        <w:rPr>
          <w:sz w:val="24"/>
          <w:szCs w:val="24"/>
        </w:rPr>
        <w:t>discusses</w:t>
      </w:r>
      <w:r w:rsidR="00B66EFD" w:rsidRPr="003D54D9">
        <w:rPr>
          <w:sz w:val="24"/>
          <w:szCs w:val="24"/>
        </w:rPr>
        <w:t xml:space="preserve"> </w:t>
      </w:r>
      <w:r w:rsidRPr="003D54D9">
        <w:rPr>
          <w:sz w:val="24"/>
          <w:szCs w:val="24"/>
        </w:rPr>
        <w:t xml:space="preserve">potential mechanisms </w:t>
      </w:r>
      <w:r w:rsidR="00B66EFD">
        <w:rPr>
          <w:sz w:val="24"/>
          <w:szCs w:val="24"/>
        </w:rPr>
        <w:t xml:space="preserve">underlying </w:t>
      </w:r>
      <w:r w:rsidRPr="003D54D9">
        <w:rPr>
          <w:sz w:val="24"/>
          <w:szCs w:val="24"/>
        </w:rPr>
        <w:t>the findings</w:t>
      </w:r>
      <w:r w:rsidR="00DC2ECF" w:rsidRPr="003D54D9">
        <w:rPr>
          <w:sz w:val="24"/>
          <w:szCs w:val="24"/>
        </w:rPr>
        <w:t>. Section 6 concludes</w:t>
      </w:r>
      <w:r w:rsidRPr="003D54D9">
        <w:rPr>
          <w:sz w:val="24"/>
          <w:szCs w:val="24"/>
        </w:rPr>
        <w:t xml:space="preserve">. </w:t>
      </w:r>
    </w:p>
    <w:p w:rsidR="00957CE4" w:rsidRDefault="00957CE4" w:rsidP="00957CE4">
      <w:pPr>
        <w:spacing w:after="0" w:line="480" w:lineRule="auto"/>
        <w:jc w:val="both"/>
        <w:rPr>
          <w:sz w:val="24"/>
          <w:szCs w:val="24"/>
        </w:rPr>
      </w:pPr>
    </w:p>
    <w:p w:rsidR="00CD639B" w:rsidRPr="005E6343" w:rsidRDefault="00CD639B" w:rsidP="00957CE4">
      <w:pPr>
        <w:pStyle w:val="Heading1"/>
        <w:spacing w:before="0" w:line="480" w:lineRule="auto"/>
        <w:jc w:val="both"/>
      </w:pPr>
      <w:r w:rsidRPr="005E6343">
        <w:t>2. Data</w:t>
      </w:r>
    </w:p>
    <w:p w:rsidR="003D4D76" w:rsidRPr="005A6895" w:rsidRDefault="003D4D76" w:rsidP="003D4D76">
      <w:pPr>
        <w:spacing w:after="0" w:line="480" w:lineRule="auto"/>
        <w:jc w:val="both"/>
        <w:rPr>
          <w:sz w:val="24"/>
          <w:szCs w:val="24"/>
        </w:rPr>
      </w:pPr>
      <w:r w:rsidRPr="005A6895">
        <w:rPr>
          <w:sz w:val="24"/>
          <w:szCs w:val="24"/>
        </w:rPr>
        <w:t xml:space="preserve">We employ a new database which measures delays at hospital </w:t>
      </w:r>
      <w:r w:rsidR="00ED14F2" w:rsidRPr="005A6895">
        <w:rPr>
          <w:sz w:val="24"/>
          <w:szCs w:val="24"/>
        </w:rPr>
        <w:t>Trust</w:t>
      </w:r>
      <w:r w:rsidR="00ED14F2" w:rsidRPr="005A6895">
        <w:rPr>
          <w:rStyle w:val="FootnoteReference"/>
          <w:sz w:val="24"/>
          <w:szCs w:val="24"/>
        </w:rPr>
        <w:footnoteReference w:id="3"/>
      </w:r>
      <w:r w:rsidR="00ED14F2" w:rsidRPr="005A6895">
        <w:rPr>
          <w:sz w:val="24"/>
          <w:szCs w:val="24"/>
        </w:rPr>
        <w:t xml:space="preserve"> </w:t>
      </w:r>
      <w:r w:rsidR="00253BA2" w:rsidRPr="005A6895">
        <w:rPr>
          <w:sz w:val="24"/>
          <w:szCs w:val="24"/>
        </w:rPr>
        <w:t xml:space="preserve">level </w:t>
      </w:r>
      <w:r w:rsidRPr="005A6895">
        <w:rPr>
          <w:sz w:val="24"/>
          <w:szCs w:val="24"/>
        </w:rPr>
        <w:t xml:space="preserve">and includes all NHS Hospital Trusts </w:t>
      </w:r>
      <w:r w:rsidR="005A6895" w:rsidRPr="005A6895">
        <w:rPr>
          <w:color w:val="000000"/>
          <w:sz w:val="24"/>
          <w:szCs w:val="24"/>
          <w:lang w:eastAsia="en-GB"/>
        </w:rPr>
        <w:t>in three financial years: 2011-12, 2012-13 and 2013-14</w:t>
      </w:r>
      <w:r w:rsidRPr="005A6895">
        <w:rPr>
          <w:sz w:val="24"/>
          <w:szCs w:val="24"/>
        </w:rPr>
        <w:t xml:space="preserve">. </w:t>
      </w:r>
    </w:p>
    <w:p w:rsidR="003D4D76" w:rsidRDefault="003D4D76" w:rsidP="003D4D76"/>
    <w:p w:rsidR="00CD639B" w:rsidRPr="005E6343" w:rsidRDefault="00CD639B" w:rsidP="00957CE4">
      <w:pPr>
        <w:pStyle w:val="Heading2"/>
        <w:spacing w:before="0" w:line="480" w:lineRule="auto"/>
        <w:jc w:val="both"/>
        <w:rPr>
          <w:color w:val="365F91" w:themeColor="accent1" w:themeShade="BF"/>
        </w:rPr>
      </w:pPr>
      <w:r w:rsidRPr="005E6343">
        <w:rPr>
          <w:color w:val="365F91" w:themeColor="accent1" w:themeShade="BF"/>
        </w:rPr>
        <w:t>2.1. Dependent Variable</w:t>
      </w:r>
    </w:p>
    <w:p w:rsidR="005D1905" w:rsidRDefault="00ED14F2" w:rsidP="00957CE4">
      <w:pPr>
        <w:spacing w:after="0" w:line="480" w:lineRule="auto"/>
        <w:jc w:val="both"/>
        <w:rPr>
          <w:sz w:val="24"/>
          <w:szCs w:val="24"/>
        </w:rPr>
      </w:pPr>
      <w:r>
        <w:rPr>
          <w:sz w:val="24"/>
          <w:szCs w:val="24"/>
        </w:rPr>
        <w:t xml:space="preserve">Information on </w:t>
      </w:r>
      <w:r w:rsidR="00CD639B" w:rsidRPr="000217CB">
        <w:rPr>
          <w:sz w:val="24"/>
          <w:szCs w:val="24"/>
        </w:rPr>
        <w:t>hospital delays are reported at hospital</w:t>
      </w:r>
      <w:r w:rsidR="00567349">
        <w:rPr>
          <w:sz w:val="24"/>
          <w:szCs w:val="24"/>
        </w:rPr>
        <w:t>,</w:t>
      </w:r>
      <w:r w:rsidR="00CD639B" w:rsidRPr="000217CB">
        <w:rPr>
          <w:sz w:val="24"/>
          <w:szCs w:val="24"/>
        </w:rPr>
        <w:t xml:space="preserve"> </w:t>
      </w:r>
      <w:r>
        <w:rPr>
          <w:sz w:val="24"/>
          <w:szCs w:val="24"/>
        </w:rPr>
        <w:t xml:space="preserve">rather than </w:t>
      </w:r>
      <w:r w:rsidR="00567349">
        <w:rPr>
          <w:sz w:val="24"/>
          <w:szCs w:val="24"/>
        </w:rPr>
        <w:t xml:space="preserve">individual </w:t>
      </w:r>
      <w:r w:rsidR="00CD639B" w:rsidRPr="000217CB">
        <w:rPr>
          <w:sz w:val="24"/>
          <w:szCs w:val="24"/>
        </w:rPr>
        <w:t>patient</w:t>
      </w:r>
      <w:r w:rsidR="00567349">
        <w:rPr>
          <w:sz w:val="24"/>
          <w:szCs w:val="24"/>
        </w:rPr>
        <w:t>,</w:t>
      </w:r>
      <w:r w:rsidR="00CD639B" w:rsidRPr="000217CB">
        <w:rPr>
          <w:sz w:val="24"/>
          <w:szCs w:val="24"/>
        </w:rPr>
        <w:t xml:space="preserve"> level</w:t>
      </w:r>
      <w:r w:rsidR="00567349">
        <w:rPr>
          <w:sz w:val="24"/>
          <w:szCs w:val="24"/>
        </w:rPr>
        <w:t xml:space="preserve">. The </w:t>
      </w:r>
      <w:r w:rsidR="00CD639B" w:rsidRPr="003D54D9">
        <w:rPr>
          <w:sz w:val="24"/>
          <w:szCs w:val="24"/>
        </w:rPr>
        <w:t>“Acute and Non-Acute Delayed Transfers of Ca</w:t>
      </w:r>
      <w:r w:rsidR="00567349">
        <w:rPr>
          <w:sz w:val="24"/>
          <w:szCs w:val="24"/>
        </w:rPr>
        <w:t>re” dataset (</w:t>
      </w:r>
      <w:r w:rsidR="00343E91">
        <w:rPr>
          <w:sz w:val="24"/>
          <w:szCs w:val="24"/>
        </w:rPr>
        <w:t>NHS England 2014</w:t>
      </w:r>
      <w:r w:rsidR="00567349">
        <w:rPr>
          <w:sz w:val="24"/>
          <w:szCs w:val="24"/>
        </w:rPr>
        <w:t xml:space="preserve">a) contains monthly information submitted by Trusts to the Department of Health on </w:t>
      </w:r>
      <w:r w:rsidR="00CD639B" w:rsidRPr="003D54D9">
        <w:rPr>
          <w:sz w:val="24"/>
          <w:szCs w:val="24"/>
        </w:rPr>
        <w:t>the number of delayed transfers of patients</w:t>
      </w:r>
      <w:r w:rsidR="00567349">
        <w:rPr>
          <w:sz w:val="24"/>
          <w:szCs w:val="24"/>
        </w:rPr>
        <w:t xml:space="preserve"> as required by the </w:t>
      </w:r>
      <w:r w:rsidR="00CD639B" w:rsidRPr="003D54D9">
        <w:rPr>
          <w:sz w:val="24"/>
          <w:szCs w:val="24"/>
        </w:rPr>
        <w:t xml:space="preserve">Delayed Discharges (Community </w:t>
      </w:r>
      <w:r w:rsidR="00CD639B" w:rsidRPr="003D54D9">
        <w:rPr>
          <w:sz w:val="24"/>
          <w:szCs w:val="24"/>
        </w:rPr>
        <w:lastRenderedPageBreak/>
        <w:t>Care Etc) Act (2003)</w:t>
      </w:r>
      <w:r w:rsidR="00567349">
        <w:rPr>
          <w:sz w:val="24"/>
          <w:szCs w:val="24"/>
        </w:rPr>
        <w:t>.</w:t>
      </w:r>
      <w:r w:rsidR="00CD639B" w:rsidRPr="003D54D9">
        <w:rPr>
          <w:rStyle w:val="FootnoteReference"/>
          <w:sz w:val="24"/>
          <w:szCs w:val="24"/>
        </w:rPr>
        <w:footnoteReference w:id="4"/>
      </w:r>
      <w:r w:rsidR="00CD639B" w:rsidRPr="003D54D9">
        <w:rPr>
          <w:sz w:val="24"/>
          <w:szCs w:val="24"/>
        </w:rPr>
        <w:t xml:space="preserve"> </w:t>
      </w:r>
      <w:r w:rsidR="00146E39">
        <w:rPr>
          <w:sz w:val="24"/>
          <w:szCs w:val="24"/>
        </w:rPr>
        <w:t xml:space="preserve">Since the </w:t>
      </w:r>
      <w:r w:rsidR="0096213E">
        <w:rPr>
          <w:sz w:val="24"/>
          <w:szCs w:val="24"/>
        </w:rPr>
        <w:t xml:space="preserve"> Act </w:t>
      </w:r>
      <w:r w:rsidR="00146E39">
        <w:rPr>
          <w:sz w:val="24"/>
          <w:szCs w:val="24"/>
        </w:rPr>
        <w:t xml:space="preserve">only </w:t>
      </w:r>
      <w:r w:rsidR="0096213E">
        <w:rPr>
          <w:sz w:val="24"/>
          <w:szCs w:val="24"/>
        </w:rPr>
        <w:t xml:space="preserve">covers delays among adults specialist children’s hospitals </w:t>
      </w:r>
      <w:r w:rsidR="00146E39">
        <w:rPr>
          <w:sz w:val="24"/>
          <w:szCs w:val="24"/>
        </w:rPr>
        <w:t xml:space="preserve">are not included in </w:t>
      </w:r>
      <w:r w:rsidR="0096213E">
        <w:rPr>
          <w:sz w:val="24"/>
          <w:szCs w:val="24"/>
        </w:rPr>
        <w:t xml:space="preserve">the analysis. </w:t>
      </w:r>
      <w:r w:rsidR="00146E39">
        <w:rPr>
          <w:sz w:val="24"/>
          <w:szCs w:val="24"/>
        </w:rPr>
        <w:t xml:space="preserve">We also exclude hospitals </w:t>
      </w:r>
      <w:r w:rsidR="0096213E">
        <w:rPr>
          <w:sz w:val="24"/>
          <w:szCs w:val="24"/>
        </w:rPr>
        <w:t xml:space="preserve">specialising in maternity, gynaecology and neonatal care, sometimes referred to as ‘Women’s Hospitals’ </w:t>
      </w:r>
      <w:r w:rsidR="00146E39">
        <w:rPr>
          <w:sz w:val="24"/>
          <w:szCs w:val="24"/>
        </w:rPr>
        <w:t xml:space="preserve">as they </w:t>
      </w:r>
      <w:r w:rsidR="0096213E">
        <w:rPr>
          <w:sz w:val="24"/>
          <w:szCs w:val="24"/>
        </w:rPr>
        <w:t>serve relatively young patients who are unlikely to require long term care</w:t>
      </w:r>
      <w:r w:rsidR="002006A0">
        <w:rPr>
          <w:sz w:val="24"/>
          <w:szCs w:val="24"/>
        </w:rPr>
        <w:t xml:space="preserve"> and who have a negli</w:t>
      </w:r>
      <w:r w:rsidR="00EF27FC">
        <w:rPr>
          <w:sz w:val="24"/>
          <w:szCs w:val="24"/>
        </w:rPr>
        <w:t>gi</w:t>
      </w:r>
      <w:r w:rsidR="002006A0">
        <w:rPr>
          <w:sz w:val="24"/>
          <w:szCs w:val="24"/>
        </w:rPr>
        <w:t>ble number of delayed discharges</w:t>
      </w:r>
      <w:r w:rsidR="0096213E">
        <w:rPr>
          <w:sz w:val="24"/>
          <w:szCs w:val="24"/>
        </w:rPr>
        <w:t>.</w:t>
      </w:r>
      <w:r w:rsidR="00567349">
        <w:rPr>
          <w:sz w:val="24"/>
          <w:szCs w:val="24"/>
        </w:rPr>
        <w:t xml:space="preserve">  We have information on </w:t>
      </w:r>
      <w:r w:rsidR="00567349" w:rsidRPr="003D54D9">
        <w:rPr>
          <w:sz w:val="24"/>
          <w:szCs w:val="24"/>
        </w:rPr>
        <w:t>delays</w:t>
      </w:r>
      <w:r w:rsidR="00567349">
        <w:rPr>
          <w:sz w:val="24"/>
          <w:szCs w:val="24"/>
        </w:rPr>
        <w:t xml:space="preserve"> </w:t>
      </w:r>
      <w:r w:rsidR="00567349" w:rsidRPr="003D54D9">
        <w:rPr>
          <w:sz w:val="24"/>
          <w:szCs w:val="24"/>
        </w:rPr>
        <w:t xml:space="preserve">for all English Acute and Mental Health Trusts in </w:t>
      </w:r>
      <w:r w:rsidR="00567349">
        <w:rPr>
          <w:sz w:val="24"/>
          <w:szCs w:val="24"/>
        </w:rPr>
        <w:t>three</w:t>
      </w:r>
      <w:r w:rsidR="00567349" w:rsidRPr="003D54D9">
        <w:rPr>
          <w:sz w:val="24"/>
          <w:szCs w:val="24"/>
        </w:rPr>
        <w:t xml:space="preserve"> financial years. </w:t>
      </w:r>
      <w:r w:rsidR="00567349">
        <w:rPr>
          <w:sz w:val="24"/>
          <w:szCs w:val="24"/>
        </w:rPr>
        <w:t xml:space="preserve"> </w:t>
      </w:r>
    </w:p>
    <w:p w:rsidR="00957CE4" w:rsidRDefault="00957CE4" w:rsidP="00957CE4">
      <w:pPr>
        <w:spacing w:after="0" w:line="480" w:lineRule="auto"/>
        <w:jc w:val="both"/>
        <w:rPr>
          <w:sz w:val="24"/>
          <w:szCs w:val="24"/>
        </w:rPr>
      </w:pPr>
    </w:p>
    <w:p w:rsidR="00CD639B" w:rsidRDefault="00CD639B" w:rsidP="00957CE4">
      <w:pPr>
        <w:spacing w:after="0" w:line="480" w:lineRule="auto"/>
        <w:jc w:val="both"/>
        <w:rPr>
          <w:sz w:val="24"/>
          <w:szCs w:val="24"/>
        </w:rPr>
      </w:pPr>
      <w:r w:rsidRPr="003D54D9">
        <w:rPr>
          <w:sz w:val="24"/>
          <w:szCs w:val="24"/>
        </w:rPr>
        <w:t xml:space="preserve">A delay is defined as occurring when </w:t>
      </w:r>
      <w:r>
        <w:rPr>
          <w:sz w:val="24"/>
          <w:szCs w:val="24"/>
        </w:rPr>
        <w:t>a</w:t>
      </w:r>
      <w:r w:rsidRPr="003D54D9">
        <w:rPr>
          <w:sz w:val="24"/>
          <w:szCs w:val="24"/>
        </w:rPr>
        <w:t xml:space="preserve"> clinical decision has been made that </w:t>
      </w:r>
      <w:r>
        <w:rPr>
          <w:sz w:val="24"/>
          <w:szCs w:val="24"/>
        </w:rPr>
        <w:t xml:space="preserve">a </w:t>
      </w:r>
      <w:r w:rsidRPr="003D54D9">
        <w:rPr>
          <w:sz w:val="24"/>
          <w:szCs w:val="24"/>
        </w:rPr>
        <w:t xml:space="preserve">patient is ready for </w:t>
      </w:r>
      <w:r w:rsidR="00567349">
        <w:rPr>
          <w:sz w:val="24"/>
          <w:szCs w:val="24"/>
        </w:rPr>
        <w:t>discharge from hospital and</w:t>
      </w:r>
      <w:r w:rsidRPr="003D54D9">
        <w:rPr>
          <w:sz w:val="24"/>
          <w:szCs w:val="24"/>
        </w:rPr>
        <w:t xml:space="preserve"> a multidisciplinary team </w:t>
      </w:r>
      <w:r>
        <w:rPr>
          <w:sz w:val="24"/>
          <w:szCs w:val="24"/>
        </w:rPr>
        <w:t>agrees with this decision</w:t>
      </w:r>
      <w:r w:rsidR="00567349">
        <w:rPr>
          <w:sz w:val="24"/>
          <w:szCs w:val="24"/>
        </w:rPr>
        <w:t xml:space="preserve">. The </w:t>
      </w:r>
      <w:r w:rsidRPr="003D54D9">
        <w:rPr>
          <w:sz w:val="24"/>
          <w:szCs w:val="24"/>
        </w:rPr>
        <w:t xml:space="preserve">multi-disciplinary team includes “nursing and other health and social care professionals caring for that patient in an acute setting” (DH 2010b). </w:t>
      </w:r>
      <w:r>
        <w:rPr>
          <w:sz w:val="24"/>
          <w:szCs w:val="24"/>
        </w:rPr>
        <w:t>W</w:t>
      </w:r>
      <w:r w:rsidRPr="003D54D9">
        <w:rPr>
          <w:sz w:val="24"/>
          <w:szCs w:val="24"/>
        </w:rPr>
        <w:t>hen a delay</w:t>
      </w:r>
      <w:r w:rsidR="00567349">
        <w:rPr>
          <w:sz w:val="24"/>
          <w:szCs w:val="24"/>
        </w:rPr>
        <w:t>ed</w:t>
      </w:r>
      <w:r w:rsidRPr="003D54D9">
        <w:rPr>
          <w:sz w:val="24"/>
          <w:szCs w:val="24"/>
        </w:rPr>
        <w:t xml:space="preserve"> </w:t>
      </w:r>
      <w:r w:rsidR="00567349">
        <w:rPr>
          <w:sz w:val="24"/>
          <w:szCs w:val="24"/>
        </w:rPr>
        <w:t xml:space="preserve">discharge </w:t>
      </w:r>
      <w:r w:rsidRPr="003D54D9">
        <w:rPr>
          <w:sz w:val="24"/>
          <w:szCs w:val="24"/>
        </w:rPr>
        <w:t xml:space="preserve">occurs, </w:t>
      </w:r>
      <w:r>
        <w:rPr>
          <w:sz w:val="24"/>
          <w:szCs w:val="24"/>
        </w:rPr>
        <w:t>it</w:t>
      </w:r>
      <w:r w:rsidRPr="003D54D9">
        <w:rPr>
          <w:sz w:val="24"/>
          <w:szCs w:val="24"/>
        </w:rPr>
        <w:t xml:space="preserve"> is attributed</w:t>
      </w:r>
      <w:r>
        <w:rPr>
          <w:sz w:val="24"/>
          <w:szCs w:val="24"/>
        </w:rPr>
        <w:t xml:space="preserve"> </w:t>
      </w:r>
      <w:r w:rsidRPr="003D54D9">
        <w:rPr>
          <w:sz w:val="24"/>
          <w:szCs w:val="24"/>
        </w:rPr>
        <w:t xml:space="preserve">to the </w:t>
      </w:r>
      <w:r w:rsidR="00172B84" w:rsidRPr="003D54D9">
        <w:rPr>
          <w:sz w:val="24"/>
          <w:szCs w:val="24"/>
        </w:rPr>
        <w:t>NHS Trust where the patient was treated</w:t>
      </w:r>
      <w:r w:rsidR="00172B84">
        <w:rPr>
          <w:sz w:val="24"/>
          <w:szCs w:val="24"/>
        </w:rPr>
        <w:t>,</w:t>
      </w:r>
      <w:r w:rsidR="007153DF">
        <w:rPr>
          <w:sz w:val="24"/>
          <w:szCs w:val="24"/>
        </w:rPr>
        <w:t xml:space="preserve"> to the</w:t>
      </w:r>
      <w:r w:rsidR="00172B84">
        <w:rPr>
          <w:sz w:val="24"/>
          <w:szCs w:val="24"/>
        </w:rPr>
        <w:t xml:space="preserve"> </w:t>
      </w:r>
      <w:r w:rsidRPr="003D54D9">
        <w:rPr>
          <w:sz w:val="24"/>
          <w:szCs w:val="24"/>
        </w:rPr>
        <w:t>Local Authority where the patient resides, or to both. There is a formal dispute procedure for cases where agreement over attribution is not reached between the institutions concerned.</w:t>
      </w:r>
    </w:p>
    <w:p w:rsidR="00567349" w:rsidRDefault="00567349" w:rsidP="00957CE4">
      <w:pPr>
        <w:spacing w:after="0" w:line="480" w:lineRule="auto"/>
        <w:jc w:val="both"/>
        <w:rPr>
          <w:sz w:val="24"/>
          <w:szCs w:val="24"/>
        </w:rPr>
      </w:pPr>
    </w:p>
    <w:p w:rsidR="00CD639B" w:rsidRDefault="00567349" w:rsidP="00957CE4">
      <w:pPr>
        <w:spacing w:after="0" w:line="480" w:lineRule="auto"/>
        <w:jc w:val="both"/>
        <w:rPr>
          <w:sz w:val="24"/>
          <w:szCs w:val="24"/>
        </w:rPr>
      </w:pPr>
      <w:r>
        <w:rPr>
          <w:sz w:val="24"/>
          <w:szCs w:val="24"/>
        </w:rPr>
        <w:t>We measure d</w:t>
      </w:r>
      <w:r w:rsidR="00CD639B">
        <w:rPr>
          <w:sz w:val="24"/>
          <w:szCs w:val="24"/>
        </w:rPr>
        <w:t xml:space="preserve">elayed discharges </w:t>
      </w:r>
      <w:r w:rsidR="0011434C">
        <w:rPr>
          <w:sz w:val="24"/>
          <w:szCs w:val="24"/>
        </w:rPr>
        <w:t>as t</w:t>
      </w:r>
      <w:r w:rsidR="00CD639B" w:rsidRPr="003D54D9">
        <w:rPr>
          <w:sz w:val="24"/>
          <w:szCs w:val="24"/>
        </w:rPr>
        <w:t xml:space="preserve">he </w:t>
      </w:r>
      <w:r w:rsidR="00CD639B">
        <w:rPr>
          <w:sz w:val="24"/>
          <w:szCs w:val="24"/>
        </w:rPr>
        <w:t xml:space="preserve">total </w:t>
      </w:r>
      <w:r w:rsidR="00CD639B" w:rsidRPr="003D54D9">
        <w:rPr>
          <w:sz w:val="24"/>
          <w:szCs w:val="24"/>
        </w:rPr>
        <w:t xml:space="preserve">number of bed-days lost </w:t>
      </w:r>
      <w:r w:rsidR="002006A0">
        <w:rPr>
          <w:sz w:val="24"/>
          <w:szCs w:val="24"/>
        </w:rPr>
        <w:t xml:space="preserve">per year </w:t>
      </w:r>
      <w:r w:rsidR="0011434C">
        <w:rPr>
          <w:sz w:val="24"/>
          <w:szCs w:val="24"/>
        </w:rPr>
        <w:t xml:space="preserve">due to </w:t>
      </w:r>
      <w:r>
        <w:rPr>
          <w:sz w:val="24"/>
          <w:szCs w:val="24"/>
        </w:rPr>
        <w:t>delayed patients</w:t>
      </w:r>
      <w:r w:rsidR="002006A0">
        <w:rPr>
          <w:sz w:val="24"/>
          <w:szCs w:val="24"/>
        </w:rPr>
        <w:t>.</w:t>
      </w:r>
      <w:r>
        <w:rPr>
          <w:sz w:val="24"/>
          <w:szCs w:val="24"/>
        </w:rPr>
        <w:t xml:space="preserve"> </w:t>
      </w:r>
      <w:r w:rsidR="00970F23">
        <w:rPr>
          <w:sz w:val="24"/>
          <w:szCs w:val="24"/>
        </w:rPr>
        <w:t xml:space="preserve">  We measure </w:t>
      </w:r>
      <w:r w:rsidR="00CD639B">
        <w:rPr>
          <w:sz w:val="24"/>
          <w:szCs w:val="24"/>
        </w:rPr>
        <w:t>both the</w:t>
      </w:r>
      <w:r w:rsidR="00CD639B" w:rsidRPr="003D54D9">
        <w:rPr>
          <w:sz w:val="24"/>
          <w:szCs w:val="24"/>
        </w:rPr>
        <w:t xml:space="preserve"> total number of delay</w:t>
      </w:r>
      <w:r w:rsidR="002006A0">
        <w:rPr>
          <w:sz w:val="24"/>
          <w:szCs w:val="24"/>
        </w:rPr>
        <w:t>ed days</w:t>
      </w:r>
      <w:r w:rsidR="00172B84">
        <w:rPr>
          <w:sz w:val="24"/>
          <w:szCs w:val="24"/>
        </w:rPr>
        <w:t xml:space="preserve"> (</w:t>
      </w:r>
      <w:r w:rsidR="00172B84" w:rsidRPr="00026B6D">
        <w:rPr>
          <w:i/>
          <w:sz w:val="24"/>
          <w:szCs w:val="24"/>
        </w:rPr>
        <w:t>Delays</w:t>
      </w:r>
      <w:r w:rsidR="00172B84">
        <w:rPr>
          <w:sz w:val="24"/>
          <w:szCs w:val="24"/>
        </w:rPr>
        <w:t>)</w:t>
      </w:r>
      <w:r w:rsidR="00970F23">
        <w:rPr>
          <w:sz w:val="24"/>
          <w:szCs w:val="24"/>
        </w:rPr>
        <w:t xml:space="preserve">, whether </w:t>
      </w:r>
      <w:r w:rsidR="00172B84">
        <w:rPr>
          <w:sz w:val="24"/>
          <w:szCs w:val="24"/>
        </w:rPr>
        <w:t>attributed to the NHS or not</w:t>
      </w:r>
      <w:r w:rsidR="00970F23">
        <w:rPr>
          <w:sz w:val="24"/>
          <w:szCs w:val="24"/>
        </w:rPr>
        <w:t xml:space="preserve">, </w:t>
      </w:r>
      <w:r w:rsidR="00CD639B" w:rsidRPr="003D54D9">
        <w:rPr>
          <w:sz w:val="24"/>
          <w:szCs w:val="24"/>
        </w:rPr>
        <w:t xml:space="preserve">and those attributed to the NHS </w:t>
      </w:r>
      <w:r w:rsidR="0057683D">
        <w:rPr>
          <w:sz w:val="24"/>
          <w:szCs w:val="24"/>
        </w:rPr>
        <w:t xml:space="preserve">only </w:t>
      </w:r>
      <w:r w:rsidR="00CD639B" w:rsidRPr="003D54D9">
        <w:rPr>
          <w:sz w:val="24"/>
          <w:szCs w:val="24"/>
        </w:rPr>
        <w:t>(</w:t>
      </w:r>
      <w:r w:rsidR="00CD639B" w:rsidRPr="00026B6D">
        <w:rPr>
          <w:i/>
          <w:sz w:val="24"/>
          <w:szCs w:val="24"/>
        </w:rPr>
        <w:t>Delays</w:t>
      </w:r>
      <w:r w:rsidR="00172B84" w:rsidRPr="00026B6D">
        <w:rPr>
          <w:i/>
          <w:sz w:val="24"/>
          <w:szCs w:val="24"/>
        </w:rPr>
        <w:t xml:space="preserve"> attributed to the NHS</w:t>
      </w:r>
      <w:r w:rsidR="00CD639B" w:rsidRPr="003D54D9">
        <w:rPr>
          <w:sz w:val="24"/>
          <w:szCs w:val="24"/>
        </w:rPr>
        <w:t xml:space="preserve">). </w:t>
      </w:r>
    </w:p>
    <w:p w:rsidR="00957CE4" w:rsidRDefault="00957CE4" w:rsidP="00957CE4">
      <w:pPr>
        <w:spacing w:after="0" w:line="480" w:lineRule="auto"/>
        <w:jc w:val="both"/>
        <w:rPr>
          <w:sz w:val="24"/>
          <w:szCs w:val="24"/>
        </w:rPr>
      </w:pPr>
    </w:p>
    <w:p w:rsidR="00CD639B" w:rsidRPr="005E6343" w:rsidRDefault="00CD639B" w:rsidP="00957CE4">
      <w:pPr>
        <w:pStyle w:val="Heading2"/>
        <w:spacing w:before="0" w:line="480" w:lineRule="auto"/>
        <w:jc w:val="both"/>
        <w:rPr>
          <w:color w:val="365F91" w:themeColor="accent1" w:themeShade="BF"/>
        </w:rPr>
      </w:pPr>
      <w:r w:rsidRPr="005E6343">
        <w:rPr>
          <w:color w:val="365F91" w:themeColor="accent1" w:themeShade="BF"/>
        </w:rPr>
        <w:lastRenderedPageBreak/>
        <w:t>2.2. Types of Trust</w:t>
      </w:r>
    </w:p>
    <w:p w:rsidR="005D1905" w:rsidRDefault="00CD639B" w:rsidP="00957CE4">
      <w:pPr>
        <w:spacing w:after="0" w:line="480" w:lineRule="auto"/>
        <w:jc w:val="both"/>
        <w:rPr>
          <w:sz w:val="24"/>
          <w:szCs w:val="24"/>
        </w:rPr>
      </w:pPr>
      <w:r>
        <w:rPr>
          <w:sz w:val="24"/>
          <w:szCs w:val="24"/>
        </w:rPr>
        <w:t>Information on t</w:t>
      </w:r>
      <w:r w:rsidRPr="003D54D9">
        <w:rPr>
          <w:sz w:val="24"/>
          <w:szCs w:val="24"/>
        </w:rPr>
        <w:t xml:space="preserve">ype of Trust is from the National Reporting and Learning System </w:t>
      </w:r>
      <w:r>
        <w:rPr>
          <w:sz w:val="24"/>
          <w:szCs w:val="24"/>
        </w:rPr>
        <w:t>(NHS England 2013).</w:t>
      </w:r>
      <w:r w:rsidRPr="003D54D9">
        <w:rPr>
          <w:sz w:val="24"/>
          <w:szCs w:val="24"/>
        </w:rPr>
        <w:t xml:space="preserve"> There are four mutually exclusive types of Trust</w:t>
      </w:r>
      <w:r w:rsidR="00743AFA">
        <w:rPr>
          <w:sz w:val="24"/>
          <w:szCs w:val="24"/>
        </w:rPr>
        <w:t xml:space="preserve">: </w:t>
      </w:r>
      <w:r w:rsidRPr="003D54D9">
        <w:rPr>
          <w:sz w:val="24"/>
          <w:szCs w:val="24"/>
        </w:rPr>
        <w:t>Acute Trusts</w:t>
      </w:r>
      <w:r w:rsidRPr="003D54D9">
        <w:rPr>
          <w:rStyle w:val="FootnoteReference"/>
          <w:sz w:val="24"/>
          <w:szCs w:val="24"/>
        </w:rPr>
        <w:footnoteReference w:id="5"/>
      </w:r>
      <w:r w:rsidRPr="003D54D9">
        <w:rPr>
          <w:sz w:val="24"/>
          <w:szCs w:val="24"/>
        </w:rPr>
        <w:t>, Acute Specialist Trusts, Acute Teaching Trusts and Mental Health Trusts (Manhaes</w:t>
      </w:r>
      <w:r w:rsidR="00C317FA">
        <w:rPr>
          <w:sz w:val="24"/>
          <w:szCs w:val="24"/>
        </w:rPr>
        <w:t xml:space="preserve"> </w:t>
      </w:r>
      <w:r w:rsidRPr="003D54D9">
        <w:rPr>
          <w:sz w:val="24"/>
          <w:szCs w:val="24"/>
        </w:rPr>
        <w:t>et al. 2013).</w:t>
      </w:r>
      <w:r>
        <w:rPr>
          <w:sz w:val="24"/>
          <w:szCs w:val="24"/>
        </w:rPr>
        <w:t xml:space="preserve"> </w:t>
      </w:r>
    </w:p>
    <w:p w:rsidR="00957CE4" w:rsidRDefault="00957CE4" w:rsidP="00957CE4">
      <w:pPr>
        <w:spacing w:after="0" w:line="480" w:lineRule="auto"/>
        <w:jc w:val="both"/>
        <w:rPr>
          <w:sz w:val="24"/>
          <w:szCs w:val="24"/>
        </w:rPr>
      </w:pPr>
    </w:p>
    <w:p w:rsidR="005D1905" w:rsidRDefault="002006A0" w:rsidP="00957CE4">
      <w:pPr>
        <w:spacing w:after="0" w:line="480" w:lineRule="auto"/>
        <w:jc w:val="both"/>
        <w:rPr>
          <w:sz w:val="24"/>
          <w:szCs w:val="24"/>
        </w:rPr>
      </w:pPr>
      <w:r>
        <w:rPr>
          <w:sz w:val="24"/>
          <w:szCs w:val="24"/>
        </w:rPr>
        <w:t xml:space="preserve">Acute Trusts provide acute hospital care without a specific focus on teaching or a specific type of patient or condition.  </w:t>
      </w:r>
      <w:r w:rsidR="00CD639B">
        <w:rPr>
          <w:sz w:val="24"/>
          <w:szCs w:val="24"/>
        </w:rPr>
        <w:t>Acute Teaching Trusts are generally large providers with a wide range of departments</w:t>
      </w:r>
      <w:r>
        <w:rPr>
          <w:sz w:val="24"/>
          <w:szCs w:val="24"/>
        </w:rPr>
        <w:t>, linked to</w:t>
      </w:r>
      <w:r w:rsidR="00CD639B">
        <w:rPr>
          <w:sz w:val="24"/>
          <w:szCs w:val="24"/>
        </w:rPr>
        <w:t xml:space="preserve"> a University</w:t>
      </w:r>
      <w:r w:rsidR="00743AFA">
        <w:rPr>
          <w:sz w:val="24"/>
          <w:szCs w:val="24"/>
        </w:rPr>
        <w:t>, and providing</w:t>
      </w:r>
      <w:r w:rsidR="00CD639B">
        <w:rPr>
          <w:sz w:val="24"/>
          <w:szCs w:val="24"/>
        </w:rPr>
        <w:t xml:space="preserve"> training for medical students</w:t>
      </w:r>
      <w:r w:rsidR="00743AFA">
        <w:rPr>
          <w:sz w:val="24"/>
          <w:szCs w:val="24"/>
        </w:rPr>
        <w:t xml:space="preserve"> as well as treating a full range of patients</w:t>
      </w:r>
      <w:r w:rsidR="00CD639B">
        <w:rPr>
          <w:sz w:val="24"/>
          <w:szCs w:val="24"/>
        </w:rPr>
        <w:t>. Acute Specialist Trusts are a regional or national centre for a par</w:t>
      </w:r>
      <w:r w:rsidR="00743AFA">
        <w:rPr>
          <w:sz w:val="24"/>
          <w:szCs w:val="24"/>
        </w:rPr>
        <w:t>ticular field of medicine, such as cancer</w:t>
      </w:r>
      <w:r w:rsidR="00D85558">
        <w:rPr>
          <w:sz w:val="24"/>
          <w:szCs w:val="24"/>
        </w:rPr>
        <w:t xml:space="preserve"> </w:t>
      </w:r>
      <w:r w:rsidR="00360D7F">
        <w:rPr>
          <w:sz w:val="24"/>
          <w:szCs w:val="24"/>
        </w:rPr>
        <w:t xml:space="preserve">or </w:t>
      </w:r>
      <w:r w:rsidR="00743AFA">
        <w:rPr>
          <w:sz w:val="24"/>
          <w:szCs w:val="24"/>
        </w:rPr>
        <w:t>orthopaedics. They</w:t>
      </w:r>
      <w:r w:rsidR="00CD639B">
        <w:rPr>
          <w:sz w:val="24"/>
          <w:szCs w:val="24"/>
        </w:rPr>
        <w:t xml:space="preserve"> treat the most complex cases in a field and are ge</w:t>
      </w:r>
      <w:r w:rsidR="00743AFA">
        <w:rPr>
          <w:sz w:val="24"/>
          <w:szCs w:val="24"/>
        </w:rPr>
        <w:t>nerally small compared to</w:t>
      </w:r>
      <w:r w:rsidR="00CD639B">
        <w:rPr>
          <w:sz w:val="24"/>
          <w:szCs w:val="24"/>
        </w:rPr>
        <w:t xml:space="preserve"> Acute Trusts. Mental Health Trusts provide hospital care to patients with mental health conditions</w:t>
      </w:r>
      <w:r>
        <w:rPr>
          <w:sz w:val="24"/>
          <w:szCs w:val="24"/>
        </w:rPr>
        <w:t>.</w:t>
      </w:r>
      <w:r w:rsidR="00CD639B">
        <w:rPr>
          <w:sz w:val="24"/>
          <w:szCs w:val="24"/>
        </w:rPr>
        <w:t xml:space="preserve">  In </w:t>
      </w:r>
      <w:r>
        <w:rPr>
          <w:sz w:val="24"/>
          <w:szCs w:val="24"/>
        </w:rPr>
        <w:t xml:space="preserve">this they are similar to </w:t>
      </w:r>
      <w:r w:rsidR="00CD639B">
        <w:rPr>
          <w:sz w:val="24"/>
          <w:szCs w:val="24"/>
        </w:rPr>
        <w:t>Acute Specialists</w:t>
      </w:r>
      <w:r>
        <w:rPr>
          <w:sz w:val="24"/>
          <w:szCs w:val="24"/>
        </w:rPr>
        <w:t xml:space="preserve"> but they </w:t>
      </w:r>
      <w:r w:rsidR="00CD639B">
        <w:rPr>
          <w:sz w:val="24"/>
          <w:szCs w:val="24"/>
        </w:rPr>
        <w:t>are similar in size to Acute Trusts and there are far more Mental Health Trusts than there are Acute Specialists in a specific field.</w:t>
      </w:r>
      <w:r w:rsidR="00CD639B" w:rsidRPr="003D54D9">
        <w:rPr>
          <w:sz w:val="24"/>
          <w:szCs w:val="24"/>
        </w:rPr>
        <w:t xml:space="preserve"> </w:t>
      </w:r>
    </w:p>
    <w:p w:rsidR="00957CE4" w:rsidRDefault="00957CE4" w:rsidP="00957CE4">
      <w:pPr>
        <w:spacing w:after="0" w:line="480" w:lineRule="auto"/>
        <w:jc w:val="both"/>
        <w:rPr>
          <w:sz w:val="24"/>
          <w:szCs w:val="24"/>
        </w:rPr>
      </w:pPr>
    </w:p>
    <w:p w:rsidR="00CD639B" w:rsidRDefault="00D85558" w:rsidP="00957CE4">
      <w:pPr>
        <w:spacing w:after="0" w:line="480" w:lineRule="auto"/>
        <w:jc w:val="both"/>
        <w:rPr>
          <w:sz w:val="24"/>
          <w:szCs w:val="24"/>
        </w:rPr>
      </w:pPr>
      <w:r>
        <w:rPr>
          <w:sz w:val="24"/>
          <w:szCs w:val="24"/>
        </w:rPr>
        <w:t xml:space="preserve">Trusts of all four types can </w:t>
      </w:r>
      <w:r w:rsidR="00CD639B" w:rsidRPr="003D54D9">
        <w:rPr>
          <w:sz w:val="24"/>
          <w:szCs w:val="24"/>
        </w:rPr>
        <w:t xml:space="preserve">also </w:t>
      </w:r>
      <w:r w:rsidR="00CD639B">
        <w:rPr>
          <w:sz w:val="24"/>
          <w:szCs w:val="24"/>
        </w:rPr>
        <w:t>have Foundation Trust (FT) status</w:t>
      </w:r>
      <w:r>
        <w:rPr>
          <w:sz w:val="24"/>
          <w:szCs w:val="24"/>
        </w:rPr>
        <w:t xml:space="preserve"> </w:t>
      </w:r>
      <w:r w:rsidR="00CD639B" w:rsidRPr="003D54D9">
        <w:rPr>
          <w:sz w:val="24"/>
          <w:szCs w:val="24"/>
        </w:rPr>
        <w:t>(Monitor 2014)</w:t>
      </w:r>
      <w:r>
        <w:rPr>
          <w:sz w:val="24"/>
          <w:szCs w:val="24"/>
        </w:rPr>
        <w:t xml:space="preserve"> </w:t>
      </w:r>
      <w:r w:rsidR="002006A0">
        <w:rPr>
          <w:sz w:val="24"/>
          <w:szCs w:val="24"/>
        </w:rPr>
        <w:t>t</w:t>
      </w:r>
      <w:r w:rsidR="000B309F">
        <w:rPr>
          <w:sz w:val="24"/>
          <w:szCs w:val="24"/>
        </w:rPr>
        <w:t xml:space="preserve">he requirements for </w:t>
      </w:r>
      <w:r w:rsidR="002006A0">
        <w:rPr>
          <w:sz w:val="24"/>
          <w:szCs w:val="24"/>
        </w:rPr>
        <w:t xml:space="preserve">which </w:t>
      </w:r>
      <w:r w:rsidR="000B309F">
        <w:rPr>
          <w:sz w:val="24"/>
          <w:szCs w:val="24"/>
        </w:rPr>
        <w:t xml:space="preserve">are </w:t>
      </w:r>
      <w:r w:rsidR="00D83D82">
        <w:rPr>
          <w:sz w:val="24"/>
          <w:szCs w:val="24"/>
        </w:rPr>
        <w:t xml:space="preserve">the same for all </w:t>
      </w:r>
      <w:r w:rsidR="00F329CD">
        <w:rPr>
          <w:sz w:val="24"/>
          <w:szCs w:val="24"/>
        </w:rPr>
        <w:t xml:space="preserve">Trust </w:t>
      </w:r>
      <w:r w:rsidR="000B309F">
        <w:rPr>
          <w:sz w:val="24"/>
          <w:szCs w:val="24"/>
        </w:rPr>
        <w:t>types</w:t>
      </w:r>
      <w:r w:rsidR="00F329CD">
        <w:rPr>
          <w:sz w:val="24"/>
          <w:szCs w:val="24"/>
        </w:rPr>
        <w:t xml:space="preserve">.  There were only small changes in the number of Trusts with FT status and </w:t>
      </w:r>
      <w:r w:rsidR="00D83D82">
        <w:rPr>
          <w:sz w:val="24"/>
          <w:szCs w:val="24"/>
        </w:rPr>
        <w:t xml:space="preserve">in </w:t>
      </w:r>
      <w:r w:rsidR="00F329CD">
        <w:rPr>
          <w:sz w:val="24"/>
          <w:szCs w:val="24"/>
        </w:rPr>
        <w:t xml:space="preserve">their distribution across the four Trust types </w:t>
      </w:r>
      <w:r w:rsidR="00C910B3">
        <w:rPr>
          <w:sz w:val="24"/>
          <w:szCs w:val="24"/>
        </w:rPr>
        <w:t xml:space="preserve">over </w:t>
      </w:r>
      <w:r w:rsidR="00AD0093">
        <w:rPr>
          <w:sz w:val="24"/>
          <w:szCs w:val="24"/>
        </w:rPr>
        <w:t xml:space="preserve">the study period. </w:t>
      </w:r>
    </w:p>
    <w:p w:rsidR="00957CE4" w:rsidRDefault="00957CE4" w:rsidP="00957CE4">
      <w:pPr>
        <w:spacing w:after="0" w:line="480" w:lineRule="auto"/>
        <w:jc w:val="both"/>
        <w:rPr>
          <w:sz w:val="24"/>
          <w:szCs w:val="24"/>
        </w:rPr>
      </w:pPr>
    </w:p>
    <w:p w:rsidR="00CD639B" w:rsidRPr="005E6343" w:rsidRDefault="00CD639B" w:rsidP="00957CE4">
      <w:pPr>
        <w:pStyle w:val="Heading2"/>
        <w:spacing w:before="0" w:line="480" w:lineRule="auto"/>
        <w:jc w:val="both"/>
        <w:rPr>
          <w:color w:val="365F91" w:themeColor="accent1" w:themeShade="BF"/>
        </w:rPr>
      </w:pPr>
      <w:r w:rsidRPr="005E6343">
        <w:rPr>
          <w:color w:val="365F91" w:themeColor="accent1" w:themeShade="BF"/>
        </w:rPr>
        <w:lastRenderedPageBreak/>
        <w:t>2.3. Control Variables</w:t>
      </w:r>
    </w:p>
    <w:p w:rsidR="00CD639B" w:rsidRDefault="00CD639B" w:rsidP="00957CE4">
      <w:pPr>
        <w:spacing w:after="0" w:line="480" w:lineRule="auto"/>
        <w:jc w:val="both"/>
        <w:rPr>
          <w:sz w:val="24"/>
          <w:szCs w:val="24"/>
        </w:rPr>
      </w:pPr>
      <w:r w:rsidRPr="003D54D9">
        <w:rPr>
          <w:sz w:val="24"/>
          <w:szCs w:val="24"/>
        </w:rPr>
        <w:t xml:space="preserve">We control for the number of beds in a Trust, taking data from “Quarterly bed availability and occupancy” submitted to the Department of Health and published </w:t>
      </w:r>
      <w:r w:rsidR="00332B3A">
        <w:rPr>
          <w:sz w:val="24"/>
          <w:szCs w:val="24"/>
        </w:rPr>
        <w:t>by NHS England (NHS England 2014</w:t>
      </w:r>
      <w:r w:rsidRPr="003D54D9">
        <w:rPr>
          <w:sz w:val="24"/>
          <w:szCs w:val="24"/>
        </w:rPr>
        <w:t xml:space="preserve">b). The </w:t>
      </w:r>
      <w:r>
        <w:rPr>
          <w:sz w:val="24"/>
          <w:szCs w:val="24"/>
        </w:rPr>
        <w:t>average number of beds</w:t>
      </w:r>
      <w:r w:rsidRPr="003D54D9">
        <w:rPr>
          <w:sz w:val="24"/>
          <w:szCs w:val="24"/>
        </w:rPr>
        <w:t xml:space="preserve"> is given at Trust level (DH 2010a) for each quarter </w:t>
      </w:r>
      <w:r>
        <w:rPr>
          <w:sz w:val="24"/>
          <w:szCs w:val="24"/>
        </w:rPr>
        <w:t>o</w:t>
      </w:r>
      <w:r w:rsidRPr="003D54D9">
        <w:rPr>
          <w:sz w:val="24"/>
          <w:szCs w:val="24"/>
        </w:rPr>
        <w:t xml:space="preserve">f a financial year. We use the </w:t>
      </w:r>
      <w:r>
        <w:rPr>
          <w:sz w:val="24"/>
          <w:szCs w:val="24"/>
        </w:rPr>
        <w:t xml:space="preserve">average </w:t>
      </w:r>
      <w:r w:rsidR="000C07F8">
        <w:rPr>
          <w:sz w:val="24"/>
          <w:szCs w:val="24"/>
        </w:rPr>
        <w:t xml:space="preserve">of the sum of the </w:t>
      </w:r>
      <w:r>
        <w:rPr>
          <w:sz w:val="24"/>
          <w:szCs w:val="24"/>
        </w:rPr>
        <w:t xml:space="preserve">number of </w:t>
      </w:r>
      <w:r w:rsidR="000C07F8">
        <w:rPr>
          <w:sz w:val="24"/>
          <w:szCs w:val="24"/>
        </w:rPr>
        <w:t xml:space="preserve">available and occupied beds </w:t>
      </w:r>
      <w:r>
        <w:rPr>
          <w:sz w:val="24"/>
          <w:szCs w:val="24"/>
        </w:rPr>
        <w:t xml:space="preserve">reported </w:t>
      </w:r>
      <w:r w:rsidR="000C07F8">
        <w:rPr>
          <w:sz w:val="24"/>
          <w:szCs w:val="24"/>
        </w:rPr>
        <w:t xml:space="preserve">for the </w:t>
      </w:r>
      <w:r>
        <w:rPr>
          <w:sz w:val="24"/>
          <w:szCs w:val="24"/>
        </w:rPr>
        <w:t xml:space="preserve">four quarters of each financial year. </w:t>
      </w:r>
      <w:r w:rsidRPr="003D54D9">
        <w:rPr>
          <w:sz w:val="24"/>
          <w:szCs w:val="24"/>
        </w:rPr>
        <w:t xml:space="preserve">To account for potential non-linearity in the relationship between beds and delays, beds </w:t>
      </w:r>
      <w:r>
        <w:rPr>
          <w:sz w:val="24"/>
          <w:szCs w:val="24"/>
        </w:rPr>
        <w:t xml:space="preserve">are </w:t>
      </w:r>
      <w:r w:rsidR="00674812">
        <w:rPr>
          <w:sz w:val="24"/>
          <w:szCs w:val="24"/>
        </w:rPr>
        <w:t xml:space="preserve">also </w:t>
      </w:r>
      <w:r>
        <w:rPr>
          <w:sz w:val="24"/>
          <w:szCs w:val="24"/>
        </w:rPr>
        <w:t>measured as categorical variables:</w:t>
      </w:r>
      <w:r w:rsidRPr="003D54D9">
        <w:rPr>
          <w:sz w:val="24"/>
          <w:szCs w:val="24"/>
        </w:rPr>
        <w:t xml:space="preserve"> 200-399, 400-599, 600-799, 800-999, 1000-1499 and 1500+ beds. The base case is 0-</w:t>
      </w:r>
      <w:r>
        <w:rPr>
          <w:sz w:val="24"/>
          <w:szCs w:val="24"/>
        </w:rPr>
        <w:t>199</w:t>
      </w:r>
      <w:r w:rsidRPr="003D54D9">
        <w:rPr>
          <w:sz w:val="24"/>
          <w:szCs w:val="24"/>
        </w:rPr>
        <w:t xml:space="preserve"> beds.</w:t>
      </w:r>
    </w:p>
    <w:p w:rsidR="00957CE4" w:rsidRDefault="00957CE4" w:rsidP="00957CE4">
      <w:pPr>
        <w:spacing w:after="0" w:line="480" w:lineRule="auto"/>
        <w:jc w:val="both"/>
        <w:rPr>
          <w:sz w:val="24"/>
          <w:szCs w:val="24"/>
        </w:rPr>
      </w:pPr>
    </w:p>
    <w:p w:rsidR="00436803" w:rsidRDefault="00CD639B" w:rsidP="00436803">
      <w:pPr>
        <w:spacing w:after="0" w:line="480" w:lineRule="auto"/>
        <w:jc w:val="both"/>
        <w:rPr>
          <w:sz w:val="24"/>
          <w:szCs w:val="24"/>
        </w:rPr>
      </w:pPr>
      <w:r>
        <w:rPr>
          <w:sz w:val="24"/>
          <w:szCs w:val="24"/>
        </w:rPr>
        <w:t xml:space="preserve">We </w:t>
      </w:r>
      <w:r w:rsidR="000C07F8">
        <w:rPr>
          <w:sz w:val="24"/>
          <w:szCs w:val="24"/>
        </w:rPr>
        <w:t xml:space="preserve">use </w:t>
      </w:r>
      <w:r>
        <w:rPr>
          <w:sz w:val="24"/>
          <w:szCs w:val="24"/>
        </w:rPr>
        <w:t>t</w:t>
      </w:r>
      <w:r w:rsidRPr="003D54D9">
        <w:rPr>
          <w:sz w:val="24"/>
          <w:szCs w:val="24"/>
        </w:rPr>
        <w:t xml:space="preserve">hree </w:t>
      </w:r>
      <w:r w:rsidR="00674812">
        <w:rPr>
          <w:sz w:val="24"/>
          <w:szCs w:val="24"/>
        </w:rPr>
        <w:t xml:space="preserve">Trust level </w:t>
      </w:r>
      <w:r w:rsidRPr="003D54D9">
        <w:rPr>
          <w:sz w:val="24"/>
          <w:szCs w:val="24"/>
        </w:rPr>
        <w:t>case-mix variables</w:t>
      </w:r>
      <w:r>
        <w:rPr>
          <w:sz w:val="24"/>
          <w:szCs w:val="24"/>
        </w:rPr>
        <w:t>:</w:t>
      </w:r>
      <w:r w:rsidRPr="003D54D9">
        <w:rPr>
          <w:sz w:val="24"/>
          <w:szCs w:val="24"/>
        </w:rPr>
        <w:t xml:space="preserve"> the percentage</w:t>
      </w:r>
      <w:r w:rsidR="00674812">
        <w:rPr>
          <w:sz w:val="24"/>
          <w:szCs w:val="24"/>
        </w:rPr>
        <w:t>s</w:t>
      </w:r>
      <w:r w:rsidRPr="003D54D9">
        <w:rPr>
          <w:sz w:val="24"/>
          <w:szCs w:val="24"/>
        </w:rPr>
        <w:t xml:space="preserve"> of admissions which are emergencies,</w:t>
      </w:r>
      <w:r w:rsidR="00674812">
        <w:rPr>
          <w:sz w:val="24"/>
          <w:szCs w:val="24"/>
        </w:rPr>
        <w:t xml:space="preserve"> for </w:t>
      </w:r>
      <w:r w:rsidRPr="003D54D9">
        <w:rPr>
          <w:sz w:val="24"/>
          <w:szCs w:val="24"/>
        </w:rPr>
        <w:t>male</w:t>
      </w:r>
      <w:r w:rsidR="00674812">
        <w:rPr>
          <w:sz w:val="24"/>
          <w:szCs w:val="24"/>
        </w:rPr>
        <w:t xml:space="preserve">s, patients </w:t>
      </w:r>
      <w:r w:rsidRPr="003D54D9">
        <w:rPr>
          <w:sz w:val="24"/>
          <w:szCs w:val="24"/>
        </w:rPr>
        <w:t>aged 60-74 and aged 75+</w:t>
      </w:r>
      <w:r w:rsidR="00674812">
        <w:rPr>
          <w:sz w:val="24"/>
          <w:szCs w:val="24"/>
        </w:rPr>
        <w:t xml:space="preserve"> </w:t>
      </w:r>
      <w:r w:rsidR="00674812" w:rsidRPr="003D54D9">
        <w:rPr>
          <w:sz w:val="24"/>
          <w:szCs w:val="24"/>
        </w:rPr>
        <w:t>(HSCIC 2013</w:t>
      </w:r>
      <w:r w:rsidR="00674812">
        <w:rPr>
          <w:sz w:val="24"/>
          <w:szCs w:val="24"/>
        </w:rPr>
        <w:t>b)</w:t>
      </w:r>
      <w:r w:rsidRPr="003D54D9">
        <w:rPr>
          <w:sz w:val="24"/>
          <w:szCs w:val="24"/>
        </w:rPr>
        <w:t xml:space="preserve">. </w:t>
      </w:r>
      <w:r w:rsidR="00436803">
        <w:rPr>
          <w:sz w:val="24"/>
          <w:szCs w:val="24"/>
        </w:rPr>
        <w:t>We include risk-adjusted emergency readmission rates within 28 days of discharge from hospital as a measure of hospital quality.</w:t>
      </w:r>
      <w:r w:rsidR="00436803">
        <w:rPr>
          <w:rStyle w:val="FootnoteReference"/>
          <w:sz w:val="24"/>
          <w:szCs w:val="24"/>
        </w:rPr>
        <w:footnoteReference w:id="6"/>
      </w:r>
      <w:r w:rsidR="00436803">
        <w:rPr>
          <w:sz w:val="24"/>
          <w:szCs w:val="24"/>
        </w:rPr>
        <w:t xml:space="preserve"> The data are from the Indicator Portal of the HSCIC website (HSCIC 2014) and are indirectly standardised by age, gender, method of admission, diagnoses and procedures.  The denominator for the emergency readmission rate is all patients discharged alive in the year, except those with a primary specialty of mental health or any diagnosis of cancer</w:t>
      </w:r>
      <w:r w:rsidR="006D77D1">
        <w:rPr>
          <w:sz w:val="24"/>
          <w:szCs w:val="24"/>
        </w:rPr>
        <w:t>. The latter</w:t>
      </w:r>
      <w:r w:rsidR="00436803">
        <w:rPr>
          <w:sz w:val="24"/>
          <w:szCs w:val="24"/>
        </w:rPr>
        <w:t xml:space="preserve"> are excluded since </w:t>
      </w:r>
      <w:r w:rsidR="00674812">
        <w:rPr>
          <w:sz w:val="24"/>
          <w:szCs w:val="24"/>
        </w:rPr>
        <w:t xml:space="preserve">their </w:t>
      </w:r>
      <w:r w:rsidR="00436803">
        <w:rPr>
          <w:sz w:val="24"/>
          <w:szCs w:val="24"/>
        </w:rPr>
        <w:t xml:space="preserve">readmissions are </w:t>
      </w:r>
      <w:r w:rsidR="000C3CBA">
        <w:rPr>
          <w:sz w:val="24"/>
          <w:szCs w:val="24"/>
        </w:rPr>
        <w:t xml:space="preserve">much less likely to be a signal of poor care and are </w:t>
      </w:r>
      <w:r w:rsidR="00436803">
        <w:rPr>
          <w:sz w:val="24"/>
          <w:szCs w:val="24"/>
        </w:rPr>
        <w:t xml:space="preserve">not used as a performance indicator (HSCIC 2013a).  </w:t>
      </w:r>
    </w:p>
    <w:p w:rsidR="00436803" w:rsidRDefault="00436803" w:rsidP="00436803">
      <w:pPr>
        <w:spacing w:after="0" w:line="480" w:lineRule="auto"/>
        <w:jc w:val="both"/>
        <w:rPr>
          <w:sz w:val="24"/>
          <w:szCs w:val="24"/>
        </w:rPr>
      </w:pPr>
    </w:p>
    <w:p w:rsidR="00436803" w:rsidRDefault="00436803" w:rsidP="00436803">
      <w:pPr>
        <w:spacing w:after="0" w:line="480" w:lineRule="auto"/>
        <w:jc w:val="both"/>
        <w:rPr>
          <w:sz w:val="24"/>
          <w:szCs w:val="24"/>
        </w:rPr>
      </w:pPr>
      <w:r w:rsidRPr="00BA65E2">
        <w:rPr>
          <w:sz w:val="24"/>
          <w:szCs w:val="24"/>
        </w:rPr>
        <w:t>A high</w:t>
      </w:r>
      <w:r w:rsidR="000C3CBA">
        <w:rPr>
          <w:sz w:val="24"/>
          <w:szCs w:val="24"/>
        </w:rPr>
        <w:t>er</w:t>
      </w:r>
      <w:r w:rsidRPr="00BA65E2">
        <w:rPr>
          <w:sz w:val="24"/>
          <w:szCs w:val="24"/>
        </w:rPr>
        <w:t xml:space="preserve"> readmission rate might be associated with more delays if it reflects poorer quality of care in the hospital or </w:t>
      </w:r>
      <w:r w:rsidR="000C3CBA">
        <w:rPr>
          <w:sz w:val="24"/>
          <w:szCs w:val="24"/>
        </w:rPr>
        <w:t xml:space="preserve">a greater proportion of patients with </w:t>
      </w:r>
      <w:r w:rsidR="00BF376B">
        <w:rPr>
          <w:sz w:val="24"/>
          <w:szCs w:val="24"/>
        </w:rPr>
        <w:t>unobserved</w:t>
      </w:r>
      <w:r w:rsidR="000C3CBA">
        <w:rPr>
          <w:sz w:val="24"/>
          <w:szCs w:val="24"/>
        </w:rPr>
        <w:t xml:space="preserve"> greater morbidity.  </w:t>
      </w:r>
      <w:r w:rsidRPr="00BA65E2">
        <w:rPr>
          <w:sz w:val="24"/>
          <w:szCs w:val="24"/>
        </w:rPr>
        <w:t xml:space="preserve">However, </w:t>
      </w:r>
      <w:r w:rsidR="007A76DB">
        <w:rPr>
          <w:sz w:val="24"/>
          <w:szCs w:val="24"/>
        </w:rPr>
        <w:t xml:space="preserve">bed blocking may </w:t>
      </w:r>
      <w:r w:rsidR="00E105E9">
        <w:rPr>
          <w:sz w:val="24"/>
          <w:szCs w:val="24"/>
        </w:rPr>
        <w:t>increase</w:t>
      </w:r>
      <w:r w:rsidR="000C3CBA">
        <w:rPr>
          <w:sz w:val="24"/>
          <w:szCs w:val="24"/>
        </w:rPr>
        <w:t xml:space="preserve"> subsequent emergency readmissions if </w:t>
      </w:r>
      <w:r w:rsidR="000C3CBA">
        <w:rPr>
          <w:sz w:val="24"/>
          <w:szCs w:val="24"/>
        </w:rPr>
        <w:lastRenderedPageBreak/>
        <w:t xml:space="preserve">pressure on beds leads to </w:t>
      </w:r>
      <w:r w:rsidR="007A76DB">
        <w:rPr>
          <w:sz w:val="24"/>
          <w:szCs w:val="24"/>
        </w:rPr>
        <w:t>premature discharge or worse care for other patients</w:t>
      </w:r>
      <w:r w:rsidR="000C3CBA">
        <w:rPr>
          <w:sz w:val="24"/>
          <w:szCs w:val="24"/>
        </w:rPr>
        <w:t xml:space="preserve">. </w:t>
      </w:r>
      <w:r w:rsidR="007A76DB">
        <w:rPr>
          <w:sz w:val="24"/>
          <w:szCs w:val="24"/>
        </w:rPr>
        <w:t>We therefore use two year lags of the emergency readmission rate</w:t>
      </w:r>
      <w:r w:rsidRPr="00BA65E2">
        <w:rPr>
          <w:sz w:val="24"/>
          <w:szCs w:val="24"/>
        </w:rPr>
        <w:t xml:space="preserve"> </w:t>
      </w:r>
      <w:r w:rsidR="007A76DB">
        <w:rPr>
          <w:sz w:val="24"/>
          <w:szCs w:val="24"/>
        </w:rPr>
        <w:t xml:space="preserve">to reduce simultaneity bias. </w:t>
      </w:r>
    </w:p>
    <w:p w:rsidR="00957CE4" w:rsidRDefault="00957CE4" w:rsidP="00957CE4">
      <w:pPr>
        <w:spacing w:after="0" w:line="480" w:lineRule="auto"/>
        <w:jc w:val="both"/>
        <w:rPr>
          <w:sz w:val="24"/>
          <w:szCs w:val="24"/>
        </w:rPr>
      </w:pPr>
    </w:p>
    <w:p w:rsidR="00957CE4" w:rsidRDefault="007A76DB" w:rsidP="00957CE4">
      <w:pPr>
        <w:spacing w:after="0" w:line="480" w:lineRule="auto"/>
        <w:jc w:val="both"/>
        <w:rPr>
          <w:sz w:val="24"/>
          <w:szCs w:val="24"/>
        </w:rPr>
      </w:pPr>
      <w:r>
        <w:rPr>
          <w:sz w:val="24"/>
          <w:szCs w:val="24"/>
        </w:rPr>
        <w:t xml:space="preserve">If no bed is available in a care home, then a patient may have to remain in hospital despite being clinically ready to be discharged into long-term care.  Most patients have to pay, at least in part, for long-term care and so it may take longer to </w:t>
      </w:r>
      <w:r w:rsidR="000B0724">
        <w:rPr>
          <w:sz w:val="24"/>
          <w:szCs w:val="24"/>
        </w:rPr>
        <w:t xml:space="preserve">find a LTC bed at a price they can afford if prices are higher.  </w:t>
      </w:r>
      <w:r w:rsidR="000C3CBA">
        <w:rPr>
          <w:sz w:val="24"/>
          <w:szCs w:val="24"/>
        </w:rPr>
        <w:t xml:space="preserve">We therefore </w:t>
      </w:r>
      <w:r w:rsidR="00E2450F">
        <w:rPr>
          <w:sz w:val="24"/>
          <w:szCs w:val="24"/>
        </w:rPr>
        <w:t xml:space="preserve">measure </w:t>
      </w:r>
      <w:r w:rsidR="00CD639B">
        <w:rPr>
          <w:sz w:val="24"/>
          <w:szCs w:val="24"/>
        </w:rPr>
        <w:t xml:space="preserve">the </w:t>
      </w:r>
      <w:r w:rsidR="000B0724">
        <w:rPr>
          <w:sz w:val="24"/>
          <w:szCs w:val="24"/>
        </w:rPr>
        <w:t xml:space="preserve">accessibility of </w:t>
      </w:r>
      <w:r w:rsidR="00CD639B">
        <w:rPr>
          <w:sz w:val="24"/>
          <w:szCs w:val="24"/>
        </w:rPr>
        <w:t>long-term care in the area served by a hospital Trust</w:t>
      </w:r>
      <w:r w:rsidR="000C3CBA">
        <w:rPr>
          <w:sz w:val="24"/>
          <w:szCs w:val="24"/>
        </w:rPr>
        <w:t xml:space="preserve"> </w:t>
      </w:r>
      <w:r w:rsidR="00CD639B">
        <w:rPr>
          <w:sz w:val="24"/>
          <w:szCs w:val="24"/>
        </w:rPr>
        <w:t>us</w:t>
      </w:r>
      <w:r w:rsidR="00E035B3">
        <w:rPr>
          <w:sz w:val="24"/>
          <w:szCs w:val="24"/>
        </w:rPr>
        <w:t>ing</w:t>
      </w:r>
      <w:r w:rsidR="00CD639B">
        <w:rPr>
          <w:sz w:val="24"/>
          <w:szCs w:val="24"/>
        </w:rPr>
        <w:t xml:space="preserve"> data on care home beds and prices</w:t>
      </w:r>
      <w:r w:rsidR="000C3CBA">
        <w:rPr>
          <w:sz w:val="24"/>
          <w:szCs w:val="24"/>
        </w:rPr>
        <w:t xml:space="preserve"> for</w:t>
      </w:r>
      <w:r w:rsidR="00CD639B">
        <w:rPr>
          <w:sz w:val="24"/>
          <w:szCs w:val="24"/>
        </w:rPr>
        <w:t xml:space="preserve"> </w:t>
      </w:r>
      <w:r w:rsidR="000C3CBA">
        <w:rPr>
          <w:sz w:val="24"/>
          <w:szCs w:val="24"/>
        </w:rPr>
        <w:t xml:space="preserve">June 2011 </w:t>
      </w:r>
      <w:r w:rsidR="00CD639B">
        <w:rPr>
          <w:sz w:val="24"/>
          <w:szCs w:val="24"/>
        </w:rPr>
        <w:t xml:space="preserve">(Laing and Buisson 2010). We measure the number of care home beds and </w:t>
      </w:r>
      <w:r w:rsidR="000C3CBA">
        <w:rPr>
          <w:sz w:val="24"/>
          <w:szCs w:val="24"/>
        </w:rPr>
        <w:t xml:space="preserve">their </w:t>
      </w:r>
      <w:r w:rsidR="00CD639B">
        <w:rPr>
          <w:sz w:val="24"/>
          <w:szCs w:val="24"/>
        </w:rPr>
        <w:t>average price within 10km</w:t>
      </w:r>
      <w:r w:rsidR="00CD639B">
        <w:rPr>
          <w:rStyle w:val="FootnoteReference"/>
          <w:sz w:val="24"/>
          <w:szCs w:val="24"/>
        </w:rPr>
        <w:footnoteReference w:id="7"/>
      </w:r>
      <w:r w:rsidR="00CD639B">
        <w:rPr>
          <w:sz w:val="24"/>
          <w:szCs w:val="24"/>
        </w:rPr>
        <w:t xml:space="preserve"> from </w:t>
      </w:r>
      <w:r w:rsidR="000C3CBA">
        <w:rPr>
          <w:sz w:val="24"/>
          <w:szCs w:val="24"/>
        </w:rPr>
        <w:t xml:space="preserve">a </w:t>
      </w:r>
      <w:r w:rsidR="00CD639B">
        <w:rPr>
          <w:sz w:val="24"/>
          <w:szCs w:val="24"/>
        </w:rPr>
        <w:t>hospital for care h</w:t>
      </w:r>
      <w:r w:rsidR="00E2450F">
        <w:rPr>
          <w:sz w:val="24"/>
          <w:szCs w:val="24"/>
        </w:rPr>
        <w:t>omes whose</w:t>
      </w:r>
      <w:r w:rsidR="00CD639B">
        <w:rPr>
          <w:sz w:val="24"/>
          <w:szCs w:val="24"/>
        </w:rPr>
        <w:t xml:space="preserve"> primary clients are people aged 65+ or with dementia. The primary client </w:t>
      </w:r>
      <w:r w:rsidR="00E2450F">
        <w:rPr>
          <w:sz w:val="24"/>
          <w:szCs w:val="24"/>
        </w:rPr>
        <w:t xml:space="preserve">group </w:t>
      </w:r>
      <w:r w:rsidR="00CD639B">
        <w:rPr>
          <w:sz w:val="24"/>
          <w:szCs w:val="24"/>
        </w:rPr>
        <w:t xml:space="preserve">of a care home is the group for which the largest number </w:t>
      </w:r>
      <w:r w:rsidR="00E2450F">
        <w:rPr>
          <w:sz w:val="24"/>
          <w:szCs w:val="24"/>
        </w:rPr>
        <w:t>of beds is</w:t>
      </w:r>
      <w:r w:rsidR="00CD639B">
        <w:rPr>
          <w:sz w:val="24"/>
          <w:szCs w:val="24"/>
        </w:rPr>
        <w:t xml:space="preserve"> registered with the Care Quality Commission which regulates the sector.  </w:t>
      </w:r>
    </w:p>
    <w:p w:rsidR="007A76DB" w:rsidRDefault="007A76DB" w:rsidP="00957CE4">
      <w:pPr>
        <w:spacing w:after="0" w:line="480" w:lineRule="auto"/>
        <w:jc w:val="both"/>
        <w:rPr>
          <w:sz w:val="24"/>
          <w:szCs w:val="24"/>
        </w:rPr>
      </w:pPr>
    </w:p>
    <w:p w:rsidR="00970F23" w:rsidRDefault="00970F23" w:rsidP="00970F23">
      <w:pPr>
        <w:spacing w:after="0" w:line="480" w:lineRule="auto"/>
        <w:jc w:val="both"/>
        <w:rPr>
          <w:sz w:val="24"/>
          <w:szCs w:val="24"/>
        </w:rPr>
      </w:pPr>
      <w:r>
        <w:rPr>
          <w:sz w:val="24"/>
          <w:szCs w:val="24"/>
        </w:rPr>
        <w:t xml:space="preserve">There were eight mergers between Trusts during the study period.  We compute annual values for dependent and explanatory variables for Trusts which merged at some point in a year as if they were a single Trust at the start of the year. </w:t>
      </w:r>
    </w:p>
    <w:p w:rsidR="00970F23" w:rsidRPr="00063B83" w:rsidRDefault="00970F23" w:rsidP="00957CE4">
      <w:pPr>
        <w:spacing w:after="0" w:line="480" w:lineRule="auto"/>
        <w:jc w:val="both"/>
        <w:rPr>
          <w:sz w:val="24"/>
          <w:szCs w:val="24"/>
        </w:rPr>
      </w:pPr>
    </w:p>
    <w:p w:rsidR="00CD639B" w:rsidRPr="005E6343" w:rsidRDefault="00CD639B" w:rsidP="00957CE4">
      <w:pPr>
        <w:pStyle w:val="Heading1"/>
        <w:spacing w:before="0" w:line="480" w:lineRule="auto"/>
        <w:jc w:val="both"/>
      </w:pPr>
      <w:r w:rsidRPr="005E6343">
        <w:t>3. Methods</w:t>
      </w:r>
    </w:p>
    <w:p w:rsidR="00C06F59" w:rsidRDefault="00D10DE3" w:rsidP="00957CE4">
      <w:pPr>
        <w:spacing w:after="0" w:line="480" w:lineRule="auto"/>
        <w:jc w:val="both"/>
        <w:rPr>
          <w:sz w:val="24"/>
          <w:szCs w:val="24"/>
        </w:rPr>
      </w:pPr>
      <w:r>
        <w:rPr>
          <w:sz w:val="24"/>
          <w:szCs w:val="24"/>
        </w:rPr>
        <w:t xml:space="preserve">Since days of delay are </w:t>
      </w:r>
      <w:r w:rsidR="009E7EEF">
        <w:rPr>
          <w:sz w:val="24"/>
          <w:szCs w:val="24"/>
        </w:rPr>
        <w:t>non-negative, integer valued and ha</w:t>
      </w:r>
      <w:r>
        <w:rPr>
          <w:sz w:val="24"/>
          <w:szCs w:val="24"/>
        </w:rPr>
        <w:t>ve</w:t>
      </w:r>
      <w:r w:rsidR="009E7EEF">
        <w:rPr>
          <w:sz w:val="24"/>
          <w:szCs w:val="24"/>
        </w:rPr>
        <w:t xml:space="preserve"> a right skewed distribution</w:t>
      </w:r>
      <w:r w:rsidR="00C06F59">
        <w:rPr>
          <w:sz w:val="24"/>
          <w:szCs w:val="24"/>
        </w:rPr>
        <w:t xml:space="preserve"> we estimate </w:t>
      </w:r>
      <w:r w:rsidR="00DF1405">
        <w:rPr>
          <w:sz w:val="24"/>
          <w:szCs w:val="24"/>
        </w:rPr>
        <w:t>Negative Binomial</w:t>
      </w:r>
      <w:r w:rsidR="009E7EEF">
        <w:rPr>
          <w:sz w:val="24"/>
          <w:szCs w:val="24"/>
        </w:rPr>
        <w:t xml:space="preserve"> </w:t>
      </w:r>
      <w:r>
        <w:rPr>
          <w:sz w:val="24"/>
          <w:szCs w:val="24"/>
        </w:rPr>
        <w:t xml:space="preserve">count data </w:t>
      </w:r>
      <w:r w:rsidR="009E7EEF">
        <w:rPr>
          <w:sz w:val="24"/>
          <w:szCs w:val="24"/>
        </w:rPr>
        <w:t xml:space="preserve">models in which the </w:t>
      </w:r>
      <w:r w:rsidR="00C06F59">
        <w:rPr>
          <w:sz w:val="24"/>
          <w:szCs w:val="24"/>
        </w:rPr>
        <w:t xml:space="preserve">mean number of days of delay </w:t>
      </w:r>
      <m:oMath>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it</m:t>
            </m:r>
          </m:sub>
        </m:sSub>
      </m:oMath>
      <w:r w:rsidR="00253BA2">
        <w:rPr>
          <w:sz w:val="24"/>
          <w:szCs w:val="24"/>
        </w:rPr>
        <w:t xml:space="preserve"> </w:t>
      </w:r>
      <w:r>
        <w:rPr>
          <w:sz w:val="24"/>
          <w:szCs w:val="24"/>
        </w:rPr>
        <w:t xml:space="preserve">is </w:t>
      </w:r>
    </w:p>
    <w:p w:rsidR="00CD639B" w:rsidRPr="0095168A" w:rsidRDefault="00270F33" w:rsidP="00957CE4">
      <w:pPr>
        <w:spacing w:after="0" w:line="480" w:lineRule="auto"/>
        <w:ind w:firstLine="720"/>
        <w:jc w:val="both"/>
        <w:rPr>
          <w:sz w:val="24"/>
          <w:szCs w:val="24"/>
        </w:rPr>
      </w:pPr>
      <m:oMath>
        <m:func>
          <m:funcPr>
            <m:ctrlPr>
              <w:rPr>
                <w:rFonts w:ascii="Cambria Math" w:hAnsi="Cambria Math"/>
                <w:i/>
                <w:sz w:val="24"/>
                <w:szCs w:val="24"/>
              </w:rPr>
            </m:ctrlPr>
          </m:funcPr>
          <m:fName>
            <m:r>
              <m:rPr>
                <m:sty m:val="p"/>
              </m:rPr>
              <w:rPr>
                <w:rFonts w:ascii="Cambria Math" w:hAnsi="Cambria Math"/>
                <w:sz w:val="24"/>
                <w:szCs w:val="24"/>
              </w:rPr>
              <m:t>ln</m:t>
            </m:r>
          </m:fName>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it</m:t>
                </m:r>
              </m:sub>
            </m:sSub>
            <m:r>
              <w:rPr>
                <w:rFonts w:ascii="Cambria Math" w:hAnsi="Cambria Math"/>
                <w:sz w:val="24"/>
                <w:szCs w:val="24"/>
              </w:rPr>
              <m:t>)</m:t>
            </m:r>
          </m:e>
        </m:func>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Sup>
          <m:sSubSupPr>
            <m:ctrlPr>
              <w:rPr>
                <w:rFonts w:ascii="Cambria Math" w:hAnsi="Cambria Math"/>
                <w:i/>
                <w:sz w:val="24"/>
                <w:szCs w:val="24"/>
              </w:rPr>
            </m:ctrlPr>
          </m:sSubSupPr>
          <m:e>
            <m:r>
              <m:rPr>
                <m:sty m:val="b"/>
              </m:rPr>
              <w:rPr>
                <w:rFonts w:ascii="Cambria Math" w:hAnsi="Cambria Math"/>
                <w:sz w:val="24"/>
                <w:szCs w:val="24"/>
              </w:rPr>
              <m:t>H</m:t>
            </m:r>
          </m:e>
          <m:sub>
            <m:r>
              <w:rPr>
                <w:rFonts w:ascii="Cambria Math" w:hAnsi="Cambria Math"/>
                <w:sz w:val="24"/>
                <w:szCs w:val="24"/>
              </w:rPr>
              <m:t>i</m:t>
            </m:r>
            <m:ctrlPr>
              <w:rPr>
                <w:rFonts w:ascii="Cambria Math" w:hAnsi="Cambria Math"/>
                <w:b/>
                <w:sz w:val="24"/>
                <w:szCs w:val="24"/>
              </w:rPr>
            </m:ctrlPr>
          </m:sub>
          <m:sup>
            <m:r>
              <w:rPr>
                <w:rFonts w:ascii="Cambria Math" w:hAnsi="Cambria Math"/>
                <w:sz w:val="24"/>
                <w:szCs w:val="24"/>
              </w:rPr>
              <m:t>'</m:t>
            </m:r>
          </m:sup>
        </m:sSubSup>
        <m:sSub>
          <m:sSubPr>
            <m:ctrlPr>
              <w:rPr>
                <w:rFonts w:ascii="Cambria Math" w:hAnsi="Cambria Math"/>
                <w:b/>
                <w:i/>
                <w:sz w:val="24"/>
                <w:szCs w:val="24"/>
              </w:rPr>
            </m:ctrlPr>
          </m:sSubPr>
          <m:e>
            <m:r>
              <m:rPr>
                <m:sty m:val="b"/>
              </m:rPr>
              <w:rPr>
                <w:rFonts w:ascii="Cambria Math" w:hAnsi="Cambria Math"/>
                <w:b/>
                <w:sz w:val="24"/>
                <w:szCs w:val="24"/>
              </w:rPr>
              <w:sym w:font="Symbol" w:char="F062"/>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it</m:t>
            </m:r>
          </m:sub>
        </m:sSub>
        <m:r>
          <m:rPr>
            <m:sty m:val="bi"/>
          </m:rPr>
          <w:rPr>
            <w:rFonts w:ascii="Cambria Math" w:hAnsi="Cambria Math"/>
            <w:sz w:val="24"/>
            <w:szCs w:val="24"/>
          </w:rPr>
          <m:t>+</m:t>
        </m:r>
        <m:sSub>
          <m:sSubPr>
            <m:ctrlPr>
              <w:rPr>
                <w:rFonts w:ascii="Cambria Math" w:hAnsi="Cambria Math"/>
                <w:i/>
                <w:sz w:val="24"/>
                <w:szCs w:val="24"/>
              </w:rPr>
            </m:ctrlPr>
          </m:sSubPr>
          <m:e>
            <m:r>
              <w:rPr>
                <w:rFonts w:ascii="Cambria Math" w:hAnsi="Cambria Math"/>
                <w:i/>
                <w:sz w:val="24"/>
                <w:szCs w:val="24"/>
              </w:rPr>
              <w:sym w:font="Symbol" w:char="F062"/>
            </m:r>
          </m:e>
          <m:sub>
            <m:r>
              <w:rPr>
                <w:rFonts w:ascii="Cambria Math" w:hAnsi="Cambria Math"/>
                <w:sz w:val="24"/>
                <w:szCs w:val="24"/>
              </w:rPr>
              <m:t>3</m:t>
            </m:r>
          </m:sub>
        </m:sSub>
        <m:r>
          <w:rPr>
            <w:rFonts w:ascii="Cambria Math" w:hAnsi="Cambria Math"/>
            <w:sz w:val="24"/>
            <w:szCs w:val="24"/>
          </w:rPr>
          <m:t xml:space="preserve">ln </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it</m:t>
            </m:r>
          </m:sub>
        </m:sSub>
        <m:r>
          <m:rPr>
            <m:sty m:val="bi"/>
          </m:rPr>
          <w:rPr>
            <w:rFonts w:ascii="Cambria Math" w:hAnsi="Cambria Math"/>
            <w:sz w:val="24"/>
            <w:szCs w:val="24"/>
          </w:rPr>
          <m:t>)+</m:t>
        </m:r>
        <m:sSubSup>
          <m:sSubSupPr>
            <m:ctrlPr>
              <w:rPr>
                <w:rFonts w:ascii="Cambria Math" w:hAnsi="Cambria Math"/>
                <w:b/>
                <w:i/>
                <w:sz w:val="24"/>
                <w:szCs w:val="24"/>
              </w:rPr>
            </m:ctrlPr>
          </m:sSubSupPr>
          <m:e>
            <m:r>
              <m:rPr>
                <m:sty m:val="b"/>
              </m:rPr>
              <w:rPr>
                <w:rFonts w:ascii="Cambria Math" w:hAnsi="Cambria Math"/>
                <w:sz w:val="24"/>
                <w:szCs w:val="24"/>
              </w:rPr>
              <m:t>x</m:t>
            </m:r>
          </m:e>
          <m:sub>
            <m:r>
              <w:rPr>
                <w:rFonts w:ascii="Cambria Math" w:hAnsi="Cambria Math"/>
                <w:sz w:val="24"/>
                <w:szCs w:val="24"/>
              </w:rPr>
              <m:t>it</m:t>
            </m:r>
            <m:ctrlPr>
              <w:rPr>
                <w:rFonts w:ascii="Cambria Math" w:hAnsi="Cambria Math"/>
                <w:b/>
                <w:sz w:val="24"/>
                <w:szCs w:val="24"/>
              </w:rPr>
            </m:ctrlPr>
          </m:sub>
          <m:sup>
            <m:r>
              <m:rPr>
                <m:sty m:val="bi"/>
              </m:rPr>
              <w:rPr>
                <w:rFonts w:ascii="Cambria Math" w:hAnsi="Cambria Math"/>
                <w:sz w:val="24"/>
                <w:szCs w:val="24"/>
              </w:rPr>
              <m:t>'</m:t>
            </m:r>
          </m:sup>
        </m:sSubSup>
        <m:sSub>
          <m:sSubPr>
            <m:ctrlPr>
              <w:rPr>
                <w:rFonts w:ascii="Cambria Math" w:hAnsi="Cambria Math"/>
                <w:b/>
                <w:i/>
                <w:sz w:val="24"/>
                <w:szCs w:val="24"/>
              </w:rPr>
            </m:ctrlPr>
          </m:sSubPr>
          <m:e>
            <m:r>
              <m:rPr>
                <m:sty m:val="b"/>
              </m:rPr>
              <w:rPr>
                <w:rFonts w:ascii="Cambria Math" w:hAnsi="Cambria Math"/>
                <w:b/>
                <w:sz w:val="24"/>
                <w:szCs w:val="24"/>
              </w:rPr>
              <w:sym w:font="Symbol" w:char="F062"/>
            </m:r>
          </m:e>
          <m:sub>
            <m:r>
              <m:rPr>
                <m:sty m:val="bi"/>
              </m:rPr>
              <w:rPr>
                <w:rFonts w:ascii="Cambria Math" w:hAnsi="Cambria Math"/>
                <w:sz w:val="24"/>
                <w:szCs w:val="24"/>
              </w:rPr>
              <m:t>4</m:t>
            </m:r>
          </m:sub>
        </m:sSub>
        <m:r>
          <m:rPr>
            <m:sty m:val="bi"/>
          </m:rPr>
          <w:rPr>
            <w:rFonts w:ascii="Cambria Math" w:hAnsi="Cambria Math"/>
            <w:sz w:val="24"/>
            <w:szCs w:val="24"/>
          </w:rPr>
          <m:t>+</m:t>
        </m:r>
        <m:r>
          <w:rPr>
            <w:rFonts w:ascii="Cambria Math" w:hAnsi="Cambria Math"/>
            <w:sz w:val="24"/>
            <w:szCs w:val="24"/>
          </w:rPr>
          <m:t>v</m:t>
        </m:r>
        <m:sSub>
          <m:sSubPr>
            <m:ctrlPr>
              <w:rPr>
                <w:rFonts w:ascii="Cambria Math" w:hAnsi="Cambria Math"/>
                <w:i/>
                <w:sz w:val="24"/>
                <w:szCs w:val="24"/>
              </w:rPr>
            </m:ctrlPr>
          </m:sSubPr>
          <m:e>
            <m:r>
              <m:rPr>
                <m:sty m:val="p"/>
              </m:rPr>
              <w:rPr>
                <w:rFonts w:ascii="Cambria Math" w:hAnsi="Cambria Math"/>
                <w:sz w:val="24"/>
                <w:szCs w:val="24"/>
              </w:rPr>
              <w:softHyphen/>
            </m:r>
          </m:e>
          <m:sub>
            <m:r>
              <w:rPr>
                <w:rFonts w:ascii="Cambria Math" w:hAnsi="Cambria Math"/>
                <w:sz w:val="24"/>
                <w:szCs w:val="24"/>
              </w:rPr>
              <m:t>t</m:t>
            </m:r>
          </m:sub>
        </m:sSub>
        <m:r>
          <w:rPr>
            <w:rFonts w:ascii="Cambria Math" w:hAnsi="Cambria Math"/>
            <w:sz w:val="24"/>
            <w:szCs w:val="24"/>
          </w:rPr>
          <m:t xml:space="preserve">. </m:t>
        </m:r>
      </m:oMath>
      <w:r w:rsidR="00CD639B" w:rsidRPr="0095168A">
        <w:rPr>
          <w:rFonts w:eastAsiaTheme="minorEastAsia"/>
          <w:sz w:val="24"/>
          <w:szCs w:val="24"/>
        </w:rPr>
        <w:t xml:space="preserve"> </w:t>
      </w:r>
      <w:r w:rsidR="001E7533">
        <w:rPr>
          <w:rFonts w:eastAsiaTheme="minorEastAsia"/>
          <w:sz w:val="24"/>
          <w:szCs w:val="24"/>
        </w:rPr>
        <w:t xml:space="preserve">   </w:t>
      </w:r>
      <w:r w:rsidR="00CD639B" w:rsidRPr="0095168A">
        <w:rPr>
          <w:rFonts w:eastAsiaTheme="minorEastAsia"/>
          <w:sz w:val="24"/>
          <w:szCs w:val="24"/>
        </w:rPr>
        <w:t xml:space="preserve">    (1)</w:t>
      </w:r>
    </w:p>
    <w:p w:rsidR="00244563" w:rsidRDefault="00270F33" w:rsidP="00957CE4">
      <w:pPr>
        <w:spacing w:after="0" w:line="480" w:lineRule="auto"/>
        <w:jc w:val="both"/>
        <w:rPr>
          <w:sz w:val="24"/>
        </w:rPr>
      </w:pPr>
      <m:oMath>
        <m:sSub>
          <m:sSubPr>
            <m:ctrlPr>
              <w:rPr>
                <w:rFonts w:ascii="Cambria Math" w:hAnsi="Cambria Math"/>
                <w:i/>
                <w:sz w:val="24"/>
                <w:szCs w:val="24"/>
              </w:rPr>
            </m:ctrlPr>
          </m:sSubPr>
          <m:e>
            <m:r>
              <m:rPr>
                <m:sty m:val="b"/>
              </m:rPr>
              <w:rPr>
                <w:rFonts w:ascii="Cambria Math" w:hAnsi="Cambria Math"/>
                <w:sz w:val="24"/>
                <w:szCs w:val="24"/>
              </w:rPr>
              <m:t>H</m:t>
            </m:r>
          </m:e>
          <m:sub>
            <m:r>
              <w:rPr>
                <w:rFonts w:ascii="Cambria Math" w:hAnsi="Cambria Math"/>
                <w:sz w:val="24"/>
                <w:szCs w:val="24"/>
              </w:rPr>
              <m:t>i</m:t>
            </m:r>
          </m:sub>
        </m:sSub>
      </m:oMath>
      <w:r w:rsidR="00235D6A">
        <w:rPr>
          <w:sz w:val="24"/>
          <w:szCs w:val="24"/>
        </w:rPr>
        <w:t xml:space="preserve"> </w:t>
      </w:r>
      <w:r w:rsidR="00C06F59">
        <w:rPr>
          <w:sz w:val="24"/>
          <w:szCs w:val="24"/>
        </w:rPr>
        <w:t xml:space="preserve">is a vector of </w:t>
      </w:r>
      <w:r w:rsidR="00213F2B">
        <w:rPr>
          <w:sz w:val="24"/>
          <w:szCs w:val="24"/>
        </w:rPr>
        <w:t xml:space="preserve">dummy variables </w:t>
      </w:r>
      <w:r w:rsidR="00C06F59">
        <w:rPr>
          <w:sz w:val="24"/>
          <w:szCs w:val="24"/>
        </w:rPr>
        <w:t>for hospital types (Specialist, Teaching</w:t>
      </w:r>
      <w:r w:rsidR="00235D6A">
        <w:rPr>
          <w:sz w:val="24"/>
          <w:szCs w:val="24"/>
        </w:rPr>
        <w:t>,</w:t>
      </w:r>
      <w:r w:rsidR="00C06F59">
        <w:rPr>
          <w:sz w:val="24"/>
          <w:szCs w:val="24"/>
        </w:rPr>
        <w:t xml:space="preserve"> Mental Health) with Acute as the baseline type.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it</m:t>
            </m:r>
          </m:sub>
        </m:sSub>
      </m:oMath>
      <w:r w:rsidR="00C06F59">
        <w:rPr>
          <w:sz w:val="24"/>
          <w:szCs w:val="24"/>
        </w:rPr>
        <w:t xml:space="preserve"> is </w:t>
      </w:r>
      <w:r w:rsidR="00213F2B">
        <w:rPr>
          <w:sz w:val="24"/>
          <w:szCs w:val="24"/>
        </w:rPr>
        <w:t>a dummy variable</w:t>
      </w:r>
      <w:r w:rsidR="00C06F59">
        <w:rPr>
          <w:sz w:val="24"/>
          <w:szCs w:val="24"/>
        </w:rPr>
        <w:t xml:space="preserve"> for the hospital having Foundation Trust status</w:t>
      </w:r>
      <w:r w:rsidR="00235D6A">
        <w:rPr>
          <w:sz w:val="24"/>
          <w:szCs w:val="24"/>
        </w:rPr>
        <w:t>.</w:t>
      </w:r>
      <w:r w:rsidR="00C06F59">
        <w:rPr>
          <w:sz w:val="24"/>
          <w:szCs w:val="24"/>
        </w:rPr>
        <w:t xml:space="preserve"> No hospital changed its type over the period but three became Foundation Trusts so </w:t>
      </w:r>
      <w:r w:rsidR="00253BA2">
        <w:rPr>
          <w:sz w:val="24"/>
          <w:szCs w:val="24"/>
        </w:rPr>
        <w:t xml:space="preserve">that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it</m:t>
            </m:r>
          </m:sub>
        </m:sSub>
      </m:oMath>
      <w:r w:rsidR="00213F2B">
        <w:rPr>
          <w:rFonts w:eastAsiaTheme="minorEastAsia"/>
          <w:sz w:val="24"/>
          <w:szCs w:val="24"/>
        </w:rPr>
        <w:t xml:space="preserve"> </w:t>
      </w:r>
      <w:r w:rsidR="00235D6A">
        <w:rPr>
          <w:sz w:val="24"/>
          <w:szCs w:val="24"/>
        </w:rPr>
        <w:t>does vary</w:t>
      </w:r>
      <w:r w:rsidR="00C06F59">
        <w:rPr>
          <w:sz w:val="24"/>
          <w:szCs w:val="24"/>
        </w:rPr>
        <w:t xml:space="preserve"> over time.</w:t>
      </w:r>
      <w:r w:rsidR="004B5B32">
        <w:rPr>
          <w:sz w:val="24"/>
          <w:szCs w:val="24"/>
        </w:rPr>
        <w:t xml:space="preserve"> </w:t>
      </w:r>
      <m:oMath>
        <m:sSub>
          <m:sSubPr>
            <m:ctrlPr>
              <w:rPr>
                <w:rFonts w:ascii="Cambria Math" w:hAnsi="Cambria Math"/>
                <w:i/>
                <w:sz w:val="24"/>
                <w:szCs w:val="24"/>
              </w:rPr>
            </m:ctrlPr>
          </m:sSubPr>
          <m:e>
            <m:r>
              <m:rPr>
                <m:sty m:val="b"/>
              </m:rPr>
              <w:rPr>
                <w:rFonts w:ascii="Cambria Math" w:hAnsi="Cambria Math"/>
                <w:sz w:val="24"/>
                <w:szCs w:val="24"/>
              </w:rPr>
              <m:t>x</m:t>
            </m:r>
          </m:e>
          <m:sub>
            <m:r>
              <w:rPr>
                <w:rFonts w:ascii="Cambria Math" w:hAnsi="Cambria Math"/>
                <w:sz w:val="24"/>
                <w:szCs w:val="24"/>
              </w:rPr>
              <m:t>it</m:t>
            </m:r>
          </m:sub>
        </m:sSub>
      </m:oMath>
      <w:r w:rsidR="00272E10">
        <w:rPr>
          <w:sz w:val="24"/>
          <w:szCs w:val="24"/>
        </w:rPr>
        <w:t xml:space="preserve"> </w:t>
      </w:r>
      <w:r w:rsidR="00DB60C5">
        <w:rPr>
          <w:sz w:val="24"/>
          <w:szCs w:val="24"/>
        </w:rPr>
        <w:t>is a vector of covariates</w:t>
      </w:r>
      <w:r w:rsidR="00244563">
        <w:rPr>
          <w:sz w:val="24"/>
          <w:szCs w:val="24"/>
        </w:rPr>
        <w:t>.</w:t>
      </w:r>
      <w:r w:rsidR="00F65E8A">
        <w:rPr>
          <w:sz w:val="24"/>
          <w:szCs w:val="24"/>
        </w:rPr>
        <w:t xml:space="preserve"> </w:t>
      </w:r>
      <m:oMath>
        <m:r>
          <w:rPr>
            <w:rFonts w:ascii="Cambria Math" w:hAnsi="Cambria Math"/>
            <w:sz w:val="24"/>
            <w:szCs w:val="24"/>
          </w:rPr>
          <m:t>v</m:t>
        </m:r>
        <m:sSub>
          <m:sSubPr>
            <m:ctrlPr>
              <w:rPr>
                <w:rFonts w:ascii="Cambria Math" w:hAnsi="Cambria Math"/>
                <w:i/>
                <w:sz w:val="24"/>
                <w:szCs w:val="24"/>
              </w:rPr>
            </m:ctrlPr>
          </m:sSubPr>
          <m:e>
            <m:r>
              <m:rPr>
                <m:sty m:val="p"/>
              </m:rPr>
              <w:rPr>
                <w:rFonts w:ascii="Cambria Math" w:hAnsi="Cambria Math"/>
                <w:sz w:val="24"/>
                <w:szCs w:val="24"/>
              </w:rPr>
              <w:softHyphen/>
            </m:r>
          </m:e>
          <m:sub>
            <m:r>
              <w:rPr>
                <w:rFonts w:ascii="Cambria Math" w:hAnsi="Cambria Math"/>
                <w:sz w:val="24"/>
                <w:szCs w:val="24"/>
              </w:rPr>
              <m:t>t</m:t>
            </m:r>
          </m:sub>
        </m:sSub>
        <m:r>
          <m:rPr>
            <m:sty m:val="p"/>
          </m:rPr>
          <w:rPr>
            <w:rFonts w:ascii="Cambria Math" w:hAnsi="Cambria Math"/>
            <w:sz w:val="24"/>
            <w:szCs w:val="24"/>
          </w:rPr>
          <m:t xml:space="preserve"> </m:t>
        </m:r>
      </m:oMath>
      <w:r w:rsidR="00235D6A">
        <w:rPr>
          <w:rFonts w:eastAsiaTheme="minorEastAsia"/>
          <w:sz w:val="24"/>
          <w:szCs w:val="24"/>
        </w:rPr>
        <w:t xml:space="preserve"> are </w:t>
      </w:r>
      <w:r w:rsidR="00101AC8">
        <w:rPr>
          <w:rFonts w:eastAsiaTheme="minorEastAsia"/>
          <w:sz w:val="24"/>
          <w:szCs w:val="24"/>
        </w:rPr>
        <w:t xml:space="preserve">year </w:t>
      </w:r>
      <w:r w:rsidR="00235D6A">
        <w:rPr>
          <w:rFonts w:eastAsiaTheme="minorEastAsia"/>
          <w:sz w:val="24"/>
          <w:szCs w:val="24"/>
        </w:rPr>
        <w:t>dummies</w:t>
      </w:r>
      <w:r w:rsidR="00E32E00">
        <w:rPr>
          <w:rFonts w:eastAsiaTheme="minorEastAsia"/>
          <w:sz w:val="24"/>
          <w:szCs w:val="24"/>
        </w:rPr>
        <w:t>.</w:t>
      </w:r>
      <w:r w:rsidR="00101AC8">
        <w:rPr>
          <w:rFonts w:eastAsiaTheme="minorEastAsia"/>
          <w:sz w:val="24"/>
          <w:szCs w:val="24"/>
        </w:rPr>
        <w:t xml:space="preserve"> </w:t>
      </w:r>
      <w:r w:rsidR="00244563">
        <w:rPr>
          <w:rFonts w:eastAsiaTheme="minorEastAsia"/>
          <w:sz w:val="24"/>
          <w:szCs w:val="24"/>
        </w:rPr>
        <w:t xml:space="preserve"> </w:t>
      </w:r>
      <w:r w:rsidR="00244563">
        <w:rPr>
          <w:sz w:val="24"/>
        </w:rPr>
        <w:t xml:space="preserve">The coefficients </w:t>
      </w:r>
      <w:r w:rsidR="00244563" w:rsidRPr="00DB60C5">
        <w:rPr>
          <w:i/>
          <w:sz w:val="24"/>
        </w:rPr>
        <w:sym w:font="Symbol" w:char="F062"/>
      </w:r>
      <w:r w:rsidR="00244563">
        <w:rPr>
          <w:sz w:val="24"/>
        </w:rPr>
        <w:t xml:space="preserve"> </w:t>
      </w:r>
      <w:r w:rsidR="00E035B3">
        <w:rPr>
          <w:sz w:val="24"/>
        </w:rPr>
        <w:t xml:space="preserve"> </w:t>
      </w:r>
      <w:r w:rsidR="00244563">
        <w:rPr>
          <w:sz w:val="24"/>
        </w:rPr>
        <w:t xml:space="preserve">are the proportionate changes in the number of days of delay from a one unit change in the explanatory variable if it is continuous or from a change from 0 to 1 for </w:t>
      </w:r>
      <w:r w:rsidR="00213F2B">
        <w:rPr>
          <w:sz w:val="24"/>
        </w:rPr>
        <w:t>a dummy</w:t>
      </w:r>
      <w:r w:rsidR="00244563">
        <w:rPr>
          <w:sz w:val="24"/>
        </w:rPr>
        <w:t xml:space="preserve"> variable such as hospital type.  </w:t>
      </w:r>
      <w:r w:rsidR="008B58F9">
        <w:rPr>
          <w:sz w:val="24"/>
        </w:rPr>
        <w:t xml:space="preserve">We enter the logarithms of LTC beds and prices in the models so that their coefficients are the % change in delays associated with a 1% increase in beds or prices. </w:t>
      </w:r>
    </w:p>
    <w:p w:rsidR="00957CE4" w:rsidRPr="00675014" w:rsidRDefault="00957CE4" w:rsidP="00957CE4">
      <w:pPr>
        <w:spacing w:after="0" w:line="480" w:lineRule="auto"/>
        <w:jc w:val="both"/>
        <w:rPr>
          <w:sz w:val="24"/>
          <w:szCs w:val="24"/>
        </w:rPr>
      </w:pPr>
    </w:p>
    <w:p w:rsidR="00F15731" w:rsidRDefault="00270F33" w:rsidP="00957CE4">
      <w:pPr>
        <w:spacing w:after="0" w:line="48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it</m:t>
            </m:r>
          </m:sub>
        </m:sSub>
      </m:oMath>
      <w:r w:rsidR="00DB60C5">
        <w:rPr>
          <w:i/>
          <w:sz w:val="24"/>
          <w:szCs w:val="24"/>
        </w:rPr>
        <w:t xml:space="preserve"> </w:t>
      </w:r>
      <w:r w:rsidR="00DB60C5">
        <w:rPr>
          <w:sz w:val="24"/>
          <w:szCs w:val="24"/>
        </w:rPr>
        <w:t>is the number of beds in the hospital</w:t>
      </w:r>
      <w:r w:rsidR="00F15731">
        <w:rPr>
          <w:sz w:val="24"/>
          <w:szCs w:val="24"/>
        </w:rPr>
        <w:t>. W</w:t>
      </w:r>
      <w:r w:rsidR="00AA5296">
        <w:rPr>
          <w:sz w:val="24"/>
          <w:szCs w:val="24"/>
        </w:rPr>
        <w:t>e estimate (1) with beds as an exposure term i</w:t>
      </w:r>
      <w:r w:rsidR="00253BA2">
        <w:rPr>
          <w:sz w:val="24"/>
          <w:szCs w:val="24"/>
        </w:rPr>
        <w:t>.</w:t>
      </w:r>
      <w:r w:rsidR="00AA5296">
        <w:rPr>
          <w:sz w:val="24"/>
          <w:szCs w:val="24"/>
        </w:rPr>
        <w:t>e</w:t>
      </w:r>
      <w:r w:rsidR="00253BA2">
        <w:rPr>
          <w:sz w:val="24"/>
          <w:szCs w:val="24"/>
        </w:rPr>
        <w:t xml:space="preserve">. with </w:t>
      </w:r>
      <w:r w:rsidR="00AA5296" w:rsidRPr="00AA5296">
        <w:rPr>
          <w:i/>
          <w:sz w:val="24"/>
          <w:szCs w:val="24"/>
        </w:rPr>
        <w:sym w:font="Symbol" w:char="F062"/>
      </w:r>
      <w:r w:rsidR="00AA5296">
        <w:rPr>
          <w:sz w:val="24"/>
          <w:szCs w:val="24"/>
          <w:vertAlign w:val="subscript"/>
        </w:rPr>
        <w:t>3</w:t>
      </w:r>
      <w:r w:rsidR="00AA5296">
        <w:rPr>
          <w:sz w:val="24"/>
          <w:szCs w:val="24"/>
        </w:rPr>
        <w:t xml:space="preserve"> = 1. This is equivalent to</w:t>
      </w:r>
      <w:r w:rsidR="00F15731">
        <w:rPr>
          <w:sz w:val="24"/>
          <w:szCs w:val="24"/>
        </w:rPr>
        <w:t xml:space="preserve"> standardising </w:t>
      </w:r>
      <w:r w:rsidR="00AA5296">
        <w:rPr>
          <w:sz w:val="24"/>
          <w:szCs w:val="24"/>
        </w:rPr>
        <w:t>the dependent variable</w:t>
      </w:r>
      <w:r w:rsidR="00F15731">
        <w:rPr>
          <w:sz w:val="24"/>
          <w:szCs w:val="24"/>
        </w:rPr>
        <w:t xml:space="preserve"> for the hospital size</w:t>
      </w:r>
      <w:r w:rsidR="00AA5296">
        <w:rPr>
          <w:sz w:val="24"/>
          <w:szCs w:val="24"/>
        </w:rPr>
        <w:t>.  We could have</w:t>
      </w:r>
      <w:r w:rsidR="00F15731">
        <w:rPr>
          <w:sz w:val="24"/>
          <w:szCs w:val="24"/>
        </w:rPr>
        <w:t xml:space="preserve"> </w:t>
      </w:r>
      <w:r w:rsidR="00AA5296">
        <w:rPr>
          <w:sz w:val="24"/>
          <w:szCs w:val="24"/>
        </w:rPr>
        <w:t xml:space="preserve">used the number of patients </w:t>
      </w:r>
      <w:r w:rsidR="00F15731">
        <w:rPr>
          <w:sz w:val="24"/>
          <w:szCs w:val="24"/>
        </w:rPr>
        <w:t xml:space="preserve">(rather than beds) </w:t>
      </w:r>
      <w:r w:rsidR="00AA5296">
        <w:rPr>
          <w:sz w:val="24"/>
          <w:szCs w:val="24"/>
        </w:rPr>
        <w:t xml:space="preserve">as the exposure term </w:t>
      </w:r>
      <w:r w:rsidR="00F15731">
        <w:rPr>
          <w:sz w:val="24"/>
          <w:szCs w:val="24"/>
        </w:rPr>
        <w:t>b</w:t>
      </w:r>
      <w:r w:rsidR="00AA5296">
        <w:rPr>
          <w:sz w:val="24"/>
          <w:szCs w:val="24"/>
        </w:rPr>
        <w:t xml:space="preserve">ut this raises concerns about simultaneity if hospitals with more delayed discharges admit fewer patients because no beds are available. </w:t>
      </w:r>
      <w:r w:rsidR="00253BA2">
        <w:rPr>
          <w:sz w:val="24"/>
          <w:szCs w:val="24"/>
        </w:rPr>
        <w:t xml:space="preserve">We therefore, as in </w:t>
      </w:r>
      <w:r w:rsidR="009A372B" w:rsidRPr="00BA65E2">
        <w:rPr>
          <w:sz w:val="24"/>
          <w:szCs w:val="24"/>
        </w:rPr>
        <w:t>Propper et al</w:t>
      </w:r>
      <w:r w:rsidR="00594365">
        <w:rPr>
          <w:sz w:val="24"/>
          <w:szCs w:val="24"/>
        </w:rPr>
        <w:t>.</w:t>
      </w:r>
      <w:r w:rsidR="009A372B" w:rsidRPr="00BA65E2">
        <w:rPr>
          <w:sz w:val="24"/>
          <w:szCs w:val="24"/>
        </w:rPr>
        <w:t xml:space="preserve"> </w:t>
      </w:r>
      <w:r w:rsidR="009A372B">
        <w:rPr>
          <w:sz w:val="24"/>
          <w:szCs w:val="24"/>
        </w:rPr>
        <w:t>(</w:t>
      </w:r>
      <w:r w:rsidR="009A372B" w:rsidRPr="00BA65E2">
        <w:rPr>
          <w:sz w:val="24"/>
          <w:szCs w:val="24"/>
        </w:rPr>
        <w:t>2004</w:t>
      </w:r>
      <w:r w:rsidR="009A372B">
        <w:rPr>
          <w:sz w:val="24"/>
          <w:szCs w:val="24"/>
        </w:rPr>
        <w:t xml:space="preserve">) and </w:t>
      </w:r>
      <w:r w:rsidR="00594365">
        <w:rPr>
          <w:sz w:val="24"/>
          <w:szCs w:val="24"/>
        </w:rPr>
        <w:t xml:space="preserve">Kolstad </w:t>
      </w:r>
      <w:r w:rsidR="00594365">
        <w:rPr>
          <w:sz w:val="24"/>
        </w:rPr>
        <w:t>and</w:t>
      </w:r>
      <w:r w:rsidR="00594365" w:rsidRPr="00FC5A2A">
        <w:rPr>
          <w:sz w:val="24"/>
        </w:rPr>
        <w:t xml:space="preserve"> Kowalski</w:t>
      </w:r>
      <w:r w:rsidR="009A372B" w:rsidRPr="00BA65E2">
        <w:rPr>
          <w:sz w:val="24"/>
          <w:szCs w:val="24"/>
        </w:rPr>
        <w:t xml:space="preserve"> </w:t>
      </w:r>
      <w:r w:rsidR="009A372B">
        <w:rPr>
          <w:sz w:val="24"/>
          <w:szCs w:val="24"/>
        </w:rPr>
        <w:t>(</w:t>
      </w:r>
      <w:r w:rsidR="009A372B" w:rsidRPr="00BA65E2">
        <w:rPr>
          <w:sz w:val="24"/>
          <w:szCs w:val="24"/>
        </w:rPr>
        <w:t>2012)</w:t>
      </w:r>
      <w:r w:rsidR="00253BA2">
        <w:rPr>
          <w:sz w:val="24"/>
          <w:szCs w:val="24"/>
        </w:rPr>
        <w:t xml:space="preserve">, </w:t>
      </w:r>
      <w:r w:rsidR="000D5AC3">
        <w:rPr>
          <w:sz w:val="24"/>
          <w:szCs w:val="24"/>
        </w:rPr>
        <w:t>use</w:t>
      </w:r>
      <w:r w:rsidR="009A372B">
        <w:rPr>
          <w:sz w:val="24"/>
          <w:szCs w:val="24"/>
        </w:rPr>
        <w:t xml:space="preserve"> beds </w:t>
      </w:r>
      <w:r w:rsidR="00F15731">
        <w:rPr>
          <w:sz w:val="24"/>
          <w:szCs w:val="24"/>
        </w:rPr>
        <w:t xml:space="preserve">to </w:t>
      </w:r>
      <w:r w:rsidR="00253BA2">
        <w:rPr>
          <w:sz w:val="24"/>
          <w:szCs w:val="24"/>
        </w:rPr>
        <w:t xml:space="preserve">measure </w:t>
      </w:r>
      <w:r w:rsidR="009A372B">
        <w:rPr>
          <w:sz w:val="24"/>
          <w:szCs w:val="24"/>
        </w:rPr>
        <w:t>hospital size.</w:t>
      </w:r>
      <w:r w:rsidR="00AA5296">
        <w:rPr>
          <w:sz w:val="24"/>
          <w:szCs w:val="24"/>
        </w:rPr>
        <w:t xml:space="preserve"> </w:t>
      </w:r>
    </w:p>
    <w:p w:rsidR="00957CE4" w:rsidRDefault="00957CE4" w:rsidP="00957CE4">
      <w:pPr>
        <w:spacing w:after="0" w:line="480" w:lineRule="auto"/>
        <w:jc w:val="both"/>
        <w:rPr>
          <w:sz w:val="24"/>
          <w:szCs w:val="24"/>
        </w:rPr>
      </w:pPr>
    </w:p>
    <w:p w:rsidR="00C06F59" w:rsidRDefault="00AA5296" w:rsidP="00957CE4">
      <w:pPr>
        <w:spacing w:after="0" w:line="480" w:lineRule="auto"/>
        <w:jc w:val="both"/>
        <w:rPr>
          <w:sz w:val="24"/>
          <w:szCs w:val="24"/>
        </w:rPr>
      </w:pPr>
      <w:r>
        <w:rPr>
          <w:sz w:val="24"/>
          <w:szCs w:val="24"/>
        </w:rPr>
        <w:t xml:space="preserve">To allow for the possibility that </w:t>
      </w:r>
      <w:r w:rsidR="00E32E00">
        <w:rPr>
          <w:sz w:val="24"/>
          <w:szCs w:val="24"/>
        </w:rPr>
        <w:t xml:space="preserve">the number of delays is not proportional to hospital size, with </w:t>
      </w:r>
      <w:r>
        <w:rPr>
          <w:sz w:val="24"/>
          <w:szCs w:val="24"/>
        </w:rPr>
        <w:t xml:space="preserve">larger hospitals </w:t>
      </w:r>
      <w:r w:rsidR="00E035B3">
        <w:rPr>
          <w:sz w:val="24"/>
          <w:szCs w:val="24"/>
        </w:rPr>
        <w:t xml:space="preserve">being </w:t>
      </w:r>
      <w:r>
        <w:rPr>
          <w:sz w:val="24"/>
          <w:szCs w:val="24"/>
        </w:rPr>
        <w:t>better or worse</w:t>
      </w:r>
      <w:r w:rsidR="00F15731">
        <w:rPr>
          <w:sz w:val="24"/>
          <w:szCs w:val="24"/>
        </w:rPr>
        <w:t xml:space="preserve"> at managing delays</w:t>
      </w:r>
      <w:r w:rsidR="000D5AC3">
        <w:rPr>
          <w:sz w:val="24"/>
          <w:szCs w:val="24"/>
        </w:rPr>
        <w:t>,</w:t>
      </w:r>
      <w:r w:rsidR="009A372B">
        <w:rPr>
          <w:sz w:val="24"/>
          <w:szCs w:val="24"/>
        </w:rPr>
        <w:t xml:space="preserve"> </w:t>
      </w:r>
      <w:r w:rsidR="00101AC8">
        <w:rPr>
          <w:sz w:val="24"/>
          <w:szCs w:val="24"/>
        </w:rPr>
        <w:t xml:space="preserve">we also include </w:t>
      </w:r>
      <w:r w:rsidR="009A372B">
        <w:rPr>
          <w:sz w:val="24"/>
          <w:szCs w:val="24"/>
        </w:rPr>
        <w:t xml:space="preserve">a vector of bed size categories (200-399, 400-599,…,1000-1499, 1500 and over) </w:t>
      </w:r>
      <w:r w:rsidR="00253BA2">
        <w:rPr>
          <w:sz w:val="24"/>
          <w:szCs w:val="24"/>
        </w:rPr>
        <w:t xml:space="preserve">in </w:t>
      </w:r>
      <m:oMath>
        <m:sSub>
          <m:sSubPr>
            <m:ctrlPr>
              <w:rPr>
                <w:rFonts w:ascii="Cambria Math" w:hAnsi="Cambria Math"/>
                <w:i/>
                <w:sz w:val="24"/>
                <w:szCs w:val="24"/>
              </w:rPr>
            </m:ctrlPr>
          </m:sSubPr>
          <m:e>
            <m:r>
              <m:rPr>
                <m:sty m:val="b"/>
              </m:rPr>
              <w:rPr>
                <w:rFonts w:ascii="Cambria Math" w:hAnsi="Cambria Math"/>
                <w:sz w:val="24"/>
                <w:szCs w:val="24"/>
              </w:rPr>
              <m:t>x</m:t>
            </m:r>
          </m:e>
          <m:sub>
            <m:r>
              <w:rPr>
                <w:rFonts w:ascii="Cambria Math" w:hAnsi="Cambria Math"/>
                <w:sz w:val="24"/>
                <w:szCs w:val="24"/>
              </w:rPr>
              <m:t>it</m:t>
            </m:r>
          </m:sub>
        </m:sSub>
      </m:oMath>
      <w:r w:rsidR="00101AC8">
        <w:rPr>
          <w:sz w:val="24"/>
          <w:szCs w:val="24"/>
        </w:rPr>
        <w:t xml:space="preserve"> </w:t>
      </w:r>
      <w:r w:rsidR="00253BA2">
        <w:rPr>
          <w:sz w:val="24"/>
          <w:szCs w:val="24"/>
        </w:rPr>
        <w:t xml:space="preserve">with unconstrained coefficients. </w:t>
      </w:r>
    </w:p>
    <w:p w:rsidR="00957CE4" w:rsidRPr="009A372B" w:rsidRDefault="00957CE4" w:rsidP="00957CE4">
      <w:pPr>
        <w:spacing w:after="0" w:line="480" w:lineRule="auto"/>
        <w:jc w:val="both"/>
        <w:rPr>
          <w:sz w:val="24"/>
          <w:szCs w:val="24"/>
        </w:rPr>
      </w:pPr>
    </w:p>
    <w:p w:rsidR="00FB43BE" w:rsidRDefault="00FB43BE" w:rsidP="00957CE4">
      <w:pPr>
        <w:spacing w:after="0" w:line="480" w:lineRule="auto"/>
        <w:jc w:val="both"/>
        <w:rPr>
          <w:sz w:val="24"/>
        </w:rPr>
      </w:pPr>
      <w:r w:rsidRPr="00BA65E2">
        <w:rPr>
          <w:sz w:val="24"/>
          <w:szCs w:val="24"/>
        </w:rPr>
        <w:lastRenderedPageBreak/>
        <w:t xml:space="preserve">We use the NB2 </w:t>
      </w:r>
      <w:r>
        <w:rPr>
          <w:sz w:val="24"/>
          <w:szCs w:val="24"/>
        </w:rPr>
        <w:t>Negative Binomial model</w:t>
      </w:r>
      <w:r w:rsidRPr="00BA65E2">
        <w:rPr>
          <w:sz w:val="24"/>
          <w:szCs w:val="24"/>
        </w:rPr>
        <w:t xml:space="preserve"> </w:t>
      </w:r>
      <w:r w:rsidR="00253BA2">
        <w:rPr>
          <w:sz w:val="24"/>
          <w:szCs w:val="24"/>
        </w:rPr>
        <w:t>(</w:t>
      </w:r>
      <w:r w:rsidRPr="00BA65E2">
        <w:rPr>
          <w:sz w:val="24"/>
          <w:szCs w:val="24"/>
        </w:rPr>
        <w:t>Cameron and Trivedi</w:t>
      </w:r>
      <w:r w:rsidR="00253BA2">
        <w:rPr>
          <w:sz w:val="24"/>
          <w:szCs w:val="24"/>
        </w:rPr>
        <w:t xml:space="preserve"> </w:t>
      </w:r>
      <w:r w:rsidRPr="00BA65E2">
        <w:rPr>
          <w:sz w:val="24"/>
          <w:szCs w:val="24"/>
        </w:rPr>
        <w:t xml:space="preserve">1986) </w:t>
      </w:r>
      <w:r w:rsidR="00E32E00">
        <w:rPr>
          <w:sz w:val="24"/>
          <w:szCs w:val="24"/>
        </w:rPr>
        <w:t xml:space="preserve">in which </w:t>
      </w:r>
      <w:r w:rsidR="00253BA2">
        <w:rPr>
          <w:sz w:val="24"/>
          <w:szCs w:val="24"/>
        </w:rPr>
        <w:t xml:space="preserve">the </w:t>
      </w:r>
      <w:r w:rsidRPr="00BA65E2">
        <w:rPr>
          <w:sz w:val="24"/>
          <w:szCs w:val="24"/>
        </w:rPr>
        <w:t xml:space="preserve">variance </w:t>
      </w:r>
      <w:r w:rsidR="00E32E00">
        <w:rPr>
          <w:sz w:val="24"/>
          <w:szCs w:val="24"/>
        </w:rPr>
        <w:t xml:space="preserve">is </w:t>
      </w:r>
      <w:r w:rsidR="00253BA2">
        <w:rPr>
          <w:sz w:val="24"/>
          <w:szCs w:val="24"/>
        </w:rPr>
        <w:t xml:space="preserve">a quadratic function of </w:t>
      </w:r>
      <w:r w:rsidRPr="00BA65E2">
        <w:rPr>
          <w:sz w:val="24"/>
          <w:szCs w:val="24"/>
        </w:rPr>
        <w:t>the mean</w:t>
      </w:r>
      <w:r>
        <w:rPr>
          <w:rFonts w:eastAsiaTheme="minorEastAsia"/>
          <w:sz w:val="24"/>
          <w:szCs w:val="24"/>
        </w:rPr>
        <w:t>. Th</w:t>
      </w:r>
      <w:r w:rsidR="00A2428F">
        <w:rPr>
          <w:rFonts w:eastAsiaTheme="minorEastAsia"/>
          <w:sz w:val="24"/>
          <w:szCs w:val="24"/>
        </w:rPr>
        <w:t xml:space="preserve">e main alternative count model, the Poisson, assumes that the variance is equal to the mean and we find </w:t>
      </w:r>
      <w:r w:rsidR="004372CF">
        <w:rPr>
          <w:rFonts w:eastAsiaTheme="minorEastAsia"/>
          <w:sz w:val="24"/>
          <w:szCs w:val="24"/>
        </w:rPr>
        <w:t xml:space="preserve">that </w:t>
      </w:r>
      <w:r w:rsidR="00A2428F">
        <w:rPr>
          <w:rFonts w:eastAsiaTheme="minorEastAsia"/>
          <w:sz w:val="24"/>
          <w:szCs w:val="24"/>
        </w:rPr>
        <w:t xml:space="preserve">this strong assumption </w:t>
      </w:r>
      <w:r>
        <w:rPr>
          <w:sz w:val="24"/>
        </w:rPr>
        <w:t xml:space="preserve">does not hold in our </w:t>
      </w:r>
      <w:r w:rsidR="00B14CF9">
        <w:rPr>
          <w:sz w:val="24"/>
        </w:rPr>
        <w:t>data</w:t>
      </w:r>
      <w:r w:rsidRPr="00633F64">
        <w:rPr>
          <w:sz w:val="24"/>
        </w:rPr>
        <w:t>.</w:t>
      </w:r>
      <w:r>
        <w:rPr>
          <w:sz w:val="24"/>
        </w:rPr>
        <w:t xml:space="preserve"> </w:t>
      </w:r>
    </w:p>
    <w:p w:rsidR="00270421" w:rsidRDefault="00270421" w:rsidP="00957CE4">
      <w:pPr>
        <w:spacing w:after="0" w:line="480" w:lineRule="auto"/>
        <w:jc w:val="both"/>
        <w:rPr>
          <w:sz w:val="24"/>
        </w:rPr>
      </w:pPr>
    </w:p>
    <w:p w:rsidR="005A6895" w:rsidRDefault="00270421" w:rsidP="00270421">
      <w:pPr>
        <w:spacing w:after="0" w:line="480" w:lineRule="auto"/>
        <w:jc w:val="both"/>
        <w:rPr>
          <w:sz w:val="24"/>
          <w:szCs w:val="24"/>
        </w:rPr>
      </w:pPr>
      <w:r>
        <w:rPr>
          <w:sz w:val="24"/>
          <w:szCs w:val="24"/>
        </w:rPr>
        <w:t xml:space="preserve">We estimate five </w:t>
      </w:r>
      <w:r w:rsidRPr="00270421">
        <w:rPr>
          <w:sz w:val="24"/>
          <w:szCs w:val="24"/>
        </w:rPr>
        <w:t>versions of (1)</w:t>
      </w:r>
      <w:r w:rsidR="007A76DB">
        <w:rPr>
          <w:sz w:val="24"/>
          <w:szCs w:val="24"/>
        </w:rPr>
        <w:t xml:space="preserve"> for all delays and then for delays due to the NHS</w:t>
      </w:r>
      <w:r w:rsidRPr="00270421">
        <w:rPr>
          <w:sz w:val="24"/>
          <w:szCs w:val="24"/>
        </w:rPr>
        <w:t xml:space="preserve">.  The first </w:t>
      </w:r>
      <w:r w:rsidR="00E32E00">
        <w:rPr>
          <w:sz w:val="24"/>
          <w:szCs w:val="24"/>
        </w:rPr>
        <w:t xml:space="preserve">version </w:t>
      </w:r>
      <w:r w:rsidRPr="00270421">
        <w:rPr>
          <w:sz w:val="24"/>
          <w:szCs w:val="24"/>
        </w:rPr>
        <w:t xml:space="preserve">includes only the hospital type categories.  We then allow for hospital size by adding beds as an exposure term and the bed size categories. Next we add the number and price of local care home beds and then the case-mix variables. </w:t>
      </w:r>
      <w:r w:rsidR="00E503E2">
        <w:rPr>
          <w:sz w:val="24"/>
          <w:szCs w:val="24"/>
        </w:rPr>
        <w:t xml:space="preserve"> These models are estimated with robust standard errors</w:t>
      </w:r>
      <w:r w:rsidR="005A6895">
        <w:rPr>
          <w:sz w:val="24"/>
          <w:szCs w:val="24"/>
        </w:rPr>
        <w:t xml:space="preserve"> </w:t>
      </w:r>
      <w:r w:rsidR="001625DC">
        <w:rPr>
          <w:sz w:val="24"/>
          <w:szCs w:val="24"/>
        </w:rPr>
        <w:t xml:space="preserve">clustered </w:t>
      </w:r>
      <w:r w:rsidR="005A6895">
        <w:rPr>
          <w:sz w:val="24"/>
          <w:szCs w:val="24"/>
        </w:rPr>
        <w:t xml:space="preserve">at </w:t>
      </w:r>
      <w:r w:rsidR="001625DC">
        <w:rPr>
          <w:sz w:val="24"/>
          <w:szCs w:val="24"/>
        </w:rPr>
        <w:t>Trust</w:t>
      </w:r>
      <w:r w:rsidR="005A6895">
        <w:rPr>
          <w:sz w:val="24"/>
          <w:szCs w:val="24"/>
        </w:rPr>
        <w:t xml:space="preserve"> level</w:t>
      </w:r>
      <w:r w:rsidR="00E503E2">
        <w:rPr>
          <w:sz w:val="24"/>
          <w:szCs w:val="24"/>
        </w:rPr>
        <w:t xml:space="preserve">. </w:t>
      </w:r>
    </w:p>
    <w:p w:rsidR="005A6895" w:rsidRDefault="005A6895" w:rsidP="00270421">
      <w:pPr>
        <w:spacing w:after="0" w:line="480" w:lineRule="auto"/>
        <w:jc w:val="both"/>
        <w:rPr>
          <w:sz w:val="24"/>
          <w:szCs w:val="24"/>
        </w:rPr>
      </w:pPr>
    </w:p>
    <w:p w:rsidR="00821BD4" w:rsidRDefault="00270421" w:rsidP="00821BD4">
      <w:pPr>
        <w:spacing w:after="0" w:line="480" w:lineRule="auto"/>
        <w:jc w:val="both"/>
        <w:rPr>
          <w:rFonts w:eastAsiaTheme="minorEastAsia"/>
          <w:sz w:val="24"/>
          <w:szCs w:val="24"/>
        </w:rPr>
      </w:pPr>
      <w:r w:rsidRPr="00270421">
        <w:rPr>
          <w:sz w:val="24"/>
          <w:szCs w:val="24"/>
        </w:rPr>
        <w:t xml:space="preserve">Our </w:t>
      </w:r>
      <w:r>
        <w:rPr>
          <w:sz w:val="24"/>
          <w:szCs w:val="24"/>
        </w:rPr>
        <w:t xml:space="preserve">fifth </w:t>
      </w:r>
      <w:r w:rsidRPr="00270421">
        <w:rPr>
          <w:sz w:val="24"/>
          <w:szCs w:val="24"/>
        </w:rPr>
        <w:t xml:space="preserve">model </w:t>
      </w:r>
      <w:r w:rsidR="009F3E6D">
        <w:rPr>
          <w:sz w:val="24"/>
          <w:szCs w:val="24"/>
        </w:rPr>
        <w:t>includes</w:t>
      </w:r>
      <w:r w:rsidRPr="00270421">
        <w:rPr>
          <w:sz w:val="24"/>
          <w:szCs w:val="24"/>
        </w:rPr>
        <w:t xml:space="preserve"> time invariant </w:t>
      </w:r>
      <w:r w:rsidR="00CE220F">
        <w:rPr>
          <w:sz w:val="24"/>
          <w:szCs w:val="24"/>
        </w:rPr>
        <w:t xml:space="preserve">random </w:t>
      </w:r>
      <w:r w:rsidRPr="00270421">
        <w:rPr>
          <w:sz w:val="24"/>
          <w:szCs w:val="24"/>
        </w:rPr>
        <w:t>hospital effects</w:t>
      </w:r>
      <w:r w:rsidR="00CE220F">
        <w:rPr>
          <w:sz w:val="24"/>
          <w:szCs w:val="24"/>
        </w:rPr>
        <w:t>.</w:t>
      </w:r>
      <w:r>
        <w:rPr>
          <w:rFonts w:eastAsiaTheme="minorEastAsia"/>
          <w:sz w:val="24"/>
          <w:szCs w:val="24"/>
        </w:rPr>
        <w:t xml:space="preserve"> </w:t>
      </w:r>
      <w:r w:rsidR="00821BD4">
        <w:rPr>
          <w:rFonts w:eastAsiaTheme="minorEastAsia"/>
          <w:sz w:val="24"/>
          <w:szCs w:val="24"/>
        </w:rPr>
        <w:t xml:space="preserve">Finally, we estimate three models as robustness checks for our main findings. The first of these includes </w:t>
      </w:r>
      <w:r w:rsidR="009B014D">
        <w:rPr>
          <w:rFonts w:eastAsiaTheme="minorEastAsia"/>
          <w:sz w:val="24"/>
          <w:szCs w:val="24"/>
        </w:rPr>
        <w:t>interactions</w:t>
      </w:r>
      <w:r w:rsidR="00821BD4">
        <w:rPr>
          <w:rFonts w:eastAsiaTheme="minorEastAsia"/>
          <w:sz w:val="24"/>
          <w:szCs w:val="24"/>
        </w:rPr>
        <w:t xml:space="preserve"> of FT status and hospital type. The second includes only Acute Trusts in the sample. Both of these models investigate if the effect of FT status is consistent across Trust types. The third robustness check includes a variable for Trusts with another Trust in the same Local Authority and an interaction of this variable with FT status. This model is included to consider if LTC providers prefer caring for patients discharged from a Foundation Trust and so effect the number of delays from FTs. </w:t>
      </w:r>
    </w:p>
    <w:p w:rsidR="00E503E2" w:rsidRDefault="00ED3996" w:rsidP="00270421">
      <w:pPr>
        <w:spacing w:after="0" w:line="480" w:lineRule="auto"/>
        <w:jc w:val="both"/>
        <w:rPr>
          <w:rFonts w:eastAsiaTheme="minorEastAsia"/>
          <w:sz w:val="24"/>
          <w:szCs w:val="24"/>
        </w:rPr>
      </w:pPr>
      <w:r>
        <w:rPr>
          <w:rFonts w:eastAsiaTheme="minorEastAsia"/>
          <w:sz w:val="24"/>
          <w:szCs w:val="24"/>
        </w:rPr>
        <w:t xml:space="preserve"> </w:t>
      </w:r>
    </w:p>
    <w:p w:rsidR="00957CE4" w:rsidRDefault="00957CE4" w:rsidP="00957CE4">
      <w:pPr>
        <w:spacing w:after="0" w:line="480" w:lineRule="auto"/>
        <w:jc w:val="both"/>
        <w:rPr>
          <w:sz w:val="24"/>
          <w:szCs w:val="24"/>
        </w:rPr>
      </w:pPr>
    </w:p>
    <w:p w:rsidR="00CD639B" w:rsidRPr="005E6343" w:rsidRDefault="00CD639B" w:rsidP="00957CE4">
      <w:pPr>
        <w:pStyle w:val="Heading1"/>
        <w:spacing w:before="0" w:line="480" w:lineRule="auto"/>
        <w:jc w:val="both"/>
      </w:pPr>
      <w:r w:rsidRPr="005E6343">
        <w:lastRenderedPageBreak/>
        <w:t>4. Results</w:t>
      </w:r>
    </w:p>
    <w:p w:rsidR="00CD639B" w:rsidRPr="005E6343" w:rsidRDefault="00CD639B" w:rsidP="00957CE4">
      <w:pPr>
        <w:pStyle w:val="Heading2"/>
        <w:spacing w:before="0" w:line="480" w:lineRule="auto"/>
        <w:jc w:val="both"/>
        <w:rPr>
          <w:color w:val="365F91" w:themeColor="accent1" w:themeShade="BF"/>
          <w:sz w:val="24"/>
        </w:rPr>
      </w:pPr>
      <w:r w:rsidRPr="005E6343">
        <w:rPr>
          <w:color w:val="365F91" w:themeColor="accent1" w:themeShade="BF"/>
          <w:sz w:val="24"/>
        </w:rPr>
        <w:t>4.1 Descriptive Statistics</w:t>
      </w:r>
    </w:p>
    <w:p w:rsidR="00957CE4" w:rsidRDefault="00CD639B" w:rsidP="00957CE4">
      <w:pPr>
        <w:spacing w:after="0" w:line="480" w:lineRule="auto"/>
        <w:jc w:val="both"/>
        <w:rPr>
          <w:sz w:val="24"/>
          <w:szCs w:val="24"/>
        </w:rPr>
      </w:pPr>
      <w:r>
        <w:rPr>
          <w:sz w:val="24"/>
          <w:szCs w:val="24"/>
        </w:rPr>
        <w:t>The average Trust has around 6000 bed-days lost due to delays</w:t>
      </w:r>
      <w:r w:rsidR="00035670" w:rsidRPr="00035670">
        <w:rPr>
          <w:sz w:val="24"/>
          <w:szCs w:val="24"/>
        </w:rPr>
        <w:t xml:space="preserve"> </w:t>
      </w:r>
      <w:r w:rsidR="00035670" w:rsidRPr="00CC6F1F">
        <w:rPr>
          <w:sz w:val="24"/>
          <w:szCs w:val="24"/>
        </w:rPr>
        <w:t>of which 4000 are attributed to the NHS</w:t>
      </w:r>
      <w:r w:rsidR="00035670">
        <w:rPr>
          <w:sz w:val="24"/>
          <w:szCs w:val="24"/>
        </w:rPr>
        <w:t xml:space="preserve">. </w:t>
      </w:r>
      <w:r w:rsidR="000B0724">
        <w:rPr>
          <w:sz w:val="24"/>
          <w:szCs w:val="24"/>
        </w:rPr>
        <w:t xml:space="preserve"> </w:t>
      </w:r>
      <w:r w:rsidR="00035670">
        <w:rPr>
          <w:sz w:val="24"/>
          <w:szCs w:val="24"/>
        </w:rPr>
        <w:t xml:space="preserve">Delays </w:t>
      </w:r>
      <w:r w:rsidR="000B0724">
        <w:rPr>
          <w:sz w:val="24"/>
          <w:szCs w:val="24"/>
        </w:rPr>
        <w:t xml:space="preserve">increased by 2.5% per year, </w:t>
      </w:r>
      <w:r w:rsidRPr="00035670">
        <w:rPr>
          <w:sz w:val="24"/>
          <w:szCs w:val="24"/>
        </w:rPr>
        <w:t xml:space="preserve">from </w:t>
      </w:r>
      <w:r w:rsidRPr="00160103">
        <w:rPr>
          <w:sz w:val="24"/>
          <w:szCs w:val="24"/>
        </w:rPr>
        <w:t>5742</w:t>
      </w:r>
      <w:r w:rsidR="00035670" w:rsidRPr="00160103">
        <w:rPr>
          <w:sz w:val="24"/>
          <w:szCs w:val="24"/>
        </w:rPr>
        <w:t xml:space="preserve"> days</w:t>
      </w:r>
      <w:r w:rsidRPr="00160103">
        <w:rPr>
          <w:sz w:val="24"/>
          <w:szCs w:val="24"/>
        </w:rPr>
        <w:t xml:space="preserve"> in 2011-12 to 6182</w:t>
      </w:r>
      <w:r w:rsidR="00035670" w:rsidRPr="00160103">
        <w:rPr>
          <w:sz w:val="24"/>
          <w:szCs w:val="24"/>
        </w:rPr>
        <w:t xml:space="preserve"> days </w:t>
      </w:r>
      <w:r w:rsidRPr="00160103">
        <w:rPr>
          <w:sz w:val="24"/>
          <w:szCs w:val="24"/>
        </w:rPr>
        <w:t>in 2013-14</w:t>
      </w:r>
      <w:r w:rsidRPr="00035670">
        <w:rPr>
          <w:sz w:val="24"/>
          <w:szCs w:val="24"/>
        </w:rPr>
        <w:t>.</w:t>
      </w:r>
      <w:r w:rsidR="008D06A3" w:rsidRPr="00035670">
        <w:rPr>
          <w:sz w:val="24"/>
          <w:szCs w:val="24"/>
        </w:rPr>
        <w:t xml:space="preserve"> </w:t>
      </w:r>
      <w:r w:rsidRPr="00035670">
        <w:rPr>
          <w:sz w:val="24"/>
          <w:szCs w:val="24"/>
        </w:rPr>
        <w:t>Delays</w:t>
      </w:r>
      <w:r>
        <w:rPr>
          <w:sz w:val="24"/>
          <w:szCs w:val="24"/>
        </w:rPr>
        <w:t xml:space="preserve"> due </w:t>
      </w:r>
      <w:r w:rsidR="000B0724">
        <w:rPr>
          <w:sz w:val="24"/>
          <w:szCs w:val="24"/>
        </w:rPr>
        <w:t xml:space="preserve">solely to </w:t>
      </w:r>
      <w:r>
        <w:rPr>
          <w:sz w:val="24"/>
          <w:szCs w:val="24"/>
        </w:rPr>
        <w:t xml:space="preserve">the NHS </w:t>
      </w:r>
      <w:r w:rsidR="000B0724">
        <w:rPr>
          <w:sz w:val="24"/>
          <w:szCs w:val="24"/>
        </w:rPr>
        <w:t xml:space="preserve">increased more quickly than delays due to other </w:t>
      </w:r>
      <w:r w:rsidR="0077617F">
        <w:rPr>
          <w:sz w:val="24"/>
          <w:szCs w:val="24"/>
        </w:rPr>
        <w:t xml:space="preserve">institutions </w:t>
      </w:r>
      <w:r w:rsidR="000B0724">
        <w:rPr>
          <w:sz w:val="24"/>
          <w:szCs w:val="24"/>
        </w:rPr>
        <w:t xml:space="preserve">and rose from </w:t>
      </w:r>
      <w:r w:rsidRPr="00160103">
        <w:rPr>
          <w:sz w:val="24"/>
          <w:szCs w:val="24"/>
        </w:rPr>
        <w:t xml:space="preserve">64% to 69% </w:t>
      </w:r>
      <w:r w:rsidR="000B0724">
        <w:rPr>
          <w:sz w:val="24"/>
          <w:szCs w:val="24"/>
        </w:rPr>
        <w:t xml:space="preserve">of all delays over the period. </w:t>
      </w:r>
    </w:p>
    <w:p w:rsidR="000B0724" w:rsidRDefault="000B0724" w:rsidP="00957CE4">
      <w:pPr>
        <w:spacing w:after="0" w:line="480" w:lineRule="auto"/>
        <w:jc w:val="both"/>
        <w:rPr>
          <w:sz w:val="24"/>
          <w:szCs w:val="24"/>
        </w:rPr>
      </w:pPr>
    </w:p>
    <w:p w:rsidR="00CD639B" w:rsidRDefault="00CD639B" w:rsidP="00957CE4">
      <w:pPr>
        <w:spacing w:after="0" w:line="480" w:lineRule="auto"/>
        <w:jc w:val="both"/>
        <w:rPr>
          <w:sz w:val="24"/>
          <w:szCs w:val="24"/>
        </w:rPr>
      </w:pPr>
      <w:r>
        <w:rPr>
          <w:sz w:val="24"/>
          <w:szCs w:val="24"/>
        </w:rPr>
        <w:t xml:space="preserve">Figure </w:t>
      </w:r>
      <w:r w:rsidR="00035670">
        <w:rPr>
          <w:sz w:val="24"/>
          <w:szCs w:val="24"/>
        </w:rPr>
        <w:t>1</w:t>
      </w:r>
      <w:r>
        <w:rPr>
          <w:sz w:val="24"/>
          <w:szCs w:val="24"/>
        </w:rPr>
        <w:t xml:space="preserve"> shows the distribution of </w:t>
      </w:r>
      <w:r w:rsidR="000B0724">
        <w:rPr>
          <w:sz w:val="24"/>
          <w:szCs w:val="24"/>
        </w:rPr>
        <w:t>the number of days of delay</w:t>
      </w:r>
      <w:r>
        <w:rPr>
          <w:sz w:val="24"/>
          <w:szCs w:val="24"/>
        </w:rPr>
        <w:t xml:space="preserve"> </w:t>
      </w:r>
      <w:r w:rsidR="000B0724">
        <w:rPr>
          <w:sz w:val="24"/>
          <w:szCs w:val="24"/>
        </w:rPr>
        <w:t xml:space="preserve">across </w:t>
      </w:r>
      <w:r>
        <w:rPr>
          <w:sz w:val="24"/>
          <w:szCs w:val="24"/>
        </w:rPr>
        <w:t xml:space="preserve">Trusts in 2013-14. </w:t>
      </w:r>
      <w:r w:rsidRPr="003D54D9">
        <w:rPr>
          <w:sz w:val="24"/>
          <w:szCs w:val="24"/>
        </w:rPr>
        <w:t>The distribution is right skewed</w:t>
      </w:r>
      <w:r w:rsidR="000B0724">
        <w:rPr>
          <w:sz w:val="24"/>
          <w:szCs w:val="24"/>
        </w:rPr>
        <w:t>,</w:t>
      </w:r>
      <w:r>
        <w:rPr>
          <w:sz w:val="24"/>
          <w:szCs w:val="24"/>
        </w:rPr>
        <w:t xml:space="preserve"> with a small </w:t>
      </w:r>
      <w:r w:rsidRPr="00035670">
        <w:rPr>
          <w:sz w:val="24"/>
          <w:szCs w:val="24"/>
        </w:rPr>
        <w:t xml:space="preserve">proportion of providers </w:t>
      </w:r>
      <w:r w:rsidR="00E32E00">
        <w:rPr>
          <w:sz w:val="24"/>
          <w:szCs w:val="24"/>
        </w:rPr>
        <w:t xml:space="preserve">having </w:t>
      </w:r>
      <w:r w:rsidRPr="00035670">
        <w:rPr>
          <w:sz w:val="24"/>
          <w:szCs w:val="24"/>
        </w:rPr>
        <w:t xml:space="preserve">a large number of delays. </w:t>
      </w:r>
      <w:r w:rsidRPr="00A367CC">
        <w:rPr>
          <w:sz w:val="24"/>
          <w:szCs w:val="24"/>
        </w:rPr>
        <w:t xml:space="preserve">The distribution is similar for the other years. </w:t>
      </w:r>
    </w:p>
    <w:p w:rsidR="00035670" w:rsidRPr="00035670" w:rsidRDefault="00035670" w:rsidP="00957CE4">
      <w:pPr>
        <w:spacing w:after="0" w:line="480" w:lineRule="auto"/>
        <w:jc w:val="center"/>
        <w:rPr>
          <w:sz w:val="24"/>
          <w:szCs w:val="24"/>
        </w:rPr>
      </w:pPr>
      <w:r>
        <w:rPr>
          <w:sz w:val="24"/>
          <w:szCs w:val="24"/>
        </w:rPr>
        <w:t>[Figure 1]</w:t>
      </w:r>
    </w:p>
    <w:p w:rsidR="00CD639B" w:rsidRDefault="00CD639B" w:rsidP="00957CE4">
      <w:pPr>
        <w:spacing w:after="0" w:line="480" w:lineRule="auto"/>
        <w:jc w:val="both"/>
        <w:rPr>
          <w:sz w:val="24"/>
          <w:szCs w:val="24"/>
        </w:rPr>
      </w:pPr>
      <w:r w:rsidRPr="00160103">
        <w:rPr>
          <w:sz w:val="24"/>
          <w:szCs w:val="24"/>
        </w:rPr>
        <w:t xml:space="preserve">Without accounting for size, </w:t>
      </w:r>
      <w:r w:rsidR="00AC2CF4">
        <w:rPr>
          <w:sz w:val="24"/>
          <w:szCs w:val="24"/>
        </w:rPr>
        <w:t xml:space="preserve">total </w:t>
      </w:r>
      <w:r w:rsidRPr="00160103">
        <w:rPr>
          <w:sz w:val="24"/>
          <w:szCs w:val="24"/>
        </w:rPr>
        <w:t xml:space="preserve">delays are </w:t>
      </w:r>
      <w:r w:rsidR="00AC2CF4">
        <w:rPr>
          <w:sz w:val="24"/>
          <w:szCs w:val="24"/>
        </w:rPr>
        <w:t xml:space="preserve">largest in </w:t>
      </w:r>
      <w:r w:rsidRPr="00160103">
        <w:rPr>
          <w:sz w:val="24"/>
          <w:szCs w:val="24"/>
        </w:rPr>
        <w:t xml:space="preserve">Teaching Trusts and </w:t>
      </w:r>
      <w:r w:rsidR="00AC2CF4">
        <w:rPr>
          <w:sz w:val="24"/>
          <w:szCs w:val="24"/>
        </w:rPr>
        <w:t xml:space="preserve">smallest </w:t>
      </w:r>
      <w:r w:rsidRPr="00160103">
        <w:rPr>
          <w:sz w:val="24"/>
          <w:szCs w:val="24"/>
        </w:rPr>
        <w:t xml:space="preserve">in Specialist Trusts.  Acute and Mental Health Trusts have similar </w:t>
      </w:r>
      <w:r w:rsidR="00AC2CF4">
        <w:rPr>
          <w:sz w:val="24"/>
          <w:szCs w:val="24"/>
        </w:rPr>
        <w:t>numbers of days of delay</w:t>
      </w:r>
      <w:r w:rsidRPr="00160103">
        <w:rPr>
          <w:sz w:val="24"/>
          <w:szCs w:val="24"/>
        </w:rPr>
        <w:t xml:space="preserve">. However, Teaching Trusts are larger hospitals while Acute Specialist and Mental Health providers tend to be smaller. </w:t>
      </w:r>
      <w:r w:rsidR="00AC2CF4">
        <w:rPr>
          <w:sz w:val="24"/>
          <w:szCs w:val="24"/>
        </w:rPr>
        <w:t xml:space="preserve"> </w:t>
      </w:r>
      <w:r w:rsidR="00AC2CF4" w:rsidRPr="00160103">
        <w:rPr>
          <w:sz w:val="24"/>
          <w:szCs w:val="24"/>
        </w:rPr>
        <w:t xml:space="preserve">Figure </w:t>
      </w:r>
      <w:r w:rsidR="00AC2CF4">
        <w:rPr>
          <w:sz w:val="24"/>
          <w:szCs w:val="24"/>
        </w:rPr>
        <w:t>2</w:t>
      </w:r>
      <w:r w:rsidR="00AC2CF4" w:rsidRPr="00160103">
        <w:rPr>
          <w:sz w:val="24"/>
          <w:szCs w:val="24"/>
        </w:rPr>
        <w:t xml:space="preserve"> </w:t>
      </w:r>
      <w:r w:rsidR="00AC2CF4">
        <w:rPr>
          <w:sz w:val="24"/>
          <w:szCs w:val="24"/>
        </w:rPr>
        <w:t xml:space="preserve">shows days of delay per 100 beds for the different types of Trust and by FT status.  </w:t>
      </w:r>
      <w:r w:rsidRPr="00160103">
        <w:rPr>
          <w:sz w:val="24"/>
          <w:szCs w:val="24"/>
        </w:rPr>
        <w:t>Mental Health Trusts</w:t>
      </w:r>
      <w:r w:rsidR="00AC2CF4">
        <w:rPr>
          <w:sz w:val="24"/>
          <w:szCs w:val="24"/>
        </w:rPr>
        <w:t xml:space="preserve"> have</w:t>
      </w:r>
      <w:r w:rsidRPr="00160103">
        <w:rPr>
          <w:sz w:val="24"/>
          <w:szCs w:val="24"/>
        </w:rPr>
        <w:t xml:space="preserve"> </w:t>
      </w:r>
      <w:r w:rsidR="00AC2CF4">
        <w:rPr>
          <w:sz w:val="24"/>
          <w:szCs w:val="24"/>
        </w:rPr>
        <w:t xml:space="preserve">the highest number of days of delay per bed, around </w:t>
      </w:r>
      <w:r w:rsidRPr="00160103">
        <w:rPr>
          <w:sz w:val="24"/>
          <w:szCs w:val="24"/>
        </w:rPr>
        <w:t xml:space="preserve">50% more than Acute and Teaching Trusts. Specialist Trusts </w:t>
      </w:r>
      <w:r w:rsidR="00AC2CF4">
        <w:rPr>
          <w:sz w:val="24"/>
          <w:szCs w:val="24"/>
        </w:rPr>
        <w:t xml:space="preserve">have the smallest number of days of delay per bed.  </w:t>
      </w:r>
      <w:r w:rsidR="00AC2CF4" w:rsidRPr="00160103">
        <w:rPr>
          <w:sz w:val="24"/>
          <w:szCs w:val="24"/>
        </w:rPr>
        <w:t xml:space="preserve">Mental Health Trusts have a much </w:t>
      </w:r>
      <w:r w:rsidR="00AC2CF4">
        <w:rPr>
          <w:sz w:val="24"/>
          <w:szCs w:val="24"/>
        </w:rPr>
        <w:t xml:space="preserve">smaller </w:t>
      </w:r>
      <w:r w:rsidR="00AC2CF4" w:rsidRPr="00160103">
        <w:rPr>
          <w:sz w:val="24"/>
          <w:szCs w:val="24"/>
        </w:rPr>
        <w:t>proportion of delays which are attributed to the NHS (44% versus over 70% across other types of Trust).</w:t>
      </w:r>
    </w:p>
    <w:p w:rsidR="00035670" w:rsidRPr="00035670" w:rsidRDefault="00035670" w:rsidP="00957CE4">
      <w:pPr>
        <w:spacing w:after="0" w:line="480" w:lineRule="auto"/>
        <w:jc w:val="center"/>
        <w:rPr>
          <w:sz w:val="24"/>
          <w:szCs w:val="24"/>
        </w:rPr>
      </w:pPr>
      <w:r>
        <w:rPr>
          <w:sz w:val="24"/>
          <w:szCs w:val="24"/>
        </w:rPr>
        <w:t>[Figure 2]</w:t>
      </w:r>
    </w:p>
    <w:p w:rsidR="00035670" w:rsidRDefault="00AC2CF4" w:rsidP="00AC2CF4">
      <w:pPr>
        <w:spacing w:after="0" w:line="480" w:lineRule="auto"/>
        <w:jc w:val="both"/>
        <w:rPr>
          <w:sz w:val="24"/>
          <w:szCs w:val="24"/>
        </w:rPr>
      </w:pPr>
      <w:r>
        <w:rPr>
          <w:sz w:val="24"/>
          <w:szCs w:val="24"/>
        </w:rPr>
        <w:t xml:space="preserve">Figure 2 also </w:t>
      </w:r>
      <w:r w:rsidR="00706164">
        <w:rPr>
          <w:sz w:val="24"/>
          <w:szCs w:val="24"/>
        </w:rPr>
        <w:t xml:space="preserve">indicates </w:t>
      </w:r>
      <w:r>
        <w:rPr>
          <w:sz w:val="24"/>
          <w:szCs w:val="24"/>
        </w:rPr>
        <w:t>that there are fewer days of delay per 100 bed</w:t>
      </w:r>
      <w:r w:rsidR="00C317FA">
        <w:rPr>
          <w:sz w:val="24"/>
          <w:szCs w:val="24"/>
        </w:rPr>
        <w:t>s</w:t>
      </w:r>
      <w:r>
        <w:rPr>
          <w:sz w:val="24"/>
          <w:szCs w:val="24"/>
        </w:rPr>
        <w:t xml:space="preserve"> in Trusts with FT status compared to non</w:t>
      </w:r>
      <w:r w:rsidR="001D2350">
        <w:rPr>
          <w:sz w:val="24"/>
          <w:szCs w:val="24"/>
        </w:rPr>
        <w:t>-</w:t>
      </w:r>
      <w:r>
        <w:rPr>
          <w:sz w:val="24"/>
          <w:szCs w:val="24"/>
        </w:rPr>
        <w:t>FT Trust</w:t>
      </w:r>
      <w:r w:rsidR="001D2350">
        <w:rPr>
          <w:sz w:val="24"/>
          <w:szCs w:val="24"/>
        </w:rPr>
        <w:t>s</w:t>
      </w:r>
      <w:r w:rsidR="00706164">
        <w:rPr>
          <w:sz w:val="24"/>
          <w:szCs w:val="24"/>
        </w:rPr>
        <w:t xml:space="preserve">, particularly </w:t>
      </w:r>
      <w:r>
        <w:rPr>
          <w:sz w:val="24"/>
          <w:szCs w:val="24"/>
        </w:rPr>
        <w:t xml:space="preserve">for </w:t>
      </w:r>
      <w:r w:rsidR="00706164">
        <w:rPr>
          <w:sz w:val="24"/>
          <w:szCs w:val="24"/>
        </w:rPr>
        <w:t>delays attributed to the NHS. Overall</w:t>
      </w:r>
      <w:r w:rsidR="00035670">
        <w:rPr>
          <w:sz w:val="24"/>
          <w:szCs w:val="24"/>
        </w:rPr>
        <w:t>,</w:t>
      </w:r>
      <w:r w:rsidR="00706164">
        <w:rPr>
          <w:sz w:val="24"/>
          <w:szCs w:val="24"/>
        </w:rPr>
        <w:t xml:space="preserve"> </w:t>
      </w:r>
      <w:r w:rsidR="00706164">
        <w:rPr>
          <w:sz w:val="24"/>
          <w:szCs w:val="24"/>
        </w:rPr>
        <w:lastRenderedPageBreak/>
        <w:t xml:space="preserve">delays per 100 beds are 8-9% </w:t>
      </w:r>
      <w:r>
        <w:rPr>
          <w:sz w:val="24"/>
          <w:szCs w:val="24"/>
        </w:rPr>
        <w:t xml:space="preserve">smaller </w:t>
      </w:r>
      <w:r w:rsidR="00706164">
        <w:rPr>
          <w:sz w:val="24"/>
          <w:szCs w:val="24"/>
        </w:rPr>
        <w:t>in Foundation Trusts and delays attributed to the NHS</w:t>
      </w:r>
      <w:r w:rsidR="00035670">
        <w:rPr>
          <w:sz w:val="24"/>
          <w:szCs w:val="24"/>
        </w:rPr>
        <w:t xml:space="preserve"> are</w:t>
      </w:r>
      <w:r w:rsidR="00706164">
        <w:rPr>
          <w:sz w:val="24"/>
          <w:szCs w:val="24"/>
        </w:rPr>
        <w:t xml:space="preserve"> 18-19% </w:t>
      </w:r>
      <w:r>
        <w:rPr>
          <w:sz w:val="24"/>
          <w:szCs w:val="24"/>
        </w:rPr>
        <w:t xml:space="preserve">smaller. </w:t>
      </w:r>
    </w:p>
    <w:p w:rsidR="00AC2CF4" w:rsidRPr="00035670" w:rsidRDefault="00AC2CF4" w:rsidP="00AC2CF4">
      <w:pPr>
        <w:spacing w:after="0" w:line="480" w:lineRule="auto"/>
        <w:jc w:val="both"/>
        <w:rPr>
          <w:sz w:val="24"/>
          <w:szCs w:val="24"/>
        </w:rPr>
      </w:pPr>
    </w:p>
    <w:p w:rsidR="00CD639B" w:rsidRDefault="00AC2CF4" w:rsidP="00957CE4">
      <w:pPr>
        <w:spacing w:after="0" w:line="480" w:lineRule="auto"/>
        <w:jc w:val="both"/>
        <w:rPr>
          <w:sz w:val="28"/>
          <w:szCs w:val="24"/>
        </w:rPr>
      </w:pPr>
      <w:r>
        <w:rPr>
          <w:sz w:val="24"/>
          <w:szCs w:val="24"/>
        </w:rPr>
        <w:t xml:space="preserve">As </w:t>
      </w:r>
      <w:r w:rsidR="00035670">
        <w:rPr>
          <w:sz w:val="24"/>
          <w:szCs w:val="24"/>
        </w:rPr>
        <w:t>Table 1</w:t>
      </w:r>
      <w:r w:rsidR="00035670" w:rsidRPr="003D54D9">
        <w:rPr>
          <w:sz w:val="24"/>
          <w:szCs w:val="24"/>
        </w:rPr>
        <w:t xml:space="preserve"> </w:t>
      </w:r>
      <w:r>
        <w:rPr>
          <w:sz w:val="24"/>
          <w:szCs w:val="24"/>
        </w:rPr>
        <w:t>shows</w:t>
      </w:r>
      <w:r w:rsidR="0077617F">
        <w:rPr>
          <w:sz w:val="24"/>
          <w:szCs w:val="24"/>
        </w:rPr>
        <w:t>,</w:t>
      </w:r>
      <w:r>
        <w:rPr>
          <w:sz w:val="24"/>
          <w:szCs w:val="24"/>
        </w:rPr>
        <w:t xml:space="preserve"> </w:t>
      </w:r>
      <w:r w:rsidR="00CD639B" w:rsidRPr="00CC6F1F">
        <w:rPr>
          <w:sz w:val="24"/>
          <w:szCs w:val="24"/>
        </w:rPr>
        <w:t>57%</w:t>
      </w:r>
      <w:r w:rsidR="00CD639B">
        <w:rPr>
          <w:sz w:val="24"/>
          <w:szCs w:val="24"/>
        </w:rPr>
        <w:t xml:space="preserve"> of </w:t>
      </w:r>
      <w:r w:rsidR="00CD639B" w:rsidRPr="00CC6F1F">
        <w:rPr>
          <w:sz w:val="24"/>
          <w:szCs w:val="24"/>
        </w:rPr>
        <w:t>Trusts</w:t>
      </w:r>
      <w:r w:rsidR="00CD639B">
        <w:rPr>
          <w:sz w:val="24"/>
          <w:szCs w:val="24"/>
        </w:rPr>
        <w:t xml:space="preserve"> </w:t>
      </w:r>
      <w:r w:rsidR="00CD639B" w:rsidRPr="00CC6F1F">
        <w:rPr>
          <w:sz w:val="24"/>
          <w:szCs w:val="24"/>
        </w:rPr>
        <w:t>are Acute</w:t>
      </w:r>
      <w:r w:rsidR="00CD639B">
        <w:rPr>
          <w:sz w:val="24"/>
          <w:szCs w:val="24"/>
        </w:rPr>
        <w:t xml:space="preserve"> (</w:t>
      </w:r>
      <w:r>
        <w:rPr>
          <w:sz w:val="24"/>
          <w:szCs w:val="24"/>
        </w:rPr>
        <w:t>i</w:t>
      </w:r>
      <w:r w:rsidR="004E6116">
        <w:rPr>
          <w:sz w:val="24"/>
          <w:szCs w:val="24"/>
        </w:rPr>
        <w:t>.</w:t>
      </w:r>
      <w:r>
        <w:rPr>
          <w:sz w:val="24"/>
          <w:szCs w:val="24"/>
        </w:rPr>
        <w:t>e</w:t>
      </w:r>
      <w:r w:rsidR="004E6116">
        <w:rPr>
          <w:sz w:val="24"/>
          <w:szCs w:val="24"/>
        </w:rPr>
        <w:t>.</w:t>
      </w:r>
      <w:r>
        <w:rPr>
          <w:sz w:val="24"/>
          <w:szCs w:val="24"/>
        </w:rPr>
        <w:t xml:space="preserve"> </w:t>
      </w:r>
      <w:r w:rsidR="00CD639B">
        <w:rPr>
          <w:sz w:val="24"/>
          <w:szCs w:val="24"/>
        </w:rPr>
        <w:t>non-teaching, non-specialist hospitals)</w:t>
      </w:r>
      <w:r>
        <w:rPr>
          <w:sz w:val="24"/>
          <w:szCs w:val="24"/>
        </w:rPr>
        <w:t>,</w:t>
      </w:r>
      <w:r w:rsidR="00CD639B" w:rsidRPr="00CC6F1F">
        <w:rPr>
          <w:sz w:val="24"/>
          <w:szCs w:val="24"/>
        </w:rPr>
        <w:t xml:space="preserve"> </w:t>
      </w:r>
      <w:r w:rsidR="00CD639B">
        <w:rPr>
          <w:sz w:val="24"/>
          <w:szCs w:val="24"/>
        </w:rPr>
        <w:t>13% are Teaching Acute Trusts</w:t>
      </w:r>
      <w:r>
        <w:rPr>
          <w:sz w:val="24"/>
          <w:szCs w:val="24"/>
        </w:rPr>
        <w:t xml:space="preserve">, and </w:t>
      </w:r>
      <w:r w:rsidR="00CD639B">
        <w:rPr>
          <w:sz w:val="24"/>
          <w:szCs w:val="24"/>
        </w:rPr>
        <w:t xml:space="preserve">25% are Mental Health Trusts. </w:t>
      </w:r>
      <w:r>
        <w:rPr>
          <w:sz w:val="24"/>
          <w:szCs w:val="24"/>
        </w:rPr>
        <w:t xml:space="preserve"> Only 6% are Specialist Trusts. </w:t>
      </w:r>
      <w:r w:rsidR="00CD639B" w:rsidRPr="00CC6F1F">
        <w:rPr>
          <w:sz w:val="24"/>
          <w:szCs w:val="24"/>
        </w:rPr>
        <w:t xml:space="preserve">63% </w:t>
      </w:r>
      <w:r w:rsidR="00CD639B">
        <w:rPr>
          <w:sz w:val="24"/>
          <w:szCs w:val="24"/>
        </w:rPr>
        <w:t>have</w:t>
      </w:r>
      <w:r w:rsidR="00CD639B" w:rsidRPr="00CC6F1F">
        <w:rPr>
          <w:sz w:val="24"/>
          <w:szCs w:val="24"/>
        </w:rPr>
        <w:t xml:space="preserve"> Foundation </w:t>
      </w:r>
      <w:r w:rsidR="00CD639B">
        <w:rPr>
          <w:sz w:val="24"/>
          <w:szCs w:val="24"/>
        </w:rPr>
        <w:t>Status</w:t>
      </w:r>
      <w:r w:rsidR="00CD639B" w:rsidRPr="00CC6F1F">
        <w:rPr>
          <w:sz w:val="24"/>
          <w:szCs w:val="24"/>
        </w:rPr>
        <w:t>. Trusts have on average 6</w:t>
      </w:r>
      <w:r w:rsidR="00CD639B">
        <w:rPr>
          <w:sz w:val="24"/>
          <w:szCs w:val="24"/>
        </w:rPr>
        <w:t>43</w:t>
      </w:r>
      <w:r w:rsidR="00CD639B" w:rsidRPr="00CC6F1F">
        <w:rPr>
          <w:sz w:val="24"/>
          <w:szCs w:val="24"/>
        </w:rPr>
        <w:t xml:space="preserve"> beds. 22% of patients admitted</w:t>
      </w:r>
      <w:r w:rsidR="00CD639B">
        <w:rPr>
          <w:sz w:val="24"/>
          <w:szCs w:val="24"/>
        </w:rPr>
        <w:t xml:space="preserve"> to hospital</w:t>
      </w:r>
      <w:r w:rsidR="00CD639B" w:rsidRPr="00CC6F1F">
        <w:rPr>
          <w:sz w:val="24"/>
          <w:szCs w:val="24"/>
        </w:rPr>
        <w:t xml:space="preserve"> are older than 75 years and around 40% are admitted as emergencies.</w:t>
      </w:r>
      <w:r w:rsidR="00CD639B">
        <w:rPr>
          <w:sz w:val="24"/>
          <w:szCs w:val="24"/>
        </w:rPr>
        <w:t xml:space="preserve"> The standardised readmission rate is 9% on average. The average Trust has about 3100 care home beds within 10 kilometres from the Trust Headquarters. Within the same radius, the average price for a week stay in a care home is £</w:t>
      </w:r>
      <w:r w:rsidR="00CD639B" w:rsidRPr="00A367CC">
        <w:rPr>
          <w:sz w:val="24"/>
          <w:szCs w:val="24"/>
        </w:rPr>
        <w:t>550</w:t>
      </w:r>
      <w:r w:rsidR="00CD639B" w:rsidRPr="00160103">
        <w:rPr>
          <w:sz w:val="24"/>
          <w:szCs w:val="24"/>
        </w:rPr>
        <w:t>.</w:t>
      </w:r>
      <w:r w:rsidR="00CD639B">
        <w:rPr>
          <w:sz w:val="24"/>
          <w:szCs w:val="24"/>
        </w:rPr>
        <w:t xml:space="preserve"> </w:t>
      </w:r>
    </w:p>
    <w:p w:rsidR="00CD639B" w:rsidRDefault="00CD639B" w:rsidP="00957CE4">
      <w:pPr>
        <w:spacing w:after="0" w:line="480" w:lineRule="auto"/>
        <w:jc w:val="center"/>
        <w:rPr>
          <w:sz w:val="24"/>
        </w:rPr>
      </w:pPr>
      <w:r>
        <w:rPr>
          <w:sz w:val="24"/>
        </w:rPr>
        <w:t>[Table 1</w:t>
      </w:r>
      <w:r w:rsidRPr="00C4398B">
        <w:rPr>
          <w:sz w:val="24"/>
        </w:rPr>
        <w:t>]</w:t>
      </w:r>
    </w:p>
    <w:p w:rsidR="00AD0093" w:rsidRDefault="000C6FA8" w:rsidP="005E6343">
      <w:pPr>
        <w:spacing w:after="0" w:line="480" w:lineRule="auto"/>
        <w:jc w:val="both"/>
        <w:rPr>
          <w:sz w:val="24"/>
          <w:szCs w:val="24"/>
        </w:rPr>
      </w:pPr>
      <w:r>
        <w:rPr>
          <w:sz w:val="24"/>
        </w:rPr>
        <w:t>Table 2 presents the number of Trusts with and without FT status</w:t>
      </w:r>
      <w:r>
        <w:rPr>
          <w:sz w:val="24"/>
          <w:szCs w:val="24"/>
        </w:rPr>
        <w:t xml:space="preserve">. The highest </w:t>
      </w:r>
      <w:r w:rsidR="001F50C1">
        <w:rPr>
          <w:sz w:val="24"/>
          <w:szCs w:val="24"/>
        </w:rPr>
        <w:t xml:space="preserve">proportion </w:t>
      </w:r>
      <w:r>
        <w:rPr>
          <w:sz w:val="24"/>
          <w:szCs w:val="24"/>
        </w:rPr>
        <w:t>of Foundation Trusts is among</w:t>
      </w:r>
      <w:r w:rsidR="001F50C1">
        <w:rPr>
          <w:sz w:val="24"/>
          <w:szCs w:val="24"/>
        </w:rPr>
        <w:t>st</w:t>
      </w:r>
      <w:r>
        <w:rPr>
          <w:sz w:val="24"/>
          <w:szCs w:val="24"/>
        </w:rPr>
        <w:t xml:space="preserve"> Acute Specialist Trusts</w:t>
      </w:r>
      <w:r w:rsidR="001F50C1">
        <w:rPr>
          <w:sz w:val="24"/>
          <w:szCs w:val="24"/>
        </w:rPr>
        <w:t>: 11 out of the</w:t>
      </w:r>
      <w:r>
        <w:rPr>
          <w:sz w:val="24"/>
          <w:szCs w:val="24"/>
        </w:rPr>
        <w:t xml:space="preserve"> 12 Specialist </w:t>
      </w:r>
      <w:r w:rsidR="001F50C1">
        <w:rPr>
          <w:sz w:val="24"/>
          <w:szCs w:val="24"/>
        </w:rPr>
        <w:t>Trusts have</w:t>
      </w:r>
      <w:r>
        <w:rPr>
          <w:sz w:val="24"/>
          <w:szCs w:val="24"/>
        </w:rPr>
        <w:t xml:space="preserve"> FT status. </w:t>
      </w:r>
      <w:r w:rsidR="001F50C1">
        <w:rPr>
          <w:sz w:val="24"/>
          <w:szCs w:val="24"/>
        </w:rPr>
        <w:t>Mental Health Trusts and Acute Teaching Trusts</w:t>
      </w:r>
      <w:r w:rsidR="002836C2">
        <w:rPr>
          <w:sz w:val="24"/>
          <w:szCs w:val="24"/>
        </w:rPr>
        <w:t xml:space="preserve"> also </w:t>
      </w:r>
      <w:r w:rsidR="001D2350">
        <w:rPr>
          <w:sz w:val="24"/>
          <w:szCs w:val="24"/>
        </w:rPr>
        <w:t xml:space="preserve">have </w:t>
      </w:r>
      <w:r w:rsidR="002836C2">
        <w:rPr>
          <w:sz w:val="24"/>
          <w:szCs w:val="24"/>
        </w:rPr>
        <w:t>high</w:t>
      </w:r>
      <w:r w:rsidR="001F50C1">
        <w:rPr>
          <w:sz w:val="24"/>
          <w:szCs w:val="24"/>
        </w:rPr>
        <w:t xml:space="preserve"> FT rates of 72% and 60% respectively. </w:t>
      </w:r>
      <w:r w:rsidR="002836C2">
        <w:rPr>
          <w:sz w:val="24"/>
          <w:szCs w:val="24"/>
        </w:rPr>
        <w:t>Acute Trusts with no additional responsibilities (e</w:t>
      </w:r>
      <w:r w:rsidR="004E6116">
        <w:rPr>
          <w:sz w:val="24"/>
          <w:szCs w:val="24"/>
        </w:rPr>
        <w:t>.</w:t>
      </w:r>
      <w:r w:rsidR="002836C2">
        <w:rPr>
          <w:sz w:val="24"/>
          <w:szCs w:val="24"/>
        </w:rPr>
        <w:t>g</w:t>
      </w:r>
      <w:r w:rsidR="004E6116">
        <w:rPr>
          <w:sz w:val="24"/>
          <w:szCs w:val="24"/>
        </w:rPr>
        <w:t>.</w:t>
      </w:r>
      <w:r w:rsidR="002836C2">
        <w:rPr>
          <w:sz w:val="24"/>
          <w:szCs w:val="24"/>
        </w:rPr>
        <w:t xml:space="preserve"> non-teaching) have the</w:t>
      </w:r>
      <w:r>
        <w:rPr>
          <w:sz w:val="24"/>
          <w:szCs w:val="24"/>
        </w:rPr>
        <w:t xml:space="preserve"> lowest</w:t>
      </w:r>
      <w:r w:rsidR="002836C2">
        <w:rPr>
          <w:sz w:val="24"/>
          <w:szCs w:val="24"/>
        </w:rPr>
        <w:t xml:space="preserve"> FT</w:t>
      </w:r>
      <w:r>
        <w:rPr>
          <w:sz w:val="24"/>
          <w:szCs w:val="24"/>
        </w:rPr>
        <w:t xml:space="preserve"> rate </w:t>
      </w:r>
      <w:r w:rsidR="002836C2">
        <w:rPr>
          <w:sz w:val="24"/>
          <w:szCs w:val="24"/>
        </w:rPr>
        <w:t xml:space="preserve">of </w:t>
      </w:r>
      <w:r>
        <w:rPr>
          <w:sz w:val="24"/>
          <w:szCs w:val="24"/>
        </w:rPr>
        <w:t xml:space="preserve">56%. </w:t>
      </w:r>
    </w:p>
    <w:p w:rsidR="000C6FA8" w:rsidRDefault="000C6FA8" w:rsidP="000C6FA8">
      <w:pPr>
        <w:spacing w:after="0" w:line="480" w:lineRule="auto"/>
        <w:jc w:val="center"/>
        <w:rPr>
          <w:sz w:val="24"/>
          <w:szCs w:val="24"/>
        </w:rPr>
      </w:pPr>
      <w:r>
        <w:rPr>
          <w:sz w:val="24"/>
          <w:szCs w:val="24"/>
        </w:rPr>
        <w:t>[Table 2]</w:t>
      </w:r>
    </w:p>
    <w:p w:rsidR="000C6FA8" w:rsidRDefault="000C6FA8" w:rsidP="00026B6D">
      <w:pPr>
        <w:spacing w:after="0" w:line="480" w:lineRule="auto"/>
        <w:rPr>
          <w:sz w:val="24"/>
        </w:rPr>
      </w:pPr>
    </w:p>
    <w:p w:rsidR="00CD639B" w:rsidRPr="005E6343" w:rsidRDefault="00CD639B" w:rsidP="00957CE4">
      <w:pPr>
        <w:pStyle w:val="Heading2"/>
        <w:spacing w:before="0" w:line="480" w:lineRule="auto"/>
        <w:rPr>
          <w:color w:val="365F91" w:themeColor="accent1" w:themeShade="BF"/>
          <w:sz w:val="22"/>
          <w:szCs w:val="24"/>
        </w:rPr>
      </w:pPr>
      <w:r w:rsidRPr="005E6343">
        <w:rPr>
          <w:color w:val="365F91" w:themeColor="accent1" w:themeShade="BF"/>
          <w:sz w:val="24"/>
        </w:rPr>
        <w:t>4.2 Regression results</w:t>
      </w:r>
    </w:p>
    <w:p w:rsidR="004C7A0A" w:rsidRDefault="00CD639B" w:rsidP="004C7A0A">
      <w:pPr>
        <w:spacing w:after="0" w:line="480" w:lineRule="auto"/>
        <w:jc w:val="both"/>
        <w:rPr>
          <w:sz w:val="24"/>
          <w:szCs w:val="24"/>
        </w:rPr>
      </w:pPr>
      <w:r w:rsidRPr="003D54D9">
        <w:rPr>
          <w:sz w:val="24"/>
          <w:szCs w:val="24"/>
        </w:rPr>
        <w:t>Table</w:t>
      </w:r>
      <w:r>
        <w:rPr>
          <w:sz w:val="24"/>
          <w:szCs w:val="24"/>
        </w:rPr>
        <w:t xml:space="preserve"> </w:t>
      </w:r>
      <w:r w:rsidR="000C6FA8">
        <w:rPr>
          <w:sz w:val="24"/>
          <w:szCs w:val="24"/>
        </w:rPr>
        <w:t>3</w:t>
      </w:r>
      <w:r>
        <w:rPr>
          <w:sz w:val="24"/>
          <w:szCs w:val="24"/>
        </w:rPr>
        <w:t xml:space="preserve"> </w:t>
      </w:r>
      <w:r w:rsidR="001E3E81">
        <w:rPr>
          <w:sz w:val="24"/>
          <w:szCs w:val="24"/>
        </w:rPr>
        <w:t xml:space="preserve">reports </w:t>
      </w:r>
      <w:r w:rsidR="008E3123">
        <w:rPr>
          <w:sz w:val="24"/>
          <w:szCs w:val="24"/>
        </w:rPr>
        <w:t xml:space="preserve">results for models of </w:t>
      </w:r>
      <w:r w:rsidR="001E3E81">
        <w:rPr>
          <w:sz w:val="24"/>
          <w:szCs w:val="24"/>
        </w:rPr>
        <w:t>total bed days lost as the dependent variable. Model 1</w:t>
      </w:r>
      <w:r>
        <w:rPr>
          <w:sz w:val="24"/>
          <w:szCs w:val="24"/>
        </w:rPr>
        <w:t xml:space="preserve"> includes </w:t>
      </w:r>
      <w:r w:rsidR="00807DD2">
        <w:rPr>
          <w:sz w:val="24"/>
          <w:szCs w:val="24"/>
        </w:rPr>
        <w:t xml:space="preserve">only </w:t>
      </w:r>
      <w:r w:rsidR="008E3123">
        <w:rPr>
          <w:sz w:val="24"/>
          <w:szCs w:val="24"/>
        </w:rPr>
        <w:t xml:space="preserve">year and </w:t>
      </w:r>
      <w:r w:rsidR="00807DD2">
        <w:rPr>
          <w:sz w:val="24"/>
          <w:szCs w:val="24"/>
        </w:rPr>
        <w:t xml:space="preserve">Trust type dummy variables, with </w:t>
      </w:r>
      <w:r w:rsidR="008E3123">
        <w:rPr>
          <w:sz w:val="24"/>
          <w:szCs w:val="24"/>
        </w:rPr>
        <w:t xml:space="preserve">2011/12 and </w:t>
      </w:r>
      <w:r w:rsidR="00807DD2">
        <w:rPr>
          <w:sz w:val="24"/>
          <w:szCs w:val="24"/>
        </w:rPr>
        <w:t xml:space="preserve">Acute Trusts as the baseline </w:t>
      </w:r>
      <w:r w:rsidR="008E3123">
        <w:rPr>
          <w:sz w:val="24"/>
          <w:szCs w:val="24"/>
        </w:rPr>
        <w:t xml:space="preserve">categories. </w:t>
      </w:r>
      <w:r>
        <w:rPr>
          <w:sz w:val="24"/>
          <w:szCs w:val="24"/>
        </w:rPr>
        <w:t>In Model 2 we add a hospital beds exposure term with a coefficient equal to one, which standardises delays by beds</w:t>
      </w:r>
      <w:r w:rsidR="00807DD2">
        <w:rPr>
          <w:sz w:val="24"/>
          <w:szCs w:val="24"/>
        </w:rPr>
        <w:t>,</w:t>
      </w:r>
      <w:r w:rsidR="001E3E81">
        <w:rPr>
          <w:sz w:val="24"/>
          <w:szCs w:val="24"/>
        </w:rPr>
        <w:t xml:space="preserve"> and also add bed size categories.</w:t>
      </w:r>
      <w:r>
        <w:rPr>
          <w:sz w:val="24"/>
          <w:szCs w:val="24"/>
        </w:rPr>
        <w:t xml:space="preserve"> </w:t>
      </w:r>
      <w:r w:rsidR="001E3E81">
        <w:rPr>
          <w:sz w:val="24"/>
          <w:szCs w:val="24"/>
        </w:rPr>
        <w:t xml:space="preserve"> Model 3 adds measures of LTC availability (beds and prices) and model 4 also has </w:t>
      </w:r>
      <w:r>
        <w:rPr>
          <w:sz w:val="24"/>
          <w:szCs w:val="24"/>
        </w:rPr>
        <w:t xml:space="preserve">case-mix and </w:t>
      </w:r>
      <w:r w:rsidR="001E3E81">
        <w:rPr>
          <w:sz w:val="24"/>
          <w:szCs w:val="24"/>
        </w:rPr>
        <w:lastRenderedPageBreak/>
        <w:t>emergency readmissions.</w:t>
      </w:r>
      <w:r>
        <w:rPr>
          <w:sz w:val="24"/>
          <w:szCs w:val="24"/>
        </w:rPr>
        <w:t xml:space="preserve"> Model 5 includes</w:t>
      </w:r>
      <w:r w:rsidR="001E3E81">
        <w:rPr>
          <w:sz w:val="24"/>
          <w:szCs w:val="24"/>
        </w:rPr>
        <w:t xml:space="preserve"> the same explanatory variables as model 4 but allows for unobserved random hospital effects. </w:t>
      </w:r>
      <w:r w:rsidR="004C7A0A">
        <w:rPr>
          <w:sz w:val="24"/>
          <w:szCs w:val="24"/>
        </w:rPr>
        <w:t xml:space="preserve">    </w:t>
      </w:r>
    </w:p>
    <w:p w:rsidR="004C7A0A" w:rsidRDefault="004C7A0A" w:rsidP="004C7A0A">
      <w:pPr>
        <w:spacing w:after="0" w:line="480" w:lineRule="auto"/>
        <w:jc w:val="center"/>
        <w:rPr>
          <w:sz w:val="24"/>
          <w:szCs w:val="24"/>
        </w:rPr>
      </w:pPr>
      <w:r>
        <w:rPr>
          <w:sz w:val="24"/>
          <w:szCs w:val="24"/>
        </w:rPr>
        <w:t xml:space="preserve">[Table </w:t>
      </w:r>
      <w:r w:rsidR="000C6FA8">
        <w:rPr>
          <w:sz w:val="24"/>
          <w:szCs w:val="24"/>
        </w:rPr>
        <w:t>3</w:t>
      </w:r>
      <w:r>
        <w:rPr>
          <w:sz w:val="24"/>
          <w:szCs w:val="24"/>
        </w:rPr>
        <w:t>]</w:t>
      </w:r>
    </w:p>
    <w:p w:rsidR="004C7A0A" w:rsidRDefault="004C7A0A" w:rsidP="00957CE4">
      <w:pPr>
        <w:spacing w:after="0" w:line="480" w:lineRule="auto"/>
        <w:jc w:val="both"/>
        <w:rPr>
          <w:sz w:val="24"/>
          <w:szCs w:val="24"/>
        </w:rPr>
      </w:pPr>
      <w:r>
        <w:rPr>
          <w:sz w:val="24"/>
          <w:szCs w:val="24"/>
        </w:rPr>
        <w:t xml:space="preserve">In all models we find that there is over dispersion, rejecting the Poisson specification relative to the Negative Binomial. The goodness of fit measures (AIC and BIC) broadly indicate that additional variables improve the explanatory power of the models, though the </w:t>
      </w:r>
      <w:r w:rsidR="008E3123">
        <w:rPr>
          <w:sz w:val="24"/>
          <w:szCs w:val="24"/>
        </w:rPr>
        <w:t xml:space="preserve">AIC indicates that the </w:t>
      </w:r>
      <w:r>
        <w:rPr>
          <w:sz w:val="24"/>
          <w:szCs w:val="24"/>
        </w:rPr>
        <w:t>improvement from adding all the case-mix controls (model 4</w:t>
      </w:r>
      <w:r w:rsidR="008E3123">
        <w:rPr>
          <w:sz w:val="24"/>
          <w:szCs w:val="24"/>
        </w:rPr>
        <w:t xml:space="preserve"> versus model 3</w:t>
      </w:r>
      <w:r>
        <w:rPr>
          <w:sz w:val="24"/>
          <w:szCs w:val="24"/>
        </w:rPr>
        <w:t>) is small</w:t>
      </w:r>
      <w:r w:rsidR="007D7FA1">
        <w:rPr>
          <w:sz w:val="24"/>
          <w:szCs w:val="24"/>
        </w:rPr>
        <w:t>.  T</w:t>
      </w:r>
      <w:r w:rsidR="008E3123">
        <w:rPr>
          <w:sz w:val="24"/>
          <w:szCs w:val="24"/>
        </w:rPr>
        <w:t xml:space="preserve">he BIC, which has a stronger penalty for additional explanatory </w:t>
      </w:r>
      <w:r w:rsidR="00957238">
        <w:rPr>
          <w:sz w:val="24"/>
          <w:szCs w:val="24"/>
        </w:rPr>
        <w:t>variables,</w:t>
      </w:r>
      <w:r w:rsidR="008E3123">
        <w:rPr>
          <w:sz w:val="24"/>
          <w:szCs w:val="24"/>
        </w:rPr>
        <w:t xml:space="preserve"> suggests a deterioration in model performance when the case mix variables are added, even though two of them are statistically significant.</w:t>
      </w:r>
      <w:r w:rsidR="00990885">
        <w:rPr>
          <w:sz w:val="24"/>
          <w:szCs w:val="24"/>
        </w:rPr>
        <w:t xml:space="preserve">  </w:t>
      </w:r>
    </w:p>
    <w:p w:rsidR="001E3E81" w:rsidRDefault="001E3E81" w:rsidP="00957CE4">
      <w:pPr>
        <w:spacing w:after="0" w:line="480" w:lineRule="auto"/>
        <w:jc w:val="both"/>
        <w:rPr>
          <w:sz w:val="24"/>
          <w:szCs w:val="24"/>
        </w:rPr>
      </w:pPr>
    </w:p>
    <w:p w:rsidR="00CD639B" w:rsidRDefault="001E3E81" w:rsidP="00957CE4">
      <w:pPr>
        <w:spacing w:after="0" w:line="480" w:lineRule="auto"/>
        <w:jc w:val="both"/>
        <w:rPr>
          <w:sz w:val="24"/>
          <w:szCs w:val="24"/>
        </w:rPr>
      </w:pPr>
      <w:r>
        <w:rPr>
          <w:i/>
          <w:sz w:val="24"/>
          <w:szCs w:val="24"/>
        </w:rPr>
        <w:t xml:space="preserve">Foundation Trust </w:t>
      </w:r>
      <w:r w:rsidRPr="001E3E81">
        <w:rPr>
          <w:sz w:val="24"/>
          <w:szCs w:val="24"/>
        </w:rPr>
        <w:t>status</w:t>
      </w:r>
      <w:r w:rsidR="00CD639B" w:rsidRPr="003D54D9">
        <w:rPr>
          <w:sz w:val="24"/>
          <w:szCs w:val="24"/>
        </w:rPr>
        <w:t xml:space="preserve"> </w:t>
      </w:r>
      <w:r>
        <w:rPr>
          <w:sz w:val="24"/>
          <w:szCs w:val="24"/>
        </w:rPr>
        <w:t xml:space="preserve">is </w:t>
      </w:r>
      <w:r w:rsidR="00CD639B">
        <w:rPr>
          <w:sz w:val="24"/>
          <w:szCs w:val="24"/>
        </w:rPr>
        <w:t xml:space="preserve">associated with </w:t>
      </w:r>
      <w:r>
        <w:rPr>
          <w:sz w:val="24"/>
          <w:szCs w:val="24"/>
        </w:rPr>
        <w:t xml:space="preserve">15-16% fewer bed-days lost </w:t>
      </w:r>
      <w:r w:rsidR="00CD639B">
        <w:rPr>
          <w:sz w:val="24"/>
          <w:szCs w:val="24"/>
        </w:rPr>
        <w:t>after standardising for beds and controlling for long-term care and case-mix</w:t>
      </w:r>
      <w:r>
        <w:rPr>
          <w:sz w:val="24"/>
          <w:szCs w:val="24"/>
        </w:rPr>
        <w:t xml:space="preserve"> (Models 3 and 4). </w:t>
      </w:r>
      <w:r w:rsidR="00CD639B">
        <w:rPr>
          <w:sz w:val="24"/>
          <w:szCs w:val="24"/>
        </w:rPr>
        <w:t>After controlling for unobserved heterogeneity</w:t>
      </w:r>
      <w:r w:rsidR="00990885">
        <w:rPr>
          <w:sz w:val="24"/>
          <w:szCs w:val="24"/>
        </w:rPr>
        <w:t xml:space="preserve"> (Model 5)</w:t>
      </w:r>
      <w:r w:rsidR="00CD639B">
        <w:rPr>
          <w:sz w:val="24"/>
          <w:szCs w:val="24"/>
        </w:rPr>
        <w:t>, the difference is even larger</w:t>
      </w:r>
      <w:r w:rsidR="001A4D3D">
        <w:rPr>
          <w:sz w:val="24"/>
          <w:szCs w:val="24"/>
        </w:rPr>
        <w:t xml:space="preserve"> (33%)</w:t>
      </w:r>
      <w:r w:rsidR="00CD639B">
        <w:rPr>
          <w:sz w:val="24"/>
          <w:szCs w:val="24"/>
        </w:rPr>
        <w:t>.</w:t>
      </w:r>
    </w:p>
    <w:p w:rsidR="00957CE4" w:rsidRDefault="00957CE4" w:rsidP="00957CE4">
      <w:pPr>
        <w:spacing w:after="0" w:line="480" w:lineRule="auto"/>
        <w:jc w:val="both"/>
        <w:rPr>
          <w:sz w:val="24"/>
          <w:szCs w:val="24"/>
        </w:rPr>
      </w:pPr>
    </w:p>
    <w:p w:rsidR="00957CE4" w:rsidRDefault="00807DD2" w:rsidP="00957CE4">
      <w:pPr>
        <w:spacing w:after="0" w:line="480" w:lineRule="auto"/>
        <w:jc w:val="both"/>
        <w:rPr>
          <w:sz w:val="24"/>
          <w:szCs w:val="24"/>
        </w:rPr>
      </w:pPr>
      <w:r>
        <w:rPr>
          <w:sz w:val="24"/>
          <w:szCs w:val="24"/>
        </w:rPr>
        <w:t>Once bed numbers are allowed for</w:t>
      </w:r>
      <w:r w:rsidR="0077617F">
        <w:rPr>
          <w:sz w:val="24"/>
          <w:szCs w:val="24"/>
        </w:rPr>
        <w:t>,</w:t>
      </w:r>
      <w:r>
        <w:rPr>
          <w:sz w:val="24"/>
          <w:szCs w:val="24"/>
        </w:rPr>
        <w:t xml:space="preserve"> </w:t>
      </w:r>
      <w:r w:rsidR="00CD639B" w:rsidRPr="005278E7">
        <w:rPr>
          <w:i/>
          <w:sz w:val="24"/>
          <w:szCs w:val="24"/>
        </w:rPr>
        <w:t>Teaching Trusts</w:t>
      </w:r>
      <w:r w:rsidR="00CD639B">
        <w:rPr>
          <w:sz w:val="24"/>
          <w:szCs w:val="24"/>
        </w:rPr>
        <w:t xml:space="preserve"> </w:t>
      </w:r>
      <w:r>
        <w:rPr>
          <w:sz w:val="24"/>
          <w:szCs w:val="24"/>
        </w:rPr>
        <w:t xml:space="preserve">have similar delays to </w:t>
      </w:r>
      <w:r w:rsidR="00CD639B">
        <w:rPr>
          <w:sz w:val="24"/>
          <w:szCs w:val="24"/>
        </w:rPr>
        <w:t>Acute Trusts</w:t>
      </w:r>
      <w:r>
        <w:rPr>
          <w:sz w:val="24"/>
          <w:szCs w:val="24"/>
        </w:rPr>
        <w:t xml:space="preserve">. </w:t>
      </w:r>
      <w:r w:rsidR="00CD639B" w:rsidRPr="005278E7">
        <w:rPr>
          <w:i/>
          <w:sz w:val="24"/>
          <w:szCs w:val="24"/>
        </w:rPr>
        <w:t>Specialist Trusts</w:t>
      </w:r>
      <w:r w:rsidR="00291AE9">
        <w:rPr>
          <w:sz w:val="24"/>
          <w:szCs w:val="24"/>
        </w:rPr>
        <w:t xml:space="preserve"> have around 60% </w:t>
      </w:r>
      <w:r w:rsidR="00CD639B">
        <w:rPr>
          <w:sz w:val="24"/>
          <w:szCs w:val="24"/>
        </w:rPr>
        <w:t xml:space="preserve">fewer delays </w:t>
      </w:r>
      <w:r>
        <w:rPr>
          <w:sz w:val="24"/>
          <w:szCs w:val="24"/>
        </w:rPr>
        <w:t xml:space="preserve">per bed than Acute Trusts </w:t>
      </w:r>
      <w:r w:rsidR="00291AE9">
        <w:rPr>
          <w:sz w:val="24"/>
          <w:szCs w:val="24"/>
        </w:rPr>
        <w:t>(model</w:t>
      </w:r>
      <w:r w:rsidR="00CD639B">
        <w:rPr>
          <w:sz w:val="24"/>
          <w:szCs w:val="24"/>
        </w:rPr>
        <w:t xml:space="preserve"> 3</w:t>
      </w:r>
      <w:r w:rsidR="00291AE9">
        <w:rPr>
          <w:sz w:val="24"/>
          <w:szCs w:val="24"/>
        </w:rPr>
        <w:t xml:space="preserve">) but the difference is not statistically significant, even at 10%, once </w:t>
      </w:r>
      <w:r w:rsidR="00CD639B">
        <w:rPr>
          <w:sz w:val="24"/>
          <w:szCs w:val="24"/>
        </w:rPr>
        <w:t>long-term care availability and patients’ case-mix</w:t>
      </w:r>
      <w:r w:rsidR="001A4D3D">
        <w:rPr>
          <w:sz w:val="24"/>
          <w:szCs w:val="24"/>
        </w:rPr>
        <w:t xml:space="preserve"> have been controlled for</w:t>
      </w:r>
      <w:r w:rsidR="00291AE9">
        <w:rPr>
          <w:sz w:val="24"/>
          <w:szCs w:val="24"/>
        </w:rPr>
        <w:t xml:space="preserve"> (model 4)</w:t>
      </w:r>
      <w:r w:rsidR="00CD639B">
        <w:rPr>
          <w:sz w:val="24"/>
          <w:szCs w:val="24"/>
        </w:rPr>
        <w:t>.</w:t>
      </w:r>
      <w:r w:rsidR="00712E89">
        <w:rPr>
          <w:sz w:val="24"/>
          <w:szCs w:val="24"/>
        </w:rPr>
        <w:t xml:space="preserve">  </w:t>
      </w:r>
    </w:p>
    <w:p w:rsidR="001759C5" w:rsidRDefault="001759C5" w:rsidP="00957CE4">
      <w:pPr>
        <w:spacing w:after="0" w:line="480" w:lineRule="auto"/>
        <w:jc w:val="both"/>
        <w:rPr>
          <w:sz w:val="24"/>
          <w:szCs w:val="24"/>
        </w:rPr>
      </w:pPr>
    </w:p>
    <w:p w:rsidR="00CD639B" w:rsidRDefault="00CD639B" w:rsidP="00957CE4">
      <w:pPr>
        <w:spacing w:after="0" w:line="480" w:lineRule="auto"/>
        <w:jc w:val="both"/>
        <w:rPr>
          <w:sz w:val="24"/>
          <w:szCs w:val="24"/>
        </w:rPr>
      </w:pPr>
      <w:r w:rsidRPr="005278E7">
        <w:rPr>
          <w:i/>
          <w:sz w:val="24"/>
          <w:szCs w:val="24"/>
        </w:rPr>
        <w:t>Mental Health Trusts</w:t>
      </w:r>
      <w:r>
        <w:rPr>
          <w:sz w:val="24"/>
          <w:szCs w:val="24"/>
        </w:rPr>
        <w:t xml:space="preserve"> are associated with </w:t>
      </w:r>
      <w:r w:rsidR="001A4D3D">
        <w:rPr>
          <w:sz w:val="24"/>
          <w:szCs w:val="24"/>
        </w:rPr>
        <w:t>46-62%</w:t>
      </w:r>
      <w:r>
        <w:rPr>
          <w:sz w:val="24"/>
          <w:szCs w:val="24"/>
        </w:rPr>
        <w:t xml:space="preserve"> more delay</w:t>
      </w:r>
      <w:r w:rsidR="00291AE9">
        <w:rPr>
          <w:sz w:val="24"/>
          <w:szCs w:val="24"/>
        </w:rPr>
        <w:t>ed day</w:t>
      </w:r>
      <w:r>
        <w:rPr>
          <w:sz w:val="24"/>
          <w:szCs w:val="24"/>
        </w:rPr>
        <w:t>s after accounting for size</w:t>
      </w:r>
      <w:r w:rsidR="00291AE9">
        <w:rPr>
          <w:sz w:val="24"/>
          <w:szCs w:val="24"/>
        </w:rPr>
        <w:t xml:space="preserve"> (models 2 to 4)</w:t>
      </w:r>
      <w:r>
        <w:rPr>
          <w:sz w:val="24"/>
          <w:szCs w:val="24"/>
        </w:rPr>
        <w:t xml:space="preserve">. However, this effect is </w:t>
      </w:r>
      <w:r w:rsidR="001A4D3D">
        <w:rPr>
          <w:sz w:val="24"/>
          <w:szCs w:val="24"/>
        </w:rPr>
        <w:t>smaller and insignificant after</w:t>
      </w:r>
      <w:r>
        <w:rPr>
          <w:sz w:val="24"/>
          <w:szCs w:val="24"/>
        </w:rPr>
        <w:t xml:space="preserve"> controlling for unobserved heterogeneity</w:t>
      </w:r>
      <w:r w:rsidR="00291AE9">
        <w:rPr>
          <w:sz w:val="24"/>
          <w:szCs w:val="24"/>
        </w:rPr>
        <w:t xml:space="preserve"> (model 5)</w:t>
      </w:r>
      <w:r>
        <w:rPr>
          <w:sz w:val="24"/>
          <w:szCs w:val="24"/>
        </w:rPr>
        <w:t xml:space="preserve">. </w:t>
      </w:r>
    </w:p>
    <w:p w:rsidR="00957CE4" w:rsidRDefault="00957CE4" w:rsidP="00957CE4">
      <w:pPr>
        <w:spacing w:after="0" w:line="480" w:lineRule="auto"/>
        <w:jc w:val="both"/>
        <w:rPr>
          <w:sz w:val="24"/>
          <w:szCs w:val="24"/>
        </w:rPr>
      </w:pPr>
    </w:p>
    <w:p w:rsidR="00CD639B" w:rsidRDefault="00291AE9" w:rsidP="00957CE4">
      <w:pPr>
        <w:spacing w:after="0" w:line="480" w:lineRule="auto"/>
        <w:jc w:val="both"/>
        <w:rPr>
          <w:sz w:val="24"/>
          <w:szCs w:val="24"/>
        </w:rPr>
      </w:pPr>
      <w:r>
        <w:rPr>
          <w:sz w:val="24"/>
          <w:szCs w:val="24"/>
        </w:rPr>
        <w:lastRenderedPageBreak/>
        <w:t xml:space="preserve">The </w:t>
      </w:r>
      <w:r w:rsidR="00CD639B">
        <w:rPr>
          <w:sz w:val="24"/>
          <w:szCs w:val="24"/>
        </w:rPr>
        <w:t xml:space="preserve">availability of long-term care beds is </w:t>
      </w:r>
      <w:r>
        <w:rPr>
          <w:sz w:val="24"/>
          <w:szCs w:val="24"/>
        </w:rPr>
        <w:t xml:space="preserve">consistently </w:t>
      </w:r>
      <w:r w:rsidR="00CD639B">
        <w:rPr>
          <w:sz w:val="24"/>
          <w:szCs w:val="24"/>
        </w:rPr>
        <w:t>associated with fewer delays.</w:t>
      </w:r>
      <w:r w:rsidR="001A4D3D">
        <w:rPr>
          <w:sz w:val="24"/>
          <w:szCs w:val="24"/>
        </w:rPr>
        <w:t xml:space="preserve"> </w:t>
      </w:r>
      <w:r>
        <w:rPr>
          <w:sz w:val="24"/>
          <w:szCs w:val="24"/>
        </w:rPr>
        <w:t xml:space="preserve">We </w:t>
      </w:r>
      <w:r w:rsidR="0077617F">
        <w:rPr>
          <w:sz w:val="24"/>
          <w:szCs w:val="24"/>
        </w:rPr>
        <w:t xml:space="preserve">use </w:t>
      </w:r>
      <w:r>
        <w:rPr>
          <w:sz w:val="24"/>
          <w:szCs w:val="24"/>
        </w:rPr>
        <w:t xml:space="preserve">the logarithms of LTC beds and prices in the models so that their coefficients are the % change in delays associated with a 1% increase in beds or prices.  Thus the results in models 3 to 5 suggest that a </w:t>
      </w:r>
      <w:r w:rsidR="00CD639B">
        <w:rPr>
          <w:sz w:val="24"/>
          <w:szCs w:val="24"/>
        </w:rPr>
        <w:t>1% increase in long-term care beds is associated with 0.2</w:t>
      </w:r>
      <w:r w:rsidR="001A4D3D">
        <w:rPr>
          <w:sz w:val="24"/>
          <w:szCs w:val="24"/>
        </w:rPr>
        <w:t>7</w:t>
      </w:r>
      <w:r w:rsidR="00CD639B">
        <w:rPr>
          <w:sz w:val="24"/>
          <w:szCs w:val="24"/>
        </w:rPr>
        <w:t>-0.</w:t>
      </w:r>
      <w:r w:rsidR="001A4D3D">
        <w:rPr>
          <w:sz w:val="24"/>
          <w:szCs w:val="24"/>
        </w:rPr>
        <w:t>29</w:t>
      </w:r>
      <w:r w:rsidR="00CD639B">
        <w:rPr>
          <w:sz w:val="24"/>
          <w:szCs w:val="24"/>
        </w:rPr>
        <w:t xml:space="preserve">% fewer delays. </w:t>
      </w:r>
      <w:r w:rsidR="001A4D3D">
        <w:rPr>
          <w:sz w:val="24"/>
          <w:szCs w:val="24"/>
        </w:rPr>
        <w:t>H</w:t>
      </w:r>
      <w:r w:rsidR="00CD639B">
        <w:rPr>
          <w:sz w:val="24"/>
          <w:szCs w:val="24"/>
        </w:rPr>
        <w:t>igher price</w:t>
      </w:r>
      <w:r w:rsidR="0077617F">
        <w:rPr>
          <w:sz w:val="24"/>
          <w:szCs w:val="24"/>
        </w:rPr>
        <w:t>s</w:t>
      </w:r>
      <w:r w:rsidR="00CD639B">
        <w:rPr>
          <w:sz w:val="24"/>
          <w:szCs w:val="24"/>
        </w:rPr>
        <w:t xml:space="preserve"> </w:t>
      </w:r>
      <w:r w:rsidR="005D1776">
        <w:rPr>
          <w:sz w:val="24"/>
          <w:szCs w:val="24"/>
        </w:rPr>
        <w:t xml:space="preserve">for </w:t>
      </w:r>
      <w:r w:rsidR="007D4F96">
        <w:rPr>
          <w:sz w:val="24"/>
          <w:szCs w:val="24"/>
        </w:rPr>
        <w:t>long-term care bed</w:t>
      </w:r>
      <w:r w:rsidR="0077617F">
        <w:rPr>
          <w:sz w:val="24"/>
          <w:szCs w:val="24"/>
        </w:rPr>
        <w:t>s</w:t>
      </w:r>
      <w:r w:rsidR="007D4F96">
        <w:rPr>
          <w:sz w:val="24"/>
          <w:szCs w:val="24"/>
        </w:rPr>
        <w:t xml:space="preserve"> </w:t>
      </w:r>
      <w:r w:rsidR="004F4470">
        <w:rPr>
          <w:sz w:val="24"/>
          <w:szCs w:val="24"/>
        </w:rPr>
        <w:t>are</w:t>
      </w:r>
      <w:r>
        <w:rPr>
          <w:sz w:val="24"/>
          <w:szCs w:val="24"/>
        </w:rPr>
        <w:t xml:space="preserve"> positively associated with delays but the coefficient is </w:t>
      </w:r>
      <w:r w:rsidR="00187DF5">
        <w:rPr>
          <w:sz w:val="24"/>
          <w:szCs w:val="24"/>
        </w:rPr>
        <w:t xml:space="preserve">at most </w:t>
      </w:r>
      <w:r>
        <w:rPr>
          <w:sz w:val="24"/>
          <w:szCs w:val="24"/>
        </w:rPr>
        <w:t>weakly signif</w:t>
      </w:r>
      <w:r w:rsidR="00C317FA">
        <w:rPr>
          <w:sz w:val="24"/>
          <w:szCs w:val="24"/>
        </w:rPr>
        <w:t>i</w:t>
      </w:r>
      <w:r>
        <w:rPr>
          <w:sz w:val="24"/>
          <w:szCs w:val="24"/>
        </w:rPr>
        <w:t xml:space="preserve">cant </w:t>
      </w:r>
      <w:r w:rsidR="00187DF5">
        <w:rPr>
          <w:sz w:val="24"/>
          <w:szCs w:val="24"/>
        </w:rPr>
        <w:t xml:space="preserve">(model 5). </w:t>
      </w:r>
    </w:p>
    <w:p w:rsidR="00957CE4" w:rsidRDefault="00957CE4" w:rsidP="00957CE4">
      <w:pPr>
        <w:spacing w:after="0" w:line="480" w:lineRule="auto"/>
        <w:jc w:val="both"/>
        <w:rPr>
          <w:sz w:val="24"/>
          <w:szCs w:val="24"/>
        </w:rPr>
      </w:pPr>
    </w:p>
    <w:p w:rsidR="008B58F9" w:rsidRDefault="00CD639B" w:rsidP="005E6343">
      <w:pPr>
        <w:spacing w:line="480" w:lineRule="auto"/>
        <w:jc w:val="both"/>
        <w:rPr>
          <w:sz w:val="24"/>
          <w:szCs w:val="24"/>
        </w:rPr>
      </w:pPr>
      <w:r w:rsidRPr="00353B36">
        <w:rPr>
          <w:sz w:val="24"/>
          <w:szCs w:val="24"/>
        </w:rPr>
        <w:t xml:space="preserve">Trusts with a higher percentage of patients </w:t>
      </w:r>
      <w:r w:rsidR="008B58F9" w:rsidRPr="00353B36">
        <w:rPr>
          <w:sz w:val="24"/>
          <w:szCs w:val="24"/>
        </w:rPr>
        <w:t xml:space="preserve">aged </w:t>
      </w:r>
      <w:r w:rsidRPr="00353B36">
        <w:rPr>
          <w:sz w:val="24"/>
          <w:szCs w:val="24"/>
        </w:rPr>
        <w:t xml:space="preserve">75 </w:t>
      </w:r>
      <w:r w:rsidR="00625761">
        <w:rPr>
          <w:sz w:val="24"/>
          <w:szCs w:val="24"/>
        </w:rPr>
        <w:t xml:space="preserve">years </w:t>
      </w:r>
      <w:r w:rsidR="008B58F9" w:rsidRPr="00353B36">
        <w:rPr>
          <w:sz w:val="24"/>
          <w:szCs w:val="24"/>
        </w:rPr>
        <w:t>or over</w:t>
      </w:r>
      <w:r w:rsidRPr="00353B36">
        <w:rPr>
          <w:sz w:val="24"/>
          <w:szCs w:val="24"/>
        </w:rPr>
        <w:t xml:space="preserve"> have more delays</w:t>
      </w:r>
      <w:r w:rsidR="008B58F9" w:rsidRPr="00353B36">
        <w:rPr>
          <w:sz w:val="24"/>
          <w:szCs w:val="24"/>
        </w:rPr>
        <w:t xml:space="preserve"> (models 4 and 5). </w:t>
      </w:r>
      <w:r w:rsidR="00353B36" w:rsidRPr="00353B36">
        <w:rPr>
          <w:sz w:val="24"/>
          <w:szCs w:val="24"/>
        </w:rPr>
        <w:t>Treating</w:t>
      </w:r>
      <w:r w:rsidR="00353B36">
        <w:rPr>
          <w:sz w:val="24"/>
          <w:szCs w:val="24"/>
        </w:rPr>
        <w:t xml:space="preserve"> 1% more patients in this age category is associated with 0.01-0.02% more delays. </w:t>
      </w:r>
      <w:r w:rsidR="008B58F9">
        <w:rPr>
          <w:sz w:val="24"/>
          <w:szCs w:val="24"/>
        </w:rPr>
        <w:t xml:space="preserve"> A higher proportion of male patients is also positively associated with more delays</w:t>
      </w:r>
      <w:r w:rsidR="006725EF">
        <w:rPr>
          <w:sz w:val="24"/>
          <w:szCs w:val="24"/>
        </w:rPr>
        <w:t>, though the association is statistically significant only in the random effects model (5)</w:t>
      </w:r>
      <w:r w:rsidR="002A70E9">
        <w:rPr>
          <w:sz w:val="24"/>
          <w:szCs w:val="24"/>
        </w:rPr>
        <w:t xml:space="preserve">. </w:t>
      </w:r>
      <w:r w:rsidR="006725EF">
        <w:rPr>
          <w:sz w:val="24"/>
          <w:szCs w:val="24"/>
        </w:rPr>
        <w:t>Given the models condition on age and men have shorter disability</w:t>
      </w:r>
      <w:r w:rsidR="00E50D8F">
        <w:rPr>
          <w:sz w:val="24"/>
          <w:szCs w:val="24"/>
        </w:rPr>
        <w:t>-</w:t>
      </w:r>
      <w:r w:rsidR="006725EF">
        <w:rPr>
          <w:sz w:val="24"/>
          <w:szCs w:val="24"/>
        </w:rPr>
        <w:t>free life expectancy, t</w:t>
      </w:r>
      <w:r w:rsidR="002A70E9">
        <w:rPr>
          <w:sz w:val="24"/>
          <w:szCs w:val="24"/>
        </w:rPr>
        <w:t xml:space="preserve">his variable may capture </w:t>
      </w:r>
      <w:r w:rsidR="006725EF">
        <w:rPr>
          <w:sz w:val="24"/>
          <w:szCs w:val="24"/>
        </w:rPr>
        <w:t xml:space="preserve">a greater likelihood of </w:t>
      </w:r>
      <w:r w:rsidR="00CE220F">
        <w:rPr>
          <w:sz w:val="24"/>
          <w:szCs w:val="24"/>
        </w:rPr>
        <w:t>non-acute</w:t>
      </w:r>
      <w:r w:rsidR="006725EF">
        <w:rPr>
          <w:sz w:val="24"/>
          <w:szCs w:val="24"/>
        </w:rPr>
        <w:t xml:space="preserve"> health problems which make it more difficult to discharge male patients.</w:t>
      </w:r>
    </w:p>
    <w:p w:rsidR="00DD02F6" w:rsidRDefault="00CD639B" w:rsidP="00957CE4">
      <w:pPr>
        <w:spacing w:after="0" w:line="480" w:lineRule="auto"/>
        <w:jc w:val="both"/>
        <w:rPr>
          <w:sz w:val="24"/>
          <w:szCs w:val="24"/>
        </w:rPr>
      </w:pPr>
      <w:r>
        <w:rPr>
          <w:sz w:val="24"/>
          <w:szCs w:val="24"/>
        </w:rPr>
        <w:t xml:space="preserve">To capture economies or diseconomies of </w:t>
      </w:r>
      <w:r w:rsidR="008B58F9">
        <w:rPr>
          <w:sz w:val="24"/>
          <w:szCs w:val="24"/>
        </w:rPr>
        <w:t>scale, we include hospital bed number categories</w:t>
      </w:r>
      <w:r w:rsidR="004C7A0A">
        <w:rPr>
          <w:sz w:val="24"/>
          <w:szCs w:val="24"/>
        </w:rPr>
        <w:t xml:space="preserve"> with the omitted category less than 200 beds</w:t>
      </w:r>
      <w:r w:rsidR="008B58F9">
        <w:rPr>
          <w:sz w:val="24"/>
          <w:szCs w:val="24"/>
        </w:rPr>
        <w:t>. Since we also include beds as a</w:t>
      </w:r>
      <w:r w:rsidR="004C7A0A">
        <w:rPr>
          <w:sz w:val="24"/>
          <w:szCs w:val="24"/>
        </w:rPr>
        <w:t>n</w:t>
      </w:r>
      <w:r w:rsidR="008B58F9">
        <w:rPr>
          <w:sz w:val="24"/>
          <w:szCs w:val="24"/>
        </w:rPr>
        <w:t xml:space="preserve"> exposure term with </w:t>
      </w:r>
      <w:r w:rsidR="004C7A0A">
        <w:rPr>
          <w:sz w:val="24"/>
          <w:szCs w:val="24"/>
        </w:rPr>
        <w:t xml:space="preserve">a </w:t>
      </w:r>
      <w:r w:rsidR="008B58F9">
        <w:rPr>
          <w:sz w:val="24"/>
          <w:szCs w:val="24"/>
        </w:rPr>
        <w:t xml:space="preserve">coefficient of unity, </w:t>
      </w:r>
      <w:r w:rsidR="004C7A0A">
        <w:rPr>
          <w:sz w:val="24"/>
          <w:szCs w:val="24"/>
        </w:rPr>
        <w:t xml:space="preserve">the generally </w:t>
      </w:r>
      <w:r w:rsidR="008B58F9">
        <w:rPr>
          <w:sz w:val="24"/>
          <w:szCs w:val="24"/>
        </w:rPr>
        <w:t>negative coefficients on the bed number categories imply that delays increase less than proportionately with beds.</w:t>
      </w:r>
      <w:r w:rsidR="004C7A0A">
        <w:rPr>
          <w:sz w:val="24"/>
          <w:szCs w:val="24"/>
        </w:rPr>
        <w:t xml:space="preserve">  However, the coefficients are only statistically significant in the random effects specification (5) and only for the largest size category (</w:t>
      </w:r>
      <w:r>
        <w:rPr>
          <w:sz w:val="24"/>
          <w:szCs w:val="24"/>
        </w:rPr>
        <w:t>more than 1500</w:t>
      </w:r>
      <w:r w:rsidR="004C7A0A">
        <w:rPr>
          <w:sz w:val="24"/>
          <w:szCs w:val="24"/>
        </w:rPr>
        <w:t xml:space="preserve">). </w:t>
      </w:r>
      <w:r>
        <w:rPr>
          <w:sz w:val="24"/>
          <w:szCs w:val="24"/>
        </w:rPr>
        <w:t xml:space="preserve"> </w:t>
      </w:r>
      <w:r w:rsidR="004D0B1D">
        <w:rPr>
          <w:sz w:val="24"/>
          <w:szCs w:val="24"/>
        </w:rPr>
        <w:t xml:space="preserve"> </w:t>
      </w:r>
      <w:r>
        <w:rPr>
          <w:sz w:val="24"/>
          <w:szCs w:val="24"/>
        </w:rPr>
        <w:t xml:space="preserve"> </w:t>
      </w:r>
    </w:p>
    <w:p w:rsidR="0077617F" w:rsidRDefault="0077617F" w:rsidP="00957CE4">
      <w:pPr>
        <w:spacing w:after="0" w:line="480" w:lineRule="auto"/>
        <w:jc w:val="both"/>
        <w:rPr>
          <w:sz w:val="24"/>
          <w:szCs w:val="24"/>
        </w:rPr>
      </w:pPr>
    </w:p>
    <w:p w:rsidR="00CD639B" w:rsidRPr="005E6343" w:rsidRDefault="00CD639B" w:rsidP="00957CE4">
      <w:pPr>
        <w:pStyle w:val="Heading3"/>
        <w:spacing w:before="0" w:line="480" w:lineRule="auto"/>
        <w:rPr>
          <w:color w:val="365F91" w:themeColor="accent1" w:themeShade="BF"/>
          <w:sz w:val="24"/>
          <w:szCs w:val="26"/>
        </w:rPr>
      </w:pPr>
      <w:r w:rsidRPr="005E6343">
        <w:rPr>
          <w:color w:val="365F91" w:themeColor="accent1" w:themeShade="BF"/>
          <w:sz w:val="24"/>
          <w:szCs w:val="26"/>
        </w:rPr>
        <w:t>4.3 NHS delays</w:t>
      </w:r>
    </w:p>
    <w:p w:rsidR="00160103" w:rsidRDefault="00CD639B" w:rsidP="00957CE4">
      <w:pPr>
        <w:spacing w:after="0" w:line="480" w:lineRule="auto"/>
        <w:jc w:val="both"/>
        <w:rPr>
          <w:sz w:val="24"/>
          <w:szCs w:val="24"/>
        </w:rPr>
      </w:pPr>
      <w:r w:rsidRPr="00160103">
        <w:rPr>
          <w:sz w:val="24"/>
          <w:szCs w:val="24"/>
        </w:rPr>
        <w:t xml:space="preserve">Table </w:t>
      </w:r>
      <w:r w:rsidR="000C6FA8">
        <w:rPr>
          <w:sz w:val="24"/>
          <w:szCs w:val="24"/>
        </w:rPr>
        <w:t>4</w:t>
      </w:r>
      <w:r w:rsidRPr="00160103">
        <w:rPr>
          <w:sz w:val="24"/>
          <w:szCs w:val="24"/>
        </w:rPr>
        <w:t xml:space="preserve"> provide</w:t>
      </w:r>
      <w:r w:rsidR="0077617F">
        <w:rPr>
          <w:sz w:val="24"/>
          <w:szCs w:val="24"/>
        </w:rPr>
        <w:t>s</w:t>
      </w:r>
      <w:r w:rsidRPr="00160103">
        <w:rPr>
          <w:sz w:val="24"/>
          <w:szCs w:val="24"/>
        </w:rPr>
        <w:t xml:space="preserve"> the results for delays attributed to the NHS. </w:t>
      </w:r>
      <w:r w:rsidR="003244FF">
        <w:rPr>
          <w:sz w:val="24"/>
          <w:szCs w:val="24"/>
        </w:rPr>
        <w:t xml:space="preserve">Unlike the </w:t>
      </w:r>
      <w:r w:rsidR="00B050CF" w:rsidRPr="00160103">
        <w:rPr>
          <w:sz w:val="24"/>
          <w:szCs w:val="24"/>
        </w:rPr>
        <w:t xml:space="preserve">Table </w:t>
      </w:r>
      <w:r w:rsidR="000C6FA8">
        <w:rPr>
          <w:sz w:val="24"/>
          <w:szCs w:val="24"/>
        </w:rPr>
        <w:t>3</w:t>
      </w:r>
      <w:r w:rsidR="003244FF">
        <w:rPr>
          <w:sz w:val="24"/>
          <w:szCs w:val="24"/>
        </w:rPr>
        <w:t xml:space="preserve"> results for all delays</w:t>
      </w:r>
      <w:r w:rsidR="00B050CF" w:rsidRPr="00160103">
        <w:rPr>
          <w:sz w:val="24"/>
          <w:szCs w:val="24"/>
        </w:rPr>
        <w:t xml:space="preserve">, </w:t>
      </w:r>
      <w:r w:rsidRPr="00160103">
        <w:rPr>
          <w:sz w:val="24"/>
          <w:szCs w:val="24"/>
        </w:rPr>
        <w:t xml:space="preserve">Mental Health Trusts </w:t>
      </w:r>
      <w:r w:rsidR="00B050CF" w:rsidRPr="00160103">
        <w:rPr>
          <w:sz w:val="24"/>
          <w:szCs w:val="24"/>
        </w:rPr>
        <w:t xml:space="preserve">do </w:t>
      </w:r>
      <w:r w:rsidR="00DD02F6" w:rsidRPr="003244FF">
        <w:rPr>
          <w:sz w:val="24"/>
          <w:szCs w:val="24"/>
        </w:rPr>
        <w:t>not</w:t>
      </w:r>
      <w:r w:rsidR="00B050CF" w:rsidRPr="00160103">
        <w:rPr>
          <w:sz w:val="24"/>
          <w:szCs w:val="24"/>
        </w:rPr>
        <w:t xml:space="preserve"> dif</w:t>
      </w:r>
      <w:r w:rsidR="003244FF">
        <w:rPr>
          <w:sz w:val="24"/>
          <w:szCs w:val="24"/>
        </w:rPr>
        <w:t xml:space="preserve">fer significantly from Acute </w:t>
      </w:r>
      <w:r w:rsidR="00B050CF" w:rsidRPr="00160103">
        <w:rPr>
          <w:sz w:val="24"/>
          <w:szCs w:val="24"/>
        </w:rPr>
        <w:t xml:space="preserve">Trusts </w:t>
      </w:r>
      <w:r w:rsidRPr="00160103">
        <w:rPr>
          <w:sz w:val="24"/>
          <w:szCs w:val="24"/>
        </w:rPr>
        <w:t xml:space="preserve">after accounting </w:t>
      </w:r>
      <w:r w:rsidRPr="00160103">
        <w:rPr>
          <w:sz w:val="24"/>
          <w:szCs w:val="24"/>
        </w:rPr>
        <w:lastRenderedPageBreak/>
        <w:t>for size, long-term care and case-mix variables</w:t>
      </w:r>
      <w:r w:rsidR="003244FF">
        <w:rPr>
          <w:sz w:val="24"/>
          <w:szCs w:val="24"/>
        </w:rPr>
        <w:t xml:space="preserve">.  As in Table </w:t>
      </w:r>
      <w:r w:rsidR="000C6FA8">
        <w:rPr>
          <w:sz w:val="24"/>
          <w:szCs w:val="24"/>
        </w:rPr>
        <w:t>3</w:t>
      </w:r>
      <w:r w:rsidR="003244FF">
        <w:rPr>
          <w:sz w:val="24"/>
          <w:szCs w:val="24"/>
        </w:rPr>
        <w:t xml:space="preserve"> for all delays, there are no significant </w:t>
      </w:r>
      <w:r w:rsidR="005471D1">
        <w:rPr>
          <w:sz w:val="24"/>
          <w:szCs w:val="24"/>
        </w:rPr>
        <w:t xml:space="preserve">differences </w:t>
      </w:r>
      <w:r w:rsidR="003244FF">
        <w:rPr>
          <w:sz w:val="24"/>
          <w:szCs w:val="24"/>
        </w:rPr>
        <w:t xml:space="preserve">between other Trust types and Acute Trusts after controlling for beds. A 1% increase in long-term care beds is associated with 0.23-0.27% fewer NHS delays, a similar result to that for all delays. </w:t>
      </w:r>
    </w:p>
    <w:p w:rsidR="003244FF" w:rsidRPr="00E15BF4" w:rsidRDefault="003244FF" w:rsidP="003244FF">
      <w:pPr>
        <w:spacing w:after="0" w:line="480" w:lineRule="auto"/>
        <w:jc w:val="center"/>
        <w:rPr>
          <w:sz w:val="24"/>
          <w:szCs w:val="24"/>
        </w:rPr>
      </w:pPr>
      <w:r>
        <w:rPr>
          <w:sz w:val="24"/>
          <w:szCs w:val="24"/>
        </w:rPr>
        <w:t xml:space="preserve">[Table </w:t>
      </w:r>
      <w:r w:rsidR="000C6FA8">
        <w:rPr>
          <w:sz w:val="24"/>
          <w:szCs w:val="24"/>
        </w:rPr>
        <w:t>4</w:t>
      </w:r>
      <w:r>
        <w:rPr>
          <w:sz w:val="24"/>
          <w:szCs w:val="24"/>
        </w:rPr>
        <w:t>]</w:t>
      </w:r>
    </w:p>
    <w:p w:rsidR="00CD639B" w:rsidRDefault="00160103" w:rsidP="00957CE4">
      <w:pPr>
        <w:spacing w:after="0" w:line="480" w:lineRule="auto"/>
        <w:jc w:val="both"/>
        <w:rPr>
          <w:sz w:val="24"/>
          <w:szCs w:val="24"/>
        </w:rPr>
      </w:pPr>
      <w:r>
        <w:rPr>
          <w:sz w:val="24"/>
          <w:szCs w:val="24"/>
        </w:rPr>
        <w:t xml:space="preserve">The effect of Foundation Trust </w:t>
      </w:r>
      <w:r w:rsidR="002909AA">
        <w:rPr>
          <w:sz w:val="24"/>
          <w:szCs w:val="24"/>
        </w:rPr>
        <w:t xml:space="preserve">status </w:t>
      </w:r>
      <w:r w:rsidR="003244FF">
        <w:rPr>
          <w:sz w:val="24"/>
          <w:szCs w:val="24"/>
        </w:rPr>
        <w:t xml:space="preserve">is again </w:t>
      </w:r>
      <w:r>
        <w:rPr>
          <w:sz w:val="24"/>
          <w:szCs w:val="24"/>
        </w:rPr>
        <w:t>negative</w:t>
      </w:r>
      <w:r w:rsidR="003244FF">
        <w:rPr>
          <w:sz w:val="24"/>
          <w:szCs w:val="24"/>
        </w:rPr>
        <w:t>,</w:t>
      </w:r>
      <w:r>
        <w:rPr>
          <w:sz w:val="24"/>
          <w:szCs w:val="24"/>
        </w:rPr>
        <w:t xml:space="preserve"> statistically significant</w:t>
      </w:r>
      <w:r w:rsidR="003244FF">
        <w:rPr>
          <w:sz w:val="24"/>
          <w:szCs w:val="24"/>
        </w:rPr>
        <w:t xml:space="preserve">, and </w:t>
      </w:r>
      <w:r>
        <w:rPr>
          <w:sz w:val="24"/>
          <w:szCs w:val="24"/>
        </w:rPr>
        <w:t>large in magnitude. Foundation Trusts incur 19-23% fewer delays after accounting for size, long-term care and case-mix in models 3 and 4.</w:t>
      </w:r>
      <w:r w:rsidR="00712E89">
        <w:rPr>
          <w:sz w:val="24"/>
          <w:szCs w:val="24"/>
        </w:rPr>
        <w:t xml:space="preserve"> </w:t>
      </w:r>
      <w:r>
        <w:rPr>
          <w:sz w:val="24"/>
          <w:szCs w:val="24"/>
        </w:rPr>
        <w:t xml:space="preserve"> </w:t>
      </w:r>
      <w:r w:rsidR="00712E89">
        <w:rPr>
          <w:sz w:val="24"/>
          <w:szCs w:val="24"/>
        </w:rPr>
        <w:t xml:space="preserve">Allowing for </w:t>
      </w:r>
      <w:r>
        <w:rPr>
          <w:sz w:val="24"/>
          <w:szCs w:val="24"/>
        </w:rPr>
        <w:t xml:space="preserve">unobserved </w:t>
      </w:r>
      <w:r w:rsidR="00625761">
        <w:rPr>
          <w:sz w:val="24"/>
          <w:szCs w:val="24"/>
        </w:rPr>
        <w:t xml:space="preserve">heterogeneity </w:t>
      </w:r>
      <w:r w:rsidR="00712E89">
        <w:rPr>
          <w:sz w:val="24"/>
          <w:szCs w:val="24"/>
        </w:rPr>
        <w:t xml:space="preserve">(Model 5) </w:t>
      </w:r>
      <w:r>
        <w:rPr>
          <w:sz w:val="24"/>
          <w:szCs w:val="24"/>
        </w:rPr>
        <w:t xml:space="preserve"> again increases the size of the effect (39%)</w:t>
      </w:r>
      <w:r w:rsidR="003244FF">
        <w:rPr>
          <w:sz w:val="24"/>
          <w:szCs w:val="24"/>
        </w:rPr>
        <w:t xml:space="preserve">. </w:t>
      </w:r>
      <w:r>
        <w:rPr>
          <w:sz w:val="24"/>
          <w:szCs w:val="24"/>
        </w:rPr>
        <w:t xml:space="preserve"> </w:t>
      </w:r>
    </w:p>
    <w:p w:rsidR="003244FF" w:rsidRDefault="003244FF" w:rsidP="00957CE4">
      <w:pPr>
        <w:spacing w:after="0" w:line="480" w:lineRule="auto"/>
        <w:jc w:val="both"/>
        <w:rPr>
          <w:sz w:val="24"/>
          <w:szCs w:val="24"/>
        </w:rPr>
      </w:pPr>
    </w:p>
    <w:p w:rsidR="007F73BE" w:rsidRPr="005E6343" w:rsidRDefault="007F73BE" w:rsidP="00957CE4">
      <w:pPr>
        <w:pStyle w:val="Heading2"/>
        <w:spacing w:before="0" w:line="480" w:lineRule="auto"/>
        <w:rPr>
          <w:color w:val="365F91" w:themeColor="accent1" w:themeShade="BF"/>
          <w:sz w:val="24"/>
        </w:rPr>
      </w:pPr>
      <w:r w:rsidRPr="005E6343">
        <w:rPr>
          <w:color w:val="365F91" w:themeColor="accent1" w:themeShade="BF"/>
          <w:sz w:val="24"/>
        </w:rPr>
        <w:t>4.4. Interaction of FT status and Trust Type</w:t>
      </w:r>
    </w:p>
    <w:p w:rsidR="007F73BE" w:rsidRDefault="003244FF" w:rsidP="003244FF">
      <w:pPr>
        <w:spacing w:after="0" w:line="480" w:lineRule="auto"/>
        <w:jc w:val="both"/>
        <w:rPr>
          <w:sz w:val="24"/>
        </w:rPr>
      </w:pPr>
      <w:r>
        <w:rPr>
          <w:sz w:val="24"/>
        </w:rPr>
        <w:t xml:space="preserve">Models 1 to 5 assume that having Foundation Trust status has the same implications for all types of Trust. </w:t>
      </w:r>
      <w:r w:rsidR="007D4EE0">
        <w:rPr>
          <w:sz w:val="24"/>
        </w:rPr>
        <w:t xml:space="preserve"> We also estimated specifications </w:t>
      </w:r>
      <w:r>
        <w:rPr>
          <w:sz w:val="24"/>
        </w:rPr>
        <w:t xml:space="preserve">similar to models 4 and 5 but with the addition of </w:t>
      </w:r>
      <w:r w:rsidR="0008442F">
        <w:rPr>
          <w:sz w:val="24"/>
        </w:rPr>
        <w:t>i</w:t>
      </w:r>
      <w:r w:rsidR="00C217E7" w:rsidRPr="00160103">
        <w:rPr>
          <w:sz w:val="24"/>
        </w:rPr>
        <w:t>nteractions between FT status and Trust type</w:t>
      </w:r>
      <w:r w:rsidR="0008442F">
        <w:rPr>
          <w:sz w:val="24"/>
        </w:rPr>
        <w:t>.</w:t>
      </w:r>
      <w:r w:rsidR="00C217E7" w:rsidRPr="00160103">
        <w:rPr>
          <w:sz w:val="24"/>
        </w:rPr>
        <w:t xml:space="preserve"> </w:t>
      </w:r>
      <w:r w:rsidR="00722E90">
        <w:rPr>
          <w:sz w:val="24"/>
        </w:rPr>
        <w:t>The r</w:t>
      </w:r>
      <w:r w:rsidR="007D4EE0">
        <w:rPr>
          <w:sz w:val="24"/>
        </w:rPr>
        <w:t xml:space="preserve">esults </w:t>
      </w:r>
      <w:r w:rsidR="00722E90">
        <w:rPr>
          <w:sz w:val="24"/>
        </w:rPr>
        <w:t xml:space="preserve">are reported in Table A in the Appendix. They </w:t>
      </w:r>
      <w:r w:rsidR="000642D2">
        <w:rPr>
          <w:sz w:val="24"/>
        </w:rPr>
        <w:t xml:space="preserve">are </w:t>
      </w:r>
      <w:r w:rsidR="007D4EE0">
        <w:rPr>
          <w:sz w:val="24"/>
        </w:rPr>
        <w:t xml:space="preserve">broadly </w:t>
      </w:r>
      <w:r w:rsidR="00722E90">
        <w:rPr>
          <w:sz w:val="24"/>
        </w:rPr>
        <w:t>in line with</w:t>
      </w:r>
      <w:r w:rsidR="007D4EE0">
        <w:rPr>
          <w:sz w:val="24"/>
        </w:rPr>
        <w:t xml:space="preserve"> those in Tables </w:t>
      </w:r>
      <w:r w:rsidR="000C6FA8">
        <w:rPr>
          <w:sz w:val="24"/>
        </w:rPr>
        <w:t>3</w:t>
      </w:r>
      <w:r w:rsidR="007D4EE0">
        <w:rPr>
          <w:sz w:val="24"/>
        </w:rPr>
        <w:t xml:space="preserve"> and </w:t>
      </w:r>
      <w:r w:rsidR="000815BA">
        <w:rPr>
          <w:sz w:val="24"/>
        </w:rPr>
        <w:t>4</w:t>
      </w:r>
      <w:r w:rsidR="007D4EE0">
        <w:rPr>
          <w:sz w:val="24"/>
        </w:rPr>
        <w:t xml:space="preserve"> and </w:t>
      </w:r>
      <w:r w:rsidR="000642D2">
        <w:rPr>
          <w:sz w:val="24"/>
        </w:rPr>
        <w:t>do</w:t>
      </w:r>
      <w:r w:rsidR="007D4EE0">
        <w:rPr>
          <w:sz w:val="24"/>
        </w:rPr>
        <w:t xml:space="preserve"> not </w:t>
      </w:r>
      <w:r w:rsidR="000642D2">
        <w:rPr>
          <w:sz w:val="24"/>
        </w:rPr>
        <w:t>suggest</w:t>
      </w:r>
      <w:r w:rsidR="007D4EE0">
        <w:rPr>
          <w:sz w:val="24"/>
        </w:rPr>
        <w:t xml:space="preserve"> that the </w:t>
      </w:r>
      <w:r w:rsidR="00C217E7" w:rsidRPr="00160103">
        <w:rPr>
          <w:sz w:val="24"/>
        </w:rPr>
        <w:t xml:space="preserve">association </w:t>
      </w:r>
      <w:r w:rsidR="0008442F">
        <w:rPr>
          <w:sz w:val="24"/>
        </w:rPr>
        <w:t xml:space="preserve">between FT status and delays varies by type of Trust. </w:t>
      </w:r>
      <w:r w:rsidR="007D4EE0">
        <w:rPr>
          <w:sz w:val="24"/>
        </w:rPr>
        <w:t xml:space="preserve"> </w:t>
      </w:r>
      <w:r w:rsidR="00722E90">
        <w:rPr>
          <w:sz w:val="24"/>
        </w:rPr>
        <w:t>T</w:t>
      </w:r>
      <w:r w:rsidR="00C217E7" w:rsidRPr="00160103">
        <w:rPr>
          <w:sz w:val="24"/>
        </w:rPr>
        <w:t>he</w:t>
      </w:r>
      <w:r w:rsidR="0008442F">
        <w:rPr>
          <w:sz w:val="24"/>
        </w:rPr>
        <w:t>re</w:t>
      </w:r>
      <w:r w:rsidR="00C217E7" w:rsidRPr="00160103">
        <w:rPr>
          <w:sz w:val="24"/>
        </w:rPr>
        <w:t xml:space="preserve"> </w:t>
      </w:r>
      <w:r w:rsidR="00722E90">
        <w:rPr>
          <w:sz w:val="24"/>
        </w:rPr>
        <w:t xml:space="preserve">is a </w:t>
      </w:r>
      <w:r w:rsidR="00C217E7" w:rsidRPr="00160103">
        <w:rPr>
          <w:sz w:val="24"/>
        </w:rPr>
        <w:t xml:space="preserve">large positive </w:t>
      </w:r>
      <w:r w:rsidR="0008442F">
        <w:rPr>
          <w:sz w:val="24"/>
        </w:rPr>
        <w:t xml:space="preserve">and highly significant coefficient on </w:t>
      </w:r>
      <w:r w:rsidR="007D4EE0">
        <w:rPr>
          <w:sz w:val="24"/>
        </w:rPr>
        <w:t>the interaction of Specialist Trust and Foundation Trust for NHS days of delay</w:t>
      </w:r>
      <w:r w:rsidR="005471D1">
        <w:rPr>
          <w:sz w:val="24"/>
        </w:rPr>
        <w:t>,</w:t>
      </w:r>
      <w:r w:rsidR="00722E90">
        <w:rPr>
          <w:sz w:val="24"/>
        </w:rPr>
        <w:t xml:space="preserve"> but</w:t>
      </w:r>
      <w:r w:rsidR="007D4EE0">
        <w:rPr>
          <w:sz w:val="24"/>
        </w:rPr>
        <w:t xml:space="preserve"> this </w:t>
      </w:r>
      <w:r w:rsidR="00722E90">
        <w:rPr>
          <w:sz w:val="24"/>
        </w:rPr>
        <w:t>i</w:t>
      </w:r>
      <w:r w:rsidR="007D4EE0">
        <w:rPr>
          <w:sz w:val="24"/>
        </w:rPr>
        <w:t xml:space="preserve">s </w:t>
      </w:r>
      <w:r w:rsidR="00C217E7" w:rsidRPr="00160103">
        <w:rPr>
          <w:sz w:val="24"/>
        </w:rPr>
        <w:t xml:space="preserve">driven by the </w:t>
      </w:r>
      <w:r w:rsidR="007D4EE0">
        <w:rPr>
          <w:sz w:val="24"/>
        </w:rPr>
        <w:t xml:space="preserve">only </w:t>
      </w:r>
      <w:r w:rsidR="00C217E7" w:rsidRPr="00160103">
        <w:rPr>
          <w:sz w:val="24"/>
        </w:rPr>
        <w:t xml:space="preserve">Specialist Trust </w:t>
      </w:r>
      <w:r w:rsidR="007D4EE0">
        <w:rPr>
          <w:sz w:val="24"/>
        </w:rPr>
        <w:t xml:space="preserve">which does not have FT status and which had a </w:t>
      </w:r>
      <w:r w:rsidR="00C217E7" w:rsidRPr="00160103">
        <w:rPr>
          <w:sz w:val="24"/>
        </w:rPr>
        <w:t xml:space="preserve">very small number of delays attributed to the NHS in the study period. </w:t>
      </w:r>
      <w:r w:rsidR="007D4EE0">
        <w:rPr>
          <w:sz w:val="24"/>
        </w:rPr>
        <w:t xml:space="preserve"> All other interactions between Foundation Trust status and Trust type </w:t>
      </w:r>
      <w:r w:rsidR="00722E90">
        <w:rPr>
          <w:sz w:val="24"/>
        </w:rPr>
        <w:t>are</w:t>
      </w:r>
      <w:r w:rsidR="007D4EE0">
        <w:rPr>
          <w:sz w:val="24"/>
        </w:rPr>
        <w:t xml:space="preserve"> statistically insignificant</w:t>
      </w:r>
      <w:r w:rsidR="00722E90">
        <w:rPr>
          <w:sz w:val="24"/>
        </w:rPr>
        <w:t xml:space="preserve"> at the 5% level</w:t>
      </w:r>
      <w:r w:rsidR="007D4EE0">
        <w:rPr>
          <w:sz w:val="24"/>
        </w:rPr>
        <w:t>.</w:t>
      </w:r>
    </w:p>
    <w:p w:rsidR="000815BA" w:rsidRPr="009E6C55" w:rsidRDefault="000815BA" w:rsidP="009E6C55">
      <w:pPr>
        <w:spacing w:after="0" w:line="480" w:lineRule="auto"/>
        <w:jc w:val="both"/>
        <w:rPr>
          <w:sz w:val="24"/>
          <w:szCs w:val="24"/>
        </w:rPr>
      </w:pPr>
    </w:p>
    <w:p w:rsidR="000815BA" w:rsidRPr="005E6343" w:rsidRDefault="000815BA" w:rsidP="005E6343">
      <w:pPr>
        <w:pStyle w:val="Heading2"/>
        <w:spacing w:line="480" w:lineRule="auto"/>
        <w:jc w:val="both"/>
        <w:rPr>
          <w:color w:val="365F91" w:themeColor="accent1" w:themeShade="BF"/>
          <w:sz w:val="24"/>
          <w:szCs w:val="24"/>
        </w:rPr>
      </w:pPr>
      <w:r w:rsidRPr="005E6343">
        <w:rPr>
          <w:color w:val="365F91" w:themeColor="accent1" w:themeShade="BF"/>
          <w:sz w:val="24"/>
          <w:szCs w:val="24"/>
        </w:rPr>
        <w:lastRenderedPageBreak/>
        <w:t xml:space="preserve">4.5. Models </w:t>
      </w:r>
      <w:r w:rsidR="00DF3A8E" w:rsidRPr="005E6343">
        <w:rPr>
          <w:color w:val="365F91" w:themeColor="accent1" w:themeShade="BF"/>
          <w:sz w:val="24"/>
          <w:szCs w:val="24"/>
        </w:rPr>
        <w:t>for Acute Trusts</w:t>
      </w:r>
    </w:p>
    <w:p w:rsidR="000815BA" w:rsidRPr="005E6343" w:rsidRDefault="00DF3A8E" w:rsidP="005E6343">
      <w:pPr>
        <w:spacing w:line="480" w:lineRule="auto"/>
        <w:jc w:val="both"/>
        <w:rPr>
          <w:sz w:val="24"/>
          <w:szCs w:val="24"/>
        </w:rPr>
      </w:pPr>
      <w:r w:rsidRPr="005E6343">
        <w:rPr>
          <w:sz w:val="24"/>
          <w:szCs w:val="24"/>
        </w:rPr>
        <w:t xml:space="preserve">The patients in Mental Health Trusts are very different from those in the three types of Acute Trust in being younger, requiring different types of treatment and in having much longer lengths of stay. Mental Health Trusts also have a smaller proportion of their revenue from prospective prices per patient treated, relying more on funding from block contracts negotiated with local health </w:t>
      </w:r>
      <w:r w:rsidR="00F910CD" w:rsidRPr="005E6343">
        <w:rPr>
          <w:sz w:val="24"/>
          <w:szCs w:val="24"/>
        </w:rPr>
        <w:t xml:space="preserve">budget holders and so may have a smaller financial incentive to discharge patients.  Clinical readiness for discharge is also less easy to define than for acute patients with physical conditions. </w:t>
      </w:r>
    </w:p>
    <w:p w:rsidR="00F9765A" w:rsidRPr="005E6343" w:rsidRDefault="00F910CD" w:rsidP="005E6343">
      <w:pPr>
        <w:spacing w:line="480" w:lineRule="auto"/>
        <w:jc w:val="both"/>
        <w:rPr>
          <w:sz w:val="24"/>
          <w:szCs w:val="24"/>
        </w:rPr>
      </w:pPr>
      <w:r w:rsidRPr="005E6343">
        <w:rPr>
          <w:sz w:val="24"/>
          <w:szCs w:val="24"/>
        </w:rPr>
        <w:t xml:space="preserve">We therefore </w:t>
      </w:r>
      <w:r w:rsidR="00712E89" w:rsidRPr="005E6343">
        <w:rPr>
          <w:sz w:val="24"/>
          <w:szCs w:val="24"/>
        </w:rPr>
        <w:t xml:space="preserve">re-estimate </w:t>
      </w:r>
      <w:r w:rsidR="00F9765A" w:rsidRPr="005E6343">
        <w:rPr>
          <w:sz w:val="24"/>
          <w:szCs w:val="24"/>
        </w:rPr>
        <w:t xml:space="preserve">models 4 and 5 </w:t>
      </w:r>
      <w:r w:rsidR="00712E89" w:rsidRPr="005E6343">
        <w:rPr>
          <w:sz w:val="24"/>
          <w:szCs w:val="24"/>
        </w:rPr>
        <w:t xml:space="preserve">after </w:t>
      </w:r>
      <w:r w:rsidR="00F9765A" w:rsidRPr="005E6343">
        <w:rPr>
          <w:sz w:val="24"/>
          <w:szCs w:val="24"/>
        </w:rPr>
        <w:t xml:space="preserve">excluding Mental Health Trusts. </w:t>
      </w:r>
      <w:r w:rsidR="00722E90">
        <w:rPr>
          <w:sz w:val="24"/>
          <w:szCs w:val="24"/>
        </w:rPr>
        <w:t>The r</w:t>
      </w:r>
      <w:r w:rsidR="00722E90" w:rsidRPr="00BA4E75">
        <w:rPr>
          <w:sz w:val="24"/>
          <w:szCs w:val="24"/>
        </w:rPr>
        <w:t xml:space="preserve">esults are in </w:t>
      </w:r>
      <w:r w:rsidR="00722E90" w:rsidRPr="003336DD">
        <w:rPr>
          <w:sz w:val="24"/>
          <w:szCs w:val="24"/>
        </w:rPr>
        <w:t>Table B</w:t>
      </w:r>
      <w:r w:rsidR="00722E90">
        <w:rPr>
          <w:sz w:val="24"/>
          <w:szCs w:val="24"/>
        </w:rPr>
        <w:t xml:space="preserve"> in the</w:t>
      </w:r>
      <w:r w:rsidR="00722E90" w:rsidRPr="00BA4E75">
        <w:rPr>
          <w:sz w:val="24"/>
          <w:szCs w:val="24"/>
        </w:rPr>
        <w:t xml:space="preserve"> Appendix</w:t>
      </w:r>
      <w:r w:rsidR="00722E90">
        <w:rPr>
          <w:sz w:val="24"/>
          <w:szCs w:val="24"/>
        </w:rPr>
        <w:t>. W</w:t>
      </w:r>
      <w:r w:rsidR="00D11CE7" w:rsidRPr="005E6343">
        <w:rPr>
          <w:sz w:val="24"/>
          <w:szCs w:val="24"/>
        </w:rPr>
        <w:t>e find</w:t>
      </w:r>
      <w:r w:rsidRPr="005E6343">
        <w:rPr>
          <w:sz w:val="24"/>
          <w:szCs w:val="24"/>
        </w:rPr>
        <w:t xml:space="preserve"> </w:t>
      </w:r>
      <w:r w:rsidR="00D11CE7" w:rsidRPr="005E6343">
        <w:rPr>
          <w:sz w:val="24"/>
          <w:szCs w:val="24"/>
        </w:rPr>
        <w:t xml:space="preserve">that the </w:t>
      </w:r>
      <w:r w:rsidR="00701DAE">
        <w:rPr>
          <w:sz w:val="24"/>
          <w:szCs w:val="24"/>
        </w:rPr>
        <w:t>effects associated to being a</w:t>
      </w:r>
      <w:r w:rsidR="00D11CE7" w:rsidRPr="005E6343">
        <w:rPr>
          <w:sz w:val="24"/>
          <w:szCs w:val="24"/>
        </w:rPr>
        <w:t xml:space="preserve"> Foundation Trust and</w:t>
      </w:r>
      <w:r w:rsidR="00701DAE">
        <w:rPr>
          <w:sz w:val="24"/>
          <w:szCs w:val="24"/>
        </w:rPr>
        <w:t xml:space="preserve"> to being located in an area with more</w:t>
      </w:r>
      <w:r w:rsidR="00D11CE7" w:rsidRPr="005E6343">
        <w:rPr>
          <w:sz w:val="24"/>
          <w:szCs w:val="24"/>
        </w:rPr>
        <w:t xml:space="preserve"> Care Home Beds have </w:t>
      </w:r>
      <w:r w:rsidR="0053051F">
        <w:rPr>
          <w:sz w:val="24"/>
          <w:szCs w:val="24"/>
        </w:rPr>
        <w:t xml:space="preserve">even </w:t>
      </w:r>
      <w:r w:rsidR="00D11CE7" w:rsidRPr="005E6343">
        <w:rPr>
          <w:sz w:val="24"/>
          <w:szCs w:val="24"/>
        </w:rPr>
        <w:t xml:space="preserve">larger </w:t>
      </w:r>
      <w:r w:rsidRPr="005E6343">
        <w:rPr>
          <w:sz w:val="24"/>
          <w:szCs w:val="24"/>
        </w:rPr>
        <w:t xml:space="preserve">negative </w:t>
      </w:r>
      <w:r w:rsidR="00D11CE7" w:rsidRPr="005E6343">
        <w:rPr>
          <w:sz w:val="24"/>
          <w:szCs w:val="24"/>
        </w:rPr>
        <w:t xml:space="preserve">coefficients than </w:t>
      </w:r>
      <w:r w:rsidRPr="005E6343">
        <w:rPr>
          <w:sz w:val="24"/>
          <w:szCs w:val="24"/>
        </w:rPr>
        <w:t xml:space="preserve">in the </w:t>
      </w:r>
      <w:r w:rsidR="00D11CE7" w:rsidRPr="005E6343">
        <w:rPr>
          <w:sz w:val="24"/>
          <w:szCs w:val="24"/>
        </w:rPr>
        <w:t xml:space="preserve">models including Mental Health Trusts. </w:t>
      </w:r>
    </w:p>
    <w:p w:rsidR="002520A7" w:rsidRPr="005E6343" w:rsidRDefault="002520A7" w:rsidP="005E6343">
      <w:pPr>
        <w:spacing w:line="480" w:lineRule="auto"/>
        <w:jc w:val="both"/>
        <w:rPr>
          <w:sz w:val="24"/>
          <w:szCs w:val="24"/>
        </w:rPr>
      </w:pPr>
    </w:p>
    <w:p w:rsidR="002520A7" w:rsidRPr="005E6343" w:rsidRDefault="002520A7" w:rsidP="005E6343">
      <w:pPr>
        <w:pStyle w:val="Heading2"/>
        <w:jc w:val="both"/>
        <w:rPr>
          <w:color w:val="365F91" w:themeColor="accent1" w:themeShade="BF"/>
          <w:sz w:val="24"/>
          <w:szCs w:val="24"/>
        </w:rPr>
      </w:pPr>
      <w:r w:rsidRPr="005E6343">
        <w:rPr>
          <w:color w:val="365F91" w:themeColor="accent1" w:themeShade="BF"/>
          <w:sz w:val="24"/>
          <w:szCs w:val="24"/>
        </w:rPr>
        <w:t>4.6. Relationship between LTC and FT Status</w:t>
      </w:r>
    </w:p>
    <w:p w:rsidR="002520A7" w:rsidRPr="005E6343" w:rsidRDefault="002520A7" w:rsidP="005E6343">
      <w:pPr>
        <w:jc w:val="both"/>
        <w:rPr>
          <w:sz w:val="24"/>
          <w:szCs w:val="24"/>
        </w:rPr>
      </w:pPr>
    </w:p>
    <w:p w:rsidR="002520A7" w:rsidRPr="002520A7" w:rsidRDefault="002520A7" w:rsidP="005E6343">
      <w:pPr>
        <w:spacing w:line="480" w:lineRule="auto"/>
        <w:jc w:val="both"/>
      </w:pPr>
      <w:r w:rsidRPr="005E6343">
        <w:rPr>
          <w:sz w:val="24"/>
          <w:szCs w:val="24"/>
        </w:rPr>
        <w:t xml:space="preserve">Another potential explanation for the lower rate of delays </w:t>
      </w:r>
      <w:r w:rsidR="007E02C7" w:rsidRPr="005E6343">
        <w:rPr>
          <w:sz w:val="24"/>
          <w:szCs w:val="24"/>
        </w:rPr>
        <w:t>in</w:t>
      </w:r>
      <w:r w:rsidR="001759C5">
        <w:rPr>
          <w:sz w:val="24"/>
          <w:szCs w:val="24"/>
        </w:rPr>
        <w:t xml:space="preserve"> </w:t>
      </w:r>
      <w:r w:rsidRPr="005E6343">
        <w:rPr>
          <w:sz w:val="24"/>
          <w:szCs w:val="24"/>
        </w:rPr>
        <w:t xml:space="preserve">Foundation Trusts is </w:t>
      </w:r>
      <w:r w:rsidR="00712E89" w:rsidRPr="005E6343">
        <w:rPr>
          <w:sz w:val="24"/>
          <w:szCs w:val="24"/>
        </w:rPr>
        <w:t>that providers of long</w:t>
      </w:r>
      <w:r w:rsidR="00487B51">
        <w:rPr>
          <w:sz w:val="24"/>
          <w:szCs w:val="24"/>
        </w:rPr>
        <w:t>-</w:t>
      </w:r>
      <w:r w:rsidR="00712E89" w:rsidRPr="005E6343">
        <w:rPr>
          <w:sz w:val="24"/>
          <w:szCs w:val="24"/>
        </w:rPr>
        <w:t xml:space="preserve">term </w:t>
      </w:r>
      <w:r w:rsidR="001759C5" w:rsidRPr="000642D2">
        <w:rPr>
          <w:sz w:val="24"/>
          <w:szCs w:val="24"/>
        </w:rPr>
        <w:t>care</w:t>
      </w:r>
      <w:r w:rsidR="00712E89" w:rsidRPr="005E6343">
        <w:rPr>
          <w:sz w:val="24"/>
          <w:szCs w:val="24"/>
        </w:rPr>
        <w:t xml:space="preserve"> may be more willing to accept </w:t>
      </w:r>
      <w:r w:rsidRPr="005E6343">
        <w:rPr>
          <w:sz w:val="24"/>
          <w:szCs w:val="24"/>
        </w:rPr>
        <w:t>patients discharged from Trusts with FT status</w:t>
      </w:r>
      <w:r w:rsidR="00712E89" w:rsidRPr="005E6343">
        <w:rPr>
          <w:sz w:val="24"/>
          <w:szCs w:val="24"/>
        </w:rPr>
        <w:t xml:space="preserve">. </w:t>
      </w:r>
      <w:r w:rsidR="007E02C7" w:rsidRPr="005E6343">
        <w:rPr>
          <w:sz w:val="24"/>
          <w:szCs w:val="24"/>
        </w:rPr>
        <w:t xml:space="preserve">Care homes may believe that </w:t>
      </w:r>
      <w:r w:rsidR="0084586E" w:rsidRPr="005E6343">
        <w:rPr>
          <w:sz w:val="24"/>
          <w:szCs w:val="24"/>
        </w:rPr>
        <w:t xml:space="preserve">FTs provide better care so that </w:t>
      </w:r>
      <w:r w:rsidRPr="005E6343">
        <w:rPr>
          <w:sz w:val="24"/>
          <w:szCs w:val="24"/>
        </w:rPr>
        <w:t xml:space="preserve">patients discharged </w:t>
      </w:r>
      <w:r w:rsidR="00533B04">
        <w:rPr>
          <w:sz w:val="24"/>
          <w:szCs w:val="24"/>
        </w:rPr>
        <w:t xml:space="preserve">by </w:t>
      </w:r>
      <w:r w:rsidR="0084586E" w:rsidRPr="005E6343">
        <w:rPr>
          <w:sz w:val="24"/>
          <w:szCs w:val="24"/>
        </w:rPr>
        <w:t xml:space="preserve">an FT are healthier </w:t>
      </w:r>
      <w:r w:rsidR="00DD4FDE" w:rsidRPr="005E6343">
        <w:rPr>
          <w:sz w:val="24"/>
          <w:szCs w:val="24"/>
        </w:rPr>
        <w:t xml:space="preserve">and so less costly to manage.  If FT patients have a lower risk of readmissions or death this will also reduce the transaction costs associated with refilling places in the care home.   This effect on delays arising from decisions by care homes will be stronger when care homes operate in markets with more than one hospital.   We therefore add to model 5 an indicator for the hospital being located in a Local Authority </w:t>
      </w:r>
      <w:r w:rsidR="00DD4FDE" w:rsidRPr="005E6343">
        <w:rPr>
          <w:sz w:val="24"/>
          <w:szCs w:val="24"/>
        </w:rPr>
        <w:lastRenderedPageBreak/>
        <w:t xml:space="preserve">with at least one other hospital and its interaction with FT status. </w:t>
      </w:r>
      <w:r w:rsidR="00533B04">
        <w:rPr>
          <w:sz w:val="24"/>
          <w:szCs w:val="24"/>
        </w:rPr>
        <w:t>The results are reported in Table C in the Appendix.</w:t>
      </w:r>
      <w:r w:rsidR="00DD4FDE" w:rsidRPr="005E6343">
        <w:rPr>
          <w:sz w:val="24"/>
          <w:szCs w:val="24"/>
        </w:rPr>
        <w:t xml:space="preserve">  Neither variable is significant though the interaction of the competition indicator and FT status is indeed negative.   </w:t>
      </w:r>
    </w:p>
    <w:p w:rsidR="00B52E6B" w:rsidRPr="000815BA" w:rsidRDefault="00B52E6B" w:rsidP="00B52E6B"/>
    <w:p w:rsidR="00CD639B" w:rsidRPr="005E6343" w:rsidRDefault="00CD639B" w:rsidP="00957CE4">
      <w:pPr>
        <w:pStyle w:val="Heading1"/>
        <w:spacing w:before="0" w:line="480" w:lineRule="auto"/>
      </w:pPr>
      <w:r w:rsidRPr="005E6343">
        <w:t>5. Discussion</w:t>
      </w:r>
    </w:p>
    <w:p w:rsidR="000E5B0D" w:rsidRDefault="000E5B0D" w:rsidP="000E5B0D">
      <w:pPr>
        <w:spacing w:after="0" w:line="480" w:lineRule="auto"/>
        <w:jc w:val="both"/>
        <w:rPr>
          <w:sz w:val="24"/>
          <w:szCs w:val="24"/>
        </w:rPr>
      </w:pPr>
      <w:r w:rsidRPr="003D54D9">
        <w:rPr>
          <w:sz w:val="24"/>
          <w:szCs w:val="24"/>
        </w:rPr>
        <w:t>The size of Trust</w:t>
      </w:r>
      <w:r>
        <w:rPr>
          <w:sz w:val="24"/>
          <w:szCs w:val="24"/>
        </w:rPr>
        <w:t xml:space="preserve"> is a key determinant of </w:t>
      </w:r>
      <w:r w:rsidR="00BA0E9E">
        <w:rPr>
          <w:sz w:val="24"/>
          <w:szCs w:val="24"/>
        </w:rPr>
        <w:t xml:space="preserve">bed days lost due to delayed discharge </w:t>
      </w:r>
      <w:r>
        <w:rPr>
          <w:sz w:val="24"/>
          <w:szCs w:val="24"/>
        </w:rPr>
        <w:t xml:space="preserve">and Trust type is strongly correlated with size. Specialist Trusts, and to a lesser extent Mental Health Trusts, tend to be smaller than Acute Trusts and Teaching Trusts to be larger. When we do not standardise for beds, Specialist hospitals have </w:t>
      </w:r>
      <w:r w:rsidR="00BA0E9E">
        <w:rPr>
          <w:sz w:val="24"/>
          <w:szCs w:val="24"/>
        </w:rPr>
        <w:t xml:space="preserve">about half the </w:t>
      </w:r>
      <w:r>
        <w:rPr>
          <w:sz w:val="24"/>
          <w:szCs w:val="24"/>
        </w:rPr>
        <w:t xml:space="preserve">delays </w:t>
      </w:r>
      <w:r w:rsidR="00BA0E9E">
        <w:rPr>
          <w:sz w:val="24"/>
          <w:szCs w:val="24"/>
        </w:rPr>
        <w:t xml:space="preserve">of </w:t>
      </w:r>
      <w:r>
        <w:rPr>
          <w:sz w:val="24"/>
          <w:szCs w:val="24"/>
        </w:rPr>
        <w:t xml:space="preserve">Acute Trusts, and Teaching hospitals have 50% more delays. </w:t>
      </w:r>
    </w:p>
    <w:p w:rsidR="000E5B0D" w:rsidRDefault="000E5B0D" w:rsidP="000E5B0D">
      <w:pPr>
        <w:spacing w:after="0" w:line="480" w:lineRule="auto"/>
        <w:jc w:val="both"/>
        <w:rPr>
          <w:sz w:val="24"/>
          <w:szCs w:val="24"/>
        </w:rPr>
      </w:pPr>
    </w:p>
    <w:p w:rsidR="000E5B0D" w:rsidRDefault="000E5B0D" w:rsidP="000E5B0D">
      <w:pPr>
        <w:spacing w:after="0" w:line="480" w:lineRule="auto"/>
        <w:jc w:val="both"/>
        <w:rPr>
          <w:sz w:val="24"/>
          <w:szCs w:val="24"/>
        </w:rPr>
      </w:pPr>
      <w:r>
        <w:rPr>
          <w:sz w:val="24"/>
          <w:szCs w:val="24"/>
        </w:rPr>
        <w:t xml:space="preserve">We generally do not find evidence of scale economies or of a non-linear relationship between delays and size, as captured by categories of number of beds. Hospitals with a large number of beds tend to have proportionally fewer overall delays (and higher NHS delays) but the differences are not statistically significant.  </w:t>
      </w:r>
    </w:p>
    <w:p w:rsidR="000E5B0D" w:rsidRDefault="000E5B0D" w:rsidP="00957CE4">
      <w:pPr>
        <w:spacing w:after="0" w:line="480" w:lineRule="auto"/>
        <w:jc w:val="both"/>
        <w:rPr>
          <w:sz w:val="24"/>
          <w:szCs w:val="24"/>
        </w:rPr>
      </w:pPr>
    </w:p>
    <w:p w:rsidR="00CD639B" w:rsidRDefault="00524CC4" w:rsidP="00890A2F">
      <w:pPr>
        <w:spacing w:after="0" w:line="480" w:lineRule="auto"/>
        <w:jc w:val="both"/>
        <w:rPr>
          <w:sz w:val="24"/>
          <w:szCs w:val="24"/>
        </w:rPr>
      </w:pPr>
      <w:r>
        <w:rPr>
          <w:sz w:val="24"/>
          <w:szCs w:val="24"/>
        </w:rPr>
        <w:t xml:space="preserve">Hospital Trusts which have </w:t>
      </w:r>
      <w:r w:rsidR="00CD639B">
        <w:rPr>
          <w:sz w:val="24"/>
          <w:szCs w:val="24"/>
        </w:rPr>
        <w:t>Foundation Trust</w:t>
      </w:r>
      <w:r w:rsidR="00CD639B" w:rsidRPr="003D54D9">
        <w:rPr>
          <w:sz w:val="24"/>
          <w:szCs w:val="24"/>
        </w:rPr>
        <w:t xml:space="preserve"> </w:t>
      </w:r>
      <w:r w:rsidR="00CD639B">
        <w:rPr>
          <w:sz w:val="24"/>
          <w:szCs w:val="24"/>
        </w:rPr>
        <w:t xml:space="preserve">status </w:t>
      </w:r>
      <w:r>
        <w:rPr>
          <w:sz w:val="24"/>
          <w:szCs w:val="24"/>
        </w:rPr>
        <w:t xml:space="preserve">have 15% to 30% </w:t>
      </w:r>
      <w:r w:rsidR="00DA74F5">
        <w:rPr>
          <w:sz w:val="24"/>
          <w:szCs w:val="24"/>
        </w:rPr>
        <w:t>fewer bed-days lost due to delay</w:t>
      </w:r>
      <w:r>
        <w:rPr>
          <w:sz w:val="24"/>
          <w:szCs w:val="24"/>
        </w:rPr>
        <w:t>ed discharge of patients</w:t>
      </w:r>
      <w:r w:rsidR="00CD639B" w:rsidRPr="003D54D9">
        <w:rPr>
          <w:sz w:val="24"/>
          <w:szCs w:val="24"/>
        </w:rPr>
        <w:t xml:space="preserve">. </w:t>
      </w:r>
      <w:r>
        <w:rPr>
          <w:sz w:val="24"/>
          <w:szCs w:val="24"/>
        </w:rPr>
        <w:t xml:space="preserve">  </w:t>
      </w:r>
      <w:r w:rsidR="00890A2F">
        <w:rPr>
          <w:sz w:val="24"/>
          <w:szCs w:val="24"/>
        </w:rPr>
        <w:t xml:space="preserve">Our finding that FTs have better performance than Trusts without </w:t>
      </w:r>
      <w:r w:rsidR="00BA1759">
        <w:rPr>
          <w:sz w:val="24"/>
          <w:szCs w:val="24"/>
        </w:rPr>
        <w:t xml:space="preserve">FT status </w:t>
      </w:r>
      <w:r w:rsidR="00890A2F">
        <w:rPr>
          <w:sz w:val="24"/>
          <w:szCs w:val="24"/>
        </w:rPr>
        <w:t xml:space="preserve">is in line with other studies. For example, </w:t>
      </w:r>
      <w:r w:rsidR="00890A2F" w:rsidRPr="003D54D9">
        <w:rPr>
          <w:sz w:val="24"/>
          <w:szCs w:val="24"/>
        </w:rPr>
        <w:t xml:space="preserve">Verzulli et al. (2011) </w:t>
      </w:r>
      <w:r w:rsidR="00890A2F">
        <w:rPr>
          <w:sz w:val="24"/>
          <w:szCs w:val="24"/>
        </w:rPr>
        <w:t>found that FTs</w:t>
      </w:r>
      <w:r w:rsidR="00890A2F" w:rsidRPr="003D54D9">
        <w:rPr>
          <w:sz w:val="24"/>
          <w:szCs w:val="24"/>
        </w:rPr>
        <w:t xml:space="preserve"> </w:t>
      </w:r>
      <w:r w:rsidR="00890A2F">
        <w:rPr>
          <w:sz w:val="24"/>
          <w:szCs w:val="24"/>
        </w:rPr>
        <w:t xml:space="preserve">have </w:t>
      </w:r>
      <w:r w:rsidR="00890A2F" w:rsidRPr="003D54D9">
        <w:rPr>
          <w:sz w:val="24"/>
          <w:szCs w:val="24"/>
        </w:rPr>
        <w:t xml:space="preserve">lower </w:t>
      </w:r>
      <w:r w:rsidR="00890A2F">
        <w:rPr>
          <w:sz w:val="24"/>
          <w:szCs w:val="24"/>
        </w:rPr>
        <w:t xml:space="preserve">hospital infection rates. </w:t>
      </w:r>
      <w:r w:rsidR="00D23462">
        <w:rPr>
          <w:sz w:val="24"/>
          <w:szCs w:val="24"/>
        </w:rPr>
        <w:t>All NHS hospital Trusts are not</w:t>
      </w:r>
      <w:r w:rsidR="004F4470">
        <w:rPr>
          <w:sz w:val="24"/>
          <w:szCs w:val="24"/>
        </w:rPr>
        <w:t>-</w:t>
      </w:r>
      <w:r w:rsidR="00D23462">
        <w:rPr>
          <w:sz w:val="24"/>
          <w:szCs w:val="24"/>
        </w:rPr>
        <w:t>for</w:t>
      </w:r>
      <w:r w:rsidR="004F4470">
        <w:rPr>
          <w:sz w:val="24"/>
          <w:szCs w:val="24"/>
        </w:rPr>
        <w:t>-</w:t>
      </w:r>
      <w:r w:rsidR="00D23462">
        <w:rPr>
          <w:sz w:val="24"/>
          <w:szCs w:val="24"/>
        </w:rPr>
        <w:t xml:space="preserve">profit public sector organisations but those which have Foundation Trust status </w:t>
      </w:r>
      <w:r w:rsidR="005471D1">
        <w:rPr>
          <w:sz w:val="24"/>
          <w:szCs w:val="24"/>
        </w:rPr>
        <w:t>have</w:t>
      </w:r>
      <w:r w:rsidR="00D23462">
        <w:rPr>
          <w:sz w:val="24"/>
          <w:szCs w:val="24"/>
        </w:rPr>
        <w:t xml:space="preserve"> greater freedom from central control.  In particular</w:t>
      </w:r>
      <w:r w:rsidR="005471D1">
        <w:rPr>
          <w:sz w:val="24"/>
          <w:szCs w:val="24"/>
        </w:rPr>
        <w:t>,</w:t>
      </w:r>
      <w:r w:rsidR="00D23462">
        <w:rPr>
          <w:sz w:val="24"/>
          <w:szCs w:val="24"/>
        </w:rPr>
        <w:t xml:space="preserve"> they do not have to break even each year, can borrow to finance investment, have fewer limits on the amount of income they can </w:t>
      </w:r>
      <w:r w:rsidR="00D23462">
        <w:rPr>
          <w:sz w:val="24"/>
          <w:szCs w:val="24"/>
        </w:rPr>
        <w:lastRenderedPageBreak/>
        <w:t xml:space="preserve">generate from treating private patients, and are not constrained by national agreements on pay and conditions. </w:t>
      </w:r>
      <w:r w:rsidR="004F4470">
        <w:rPr>
          <w:sz w:val="24"/>
          <w:szCs w:val="24"/>
        </w:rPr>
        <w:t xml:space="preserve">Their ability to retain more easily financial surpluses implies that they have stronger incentives to contain costs and possibly to compete more aggressively to attract demand. The greater autonomy also implies that if FTs end up with a surplus they can reinvest it </w:t>
      </w:r>
      <w:r w:rsidR="009E6C55">
        <w:rPr>
          <w:sz w:val="24"/>
          <w:szCs w:val="24"/>
        </w:rPr>
        <w:t>in better systems</w:t>
      </w:r>
      <w:r w:rsidR="004F4470">
        <w:rPr>
          <w:sz w:val="24"/>
          <w:szCs w:val="24"/>
        </w:rPr>
        <w:t>, including IT systems,</w:t>
      </w:r>
      <w:r w:rsidR="009E6C55">
        <w:rPr>
          <w:sz w:val="24"/>
          <w:szCs w:val="24"/>
        </w:rPr>
        <w:t xml:space="preserve"> for handling discharges</w:t>
      </w:r>
      <w:r w:rsidR="004F4470">
        <w:rPr>
          <w:sz w:val="24"/>
          <w:szCs w:val="24"/>
        </w:rPr>
        <w:t xml:space="preserve"> (i.e. better management which </w:t>
      </w:r>
      <w:r w:rsidR="004E1048">
        <w:rPr>
          <w:sz w:val="24"/>
          <w:szCs w:val="24"/>
        </w:rPr>
        <w:t>can</w:t>
      </w:r>
      <w:r w:rsidR="004F4470">
        <w:rPr>
          <w:sz w:val="24"/>
          <w:szCs w:val="24"/>
        </w:rPr>
        <w:t xml:space="preserve"> keep cost</w:t>
      </w:r>
      <w:r w:rsidR="004E1048">
        <w:rPr>
          <w:sz w:val="24"/>
          <w:szCs w:val="24"/>
        </w:rPr>
        <w:t>s</w:t>
      </w:r>
      <w:r w:rsidR="004F4470">
        <w:rPr>
          <w:sz w:val="24"/>
          <w:szCs w:val="24"/>
        </w:rPr>
        <w:t xml:space="preserve"> down)</w:t>
      </w:r>
      <w:r w:rsidR="009E6C55">
        <w:rPr>
          <w:sz w:val="24"/>
          <w:szCs w:val="24"/>
        </w:rPr>
        <w:t xml:space="preserve"> and </w:t>
      </w:r>
      <w:r w:rsidR="004E1048">
        <w:rPr>
          <w:sz w:val="24"/>
          <w:szCs w:val="24"/>
        </w:rPr>
        <w:t xml:space="preserve">use it to </w:t>
      </w:r>
      <w:r w:rsidR="009E6C55">
        <w:rPr>
          <w:sz w:val="24"/>
          <w:szCs w:val="24"/>
        </w:rPr>
        <w:t xml:space="preserve">hire </w:t>
      </w:r>
      <w:r w:rsidR="004F4470">
        <w:rPr>
          <w:sz w:val="24"/>
          <w:szCs w:val="24"/>
        </w:rPr>
        <w:t xml:space="preserve">more trained and qualified staff to improve </w:t>
      </w:r>
      <w:r w:rsidR="009E6C55">
        <w:rPr>
          <w:sz w:val="24"/>
          <w:szCs w:val="24"/>
        </w:rPr>
        <w:t xml:space="preserve">quality. </w:t>
      </w:r>
      <w:r w:rsidR="00D23462">
        <w:rPr>
          <w:sz w:val="24"/>
          <w:szCs w:val="24"/>
        </w:rPr>
        <w:t xml:space="preserve"> NHS hospital Trusts of all types (Acute, Specialist, Teaching, Mental Health) can apply to become Foundation Trusts but must </w:t>
      </w:r>
      <w:r w:rsidR="00890A2F">
        <w:rPr>
          <w:sz w:val="24"/>
          <w:szCs w:val="24"/>
        </w:rPr>
        <w:t>demonstrate that they meet quality, management, and financial requirements</w:t>
      </w:r>
      <w:r w:rsidR="00D23462">
        <w:rPr>
          <w:sz w:val="24"/>
          <w:szCs w:val="24"/>
        </w:rPr>
        <w:t>.</w:t>
      </w:r>
      <w:r w:rsidR="00D23462">
        <w:rPr>
          <w:rStyle w:val="FootnoteReference"/>
          <w:sz w:val="24"/>
          <w:szCs w:val="24"/>
        </w:rPr>
        <w:footnoteReference w:id="8"/>
      </w:r>
      <w:r w:rsidR="00D23462">
        <w:rPr>
          <w:sz w:val="24"/>
          <w:szCs w:val="24"/>
        </w:rPr>
        <w:t xml:space="preserve"> </w:t>
      </w:r>
      <w:r w:rsidR="00890A2F">
        <w:rPr>
          <w:sz w:val="24"/>
          <w:szCs w:val="24"/>
        </w:rPr>
        <w:t xml:space="preserve"> Thus our finding of fewer delays in Foundation Trusts may be because Trusts which are successful in applying for Foundation Trust status are inherently higher quality or because their governance structure allows them greater autonomy</w:t>
      </w:r>
      <w:r w:rsidR="009E6C55">
        <w:rPr>
          <w:sz w:val="24"/>
          <w:szCs w:val="24"/>
        </w:rPr>
        <w:t xml:space="preserve"> which permits them to achieve higher quality and thus fewer delays</w:t>
      </w:r>
      <w:r w:rsidR="00890A2F">
        <w:rPr>
          <w:sz w:val="24"/>
          <w:szCs w:val="24"/>
        </w:rPr>
        <w:t>.  Because only three hospital Trusts became Foundation Trusts in the three years covered by our data</w:t>
      </w:r>
      <w:r w:rsidR="00234D9C">
        <w:rPr>
          <w:sz w:val="24"/>
          <w:szCs w:val="24"/>
        </w:rPr>
        <w:t>,</w:t>
      </w:r>
      <w:r w:rsidR="00890A2F">
        <w:rPr>
          <w:sz w:val="24"/>
          <w:szCs w:val="24"/>
        </w:rPr>
        <w:t xml:space="preserve"> we cannot distinguish between these explanations.  </w:t>
      </w:r>
      <w:r w:rsidR="00CD639B" w:rsidRPr="003D54D9">
        <w:rPr>
          <w:sz w:val="24"/>
          <w:szCs w:val="24"/>
        </w:rPr>
        <w:t xml:space="preserve"> </w:t>
      </w:r>
    </w:p>
    <w:p w:rsidR="00524CC4" w:rsidRDefault="00524CC4" w:rsidP="00957CE4">
      <w:pPr>
        <w:spacing w:after="0" w:line="480" w:lineRule="auto"/>
        <w:jc w:val="both"/>
        <w:rPr>
          <w:sz w:val="24"/>
          <w:szCs w:val="24"/>
        </w:rPr>
      </w:pPr>
    </w:p>
    <w:p w:rsidR="00957CE4" w:rsidRDefault="00890A2F" w:rsidP="00957CE4">
      <w:pPr>
        <w:spacing w:after="0" w:line="480" w:lineRule="auto"/>
        <w:jc w:val="both"/>
        <w:rPr>
          <w:sz w:val="24"/>
          <w:szCs w:val="24"/>
        </w:rPr>
      </w:pPr>
      <w:r>
        <w:rPr>
          <w:sz w:val="24"/>
          <w:szCs w:val="24"/>
        </w:rPr>
        <w:t>Despite this, p</w:t>
      </w:r>
      <w:r w:rsidR="00A83250">
        <w:rPr>
          <w:sz w:val="24"/>
          <w:szCs w:val="24"/>
        </w:rPr>
        <w:t xml:space="preserve">olicymakers may </w:t>
      </w:r>
      <w:r>
        <w:rPr>
          <w:sz w:val="24"/>
          <w:szCs w:val="24"/>
        </w:rPr>
        <w:t xml:space="preserve">be able to use </w:t>
      </w:r>
      <w:r w:rsidR="00CD639B">
        <w:rPr>
          <w:sz w:val="24"/>
          <w:szCs w:val="24"/>
        </w:rPr>
        <w:t>Foundation Trusts as examples of good practice</w:t>
      </w:r>
      <w:r w:rsidR="00AB0E2D">
        <w:rPr>
          <w:sz w:val="24"/>
          <w:szCs w:val="24"/>
        </w:rPr>
        <w:t xml:space="preserve"> which can be </w:t>
      </w:r>
      <w:r w:rsidR="00A83250">
        <w:rPr>
          <w:sz w:val="24"/>
          <w:szCs w:val="24"/>
        </w:rPr>
        <w:t xml:space="preserve">identified </w:t>
      </w:r>
      <w:r w:rsidR="00CD639B">
        <w:rPr>
          <w:sz w:val="24"/>
          <w:szCs w:val="24"/>
        </w:rPr>
        <w:t>by on site investigation</w:t>
      </w:r>
      <w:r w:rsidR="00DA74F5">
        <w:rPr>
          <w:sz w:val="24"/>
          <w:szCs w:val="24"/>
        </w:rPr>
        <w:t>s</w:t>
      </w:r>
      <w:r w:rsidR="00CD639B">
        <w:rPr>
          <w:sz w:val="24"/>
          <w:szCs w:val="24"/>
        </w:rPr>
        <w:t xml:space="preserve"> of FTs which have a lower than expected </w:t>
      </w:r>
      <w:r w:rsidR="00234D9C">
        <w:rPr>
          <w:sz w:val="24"/>
          <w:szCs w:val="24"/>
        </w:rPr>
        <w:t xml:space="preserve">number of </w:t>
      </w:r>
      <w:r w:rsidR="00CD639B">
        <w:rPr>
          <w:sz w:val="24"/>
          <w:szCs w:val="24"/>
        </w:rPr>
        <w:t>delays</w:t>
      </w:r>
      <w:r w:rsidR="00AB0E2D">
        <w:rPr>
          <w:sz w:val="24"/>
          <w:szCs w:val="24"/>
        </w:rPr>
        <w:t>.  The fact that the association between FT status and delays was similar across all hospital types suggest</w:t>
      </w:r>
      <w:r w:rsidR="00234D9C">
        <w:rPr>
          <w:sz w:val="24"/>
          <w:szCs w:val="24"/>
        </w:rPr>
        <w:t>s</w:t>
      </w:r>
      <w:r w:rsidR="00AB0E2D">
        <w:rPr>
          <w:sz w:val="24"/>
          <w:szCs w:val="24"/>
        </w:rPr>
        <w:t xml:space="preserve"> that lessons from further investigation of FTs may hold for all types of Trust.</w:t>
      </w:r>
    </w:p>
    <w:p w:rsidR="00AB0E2D" w:rsidRDefault="00AB0E2D" w:rsidP="00957CE4">
      <w:pPr>
        <w:spacing w:after="0" w:line="480" w:lineRule="auto"/>
        <w:jc w:val="both"/>
        <w:rPr>
          <w:sz w:val="24"/>
          <w:szCs w:val="24"/>
        </w:rPr>
      </w:pPr>
    </w:p>
    <w:p w:rsidR="00CD639B" w:rsidRDefault="00CD639B" w:rsidP="00957CE4">
      <w:pPr>
        <w:spacing w:after="0" w:line="480" w:lineRule="auto"/>
        <w:jc w:val="both"/>
        <w:rPr>
          <w:sz w:val="24"/>
          <w:szCs w:val="24"/>
        </w:rPr>
      </w:pPr>
      <w:r>
        <w:rPr>
          <w:sz w:val="24"/>
          <w:szCs w:val="24"/>
        </w:rPr>
        <w:t xml:space="preserve">After accounting for size, </w:t>
      </w:r>
      <w:r w:rsidR="00477745">
        <w:rPr>
          <w:sz w:val="24"/>
          <w:szCs w:val="24"/>
        </w:rPr>
        <w:t xml:space="preserve">patient characteristics and </w:t>
      </w:r>
      <w:r>
        <w:rPr>
          <w:sz w:val="24"/>
          <w:szCs w:val="24"/>
        </w:rPr>
        <w:t xml:space="preserve">long-term care </w:t>
      </w:r>
      <w:r w:rsidR="00477745">
        <w:rPr>
          <w:sz w:val="24"/>
          <w:szCs w:val="24"/>
        </w:rPr>
        <w:t>availability</w:t>
      </w:r>
      <w:r>
        <w:rPr>
          <w:sz w:val="24"/>
          <w:szCs w:val="24"/>
        </w:rPr>
        <w:t xml:space="preserve">, we find </w:t>
      </w:r>
      <w:r w:rsidR="00AB0E2D">
        <w:rPr>
          <w:sz w:val="24"/>
          <w:szCs w:val="24"/>
        </w:rPr>
        <w:t xml:space="preserve">that although </w:t>
      </w:r>
      <w:r>
        <w:rPr>
          <w:sz w:val="24"/>
          <w:szCs w:val="24"/>
        </w:rPr>
        <w:t>Mental Health Trusts</w:t>
      </w:r>
      <w:r w:rsidR="00477745">
        <w:rPr>
          <w:sz w:val="24"/>
          <w:szCs w:val="24"/>
        </w:rPr>
        <w:t xml:space="preserve"> </w:t>
      </w:r>
      <w:r w:rsidR="00BA0E9E">
        <w:rPr>
          <w:sz w:val="24"/>
          <w:szCs w:val="24"/>
        </w:rPr>
        <w:t xml:space="preserve">have similar </w:t>
      </w:r>
      <w:r>
        <w:rPr>
          <w:sz w:val="24"/>
          <w:szCs w:val="24"/>
        </w:rPr>
        <w:t>delays</w:t>
      </w:r>
      <w:r w:rsidR="00AB0E2D">
        <w:rPr>
          <w:sz w:val="24"/>
          <w:szCs w:val="24"/>
        </w:rPr>
        <w:t xml:space="preserve"> attributed to the </w:t>
      </w:r>
      <w:r w:rsidR="00BA0E9E">
        <w:rPr>
          <w:sz w:val="24"/>
          <w:szCs w:val="24"/>
        </w:rPr>
        <w:t>NHS</w:t>
      </w:r>
      <w:r w:rsidR="00AB0E2D">
        <w:rPr>
          <w:sz w:val="24"/>
          <w:szCs w:val="24"/>
        </w:rPr>
        <w:t xml:space="preserve"> as </w:t>
      </w:r>
      <w:r>
        <w:rPr>
          <w:sz w:val="24"/>
          <w:szCs w:val="24"/>
        </w:rPr>
        <w:t>Acute Trusts</w:t>
      </w:r>
      <w:r w:rsidR="00234D9C">
        <w:rPr>
          <w:sz w:val="24"/>
          <w:szCs w:val="24"/>
        </w:rPr>
        <w:t>,</w:t>
      </w:r>
      <w:r w:rsidR="00AB0E2D">
        <w:rPr>
          <w:sz w:val="24"/>
          <w:szCs w:val="24"/>
        </w:rPr>
        <w:t xml:space="preserve"> </w:t>
      </w:r>
      <w:r w:rsidR="00AB0E2D">
        <w:rPr>
          <w:sz w:val="24"/>
          <w:szCs w:val="24"/>
        </w:rPr>
        <w:lastRenderedPageBreak/>
        <w:t xml:space="preserve">they incur more delays in total. </w:t>
      </w:r>
      <w:r>
        <w:rPr>
          <w:sz w:val="24"/>
          <w:szCs w:val="24"/>
        </w:rPr>
        <w:t xml:space="preserve">This suggests that </w:t>
      </w:r>
      <w:r w:rsidR="00AB0E2D">
        <w:rPr>
          <w:sz w:val="24"/>
          <w:szCs w:val="24"/>
        </w:rPr>
        <w:t xml:space="preserve">delays in </w:t>
      </w:r>
      <w:r>
        <w:rPr>
          <w:sz w:val="24"/>
          <w:szCs w:val="24"/>
        </w:rPr>
        <w:t xml:space="preserve">Mental Health </w:t>
      </w:r>
      <w:r w:rsidR="00AB0E2D">
        <w:rPr>
          <w:sz w:val="24"/>
          <w:szCs w:val="24"/>
        </w:rPr>
        <w:t xml:space="preserve">Trusts are </w:t>
      </w:r>
      <w:r w:rsidR="00BA0E9E">
        <w:rPr>
          <w:sz w:val="24"/>
          <w:szCs w:val="24"/>
        </w:rPr>
        <w:t xml:space="preserve">more likely to be </w:t>
      </w:r>
      <w:r w:rsidR="00AB0E2D">
        <w:rPr>
          <w:sz w:val="24"/>
          <w:szCs w:val="24"/>
        </w:rPr>
        <w:t xml:space="preserve">due </w:t>
      </w:r>
      <w:r>
        <w:rPr>
          <w:sz w:val="24"/>
          <w:szCs w:val="24"/>
        </w:rPr>
        <w:t xml:space="preserve">to </w:t>
      </w:r>
      <w:r w:rsidR="00AB0E2D">
        <w:rPr>
          <w:sz w:val="24"/>
          <w:szCs w:val="24"/>
        </w:rPr>
        <w:t>non</w:t>
      </w:r>
      <w:r w:rsidR="004B21A0">
        <w:rPr>
          <w:sz w:val="24"/>
          <w:szCs w:val="24"/>
        </w:rPr>
        <w:t>-</w:t>
      </w:r>
      <w:r w:rsidR="00AB0E2D">
        <w:rPr>
          <w:sz w:val="24"/>
          <w:szCs w:val="24"/>
        </w:rPr>
        <w:t xml:space="preserve">NHS </w:t>
      </w:r>
      <w:r>
        <w:rPr>
          <w:sz w:val="24"/>
          <w:szCs w:val="24"/>
        </w:rPr>
        <w:t>social care factors.</w:t>
      </w:r>
      <w:r w:rsidR="00DA74F5">
        <w:rPr>
          <w:sz w:val="24"/>
          <w:szCs w:val="24"/>
        </w:rPr>
        <w:t xml:space="preserve"> </w:t>
      </w:r>
      <w:r w:rsidR="00AB0E2D">
        <w:rPr>
          <w:sz w:val="24"/>
          <w:szCs w:val="24"/>
        </w:rPr>
        <w:t xml:space="preserve"> Patients in Mental H</w:t>
      </w:r>
      <w:r>
        <w:rPr>
          <w:sz w:val="24"/>
          <w:szCs w:val="24"/>
        </w:rPr>
        <w:t xml:space="preserve">ealth </w:t>
      </w:r>
      <w:r w:rsidR="00AB0E2D">
        <w:rPr>
          <w:sz w:val="24"/>
          <w:szCs w:val="24"/>
        </w:rPr>
        <w:t xml:space="preserve">Trusts are more likely to require </w:t>
      </w:r>
      <w:r w:rsidR="000E5B0D">
        <w:rPr>
          <w:sz w:val="24"/>
          <w:szCs w:val="24"/>
        </w:rPr>
        <w:t xml:space="preserve">more </w:t>
      </w:r>
      <w:r w:rsidR="00AB0E2D">
        <w:rPr>
          <w:sz w:val="24"/>
          <w:szCs w:val="24"/>
        </w:rPr>
        <w:t>complex post discharge social and community care</w:t>
      </w:r>
      <w:r w:rsidR="00234D9C">
        <w:rPr>
          <w:sz w:val="24"/>
          <w:szCs w:val="24"/>
        </w:rPr>
        <w:t>,</w:t>
      </w:r>
      <w:r w:rsidR="00AB0E2D">
        <w:rPr>
          <w:sz w:val="24"/>
          <w:szCs w:val="24"/>
        </w:rPr>
        <w:t xml:space="preserve"> </w:t>
      </w:r>
      <w:r w:rsidR="000E5B0D">
        <w:rPr>
          <w:sz w:val="24"/>
          <w:szCs w:val="24"/>
        </w:rPr>
        <w:t xml:space="preserve">which </w:t>
      </w:r>
      <w:r w:rsidRPr="003D54D9">
        <w:rPr>
          <w:sz w:val="24"/>
          <w:szCs w:val="24"/>
        </w:rPr>
        <w:t xml:space="preserve">may take </w:t>
      </w:r>
      <w:r>
        <w:rPr>
          <w:sz w:val="24"/>
          <w:szCs w:val="24"/>
        </w:rPr>
        <w:t xml:space="preserve">longer to organise. An increase in available long-term </w:t>
      </w:r>
      <w:r w:rsidR="00BA0E9E">
        <w:rPr>
          <w:sz w:val="24"/>
          <w:szCs w:val="24"/>
        </w:rPr>
        <w:t xml:space="preserve">and community </w:t>
      </w:r>
      <w:r>
        <w:rPr>
          <w:sz w:val="24"/>
          <w:szCs w:val="24"/>
        </w:rPr>
        <w:t>care resources, appropriate for pat</w:t>
      </w:r>
      <w:r w:rsidR="00695738">
        <w:rPr>
          <w:sz w:val="24"/>
          <w:szCs w:val="24"/>
        </w:rPr>
        <w:t>i</w:t>
      </w:r>
      <w:r>
        <w:rPr>
          <w:sz w:val="24"/>
          <w:szCs w:val="24"/>
        </w:rPr>
        <w:t xml:space="preserve">ents with mental health conditions, may therefore have </w:t>
      </w:r>
      <w:r w:rsidR="00487B51">
        <w:rPr>
          <w:sz w:val="24"/>
          <w:szCs w:val="24"/>
        </w:rPr>
        <w:t xml:space="preserve">a </w:t>
      </w:r>
      <w:r w:rsidR="00BA0E9E">
        <w:rPr>
          <w:sz w:val="24"/>
          <w:szCs w:val="24"/>
        </w:rPr>
        <w:t xml:space="preserve">bigger impact on delayed discharge from Mental Health Trusts than other types of Trust. </w:t>
      </w:r>
    </w:p>
    <w:p w:rsidR="00957CE4" w:rsidRDefault="00957CE4" w:rsidP="00957CE4">
      <w:pPr>
        <w:spacing w:after="0" w:line="480" w:lineRule="auto"/>
        <w:jc w:val="both"/>
        <w:rPr>
          <w:sz w:val="24"/>
          <w:szCs w:val="24"/>
        </w:rPr>
      </w:pPr>
    </w:p>
    <w:p w:rsidR="0076732E" w:rsidRDefault="00CD639B" w:rsidP="00957CE4">
      <w:pPr>
        <w:spacing w:after="0" w:line="480" w:lineRule="auto"/>
        <w:jc w:val="both"/>
        <w:rPr>
          <w:sz w:val="24"/>
          <w:szCs w:val="24"/>
        </w:rPr>
      </w:pPr>
      <w:r>
        <w:rPr>
          <w:sz w:val="24"/>
          <w:szCs w:val="24"/>
        </w:rPr>
        <w:t>S</w:t>
      </w:r>
      <w:r w:rsidRPr="00ED4FA5">
        <w:rPr>
          <w:sz w:val="24"/>
          <w:szCs w:val="24"/>
        </w:rPr>
        <w:t xml:space="preserve">pecialist hospitals tend to have </w:t>
      </w:r>
      <w:r w:rsidR="00234D9C">
        <w:rPr>
          <w:sz w:val="24"/>
          <w:szCs w:val="24"/>
        </w:rPr>
        <w:t xml:space="preserve">far </w:t>
      </w:r>
      <w:r>
        <w:rPr>
          <w:sz w:val="24"/>
          <w:szCs w:val="24"/>
        </w:rPr>
        <w:t>fewer</w:t>
      </w:r>
      <w:r w:rsidRPr="00ED4FA5">
        <w:rPr>
          <w:sz w:val="24"/>
          <w:szCs w:val="24"/>
        </w:rPr>
        <w:t xml:space="preserve"> delays, afte</w:t>
      </w:r>
      <w:r>
        <w:rPr>
          <w:sz w:val="24"/>
          <w:szCs w:val="24"/>
        </w:rPr>
        <w:t>r controlling for beds</w:t>
      </w:r>
      <w:r w:rsidRPr="00ED4FA5">
        <w:rPr>
          <w:sz w:val="24"/>
          <w:szCs w:val="24"/>
        </w:rPr>
        <w:t>.</w:t>
      </w:r>
      <w:r>
        <w:rPr>
          <w:sz w:val="24"/>
          <w:szCs w:val="24"/>
        </w:rPr>
        <w:t xml:space="preserve"> </w:t>
      </w:r>
      <w:r w:rsidR="004A1099">
        <w:rPr>
          <w:sz w:val="24"/>
          <w:szCs w:val="24"/>
        </w:rPr>
        <w:t>Differences can be large</w:t>
      </w:r>
      <w:r w:rsidR="00373C84">
        <w:rPr>
          <w:sz w:val="24"/>
          <w:szCs w:val="24"/>
        </w:rPr>
        <w:t xml:space="preserve"> (about </w:t>
      </w:r>
      <w:r w:rsidR="004A1099">
        <w:rPr>
          <w:sz w:val="24"/>
          <w:szCs w:val="24"/>
        </w:rPr>
        <w:t>60% fewer delays after controlling for case-mix and long-term care</w:t>
      </w:r>
      <w:r w:rsidR="00373C84">
        <w:rPr>
          <w:sz w:val="24"/>
          <w:szCs w:val="24"/>
        </w:rPr>
        <w:t>) but are</w:t>
      </w:r>
      <w:r>
        <w:rPr>
          <w:sz w:val="24"/>
          <w:szCs w:val="24"/>
        </w:rPr>
        <w:t xml:space="preserve"> </w:t>
      </w:r>
      <w:r w:rsidR="004A1099">
        <w:rPr>
          <w:sz w:val="24"/>
          <w:szCs w:val="24"/>
        </w:rPr>
        <w:t xml:space="preserve">not statistically </w:t>
      </w:r>
      <w:r>
        <w:rPr>
          <w:sz w:val="24"/>
          <w:szCs w:val="24"/>
        </w:rPr>
        <w:t>significant</w:t>
      </w:r>
      <w:r w:rsidR="004A1099">
        <w:rPr>
          <w:sz w:val="24"/>
          <w:szCs w:val="24"/>
        </w:rPr>
        <w:t xml:space="preserve">. </w:t>
      </w:r>
      <w:r w:rsidR="00FA53E1">
        <w:rPr>
          <w:sz w:val="24"/>
          <w:szCs w:val="24"/>
        </w:rPr>
        <w:t xml:space="preserve">The shorter delays may </w:t>
      </w:r>
      <w:r w:rsidR="00234D9C">
        <w:rPr>
          <w:sz w:val="24"/>
          <w:szCs w:val="24"/>
        </w:rPr>
        <w:t xml:space="preserve">be </w:t>
      </w:r>
      <w:r w:rsidR="00FA53E1">
        <w:rPr>
          <w:sz w:val="24"/>
          <w:szCs w:val="24"/>
        </w:rPr>
        <w:t xml:space="preserve">due to </w:t>
      </w:r>
      <w:r>
        <w:rPr>
          <w:sz w:val="24"/>
          <w:szCs w:val="24"/>
        </w:rPr>
        <w:t xml:space="preserve">the concentration of expertise and experience in the relevant field of medicine, </w:t>
      </w:r>
      <w:r w:rsidR="00FA53E1">
        <w:rPr>
          <w:sz w:val="24"/>
          <w:szCs w:val="24"/>
        </w:rPr>
        <w:t xml:space="preserve">the </w:t>
      </w:r>
      <w:r>
        <w:rPr>
          <w:sz w:val="24"/>
          <w:szCs w:val="24"/>
        </w:rPr>
        <w:t>ability to adopt approaches best suited to care of a particular patient group</w:t>
      </w:r>
      <w:r w:rsidR="00FA53E1">
        <w:rPr>
          <w:sz w:val="24"/>
          <w:szCs w:val="24"/>
        </w:rPr>
        <w:t xml:space="preserve"> </w:t>
      </w:r>
      <w:r>
        <w:rPr>
          <w:sz w:val="24"/>
          <w:szCs w:val="24"/>
        </w:rPr>
        <w:t>and perhaps better funding and resources availability</w:t>
      </w:r>
      <w:r w:rsidR="005366D9">
        <w:rPr>
          <w:sz w:val="24"/>
          <w:szCs w:val="24"/>
        </w:rPr>
        <w:t>.</w:t>
      </w:r>
    </w:p>
    <w:p w:rsidR="00957CE4" w:rsidRDefault="00957CE4" w:rsidP="00957CE4">
      <w:pPr>
        <w:spacing w:after="0" w:line="480" w:lineRule="auto"/>
        <w:jc w:val="both"/>
        <w:rPr>
          <w:sz w:val="24"/>
          <w:szCs w:val="24"/>
        </w:rPr>
      </w:pPr>
    </w:p>
    <w:p w:rsidR="00CB7E8B" w:rsidRDefault="00CD639B" w:rsidP="00957CE4">
      <w:pPr>
        <w:spacing w:after="0" w:line="480" w:lineRule="auto"/>
        <w:jc w:val="both"/>
        <w:rPr>
          <w:sz w:val="24"/>
          <w:szCs w:val="24"/>
        </w:rPr>
      </w:pPr>
      <w:r>
        <w:rPr>
          <w:sz w:val="24"/>
          <w:szCs w:val="24"/>
        </w:rPr>
        <w:t xml:space="preserve">Teaching Trusts </w:t>
      </w:r>
      <w:r w:rsidR="000E5B0D">
        <w:rPr>
          <w:sz w:val="24"/>
          <w:szCs w:val="24"/>
        </w:rPr>
        <w:t xml:space="preserve">have similar delays to </w:t>
      </w:r>
      <w:r w:rsidRPr="003D54D9">
        <w:rPr>
          <w:sz w:val="24"/>
          <w:szCs w:val="24"/>
        </w:rPr>
        <w:t>Acute Trusts</w:t>
      </w:r>
      <w:r>
        <w:rPr>
          <w:sz w:val="24"/>
          <w:szCs w:val="24"/>
        </w:rPr>
        <w:t xml:space="preserve"> after controlling for size. Teaching</w:t>
      </w:r>
      <w:r w:rsidR="00341BDB">
        <w:rPr>
          <w:sz w:val="24"/>
          <w:szCs w:val="24"/>
        </w:rPr>
        <w:t xml:space="preserve"> Status is generally</w:t>
      </w:r>
      <w:r w:rsidR="00CB7E8B">
        <w:rPr>
          <w:sz w:val="24"/>
          <w:szCs w:val="24"/>
        </w:rPr>
        <w:t xml:space="preserve"> considered</w:t>
      </w:r>
      <w:r w:rsidR="00341BDB">
        <w:rPr>
          <w:sz w:val="24"/>
          <w:szCs w:val="24"/>
        </w:rPr>
        <w:t xml:space="preserve"> a marker of higher quality. Teaching Trusts offer also a wider range of specialised services</w:t>
      </w:r>
      <w:r w:rsidR="00234D9C">
        <w:rPr>
          <w:sz w:val="24"/>
          <w:szCs w:val="24"/>
        </w:rPr>
        <w:t>,</w:t>
      </w:r>
      <w:r w:rsidR="00CB7E8B">
        <w:rPr>
          <w:sz w:val="24"/>
          <w:szCs w:val="24"/>
        </w:rPr>
        <w:t xml:space="preserve"> attracting more severe patients</w:t>
      </w:r>
      <w:r w:rsidR="00341BDB">
        <w:rPr>
          <w:sz w:val="24"/>
          <w:szCs w:val="24"/>
        </w:rPr>
        <w:t xml:space="preserve">.  The higher quality may </w:t>
      </w:r>
      <w:r w:rsidR="00CB7E8B">
        <w:rPr>
          <w:sz w:val="24"/>
          <w:szCs w:val="24"/>
        </w:rPr>
        <w:t xml:space="preserve">therefore </w:t>
      </w:r>
      <w:r w:rsidR="00341BDB">
        <w:rPr>
          <w:sz w:val="24"/>
          <w:szCs w:val="24"/>
        </w:rPr>
        <w:t xml:space="preserve">raise demand </w:t>
      </w:r>
      <w:r w:rsidR="00CB7E8B">
        <w:rPr>
          <w:sz w:val="24"/>
          <w:szCs w:val="24"/>
        </w:rPr>
        <w:t xml:space="preserve">and more complex case-mix can </w:t>
      </w:r>
      <w:r>
        <w:rPr>
          <w:sz w:val="24"/>
          <w:szCs w:val="24"/>
        </w:rPr>
        <w:t xml:space="preserve">put an upward pressure </w:t>
      </w:r>
      <w:r w:rsidR="00CB7E8B">
        <w:rPr>
          <w:sz w:val="24"/>
          <w:szCs w:val="24"/>
        </w:rPr>
        <w:t>on delays</w:t>
      </w:r>
      <w:r>
        <w:rPr>
          <w:sz w:val="24"/>
          <w:szCs w:val="24"/>
        </w:rPr>
        <w:t xml:space="preserve">. </w:t>
      </w:r>
      <w:r w:rsidR="00676BA1">
        <w:rPr>
          <w:sz w:val="24"/>
          <w:szCs w:val="24"/>
        </w:rPr>
        <w:t>In</w:t>
      </w:r>
      <w:r>
        <w:rPr>
          <w:sz w:val="24"/>
          <w:szCs w:val="24"/>
        </w:rPr>
        <w:t xml:space="preserve"> addition</w:t>
      </w:r>
      <w:r w:rsidR="00676BA1">
        <w:rPr>
          <w:sz w:val="24"/>
          <w:szCs w:val="24"/>
        </w:rPr>
        <w:t>, the</w:t>
      </w:r>
      <w:r>
        <w:rPr>
          <w:sz w:val="24"/>
          <w:szCs w:val="24"/>
        </w:rPr>
        <w:t xml:space="preserve"> responsibilities of training medical students</w:t>
      </w:r>
      <w:r w:rsidR="00676BA1">
        <w:rPr>
          <w:sz w:val="24"/>
          <w:szCs w:val="24"/>
        </w:rPr>
        <w:t xml:space="preserve"> might increase the time it would otherwise have taken to discharge a patient</w:t>
      </w:r>
      <w:r>
        <w:rPr>
          <w:sz w:val="24"/>
          <w:szCs w:val="24"/>
        </w:rPr>
        <w:t xml:space="preserve">. </w:t>
      </w:r>
      <w:r w:rsidR="00A94AB3">
        <w:rPr>
          <w:sz w:val="24"/>
          <w:szCs w:val="24"/>
        </w:rPr>
        <w:t xml:space="preserve">The higher perceived quality of teaching hospitals may also imply they have better </w:t>
      </w:r>
      <w:r w:rsidR="00CB7E8B">
        <w:rPr>
          <w:sz w:val="24"/>
          <w:szCs w:val="24"/>
        </w:rPr>
        <w:t xml:space="preserve">management </w:t>
      </w:r>
      <w:r w:rsidR="00A94AB3">
        <w:rPr>
          <w:sz w:val="24"/>
          <w:szCs w:val="24"/>
        </w:rPr>
        <w:t xml:space="preserve">and more dedicated staff, which in turn may reduce delays. </w:t>
      </w:r>
    </w:p>
    <w:p w:rsidR="00957CE4" w:rsidRDefault="00957CE4" w:rsidP="00957CE4">
      <w:pPr>
        <w:spacing w:after="0" w:line="480" w:lineRule="auto"/>
        <w:jc w:val="both"/>
        <w:rPr>
          <w:sz w:val="24"/>
          <w:szCs w:val="24"/>
        </w:rPr>
      </w:pPr>
    </w:p>
    <w:p w:rsidR="00957CE4" w:rsidRDefault="005366D9" w:rsidP="00957CE4">
      <w:pPr>
        <w:spacing w:after="0" w:line="480" w:lineRule="auto"/>
        <w:jc w:val="both"/>
        <w:rPr>
          <w:sz w:val="24"/>
          <w:szCs w:val="24"/>
        </w:rPr>
      </w:pPr>
      <w:r>
        <w:rPr>
          <w:sz w:val="24"/>
          <w:szCs w:val="24"/>
        </w:rPr>
        <w:t xml:space="preserve">Increases in the </w:t>
      </w:r>
      <w:r w:rsidR="00665CE7">
        <w:rPr>
          <w:sz w:val="24"/>
          <w:szCs w:val="24"/>
        </w:rPr>
        <w:t xml:space="preserve">supply of long-term care </w:t>
      </w:r>
      <w:r>
        <w:rPr>
          <w:sz w:val="24"/>
          <w:szCs w:val="24"/>
        </w:rPr>
        <w:t xml:space="preserve">are </w:t>
      </w:r>
      <w:r w:rsidR="0076732E">
        <w:rPr>
          <w:sz w:val="24"/>
          <w:szCs w:val="24"/>
        </w:rPr>
        <w:t>associated</w:t>
      </w:r>
      <w:r>
        <w:rPr>
          <w:sz w:val="24"/>
          <w:szCs w:val="24"/>
        </w:rPr>
        <w:t xml:space="preserve"> with fewer delays, as in previous studies (</w:t>
      </w:r>
      <w:r w:rsidR="00665CE7">
        <w:rPr>
          <w:sz w:val="24"/>
          <w:szCs w:val="24"/>
        </w:rPr>
        <w:t>Fernandez and Forder 2008</w:t>
      </w:r>
      <w:r w:rsidR="004E1048">
        <w:rPr>
          <w:sz w:val="24"/>
          <w:szCs w:val="24"/>
        </w:rPr>
        <w:t>;</w:t>
      </w:r>
      <w:r w:rsidR="00665CE7">
        <w:rPr>
          <w:sz w:val="24"/>
          <w:szCs w:val="24"/>
        </w:rPr>
        <w:t xml:space="preserve"> Gaughan et al. 2015</w:t>
      </w:r>
      <w:r>
        <w:rPr>
          <w:sz w:val="24"/>
          <w:szCs w:val="24"/>
        </w:rPr>
        <w:t>)</w:t>
      </w:r>
      <w:r w:rsidR="00665CE7">
        <w:rPr>
          <w:sz w:val="24"/>
          <w:szCs w:val="24"/>
        </w:rPr>
        <w:t xml:space="preserve">. As a patient can only be </w:t>
      </w:r>
      <w:r w:rsidR="00665CE7">
        <w:rPr>
          <w:sz w:val="24"/>
          <w:szCs w:val="24"/>
        </w:rPr>
        <w:lastRenderedPageBreak/>
        <w:t>discharged to institutional long-term care when a bed is available, an increased supply of such beds would be expected to reduce delayed discharges from hospital. However, such institutional care might not always be the most appropriate setting for care immediately after discharge</w:t>
      </w:r>
      <w:r w:rsidR="00A11E81">
        <w:rPr>
          <w:sz w:val="24"/>
          <w:szCs w:val="24"/>
        </w:rPr>
        <w:t>.</w:t>
      </w:r>
      <w:r w:rsidR="00665CE7">
        <w:rPr>
          <w:sz w:val="24"/>
          <w:szCs w:val="24"/>
        </w:rPr>
        <w:t xml:space="preserve"> </w:t>
      </w:r>
      <w:r w:rsidR="00A11E81">
        <w:rPr>
          <w:sz w:val="24"/>
          <w:szCs w:val="24"/>
        </w:rPr>
        <w:t>E</w:t>
      </w:r>
      <w:r w:rsidR="00665CE7">
        <w:rPr>
          <w:sz w:val="24"/>
          <w:szCs w:val="24"/>
        </w:rPr>
        <w:t>specially for less severe patients</w:t>
      </w:r>
      <w:r w:rsidR="00A11E81">
        <w:rPr>
          <w:sz w:val="24"/>
          <w:szCs w:val="24"/>
        </w:rPr>
        <w:t>,</w:t>
      </w:r>
      <w:r w:rsidR="00665CE7">
        <w:rPr>
          <w:sz w:val="24"/>
          <w:szCs w:val="24"/>
        </w:rPr>
        <w:t xml:space="preserve"> alternatives such as support in a patient’s own home, if available, may be preferred by the patient. </w:t>
      </w:r>
      <w:r w:rsidR="00DB70B8">
        <w:rPr>
          <w:sz w:val="24"/>
          <w:szCs w:val="24"/>
        </w:rPr>
        <w:t>L</w:t>
      </w:r>
      <w:r w:rsidR="00665CE7">
        <w:rPr>
          <w:sz w:val="24"/>
          <w:szCs w:val="24"/>
        </w:rPr>
        <w:t xml:space="preserve">ocal care homes </w:t>
      </w:r>
      <w:r w:rsidR="00DB70B8">
        <w:rPr>
          <w:sz w:val="24"/>
          <w:szCs w:val="24"/>
        </w:rPr>
        <w:t xml:space="preserve">prices did not </w:t>
      </w:r>
      <w:r w:rsidR="00665CE7">
        <w:rPr>
          <w:sz w:val="24"/>
          <w:szCs w:val="24"/>
        </w:rPr>
        <w:t xml:space="preserve">have a </w:t>
      </w:r>
      <w:r w:rsidR="00DB70B8">
        <w:rPr>
          <w:sz w:val="24"/>
          <w:szCs w:val="24"/>
        </w:rPr>
        <w:t xml:space="preserve">statistically </w:t>
      </w:r>
      <w:r w:rsidR="00665CE7">
        <w:rPr>
          <w:sz w:val="24"/>
          <w:szCs w:val="24"/>
        </w:rPr>
        <w:t>significant impact on delays. This may reflect the overriding importance of providing appropriate care in a timely manner, rather than searching for the lowest price.</w:t>
      </w:r>
    </w:p>
    <w:p w:rsidR="00665CE7" w:rsidRDefault="00665CE7" w:rsidP="00957CE4">
      <w:pPr>
        <w:spacing w:after="0" w:line="480" w:lineRule="auto"/>
        <w:jc w:val="both"/>
        <w:rPr>
          <w:sz w:val="24"/>
          <w:szCs w:val="24"/>
        </w:rPr>
      </w:pPr>
    </w:p>
    <w:p w:rsidR="00CD639B" w:rsidRDefault="00CD639B" w:rsidP="00957CE4">
      <w:pPr>
        <w:spacing w:after="0" w:line="480" w:lineRule="auto"/>
        <w:jc w:val="both"/>
        <w:rPr>
          <w:sz w:val="24"/>
          <w:szCs w:val="24"/>
        </w:rPr>
      </w:pPr>
      <w:r w:rsidRPr="003D54D9">
        <w:rPr>
          <w:sz w:val="24"/>
          <w:szCs w:val="24"/>
        </w:rPr>
        <w:t xml:space="preserve">Trusts with a higher percentage of patients aged 75+ have </w:t>
      </w:r>
      <w:r w:rsidR="00373C84">
        <w:rPr>
          <w:sz w:val="24"/>
          <w:szCs w:val="24"/>
        </w:rPr>
        <w:t>more</w:t>
      </w:r>
      <w:r w:rsidRPr="003D54D9">
        <w:rPr>
          <w:sz w:val="24"/>
          <w:szCs w:val="24"/>
        </w:rPr>
        <w:t xml:space="preserve"> delays.</w:t>
      </w:r>
      <w:r>
        <w:rPr>
          <w:sz w:val="24"/>
          <w:szCs w:val="24"/>
        </w:rPr>
        <w:t xml:space="preserve"> O</w:t>
      </w:r>
      <w:r w:rsidRPr="003D54D9">
        <w:rPr>
          <w:sz w:val="24"/>
          <w:szCs w:val="24"/>
        </w:rPr>
        <w:t xml:space="preserve">lder </w:t>
      </w:r>
      <w:r>
        <w:rPr>
          <w:sz w:val="24"/>
          <w:szCs w:val="24"/>
        </w:rPr>
        <w:t>patients</w:t>
      </w:r>
      <w:r w:rsidRPr="003D54D9">
        <w:rPr>
          <w:sz w:val="24"/>
          <w:szCs w:val="24"/>
        </w:rPr>
        <w:t xml:space="preserve"> are more intensive users of hospital and LTC</w:t>
      </w:r>
      <w:r>
        <w:rPr>
          <w:sz w:val="24"/>
          <w:szCs w:val="24"/>
        </w:rPr>
        <w:t xml:space="preserve"> services (</w:t>
      </w:r>
      <w:r w:rsidRPr="003D54D9">
        <w:rPr>
          <w:sz w:val="24"/>
          <w:szCs w:val="24"/>
        </w:rPr>
        <w:t>Bardsley et al. 2012</w:t>
      </w:r>
      <w:r w:rsidR="00D07EB1">
        <w:rPr>
          <w:sz w:val="24"/>
          <w:szCs w:val="24"/>
        </w:rPr>
        <w:t>,</w:t>
      </w:r>
      <w:r w:rsidRPr="003D54D9">
        <w:rPr>
          <w:sz w:val="24"/>
          <w:szCs w:val="24"/>
        </w:rPr>
        <w:t xml:space="preserve"> Forder 2009)</w:t>
      </w:r>
      <w:r>
        <w:rPr>
          <w:sz w:val="24"/>
          <w:szCs w:val="24"/>
        </w:rPr>
        <w:t>,</w:t>
      </w:r>
      <w:r w:rsidRPr="003D54D9">
        <w:rPr>
          <w:sz w:val="24"/>
          <w:szCs w:val="24"/>
        </w:rPr>
        <w:t xml:space="preserve"> are likely to have more comorbidities and disabilities (Kasteridis et al</w:t>
      </w:r>
      <w:r w:rsidR="00594365">
        <w:rPr>
          <w:sz w:val="24"/>
          <w:szCs w:val="24"/>
        </w:rPr>
        <w:t>.</w:t>
      </w:r>
      <w:r w:rsidRPr="003D54D9">
        <w:rPr>
          <w:sz w:val="24"/>
          <w:szCs w:val="24"/>
        </w:rPr>
        <w:t xml:space="preserve"> 2015</w:t>
      </w:r>
      <w:r w:rsidR="00D07EB1">
        <w:rPr>
          <w:sz w:val="24"/>
          <w:szCs w:val="24"/>
        </w:rPr>
        <w:t>,</w:t>
      </w:r>
      <w:r w:rsidRPr="003D54D9">
        <w:rPr>
          <w:sz w:val="24"/>
          <w:szCs w:val="24"/>
        </w:rPr>
        <w:t xml:space="preserve"> di Maijer 2011)</w:t>
      </w:r>
      <w:r>
        <w:rPr>
          <w:sz w:val="24"/>
          <w:szCs w:val="24"/>
        </w:rPr>
        <w:t xml:space="preserve"> and </w:t>
      </w:r>
      <w:r w:rsidRPr="003D54D9">
        <w:rPr>
          <w:sz w:val="24"/>
          <w:szCs w:val="24"/>
        </w:rPr>
        <w:t>therefore require a more complex care package</w:t>
      </w:r>
      <w:r>
        <w:rPr>
          <w:sz w:val="24"/>
          <w:szCs w:val="24"/>
        </w:rPr>
        <w:t xml:space="preserve">. </w:t>
      </w:r>
      <w:r w:rsidR="00D260DB">
        <w:rPr>
          <w:sz w:val="24"/>
          <w:szCs w:val="24"/>
        </w:rPr>
        <w:t>This f</w:t>
      </w:r>
      <w:r>
        <w:rPr>
          <w:sz w:val="24"/>
          <w:szCs w:val="24"/>
        </w:rPr>
        <w:t xml:space="preserve">inding </w:t>
      </w:r>
      <w:r w:rsidR="00D260DB">
        <w:rPr>
          <w:sz w:val="24"/>
          <w:szCs w:val="24"/>
        </w:rPr>
        <w:t xml:space="preserve">suggests </w:t>
      </w:r>
      <w:r w:rsidR="00373C84">
        <w:rPr>
          <w:sz w:val="24"/>
          <w:szCs w:val="24"/>
        </w:rPr>
        <w:t xml:space="preserve">that an aging population might </w:t>
      </w:r>
      <w:r w:rsidR="00DB70B8">
        <w:rPr>
          <w:sz w:val="24"/>
          <w:szCs w:val="24"/>
        </w:rPr>
        <w:t xml:space="preserve">lead to more </w:t>
      </w:r>
      <w:r>
        <w:rPr>
          <w:sz w:val="24"/>
          <w:szCs w:val="24"/>
        </w:rPr>
        <w:t>delays in the</w:t>
      </w:r>
      <w:r w:rsidR="00373C84">
        <w:rPr>
          <w:sz w:val="24"/>
          <w:szCs w:val="24"/>
        </w:rPr>
        <w:t xml:space="preserve"> future</w:t>
      </w:r>
      <w:r>
        <w:rPr>
          <w:sz w:val="24"/>
          <w:szCs w:val="24"/>
        </w:rPr>
        <w:t>.</w:t>
      </w:r>
    </w:p>
    <w:p w:rsidR="00957CE4" w:rsidRDefault="00957CE4" w:rsidP="00957CE4">
      <w:pPr>
        <w:spacing w:after="0" w:line="480" w:lineRule="auto"/>
        <w:jc w:val="both"/>
        <w:rPr>
          <w:sz w:val="24"/>
          <w:szCs w:val="24"/>
        </w:rPr>
      </w:pPr>
    </w:p>
    <w:p w:rsidR="00CD639B" w:rsidRDefault="00CD639B" w:rsidP="00957CE4">
      <w:pPr>
        <w:pStyle w:val="Heading1"/>
        <w:spacing w:before="0" w:line="480" w:lineRule="auto"/>
        <w:jc w:val="both"/>
      </w:pPr>
      <w:r w:rsidRPr="004444EC">
        <w:t>6. Conclusions</w:t>
      </w:r>
      <w:r>
        <w:t xml:space="preserve"> </w:t>
      </w:r>
    </w:p>
    <w:p w:rsidR="00CD639B" w:rsidRDefault="00CD639B" w:rsidP="00957CE4">
      <w:pPr>
        <w:spacing w:after="0" w:line="480" w:lineRule="auto"/>
        <w:jc w:val="both"/>
        <w:rPr>
          <w:sz w:val="24"/>
          <w:szCs w:val="24"/>
        </w:rPr>
      </w:pPr>
      <w:r>
        <w:rPr>
          <w:sz w:val="24"/>
          <w:szCs w:val="24"/>
        </w:rPr>
        <w:t>Reducing</w:t>
      </w:r>
      <w:r w:rsidRPr="003D54D9">
        <w:rPr>
          <w:sz w:val="24"/>
          <w:szCs w:val="24"/>
        </w:rPr>
        <w:t xml:space="preserve"> </w:t>
      </w:r>
      <w:r w:rsidR="000E5B0D">
        <w:rPr>
          <w:sz w:val="24"/>
          <w:szCs w:val="24"/>
        </w:rPr>
        <w:t xml:space="preserve">delays in discharge from </w:t>
      </w:r>
      <w:r>
        <w:rPr>
          <w:sz w:val="24"/>
          <w:szCs w:val="24"/>
        </w:rPr>
        <w:t xml:space="preserve">hospital </w:t>
      </w:r>
      <w:r w:rsidRPr="003D54D9">
        <w:rPr>
          <w:sz w:val="24"/>
          <w:szCs w:val="24"/>
        </w:rPr>
        <w:t xml:space="preserve">is a long standing policy concern. </w:t>
      </w:r>
      <w:r>
        <w:rPr>
          <w:sz w:val="24"/>
          <w:szCs w:val="24"/>
        </w:rPr>
        <w:t>T</w:t>
      </w:r>
      <w:r w:rsidRPr="003D54D9">
        <w:rPr>
          <w:sz w:val="24"/>
          <w:szCs w:val="24"/>
        </w:rPr>
        <w:t>his study</w:t>
      </w:r>
      <w:r>
        <w:rPr>
          <w:sz w:val="24"/>
          <w:szCs w:val="24"/>
        </w:rPr>
        <w:t xml:space="preserve"> has investigated </w:t>
      </w:r>
      <w:r w:rsidR="00F8533F">
        <w:rPr>
          <w:sz w:val="24"/>
          <w:szCs w:val="24"/>
        </w:rPr>
        <w:t>differences in delays by type of</w:t>
      </w:r>
      <w:r>
        <w:rPr>
          <w:sz w:val="24"/>
          <w:szCs w:val="24"/>
        </w:rPr>
        <w:t xml:space="preserve"> hospital. Hospital types are easily observable to the regulator</w:t>
      </w:r>
      <w:r w:rsidR="00F8533F">
        <w:rPr>
          <w:sz w:val="24"/>
          <w:szCs w:val="24"/>
        </w:rPr>
        <w:t xml:space="preserve"> and policy interventions</w:t>
      </w:r>
      <w:r>
        <w:rPr>
          <w:sz w:val="24"/>
          <w:szCs w:val="24"/>
        </w:rPr>
        <w:t xml:space="preserve"> can easily be targeted at a particular </w:t>
      </w:r>
      <w:r w:rsidR="00F8533F">
        <w:rPr>
          <w:sz w:val="24"/>
          <w:szCs w:val="24"/>
        </w:rPr>
        <w:t>hospital type</w:t>
      </w:r>
      <w:r>
        <w:rPr>
          <w:sz w:val="24"/>
          <w:szCs w:val="24"/>
        </w:rPr>
        <w:t xml:space="preserve">. </w:t>
      </w:r>
    </w:p>
    <w:p w:rsidR="00EB2A05" w:rsidRDefault="00EB2A05" w:rsidP="00957CE4">
      <w:pPr>
        <w:spacing w:after="0" w:line="480" w:lineRule="auto"/>
        <w:jc w:val="both"/>
        <w:rPr>
          <w:sz w:val="24"/>
          <w:szCs w:val="24"/>
        </w:rPr>
      </w:pPr>
    </w:p>
    <w:p w:rsidR="00B767B7" w:rsidRDefault="000E5B0D" w:rsidP="00957CE4">
      <w:pPr>
        <w:spacing w:after="0" w:line="480" w:lineRule="auto"/>
        <w:jc w:val="both"/>
        <w:rPr>
          <w:sz w:val="24"/>
          <w:szCs w:val="24"/>
        </w:rPr>
      </w:pPr>
      <w:r>
        <w:rPr>
          <w:sz w:val="24"/>
          <w:szCs w:val="24"/>
        </w:rPr>
        <w:t xml:space="preserve">We find </w:t>
      </w:r>
      <w:r w:rsidR="00CD639B">
        <w:rPr>
          <w:sz w:val="24"/>
          <w:szCs w:val="24"/>
        </w:rPr>
        <w:t xml:space="preserve">that </w:t>
      </w:r>
      <w:r w:rsidR="00CD639B" w:rsidRPr="003D54D9">
        <w:rPr>
          <w:sz w:val="24"/>
          <w:szCs w:val="24"/>
        </w:rPr>
        <w:t>F</w:t>
      </w:r>
      <w:r w:rsidR="00CD639B">
        <w:rPr>
          <w:sz w:val="24"/>
          <w:szCs w:val="24"/>
        </w:rPr>
        <w:t xml:space="preserve">oundation </w:t>
      </w:r>
      <w:r w:rsidR="00CD639B" w:rsidRPr="003D54D9">
        <w:rPr>
          <w:sz w:val="24"/>
          <w:szCs w:val="24"/>
        </w:rPr>
        <w:t>T</w:t>
      </w:r>
      <w:r w:rsidR="00CD639B">
        <w:rPr>
          <w:sz w:val="24"/>
          <w:szCs w:val="24"/>
        </w:rPr>
        <w:t>rust</w:t>
      </w:r>
      <w:r w:rsidR="00CD639B" w:rsidRPr="003D54D9">
        <w:rPr>
          <w:sz w:val="24"/>
          <w:szCs w:val="24"/>
        </w:rPr>
        <w:t>s</w:t>
      </w:r>
      <w:r w:rsidR="00CD639B">
        <w:rPr>
          <w:sz w:val="24"/>
          <w:szCs w:val="24"/>
        </w:rPr>
        <w:t xml:space="preserve"> </w:t>
      </w:r>
      <w:r w:rsidR="00CD639B" w:rsidRPr="003D54D9">
        <w:rPr>
          <w:sz w:val="24"/>
          <w:szCs w:val="24"/>
        </w:rPr>
        <w:t>have fewer delays</w:t>
      </w:r>
      <w:r w:rsidR="00CD639B">
        <w:rPr>
          <w:sz w:val="24"/>
          <w:szCs w:val="24"/>
        </w:rPr>
        <w:t xml:space="preserve">. Foundation Trusts might therefore be used as exemplars of good practice in </w:t>
      </w:r>
      <w:r w:rsidR="00F8533F">
        <w:rPr>
          <w:sz w:val="24"/>
          <w:szCs w:val="24"/>
        </w:rPr>
        <w:t>managing delays</w:t>
      </w:r>
      <w:r w:rsidR="00CD639B">
        <w:rPr>
          <w:sz w:val="24"/>
          <w:szCs w:val="24"/>
        </w:rPr>
        <w:t xml:space="preserve">. Policy makers could investigate how such reductions have been achieved and provide insights to ensure that good practice is </w:t>
      </w:r>
      <w:r w:rsidR="00F8533F">
        <w:rPr>
          <w:sz w:val="24"/>
          <w:szCs w:val="24"/>
        </w:rPr>
        <w:t xml:space="preserve">spread </w:t>
      </w:r>
      <w:r w:rsidR="00CD639B">
        <w:rPr>
          <w:sz w:val="24"/>
          <w:szCs w:val="24"/>
        </w:rPr>
        <w:t xml:space="preserve">throughout the NHS. There is particular value in using Foundation Trusts as </w:t>
      </w:r>
      <w:r>
        <w:rPr>
          <w:sz w:val="24"/>
          <w:szCs w:val="24"/>
        </w:rPr>
        <w:lastRenderedPageBreak/>
        <w:t xml:space="preserve">exemplars as all types of Trust (Acute, Specialist, Teaching, Mental Health) </w:t>
      </w:r>
      <w:r w:rsidR="00E451D0">
        <w:rPr>
          <w:sz w:val="24"/>
          <w:szCs w:val="24"/>
        </w:rPr>
        <w:t xml:space="preserve">have become Foundation Trusts.  </w:t>
      </w:r>
    </w:p>
    <w:p w:rsidR="00EB2A05" w:rsidRPr="00160103" w:rsidRDefault="00EB2A05" w:rsidP="00957CE4">
      <w:pPr>
        <w:spacing w:after="0" w:line="480" w:lineRule="auto"/>
        <w:jc w:val="both"/>
        <w:rPr>
          <w:sz w:val="24"/>
          <w:szCs w:val="24"/>
        </w:rPr>
      </w:pPr>
    </w:p>
    <w:p w:rsidR="00905087" w:rsidRDefault="00CD639B" w:rsidP="00957CE4">
      <w:pPr>
        <w:spacing w:after="0" w:line="480" w:lineRule="auto"/>
        <w:jc w:val="both"/>
        <w:rPr>
          <w:sz w:val="24"/>
          <w:szCs w:val="24"/>
        </w:rPr>
      </w:pPr>
      <w:r>
        <w:rPr>
          <w:sz w:val="24"/>
          <w:szCs w:val="24"/>
        </w:rPr>
        <w:t xml:space="preserve">Mental Health Trusts </w:t>
      </w:r>
      <w:r w:rsidR="00F8533F">
        <w:rPr>
          <w:sz w:val="24"/>
          <w:szCs w:val="24"/>
        </w:rPr>
        <w:t xml:space="preserve">have </w:t>
      </w:r>
      <w:r w:rsidR="00E451D0">
        <w:rPr>
          <w:sz w:val="24"/>
          <w:szCs w:val="24"/>
        </w:rPr>
        <w:t xml:space="preserve">more delayed discharges due to non-NHS factors including </w:t>
      </w:r>
      <w:r w:rsidR="00F8533F">
        <w:rPr>
          <w:sz w:val="24"/>
          <w:szCs w:val="24"/>
        </w:rPr>
        <w:t xml:space="preserve">social care. </w:t>
      </w:r>
      <w:r w:rsidRPr="003D54D9">
        <w:rPr>
          <w:sz w:val="24"/>
          <w:szCs w:val="24"/>
        </w:rPr>
        <w:t xml:space="preserve">This may indicate </w:t>
      </w:r>
      <w:r>
        <w:rPr>
          <w:sz w:val="24"/>
          <w:szCs w:val="24"/>
        </w:rPr>
        <w:t xml:space="preserve">unmet </w:t>
      </w:r>
      <w:r w:rsidR="00E451D0">
        <w:rPr>
          <w:sz w:val="24"/>
          <w:szCs w:val="24"/>
        </w:rPr>
        <w:t xml:space="preserve">social care </w:t>
      </w:r>
      <w:r>
        <w:rPr>
          <w:sz w:val="24"/>
          <w:szCs w:val="24"/>
        </w:rPr>
        <w:t>need</w:t>
      </w:r>
      <w:r w:rsidR="00E451D0">
        <w:rPr>
          <w:sz w:val="24"/>
          <w:szCs w:val="24"/>
        </w:rPr>
        <w:t>s</w:t>
      </w:r>
      <w:r>
        <w:rPr>
          <w:sz w:val="24"/>
          <w:szCs w:val="24"/>
        </w:rPr>
        <w:t xml:space="preserve"> </w:t>
      </w:r>
      <w:r w:rsidR="007759BA">
        <w:rPr>
          <w:sz w:val="24"/>
          <w:szCs w:val="24"/>
        </w:rPr>
        <w:t xml:space="preserve">for mental health patients </w:t>
      </w:r>
      <w:r w:rsidRPr="003D54D9">
        <w:rPr>
          <w:sz w:val="24"/>
          <w:szCs w:val="24"/>
        </w:rPr>
        <w:t>requiring more sophis</w:t>
      </w:r>
      <w:r>
        <w:rPr>
          <w:sz w:val="24"/>
          <w:szCs w:val="24"/>
        </w:rPr>
        <w:t>ticated care packages which take</w:t>
      </w:r>
      <w:r w:rsidRPr="003D54D9">
        <w:rPr>
          <w:sz w:val="24"/>
          <w:szCs w:val="24"/>
        </w:rPr>
        <w:t xml:space="preserve"> longer to organise</w:t>
      </w:r>
      <w:r w:rsidR="00E451D0">
        <w:rPr>
          <w:sz w:val="24"/>
          <w:szCs w:val="24"/>
        </w:rPr>
        <w:t xml:space="preserve"> and suggest that better coordination of hospital, community and social care would be particularly beneficial in reducing delayed discharges for mental health patients. </w:t>
      </w:r>
    </w:p>
    <w:p w:rsidR="00EF0212" w:rsidRDefault="00EF0212" w:rsidP="00957CE4">
      <w:pPr>
        <w:spacing w:after="0" w:line="480" w:lineRule="auto"/>
        <w:jc w:val="both"/>
        <w:rPr>
          <w:sz w:val="24"/>
          <w:szCs w:val="24"/>
        </w:rPr>
        <w:sectPr w:rsidR="00EF0212" w:rsidSect="00EC3306">
          <w:pgSz w:w="11906" w:h="16838"/>
          <w:pgMar w:top="1440" w:right="1440" w:bottom="1440" w:left="1440" w:header="708" w:footer="708" w:gutter="0"/>
          <w:cols w:space="708"/>
          <w:docGrid w:linePitch="360"/>
        </w:sectPr>
      </w:pPr>
    </w:p>
    <w:p w:rsidR="00FF3DCD" w:rsidRDefault="007911E3">
      <w:pPr>
        <w:pStyle w:val="Heading1"/>
        <w:spacing w:line="240" w:lineRule="auto"/>
      </w:pPr>
      <w:r>
        <w:lastRenderedPageBreak/>
        <w:t>Reference</w:t>
      </w:r>
      <w:r w:rsidR="00DE7BBF">
        <w:t>s</w:t>
      </w:r>
    </w:p>
    <w:p w:rsidR="00FF3DCD" w:rsidRDefault="00FF3DCD" w:rsidP="00FC5A2A"/>
    <w:p w:rsidR="00343E91" w:rsidRPr="00FC5A2A" w:rsidRDefault="00343E91" w:rsidP="00325AD4">
      <w:pPr>
        <w:spacing w:line="360" w:lineRule="auto"/>
        <w:jc w:val="both"/>
        <w:rPr>
          <w:sz w:val="24"/>
        </w:rPr>
      </w:pPr>
      <w:r w:rsidRPr="00FC5A2A">
        <w:rPr>
          <w:sz w:val="24"/>
        </w:rPr>
        <w:t>Appleby</w:t>
      </w:r>
      <w:r>
        <w:rPr>
          <w:sz w:val="24"/>
        </w:rPr>
        <w:t>,</w:t>
      </w:r>
      <w:r w:rsidRPr="00FC5A2A">
        <w:rPr>
          <w:sz w:val="24"/>
        </w:rPr>
        <w:t xml:space="preserve"> J., Humphries</w:t>
      </w:r>
      <w:r>
        <w:rPr>
          <w:sz w:val="24"/>
        </w:rPr>
        <w:t>,</w:t>
      </w:r>
      <w:r w:rsidRPr="00FC5A2A">
        <w:rPr>
          <w:sz w:val="24"/>
        </w:rPr>
        <w:t xml:space="preserve"> R., Thompson</w:t>
      </w:r>
      <w:r>
        <w:rPr>
          <w:sz w:val="24"/>
        </w:rPr>
        <w:t>,</w:t>
      </w:r>
      <w:r w:rsidRPr="00FC5A2A">
        <w:rPr>
          <w:sz w:val="24"/>
        </w:rPr>
        <w:t xml:space="preserve"> J. and Galea</w:t>
      </w:r>
      <w:r>
        <w:rPr>
          <w:sz w:val="24"/>
        </w:rPr>
        <w:t>,</w:t>
      </w:r>
      <w:r w:rsidRPr="00FC5A2A">
        <w:rPr>
          <w:sz w:val="24"/>
        </w:rPr>
        <w:t xml:space="preserve"> A. (2013)</w:t>
      </w:r>
      <w:r>
        <w:rPr>
          <w:sz w:val="24"/>
        </w:rPr>
        <w:t>,</w:t>
      </w:r>
      <w:r w:rsidRPr="00FC5A2A">
        <w:rPr>
          <w:sz w:val="24"/>
        </w:rPr>
        <w:t xml:space="preserve"> </w:t>
      </w:r>
      <w:r>
        <w:rPr>
          <w:sz w:val="24"/>
        </w:rPr>
        <w:t>‘</w:t>
      </w:r>
      <w:r w:rsidRPr="00FC5A2A">
        <w:rPr>
          <w:sz w:val="24"/>
        </w:rPr>
        <w:t>How is the health and social care system performing?</w:t>
      </w:r>
      <w:r>
        <w:rPr>
          <w:sz w:val="24"/>
        </w:rPr>
        <w:t>’,</w:t>
      </w:r>
      <w:r w:rsidRPr="00FC5A2A">
        <w:rPr>
          <w:sz w:val="24"/>
        </w:rPr>
        <w:t xml:space="preserve"> February 2013: </w:t>
      </w:r>
      <w:r w:rsidRPr="00A836D1">
        <w:rPr>
          <w:sz w:val="24"/>
        </w:rPr>
        <w:t>Quarterly</w:t>
      </w:r>
      <w:r w:rsidRPr="00FC5A2A">
        <w:rPr>
          <w:sz w:val="24"/>
        </w:rPr>
        <w:t xml:space="preserve"> monitoring report, London viewed on 10.04.15</w:t>
      </w:r>
      <w:r>
        <w:rPr>
          <w:sz w:val="24"/>
        </w:rPr>
        <w:t>,</w:t>
      </w:r>
      <w:r w:rsidRPr="00FC5A2A">
        <w:rPr>
          <w:sz w:val="24"/>
        </w:rPr>
        <w:t xml:space="preserve"> </w:t>
      </w:r>
      <w:hyperlink r:id="rId10" w:history="1">
        <w:r w:rsidRPr="001C05C7">
          <w:rPr>
            <w:rStyle w:val="Hyperlink"/>
            <w:sz w:val="24"/>
          </w:rPr>
          <w:t>http://www.kingsfund.org.uk/publications/how-health-and-social-care-system-performing-february-2013</w:t>
        </w:r>
      </w:hyperlink>
      <w:r>
        <w:rPr>
          <w:sz w:val="24"/>
        </w:rPr>
        <w:t xml:space="preserve"> </w:t>
      </w:r>
      <w:r w:rsidRPr="00CD207C">
        <w:rPr>
          <w:sz w:val="24"/>
        </w:rPr>
        <w:t xml:space="preserve"> </w:t>
      </w:r>
    </w:p>
    <w:p w:rsidR="00343E91" w:rsidRPr="00FC5A2A" w:rsidRDefault="00343E91" w:rsidP="00325AD4">
      <w:pPr>
        <w:spacing w:line="360" w:lineRule="auto"/>
        <w:jc w:val="both"/>
        <w:rPr>
          <w:sz w:val="24"/>
        </w:rPr>
      </w:pPr>
      <w:r w:rsidRPr="00FC5A2A">
        <w:rPr>
          <w:sz w:val="24"/>
        </w:rPr>
        <w:t>Bardsley</w:t>
      </w:r>
      <w:r>
        <w:rPr>
          <w:sz w:val="24"/>
        </w:rPr>
        <w:t>,</w:t>
      </w:r>
      <w:r w:rsidRPr="00FC5A2A">
        <w:rPr>
          <w:sz w:val="24"/>
        </w:rPr>
        <w:t xml:space="preserve"> M., Georghiou</w:t>
      </w:r>
      <w:r>
        <w:rPr>
          <w:sz w:val="24"/>
        </w:rPr>
        <w:t>,</w:t>
      </w:r>
      <w:r w:rsidRPr="00FC5A2A">
        <w:rPr>
          <w:sz w:val="24"/>
        </w:rPr>
        <w:t xml:space="preserve"> T., Chassin</w:t>
      </w:r>
      <w:r>
        <w:rPr>
          <w:sz w:val="24"/>
        </w:rPr>
        <w:t>,</w:t>
      </w:r>
      <w:r w:rsidRPr="00FC5A2A">
        <w:rPr>
          <w:sz w:val="24"/>
        </w:rPr>
        <w:t xml:space="preserve"> L., Lewis</w:t>
      </w:r>
      <w:r>
        <w:rPr>
          <w:sz w:val="24"/>
        </w:rPr>
        <w:t>,</w:t>
      </w:r>
      <w:r w:rsidRPr="00FC5A2A">
        <w:rPr>
          <w:sz w:val="24"/>
        </w:rPr>
        <w:t xml:space="preserve"> G., Steventon</w:t>
      </w:r>
      <w:r>
        <w:rPr>
          <w:sz w:val="24"/>
        </w:rPr>
        <w:t>,</w:t>
      </w:r>
      <w:r w:rsidRPr="00FC5A2A">
        <w:rPr>
          <w:sz w:val="24"/>
        </w:rPr>
        <w:t xml:space="preserve"> A. and Dixon</w:t>
      </w:r>
      <w:r>
        <w:rPr>
          <w:sz w:val="24"/>
        </w:rPr>
        <w:t>,</w:t>
      </w:r>
      <w:r w:rsidRPr="00FC5A2A">
        <w:rPr>
          <w:sz w:val="24"/>
        </w:rPr>
        <w:t xml:space="preserve"> J. (2012)</w:t>
      </w:r>
      <w:r>
        <w:rPr>
          <w:sz w:val="24"/>
        </w:rPr>
        <w:t>,</w:t>
      </w:r>
      <w:r w:rsidRPr="00FC5A2A">
        <w:rPr>
          <w:sz w:val="24"/>
        </w:rPr>
        <w:t xml:space="preserve"> </w:t>
      </w:r>
      <w:r>
        <w:rPr>
          <w:sz w:val="24"/>
        </w:rPr>
        <w:t>‘</w:t>
      </w:r>
      <w:r w:rsidRPr="00FC5A2A">
        <w:rPr>
          <w:sz w:val="24"/>
        </w:rPr>
        <w:t>Overlap of hospital use and social care in older people in England</w:t>
      </w:r>
      <w:r>
        <w:rPr>
          <w:sz w:val="24"/>
        </w:rPr>
        <w:t>’</w:t>
      </w:r>
      <w:r w:rsidRPr="00FC5A2A">
        <w:rPr>
          <w:sz w:val="24"/>
        </w:rPr>
        <w:t xml:space="preserve">, Journal of Health Services Research &amp; Policy, </w:t>
      </w:r>
      <w:r>
        <w:rPr>
          <w:sz w:val="24"/>
        </w:rPr>
        <w:t xml:space="preserve">vol. </w:t>
      </w:r>
      <w:r w:rsidRPr="007C0E9A">
        <w:rPr>
          <w:sz w:val="24"/>
        </w:rPr>
        <w:t>17</w:t>
      </w:r>
      <w:r w:rsidR="004B21A0">
        <w:rPr>
          <w:sz w:val="24"/>
        </w:rPr>
        <w:t>,</w:t>
      </w:r>
      <w:r>
        <w:rPr>
          <w:sz w:val="24"/>
        </w:rPr>
        <w:t xml:space="preserve"> no. 3,</w:t>
      </w:r>
      <w:r w:rsidRPr="00FC5A2A">
        <w:rPr>
          <w:sz w:val="24"/>
        </w:rPr>
        <w:t xml:space="preserve"> </w:t>
      </w:r>
      <w:r>
        <w:rPr>
          <w:sz w:val="24"/>
        </w:rPr>
        <w:t xml:space="preserve">pp. </w:t>
      </w:r>
      <w:r w:rsidRPr="00FC5A2A">
        <w:rPr>
          <w:sz w:val="24"/>
        </w:rPr>
        <w:t>133-139</w:t>
      </w:r>
      <w:r>
        <w:rPr>
          <w:sz w:val="24"/>
        </w:rPr>
        <w:t>.</w:t>
      </w:r>
    </w:p>
    <w:p w:rsidR="00343E91" w:rsidRDefault="00343E91" w:rsidP="00343E91">
      <w:pPr>
        <w:spacing w:line="360" w:lineRule="auto"/>
        <w:rPr>
          <w:sz w:val="24"/>
        </w:rPr>
      </w:pPr>
      <w:r>
        <w:rPr>
          <w:sz w:val="24"/>
        </w:rPr>
        <w:t xml:space="preserve">Cameron, A. and Trivedi, P. (1986), ‘Econometric Models Based on Count Data: Comparisons and Applications of Some Estimators and Tests’, Journal of Applied Econometrics, vol. </w:t>
      </w:r>
      <w:r w:rsidRPr="007C0E9A">
        <w:rPr>
          <w:sz w:val="24"/>
        </w:rPr>
        <w:t>1,</w:t>
      </w:r>
      <w:r>
        <w:rPr>
          <w:sz w:val="24"/>
        </w:rPr>
        <w:t xml:space="preserve"> pp. 29-54</w:t>
      </w:r>
      <w:r w:rsidR="004B21A0">
        <w:rPr>
          <w:sz w:val="24"/>
        </w:rPr>
        <w:t>.</w:t>
      </w:r>
    </w:p>
    <w:p w:rsidR="00343E91" w:rsidRPr="00FC5A2A" w:rsidRDefault="00343E91" w:rsidP="00343E91">
      <w:pPr>
        <w:spacing w:line="360" w:lineRule="auto"/>
        <w:rPr>
          <w:sz w:val="24"/>
        </w:rPr>
      </w:pPr>
      <w:r w:rsidRPr="00FC5A2A">
        <w:rPr>
          <w:sz w:val="24"/>
        </w:rPr>
        <w:t>de Maijer</w:t>
      </w:r>
      <w:r>
        <w:rPr>
          <w:sz w:val="24"/>
        </w:rPr>
        <w:t>,</w:t>
      </w:r>
      <w:r w:rsidRPr="00FC5A2A">
        <w:rPr>
          <w:sz w:val="24"/>
        </w:rPr>
        <w:t xml:space="preserve"> C., Koopmanschap</w:t>
      </w:r>
      <w:r>
        <w:rPr>
          <w:sz w:val="24"/>
        </w:rPr>
        <w:t>,</w:t>
      </w:r>
      <w:r w:rsidRPr="00FC5A2A">
        <w:rPr>
          <w:sz w:val="24"/>
        </w:rPr>
        <w:t xml:space="preserve"> M., d’Uva</w:t>
      </w:r>
      <w:r>
        <w:rPr>
          <w:sz w:val="24"/>
        </w:rPr>
        <w:t>,</w:t>
      </w:r>
      <w:r w:rsidRPr="00FC5A2A">
        <w:rPr>
          <w:sz w:val="24"/>
        </w:rPr>
        <w:t xml:space="preserve"> T.</w:t>
      </w:r>
      <w:r>
        <w:rPr>
          <w:sz w:val="24"/>
        </w:rPr>
        <w:t xml:space="preserve"> B. and</w:t>
      </w:r>
      <w:r w:rsidRPr="00FC5A2A">
        <w:rPr>
          <w:sz w:val="24"/>
        </w:rPr>
        <w:t xml:space="preserve"> van Doorlsaer</w:t>
      </w:r>
      <w:r>
        <w:rPr>
          <w:sz w:val="24"/>
        </w:rPr>
        <w:t>,</w:t>
      </w:r>
      <w:r w:rsidRPr="00FC5A2A">
        <w:rPr>
          <w:sz w:val="24"/>
        </w:rPr>
        <w:t xml:space="preserve"> E. (2011)</w:t>
      </w:r>
      <w:r>
        <w:rPr>
          <w:sz w:val="24"/>
        </w:rPr>
        <w:t>,</w:t>
      </w:r>
      <w:r w:rsidRPr="00FC5A2A">
        <w:rPr>
          <w:sz w:val="24"/>
        </w:rPr>
        <w:t xml:space="preserve"> </w:t>
      </w:r>
      <w:r>
        <w:rPr>
          <w:sz w:val="24"/>
        </w:rPr>
        <w:t>‘</w:t>
      </w:r>
      <w:r w:rsidRPr="00FC5A2A">
        <w:rPr>
          <w:sz w:val="24"/>
        </w:rPr>
        <w:t>Determinants of long-term care spending: Age, time to death or disability?</w:t>
      </w:r>
      <w:r>
        <w:rPr>
          <w:sz w:val="24"/>
        </w:rPr>
        <w:t>’</w:t>
      </w:r>
      <w:r w:rsidRPr="00FC5A2A">
        <w:rPr>
          <w:sz w:val="24"/>
        </w:rPr>
        <w:t xml:space="preserve">, Journal of Health Economics, </w:t>
      </w:r>
      <w:r>
        <w:rPr>
          <w:sz w:val="24"/>
        </w:rPr>
        <w:t xml:space="preserve">vol. </w:t>
      </w:r>
      <w:r w:rsidRPr="007C0E9A">
        <w:rPr>
          <w:sz w:val="24"/>
        </w:rPr>
        <w:t>30</w:t>
      </w:r>
      <w:r>
        <w:rPr>
          <w:b/>
          <w:sz w:val="24"/>
        </w:rPr>
        <w:t>,</w:t>
      </w:r>
      <w:r w:rsidRPr="00FC5A2A">
        <w:rPr>
          <w:sz w:val="24"/>
        </w:rPr>
        <w:t xml:space="preserve"> </w:t>
      </w:r>
      <w:r>
        <w:rPr>
          <w:sz w:val="24"/>
        </w:rPr>
        <w:t xml:space="preserve">pp. </w:t>
      </w:r>
      <w:r w:rsidRPr="00FC5A2A">
        <w:rPr>
          <w:sz w:val="24"/>
        </w:rPr>
        <w:t>425-438</w:t>
      </w:r>
      <w:r>
        <w:rPr>
          <w:sz w:val="24"/>
        </w:rPr>
        <w:t>.</w:t>
      </w:r>
    </w:p>
    <w:p w:rsidR="00343E91" w:rsidRPr="00FC5A2A" w:rsidRDefault="00343E91" w:rsidP="00343E91">
      <w:pPr>
        <w:spacing w:line="360" w:lineRule="auto"/>
        <w:rPr>
          <w:sz w:val="24"/>
        </w:rPr>
      </w:pPr>
      <w:r w:rsidRPr="00FC5A2A">
        <w:rPr>
          <w:sz w:val="24"/>
        </w:rPr>
        <w:t>DH (2003)</w:t>
      </w:r>
      <w:r>
        <w:rPr>
          <w:sz w:val="24"/>
        </w:rPr>
        <w:t>,</w:t>
      </w:r>
      <w:r w:rsidRPr="00FC5A2A">
        <w:rPr>
          <w:sz w:val="24"/>
        </w:rPr>
        <w:t xml:space="preserve"> </w:t>
      </w:r>
      <w:r>
        <w:rPr>
          <w:sz w:val="24"/>
        </w:rPr>
        <w:t>‘</w:t>
      </w:r>
      <w:r w:rsidRPr="00FC5A2A">
        <w:rPr>
          <w:sz w:val="24"/>
        </w:rPr>
        <w:t>Health Service Circular/Local Authority Circular, The Community Care (Delayed Discharges Etc) Act 2003: Guidance for Implementation</w:t>
      </w:r>
      <w:r>
        <w:rPr>
          <w:sz w:val="24"/>
        </w:rPr>
        <w:t>’</w:t>
      </w:r>
      <w:r w:rsidRPr="00FC5A2A">
        <w:rPr>
          <w:sz w:val="24"/>
        </w:rPr>
        <w:t xml:space="preserve">, viewed on 09.02.15, </w:t>
      </w:r>
      <w:hyperlink r:id="rId11" w:history="1">
        <w:r w:rsidRPr="00FC5A2A">
          <w:rPr>
            <w:rStyle w:val="Hyperlink"/>
            <w:sz w:val="24"/>
          </w:rPr>
          <w:t>http://www.leeds.ac.uk/lpop/Key%20Policy%20Documents/communitycaredelayeddisc.pdf</w:t>
        </w:r>
      </w:hyperlink>
      <w:r w:rsidRPr="00FC5A2A">
        <w:rPr>
          <w:sz w:val="24"/>
        </w:rPr>
        <w:t xml:space="preserve"> </w:t>
      </w:r>
    </w:p>
    <w:p w:rsidR="00343E91" w:rsidRPr="00FC5A2A" w:rsidRDefault="00343E91" w:rsidP="00325AD4">
      <w:pPr>
        <w:spacing w:line="360" w:lineRule="auto"/>
        <w:jc w:val="both"/>
        <w:rPr>
          <w:sz w:val="24"/>
        </w:rPr>
      </w:pPr>
      <w:r w:rsidRPr="00FC5A2A">
        <w:rPr>
          <w:sz w:val="24"/>
        </w:rPr>
        <w:t>DH (2010a)</w:t>
      </w:r>
      <w:r>
        <w:rPr>
          <w:sz w:val="24"/>
        </w:rPr>
        <w:t>,</w:t>
      </w:r>
      <w:r w:rsidRPr="00FC5A2A">
        <w:rPr>
          <w:sz w:val="24"/>
        </w:rPr>
        <w:t xml:space="preserve"> </w:t>
      </w:r>
      <w:r>
        <w:rPr>
          <w:sz w:val="24"/>
        </w:rPr>
        <w:t>‘</w:t>
      </w:r>
      <w:r w:rsidRPr="00FC5A2A">
        <w:rPr>
          <w:sz w:val="24"/>
        </w:rPr>
        <w:t>KH03 Quarterly bed availability and occupancy</w:t>
      </w:r>
      <w:r>
        <w:rPr>
          <w:sz w:val="24"/>
        </w:rPr>
        <w:t>’</w:t>
      </w:r>
      <w:r w:rsidRPr="00FC5A2A">
        <w:rPr>
          <w:sz w:val="24"/>
        </w:rPr>
        <w:t xml:space="preserve">, viewed on 21.08.14, </w:t>
      </w:r>
      <w:hyperlink r:id="rId12" w:history="1">
        <w:r w:rsidRPr="00FC5A2A">
          <w:rPr>
            <w:rStyle w:val="Hyperlink"/>
            <w:sz w:val="24"/>
          </w:rPr>
          <w:t>http://www.england.nhs.uk/statistics/statistical-work-areas/bed-availability-and-occupancy/</w:t>
        </w:r>
      </w:hyperlink>
    </w:p>
    <w:p w:rsidR="00343E91" w:rsidRPr="00FC5A2A" w:rsidRDefault="00343E91" w:rsidP="00343E91">
      <w:pPr>
        <w:spacing w:line="360" w:lineRule="auto"/>
        <w:rPr>
          <w:sz w:val="24"/>
        </w:rPr>
      </w:pPr>
      <w:r w:rsidRPr="00FC5A2A">
        <w:rPr>
          <w:sz w:val="24"/>
        </w:rPr>
        <w:t>DH (2010b)</w:t>
      </w:r>
      <w:r>
        <w:rPr>
          <w:sz w:val="24"/>
        </w:rPr>
        <w:t>,</w:t>
      </w:r>
      <w:r w:rsidRPr="00FC5A2A">
        <w:rPr>
          <w:sz w:val="24"/>
        </w:rPr>
        <w:t xml:space="preserve"> </w:t>
      </w:r>
      <w:r>
        <w:rPr>
          <w:sz w:val="24"/>
        </w:rPr>
        <w:t>‘</w:t>
      </w:r>
      <w:r w:rsidRPr="00FC5A2A">
        <w:rPr>
          <w:sz w:val="24"/>
        </w:rPr>
        <w:t>Sitreps</w:t>
      </w:r>
      <w:r>
        <w:rPr>
          <w:sz w:val="24"/>
        </w:rPr>
        <w:t>’</w:t>
      </w:r>
      <w:r w:rsidRPr="00FC5A2A">
        <w:rPr>
          <w:sz w:val="24"/>
        </w:rPr>
        <w:t xml:space="preserve">, viewed on 14.11.12, </w:t>
      </w:r>
      <w:hyperlink r:id="rId13" w:history="1">
        <w:r w:rsidRPr="00FC5A2A">
          <w:rPr>
            <w:rStyle w:val="Hyperlink"/>
            <w:sz w:val="24"/>
          </w:rPr>
          <w:t>http://www.england.nhs.uk/statistics/statistical-work-areas/delayed-transfers-of-care/</w:t>
        </w:r>
      </w:hyperlink>
      <w:r w:rsidRPr="00FC5A2A">
        <w:rPr>
          <w:sz w:val="24"/>
        </w:rPr>
        <w:t xml:space="preserve"> </w:t>
      </w:r>
    </w:p>
    <w:p w:rsidR="00343E91" w:rsidRDefault="00343E91" w:rsidP="00343E91">
      <w:pPr>
        <w:spacing w:line="360" w:lineRule="auto"/>
        <w:rPr>
          <w:sz w:val="24"/>
          <w:szCs w:val="24"/>
        </w:rPr>
      </w:pPr>
      <w:r w:rsidRPr="00FC5A2A">
        <w:rPr>
          <w:sz w:val="24"/>
          <w:szCs w:val="24"/>
        </w:rPr>
        <w:t>Eggleston, K.</w:t>
      </w:r>
      <w:r>
        <w:rPr>
          <w:sz w:val="24"/>
          <w:szCs w:val="24"/>
        </w:rPr>
        <w:t>, Shen, Y-C., Lau, J., Schmid, C. H. and Cha, H. (</w:t>
      </w:r>
      <w:r w:rsidRPr="00FC5A2A">
        <w:rPr>
          <w:sz w:val="24"/>
          <w:szCs w:val="24"/>
        </w:rPr>
        <w:t>2008</w:t>
      </w:r>
      <w:r>
        <w:rPr>
          <w:sz w:val="24"/>
          <w:szCs w:val="24"/>
        </w:rPr>
        <w:t>),</w:t>
      </w:r>
      <w:r w:rsidRPr="00FC5A2A">
        <w:rPr>
          <w:sz w:val="24"/>
          <w:szCs w:val="24"/>
        </w:rPr>
        <w:t xml:space="preserve"> </w:t>
      </w:r>
      <w:r>
        <w:rPr>
          <w:sz w:val="24"/>
          <w:szCs w:val="24"/>
        </w:rPr>
        <w:t>‘</w:t>
      </w:r>
      <w:r w:rsidRPr="00FC5A2A">
        <w:rPr>
          <w:sz w:val="24"/>
          <w:szCs w:val="24"/>
        </w:rPr>
        <w:t>Hospital ownership and quality of care: what explains the different results in the literature?</w:t>
      </w:r>
      <w:r>
        <w:rPr>
          <w:sz w:val="24"/>
          <w:szCs w:val="24"/>
        </w:rPr>
        <w:t>’,</w:t>
      </w:r>
      <w:r w:rsidRPr="00FC5A2A">
        <w:rPr>
          <w:sz w:val="24"/>
          <w:szCs w:val="24"/>
        </w:rPr>
        <w:t xml:space="preserve"> </w:t>
      </w:r>
      <w:r w:rsidRPr="00325AD4">
        <w:rPr>
          <w:iCs/>
          <w:sz w:val="24"/>
          <w:szCs w:val="24"/>
        </w:rPr>
        <w:t>Health Economics</w:t>
      </w:r>
      <w:r w:rsidRPr="00FC5A2A">
        <w:rPr>
          <w:sz w:val="24"/>
          <w:szCs w:val="24"/>
        </w:rPr>
        <w:t xml:space="preserve">, </w:t>
      </w:r>
      <w:r>
        <w:rPr>
          <w:sz w:val="24"/>
          <w:szCs w:val="24"/>
        </w:rPr>
        <w:t xml:space="preserve">vol. </w:t>
      </w:r>
      <w:r w:rsidRPr="00A24011">
        <w:rPr>
          <w:sz w:val="24"/>
          <w:szCs w:val="24"/>
        </w:rPr>
        <w:t>17</w:t>
      </w:r>
      <w:r w:rsidR="004B21A0">
        <w:rPr>
          <w:sz w:val="24"/>
          <w:szCs w:val="24"/>
        </w:rPr>
        <w:t>,</w:t>
      </w:r>
      <w:r>
        <w:rPr>
          <w:sz w:val="24"/>
          <w:szCs w:val="24"/>
        </w:rPr>
        <w:t xml:space="preserve"> no. 12</w:t>
      </w:r>
      <w:r w:rsidRPr="00FC5A2A">
        <w:rPr>
          <w:sz w:val="24"/>
          <w:szCs w:val="24"/>
        </w:rPr>
        <w:t xml:space="preserve">, </w:t>
      </w:r>
      <w:r>
        <w:rPr>
          <w:sz w:val="24"/>
          <w:szCs w:val="24"/>
        </w:rPr>
        <w:t xml:space="preserve">pp. </w:t>
      </w:r>
      <w:r w:rsidRPr="00FC5A2A">
        <w:rPr>
          <w:sz w:val="24"/>
          <w:szCs w:val="24"/>
        </w:rPr>
        <w:t>1345–1362</w:t>
      </w:r>
      <w:r>
        <w:rPr>
          <w:sz w:val="24"/>
          <w:szCs w:val="24"/>
        </w:rPr>
        <w:t>.</w:t>
      </w:r>
    </w:p>
    <w:p w:rsidR="004B21A0" w:rsidRDefault="00343E91" w:rsidP="00325AD4">
      <w:pPr>
        <w:spacing w:line="360" w:lineRule="auto"/>
        <w:jc w:val="both"/>
        <w:rPr>
          <w:sz w:val="24"/>
        </w:rPr>
      </w:pPr>
      <w:r w:rsidRPr="00FC5A2A">
        <w:rPr>
          <w:sz w:val="24"/>
        </w:rPr>
        <w:lastRenderedPageBreak/>
        <w:t>European Commission Economic Policy Committee (2009)</w:t>
      </w:r>
      <w:r>
        <w:rPr>
          <w:sz w:val="24"/>
        </w:rPr>
        <w:t>,</w:t>
      </w:r>
      <w:r w:rsidRPr="00FC5A2A">
        <w:rPr>
          <w:sz w:val="24"/>
        </w:rPr>
        <w:t xml:space="preserve"> </w:t>
      </w:r>
      <w:r>
        <w:rPr>
          <w:sz w:val="24"/>
        </w:rPr>
        <w:t>‘</w:t>
      </w:r>
      <w:r w:rsidRPr="00FC5A2A">
        <w:rPr>
          <w:sz w:val="24"/>
        </w:rPr>
        <w:t>European Economy 2|2009</w:t>
      </w:r>
      <w:r>
        <w:rPr>
          <w:sz w:val="24"/>
        </w:rPr>
        <w:t xml:space="preserve"> (</w:t>
      </w:r>
      <w:r w:rsidRPr="00FC5A2A">
        <w:rPr>
          <w:sz w:val="24"/>
        </w:rPr>
        <w:t>2009</w:t>
      </w:r>
      <w:r>
        <w:rPr>
          <w:sz w:val="24"/>
        </w:rPr>
        <w:t>)</w:t>
      </w:r>
      <w:r w:rsidRPr="00FC5A2A">
        <w:rPr>
          <w:sz w:val="24"/>
        </w:rPr>
        <w:t xml:space="preserve"> Ageing report: Economic and budgetary projections for the EU-27 member states (2008-2060)</w:t>
      </w:r>
      <w:r>
        <w:rPr>
          <w:sz w:val="24"/>
        </w:rPr>
        <w:t>’</w:t>
      </w:r>
      <w:r w:rsidRPr="00FC5A2A">
        <w:rPr>
          <w:sz w:val="24"/>
        </w:rPr>
        <w:t>, Brussels</w:t>
      </w:r>
      <w:r>
        <w:rPr>
          <w:sz w:val="24"/>
        </w:rPr>
        <w:t>,</w:t>
      </w:r>
      <w:r w:rsidRPr="00FC5A2A">
        <w:rPr>
          <w:sz w:val="24"/>
        </w:rPr>
        <w:t xml:space="preserve"> </w:t>
      </w:r>
      <w:r>
        <w:rPr>
          <w:sz w:val="24"/>
        </w:rPr>
        <w:t>viewed</w:t>
      </w:r>
      <w:r w:rsidRPr="00FC5A2A">
        <w:rPr>
          <w:sz w:val="24"/>
        </w:rPr>
        <w:t xml:space="preserve"> on 09.04.15</w:t>
      </w:r>
      <w:r>
        <w:rPr>
          <w:sz w:val="24"/>
        </w:rPr>
        <w:t xml:space="preserve">, </w:t>
      </w:r>
    </w:p>
    <w:p w:rsidR="00343E91" w:rsidRPr="00FC5A2A" w:rsidRDefault="00270F33" w:rsidP="00325AD4">
      <w:pPr>
        <w:spacing w:line="360" w:lineRule="auto"/>
        <w:jc w:val="both"/>
        <w:rPr>
          <w:sz w:val="24"/>
        </w:rPr>
      </w:pPr>
      <w:hyperlink r:id="rId14" w:history="1">
        <w:r w:rsidR="00343E91" w:rsidRPr="00FC5A2A">
          <w:rPr>
            <w:rStyle w:val="Hyperlink"/>
            <w:sz w:val="24"/>
          </w:rPr>
          <w:t>http://ec.europa.eu/economy_finance/publications/publication_summary14911_en.htm</w:t>
        </w:r>
      </w:hyperlink>
      <w:r w:rsidR="00343E91" w:rsidRPr="00FC5A2A">
        <w:rPr>
          <w:sz w:val="24"/>
        </w:rPr>
        <w:t xml:space="preserve">  </w:t>
      </w:r>
    </w:p>
    <w:p w:rsidR="00343E91" w:rsidRPr="00FC5A2A" w:rsidRDefault="00343E91" w:rsidP="00325AD4">
      <w:pPr>
        <w:spacing w:line="360" w:lineRule="auto"/>
        <w:jc w:val="both"/>
        <w:rPr>
          <w:sz w:val="24"/>
          <w:lang w:eastAsia="en-GB"/>
        </w:rPr>
      </w:pPr>
      <w:r w:rsidRPr="00FC5A2A">
        <w:rPr>
          <w:sz w:val="24"/>
        </w:rPr>
        <w:t>Fernandez</w:t>
      </w:r>
      <w:r>
        <w:rPr>
          <w:sz w:val="24"/>
        </w:rPr>
        <w:t>,</w:t>
      </w:r>
      <w:r w:rsidRPr="00FC5A2A">
        <w:rPr>
          <w:sz w:val="24"/>
        </w:rPr>
        <w:t xml:space="preserve"> J</w:t>
      </w:r>
      <w:r>
        <w:rPr>
          <w:sz w:val="24"/>
        </w:rPr>
        <w:t>. and</w:t>
      </w:r>
      <w:r w:rsidRPr="00FC5A2A">
        <w:rPr>
          <w:sz w:val="24"/>
        </w:rPr>
        <w:t xml:space="preserve"> Forder</w:t>
      </w:r>
      <w:r>
        <w:rPr>
          <w:sz w:val="24"/>
        </w:rPr>
        <w:t>,</w:t>
      </w:r>
      <w:r w:rsidRPr="00FC5A2A">
        <w:rPr>
          <w:sz w:val="24"/>
        </w:rPr>
        <w:t xml:space="preserve"> J. (2008)</w:t>
      </w:r>
      <w:r>
        <w:rPr>
          <w:sz w:val="24"/>
        </w:rPr>
        <w:t>,</w:t>
      </w:r>
      <w:r w:rsidRPr="00FC5A2A">
        <w:rPr>
          <w:sz w:val="24"/>
        </w:rPr>
        <w:t xml:space="preserve"> </w:t>
      </w:r>
      <w:r>
        <w:rPr>
          <w:sz w:val="24"/>
        </w:rPr>
        <w:t>‘</w:t>
      </w:r>
      <w:r w:rsidRPr="00FC5A2A">
        <w:rPr>
          <w:sz w:val="24"/>
          <w:lang w:eastAsia="en-GB"/>
        </w:rPr>
        <w:t>Consequences of local variations in social care on the performance of the acute health care sector</w:t>
      </w:r>
      <w:r>
        <w:rPr>
          <w:sz w:val="24"/>
          <w:lang w:eastAsia="en-GB"/>
        </w:rPr>
        <w:t>’,</w:t>
      </w:r>
      <w:r w:rsidRPr="00FC5A2A">
        <w:rPr>
          <w:sz w:val="24"/>
          <w:lang w:eastAsia="en-GB"/>
        </w:rPr>
        <w:t xml:space="preserve"> </w:t>
      </w:r>
      <w:r w:rsidRPr="00325AD4">
        <w:rPr>
          <w:sz w:val="24"/>
          <w:lang w:eastAsia="en-GB"/>
        </w:rPr>
        <w:t>Applied Economics</w:t>
      </w:r>
      <w:r>
        <w:rPr>
          <w:sz w:val="24"/>
          <w:lang w:eastAsia="en-GB"/>
        </w:rPr>
        <w:t>, vol.</w:t>
      </w:r>
      <w:r w:rsidRPr="00FC5A2A">
        <w:rPr>
          <w:sz w:val="24"/>
          <w:lang w:eastAsia="en-GB"/>
        </w:rPr>
        <w:t xml:space="preserve"> </w:t>
      </w:r>
      <w:r w:rsidRPr="00A24011">
        <w:rPr>
          <w:sz w:val="24"/>
          <w:lang w:eastAsia="en-GB"/>
        </w:rPr>
        <w:t>40</w:t>
      </w:r>
      <w:r w:rsidR="004B21A0">
        <w:rPr>
          <w:sz w:val="24"/>
          <w:lang w:eastAsia="en-GB"/>
        </w:rPr>
        <w:t>,</w:t>
      </w:r>
      <w:r>
        <w:rPr>
          <w:sz w:val="24"/>
          <w:lang w:eastAsia="en-GB"/>
        </w:rPr>
        <w:t xml:space="preserve"> no. 12</w:t>
      </w:r>
      <w:r w:rsidRPr="00FC5A2A">
        <w:rPr>
          <w:sz w:val="24"/>
          <w:lang w:eastAsia="en-GB"/>
        </w:rPr>
        <w:t xml:space="preserve">, </w:t>
      </w:r>
      <w:r>
        <w:rPr>
          <w:sz w:val="24"/>
          <w:lang w:eastAsia="en-GB"/>
        </w:rPr>
        <w:t xml:space="preserve">pp. </w:t>
      </w:r>
      <w:r w:rsidRPr="00FC5A2A">
        <w:rPr>
          <w:sz w:val="24"/>
          <w:lang w:eastAsia="en-GB"/>
        </w:rPr>
        <w:t>1503-1518.</w:t>
      </w:r>
    </w:p>
    <w:p w:rsidR="00343E91" w:rsidRPr="00FC5A2A" w:rsidRDefault="00343E91" w:rsidP="00325AD4">
      <w:pPr>
        <w:spacing w:line="360" w:lineRule="auto"/>
        <w:jc w:val="both"/>
        <w:rPr>
          <w:sz w:val="24"/>
        </w:rPr>
      </w:pPr>
      <w:r w:rsidRPr="00FC5A2A">
        <w:rPr>
          <w:sz w:val="24"/>
        </w:rPr>
        <w:t>Forder</w:t>
      </w:r>
      <w:r>
        <w:rPr>
          <w:sz w:val="24"/>
        </w:rPr>
        <w:t>,</w:t>
      </w:r>
      <w:r w:rsidRPr="00FC5A2A">
        <w:rPr>
          <w:sz w:val="24"/>
        </w:rPr>
        <w:t xml:space="preserve"> J. (2009)</w:t>
      </w:r>
      <w:r>
        <w:rPr>
          <w:sz w:val="24"/>
        </w:rPr>
        <w:t>,</w:t>
      </w:r>
      <w:r w:rsidRPr="00FC5A2A">
        <w:rPr>
          <w:sz w:val="24"/>
        </w:rPr>
        <w:t xml:space="preserve"> </w:t>
      </w:r>
      <w:r>
        <w:rPr>
          <w:sz w:val="24"/>
        </w:rPr>
        <w:t>‘</w:t>
      </w:r>
      <w:r w:rsidRPr="00FC5A2A">
        <w:rPr>
          <w:sz w:val="24"/>
        </w:rPr>
        <w:t>Long-term care and hospital utilisation by older people: An</w:t>
      </w:r>
      <w:r>
        <w:rPr>
          <w:sz w:val="24"/>
        </w:rPr>
        <w:t xml:space="preserve"> analysis of substitution rates’,</w:t>
      </w:r>
      <w:r w:rsidRPr="00FC5A2A">
        <w:rPr>
          <w:sz w:val="24"/>
        </w:rPr>
        <w:t xml:space="preserve"> </w:t>
      </w:r>
      <w:r w:rsidRPr="00325AD4">
        <w:rPr>
          <w:sz w:val="24"/>
        </w:rPr>
        <w:t>Health Economics</w:t>
      </w:r>
      <w:r w:rsidRPr="00A24011">
        <w:rPr>
          <w:sz w:val="24"/>
        </w:rPr>
        <w:t>,</w:t>
      </w:r>
      <w:r>
        <w:rPr>
          <w:sz w:val="24"/>
        </w:rPr>
        <w:t xml:space="preserve"> vol.</w:t>
      </w:r>
      <w:r w:rsidRPr="00FC5A2A">
        <w:rPr>
          <w:i/>
          <w:sz w:val="24"/>
        </w:rPr>
        <w:t xml:space="preserve"> </w:t>
      </w:r>
      <w:r w:rsidRPr="00A24011">
        <w:rPr>
          <w:sz w:val="24"/>
        </w:rPr>
        <w:t>18</w:t>
      </w:r>
      <w:r>
        <w:rPr>
          <w:sz w:val="24"/>
        </w:rPr>
        <w:t>, no. 11</w:t>
      </w:r>
      <w:r w:rsidRPr="00FC5A2A">
        <w:rPr>
          <w:sz w:val="24"/>
        </w:rPr>
        <w:t xml:space="preserve">, </w:t>
      </w:r>
      <w:r>
        <w:rPr>
          <w:sz w:val="24"/>
        </w:rPr>
        <w:t xml:space="preserve">pp. </w:t>
      </w:r>
      <w:r w:rsidRPr="00FC5A2A">
        <w:rPr>
          <w:sz w:val="24"/>
        </w:rPr>
        <w:t>1322-1338.</w:t>
      </w:r>
    </w:p>
    <w:p w:rsidR="00343E91" w:rsidRDefault="00343E91" w:rsidP="00325AD4">
      <w:pPr>
        <w:spacing w:line="360" w:lineRule="auto"/>
        <w:jc w:val="both"/>
        <w:rPr>
          <w:sz w:val="24"/>
        </w:rPr>
      </w:pPr>
      <w:r w:rsidRPr="00FC5A2A">
        <w:rPr>
          <w:sz w:val="24"/>
        </w:rPr>
        <w:t>Gaughan</w:t>
      </w:r>
      <w:r>
        <w:rPr>
          <w:sz w:val="24"/>
        </w:rPr>
        <w:t>,</w:t>
      </w:r>
      <w:r w:rsidRPr="00FC5A2A">
        <w:rPr>
          <w:sz w:val="24"/>
        </w:rPr>
        <w:t xml:space="preserve"> J., Grav</w:t>
      </w:r>
      <w:r>
        <w:rPr>
          <w:sz w:val="24"/>
        </w:rPr>
        <w:t>e</w:t>
      </w:r>
      <w:r w:rsidRPr="00FC5A2A">
        <w:rPr>
          <w:sz w:val="24"/>
        </w:rPr>
        <w:t>lle</w:t>
      </w:r>
      <w:r>
        <w:rPr>
          <w:sz w:val="24"/>
        </w:rPr>
        <w:t>,</w:t>
      </w:r>
      <w:r w:rsidRPr="00FC5A2A">
        <w:rPr>
          <w:sz w:val="24"/>
        </w:rPr>
        <w:t xml:space="preserve"> H.</w:t>
      </w:r>
      <w:r>
        <w:rPr>
          <w:sz w:val="24"/>
        </w:rPr>
        <w:t xml:space="preserve"> and Siciliani, L. (2015</w:t>
      </w:r>
      <w:r w:rsidRPr="00FC5A2A">
        <w:rPr>
          <w:sz w:val="24"/>
        </w:rPr>
        <w:t>)</w:t>
      </w:r>
      <w:r>
        <w:rPr>
          <w:sz w:val="24"/>
        </w:rPr>
        <w:t>,</w:t>
      </w:r>
      <w:r w:rsidRPr="00FC5A2A">
        <w:rPr>
          <w:sz w:val="24"/>
        </w:rPr>
        <w:t xml:space="preserve"> </w:t>
      </w:r>
      <w:r>
        <w:rPr>
          <w:sz w:val="24"/>
        </w:rPr>
        <w:t>‘</w:t>
      </w:r>
      <w:r w:rsidRPr="00FC5A2A">
        <w:rPr>
          <w:sz w:val="24"/>
        </w:rPr>
        <w:t>Testing the bed-blocking hypothesis: Does higher supply of nursing and care homes reduce delayed hospital discharges?</w:t>
      </w:r>
      <w:r>
        <w:rPr>
          <w:sz w:val="24"/>
        </w:rPr>
        <w:t xml:space="preserve">’, </w:t>
      </w:r>
      <w:r w:rsidRPr="00325AD4">
        <w:rPr>
          <w:sz w:val="24"/>
        </w:rPr>
        <w:t>Health Economics,</w:t>
      </w:r>
      <w:r w:rsidRPr="00AA200B">
        <w:rPr>
          <w:sz w:val="24"/>
        </w:rPr>
        <w:t xml:space="preserve"> </w:t>
      </w:r>
      <w:r>
        <w:rPr>
          <w:sz w:val="24"/>
        </w:rPr>
        <w:t>vol.</w:t>
      </w:r>
      <w:r>
        <w:rPr>
          <w:i/>
          <w:sz w:val="24"/>
        </w:rPr>
        <w:t xml:space="preserve"> </w:t>
      </w:r>
      <w:r w:rsidRPr="00325AD4">
        <w:rPr>
          <w:sz w:val="24"/>
        </w:rPr>
        <w:t>24</w:t>
      </w:r>
      <w:r>
        <w:t>, no. S1, pp. 32-44</w:t>
      </w:r>
      <w:r w:rsidRPr="00FC5A2A">
        <w:rPr>
          <w:sz w:val="24"/>
        </w:rPr>
        <w:t xml:space="preserve"> </w:t>
      </w:r>
    </w:p>
    <w:p w:rsidR="00343E91" w:rsidRDefault="00343E91" w:rsidP="00325AD4">
      <w:pPr>
        <w:spacing w:line="360" w:lineRule="auto"/>
        <w:jc w:val="both"/>
        <w:rPr>
          <w:rFonts w:cs="AdvTT153188ed"/>
          <w:sz w:val="24"/>
        </w:rPr>
      </w:pPr>
      <w:r w:rsidRPr="00FC5A2A">
        <w:rPr>
          <w:rFonts w:cs="AdvTT153188ed"/>
          <w:sz w:val="24"/>
        </w:rPr>
        <w:t>Glasby</w:t>
      </w:r>
      <w:r>
        <w:rPr>
          <w:rFonts w:cs="AdvTT153188ed"/>
          <w:sz w:val="24"/>
        </w:rPr>
        <w:t>,</w:t>
      </w:r>
      <w:r w:rsidRPr="00FC5A2A">
        <w:rPr>
          <w:rFonts w:cs="AdvTT153188ed"/>
          <w:sz w:val="24"/>
        </w:rPr>
        <w:t xml:space="preserve"> J</w:t>
      </w:r>
      <w:r>
        <w:rPr>
          <w:rFonts w:cs="AdvTT153188ed"/>
          <w:sz w:val="24"/>
        </w:rPr>
        <w:t>.</w:t>
      </w:r>
      <w:r w:rsidRPr="00FC5A2A">
        <w:rPr>
          <w:rFonts w:cs="AdvTT153188ed"/>
          <w:sz w:val="24"/>
        </w:rPr>
        <w:t>, Dickinson</w:t>
      </w:r>
      <w:r>
        <w:rPr>
          <w:rFonts w:cs="AdvTT153188ed"/>
          <w:sz w:val="24"/>
        </w:rPr>
        <w:t>,</w:t>
      </w:r>
      <w:r w:rsidRPr="00FC5A2A">
        <w:rPr>
          <w:rFonts w:cs="AdvTT153188ed"/>
          <w:sz w:val="24"/>
        </w:rPr>
        <w:t xml:space="preserve"> H</w:t>
      </w:r>
      <w:r>
        <w:rPr>
          <w:rFonts w:cs="AdvTT153188ed"/>
          <w:sz w:val="24"/>
        </w:rPr>
        <w:t>.</w:t>
      </w:r>
      <w:r w:rsidRPr="00FC5A2A">
        <w:rPr>
          <w:rFonts w:cs="AdvTT153188ed"/>
          <w:sz w:val="24"/>
        </w:rPr>
        <w:t xml:space="preserve"> and Miller</w:t>
      </w:r>
      <w:r>
        <w:rPr>
          <w:rFonts w:cs="AdvTT153188ed"/>
          <w:sz w:val="24"/>
        </w:rPr>
        <w:t>,</w:t>
      </w:r>
      <w:r w:rsidRPr="00FC5A2A">
        <w:rPr>
          <w:rFonts w:cs="AdvTT153188ed"/>
          <w:sz w:val="24"/>
        </w:rPr>
        <w:t xml:space="preserve"> R.  (2011)</w:t>
      </w:r>
      <w:r>
        <w:rPr>
          <w:rFonts w:cs="AdvTT153188ed"/>
          <w:sz w:val="24"/>
        </w:rPr>
        <w:t>,</w:t>
      </w:r>
      <w:r w:rsidRPr="00FC5A2A">
        <w:rPr>
          <w:rFonts w:cs="AdvTT153188ed"/>
          <w:sz w:val="24"/>
        </w:rPr>
        <w:t xml:space="preserve"> </w:t>
      </w:r>
      <w:r>
        <w:rPr>
          <w:rFonts w:cs="AdvTT153188ed"/>
          <w:sz w:val="24"/>
        </w:rPr>
        <w:t>‘</w:t>
      </w:r>
      <w:r w:rsidRPr="00FC5A2A">
        <w:rPr>
          <w:rFonts w:cs="AdvTT153188ed"/>
          <w:sz w:val="24"/>
        </w:rPr>
        <w:t>Partnership working in England: where we are now and where we</w:t>
      </w:r>
      <w:r w:rsidRPr="00FC5A2A">
        <w:rPr>
          <w:rFonts w:cs="AdvOTb0c9bf5d+20"/>
          <w:sz w:val="24"/>
        </w:rPr>
        <w:t>’</w:t>
      </w:r>
      <w:r>
        <w:rPr>
          <w:rFonts w:cs="AdvTT153188ed"/>
          <w:sz w:val="24"/>
        </w:rPr>
        <w:t>ve come from’,</w:t>
      </w:r>
      <w:r w:rsidRPr="00FC5A2A">
        <w:rPr>
          <w:rFonts w:cs="AdvTT153188ed"/>
          <w:sz w:val="24"/>
        </w:rPr>
        <w:t xml:space="preserve"> International Journal of Integrated Care</w:t>
      </w:r>
      <w:r>
        <w:rPr>
          <w:rFonts w:cs="AdvTT153188ed"/>
          <w:sz w:val="24"/>
        </w:rPr>
        <w:t>, vol.</w:t>
      </w:r>
      <w:r w:rsidRPr="00FC5A2A">
        <w:rPr>
          <w:rFonts w:cs="AdvTT153188ed"/>
          <w:sz w:val="24"/>
        </w:rPr>
        <w:t xml:space="preserve"> </w:t>
      </w:r>
      <w:r w:rsidRPr="00A24011">
        <w:rPr>
          <w:rFonts w:cs="AdvTT153188ed"/>
          <w:sz w:val="24"/>
        </w:rPr>
        <w:t>11</w:t>
      </w:r>
      <w:r w:rsidRPr="00FC5A2A">
        <w:rPr>
          <w:rFonts w:cs="AdvTT153188ed"/>
          <w:sz w:val="24"/>
        </w:rPr>
        <w:t xml:space="preserve">, </w:t>
      </w:r>
      <w:r>
        <w:rPr>
          <w:rFonts w:cs="AdvTT153188ed"/>
          <w:sz w:val="24"/>
        </w:rPr>
        <w:t xml:space="preserve">pp. </w:t>
      </w:r>
      <w:r w:rsidRPr="00FC5A2A">
        <w:rPr>
          <w:rFonts w:cs="AdvTT153188ed"/>
          <w:sz w:val="24"/>
        </w:rPr>
        <w:t>1-8.</w:t>
      </w:r>
    </w:p>
    <w:p w:rsidR="004B21A0" w:rsidRDefault="00343E91" w:rsidP="00325AD4">
      <w:pPr>
        <w:spacing w:line="360" w:lineRule="auto"/>
        <w:jc w:val="both"/>
        <w:rPr>
          <w:sz w:val="24"/>
        </w:rPr>
      </w:pPr>
      <w:r w:rsidRPr="00FC5A2A">
        <w:rPr>
          <w:sz w:val="24"/>
        </w:rPr>
        <w:t>Health Foundation (2013)</w:t>
      </w:r>
      <w:r>
        <w:rPr>
          <w:sz w:val="24"/>
        </w:rPr>
        <w:t>,</w:t>
      </w:r>
      <w:r w:rsidRPr="00FC5A2A">
        <w:rPr>
          <w:sz w:val="24"/>
        </w:rPr>
        <w:t xml:space="preserve"> </w:t>
      </w:r>
      <w:r>
        <w:rPr>
          <w:sz w:val="24"/>
        </w:rPr>
        <w:t>‘</w:t>
      </w:r>
      <w:r w:rsidRPr="00FC5A2A">
        <w:rPr>
          <w:sz w:val="24"/>
        </w:rPr>
        <w:t>Improving the flow of older people: Sheffield teaching hospital NHS Trust’s experience of the flow cost quality improvement programme</w:t>
      </w:r>
      <w:r>
        <w:rPr>
          <w:sz w:val="24"/>
        </w:rPr>
        <w:t>’</w:t>
      </w:r>
      <w:r w:rsidRPr="00FC5A2A">
        <w:rPr>
          <w:sz w:val="24"/>
        </w:rPr>
        <w:t>, London, viewed on 10.04.15</w:t>
      </w:r>
      <w:r>
        <w:rPr>
          <w:sz w:val="24"/>
        </w:rPr>
        <w:t xml:space="preserve">, </w:t>
      </w:r>
    </w:p>
    <w:p w:rsidR="00343E91" w:rsidRDefault="00270F33" w:rsidP="00325AD4">
      <w:pPr>
        <w:spacing w:line="360" w:lineRule="auto"/>
        <w:jc w:val="both"/>
        <w:rPr>
          <w:sz w:val="24"/>
        </w:rPr>
      </w:pPr>
      <w:hyperlink r:id="rId15" w:history="1">
        <w:r w:rsidR="00343E91" w:rsidRPr="00FC5A2A">
          <w:rPr>
            <w:rStyle w:val="Hyperlink"/>
            <w:sz w:val="24"/>
          </w:rPr>
          <w:t>http://www.health.org.uk/media_manager/public/75/publications_pdfs/Improving%20the%20flow%20of%20older%20people.pdf</w:t>
        </w:r>
      </w:hyperlink>
    </w:p>
    <w:p w:rsidR="00343E91" w:rsidRPr="00FC5A2A" w:rsidRDefault="00343E91" w:rsidP="00343E91">
      <w:pPr>
        <w:spacing w:line="360" w:lineRule="auto"/>
        <w:rPr>
          <w:sz w:val="24"/>
        </w:rPr>
      </w:pPr>
      <w:r w:rsidRPr="00FC5A2A">
        <w:rPr>
          <w:sz w:val="24"/>
        </w:rPr>
        <w:t>House of Commons Health Committee (2013)</w:t>
      </w:r>
      <w:r>
        <w:rPr>
          <w:sz w:val="24"/>
        </w:rPr>
        <w:t>,</w:t>
      </w:r>
      <w:r w:rsidRPr="00FC5A2A">
        <w:rPr>
          <w:sz w:val="24"/>
        </w:rPr>
        <w:t xml:space="preserve"> </w:t>
      </w:r>
      <w:r>
        <w:rPr>
          <w:sz w:val="24"/>
        </w:rPr>
        <w:t>‘</w:t>
      </w:r>
      <w:r w:rsidRPr="00FC5A2A">
        <w:rPr>
          <w:sz w:val="24"/>
        </w:rPr>
        <w:t>Second Report of Session 2013-14 Volume I: Urgent and Emergency Care</w:t>
      </w:r>
      <w:r>
        <w:rPr>
          <w:sz w:val="24"/>
        </w:rPr>
        <w:t>’</w:t>
      </w:r>
      <w:r w:rsidRPr="00FC5A2A">
        <w:rPr>
          <w:sz w:val="24"/>
        </w:rPr>
        <w:t>, London</w:t>
      </w:r>
      <w:r>
        <w:rPr>
          <w:sz w:val="24"/>
        </w:rPr>
        <w:t>,</w:t>
      </w:r>
      <w:r w:rsidRPr="00FC5A2A">
        <w:rPr>
          <w:sz w:val="24"/>
        </w:rPr>
        <w:t xml:space="preserve"> viewed on 10.04.15</w:t>
      </w:r>
      <w:r>
        <w:rPr>
          <w:sz w:val="24"/>
        </w:rPr>
        <w:t>,</w:t>
      </w:r>
      <w:r w:rsidRPr="00FC5A2A">
        <w:rPr>
          <w:sz w:val="24"/>
        </w:rPr>
        <w:t xml:space="preserve"> </w:t>
      </w:r>
      <w:hyperlink r:id="rId16" w:history="1">
        <w:r w:rsidRPr="00FC5A2A">
          <w:rPr>
            <w:rStyle w:val="Hyperlink"/>
            <w:sz w:val="24"/>
          </w:rPr>
          <w:t>http://www.publications.parliament.uk/pa/cm201314/cmselect/cmhealth/171/17102.htm</w:t>
        </w:r>
      </w:hyperlink>
      <w:r w:rsidRPr="00FC5A2A">
        <w:rPr>
          <w:sz w:val="24"/>
        </w:rPr>
        <w:t xml:space="preserve"> </w:t>
      </w:r>
    </w:p>
    <w:p w:rsidR="00343E91" w:rsidRPr="00261ACF" w:rsidRDefault="00343E91" w:rsidP="00AA200B">
      <w:pPr>
        <w:spacing w:line="360" w:lineRule="auto"/>
        <w:rPr>
          <w:rStyle w:val="Hyperlink"/>
          <w:color w:val="auto"/>
          <w:sz w:val="24"/>
        </w:rPr>
      </w:pPr>
      <w:r>
        <w:rPr>
          <w:sz w:val="24"/>
        </w:rPr>
        <w:t xml:space="preserve">HSCIC (2013a), ‘Emergency readmissions to hospital within 28 days of discharge: Indicators specification document’, viewed on 30.09.15, </w:t>
      </w:r>
      <w:hyperlink r:id="rId17" w:history="1">
        <w:r w:rsidRPr="001D4AA7">
          <w:rPr>
            <w:rStyle w:val="Hyperlink"/>
            <w:sz w:val="24"/>
          </w:rPr>
          <w:t>https://indicators.ic.nhs.uk/download/NCHOD/Specification/Spec_03N_523ISP4ADP_12_V1.pdf</w:t>
        </w:r>
      </w:hyperlink>
    </w:p>
    <w:p w:rsidR="00343E91" w:rsidRDefault="00343E91" w:rsidP="00325AD4">
      <w:pPr>
        <w:spacing w:line="360" w:lineRule="auto"/>
        <w:jc w:val="both"/>
        <w:rPr>
          <w:sz w:val="24"/>
        </w:rPr>
      </w:pPr>
      <w:r w:rsidRPr="00FC5A2A">
        <w:rPr>
          <w:sz w:val="24"/>
        </w:rPr>
        <w:lastRenderedPageBreak/>
        <w:t>HSCIC (2013</w:t>
      </w:r>
      <w:r>
        <w:rPr>
          <w:sz w:val="24"/>
        </w:rPr>
        <w:t>b</w:t>
      </w:r>
      <w:r w:rsidRPr="00FC5A2A">
        <w:rPr>
          <w:sz w:val="24"/>
        </w:rPr>
        <w:t>)</w:t>
      </w:r>
      <w:r>
        <w:rPr>
          <w:sz w:val="24"/>
        </w:rPr>
        <w:t>,</w:t>
      </w:r>
      <w:r w:rsidRPr="00FC5A2A">
        <w:rPr>
          <w:sz w:val="24"/>
        </w:rPr>
        <w:t xml:space="preserve"> </w:t>
      </w:r>
      <w:r>
        <w:rPr>
          <w:sz w:val="24"/>
        </w:rPr>
        <w:t>‘</w:t>
      </w:r>
      <w:r w:rsidRPr="00FC5A2A">
        <w:rPr>
          <w:sz w:val="24"/>
        </w:rPr>
        <w:t xml:space="preserve">Hospital Episode Statistics, </w:t>
      </w:r>
      <w:r>
        <w:rPr>
          <w:sz w:val="24"/>
        </w:rPr>
        <w:t xml:space="preserve">Admitted Patient Care, England </w:t>
      </w:r>
      <w:r w:rsidRPr="00FC5A2A">
        <w:rPr>
          <w:sz w:val="24"/>
        </w:rPr>
        <w:t>2012-13 (NS)</w:t>
      </w:r>
      <w:r>
        <w:rPr>
          <w:sz w:val="24"/>
        </w:rPr>
        <w:t>’</w:t>
      </w:r>
      <w:r w:rsidRPr="00FC5A2A">
        <w:rPr>
          <w:sz w:val="24"/>
        </w:rPr>
        <w:t xml:space="preserve">, viewed on 08.09.14, </w:t>
      </w:r>
      <w:hyperlink r:id="rId18" w:history="1">
        <w:r w:rsidRPr="00FC5A2A">
          <w:rPr>
            <w:rStyle w:val="Hyperlink"/>
            <w:sz w:val="24"/>
          </w:rPr>
          <w:t>http://www.hscic.gov.uk/catalogue/PUB12566</w:t>
        </w:r>
      </w:hyperlink>
      <w:r w:rsidRPr="00FC5A2A">
        <w:rPr>
          <w:sz w:val="24"/>
        </w:rPr>
        <w:t xml:space="preserve"> </w:t>
      </w:r>
    </w:p>
    <w:p w:rsidR="009F3E6D" w:rsidRDefault="00B969D1" w:rsidP="00343E91">
      <w:pPr>
        <w:spacing w:line="360" w:lineRule="auto"/>
        <w:rPr>
          <w:sz w:val="24"/>
        </w:rPr>
      </w:pPr>
      <w:r>
        <w:rPr>
          <w:sz w:val="24"/>
        </w:rPr>
        <w:t xml:space="preserve">HSCIC (2013c), ‘Important updates to iView monthly workforce’ viewed on 09.09.2014, </w:t>
      </w:r>
      <w:hyperlink r:id="rId19" w:history="1">
        <w:r w:rsidRPr="00AC59CF">
          <w:rPr>
            <w:rStyle w:val="Hyperlink"/>
            <w:sz w:val="24"/>
          </w:rPr>
          <w:t>http://www.ewin2.nhs.uk.boilerhousestudio.co.uk/news/item/2335/important-updates-to-iview-monthly-workforce-nhs-earnings-is-now-live-and-benchmark-organisation-grouping-changes</w:t>
        </w:r>
      </w:hyperlink>
    </w:p>
    <w:p w:rsidR="00343E91" w:rsidRDefault="00343E91" w:rsidP="00343E91">
      <w:pPr>
        <w:spacing w:line="360" w:lineRule="auto"/>
        <w:rPr>
          <w:sz w:val="24"/>
        </w:rPr>
      </w:pPr>
      <w:r>
        <w:rPr>
          <w:sz w:val="24"/>
        </w:rPr>
        <w:t xml:space="preserve">HSCIC (2014), ‘Indicator portal’, viewed on 30.09.15, </w:t>
      </w:r>
      <w:hyperlink r:id="rId20" w:history="1">
        <w:r w:rsidRPr="001D4AA7">
          <w:rPr>
            <w:rStyle w:val="Hyperlink"/>
            <w:sz w:val="24"/>
          </w:rPr>
          <w:t>https://indicators.ic.nhs.uk/webview/</w:t>
        </w:r>
      </w:hyperlink>
      <w:r>
        <w:rPr>
          <w:sz w:val="24"/>
        </w:rPr>
        <w:t xml:space="preserve"> </w:t>
      </w:r>
    </w:p>
    <w:p w:rsidR="00343E91" w:rsidRPr="00FC5A2A" w:rsidRDefault="00343E91" w:rsidP="00325AD4">
      <w:pPr>
        <w:spacing w:line="360" w:lineRule="auto"/>
        <w:jc w:val="both"/>
        <w:rPr>
          <w:sz w:val="24"/>
        </w:rPr>
      </w:pPr>
      <w:r w:rsidRPr="00FC5A2A">
        <w:rPr>
          <w:sz w:val="24"/>
        </w:rPr>
        <w:t>Kasteridis</w:t>
      </w:r>
      <w:r>
        <w:rPr>
          <w:sz w:val="24"/>
        </w:rPr>
        <w:t>,</w:t>
      </w:r>
      <w:r w:rsidRPr="00FC5A2A">
        <w:rPr>
          <w:sz w:val="24"/>
        </w:rPr>
        <w:t xml:space="preserve"> P., Street</w:t>
      </w:r>
      <w:r>
        <w:rPr>
          <w:sz w:val="24"/>
        </w:rPr>
        <w:t>,</w:t>
      </w:r>
      <w:r w:rsidRPr="00FC5A2A">
        <w:rPr>
          <w:sz w:val="24"/>
        </w:rPr>
        <w:t xml:space="preserve"> A., Dolman</w:t>
      </w:r>
      <w:r>
        <w:rPr>
          <w:sz w:val="24"/>
        </w:rPr>
        <w:t>,</w:t>
      </w:r>
      <w:r w:rsidRPr="00FC5A2A">
        <w:rPr>
          <w:sz w:val="24"/>
        </w:rPr>
        <w:t xml:space="preserve"> M., Gallier</w:t>
      </w:r>
      <w:r>
        <w:rPr>
          <w:sz w:val="24"/>
        </w:rPr>
        <w:t>,</w:t>
      </w:r>
      <w:r w:rsidRPr="00FC5A2A">
        <w:rPr>
          <w:sz w:val="24"/>
        </w:rPr>
        <w:t xml:space="preserve"> L., Hudson</w:t>
      </w:r>
      <w:r>
        <w:rPr>
          <w:sz w:val="24"/>
        </w:rPr>
        <w:t>,</w:t>
      </w:r>
      <w:r w:rsidRPr="00FC5A2A">
        <w:rPr>
          <w:sz w:val="24"/>
        </w:rPr>
        <w:t xml:space="preserve"> K., Martin</w:t>
      </w:r>
      <w:r>
        <w:rPr>
          <w:sz w:val="24"/>
        </w:rPr>
        <w:t>,</w:t>
      </w:r>
      <w:r w:rsidRPr="00FC5A2A">
        <w:rPr>
          <w:sz w:val="24"/>
        </w:rPr>
        <w:t xml:space="preserve"> J., and Wyer</w:t>
      </w:r>
      <w:r>
        <w:rPr>
          <w:sz w:val="24"/>
        </w:rPr>
        <w:t>,</w:t>
      </w:r>
      <w:r w:rsidRPr="00FC5A2A">
        <w:rPr>
          <w:sz w:val="24"/>
        </w:rPr>
        <w:t xml:space="preserve"> I. (2015)</w:t>
      </w:r>
      <w:r>
        <w:rPr>
          <w:sz w:val="24"/>
        </w:rPr>
        <w:t>,</w:t>
      </w:r>
      <w:r w:rsidRPr="00FC5A2A">
        <w:rPr>
          <w:sz w:val="24"/>
        </w:rPr>
        <w:t xml:space="preserve"> </w:t>
      </w:r>
      <w:r>
        <w:rPr>
          <w:sz w:val="24"/>
        </w:rPr>
        <w:t>‘</w:t>
      </w:r>
      <w:r w:rsidRPr="00FC5A2A">
        <w:rPr>
          <w:sz w:val="24"/>
        </w:rPr>
        <w:t>Who would benefit most from improved integrated care? Implementing an analytical strategy in South Somerset</w:t>
      </w:r>
      <w:r>
        <w:rPr>
          <w:sz w:val="24"/>
        </w:rPr>
        <w:t>’,</w:t>
      </w:r>
      <w:r w:rsidRPr="00FC5A2A">
        <w:rPr>
          <w:sz w:val="24"/>
        </w:rPr>
        <w:t xml:space="preserve"> Journal of Integrated Care, </w:t>
      </w:r>
      <w:r>
        <w:rPr>
          <w:sz w:val="24"/>
        </w:rPr>
        <w:t xml:space="preserve">vol. </w:t>
      </w:r>
      <w:r w:rsidRPr="00CA50C0">
        <w:rPr>
          <w:sz w:val="24"/>
        </w:rPr>
        <w:t>15, pp. 1-11</w:t>
      </w:r>
      <w:r>
        <w:rPr>
          <w:b/>
          <w:sz w:val="24"/>
        </w:rPr>
        <w:t xml:space="preserve"> </w:t>
      </w:r>
    </w:p>
    <w:p w:rsidR="00343E91" w:rsidRPr="00FC5A2A" w:rsidRDefault="00343E91" w:rsidP="00325AD4">
      <w:pPr>
        <w:spacing w:line="360" w:lineRule="auto"/>
        <w:jc w:val="both"/>
        <w:rPr>
          <w:sz w:val="24"/>
        </w:rPr>
      </w:pPr>
      <w:r w:rsidRPr="00FC5A2A">
        <w:rPr>
          <w:sz w:val="24"/>
        </w:rPr>
        <w:t>Kolstad</w:t>
      </w:r>
      <w:r>
        <w:rPr>
          <w:sz w:val="24"/>
        </w:rPr>
        <w:t>,</w:t>
      </w:r>
      <w:r w:rsidRPr="00FC5A2A">
        <w:rPr>
          <w:sz w:val="24"/>
        </w:rPr>
        <w:t xml:space="preserve"> J</w:t>
      </w:r>
      <w:r>
        <w:rPr>
          <w:sz w:val="24"/>
        </w:rPr>
        <w:t xml:space="preserve">. </w:t>
      </w:r>
      <w:r w:rsidRPr="00FC5A2A">
        <w:rPr>
          <w:sz w:val="24"/>
        </w:rPr>
        <w:t>T</w:t>
      </w:r>
      <w:r>
        <w:rPr>
          <w:sz w:val="24"/>
        </w:rPr>
        <w:t>. and</w:t>
      </w:r>
      <w:r w:rsidRPr="00FC5A2A">
        <w:rPr>
          <w:sz w:val="24"/>
        </w:rPr>
        <w:t xml:space="preserve"> Kowalski</w:t>
      </w:r>
      <w:r>
        <w:rPr>
          <w:sz w:val="24"/>
        </w:rPr>
        <w:t>,</w:t>
      </w:r>
      <w:r w:rsidRPr="00FC5A2A">
        <w:rPr>
          <w:sz w:val="24"/>
        </w:rPr>
        <w:t xml:space="preserve"> A</w:t>
      </w:r>
      <w:r>
        <w:rPr>
          <w:sz w:val="24"/>
        </w:rPr>
        <w:t xml:space="preserve">. </w:t>
      </w:r>
      <w:r w:rsidRPr="00FC5A2A">
        <w:rPr>
          <w:sz w:val="24"/>
        </w:rPr>
        <w:t>E. (2012)</w:t>
      </w:r>
      <w:r>
        <w:rPr>
          <w:sz w:val="24"/>
        </w:rPr>
        <w:t>,</w:t>
      </w:r>
      <w:r w:rsidRPr="00FC5A2A">
        <w:rPr>
          <w:sz w:val="24"/>
        </w:rPr>
        <w:t xml:space="preserve"> </w:t>
      </w:r>
      <w:r>
        <w:rPr>
          <w:sz w:val="24"/>
        </w:rPr>
        <w:t>‘</w:t>
      </w:r>
      <w:r w:rsidRPr="00FC5A2A">
        <w:rPr>
          <w:sz w:val="24"/>
        </w:rPr>
        <w:t>The impact of health care reform on hospital and preventive care: Evidence from Massachusetts</w:t>
      </w:r>
      <w:r>
        <w:rPr>
          <w:sz w:val="24"/>
        </w:rPr>
        <w:t>’,</w:t>
      </w:r>
      <w:r w:rsidRPr="00FC5A2A">
        <w:rPr>
          <w:sz w:val="24"/>
        </w:rPr>
        <w:t xml:space="preserve"> Journal of Publ</w:t>
      </w:r>
      <w:r>
        <w:rPr>
          <w:sz w:val="24"/>
        </w:rPr>
        <w:t>ic Economics, vol.</w:t>
      </w:r>
      <w:r w:rsidRPr="00FC5A2A">
        <w:rPr>
          <w:sz w:val="24"/>
        </w:rPr>
        <w:t xml:space="preserve"> </w:t>
      </w:r>
      <w:r w:rsidRPr="00CA50C0">
        <w:rPr>
          <w:sz w:val="24"/>
        </w:rPr>
        <w:t>96</w:t>
      </w:r>
      <w:r w:rsidRPr="00FC5A2A">
        <w:rPr>
          <w:sz w:val="24"/>
        </w:rPr>
        <w:t xml:space="preserve">, </w:t>
      </w:r>
      <w:r>
        <w:rPr>
          <w:sz w:val="24"/>
        </w:rPr>
        <w:t xml:space="preserve">pp. </w:t>
      </w:r>
      <w:r w:rsidRPr="00FC5A2A">
        <w:rPr>
          <w:sz w:val="24"/>
        </w:rPr>
        <w:t>909-29.</w:t>
      </w:r>
    </w:p>
    <w:p w:rsidR="00343E91" w:rsidRPr="00FC5A2A" w:rsidRDefault="00343E91" w:rsidP="00325AD4">
      <w:pPr>
        <w:spacing w:line="360" w:lineRule="auto"/>
        <w:jc w:val="both"/>
        <w:rPr>
          <w:sz w:val="24"/>
        </w:rPr>
      </w:pPr>
      <w:r>
        <w:rPr>
          <w:sz w:val="24"/>
        </w:rPr>
        <w:t>Kuhn, M. and Nuscheler, R.</w:t>
      </w:r>
      <w:r w:rsidRPr="00FC5A2A">
        <w:rPr>
          <w:sz w:val="24"/>
        </w:rPr>
        <w:t xml:space="preserve"> (2011)</w:t>
      </w:r>
      <w:r>
        <w:rPr>
          <w:sz w:val="24"/>
        </w:rPr>
        <w:t>,</w:t>
      </w:r>
      <w:r w:rsidRPr="00FC5A2A">
        <w:rPr>
          <w:sz w:val="24"/>
        </w:rPr>
        <w:t xml:space="preserve"> </w:t>
      </w:r>
      <w:r>
        <w:rPr>
          <w:sz w:val="24"/>
        </w:rPr>
        <w:t>‘</w:t>
      </w:r>
      <w:r w:rsidRPr="00FC5A2A">
        <w:rPr>
          <w:sz w:val="24"/>
        </w:rPr>
        <w:t>Optimal public provision of nursing homes and the role of information</w:t>
      </w:r>
      <w:r>
        <w:rPr>
          <w:sz w:val="24"/>
        </w:rPr>
        <w:t>’</w:t>
      </w:r>
      <w:r w:rsidRPr="00FC5A2A">
        <w:rPr>
          <w:sz w:val="24"/>
        </w:rPr>
        <w:t xml:space="preserve">, Journal of Health Economics, </w:t>
      </w:r>
      <w:r>
        <w:rPr>
          <w:sz w:val="24"/>
        </w:rPr>
        <w:t xml:space="preserve">vol. </w:t>
      </w:r>
      <w:r w:rsidRPr="00CA50C0">
        <w:rPr>
          <w:sz w:val="24"/>
        </w:rPr>
        <w:t>30</w:t>
      </w:r>
      <w:r w:rsidRPr="00FC5A2A">
        <w:rPr>
          <w:sz w:val="24"/>
        </w:rPr>
        <w:t xml:space="preserve">, </w:t>
      </w:r>
      <w:r>
        <w:rPr>
          <w:sz w:val="24"/>
        </w:rPr>
        <w:t xml:space="preserve">pp. </w:t>
      </w:r>
      <w:r w:rsidRPr="00FC5A2A">
        <w:rPr>
          <w:sz w:val="24"/>
        </w:rPr>
        <w:t>795-810.</w:t>
      </w:r>
    </w:p>
    <w:p w:rsidR="00343E91" w:rsidRPr="00160103" w:rsidRDefault="00343E91" w:rsidP="00325AD4">
      <w:pPr>
        <w:spacing w:line="360" w:lineRule="auto"/>
        <w:jc w:val="both"/>
        <w:rPr>
          <w:sz w:val="24"/>
        </w:rPr>
      </w:pPr>
      <w:r w:rsidRPr="00160103">
        <w:rPr>
          <w:sz w:val="24"/>
        </w:rPr>
        <w:t>Laing and Buisson (2010)</w:t>
      </w:r>
      <w:r>
        <w:rPr>
          <w:sz w:val="24"/>
        </w:rPr>
        <w:t>,</w:t>
      </w:r>
      <w:r w:rsidRPr="00160103">
        <w:rPr>
          <w:sz w:val="24"/>
        </w:rPr>
        <w:t xml:space="preserve"> </w:t>
      </w:r>
      <w:r>
        <w:rPr>
          <w:sz w:val="24"/>
        </w:rPr>
        <w:t>‘</w:t>
      </w:r>
      <w:r w:rsidRPr="00160103">
        <w:rPr>
          <w:sz w:val="24"/>
        </w:rPr>
        <w:t>Laing and Buisson: Care homes complete dataset</w:t>
      </w:r>
      <w:r>
        <w:rPr>
          <w:sz w:val="24"/>
        </w:rPr>
        <w:t>’</w:t>
      </w:r>
      <w:r w:rsidRPr="00160103">
        <w:rPr>
          <w:sz w:val="24"/>
        </w:rPr>
        <w:t>, viewed on 06.01.11</w:t>
      </w:r>
      <w:r>
        <w:rPr>
          <w:sz w:val="24"/>
        </w:rPr>
        <w:t>,</w:t>
      </w:r>
      <w:r w:rsidRPr="00160103">
        <w:rPr>
          <w:sz w:val="24"/>
        </w:rPr>
        <w:t xml:space="preserve"> </w:t>
      </w:r>
      <w:hyperlink r:id="rId21" w:history="1">
        <w:r w:rsidRPr="001C05C7">
          <w:rPr>
            <w:rStyle w:val="Hyperlink"/>
            <w:sz w:val="24"/>
          </w:rPr>
          <w:t>www.laingbuisson.co.uk/Data/CareHomes/tabid/603/ProductID/50/Default.aspx</w:t>
        </w:r>
      </w:hyperlink>
      <w:r>
        <w:rPr>
          <w:sz w:val="24"/>
        </w:rPr>
        <w:t xml:space="preserve"> </w:t>
      </w:r>
    </w:p>
    <w:p w:rsidR="00343E91" w:rsidRPr="00160103" w:rsidRDefault="00343E91" w:rsidP="00325AD4">
      <w:pPr>
        <w:spacing w:line="360" w:lineRule="auto"/>
        <w:jc w:val="both"/>
        <w:rPr>
          <w:sz w:val="28"/>
        </w:rPr>
      </w:pPr>
      <w:r w:rsidRPr="00FC5A2A">
        <w:rPr>
          <w:sz w:val="24"/>
        </w:rPr>
        <w:t>Lowe</w:t>
      </w:r>
      <w:r>
        <w:rPr>
          <w:sz w:val="24"/>
        </w:rPr>
        <w:t>,</w:t>
      </w:r>
      <w:r w:rsidRPr="00FC5A2A">
        <w:rPr>
          <w:sz w:val="24"/>
        </w:rPr>
        <w:t xml:space="preserve"> C.</w:t>
      </w:r>
      <w:r>
        <w:rPr>
          <w:sz w:val="24"/>
        </w:rPr>
        <w:t xml:space="preserve"> </w:t>
      </w:r>
      <w:r w:rsidRPr="00FC5A2A">
        <w:rPr>
          <w:sz w:val="24"/>
        </w:rPr>
        <w:t>R. and McKeown</w:t>
      </w:r>
      <w:r>
        <w:rPr>
          <w:sz w:val="24"/>
        </w:rPr>
        <w:t xml:space="preserve"> T.</w:t>
      </w:r>
      <w:r w:rsidRPr="00FC5A2A">
        <w:rPr>
          <w:sz w:val="24"/>
        </w:rPr>
        <w:t xml:space="preserve"> (1949)</w:t>
      </w:r>
      <w:r>
        <w:rPr>
          <w:sz w:val="24"/>
        </w:rPr>
        <w:t>,</w:t>
      </w:r>
      <w:r w:rsidRPr="00FC5A2A">
        <w:rPr>
          <w:sz w:val="24"/>
        </w:rPr>
        <w:t xml:space="preserve"> </w:t>
      </w:r>
      <w:r>
        <w:rPr>
          <w:sz w:val="24"/>
        </w:rPr>
        <w:t>‘</w:t>
      </w:r>
      <w:r w:rsidRPr="00FC5A2A">
        <w:rPr>
          <w:sz w:val="24"/>
        </w:rPr>
        <w:t>The care of the chronic sick: 1. Medical and nursing req</w:t>
      </w:r>
      <w:r>
        <w:rPr>
          <w:sz w:val="24"/>
        </w:rPr>
        <w:t>uirements’,</w:t>
      </w:r>
      <w:r w:rsidRPr="00FC5A2A">
        <w:rPr>
          <w:sz w:val="24"/>
        </w:rPr>
        <w:t xml:space="preserve"> Bri</w:t>
      </w:r>
      <w:r>
        <w:rPr>
          <w:sz w:val="24"/>
        </w:rPr>
        <w:t>tish Journal of Social Medicine, vol.</w:t>
      </w:r>
      <w:r w:rsidRPr="00FC5A2A">
        <w:rPr>
          <w:sz w:val="24"/>
        </w:rPr>
        <w:t xml:space="preserve"> </w:t>
      </w:r>
      <w:r w:rsidRPr="00E25115">
        <w:rPr>
          <w:sz w:val="24"/>
        </w:rPr>
        <w:t>3</w:t>
      </w:r>
      <w:r w:rsidRPr="00FC5A2A">
        <w:rPr>
          <w:sz w:val="24"/>
        </w:rPr>
        <w:t xml:space="preserve">, </w:t>
      </w:r>
      <w:r>
        <w:rPr>
          <w:sz w:val="24"/>
        </w:rPr>
        <w:t xml:space="preserve">pp. </w:t>
      </w:r>
      <w:r w:rsidRPr="00FC5A2A">
        <w:rPr>
          <w:sz w:val="24"/>
        </w:rPr>
        <w:t>110-126</w:t>
      </w:r>
      <w:r>
        <w:rPr>
          <w:sz w:val="24"/>
        </w:rPr>
        <w:t>.</w:t>
      </w:r>
    </w:p>
    <w:p w:rsidR="00343E91" w:rsidRPr="00FC5A2A" w:rsidRDefault="00343E91" w:rsidP="00BC1E71">
      <w:pPr>
        <w:spacing w:line="360" w:lineRule="auto"/>
        <w:rPr>
          <w:sz w:val="24"/>
        </w:rPr>
      </w:pPr>
      <w:r w:rsidRPr="00FC5A2A">
        <w:rPr>
          <w:sz w:val="24"/>
        </w:rPr>
        <w:t>Manhaes</w:t>
      </w:r>
      <w:r>
        <w:rPr>
          <w:sz w:val="24"/>
        </w:rPr>
        <w:t>,</w:t>
      </w:r>
      <w:r w:rsidRPr="00FC5A2A">
        <w:rPr>
          <w:sz w:val="24"/>
        </w:rPr>
        <w:t xml:space="preserve"> M., Glampson</w:t>
      </w:r>
      <w:r>
        <w:rPr>
          <w:sz w:val="24"/>
        </w:rPr>
        <w:t>,</w:t>
      </w:r>
      <w:r w:rsidRPr="00FC5A2A">
        <w:rPr>
          <w:sz w:val="24"/>
        </w:rPr>
        <w:t xml:space="preserve"> B. and Pryce</w:t>
      </w:r>
      <w:r>
        <w:rPr>
          <w:sz w:val="24"/>
        </w:rPr>
        <w:t>,</w:t>
      </w:r>
      <w:r w:rsidRPr="00FC5A2A">
        <w:rPr>
          <w:sz w:val="24"/>
        </w:rPr>
        <w:t xml:space="preserve"> A. (2013)</w:t>
      </w:r>
      <w:r>
        <w:rPr>
          <w:sz w:val="24"/>
        </w:rPr>
        <w:t>,</w:t>
      </w:r>
      <w:r w:rsidRPr="00FC5A2A">
        <w:rPr>
          <w:sz w:val="24"/>
        </w:rPr>
        <w:t xml:space="preserve"> </w:t>
      </w:r>
      <w:r>
        <w:rPr>
          <w:sz w:val="24"/>
        </w:rPr>
        <w:t>‘</w:t>
      </w:r>
      <w:r w:rsidRPr="00FC5A2A">
        <w:rPr>
          <w:sz w:val="24"/>
        </w:rPr>
        <w:t>Data handling notes: Patient safety organisation patient safety incident reports (NRLS official statistics): October 2012 to March 2013 (tenth release, September 2013)</w:t>
      </w:r>
      <w:r>
        <w:rPr>
          <w:sz w:val="24"/>
        </w:rPr>
        <w:t>’</w:t>
      </w:r>
      <w:r w:rsidRPr="00FC5A2A">
        <w:rPr>
          <w:sz w:val="24"/>
        </w:rPr>
        <w:t>, viewed on 09.02.15</w:t>
      </w:r>
      <w:r>
        <w:rPr>
          <w:sz w:val="24"/>
        </w:rPr>
        <w:t xml:space="preserve">, </w:t>
      </w:r>
      <w:hyperlink r:id="rId22" w:history="1">
        <w:r w:rsidRPr="00FC5A2A">
          <w:rPr>
            <w:rStyle w:val="Hyperlink"/>
            <w:sz w:val="24"/>
          </w:rPr>
          <w:t>http://www.nrls.npsa.nhs.uk/resources/?entryid45=135262</w:t>
        </w:r>
      </w:hyperlink>
      <w:r w:rsidRPr="00FC5A2A">
        <w:rPr>
          <w:sz w:val="24"/>
        </w:rPr>
        <w:t xml:space="preserve"> </w:t>
      </w:r>
    </w:p>
    <w:p w:rsidR="00343E91" w:rsidRPr="00FC5A2A" w:rsidRDefault="00343E91" w:rsidP="00343E91">
      <w:pPr>
        <w:spacing w:line="360" w:lineRule="auto"/>
        <w:rPr>
          <w:sz w:val="24"/>
        </w:rPr>
      </w:pPr>
      <w:r w:rsidRPr="00FC5A2A">
        <w:rPr>
          <w:sz w:val="24"/>
        </w:rPr>
        <w:t>Monitor (2007)</w:t>
      </w:r>
      <w:r>
        <w:rPr>
          <w:sz w:val="24"/>
        </w:rPr>
        <w:t>,</w:t>
      </w:r>
      <w:r w:rsidRPr="00FC5A2A">
        <w:rPr>
          <w:sz w:val="24"/>
        </w:rPr>
        <w:t xml:space="preserve"> </w:t>
      </w:r>
      <w:r>
        <w:rPr>
          <w:sz w:val="24"/>
        </w:rPr>
        <w:t>‘</w:t>
      </w:r>
      <w:r w:rsidRPr="00FC5A2A">
        <w:rPr>
          <w:sz w:val="24"/>
        </w:rPr>
        <w:t>Compliance Framework</w:t>
      </w:r>
      <w:r>
        <w:rPr>
          <w:sz w:val="24"/>
        </w:rPr>
        <w:t>’</w:t>
      </w:r>
      <w:r w:rsidRPr="00FC5A2A">
        <w:rPr>
          <w:sz w:val="24"/>
        </w:rPr>
        <w:t>, viewed on 11.02.14</w:t>
      </w:r>
      <w:r>
        <w:rPr>
          <w:sz w:val="24"/>
        </w:rPr>
        <w:t>,</w:t>
      </w:r>
      <w:r w:rsidRPr="00FC5A2A">
        <w:rPr>
          <w:sz w:val="24"/>
        </w:rPr>
        <w:t xml:space="preserve"> </w:t>
      </w:r>
      <w:hyperlink r:id="rId23" w:history="1">
        <w:r w:rsidRPr="00FC5A2A">
          <w:rPr>
            <w:rStyle w:val="Hyperlink"/>
            <w:sz w:val="24"/>
          </w:rPr>
          <w:t>http://www.avantec.uk.com/downloads/government/Monitor%20Compliance%20Framework%20Apr_07_.pdf</w:t>
        </w:r>
      </w:hyperlink>
      <w:r w:rsidRPr="00FC5A2A">
        <w:rPr>
          <w:sz w:val="24"/>
        </w:rPr>
        <w:t xml:space="preserve"> </w:t>
      </w:r>
    </w:p>
    <w:p w:rsidR="004B21A0" w:rsidRDefault="00343E91" w:rsidP="00325AD4">
      <w:pPr>
        <w:spacing w:line="360" w:lineRule="auto"/>
        <w:jc w:val="both"/>
        <w:rPr>
          <w:sz w:val="24"/>
        </w:rPr>
      </w:pPr>
      <w:r w:rsidRPr="00FC5A2A">
        <w:rPr>
          <w:sz w:val="24"/>
        </w:rPr>
        <w:lastRenderedPageBreak/>
        <w:t>Monitor (2013)</w:t>
      </w:r>
      <w:r>
        <w:rPr>
          <w:sz w:val="24"/>
        </w:rPr>
        <w:t>,</w:t>
      </w:r>
      <w:r w:rsidRPr="00FC5A2A">
        <w:rPr>
          <w:sz w:val="24"/>
        </w:rPr>
        <w:t xml:space="preserve"> </w:t>
      </w:r>
      <w:r>
        <w:rPr>
          <w:sz w:val="24"/>
        </w:rPr>
        <w:t>‘</w:t>
      </w:r>
      <w:r w:rsidRPr="00FC5A2A">
        <w:rPr>
          <w:sz w:val="24"/>
        </w:rPr>
        <w:t>Applying for NHS Foundation Trust Status: A Guide For Applicants</w:t>
      </w:r>
      <w:r>
        <w:rPr>
          <w:sz w:val="24"/>
        </w:rPr>
        <w:t>’</w:t>
      </w:r>
      <w:r w:rsidRPr="00FC5A2A">
        <w:rPr>
          <w:sz w:val="24"/>
        </w:rPr>
        <w:t>, viewed on 11.02.15,</w:t>
      </w:r>
    </w:p>
    <w:p w:rsidR="00343E91" w:rsidRPr="00FC5A2A" w:rsidRDefault="00270F33" w:rsidP="00325AD4">
      <w:pPr>
        <w:spacing w:line="360" w:lineRule="auto"/>
        <w:jc w:val="both"/>
        <w:rPr>
          <w:sz w:val="24"/>
        </w:rPr>
      </w:pPr>
      <w:hyperlink r:id="rId24" w:history="1">
        <w:r w:rsidR="00343E91" w:rsidRPr="00FC5A2A">
          <w:rPr>
            <w:rStyle w:val="Hyperlink"/>
            <w:sz w:val="24"/>
          </w:rPr>
          <w:t>http://webarchive.nationalarchives.gov.uk/20140106173514/http://www.monitor-nhsft.gov.uk/sites/default/files/publications/ToPublishGuideforApplicants12April2013FINAL.pdf</w:t>
        </w:r>
      </w:hyperlink>
      <w:r w:rsidR="00343E91" w:rsidRPr="00FC5A2A">
        <w:rPr>
          <w:sz w:val="24"/>
        </w:rPr>
        <w:t xml:space="preserve"> </w:t>
      </w:r>
    </w:p>
    <w:p w:rsidR="004B21A0" w:rsidRDefault="00343E91" w:rsidP="00325AD4">
      <w:pPr>
        <w:spacing w:line="360" w:lineRule="auto"/>
        <w:jc w:val="both"/>
        <w:rPr>
          <w:sz w:val="24"/>
        </w:rPr>
      </w:pPr>
      <w:r w:rsidRPr="00FC5A2A">
        <w:rPr>
          <w:sz w:val="24"/>
        </w:rPr>
        <w:t>Monitor (2014)</w:t>
      </w:r>
      <w:r>
        <w:rPr>
          <w:sz w:val="24"/>
        </w:rPr>
        <w:t>,</w:t>
      </w:r>
      <w:r w:rsidRPr="00FC5A2A">
        <w:rPr>
          <w:sz w:val="24"/>
        </w:rPr>
        <w:t xml:space="preserve"> </w:t>
      </w:r>
      <w:r>
        <w:rPr>
          <w:sz w:val="24"/>
        </w:rPr>
        <w:t>‘</w:t>
      </w:r>
      <w:r w:rsidRPr="00FC5A2A">
        <w:rPr>
          <w:sz w:val="24"/>
        </w:rPr>
        <w:t>NHS Foundation Trust Directory</w:t>
      </w:r>
      <w:r>
        <w:rPr>
          <w:sz w:val="24"/>
        </w:rPr>
        <w:t>’</w:t>
      </w:r>
      <w:r w:rsidRPr="00FC5A2A">
        <w:rPr>
          <w:sz w:val="24"/>
        </w:rPr>
        <w:t>, viewed on 30.10.14</w:t>
      </w:r>
      <w:r>
        <w:rPr>
          <w:sz w:val="24"/>
        </w:rPr>
        <w:t>,</w:t>
      </w:r>
    </w:p>
    <w:p w:rsidR="00343E91" w:rsidRPr="00FC5A2A" w:rsidRDefault="00343E91" w:rsidP="00325AD4">
      <w:pPr>
        <w:spacing w:line="360" w:lineRule="auto"/>
        <w:jc w:val="both"/>
        <w:rPr>
          <w:sz w:val="24"/>
        </w:rPr>
      </w:pPr>
      <w:r w:rsidRPr="00FC5A2A">
        <w:rPr>
          <w:sz w:val="24"/>
        </w:rPr>
        <w:t xml:space="preserve"> </w:t>
      </w:r>
      <w:hyperlink r:id="rId25" w:history="1">
        <w:r w:rsidRPr="00FC5A2A">
          <w:rPr>
            <w:rStyle w:val="Hyperlink"/>
            <w:sz w:val="24"/>
          </w:rPr>
          <w:t>https://www.gov.uk/government/publications/nhs-foundation-trust-directory/nhs-foundation-trust-directory</w:t>
        </w:r>
      </w:hyperlink>
      <w:r w:rsidRPr="00FC5A2A">
        <w:rPr>
          <w:sz w:val="24"/>
        </w:rPr>
        <w:t xml:space="preserve"> </w:t>
      </w:r>
    </w:p>
    <w:p w:rsidR="00924D1A" w:rsidRDefault="00924D1A" w:rsidP="00325AD4">
      <w:pPr>
        <w:spacing w:line="360" w:lineRule="auto"/>
        <w:jc w:val="both"/>
        <w:rPr>
          <w:sz w:val="24"/>
        </w:rPr>
      </w:pPr>
      <w:r>
        <w:rPr>
          <w:sz w:val="24"/>
        </w:rPr>
        <w:t xml:space="preserve">National Audit Office (2016), Discharging older patients from hospital.  </w:t>
      </w:r>
      <w:r w:rsidR="005D74C9">
        <w:rPr>
          <w:sz w:val="24"/>
        </w:rPr>
        <w:t>HC 18 Session 2016-17, 26 May 2016.</w:t>
      </w:r>
    </w:p>
    <w:p w:rsidR="004B21A0" w:rsidRDefault="00343E91" w:rsidP="00325AD4">
      <w:pPr>
        <w:spacing w:line="360" w:lineRule="auto"/>
        <w:jc w:val="both"/>
        <w:rPr>
          <w:sz w:val="24"/>
        </w:rPr>
      </w:pPr>
      <w:r>
        <w:rPr>
          <w:sz w:val="24"/>
        </w:rPr>
        <w:t>NHS England (2013), ‘Supporting information for Organisation Patient Safety Incident Reports – March 2013’, viewed on 10.07.15,</w:t>
      </w:r>
    </w:p>
    <w:p w:rsidR="00343E91" w:rsidRDefault="00270F33" w:rsidP="00325AD4">
      <w:pPr>
        <w:spacing w:line="360" w:lineRule="auto"/>
        <w:jc w:val="both"/>
        <w:rPr>
          <w:sz w:val="24"/>
        </w:rPr>
      </w:pPr>
      <w:hyperlink r:id="rId26" w:history="1">
        <w:r w:rsidR="00343E91" w:rsidRPr="000D209F">
          <w:rPr>
            <w:rStyle w:val="Hyperlink"/>
            <w:sz w:val="24"/>
          </w:rPr>
          <w:t>http://www.nrls.npsa.nhs.uk/resources/?entryid45=135145</w:t>
        </w:r>
      </w:hyperlink>
      <w:r w:rsidR="00343E91">
        <w:rPr>
          <w:sz w:val="24"/>
        </w:rPr>
        <w:t xml:space="preserve"> </w:t>
      </w:r>
    </w:p>
    <w:p w:rsidR="00343E91" w:rsidRPr="00FC5A2A" w:rsidRDefault="00343E91" w:rsidP="00325AD4">
      <w:pPr>
        <w:spacing w:line="360" w:lineRule="auto"/>
        <w:jc w:val="both"/>
        <w:rPr>
          <w:sz w:val="24"/>
        </w:rPr>
      </w:pPr>
      <w:r w:rsidRPr="00FC5A2A">
        <w:rPr>
          <w:sz w:val="24"/>
        </w:rPr>
        <w:t>NHS England (2014a)</w:t>
      </w:r>
      <w:r>
        <w:rPr>
          <w:sz w:val="24"/>
        </w:rPr>
        <w:t>,</w:t>
      </w:r>
      <w:r w:rsidRPr="00FC5A2A">
        <w:rPr>
          <w:sz w:val="24"/>
        </w:rPr>
        <w:t xml:space="preserve"> </w:t>
      </w:r>
      <w:r>
        <w:rPr>
          <w:sz w:val="24"/>
        </w:rPr>
        <w:t>‘</w:t>
      </w:r>
      <w:r w:rsidRPr="00FC5A2A">
        <w:rPr>
          <w:sz w:val="24"/>
        </w:rPr>
        <w:t>Delayed Transfers of Care</w:t>
      </w:r>
      <w:r>
        <w:rPr>
          <w:sz w:val="24"/>
        </w:rPr>
        <w:t>’</w:t>
      </w:r>
      <w:r w:rsidRPr="00FC5A2A">
        <w:rPr>
          <w:sz w:val="24"/>
        </w:rPr>
        <w:t xml:space="preserve">, viewed on 18.03.14,  </w:t>
      </w:r>
      <w:hyperlink r:id="rId27" w:history="1">
        <w:r w:rsidRPr="00FC5A2A">
          <w:rPr>
            <w:rStyle w:val="Hyperlink"/>
            <w:sz w:val="24"/>
          </w:rPr>
          <w:t>http://www.england.nhs.uk/statistics/statistical-work-areas/delayed-transfers-of-care/</w:t>
        </w:r>
      </w:hyperlink>
      <w:r w:rsidRPr="00FC5A2A">
        <w:rPr>
          <w:sz w:val="24"/>
        </w:rPr>
        <w:t xml:space="preserve"> </w:t>
      </w:r>
    </w:p>
    <w:p w:rsidR="00343E91" w:rsidRPr="00FC5A2A" w:rsidRDefault="00343E91" w:rsidP="00325AD4">
      <w:pPr>
        <w:spacing w:line="360" w:lineRule="auto"/>
        <w:jc w:val="both"/>
        <w:rPr>
          <w:sz w:val="24"/>
        </w:rPr>
      </w:pPr>
      <w:r w:rsidRPr="00FC5A2A">
        <w:rPr>
          <w:sz w:val="24"/>
        </w:rPr>
        <w:t>NHS England (2014b)</w:t>
      </w:r>
      <w:r>
        <w:rPr>
          <w:sz w:val="24"/>
        </w:rPr>
        <w:t>,</w:t>
      </w:r>
      <w:r w:rsidRPr="00FC5A2A">
        <w:rPr>
          <w:sz w:val="24"/>
        </w:rPr>
        <w:t xml:space="preserve"> </w:t>
      </w:r>
      <w:r>
        <w:rPr>
          <w:sz w:val="24"/>
        </w:rPr>
        <w:t>‘</w:t>
      </w:r>
      <w:r w:rsidRPr="00FC5A2A">
        <w:rPr>
          <w:sz w:val="24"/>
        </w:rPr>
        <w:t>Quarterly bed availability and occupancy</w:t>
      </w:r>
      <w:r>
        <w:rPr>
          <w:sz w:val="24"/>
        </w:rPr>
        <w:t>’</w:t>
      </w:r>
      <w:r w:rsidRPr="00FC5A2A">
        <w:rPr>
          <w:sz w:val="24"/>
        </w:rPr>
        <w:t>, viewed on 21.08.14</w:t>
      </w:r>
      <w:r>
        <w:rPr>
          <w:sz w:val="24"/>
        </w:rPr>
        <w:t>,</w:t>
      </w:r>
      <w:r w:rsidRPr="00FC5A2A">
        <w:rPr>
          <w:sz w:val="24"/>
        </w:rPr>
        <w:t xml:space="preserve"> </w:t>
      </w:r>
      <w:hyperlink r:id="rId28" w:history="1">
        <w:r w:rsidRPr="00FC5A2A">
          <w:rPr>
            <w:rStyle w:val="Hyperlink"/>
            <w:sz w:val="24"/>
          </w:rPr>
          <w:t>http://www.england.nhs.uk/statistics/statistical-work-areas/bed-availability-and-occupancy/</w:t>
        </w:r>
      </w:hyperlink>
      <w:r w:rsidRPr="00FC5A2A">
        <w:rPr>
          <w:sz w:val="24"/>
        </w:rPr>
        <w:t xml:space="preserve"> </w:t>
      </w:r>
    </w:p>
    <w:p w:rsidR="00343E91" w:rsidRPr="00FC5A2A" w:rsidRDefault="00343E91" w:rsidP="00325AD4">
      <w:pPr>
        <w:spacing w:line="360" w:lineRule="auto"/>
        <w:jc w:val="both"/>
        <w:rPr>
          <w:sz w:val="24"/>
        </w:rPr>
      </w:pPr>
      <w:r w:rsidRPr="00FC5A2A">
        <w:rPr>
          <w:sz w:val="24"/>
        </w:rPr>
        <w:t>Propper</w:t>
      </w:r>
      <w:r>
        <w:rPr>
          <w:sz w:val="24"/>
        </w:rPr>
        <w:t>,</w:t>
      </w:r>
      <w:r w:rsidRPr="00FC5A2A">
        <w:rPr>
          <w:sz w:val="24"/>
        </w:rPr>
        <w:t xml:space="preserve"> C</w:t>
      </w:r>
      <w:r>
        <w:rPr>
          <w:sz w:val="24"/>
        </w:rPr>
        <w:t>.</w:t>
      </w:r>
      <w:r w:rsidRPr="00FC5A2A">
        <w:rPr>
          <w:sz w:val="24"/>
        </w:rPr>
        <w:t>, Burgess</w:t>
      </w:r>
      <w:r>
        <w:rPr>
          <w:sz w:val="24"/>
        </w:rPr>
        <w:t>,</w:t>
      </w:r>
      <w:r w:rsidRPr="00FC5A2A">
        <w:rPr>
          <w:sz w:val="24"/>
        </w:rPr>
        <w:t xml:space="preserve"> S</w:t>
      </w:r>
      <w:r>
        <w:rPr>
          <w:sz w:val="24"/>
        </w:rPr>
        <w:t>. and</w:t>
      </w:r>
      <w:r w:rsidRPr="00FC5A2A">
        <w:rPr>
          <w:sz w:val="24"/>
        </w:rPr>
        <w:t xml:space="preserve"> Green</w:t>
      </w:r>
      <w:r>
        <w:rPr>
          <w:sz w:val="24"/>
        </w:rPr>
        <w:t>,</w:t>
      </w:r>
      <w:r w:rsidRPr="00FC5A2A">
        <w:rPr>
          <w:sz w:val="24"/>
        </w:rPr>
        <w:t xml:space="preserve"> K. (2004)</w:t>
      </w:r>
      <w:r>
        <w:rPr>
          <w:sz w:val="24"/>
        </w:rPr>
        <w:t>,</w:t>
      </w:r>
      <w:r w:rsidRPr="00FC5A2A">
        <w:rPr>
          <w:sz w:val="24"/>
        </w:rPr>
        <w:t xml:space="preserve"> </w:t>
      </w:r>
      <w:r>
        <w:rPr>
          <w:sz w:val="24"/>
        </w:rPr>
        <w:t>‘</w:t>
      </w:r>
      <w:r w:rsidRPr="00FC5A2A">
        <w:rPr>
          <w:sz w:val="24"/>
        </w:rPr>
        <w:t>Does competition between hospitals improve the quality of care?: Hospital death ra</w:t>
      </w:r>
      <w:r>
        <w:rPr>
          <w:sz w:val="24"/>
        </w:rPr>
        <w:t>tes and the NHS internal market’,</w:t>
      </w:r>
      <w:r w:rsidRPr="00FC5A2A">
        <w:rPr>
          <w:sz w:val="24"/>
        </w:rPr>
        <w:t xml:space="preserve"> Journal of Public Economics,</w:t>
      </w:r>
      <w:r>
        <w:rPr>
          <w:sz w:val="24"/>
        </w:rPr>
        <w:t xml:space="preserve"> vol.</w:t>
      </w:r>
      <w:r w:rsidRPr="00FC5A2A">
        <w:rPr>
          <w:sz w:val="24"/>
        </w:rPr>
        <w:t xml:space="preserve"> </w:t>
      </w:r>
      <w:r w:rsidRPr="00CD207C">
        <w:rPr>
          <w:sz w:val="24"/>
        </w:rPr>
        <w:t>88</w:t>
      </w:r>
      <w:r w:rsidRPr="00FC5A2A">
        <w:rPr>
          <w:sz w:val="24"/>
        </w:rPr>
        <w:t xml:space="preserve">, </w:t>
      </w:r>
      <w:r>
        <w:rPr>
          <w:sz w:val="24"/>
        </w:rPr>
        <w:t xml:space="preserve">pp. </w:t>
      </w:r>
      <w:r w:rsidRPr="00FC5A2A">
        <w:rPr>
          <w:sz w:val="24"/>
        </w:rPr>
        <w:t>1247-72.</w:t>
      </w:r>
    </w:p>
    <w:p w:rsidR="004B21A0" w:rsidRDefault="00343E91" w:rsidP="00325AD4">
      <w:pPr>
        <w:spacing w:line="360" w:lineRule="auto"/>
        <w:jc w:val="both"/>
        <w:rPr>
          <w:sz w:val="24"/>
        </w:rPr>
      </w:pPr>
      <w:r w:rsidRPr="00FC5A2A">
        <w:rPr>
          <w:sz w:val="24"/>
        </w:rPr>
        <w:t>Verzulli</w:t>
      </w:r>
      <w:r>
        <w:rPr>
          <w:sz w:val="24"/>
        </w:rPr>
        <w:t>,</w:t>
      </w:r>
      <w:r w:rsidRPr="00FC5A2A">
        <w:rPr>
          <w:sz w:val="24"/>
        </w:rPr>
        <w:t xml:space="preserve"> R., Jacobs</w:t>
      </w:r>
      <w:r>
        <w:rPr>
          <w:sz w:val="24"/>
        </w:rPr>
        <w:t>,</w:t>
      </w:r>
      <w:r w:rsidRPr="00FC5A2A">
        <w:rPr>
          <w:sz w:val="24"/>
        </w:rPr>
        <w:t xml:space="preserve"> R. and Goddard</w:t>
      </w:r>
      <w:r>
        <w:rPr>
          <w:sz w:val="24"/>
        </w:rPr>
        <w:t>,</w:t>
      </w:r>
      <w:r w:rsidRPr="00FC5A2A">
        <w:rPr>
          <w:sz w:val="24"/>
        </w:rPr>
        <w:t xml:space="preserve"> M. (2011), </w:t>
      </w:r>
      <w:r>
        <w:rPr>
          <w:sz w:val="24"/>
        </w:rPr>
        <w:t>‘</w:t>
      </w:r>
      <w:r w:rsidRPr="00FC5A2A">
        <w:rPr>
          <w:sz w:val="24"/>
        </w:rPr>
        <w:t>Do hospitals respond to greater autonomy? Evidence from the English NHS</w:t>
      </w:r>
      <w:r>
        <w:rPr>
          <w:sz w:val="24"/>
        </w:rPr>
        <w:t>’</w:t>
      </w:r>
      <w:r w:rsidRPr="00FC5A2A">
        <w:rPr>
          <w:sz w:val="24"/>
        </w:rPr>
        <w:t>, CHE Research Paper</w:t>
      </w:r>
      <w:r>
        <w:rPr>
          <w:sz w:val="24"/>
        </w:rPr>
        <w:t>, no.</w:t>
      </w:r>
      <w:r w:rsidRPr="00FC5A2A">
        <w:rPr>
          <w:sz w:val="24"/>
        </w:rPr>
        <w:t xml:space="preserve"> 64</w:t>
      </w:r>
      <w:r w:rsidR="004B21A0">
        <w:rPr>
          <w:sz w:val="24"/>
        </w:rPr>
        <w:t>.</w:t>
      </w:r>
    </w:p>
    <w:p w:rsidR="00540CE3" w:rsidRDefault="00270F33" w:rsidP="00325AD4">
      <w:pPr>
        <w:spacing w:line="360" w:lineRule="auto"/>
        <w:jc w:val="both"/>
        <w:rPr>
          <w:sz w:val="24"/>
        </w:rPr>
        <w:sectPr w:rsidR="00540CE3" w:rsidSect="00EC3306">
          <w:pgSz w:w="11906" w:h="16838"/>
          <w:pgMar w:top="1440" w:right="1440" w:bottom="1440" w:left="1440" w:header="708" w:footer="708" w:gutter="0"/>
          <w:cols w:space="708"/>
          <w:docGrid w:linePitch="360"/>
        </w:sectPr>
      </w:pPr>
      <w:hyperlink r:id="rId29" w:anchor="tab-5" w:history="1">
        <w:r w:rsidR="00343E91" w:rsidRPr="00101E5B">
          <w:rPr>
            <w:rStyle w:val="Hyperlink"/>
            <w:sz w:val="24"/>
          </w:rPr>
          <w:t>http://www.york.ac.uk/che/publications/in-house/#tab-5</w:t>
        </w:r>
      </w:hyperlink>
      <w:r w:rsidR="00343E91">
        <w:rPr>
          <w:sz w:val="24"/>
        </w:rPr>
        <w:t xml:space="preserve"> </w:t>
      </w:r>
    </w:p>
    <w:p w:rsidR="00540CE3" w:rsidRDefault="00540CE3" w:rsidP="00540CE3">
      <w:pPr>
        <w:pStyle w:val="Heading1"/>
      </w:pPr>
      <w:r>
        <w:lastRenderedPageBreak/>
        <w:t>Figures</w:t>
      </w:r>
    </w:p>
    <w:p w:rsidR="00540CE3" w:rsidRPr="002A71B9" w:rsidRDefault="00540CE3" w:rsidP="00540CE3">
      <w:pPr>
        <w:pStyle w:val="Heading3"/>
        <w:rPr>
          <w:sz w:val="26"/>
          <w:szCs w:val="26"/>
        </w:rPr>
      </w:pPr>
      <w:r w:rsidRPr="002A71B9">
        <w:rPr>
          <w:sz w:val="26"/>
          <w:szCs w:val="26"/>
        </w:rPr>
        <w:t>Figure 1: Days of Delay</w:t>
      </w:r>
    </w:p>
    <w:p w:rsidR="00540CE3" w:rsidRDefault="00540CE3" w:rsidP="00540CE3">
      <w:pPr>
        <w:pStyle w:val="Heading1"/>
      </w:pPr>
      <w:r>
        <w:rPr>
          <w:noProof/>
          <w:lang w:eastAsia="en-GB"/>
        </w:rPr>
        <w:drawing>
          <wp:inline distT="0" distB="0" distL="0" distR="0">
            <wp:extent cx="4610100" cy="335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A.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610100" cy="3352800"/>
                    </a:xfrm>
                    <a:prstGeom prst="rect">
                      <a:avLst/>
                    </a:prstGeom>
                  </pic:spPr>
                </pic:pic>
              </a:graphicData>
            </a:graphic>
          </wp:inline>
        </w:drawing>
      </w:r>
    </w:p>
    <w:p w:rsidR="00540CE3" w:rsidRDefault="00540CE3" w:rsidP="00540CE3">
      <w:pPr>
        <w:pStyle w:val="Heading2"/>
      </w:pPr>
      <w:r>
        <w:t>Figure 2: Days of Delay per 100 Beds by Trust Type</w:t>
      </w:r>
    </w:p>
    <w:p w:rsidR="00540CE3" w:rsidRDefault="00540CE3" w:rsidP="00540CE3">
      <w:pPr>
        <w:sectPr w:rsidR="00540CE3" w:rsidSect="00BA2913">
          <w:footerReference w:type="default" r:id="rId31"/>
          <w:pgSz w:w="11906" w:h="16838"/>
          <w:pgMar w:top="1440" w:right="1440" w:bottom="1440" w:left="1440" w:header="708" w:footer="708" w:gutter="0"/>
          <w:cols w:space="708"/>
          <w:docGrid w:linePitch="360"/>
        </w:sectPr>
      </w:pPr>
      <w:r>
        <w:rPr>
          <w:noProof/>
          <w:lang w:eastAsia="en-GB"/>
        </w:rPr>
        <w:drawing>
          <wp:inline distT="0" distB="0" distL="0" distR="0">
            <wp:extent cx="4610100" cy="3352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ays per Bed.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610100" cy="3352800"/>
                    </a:xfrm>
                    <a:prstGeom prst="rect">
                      <a:avLst/>
                    </a:prstGeom>
                  </pic:spPr>
                </pic:pic>
              </a:graphicData>
            </a:graphic>
          </wp:inline>
        </w:drawing>
      </w:r>
    </w:p>
    <w:p w:rsidR="00540CE3" w:rsidRPr="005E6343" w:rsidRDefault="00540CE3" w:rsidP="00540CE3">
      <w:pPr>
        <w:pStyle w:val="Heading1"/>
      </w:pPr>
      <w:r w:rsidRPr="005E6343">
        <w:lastRenderedPageBreak/>
        <w:t>Tables</w:t>
      </w:r>
    </w:p>
    <w:p w:rsidR="00540CE3" w:rsidRPr="005E6343" w:rsidRDefault="00540CE3" w:rsidP="00540CE3">
      <w:pPr>
        <w:pStyle w:val="Heading2"/>
        <w:rPr>
          <w:i/>
          <w:color w:val="365F91" w:themeColor="accent1" w:themeShade="BF"/>
        </w:rPr>
      </w:pPr>
      <w:r w:rsidRPr="005E6343">
        <w:rPr>
          <w:color w:val="365F91" w:themeColor="accent1" w:themeShade="BF"/>
        </w:rPr>
        <w:t>Table 1: Descriptive Statistics</w:t>
      </w:r>
    </w:p>
    <w:tbl>
      <w:tblPr>
        <w:tblStyle w:val="TableGrid"/>
        <w:tblW w:w="8755" w:type="dxa"/>
        <w:tblLook w:val="04A0" w:firstRow="1" w:lastRow="0" w:firstColumn="1" w:lastColumn="0" w:noHBand="0" w:noVBand="1"/>
      </w:tblPr>
      <w:tblGrid>
        <w:gridCol w:w="3221"/>
        <w:gridCol w:w="856"/>
        <w:gridCol w:w="1186"/>
        <w:gridCol w:w="1387"/>
        <w:gridCol w:w="1113"/>
        <w:gridCol w:w="1125"/>
      </w:tblGrid>
      <w:tr w:rsidR="005D74C9" w:rsidRPr="00F644B8" w:rsidTr="007B3E72">
        <w:trPr>
          <w:trHeight w:val="334"/>
        </w:trPr>
        <w:tc>
          <w:tcPr>
            <w:tcW w:w="3221" w:type="dxa"/>
            <w:noWrap/>
            <w:hideMark/>
          </w:tcPr>
          <w:p w:rsidR="00540CE3" w:rsidRPr="00026510" w:rsidRDefault="00540CE3" w:rsidP="00540CE3">
            <w:pPr>
              <w:rPr>
                <w:rFonts w:ascii="Calibri" w:eastAsia="Times New Roman" w:hAnsi="Calibri" w:cs="Times New Roman"/>
                <w:i/>
                <w:color w:val="000000"/>
                <w:lang w:eastAsia="en-GB"/>
              </w:rPr>
            </w:pPr>
          </w:p>
        </w:tc>
        <w:tc>
          <w:tcPr>
            <w:tcW w:w="856" w:type="dxa"/>
            <w:noWrap/>
            <w:hideMark/>
          </w:tcPr>
          <w:p w:rsidR="00540CE3" w:rsidRPr="00026510" w:rsidRDefault="00540CE3" w:rsidP="00540CE3">
            <w:pPr>
              <w:jc w:val="center"/>
              <w:rPr>
                <w:rFonts w:ascii="Calibri" w:eastAsia="Times New Roman" w:hAnsi="Calibri" w:cs="Times New Roman"/>
                <w:i/>
                <w:color w:val="000000"/>
                <w:lang w:eastAsia="en-GB"/>
              </w:rPr>
            </w:pPr>
            <w:r w:rsidRPr="00026510">
              <w:rPr>
                <w:rFonts w:ascii="Calibri" w:eastAsia="Times New Roman" w:hAnsi="Calibri" w:cs="Times New Roman"/>
                <w:i/>
                <w:color w:val="000000"/>
                <w:lang w:eastAsia="en-GB"/>
              </w:rPr>
              <w:t>Mean</w:t>
            </w:r>
          </w:p>
        </w:tc>
        <w:tc>
          <w:tcPr>
            <w:tcW w:w="1186" w:type="dxa"/>
            <w:noWrap/>
            <w:hideMark/>
          </w:tcPr>
          <w:p w:rsidR="00540CE3" w:rsidRPr="00026510" w:rsidRDefault="00540CE3" w:rsidP="00540CE3">
            <w:pPr>
              <w:jc w:val="center"/>
              <w:rPr>
                <w:rFonts w:ascii="Calibri" w:eastAsia="Times New Roman" w:hAnsi="Calibri" w:cs="Times New Roman"/>
                <w:i/>
                <w:color w:val="000000"/>
                <w:lang w:eastAsia="en-GB"/>
              </w:rPr>
            </w:pPr>
            <w:r w:rsidRPr="00026510">
              <w:rPr>
                <w:rFonts w:ascii="Calibri" w:eastAsia="Times New Roman" w:hAnsi="Calibri" w:cs="Times New Roman"/>
                <w:i/>
                <w:color w:val="000000"/>
                <w:lang w:eastAsia="en-GB"/>
              </w:rPr>
              <w:t>Standard deviation</w:t>
            </w:r>
          </w:p>
        </w:tc>
        <w:tc>
          <w:tcPr>
            <w:tcW w:w="1387" w:type="dxa"/>
          </w:tcPr>
          <w:p w:rsidR="00540CE3" w:rsidRPr="00026510" w:rsidRDefault="00540CE3" w:rsidP="00540CE3">
            <w:pPr>
              <w:jc w:val="center"/>
              <w:rPr>
                <w:rFonts w:ascii="Calibri" w:eastAsia="Times New Roman" w:hAnsi="Calibri" w:cs="Times New Roman"/>
                <w:i/>
                <w:color w:val="000000"/>
                <w:lang w:eastAsia="en-GB"/>
              </w:rPr>
            </w:pPr>
            <w:r w:rsidRPr="00026510">
              <w:rPr>
                <w:rFonts w:ascii="Calibri" w:eastAsia="Times New Roman" w:hAnsi="Calibri" w:cs="Times New Roman"/>
                <w:i/>
                <w:color w:val="000000"/>
                <w:lang w:eastAsia="en-GB"/>
              </w:rPr>
              <w:t>Observations</w:t>
            </w:r>
          </w:p>
        </w:tc>
        <w:tc>
          <w:tcPr>
            <w:tcW w:w="1113" w:type="dxa"/>
            <w:noWrap/>
            <w:hideMark/>
          </w:tcPr>
          <w:p w:rsidR="00540CE3" w:rsidRPr="00026510" w:rsidRDefault="00540CE3" w:rsidP="00540CE3">
            <w:pPr>
              <w:jc w:val="center"/>
              <w:rPr>
                <w:rFonts w:ascii="Calibri" w:eastAsia="Times New Roman" w:hAnsi="Calibri" w:cs="Times New Roman"/>
                <w:i/>
                <w:color w:val="000000"/>
                <w:lang w:eastAsia="en-GB"/>
              </w:rPr>
            </w:pPr>
            <w:r w:rsidRPr="00026510">
              <w:rPr>
                <w:rFonts w:ascii="Calibri" w:eastAsia="Times New Roman" w:hAnsi="Calibri" w:cs="Times New Roman"/>
                <w:i/>
                <w:color w:val="000000"/>
                <w:lang w:eastAsia="en-GB"/>
              </w:rPr>
              <w:t>Minimum</w:t>
            </w:r>
          </w:p>
        </w:tc>
        <w:tc>
          <w:tcPr>
            <w:tcW w:w="992" w:type="dxa"/>
            <w:noWrap/>
            <w:hideMark/>
          </w:tcPr>
          <w:p w:rsidR="00540CE3" w:rsidRPr="00026510" w:rsidRDefault="00540CE3" w:rsidP="00540CE3">
            <w:pPr>
              <w:jc w:val="center"/>
              <w:rPr>
                <w:rFonts w:ascii="Calibri" w:eastAsia="Times New Roman" w:hAnsi="Calibri" w:cs="Times New Roman"/>
                <w:i/>
                <w:color w:val="000000"/>
                <w:lang w:eastAsia="en-GB"/>
              </w:rPr>
            </w:pPr>
            <w:r w:rsidRPr="00026510">
              <w:rPr>
                <w:rFonts w:ascii="Calibri" w:eastAsia="Times New Roman" w:hAnsi="Calibri" w:cs="Times New Roman"/>
                <w:i/>
                <w:color w:val="000000"/>
                <w:lang w:eastAsia="en-GB"/>
              </w:rPr>
              <w:t>Maximum</w:t>
            </w:r>
          </w:p>
        </w:tc>
      </w:tr>
      <w:tr w:rsidR="005D74C9" w:rsidRPr="00F644B8" w:rsidTr="007B3E72">
        <w:trPr>
          <w:trHeight w:val="127"/>
        </w:trPr>
        <w:tc>
          <w:tcPr>
            <w:tcW w:w="3221" w:type="dxa"/>
            <w:noWrap/>
          </w:tcPr>
          <w:p w:rsidR="00540CE3" w:rsidRPr="00BB620C" w:rsidRDefault="00540CE3" w:rsidP="00540CE3">
            <w:pPr>
              <w:jc w:val="center"/>
              <w:rPr>
                <w:rFonts w:ascii="Calibri" w:eastAsia="Times New Roman" w:hAnsi="Calibri" w:cs="Times New Roman"/>
                <w:i/>
                <w:color w:val="000000"/>
                <w:lang w:eastAsia="en-GB"/>
              </w:rPr>
            </w:pPr>
            <w:r w:rsidRPr="00BB620C">
              <w:rPr>
                <w:rFonts w:ascii="Calibri" w:eastAsia="Times New Roman" w:hAnsi="Calibri" w:cs="Times New Roman"/>
                <w:i/>
                <w:color w:val="000000"/>
                <w:lang w:eastAsia="en-GB"/>
              </w:rPr>
              <w:t>Days of Delay</w:t>
            </w:r>
          </w:p>
        </w:tc>
        <w:tc>
          <w:tcPr>
            <w:tcW w:w="856" w:type="dxa"/>
            <w:noWrap/>
          </w:tcPr>
          <w:p w:rsidR="00540CE3" w:rsidRPr="00026510" w:rsidRDefault="00540CE3" w:rsidP="00540CE3">
            <w:pPr>
              <w:jc w:val="right"/>
              <w:rPr>
                <w:rFonts w:ascii="Calibri" w:eastAsia="Times New Roman" w:hAnsi="Calibri" w:cs="Times New Roman"/>
                <w:color w:val="000000"/>
                <w:lang w:eastAsia="en-GB"/>
              </w:rPr>
            </w:pPr>
          </w:p>
        </w:tc>
        <w:tc>
          <w:tcPr>
            <w:tcW w:w="1186" w:type="dxa"/>
            <w:noWrap/>
          </w:tcPr>
          <w:p w:rsidR="00540CE3" w:rsidRPr="00026510" w:rsidRDefault="00540CE3" w:rsidP="00540CE3">
            <w:pPr>
              <w:jc w:val="right"/>
              <w:rPr>
                <w:rFonts w:ascii="Calibri" w:eastAsia="Times New Roman" w:hAnsi="Calibri" w:cs="Times New Roman"/>
                <w:color w:val="000000"/>
                <w:lang w:eastAsia="en-GB"/>
              </w:rPr>
            </w:pPr>
          </w:p>
        </w:tc>
        <w:tc>
          <w:tcPr>
            <w:tcW w:w="1387" w:type="dxa"/>
          </w:tcPr>
          <w:p w:rsidR="00540CE3" w:rsidRPr="00026510" w:rsidRDefault="00540CE3" w:rsidP="00540CE3">
            <w:pPr>
              <w:jc w:val="right"/>
              <w:rPr>
                <w:rFonts w:ascii="Calibri" w:eastAsia="Times New Roman" w:hAnsi="Calibri" w:cs="Times New Roman"/>
                <w:color w:val="000000"/>
                <w:lang w:eastAsia="en-GB"/>
              </w:rPr>
            </w:pPr>
          </w:p>
        </w:tc>
        <w:tc>
          <w:tcPr>
            <w:tcW w:w="1113" w:type="dxa"/>
            <w:noWrap/>
          </w:tcPr>
          <w:p w:rsidR="00540CE3" w:rsidRPr="00026510" w:rsidRDefault="00540CE3" w:rsidP="00540CE3">
            <w:pPr>
              <w:jc w:val="right"/>
              <w:rPr>
                <w:rFonts w:ascii="Calibri" w:eastAsia="Times New Roman" w:hAnsi="Calibri" w:cs="Times New Roman"/>
                <w:color w:val="000000"/>
                <w:lang w:eastAsia="en-GB"/>
              </w:rPr>
            </w:pPr>
          </w:p>
        </w:tc>
        <w:tc>
          <w:tcPr>
            <w:tcW w:w="992" w:type="dxa"/>
            <w:noWrap/>
          </w:tcPr>
          <w:p w:rsidR="00540CE3" w:rsidRPr="00026510" w:rsidRDefault="00540CE3" w:rsidP="00540CE3">
            <w:pPr>
              <w:jc w:val="right"/>
              <w:rPr>
                <w:rFonts w:ascii="Calibri" w:eastAsia="Times New Roman" w:hAnsi="Calibri" w:cs="Times New Roman"/>
                <w:color w:val="000000"/>
                <w:lang w:eastAsia="en-GB"/>
              </w:rPr>
            </w:pPr>
          </w:p>
        </w:tc>
      </w:tr>
      <w:tr w:rsidR="005D74C9" w:rsidRPr="00F644B8" w:rsidTr="007B3E72">
        <w:trPr>
          <w:trHeight w:val="127"/>
        </w:trPr>
        <w:tc>
          <w:tcPr>
            <w:tcW w:w="3221" w:type="dxa"/>
            <w:noWrap/>
            <w:hideMark/>
          </w:tcPr>
          <w:p w:rsidR="00540CE3" w:rsidRPr="00026510" w:rsidRDefault="00540CE3" w:rsidP="00540CE3">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All Trusts</w:t>
            </w:r>
          </w:p>
        </w:tc>
        <w:tc>
          <w:tcPr>
            <w:tcW w:w="856"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5997</w:t>
            </w:r>
          </w:p>
        </w:tc>
        <w:tc>
          <w:tcPr>
            <w:tcW w:w="1186"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5294</w:t>
            </w:r>
          </w:p>
        </w:tc>
        <w:tc>
          <w:tcPr>
            <w:tcW w:w="1387" w:type="dxa"/>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614</w:t>
            </w:r>
          </w:p>
        </w:tc>
        <w:tc>
          <w:tcPr>
            <w:tcW w:w="1113"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0</w:t>
            </w:r>
          </w:p>
        </w:tc>
        <w:tc>
          <w:tcPr>
            <w:tcW w:w="992"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43899</w:t>
            </w:r>
          </w:p>
        </w:tc>
      </w:tr>
      <w:tr w:rsidR="005D74C9" w:rsidRPr="00F644B8" w:rsidTr="007B3E72">
        <w:trPr>
          <w:trHeight w:val="90"/>
        </w:trPr>
        <w:tc>
          <w:tcPr>
            <w:tcW w:w="3221" w:type="dxa"/>
            <w:noWrap/>
          </w:tcPr>
          <w:p w:rsidR="00540CE3" w:rsidRPr="00026510" w:rsidRDefault="00540CE3" w:rsidP="00540CE3">
            <w:pPr>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Acute Trust</w:t>
            </w:r>
          </w:p>
        </w:tc>
        <w:tc>
          <w:tcPr>
            <w:tcW w:w="856" w:type="dxa"/>
            <w:noWrap/>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5654</w:t>
            </w:r>
          </w:p>
        </w:tc>
        <w:tc>
          <w:tcPr>
            <w:tcW w:w="1186" w:type="dxa"/>
            <w:noWrap/>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4050</w:t>
            </w:r>
          </w:p>
        </w:tc>
        <w:tc>
          <w:tcPr>
            <w:tcW w:w="1387" w:type="dxa"/>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349</w:t>
            </w:r>
          </w:p>
        </w:tc>
        <w:tc>
          <w:tcPr>
            <w:tcW w:w="1113" w:type="dxa"/>
            <w:noWrap/>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97</w:t>
            </w:r>
          </w:p>
        </w:tc>
        <w:tc>
          <w:tcPr>
            <w:tcW w:w="992" w:type="dxa"/>
            <w:noWrap/>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18363</w:t>
            </w:r>
          </w:p>
        </w:tc>
      </w:tr>
      <w:tr w:rsidR="005D74C9" w:rsidRPr="00F644B8" w:rsidTr="007B3E72">
        <w:trPr>
          <w:trHeight w:val="79"/>
        </w:trPr>
        <w:tc>
          <w:tcPr>
            <w:tcW w:w="3221" w:type="dxa"/>
            <w:noWrap/>
          </w:tcPr>
          <w:p w:rsidR="00540CE3" w:rsidRPr="00026510" w:rsidRDefault="00540CE3" w:rsidP="00540CE3">
            <w:pPr>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Acute Specialist Trust</w:t>
            </w:r>
          </w:p>
        </w:tc>
        <w:tc>
          <w:tcPr>
            <w:tcW w:w="856" w:type="dxa"/>
            <w:noWrap/>
          </w:tcPr>
          <w:p w:rsidR="00540CE3" w:rsidRPr="00026510" w:rsidRDefault="00540CE3" w:rsidP="00540CE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613</w:t>
            </w:r>
          </w:p>
        </w:tc>
        <w:tc>
          <w:tcPr>
            <w:tcW w:w="1186" w:type="dxa"/>
            <w:noWrap/>
          </w:tcPr>
          <w:p w:rsidR="00540CE3" w:rsidRPr="00026510" w:rsidRDefault="00540CE3" w:rsidP="00540CE3">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632</w:t>
            </w:r>
          </w:p>
        </w:tc>
        <w:tc>
          <w:tcPr>
            <w:tcW w:w="1387" w:type="dxa"/>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36</w:t>
            </w:r>
          </w:p>
        </w:tc>
        <w:tc>
          <w:tcPr>
            <w:tcW w:w="1113" w:type="dxa"/>
            <w:noWrap/>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0</w:t>
            </w:r>
          </w:p>
        </w:tc>
        <w:tc>
          <w:tcPr>
            <w:tcW w:w="992" w:type="dxa"/>
            <w:noWrap/>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2427</w:t>
            </w:r>
          </w:p>
        </w:tc>
      </w:tr>
      <w:tr w:rsidR="005D74C9" w:rsidRPr="00F644B8" w:rsidTr="007B3E72">
        <w:trPr>
          <w:trHeight w:val="98"/>
        </w:trPr>
        <w:tc>
          <w:tcPr>
            <w:tcW w:w="3221" w:type="dxa"/>
            <w:noWrap/>
          </w:tcPr>
          <w:p w:rsidR="00540CE3" w:rsidRPr="00026510" w:rsidRDefault="00540CE3" w:rsidP="00540CE3">
            <w:pPr>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Acute Teaching Trust</w:t>
            </w:r>
          </w:p>
        </w:tc>
        <w:tc>
          <w:tcPr>
            <w:tcW w:w="856" w:type="dxa"/>
            <w:noWrap/>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9820</w:t>
            </w:r>
          </w:p>
        </w:tc>
        <w:tc>
          <w:tcPr>
            <w:tcW w:w="1186" w:type="dxa"/>
            <w:noWrap/>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9067</w:t>
            </w:r>
          </w:p>
        </w:tc>
        <w:tc>
          <w:tcPr>
            <w:tcW w:w="1387" w:type="dxa"/>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78</w:t>
            </w:r>
          </w:p>
        </w:tc>
        <w:tc>
          <w:tcPr>
            <w:tcW w:w="1113" w:type="dxa"/>
            <w:noWrap/>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291</w:t>
            </w:r>
          </w:p>
        </w:tc>
        <w:tc>
          <w:tcPr>
            <w:tcW w:w="992" w:type="dxa"/>
            <w:noWrap/>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43899</w:t>
            </w:r>
          </w:p>
        </w:tc>
      </w:tr>
      <w:tr w:rsidR="005D74C9" w:rsidRPr="00F644B8" w:rsidTr="007B3E72">
        <w:trPr>
          <w:trHeight w:val="243"/>
        </w:trPr>
        <w:tc>
          <w:tcPr>
            <w:tcW w:w="3221" w:type="dxa"/>
            <w:noWrap/>
          </w:tcPr>
          <w:p w:rsidR="00540CE3" w:rsidRPr="00026510" w:rsidRDefault="00540CE3" w:rsidP="00540CE3">
            <w:pPr>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Mental Health Trust</w:t>
            </w:r>
          </w:p>
        </w:tc>
        <w:tc>
          <w:tcPr>
            <w:tcW w:w="856" w:type="dxa"/>
            <w:noWrap/>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6096</w:t>
            </w:r>
          </w:p>
        </w:tc>
        <w:tc>
          <w:tcPr>
            <w:tcW w:w="1186" w:type="dxa"/>
            <w:noWrap/>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4396</w:t>
            </w:r>
          </w:p>
        </w:tc>
        <w:tc>
          <w:tcPr>
            <w:tcW w:w="1387" w:type="dxa"/>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151</w:t>
            </w:r>
          </w:p>
        </w:tc>
        <w:tc>
          <w:tcPr>
            <w:tcW w:w="1113" w:type="dxa"/>
            <w:noWrap/>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228</w:t>
            </w:r>
          </w:p>
        </w:tc>
        <w:tc>
          <w:tcPr>
            <w:tcW w:w="992" w:type="dxa"/>
            <w:noWrap/>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23641</w:t>
            </w:r>
          </w:p>
        </w:tc>
      </w:tr>
      <w:tr w:rsidR="005D74C9" w:rsidRPr="00F644B8" w:rsidTr="007B3E72">
        <w:trPr>
          <w:trHeight w:val="248"/>
        </w:trPr>
        <w:tc>
          <w:tcPr>
            <w:tcW w:w="3221" w:type="dxa"/>
            <w:noWrap/>
          </w:tcPr>
          <w:p w:rsidR="00540CE3" w:rsidRPr="00026510" w:rsidRDefault="00540CE3" w:rsidP="00540CE3">
            <w:pPr>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Foundation Trust</w:t>
            </w:r>
          </w:p>
        </w:tc>
        <w:tc>
          <w:tcPr>
            <w:tcW w:w="856" w:type="dxa"/>
            <w:noWrap/>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5488</w:t>
            </w:r>
          </w:p>
        </w:tc>
        <w:tc>
          <w:tcPr>
            <w:tcW w:w="1186" w:type="dxa"/>
            <w:noWrap/>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4737</w:t>
            </w:r>
          </w:p>
        </w:tc>
        <w:tc>
          <w:tcPr>
            <w:tcW w:w="1387" w:type="dxa"/>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385</w:t>
            </w:r>
          </w:p>
        </w:tc>
        <w:tc>
          <w:tcPr>
            <w:tcW w:w="1113" w:type="dxa"/>
            <w:noWrap/>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0</w:t>
            </w:r>
          </w:p>
        </w:tc>
        <w:tc>
          <w:tcPr>
            <w:tcW w:w="992" w:type="dxa"/>
            <w:noWrap/>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23641</w:t>
            </w:r>
          </w:p>
        </w:tc>
      </w:tr>
      <w:tr w:rsidR="005D74C9" w:rsidRPr="00F644B8" w:rsidTr="007B3E72">
        <w:trPr>
          <w:trHeight w:val="109"/>
        </w:trPr>
        <w:tc>
          <w:tcPr>
            <w:tcW w:w="3221" w:type="dxa"/>
            <w:noWrap/>
          </w:tcPr>
          <w:p w:rsidR="00540CE3" w:rsidRPr="00BB620C" w:rsidRDefault="00540CE3" w:rsidP="00540CE3">
            <w:pPr>
              <w:jc w:val="center"/>
              <w:rPr>
                <w:rFonts w:ascii="Calibri" w:eastAsia="Times New Roman" w:hAnsi="Calibri" w:cs="Times New Roman"/>
                <w:i/>
                <w:color w:val="000000"/>
                <w:lang w:eastAsia="en-GB"/>
              </w:rPr>
            </w:pPr>
            <w:r w:rsidRPr="00BB620C">
              <w:rPr>
                <w:rFonts w:ascii="Calibri" w:eastAsia="Times New Roman" w:hAnsi="Calibri" w:cs="Times New Roman"/>
                <w:i/>
                <w:color w:val="000000"/>
                <w:lang w:eastAsia="en-GB"/>
              </w:rPr>
              <w:t xml:space="preserve"> Days of Delay</w:t>
            </w:r>
            <w:r>
              <w:rPr>
                <w:rFonts w:ascii="Calibri" w:eastAsia="Times New Roman" w:hAnsi="Calibri" w:cs="Times New Roman"/>
                <w:i/>
                <w:color w:val="000000"/>
                <w:lang w:eastAsia="en-GB"/>
              </w:rPr>
              <w:t xml:space="preserve"> Attributed to NHS</w:t>
            </w:r>
          </w:p>
        </w:tc>
        <w:tc>
          <w:tcPr>
            <w:tcW w:w="856" w:type="dxa"/>
            <w:noWrap/>
          </w:tcPr>
          <w:p w:rsidR="00540CE3" w:rsidRPr="00026510" w:rsidRDefault="00540CE3" w:rsidP="00540CE3">
            <w:pPr>
              <w:jc w:val="right"/>
              <w:rPr>
                <w:rFonts w:ascii="Calibri" w:eastAsia="Times New Roman" w:hAnsi="Calibri" w:cs="Times New Roman"/>
                <w:color w:val="000000"/>
                <w:lang w:eastAsia="en-GB"/>
              </w:rPr>
            </w:pPr>
          </w:p>
        </w:tc>
        <w:tc>
          <w:tcPr>
            <w:tcW w:w="1186" w:type="dxa"/>
            <w:noWrap/>
          </w:tcPr>
          <w:p w:rsidR="00540CE3" w:rsidRPr="00026510" w:rsidRDefault="00540CE3" w:rsidP="00540CE3">
            <w:pPr>
              <w:jc w:val="right"/>
              <w:rPr>
                <w:rFonts w:ascii="Calibri" w:eastAsia="Times New Roman" w:hAnsi="Calibri" w:cs="Times New Roman"/>
                <w:color w:val="000000"/>
                <w:lang w:eastAsia="en-GB"/>
              </w:rPr>
            </w:pPr>
          </w:p>
        </w:tc>
        <w:tc>
          <w:tcPr>
            <w:tcW w:w="1387" w:type="dxa"/>
          </w:tcPr>
          <w:p w:rsidR="00540CE3" w:rsidRPr="00026510" w:rsidRDefault="00540CE3" w:rsidP="00540CE3">
            <w:pPr>
              <w:jc w:val="right"/>
              <w:rPr>
                <w:rFonts w:ascii="Calibri" w:eastAsia="Times New Roman" w:hAnsi="Calibri" w:cs="Times New Roman"/>
                <w:color w:val="000000"/>
                <w:lang w:eastAsia="en-GB"/>
              </w:rPr>
            </w:pPr>
          </w:p>
        </w:tc>
        <w:tc>
          <w:tcPr>
            <w:tcW w:w="1113" w:type="dxa"/>
            <w:noWrap/>
          </w:tcPr>
          <w:p w:rsidR="00540CE3" w:rsidRPr="00026510" w:rsidRDefault="00540CE3" w:rsidP="00540CE3">
            <w:pPr>
              <w:jc w:val="right"/>
              <w:rPr>
                <w:rFonts w:ascii="Calibri" w:eastAsia="Times New Roman" w:hAnsi="Calibri" w:cs="Times New Roman"/>
                <w:color w:val="000000"/>
                <w:lang w:eastAsia="en-GB"/>
              </w:rPr>
            </w:pPr>
          </w:p>
        </w:tc>
        <w:tc>
          <w:tcPr>
            <w:tcW w:w="992" w:type="dxa"/>
            <w:noWrap/>
          </w:tcPr>
          <w:p w:rsidR="00540CE3" w:rsidRPr="00026510" w:rsidRDefault="00540CE3" w:rsidP="00540CE3">
            <w:pPr>
              <w:jc w:val="right"/>
              <w:rPr>
                <w:rFonts w:ascii="Calibri" w:eastAsia="Times New Roman" w:hAnsi="Calibri" w:cs="Times New Roman"/>
                <w:color w:val="000000"/>
                <w:lang w:eastAsia="en-GB"/>
              </w:rPr>
            </w:pPr>
          </w:p>
        </w:tc>
      </w:tr>
      <w:tr w:rsidR="005D74C9" w:rsidRPr="00F644B8" w:rsidTr="007B3E72">
        <w:trPr>
          <w:trHeight w:val="109"/>
        </w:trPr>
        <w:tc>
          <w:tcPr>
            <w:tcW w:w="3221" w:type="dxa"/>
            <w:noWrap/>
            <w:hideMark/>
          </w:tcPr>
          <w:p w:rsidR="00540CE3" w:rsidRPr="00BB620C" w:rsidRDefault="00540CE3" w:rsidP="00540CE3">
            <w:pPr>
              <w:rPr>
                <w:rFonts w:ascii="Calibri" w:eastAsia="Times New Roman" w:hAnsi="Calibri" w:cs="Times New Roman"/>
                <w:color w:val="000000"/>
                <w:lang w:eastAsia="en-GB"/>
              </w:rPr>
            </w:pPr>
            <w:r w:rsidRPr="00BB620C">
              <w:rPr>
                <w:rFonts w:ascii="Calibri" w:eastAsia="Times New Roman" w:hAnsi="Calibri" w:cs="Times New Roman"/>
                <w:color w:val="000000"/>
                <w:lang w:eastAsia="en-GB"/>
              </w:rPr>
              <w:t>A</w:t>
            </w:r>
            <w:r>
              <w:rPr>
                <w:rFonts w:ascii="Calibri" w:eastAsia="Times New Roman" w:hAnsi="Calibri" w:cs="Times New Roman"/>
                <w:color w:val="000000"/>
                <w:lang w:eastAsia="en-GB"/>
              </w:rPr>
              <w:t>ll Trusts</w:t>
            </w:r>
          </w:p>
        </w:tc>
        <w:tc>
          <w:tcPr>
            <w:tcW w:w="856" w:type="dxa"/>
            <w:noWrap/>
            <w:hideMark/>
          </w:tcPr>
          <w:p w:rsidR="00540CE3" w:rsidRPr="00BB620C" w:rsidRDefault="00540CE3" w:rsidP="00540CE3">
            <w:pPr>
              <w:jc w:val="right"/>
              <w:rPr>
                <w:rFonts w:ascii="Calibri" w:eastAsia="Times New Roman" w:hAnsi="Calibri" w:cs="Times New Roman"/>
                <w:color w:val="000000"/>
                <w:lang w:eastAsia="en-GB"/>
              </w:rPr>
            </w:pPr>
            <w:r w:rsidRPr="00BB620C">
              <w:rPr>
                <w:rFonts w:ascii="Calibri" w:eastAsia="Times New Roman" w:hAnsi="Calibri" w:cs="Times New Roman"/>
                <w:color w:val="000000"/>
                <w:lang w:eastAsia="en-GB"/>
              </w:rPr>
              <w:t>4002</w:t>
            </w:r>
          </w:p>
        </w:tc>
        <w:tc>
          <w:tcPr>
            <w:tcW w:w="1186" w:type="dxa"/>
            <w:noWrap/>
            <w:hideMark/>
          </w:tcPr>
          <w:p w:rsidR="00540CE3" w:rsidRPr="00BB620C" w:rsidRDefault="00540CE3" w:rsidP="00540CE3">
            <w:pPr>
              <w:jc w:val="right"/>
              <w:rPr>
                <w:rFonts w:ascii="Calibri" w:eastAsia="Times New Roman" w:hAnsi="Calibri" w:cs="Times New Roman"/>
                <w:color w:val="000000"/>
                <w:lang w:eastAsia="en-GB"/>
              </w:rPr>
            </w:pPr>
            <w:r w:rsidRPr="00BB620C">
              <w:rPr>
                <w:rFonts w:ascii="Calibri" w:eastAsia="Times New Roman" w:hAnsi="Calibri" w:cs="Times New Roman"/>
                <w:color w:val="000000"/>
                <w:lang w:eastAsia="en-GB"/>
              </w:rPr>
              <w:t>3869</w:t>
            </w:r>
          </w:p>
        </w:tc>
        <w:tc>
          <w:tcPr>
            <w:tcW w:w="1387" w:type="dxa"/>
          </w:tcPr>
          <w:p w:rsidR="00540CE3" w:rsidRPr="00BB620C" w:rsidRDefault="00540CE3" w:rsidP="00540CE3">
            <w:pPr>
              <w:jc w:val="right"/>
              <w:rPr>
                <w:rFonts w:ascii="Calibri" w:eastAsia="Times New Roman" w:hAnsi="Calibri" w:cs="Times New Roman"/>
                <w:color w:val="000000"/>
                <w:lang w:eastAsia="en-GB"/>
              </w:rPr>
            </w:pPr>
            <w:r w:rsidRPr="00BB620C">
              <w:rPr>
                <w:rFonts w:ascii="Calibri" w:eastAsia="Times New Roman" w:hAnsi="Calibri" w:cs="Times New Roman"/>
                <w:color w:val="000000"/>
                <w:lang w:eastAsia="en-GB"/>
              </w:rPr>
              <w:t>614</w:t>
            </w:r>
          </w:p>
        </w:tc>
        <w:tc>
          <w:tcPr>
            <w:tcW w:w="1113" w:type="dxa"/>
            <w:noWrap/>
            <w:hideMark/>
          </w:tcPr>
          <w:p w:rsidR="00540CE3" w:rsidRPr="00BB620C" w:rsidRDefault="00540CE3" w:rsidP="00540CE3">
            <w:pPr>
              <w:jc w:val="right"/>
              <w:rPr>
                <w:rFonts w:ascii="Calibri" w:eastAsia="Times New Roman" w:hAnsi="Calibri" w:cs="Times New Roman"/>
                <w:color w:val="000000"/>
                <w:lang w:eastAsia="en-GB"/>
              </w:rPr>
            </w:pPr>
            <w:r w:rsidRPr="00BB620C">
              <w:rPr>
                <w:rFonts w:ascii="Calibri" w:eastAsia="Times New Roman" w:hAnsi="Calibri" w:cs="Times New Roman"/>
                <w:color w:val="000000"/>
                <w:lang w:eastAsia="en-GB"/>
              </w:rPr>
              <w:t>0</w:t>
            </w:r>
          </w:p>
        </w:tc>
        <w:tc>
          <w:tcPr>
            <w:tcW w:w="992"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25494</w:t>
            </w:r>
          </w:p>
        </w:tc>
      </w:tr>
      <w:tr w:rsidR="005D74C9" w:rsidRPr="00F644B8" w:rsidTr="007B3E72">
        <w:trPr>
          <w:trHeight w:val="113"/>
        </w:trPr>
        <w:tc>
          <w:tcPr>
            <w:tcW w:w="3221" w:type="dxa"/>
            <w:noWrap/>
          </w:tcPr>
          <w:p w:rsidR="00540CE3" w:rsidRPr="00026510" w:rsidRDefault="00540CE3" w:rsidP="00540CE3">
            <w:pPr>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Acute Trust</w:t>
            </w:r>
          </w:p>
        </w:tc>
        <w:tc>
          <w:tcPr>
            <w:tcW w:w="856" w:type="dxa"/>
            <w:noWrap/>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4262</w:t>
            </w:r>
          </w:p>
        </w:tc>
        <w:tc>
          <w:tcPr>
            <w:tcW w:w="1186" w:type="dxa"/>
            <w:noWrap/>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3415</w:t>
            </w:r>
          </w:p>
        </w:tc>
        <w:tc>
          <w:tcPr>
            <w:tcW w:w="1387" w:type="dxa"/>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349</w:t>
            </w:r>
          </w:p>
        </w:tc>
        <w:tc>
          <w:tcPr>
            <w:tcW w:w="1113" w:type="dxa"/>
            <w:noWrap/>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33</w:t>
            </w:r>
          </w:p>
        </w:tc>
        <w:tc>
          <w:tcPr>
            <w:tcW w:w="992" w:type="dxa"/>
            <w:noWrap/>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17297</w:t>
            </w:r>
          </w:p>
        </w:tc>
      </w:tr>
      <w:tr w:rsidR="005D74C9" w:rsidRPr="00F644B8" w:rsidTr="007B3E72">
        <w:trPr>
          <w:trHeight w:val="300"/>
        </w:trPr>
        <w:tc>
          <w:tcPr>
            <w:tcW w:w="3221" w:type="dxa"/>
            <w:noWrap/>
          </w:tcPr>
          <w:p w:rsidR="00540CE3" w:rsidRPr="00026510" w:rsidRDefault="00540CE3" w:rsidP="00540CE3">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Acute </w:t>
            </w:r>
            <w:r w:rsidRPr="00026510">
              <w:rPr>
                <w:rFonts w:ascii="Calibri" w:eastAsia="Times New Roman" w:hAnsi="Calibri" w:cs="Times New Roman"/>
                <w:color w:val="000000"/>
                <w:lang w:eastAsia="en-GB"/>
              </w:rPr>
              <w:t>Specialist Trust</w:t>
            </w:r>
          </w:p>
        </w:tc>
        <w:tc>
          <w:tcPr>
            <w:tcW w:w="856" w:type="dxa"/>
            <w:noWrap/>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34</w:t>
            </w:r>
            <w:r>
              <w:rPr>
                <w:rFonts w:ascii="Calibri" w:eastAsia="Times New Roman" w:hAnsi="Calibri" w:cs="Times New Roman"/>
                <w:color w:val="000000"/>
                <w:lang w:eastAsia="en-GB"/>
              </w:rPr>
              <w:t>8</w:t>
            </w:r>
          </w:p>
        </w:tc>
        <w:tc>
          <w:tcPr>
            <w:tcW w:w="1186" w:type="dxa"/>
            <w:noWrap/>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49</w:t>
            </w:r>
            <w:r>
              <w:rPr>
                <w:rFonts w:ascii="Calibri" w:eastAsia="Times New Roman" w:hAnsi="Calibri" w:cs="Times New Roman"/>
                <w:color w:val="000000"/>
                <w:lang w:eastAsia="en-GB"/>
              </w:rPr>
              <w:t>1</w:t>
            </w:r>
          </w:p>
        </w:tc>
        <w:tc>
          <w:tcPr>
            <w:tcW w:w="1387" w:type="dxa"/>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36</w:t>
            </w:r>
          </w:p>
        </w:tc>
        <w:tc>
          <w:tcPr>
            <w:tcW w:w="1113" w:type="dxa"/>
            <w:noWrap/>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0</w:t>
            </w:r>
          </w:p>
        </w:tc>
        <w:tc>
          <w:tcPr>
            <w:tcW w:w="992" w:type="dxa"/>
            <w:noWrap/>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2115</w:t>
            </w:r>
          </w:p>
        </w:tc>
      </w:tr>
      <w:tr w:rsidR="005D74C9" w:rsidRPr="00F644B8" w:rsidTr="007B3E72">
        <w:trPr>
          <w:trHeight w:val="300"/>
        </w:trPr>
        <w:tc>
          <w:tcPr>
            <w:tcW w:w="3221" w:type="dxa"/>
            <w:noWrap/>
          </w:tcPr>
          <w:p w:rsidR="00540CE3" w:rsidRPr="00026510" w:rsidRDefault="00540CE3" w:rsidP="00540CE3">
            <w:pPr>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Acute Teaching Trust</w:t>
            </w:r>
          </w:p>
        </w:tc>
        <w:tc>
          <w:tcPr>
            <w:tcW w:w="856" w:type="dxa"/>
            <w:noWrap/>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7071</w:t>
            </w:r>
          </w:p>
        </w:tc>
        <w:tc>
          <w:tcPr>
            <w:tcW w:w="1186" w:type="dxa"/>
            <w:noWrap/>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6034</w:t>
            </w:r>
          </w:p>
        </w:tc>
        <w:tc>
          <w:tcPr>
            <w:tcW w:w="1387" w:type="dxa"/>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78</w:t>
            </w:r>
          </w:p>
        </w:tc>
        <w:tc>
          <w:tcPr>
            <w:tcW w:w="1113" w:type="dxa"/>
            <w:noWrap/>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161</w:t>
            </w:r>
          </w:p>
        </w:tc>
        <w:tc>
          <w:tcPr>
            <w:tcW w:w="992" w:type="dxa"/>
            <w:noWrap/>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25494</w:t>
            </w:r>
          </w:p>
        </w:tc>
      </w:tr>
      <w:tr w:rsidR="005D74C9" w:rsidRPr="00F644B8" w:rsidTr="007B3E72">
        <w:trPr>
          <w:trHeight w:val="300"/>
        </w:trPr>
        <w:tc>
          <w:tcPr>
            <w:tcW w:w="3221" w:type="dxa"/>
            <w:noWrap/>
          </w:tcPr>
          <w:p w:rsidR="00540CE3" w:rsidRPr="00026510" w:rsidRDefault="00540CE3" w:rsidP="00540CE3">
            <w:pPr>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Mental Health Trust</w:t>
            </w:r>
          </w:p>
        </w:tc>
        <w:tc>
          <w:tcPr>
            <w:tcW w:w="856" w:type="dxa"/>
            <w:noWrap/>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2688</w:t>
            </w:r>
          </w:p>
        </w:tc>
        <w:tc>
          <w:tcPr>
            <w:tcW w:w="1186" w:type="dxa"/>
            <w:noWrap/>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2321</w:t>
            </w:r>
          </w:p>
        </w:tc>
        <w:tc>
          <w:tcPr>
            <w:tcW w:w="1387" w:type="dxa"/>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151</w:t>
            </w:r>
          </w:p>
        </w:tc>
        <w:tc>
          <w:tcPr>
            <w:tcW w:w="1113" w:type="dxa"/>
            <w:noWrap/>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23</w:t>
            </w:r>
          </w:p>
        </w:tc>
        <w:tc>
          <w:tcPr>
            <w:tcW w:w="992" w:type="dxa"/>
            <w:noWrap/>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12528</w:t>
            </w:r>
          </w:p>
        </w:tc>
      </w:tr>
      <w:tr w:rsidR="005D74C9" w:rsidRPr="00F644B8" w:rsidTr="007B3E72">
        <w:trPr>
          <w:trHeight w:val="45"/>
        </w:trPr>
        <w:tc>
          <w:tcPr>
            <w:tcW w:w="3221" w:type="dxa"/>
            <w:noWrap/>
          </w:tcPr>
          <w:p w:rsidR="00540CE3" w:rsidRPr="00026510" w:rsidRDefault="00540CE3" w:rsidP="00540CE3">
            <w:pPr>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Foundation Trust</w:t>
            </w:r>
          </w:p>
        </w:tc>
        <w:tc>
          <w:tcPr>
            <w:tcW w:w="856" w:type="dxa"/>
            <w:noWrap/>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3494</w:t>
            </w:r>
          </w:p>
        </w:tc>
        <w:tc>
          <w:tcPr>
            <w:tcW w:w="1186" w:type="dxa"/>
            <w:noWrap/>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3526</w:t>
            </w:r>
          </w:p>
        </w:tc>
        <w:tc>
          <w:tcPr>
            <w:tcW w:w="1387" w:type="dxa"/>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385</w:t>
            </w:r>
          </w:p>
        </w:tc>
        <w:tc>
          <w:tcPr>
            <w:tcW w:w="1113" w:type="dxa"/>
            <w:noWrap/>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0</w:t>
            </w:r>
          </w:p>
        </w:tc>
        <w:tc>
          <w:tcPr>
            <w:tcW w:w="992" w:type="dxa"/>
            <w:noWrap/>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17297</w:t>
            </w:r>
          </w:p>
        </w:tc>
      </w:tr>
      <w:tr w:rsidR="005D74C9" w:rsidRPr="00F644B8" w:rsidTr="007B3E72">
        <w:trPr>
          <w:trHeight w:val="164"/>
        </w:trPr>
        <w:tc>
          <w:tcPr>
            <w:tcW w:w="3221" w:type="dxa"/>
            <w:noWrap/>
          </w:tcPr>
          <w:p w:rsidR="00540CE3" w:rsidRPr="006C0B92" w:rsidRDefault="00540CE3" w:rsidP="00540CE3">
            <w:pPr>
              <w:jc w:val="center"/>
              <w:rPr>
                <w:rFonts w:ascii="Calibri" w:eastAsia="Times New Roman" w:hAnsi="Calibri" w:cs="Times New Roman"/>
                <w:i/>
                <w:color w:val="000000"/>
                <w:lang w:eastAsia="en-GB"/>
              </w:rPr>
            </w:pPr>
            <w:r w:rsidRPr="006C0B92">
              <w:rPr>
                <w:rFonts w:ascii="Calibri" w:eastAsia="Times New Roman" w:hAnsi="Calibri" w:cs="Times New Roman"/>
                <w:i/>
                <w:color w:val="000000"/>
                <w:lang w:eastAsia="en-GB"/>
              </w:rPr>
              <w:t>Trust type</w:t>
            </w:r>
          </w:p>
        </w:tc>
        <w:tc>
          <w:tcPr>
            <w:tcW w:w="856" w:type="dxa"/>
            <w:noWrap/>
          </w:tcPr>
          <w:p w:rsidR="00540CE3" w:rsidRPr="00026510" w:rsidRDefault="00540CE3" w:rsidP="00540CE3">
            <w:pPr>
              <w:jc w:val="right"/>
              <w:rPr>
                <w:rFonts w:ascii="Calibri" w:eastAsia="Times New Roman" w:hAnsi="Calibri" w:cs="Times New Roman"/>
                <w:color w:val="000000"/>
                <w:lang w:eastAsia="en-GB"/>
              </w:rPr>
            </w:pPr>
          </w:p>
        </w:tc>
        <w:tc>
          <w:tcPr>
            <w:tcW w:w="1186" w:type="dxa"/>
            <w:noWrap/>
          </w:tcPr>
          <w:p w:rsidR="00540CE3" w:rsidRPr="00026510" w:rsidRDefault="00540CE3" w:rsidP="00540CE3">
            <w:pPr>
              <w:jc w:val="right"/>
              <w:rPr>
                <w:rFonts w:ascii="Calibri" w:eastAsia="Times New Roman" w:hAnsi="Calibri" w:cs="Times New Roman"/>
                <w:color w:val="000000"/>
                <w:lang w:eastAsia="en-GB"/>
              </w:rPr>
            </w:pPr>
          </w:p>
        </w:tc>
        <w:tc>
          <w:tcPr>
            <w:tcW w:w="1387" w:type="dxa"/>
          </w:tcPr>
          <w:p w:rsidR="00540CE3" w:rsidRPr="00026510" w:rsidRDefault="00540CE3" w:rsidP="00540CE3">
            <w:pPr>
              <w:jc w:val="right"/>
              <w:rPr>
                <w:rFonts w:ascii="Calibri" w:eastAsia="Times New Roman" w:hAnsi="Calibri" w:cs="Times New Roman"/>
                <w:color w:val="000000"/>
                <w:lang w:eastAsia="en-GB"/>
              </w:rPr>
            </w:pPr>
          </w:p>
        </w:tc>
        <w:tc>
          <w:tcPr>
            <w:tcW w:w="1113" w:type="dxa"/>
            <w:noWrap/>
          </w:tcPr>
          <w:p w:rsidR="00540CE3" w:rsidRPr="00026510" w:rsidRDefault="00540CE3" w:rsidP="00540CE3">
            <w:pPr>
              <w:jc w:val="right"/>
              <w:rPr>
                <w:rFonts w:ascii="Calibri" w:eastAsia="Times New Roman" w:hAnsi="Calibri" w:cs="Times New Roman"/>
                <w:color w:val="000000"/>
                <w:lang w:eastAsia="en-GB"/>
              </w:rPr>
            </w:pPr>
          </w:p>
        </w:tc>
        <w:tc>
          <w:tcPr>
            <w:tcW w:w="992" w:type="dxa"/>
            <w:noWrap/>
          </w:tcPr>
          <w:p w:rsidR="00540CE3" w:rsidRPr="00026510" w:rsidRDefault="00540CE3" w:rsidP="00540CE3">
            <w:pPr>
              <w:jc w:val="right"/>
              <w:rPr>
                <w:rFonts w:ascii="Calibri" w:eastAsia="Times New Roman" w:hAnsi="Calibri" w:cs="Times New Roman"/>
                <w:color w:val="000000"/>
                <w:lang w:eastAsia="en-GB"/>
              </w:rPr>
            </w:pPr>
          </w:p>
        </w:tc>
      </w:tr>
      <w:tr w:rsidR="005D74C9" w:rsidRPr="00F644B8" w:rsidTr="007B3E72">
        <w:trPr>
          <w:trHeight w:val="164"/>
        </w:trPr>
        <w:tc>
          <w:tcPr>
            <w:tcW w:w="3221" w:type="dxa"/>
            <w:noWrap/>
            <w:hideMark/>
          </w:tcPr>
          <w:p w:rsidR="00540CE3" w:rsidRPr="00026510" w:rsidRDefault="00540CE3" w:rsidP="00540CE3">
            <w:pPr>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Acute Trust</w:t>
            </w:r>
          </w:p>
        </w:tc>
        <w:tc>
          <w:tcPr>
            <w:tcW w:w="856"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0.568</w:t>
            </w:r>
          </w:p>
        </w:tc>
        <w:tc>
          <w:tcPr>
            <w:tcW w:w="1186"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0.496</w:t>
            </w:r>
          </w:p>
        </w:tc>
        <w:tc>
          <w:tcPr>
            <w:tcW w:w="1387" w:type="dxa"/>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614</w:t>
            </w:r>
          </w:p>
        </w:tc>
        <w:tc>
          <w:tcPr>
            <w:tcW w:w="1113"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0</w:t>
            </w:r>
          </w:p>
        </w:tc>
        <w:tc>
          <w:tcPr>
            <w:tcW w:w="992"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1</w:t>
            </w:r>
          </w:p>
        </w:tc>
      </w:tr>
      <w:tr w:rsidR="005D74C9" w:rsidRPr="00F644B8" w:rsidTr="007B3E72">
        <w:trPr>
          <w:trHeight w:val="53"/>
        </w:trPr>
        <w:tc>
          <w:tcPr>
            <w:tcW w:w="3221" w:type="dxa"/>
            <w:noWrap/>
            <w:hideMark/>
          </w:tcPr>
          <w:p w:rsidR="00540CE3" w:rsidRPr="00026510" w:rsidRDefault="00540CE3" w:rsidP="00540CE3">
            <w:pPr>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Acute Specialist Trust</w:t>
            </w:r>
          </w:p>
        </w:tc>
        <w:tc>
          <w:tcPr>
            <w:tcW w:w="856"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0.059</w:t>
            </w:r>
          </w:p>
        </w:tc>
        <w:tc>
          <w:tcPr>
            <w:tcW w:w="1186"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0.235</w:t>
            </w:r>
          </w:p>
        </w:tc>
        <w:tc>
          <w:tcPr>
            <w:tcW w:w="1387" w:type="dxa"/>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614</w:t>
            </w:r>
          </w:p>
        </w:tc>
        <w:tc>
          <w:tcPr>
            <w:tcW w:w="1113"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0</w:t>
            </w:r>
          </w:p>
        </w:tc>
        <w:tc>
          <w:tcPr>
            <w:tcW w:w="992"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1</w:t>
            </w:r>
          </w:p>
        </w:tc>
      </w:tr>
      <w:tr w:rsidR="005D74C9" w:rsidRPr="00F644B8" w:rsidTr="007B3E72">
        <w:trPr>
          <w:trHeight w:val="86"/>
        </w:trPr>
        <w:tc>
          <w:tcPr>
            <w:tcW w:w="3221" w:type="dxa"/>
            <w:noWrap/>
            <w:hideMark/>
          </w:tcPr>
          <w:p w:rsidR="00540CE3" w:rsidRPr="00026510" w:rsidRDefault="00540CE3" w:rsidP="00540CE3">
            <w:pPr>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Acute Teaching Trust</w:t>
            </w:r>
          </w:p>
        </w:tc>
        <w:tc>
          <w:tcPr>
            <w:tcW w:w="856"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0.127</w:t>
            </w:r>
          </w:p>
        </w:tc>
        <w:tc>
          <w:tcPr>
            <w:tcW w:w="1186"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0.333</w:t>
            </w:r>
          </w:p>
        </w:tc>
        <w:tc>
          <w:tcPr>
            <w:tcW w:w="1387" w:type="dxa"/>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614</w:t>
            </w:r>
          </w:p>
        </w:tc>
        <w:tc>
          <w:tcPr>
            <w:tcW w:w="1113"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0</w:t>
            </w:r>
          </w:p>
        </w:tc>
        <w:tc>
          <w:tcPr>
            <w:tcW w:w="992"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1</w:t>
            </w:r>
          </w:p>
        </w:tc>
      </w:tr>
      <w:tr w:rsidR="005D74C9" w:rsidRPr="00F644B8" w:rsidTr="007B3E72">
        <w:trPr>
          <w:trHeight w:val="103"/>
        </w:trPr>
        <w:tc>
          <w:tcPr>
            <w:tcW w:w="3221" w:type="dxa"/>
            <w:noWrap/>
            <w:hideMark/>
          </w:tcPr>
          <w:p w:rsidR="00540CE3" w:rsidRPr="00026510" w:rsidRDefault="00540CE3" w:rsidP="00540CE3">
            <w:pPr>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Mental Health Trust</w:t>
            </w:r>
          </w:p>
        </w:tc>
        <w:tc>
          <w:tcPr>
            <w:tcW w:w="856"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0.246</w:t>
            </w:r>
          </w:p>
        </w:tc>
        <w:tc>
          <w:tcPr>
            <w:tcW w:w="1186"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0.431</w:t>
            </w:r>
          </w:p>
        </w:tc>
        <w:tc>
          <w:tcPr>
            <w:tcW w:w="1387" w:type="dxa"/>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614</w:t>
            </w:r>
          </w:p>
        </w:tc>
        <w:tc>
          <w:tcPr>
            <w:tcW w:w="1113"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0</w:t>
            </w:r>
          </w:p>
        </w:tc>
        <w:tc>
          <w:tcPr>
            <w:tcW w:w="992"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1</w:t>
            </w:r>
          </w:p>
        </w:tc>
      </w:tr>
      <w:tr w:rsidR="005D74C9" w:rsidRPr="00F644B8" w:rsidTr="007B3E72">
        <w:trPr>
          <w:trHeight w:val="135"/>
        </w:trPr>
        <w:tc>
          <w:tcPr>
            <w:tcW w:w="3221" w:type="dxa"/>
            <w:noWrap/>
            <w:hideMark/>
          </w:tcPr>
          <w:p w:rsidR="00540CE3" w:rsidRPr="00026510" w:rsidRDefault="00540CE3" w:rsidP="00540CE3">
            <w:pPr>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Foundation Trust</w:t>
            </w:r>
          </w:p>
        </w:tc>
        <w:tc>
          <w:tcPr>
            <w:tcW w:w="856"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0.627</w:t>
            </w:r>
          </w:p>
        </w:tc>
        <w:tc>
          <w:tcPr>
            <w:tcW w:w="1186"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0.484</w:t>
            </w:r>
          </w:p>
        </w:tc>
        <w:tc>
          <w:tcPr>
            <w:tcW w:w="1387" w:type="dxa"/>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614</w:t>
            </w:r>
          </w:p>
        </w:tc>
        <w:tc>
          <w:tcPr>
            <w:tcW w:w="1113"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0</w:t>
            </w:r>
          </w:p>
        </w:tc>
        <w:tc>
          <w:tcPr>
            <w:tcW w:w="992"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1</w:t>
            </w:r>
          </w:p>
        </w:tc>
      </w:tr>
      <w:tr w:rsidR="005D74C9" w:rsidRPr="00F644B8" w:rsidTr="007B3E72">
        <w:trPr>
          <w:trHeight w:val="167"/>
        </w:trPr>
        <w:tc>
          <w:tcPr>
            <w:tcW w:w="3221" w:type="dxa"/>
            <w:noWrap/>
          </w:tcPr>
          <w:p w:rsidR="00540CE3" w:rsidRPr="006C0B92" w:rsidRDefault="00540CE3" w:rsidP="00540CE3">
            <w:pPr>
              <w:jc w:val="center"/>
              <w:rPr>
                <w:rFonts w:ascii="Calibri" w:eastAsia="Times New Roman" w:hAnsi="Calibri" w:cs="Times New Roman"/>
                <w:i/>
                <w:color w:val="000000"/>
                <w:lang w:eastAsia="en-GB"/>
              </w:rPr>
            </w:pPr>
            <w:r w:rsidRPr="006C0B92">
              <w:rPr>
                <w:rFonts w:ascii="Calibri" w:eastAsia="Times New Roman" w:hAnsi="Calibri" w:cs="Times New Roman"/>
                <w:i/>
                <w:color w:val="000000"/>
                <w:lang w:eastAsia="en-GB"/>
              </w:rPr>
              <w:t>Covariates</w:t>
            </w:r>
          </w:p>
        </w:tc>
        <w:tc>
          <w:tcPr>
            <w:tcW w:w="856" w:type="dxa"/>
            <w:noWrap/>
          </w:tcPr>
          <w:p w:rsidR="00540CE3" w:rsidRPr="00026510" w:rsidRDefault="00540CE3" w:rsidP="00540CE3">
            <w:pPr>
              <w:jc w:val="right"/>
              <w:rPr>
                <w:rFonts w:ascii="Calibri" w:eastAsia="Times New Roman" w:hAnsi="Calibri" w:cs="Times New Roman"/>
                <w:color w:val="000000"/>
                <w:lang w:eastAsia="en-GB"/>
              </w:rPr>
            </w:pPr>
          </w:p>
        </w:tc>
        <w:tc>
          <w:tcPr>
            <w:tcW w:w="1186" w:type="dxa"/>
            <w:noWrap/>
          </w:tcPr>
          <w:p w:rsidR="00540CE3" w:rsidRPr="00026510" w:rsidRDefault="00540CE3" w:rsidP="00540CE3">
            <w:pPr>
              <w:jc w:val="right"/>
              <w:rPr>
                <w:rFonts w:ascii="Calibri" w:eastAsia="Times New Roman" w:hAnsi="Calibri" w:cs="Times New Roman"/>
                <w:color w:val="000000"/>
                <w:lang w:eastAsia="en-GB"/>
              </w:rPr>
            </w:pPr>
          </w:p>
        </w:tc>
        <w:tc>
          <w:tcPr>
            <w:tcW w:w="1387" w:type="dxa"/>
          </w:tcPr>
          <w:p w:rsidR="00540CE3" w:rsidRPr="00026510" w:rsidRDefault="00540CE3" w:rsidP="00540CE3">
            <w:pPr>
              <w:jc w:val="right"/>
              <w:rPr>
                <w:rFonts w:ascii="Calibri" w:eastAsia="Times New Roman" w:hAnsi="Calibri" w:cs="Times New Roman"/>
                <w:color w:val="000000"/>
                <w:lang w:eastAsia="en-GB"/>
              </w:rPr>
            </w:pPr>
          </w:p>
        </w:tc>
        <w:tc>
          <w:tcPr>
            <w:tcW w:w="1113" w:type="dxa"/>
            <w:noWrap/>
          </w:tcPr>
          <w:p w:rsidR="00540CE3" w:rsidRPr="00026510" w:rsidRDefault="00540CE3" w:rsidP="00540CE3">
            <w:pPr>
              <w:jc w:val="right"/>
              <w:rPr>
                <w:rFonts w:ascii="Calibri" w:eastAsia="Times New Roman" w:hAnsi="Calibri" w:cs="Times New Roman"/>
                <w:color w:val="000000"/>
                <w:lang w:eastAsia="en-GB"/>
              </w:rPr>
            </w:pPr>
          </w:p>
        </w:tc>
        <w:tc>
          <w:tcPr>
            <w:tcW w:w="992" w:type="dxa"/>
            <w:noWrap/>
          </w:tcPr>
          <w:p w:rsidR="00540CE3" w:rsidRPr="00026510" w:rsidRDefault="00540CE3" w:rsidP="00540CE3">
            <w:pPr>
              <w:jc w:val="right"/>
              <w:rPr>
                <w:rFonts w:ascii="Calibri" w:eastAsia="Times New Roman" w:hAnsi="Calibri" w:cs="Times New Roman"/>
                <w:color w:val="000000"/>
                <w:lang w:eastAsia="en-GB"/>
              </w:rPr>
            </w:pPr>
          </w:p>
        </w:tc>
      </w:tr>
      <w:tr w:rsidR="005D74C9" w:rsidRPr="00F644B8" w:rsidTr="007B3E72">
        <w:trPr>
          <w:trHeight w:val="167"/>
        </w:trPr>
        <w:tc>
          <w:tcPr>
            <w:tcW w:w="3221" w:type="dxa"/>
            <w:noWrap/>
            <w:hideMark/>
          </w:tcPr>
          <w:p w:rsidR="00540CE3" w:rsidRPr="00026510" w:rsidRDefault="00540CE3" w:rsidP="00540CE3">
            <w:pPr>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Hospital Beds</w:t>
            </w:r>
          </w:p>
        </w:tc>
        <w:tc>
          <w:tcPr>
            <w:tcW w:w="856"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642.8</w:t>
            </w:r>
          </w:p>
        </w:tc>
        <w:tc>
          <w:tcPr>
            <w:tcW w:w="1186"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352.3</w:t>
            </w:r>
          </w:p>
        </w:tc>
        <w:tc>
          <w:tcPr>
            <w:tcW w:w="1387" w:type="dxa"/>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614</w:t>
            </w:r>
          </w:p>
        </w:tc>
        <w:tc>
          <w:tcPr>
            <w:tcW w:w="1113"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7.532</w:t>
            </w:r>
          </w:p>
        </w:tc>
        <w:tc>
          <w:tcPr>
            <w:tcW w:w="992"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2165</w:t>
            </w:r>
          </w:p>
        </w:tc>
      </w:tr>
      <w:tr w:rsidR="005D74C9" w:rsidRPr="00F644B8" w:rsidTr="007B3E72">
        <w:trPr>
          <w:trHeight w:val="57"/>
        </w:trPr>
        <w:tc>
          <w:tcPr>
            <w:tcW w:w="3221" w:type="dxa"/>
            <w:noWrap/>
            <w:hideMark/>
          </w:tcPr>
          <w:p w:rsidR="00540CE3" w:rsidRPr="00026510" w:rsidRDefault="00540CE3" w:rsidP="00540CE3">
            <w:pPr>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Care Home Beds</w:t>
            </w:r>
          </w:p>
        </w:tc>
        <w:tc>
          <w:tcPr>
            <w:tcW w:w="856"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3129</w:t>
            </w:r>
          </w:p>
        </w:tc>
        <w:tc>
          <w:tcPr>
            <w:tcW w:w="1186"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2182</w:t>
            </w:r>
          </w:p>
        </w:tc>
        <w:tc>
          <w:tcPr>
            <w:tcW w:w="1387" w:type="dxa"/>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614</w:t>
            </w:r>
          </w:p>
        </w:tc>
        <w:tc>
          <w:tcPr>
            <w:tcW w:w="1113"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118</w:t>
            </w:r>
          </w:p>
        </w:tc>
        <w:tc>
          <w:tcPr>
            <w:tcW w:w="992"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7496</w:t>
            </w:r>
          </w:p>
        </w:tc>
      </w:tr>
      <w:tr w:rsidR="005D74C9" w:rsidRPr="00F644B8" w:rsidTr="007B3E72">
        <w:trPr>
          <w:trHeight w:val="90"/>
        </w:trPr>
        <w:tc>
          <w:tcPr>
            <w:tcW w:w="3221" w:type="dxa"/>
            <w:noWrap/>
            <w:hideMark/>
          </w:tcPr>
          <w:p w:rsidR="00540CE3" w:rsidRPr="00026510" w:rsidRDefault="00540CE3" w:rsidP="00540CE3">
            <w:pPr>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Care Home Price/Week</w:t>
            </w:r>
          </w:p>
        </w:tc>
        <w:tc>
          <w:tcPr>
            <w:tcW w:w="856"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550.3</w:t>
            </w:r>
          </w:p>
        </w:tc>
        <w:tc>
          <w:tcPr>
            <w:tcW w:w="1186"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90.79</w:t>
            </w:r>
          </w:p>
        </w:tc>
        <w:tc>
          <w:tcPr>
            <w:tcW w:w="1387" w:type="dxa"/>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614</w:t>
            </w:r>
          </w:p>
        </w:tc>
        <w:tc>
          <w:tcPr>
            <w:tcW w:w="1113"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414.4</w:t>
            </w:r>
          </w:p>
        </w:tc>
        <w:tc>
          <w:tcPr>
            <w:tcW w:w="992"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722.1</w:t>
            </w:r>
          </w:p>
        </w:tc>
      </w:tr>
      <w:tr w:rsidR="005D74C9" w:rsidRPr="00F644B8" w:rsidTr="007B3E72">
        <w:trPr>
          <w:trHeight w:val="45"/>
        </w:trPr>
        <w:tc>
          <w:tcPr>
            <w:tcW w:w="3221" w:type="dxa"/>
            <w:noWrap/>
            <w:hideMark/>
          </w:tcPr>
          <w:p w:rsidR="00540CE3" w:rsidRPr="00026510" w:rsidRDefault="007D7FA1" w:rsidP="00540CE3">
            <w:pPr>
              <w:rPr>
                <w:rFonts w:ascii="Calibri" w:eastAsia="Times New Roman" w:hAnsi="Calibri" w:cs="Times New Roman"/>
                <w:color w:val="000000"/>
                <w:lang w:eastAsia="en-GB"/>
              </w:rPr>
            </w:pPr>
            <w:r>
              <w:rPr>
                <w:rFonts w:ascii="Calibri" w:eastAsia="Times New Roman" w:hAnsi="Calibri" w:cs="Times New Roman"/>
                <w:color w:val="000000"/>
                <w:lang w:eastAsia="en-GB"/>
              </w:rPr>
              <w:t>% patients 60-74</w:t>
            </w:r>
          </w:p>
        </w:tc>
        <w:tc>
          <w:tcPr>
            <w:tcW w:w="856"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20.60</w:t>
            </w:r>
          </w:p>
        </w:tc>
        <w:tc>
          <w:tcPr>
            <w:tcW w:w="1186"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6.319</w:t>
            </w:r>
          </w:p>
        </w:tc>
        <w:tc>
          <w:tcPr>
            <w:tcW w:w="1387" w:type="dxa"/>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614</w:t>
            </w:r>
          </w:p>
        </w:tc>
        <w:tc>
          <w:tcPr>
            <w:tcW w:w="1113"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0.977</w:t>
            </w:r>
          </w:p>
        </w:tc>
        <w:tc>
          <w:tcPr>
            <w:tcW w:w="992"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47.00</w:t>
            </w:r>
          </w:p>
        </w:tc>
      </w:tr>
      <w:tr w:rsidR="005D74C9" w:rsidRPr="00F644B8" w:rsidTr="007B3E72">
        <w:trPr>
          <w:trHeight w:val="45"/>
        </w:trPr>
        <w:tc>
          <w:tcPr>
            <w:tcW w:w="3221" w:type="dxa"/>
            <w:noWrap/>
            <w:hideMark/>
          </w:tcPr>
          <w:p w:rsidR="00540CE3" w:rsidRPr="00026510" w:rsidRDefault="007D7FA1" w:rsidP="00540CE3">
            <w:pPr>
              <w:rPr>
                <w:rFonts w:ascii="Calibri" w:eastAsia="Times New Roman" w:hAnsi="Calibri" w:cs="Times New Roman"/>
                <w:color w:val="000000"/>
                <w:lang w:eastAsia="en-GB"/>
              </w:rPr>
            </w:pPr>
            <w:r>
              <w:rPr>
                <w:rFonts w:ascii="Calibri" w:eastAsia="Times New Roman" w:hAnsi="Calibri" w:cs="Times New Roman"/>
                <w:color w:val="000000"/>
                <w:lang w:eastAsia="en-GB"/>
              </w:rPr>
              <w:t>% patients</w:t>
            </w:r>
            <w:r w:rsidR="00540CE3" w:rsidRPr="00026510">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75+</w:t>
            </w:r>
          </w:p>
        </w:tc>
        <w:tc>
          <w:tcPr>
            <w:tcW w:w="856"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21.96</w:t>
            </w:r>
          </w:p>
        </w:tc>
        <w:tc>
          <w:tcPr>
            <w:tcW w:w="1186"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8.833</w:t>
            </w:r>
          </w:p>
        </w:tc>
        <w:tc>
          <w:tcPr>
            <w:tcW w:w="1387" w:type="dxa"/>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614</w:t>
            </w:r>
          </w:p>
        </w:tc>
        <w:tc>
          <w:tcPr>
            <w:tcW w:w="1113"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0</w:t>
            </w:r>
          </w:p>
        </w:tc>
        <w:tc>
          <w:tcPr>
            <w:tcW w:w="992"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60.36</w:t>
            </w:r>
          </w:p>
        </w:tc>
      </w:tr>
      <w:tr w:rsidR="005D74C9" w:rsidRPr="00F644B8" w:rsidTr="007B3E72">
        <w:trPr>
          <w:trHeight w:val="171"/>
        </w:trPr>
        <w:tc>
          <w:tcPr>
            <w:tcW w:w="3221" w:type="dxa"/>
            <w:noWrap/>
            <w:hideMark/>
          </w:tcPr>
          <w:p w:rsidR="00540CE3" w:rsidRPr="00026510" w:rsidRDefault="00540CE3" w:rsidP="00540CE3">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r w:rsidRPr="00026510">
              <w:rPr>
                <w:rFonts w:ascii="Calibri" w:eastAsia="Times New Roman" w:hAnsi="Calibri" w:cs="Times New Roman"/>
                <w:color w:val="000000"/>
                <w:lang w:eastAsia="en-GB"/>
              </w:rPr>
              <w:t xml:space="preserve">male patients </w:t>
            </w:r>
          </w:p>
        </w:tc>
        <w:tc>
          <w:tcPr>
            <w:tcW w:w="856"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45.73</w:t>
            </w:r>
          </w:p>
        </w:tc>
        <w:tc>
          <w:tcPr>
            <w:tcW w:w="1186"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5.843</w:t>
            </w:r>
          </w:p>
        </w:tc>
        <w:tc>
          <w:tcPr>
            <w:tcW w:w="1387" w:type="dxa"/>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614</w:t>
            </w:r>
          </w:p>
        </w:tc>
        <w:tc>
          <w:tcPr>
            <w:tcW w:w="1113"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1.554</w:t>
            </w:r>
          </w:p>
        </w:tc>
        <w:tc>
          <w:tcPr>
            <w:tcW w:w="992"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77.35</w:t>
            </w:r>
          </w:p>
        </w:tc>
      </w:tr>
      <w:tr w:rsidR="005D74C9" w:rsidRPr="00F644B8" w:rsidTr="007B3E72">
        <w:trPr>
          <w:trHeight w:val="62"/>
        </w:trPr>
        <w:tc>
          <w:tcPr>
            <w:tcW w:w="3221" w:type="dxa"/>
            <w:noWrap/>
            <w:hideMark/>
          </w:tcPr>
          <w:p w:rsidR="00540CE3" w:rsidRPr="00026510" w:rsidRDefault="00540CE3" w:rsidP="00540CE3">
            <w:pPr>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 xml:space="preserve">% Emergency Admissions </w:t>
            </w:r>
          </w:p>
        </w:tc>
        <w:tc>
          <w:tcPr>
            <w:tcW w:w="856"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39.78</w:t>
            </w:r>
          </w:p>
        </w:tc>
        <w:tc>
          <w:tcPr>
            <w:tcW w:w="1186"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14.75</w:t>
            </w:r>
          </w:p>
        </w:tc>
        <w:tc>
          <w:tcPr>
            <w:tcW w:w="1387" w:type="dxa"/>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614</w:t>
            </w:r>
          </w:p>
        </w:tc>
        <w:tc>
          <w:tcPr>
            <w:tcW w:w="1113"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0</w:t>
            </w:r>
          </w:p>
        </w:tc>
        <w:tc>
          <w:tcPr>
            <w:tcW w:w="992"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97.73</w:t>
            </w:r>
          </w:p>
        </w:tc>
      </w:tr>
      <w:tr w:rsidR="005D74C9" w:rsidRPr="00F644B8" w:rsidTr="007B3E72">
        <w:trPr>
          <w:trHeight w:val="235"/>
        </w:trPr>
        <w:tc>
          <w:tcPr>
            <w:tcW w:w="3221" w:type="dxa"/>
            <w:noWrap/>
            <w:hideMark/>
          </w:tcPr>
          <w:p w:rsidR="00540CE3" w:rsidRPr="00026510" w:rsidRDefault="00540CE3" w:rsidP="00540CE3">
            <w:pPr>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 xml:space="preserve">% Standardised Readmissions </w:t>
            </w:r>
          </w:p>
        </w:tc>
        <w:tc>
          <w:tcPr>
            <w:tcW w:w="856"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8.622</w:t>
            </w:r>
          </w:p>
        </w:tc>
        <w:tc>
          <w:tcPr>
            <w:tcW w:w="1186"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4.832</w:t>
            </w:r>
          </w:p>
        </w:tc>
        <w:tc>
          <w:tcPr>
            <w:tcW w:w="1387" w:type="dxa"/>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614</w:t>
            </w:r>
          </w:p>
        </w:tc>
        <w:tc>
          <w:tcPr>
            <w:tcW w:w="1113"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0</w:t>
            </w:r>
          </w:p>
        </w:tc>
        <w:tc>
          <w:tcPr>
            <w:tcW w:w="992" w:type="dxa"/>
            <w:noWrap/>
            <w:hideMark/>
          </w:tcPr>
          <w:p w:rsidR="00540CE3" w:rsidRPr="00026510" w:rsidRDefault="00540CE3" w:rsidP="00540CE3">
            <w:pPr>
              <w:jc w:val="right"/>
              <w:rPr>
                <w:rFonts w:ascii="Calibri" w:eastAsia="Times New Roman" w:hAnsi="Calibri" w:cs="Times New Roman"/>
                <w:color w:val="000000"/>
                <w:lang w:eastAsia="en-GB"/>
              </w:rPr>
            </w:pPr>
            <w:r w:rsidRPr="00026510">
              <w:rPr>
                <w:rFonts w:ascii="Calibri" w:eastAsia="Times New Roman" w:hAnsi="Calibri" w:cs="Times New Roman"/>
                <w:color w:val="000000"/>
                <w:lang w:eastAsia="en-GB"/>
              </w:rPr>
              <w:t>17.1</w:t>
            </w:r>
          </w:p>
        </w:tc>
      </w:tr>
    </w:tbl>
    <w:p w:rsidR="00540CE3" w:rsidRPr="005130B7" w:rsidRDefault="000642D2" w:rsidP="00540CE3">
      <w:pPr>
        <w:jc w:val="both"/>
        <w:rPr>
          <w:sz w:val="18"/>
          <w:szCs w:val="18"/>
        </w:rPr>
      </w:pPr>
      <w:r>
        <w:rPr>
          <w:sz w:val="18"/>
          <w:szCs w:val="18"/>
        </w:rPr>
        <w:t xml:space="preserve">Sample: </w:t>
      </w:r>
      <w:r w:rsidR="00540CE3" w:rsidRPr="005130B7">
        <w:rPr>
          <w:sz w:val="18"/>
          <w:szCs w:val="18"/>
        </w:rPr>
        <w:t>614 (208, 203 and 203) Trusts</w:t>
      </w:r>
      <w:r w:rsidR="00540CE3">
        <w:rPr>
          <w:sz w:val="18"/>
          <w:szCs w:val="18"/>
        </w:rPr>
        <w:t xml:space="preserve"> in </w:t>
      </w:r>
      <w:r w:rsidR="00540CE3" w:rsidRPr="005130B7">
        <w:rPr>
          <w:sz w:val="18"/>
          <w:szCs w:val="18"/>
        </w:rPr>
        <w:t>2011/12-2013/14. Mean, Standard deviation, Observations, Minimum and Maximum are over three years. Days of Delay: total days of delay experienced by all delayed patients during a year. NHS Days of Delay: total days of delay experienced by delayed patients during a year attributed to the NHS. Hospital Beds: annual average daily number of available or occupied beds. Care Home Beds: number</w:t>
      </w:r>
      <w:r>
        <w:rPr>
          <w:sz w:val="18"/>
          <w:szCs w:val="18"/>
        </w:rPr>
        <w:t xml:space="preserve"> of</w:t>
      </w:r>
      <w:r w:rsidR="00540CE3" w:rsidRPr="005130B7">
        <w:rPr>
          <w:sz w:val="18"/>
          <w:szCs w:val="18"/>
        </w:rPr>
        <w:t xml:space="preserve"> beds in care homes within 10km of the Trust’s headquarters in 2011 whose primary clients are patients aged 65+ or with dementia. Care Home Price/Week: average weekly price in care homes within 10km of the Trust’s headquarters in 2011 whose primary clients are patients aged 65+ or with dementia. Standardise</w:t>
      </w:r>
      <w:r w:rsidR="00540CE3">
        <w:rPr>
          <w:sz w:val="18"/>
          <w:szCs w:val="18"/>
        </w:rPr>
        <w:t>d r</w:t>
      </w:r>
      <w:r w:rsidR="00540CE3" w:rsidRPr="005130B7">
        <w:rPr>
          <w:sz w:val="18"/>
          <w:szCs w:val="18"/>
        </w:rPr>
        <w:t>eadmissions: annual indirectly standardised emergency readmission within 28 days, lagged by two years.</w:t>
      </w:r>
    </w:p>
    <w:p w:rsidR="00540CE3" w:rsidRDefault="00540CE3" w:rsidP="00540CE3">
      <w:pPr>
        <w:rPr>
          <w:sz w:val="18"/>
          <w:szCs w:val="18"/>
        </w:rPr>
        <w:sectPr w:rsidR="00540CE3" w:rsidSect="00BA2913">
          <w:pgSz w:w="11906" w:h="16838"/>
          <w:pgMar w:top="1440" w:right="1440" w:bottom="1440" w:left="1440" w:header="708" w:footer="708" w:gutter="0"/>
          <w:cols w:space="708"/>
          <w:docGrid w:linePitch="360"/>
        </w:sectPr>
      </w:pPr>
    </w:p>
    <w:p w:rsidR="008F3233" w:rsidRPr="005E6343" w:rsidRDefault="000C6FA8" w:rsidP="005E6343">
      <w:pPr>
        <w:pStyle w:val="Heading2"/>
        <w:ind w:left="1440"/>
        <w:rPr>
          <w:color w:val="365F91" w:themeColor="accent1" w:themeShade="BF"/>
        </w:rPr>
      </w:pPr>
      <w:r w:rsidRPr="005E6343">
        <w:rPr>
          <w:color w:val="365F91" w:themeColor="accent1" w:themeShade="BF"/>
        </w:rPr>
        <w:lastRenderedPageBreak/>
        <w:t>Table 2</w:t>
      </w:r>
      <w:r w:rsidR="008F3233" w:rsidRPr="005E6343">
        <w:rPr>
          <w:color w:val="365F91" w:themeColor="accent1" w:themeShade="BF"/>
        </w:rPr>
        <w:t>: Number of Foundation Trusts by Type and Year</w:t>
      </w:r>
    </w:p>
    <w:tbl>
      <w:tblPr>
        <w:tblStyle w:val="TableGrid"/>
        <w:tblW w:w="7148" w:type="dxa"/>
        <w:tblInd w:w="1440" w:type="dxa"/>
        <w:tblLook w:val="04A0" w:firstRow="1" w:lastRow="0" w:firstColumn="1" w:lastColumn="0" w:noHBand="0" w:noVBand="1"/>
      </w:tblPr>
      <w:tblGrid>
        <w:gridCol w:w="2240"/>
        <w:gridCol w:w="975"/>
        <w:gridCol w:w="661"/>
        <w:gridCol w:w="975"/>
        <w:gridCol w:w="661"/>
        <w:gridCol w:w="975"/>
        <w:gridCol w:w="661"/>
      </w:tblGrid>
      <w:tr w:rsidR="007B3E72" w:rsidRPr="008F3233" w:rsidTr="005E6343">
        <w:trPr>
          <w:trHeight w:val="300"/>
        </w:trPr>
        <w:tc>
          <w:tcPr>
            <w:tcW w:w="2240" w:type="dxa"/>
            <w:noWrap/>
            <w:hideMark/>
          </w:tcPr>
          <w:p w:rsidR="007B3E72" w:rsidRPr="008F3233" w:rsidRDefault="007B3E72" w:rsidP="008F3233">
            <w:pPr>
              <w:rPr>
                <w:rFonts w:ascii="Calibri" w:eastAsia="Times New Roman" w:hAnsi="Calibri" w:cs="Times New Roman"/>
                <w:color w:val="000000"/>
                <w:lang w:eastAsia="en-GB"/>
              </w:rPr>
            </w:pPr>
          </w:p>
        </w:tc>
        <w:tc>
          <w:tcPr>
            <w:tcW w:w="1636" w:type="dxa"/>
            <w:gridSpan w:val="2"/>
            <w:noWrap/>
            <w:hideMark/>
          </w:tcPr>
          <w:p w:rsidR="007B3E72" w:rsidRPr="008F3233" w:rsidRDefault="007B3E72" w:rsidP="005D74C9">
            <w:pPr>
              <w:rPr>
                <w:rFonts w:ascii="Calibri" w:eastAsia="Times New Roman" w:hAnsi="Calibri" w:cs="Times New Roman"/>
                <w:color w:val="000000"/>
                <w:lang w:eastAsia="en-GB"/>
              </w:rPr>
            </w:pPr>
            <w:r w:rsidRPr="008F3233">
              <w:rPr>
                <w:rFonts w:ascii="Calibri" w:eastAsia="Times New Roman" w:hAnsi="Calibri" w:cs="Times New Roman"/>
                <w:color w:val="000000"/>
                <w:lang w:eastAsia="en-GB"/>
              </w:rPr>
              <w:t>2011-12</w:t>
            </w:r>
          </w:p>
        </w:tc>
        <w:tc>
          <w:tcPr>
            <w:tcW w:w="1636" w:type="dxa"/>
            <w:gridSpan w:val="2"/>
            <w:noWrap/>
            <w:hideMark/>
          </w:tcPr>
          <w:p w:rsidR="007B3E72" w:rsidRPr="008F3233" w:rsidRDefault="007B3E72" w:rsidP="005D74C9">
            <w:pPr>
              <w:rPr>
                <w:rFonts w:ascii="Calibri" w:eastAsia="Times New Roman" w:hAnsi="Calibri" w:cs="Times New Roman"/>
                <w:color w:val="000000"/>
                <w:lang w:eastAsia="en-GB"/>
              </w:rPr>
            </w:pPr>
            <w:r w:rsidRPr="008F3233">
              <w:rPr>
                <w:rFonts w:ascii="Calibri" w:eastAsia="Times New Roman" w:hAnsi="Calibri" w:cs="Times New Roman"/>
                <w:color w:val="000000"/>
                <w:lang w:eastAsia="en-GB"/>
              </w:rPr>
              <w:t>2012-13</w:t>
            </w:r>
          </w:p>
        </w:tc>
        <w:tc>
          <w:tcPr>
            <w:tcW w:w="1636" w:type="dxa"/>
            <w:gridSpan w:val="2"/>
            <w:noWrap/>
            <w:hideMark/>
          </w:tcPr>
          <w:p w:rsidR="007B3E72" w:rsidRPr="008F3233" w:rsidRDefault="007B3E72" w:rsidP="005D74C9">
            <w:pPr>
              <w:rPr>
                <w:rFonts w:ascii="Calibri" w:eastAsia="Times New Roman" w:hAnsi="Calibri" w:cs="Times New Roman"/>
                <w:color w:val="000000"/>
                <w:lang w:eastAsia="en-GB"/>
              </w:rPr>
            </w:pPr>
            <w:r w:rsidRPr="008F3233">
              <w:rPr>
                <w:rFonts w:ascii="Calibri" w:eastAsia="Times New Roman" w:hAnsi="Calibri" w:cs="Times New Roman"/>
                <w:color w:val="000000"/>
                <w:lang w:eastAsia="en-GB"/>
              </w:rPr>
              <w:t>201</w:t>
            </w:r>
            <w:r w:rsidR="00B24C21">
              <w:rPr>
                <w:rFonts w:ascii="Calibri" w:eastAsia="Times New Roman" w:hAnsi="Calibri" w:cs="Times New Roman"/>
                <w:color w:val="000000"/>
                <w:lang w:eastAsia="en-GB"/>
              </w:rPr>
              <w:t>3</w:t>
            </w:r>
            <w:r w:rsidRPr="008F3233">
              <w:rPr>
                <w:rFonts w:ascii="Calibri" w:eastAsia="Times New Roman" w:hAnsi="Calibri" w:cs="Times New Roman"/>
                <w:color w:val="000000"/>
                <w:lang w:eastAsia="en-GB"/>
              </w:rPr>
              <w:t>-1</w:t>
            </w:r>
            <w:r w:rsidR="00B24C21">
              <w:rPr>
                <w:rFonts w:ascii="Calibri" w:eastAsia="Times New Roman" w:hAnsi="Calibri" w:cs="Times New Roman"/>
                <w:color w:val="000000"/>
                <w:lang w:eastAsia="en-GB"/>
              </w:rPr>
              <w:t>4</w:t>
            </w:r>
          </w:p>
        </w:tc>
      </w:tr>
      <w:tr w:rsidR="007B3E72" w:rsidRPr="008F3233" w:rsidTr="005E6343">
        <w:trPr>
          <w:trHeight w:val="300"/>
        </w:trPr>
        <w:tc>
          <w:tcPr>
            <w:tcW w:w="2240" w:type="dxa"/>
            <w:noWrap/>
            <w:hideMark/>
          </w:tcPr>
          <w:p w:rsidR="007B3E72" w:rsidRPr="008F3233" w:rsidRDefault="007B3E72" w:rsidP="008F3233">
            <w:pPr>
              <w:rPr>
                <w:rFonts w:ascii="Calibri" w:eastAsia="Times New Roman" w:hAnsi="Calibri" w:cs="Times New Roman"/>
                <w:color w:val="000000"/>
                <w:lang w:eastAsia="en-GB"/>
              </w:rPr>
            </w:pPr>
          </w:p>
        </w:tc>
        <w:tc>
          <w:tcPr>
            <w:tcW w:w="975" w:type="dxa"/>
            <w:noWrap/>
            <w:hideMark/>
          </w:tcPr>
          <w:p w:rsidR="007B3E72" w:rsidRPr="008F3233" w:rsidRDefault="007B3E72" w:rsidP="008F3233">
            <w:pPr>
              <w:rPr>
                <w:rFonts w:ascii="Calibri" w:eastAsia="Times New Roman" w:hAnsi="Calibri" w:cs="Times New Roman"/>
                <w:color w:val="000000"/>
                <w:lang w:eastAsia="en-GB"/>
              </w:rPr>
            </w:pPr>
            <w:r w:rsidRPr="008F3233">
              <w:rPr>
                <w:rFonts w:ascii="Calibri" w:eastAsia="Times New Roman" w:hAnsi="Calibri" w:cs="Times New Roman"/>
                <w:color w:val="000000"/>
                <w:lang w:eastAsia="en-GB"/>
              </w:rPr>
              <w:t>Non-FT</w:t>
            </w:r>
          </w:p>
        </w:tc>
        <w:tc>
          <w:tcPr>
            <w:tcW w:w="661" w:type="dxa"/>
            <w:noWrap/>
            <w:hideMark/>
          </w:tcPr>
          <w:p w:rsidR="007B3E72" w:rsidRPr="008F3233" w:rsidRDefault="007B3E72" w:rsidP="008F3233">
            <w:pPr>
              <w:rPr>
                <w:rFonts w:ascii="Calibri" w:eastAsia="Times New Roman" w:hAnsi="Calibri" w:cs="Times New Roman"/>
                <w:color w:val="000000"/>
                <w:lang w:eastAsia="en-GB"/>
              </w:rPr>
            </w:pPr>
            <w:r w:rsidRPr="008F3233">
              <w:rPr>
                <w:rFonts w:ascii="Calibri" w:eastAsia="Times New Roman" w:hAnsi="Calibri" w:cs="Times New Roman"/>
                <w:color w:val="000000"/>
                <w:lang w:eastAsia="en-GB"/>
              </w:rPr>
              <w:t>FT</w:t>
            </w:r>
          </w:p>
        </w:tc>
        <w:tc>
          <w:tcPr>
            <w:tcW w:w="975" w:type="dxa"/>
            <w:noWrap/>
            <w:hideMark/>
          </w:tcPr>
          <w:p w:rsidR="007B3E72" w:rsidRPr="008F3233" w:rsidRDefault="007B3E72" w:rsidP="008F3233">
            <w:pPr>
              <w:rPr>
                <w:rFonts w:ascii="Calibri" w:eastAsia="Times New Roman" w:hAnsi="Calibri" w:cs="Times New Roman"/>
                <w:color w:val="000000"/>
                <w:lang w:eastAsia="en-GB"/>
              </w:rPr>
            </w:pPr>
            <w:r w:rsidRPr="008F3233">
              <w:rPr>
                <w:rFonts w:ascii="Calibri" w:eastAsia="Times New Roman" w:hAnsi="Calibri" w:cs="Times New Roman"/>
                <w:color w:val="000000"/>
                <w:lang w:eastAsia="en-GB"/>
              </w:rPr>
              <w:t>Non-FT</w:t>
            </w:r>
          </w:p>
        </w:tc>
        <w:tc>
          <w:tcPr>
            <w:tcW w:w="661" w:type="dxa"/>
            <w:noWrap/>
            <w:hideMark/>
          </w:tcPr>
          <w:p w:rsidR="007B3E72" w:rsidRPr="008F3233" w:rsidRDefault="007B3E72" w:rsidP="008F3233">
            <w:pPr>
              <w:rPr>
                <w:rFonts w:ascii="Calibri" w:eastAsia="Times New Roman" w:hAnsi="Calibri" w:cs="Times New Roman"/>
                <w:color w:val="000000"/>
                <w:lang w:eastAsia="en-GB"/>
              </w:rPr>
            </w:pPr>
            <w:r w:rsidRPr="008F3233">
              <w:rPr>
                <w:rFonts w:ascii="Calibri" w:eastAsia="Times New Roman" w:hAnsi="Calibri" w:cs="Times New Roman"/>
                <w:color w:val="000000"/>
                <w:lang w:eastAsia="en-GB"/>
              </w:rPr>
              <w:t>FT</w:t>
            </w:r>
          </w:p>
        </w:tc>
        <w:tc>
          <w:tcPr>
            <w:tcW w:w="975" w:type="dxa"/>
            <w:noWrap/>
            <w:hideMark/>
          </w:tcPr>
          <w:p w:rsidR="007B3E72" w:rsidRPr="008F3233" w:rsidRDefault="007B3E72" w:rsidP="008F3233">
            <w:pPr>
              <w:rPr>
                <w:rFonts w:ascii="Calibri" w:eastAsia="Times New Roman" w:hAnsi="Calibri" w:cs="Times New Roman"/>
                <w:color w:val="000000"/>
                <w:lang w:eastAsia="en-GB"/>
              </w:rPr>
            </w:pPr>
            <w:r w:rsidRPr="008F3233">
              <w:rPr>
                <w:rFonts w:ascii="Calibri" w:eastAsia="Times New Roman" w:hAnsi="Calibri" w:cs="Times New Roman"/>
                <w:color w:val="000000"/>
                <w:lang w:eastAsia="en-GB"/>
              </w:rPr>
              <w:t>Non-FT</w:t>
            </w:r>
          </w:p>
        </w:tc>
        <w:tc>
          <w:tcPr>
            <w:tcW w:w="661" w:type="dxa"/>
            <w:noWrap/>
            <w:hideMark/>
          </w:tcPr>
          <w:p w:rsidR="007B3E72" w:rsidRPr="008F3233" w:rsidRDefault="007B3E72" w:rsidP="008F3233">
            <w:pPr>
              <w:rPr>
                <w:rFonts w:ascii="Calibri" w:eastAsia="Times New Roman" w:hAnsi="Calibri" w:cs="Times New Roman"/>
                <w:color w:val="000000"/>
                <w:lang w:eastAsia="en-GB"/>
              </w:rPr>
            </w:pPr>
            <w:r w:rsidRPr="008F3233">
              <w:rPr>
                <w:rFonts w:ascii="Calibri" w:eastAsia="Times New Roman" w:hAnsi="Calibri" w:cs="Times New Roman"/>
                <w:color w:val="000000"/>
                <w:lang w:eastAsia="en-GB"/>
              </w:rPr>
              <w:t>FT</w:t>
            </w:r>
          </w:p>
        </w:tc>
      </w:tr>
      <w:tr w:rsidR="007B3E72" w:rsidRPr="008F3233" w:rsidTr="005E6343">
        <w:trPr>
          <w:trHeight w:val="300"/>
        </w:trPr>
        <w:tc>
          <w:tcPr>
            <w:tcW w:w="2240" w:type="dxa"/>
            <w:noWrap/>
            <w:hideMark/>
          </w:tcPr>
          <w:p w:rsidR="007B3E72" w:rsidRPr="008F3233" w:rsidRDefault="007B3E72" w:rsidP="008F3233">
            <w:pPr>
              <w:rPr>
                <w:rFonts w:ascii="Calibri" w:eastAsia="Times New Roman" w:hAnsi="Calibri" w:cs="Times New Roman"/>
                <w:color w:val="000000"/>
                <w:lang w:eastAsia="en-GB"/>
              </w:rPr>
            </w:pPr>
            <w:r w:rsidRPr="008F3233">
              <w:rPr>
                <w:rFonts w:ascii="Calibri" w:eastAsia="Times New Roman" w:hAnsi="Calibri" w:cs="Times New Roman"/>
                <w:color w:val="000000"/>
                <w:lang w:eastAsia="en-GB"/>
              </w:rPr>
              <w:t>Acute</w:t>
            </w:r>
            <w:r>
              <w:rPr>
                <w:rFonts w:ascii="Calibri" w:eastAsia="Times New Roman" w:hAnsi="Calibri" w:cs="Times New Roman"/>
                <w:color w:val="000000"/>
                <w:lang w:eastAsia="en-GB"/>
              </w:rPr>
              <w:t xml:space="preserve"> Trust</w:t>
            </w:r>
          </w:p>
        </w:tc>
        <w:tc>
          <w:tcPr>
            <w:tcW w:w="975" w:type="dxa"/>
            <w:noWrap/>
            <w:hideMark/>
          </w:tcPr>
          <w:p w:rsidR="007B3E72" w:rsidRPr="008F3233" w:rsidRDefault="007B3E72" w:rsidP="005D74C9">
            <w:pPr>
              <w:rPr>
                <w:rFonts w:ascii="Calibri" w:eastAsia="Times New Roman" w:hAnsi="Calibri" w:cs="Times New Roman"/>
                <w:color w:val="000000"/>
                <w:lang w:eastAsia="en-GB"/>
              </w:rPr>
            </w:pPr>
            <w:r w:rsidRPr="008F3233">
              <w:rPr>
                <w:rFonts w:ascii="Calibri" w:eastAsia="Times New Roman" w:hAnsi="Calibri" w:cs="Times New Roman"/>
                <w:color w:val="000000"/>
                <w:lang w:eastAsia="en-GB"/>
              </w:rPr>
              <w:t>54</w:t>
            </w:r>
          </w:p>
        </w:tc>
        <w:tc>
          <w:tcPr>
            <w:tcW w:w="661" w:type="dxa"/>
            <w:noWrap/>
            <w:hideMark/>
          </w:tcPr>
          <w:p w:rsidR="007B3E72" w:rsidRPr="008F3233" w:rsidRDefault="007B3E72" w:rsidP="005D74C9">
            <w:pPr>
              <w:rPr>
                <w:rFonts w:ascii="Calibri" w:eastAsia="Times New Roman" w:hAnsi="Calibri" w:cs="Times New Roman"/>
                <w:color w:val="000000"/>
                <w:lang w:eastAsia="en-GB"/>
              </w:rPr>
            </w:pPr>
            <w:r w:rsidRPr="008F3233">
              <w:rPr>
                <w:rFonts w:ascii="Calibri" w:eastAsia="Times New Roman" w:hAnsi="Calibri" w:cs="Times New Roman"/>
                <w:color w:val="000000"/>
                <w:lang w:eastAsia="en-GB"/>
              </w:rPr>
              <w:t>65</w:t>
            </w:r>
          </w:p>
        </w:tc>
        <w:tc>
          <w:tcPr>
            <w:tcW w:w="975" w:type="dxa"/>
            <w:noWrap/>
            <w:hideMark/>
          </w:tcPr>
          <w:p w:rsidR="007B3E72" w:rsidRPr="008F3233" w:rsidRDefault="007B3E72" w:rsidP="005D74C9">
            <w:pPr>
              <w:rPr>
                <w:rFonts w:ascii="Calibri" w:eastAsia="Times New Roman" w:hAnsi="Calibri" w:cs="Times New Roman"/>
                <w:color w:val="000000"/>
                <w:lang w:eastAsia="en-GB"/>
              </w:rPr>
            </w:pPr>
            <w:r w:rsidRPr="008F3233">
              <w:rPr>
                <w:rFonts w:ascii="Calibri" w:eastAsia="Times New Roman" w:hAnsi="Calibri" w:cs="Times New Roman"/>
                <w:color w:val="000000"/>
                <w:lang w:eastAsia="en-GB"/>
              </w:rPr>
              <w:t>50</w:t>
            </w:r>
          </w:p>
        </w:tc>
        <w:tc>
          <w:tcPr>
            <w:tcW w:w="661" w:type="dxa"/>
            <w:noWrap/>
            <w:hideMark/>
          </w:tcPr>
          <w:p w:rsidR="007B3E72" w:rsidRPr="008F3233" w:rsidRDefault="007B3E72" w:rsidP="005D74C9">
            <w:pPr>
              <w:rPr>
                <w:rFonts w:ascii="Calibri" w:eastAsia="Times New Roman" w:hAnsi="Calibri" w:cs="Times New Roman"/>
                <w:color w:val="000000"/>
                <w:lang w:eastAsia="en-GB"/>
              </w:rPr>
            </w:pPr>
            <w:r w:rsidRPr="008F3233">
              <w:rPr>
                <w:rFonts w:ascii="Calibri" w:eastAsia="Times New Roman" w:hAnsi="Calibri" w:cs="Times New Roman"/>
                <w:color w:val="000000"/>
                <w:lang w:eastAsia="en-GB"/>
              </w:rPr>
              <w:t>65</w:t>
            </w:r>
          </w:p>
        </w:tc>
        <w:tc>
          <w:tcPr>
            <w:tcW w:w="975" w:type="dxa"/>
            <w:noWrap/>
            <w:hideMark/>
          </w:tcPr>
          <w:p w:rsidR="007B3E72" w:rsidRPr="008F3233" w:rsidRDefault="007B3E72" w:rsidP="005D74C9">
            <w:pPr>
              <w:rPr>
                <w:rFonts w:ascii="Calibri" w:eastAsia="Times New Roman" w:hAnsi="Calibri" w:cs="Times New Roman"/>
                <w:color w:val="000000"/>
                <w:lang w:eastAsia="en-GB"/>
              </w:rPr>
            </w:pPr>
            <w:r w:rsidRPr="008F3233">
              <w:rPr>
                <w:rFonts w:ascii="Calibri" w:eastAsia="Times New Roman" w:hAnsi="Calibri" w:cs="Times New Roman"/>
                <w:color w:val="000000"/>
                <w:lang w:eastAsia="en-GB"/>
              </w:rPr>
              <w:t>48</w:t>
            </w:r>
          </w:p>
        </w:tc>
        <w:tc>
          <w:tcPr>
            <w:tcW w:w="661" w:type="dxa"/>
            <w:noWrap/>
            <w:hideMark/>
          </w:tcPr>
          <w:p w:rsidR="007B3E72" w:rsidRPr="008F3233" w:rsidRDefault="007B3E72" w:rsidP="005D74C9">
            <w:pPr>
              <w:rPr>
                <w:rFonts w:ascii="Calibri" w:eastAsia="Times New Roman" w:hAnsi="Calibri" w:cs="Times New Roman"/>
                <w:color w:val="000000"/>
                <w:lang w:eastAsia="en-GB"/>
              </w:rPr>
            </w:pPr>
            <w:r w:rsidRPr="008F3233">
              <w:rPr>
                <w:rFonts w:ascii="Calibri" w:eastAsia="Times New Roman" w:hAnsi="Calibri" w:cs="Times New Roman"/>
                <w:color w:val="000000"/>
                <w:lang w:eastAsia="en-GB"/>
              </w:rPr>
              <w:t>67</w:t>
            </w:r>
          </w:p>
        </w:tc>
      </w:tr>
      <w:tr w:rsidR="007B3E72" w:rsidRPr="008F3233" w:rsidTr="005E6343">
        <w:trPr>
          <w:trHeight w:val="300"/>
        </w:trPr>
        <w:tc>
          <w:tcPr>
            <w:tcW w:w="2240" w:type="dxa"/>
            <w:noWrap/>
            <w:hideMark/>
          </w:tcPr>
          <w:p w:rsidR="007B3E72" w:rsidRPr="008F3233" w:rsidRDefault="007B3E72" w:rsidP="008F3233">
            <w:pPr>
              <w:rPr>
                <w:rFonts w:ascii="Calibri" w:eastAsia="Times New Roman" w:hAnsi="Calibri" w:cs="Times New Roman"/>
                <w:color w:val="000000"/>
                <w:lang w:eastAsia="en-GB"/>
              </w:rPr>
            </w:pPr>
            <w:r w:rsidRPr="008F3233">
              <w:rPr>
                <w:rFonts w:ascii="Calibri" w:eastAsia="Times New Roman" w:hAnsi="Calibri" w:cs="Times New Roman"/>
                <w:color w:val="000000"/>
                <w:lang w:eastAsia="en-GB"/>
              </w:rPr>
              <w:t>Acute Specialist</w:t>
            </w:r>
            <w:r>
              <w:rPr>
                <w:rFonts w:ascii="Calibri" w:eastAsia="Times New Roman" w:hAnsi="Calibri" w:cs="Times New Roman"/>
                <w:color w:val="000000"/>
                <w:lang w:eastAsia="en-GB"/>
              </w:rPr>
              <w:t xml:space="preserve"> Trust</w:t>
            </w:r>
          </w:p>
        </w:tc>
        <w:tc>
          <w:tcPr>
            <w:tcW w:w="975" w:type="dxa"/>
            <w:noWrap/>
            <w:hideMark/>
          </w:tcPr>
          <w:p w:rsidR="007B3E72" w:rsidRPr="008F3233" w:rsidRDefault="007B3E72" w:rsidP="005D74C9">
            <w:pPr>
              <w:rPr>
                <w:rFonts w:ascii="Calibri" w:eastAsia="Times New Roman" w:hAnsi="Calibri" w:cs="Times New Roman"/>
                <w:color w:val="000000"/>
                <w:lang w:eastAsia="en-GB"/>
              </w:rPr>
            </w:pPr>
            <w:r w:rsidRPr="008F3233">
              <w:rPr>
                <w:rFonts w:ascii="Calibri" w:eastAsia="Times New Roman" w:hAnsi="Calibri" w:cs="Times New Roman"/>
                <w:color w:val="000000"/>
                <w:lang w:eastAsia="en-GB"/>
              </w:rPr>
              <w:t>1</w:t>
            </w:r>
          </w:p>
        </w:tc>
        <w:tc>
          <w:tcPr>
            <w:tcW w:w="661" w:type="dxa"/>
            <w:noWrap/>
            <w:hideMark/>
          </w:tcPr>
          <w:p w:rsidR="007B3E72" w:rsidRPr="008F3233" w:rsidRDefault="007B3E72" w:rsidP="0053051F">
            <w:pPr>
              <w:rPr>
                <w:rFonts w:ascii="Calibri" w:eastAsia="Times New Roman" w:hAnsi="Calibri" w:cs="Times New Roman"/>
                <w:color w:val="000000"/>
                <w:lang w:eastAsia="en-GB"/>
              </w:rPr>
            </w:pPr>
            <w:r w:rsidRPr="008F3233">
              <w:rPr>
                <w:rFonts w:ascii="Calibri" w:eastAsia="Times New Roman" w:hAnsi="Calibri" w:cs="Times New Roman"/>
                <w:color w:val="000000"/>
                <w:lang w:eastAsia="en-GB"/>
              </w:rPr>
              <w:t>11</w:t>
            </w:r>
          </w:p>
        </w:tc>
        <w:tc>
          <w:tcPr>
            <w:tcW w:w="975" w:type="dxa"/>
            <w:noWrap/>
            <w:hideMark/>
          </w:tcPr>
          <w:p w:rsidR="007B3E72" w:rsidRPr="008F3233" w:rsidRDefault="007B3E72" w:rsidP="005D74C9">
            <w:pPr>
              <w:rPr>
                <w:rFonts w:ascii="Calibri" w:eastAsia="Times New Roman" w:hAnsi="Calibri" w:cs="Times New Roman"/>
                <w:color w:val="000000"/>
                <w:lang w:eastAsia="en-GB"/>
              </w:rPr>
            </w:pPr>
            <w:r w:rsidRPr="008F3233">
              <w:rPr>
                <w:rFonts w:ascii="Calibri" w:eastAsia="Times New Roman" w:hAnsi="Calibri" w:cs="Times New Roman"/>
                <w:color w:val="000000"/>
                <w:lang w:eastAsia="en-GB"/>
              </w:rPr>
              <w:t>1</w:t>
            </w:r>
          </w:p>
        </w:tc>
        <w:tc>
          <w:tcPr>
            <w:tcW w:w="661" w:type="dxa"/>
            <w:noWrap/>
            <w:hideMark/>
          </w:tcPr>
          <w:p w:rsidR="007B3E72" w:rsidRPr="008F3233" w:rsidRDefault="007B3E72" w:rsidP="005D74C9">
            <w:pPr>
              <w:rPr>
                <w:rFonts w:ascii="Calibri" w:eastAsia="Times New Roman" w:hAnsi="Calibri" w:cs="Times New Roman"/>
                <w:color w:val="000000"/>
                <w:lang w:eastAsia="en-GB"/>
              </w:rPr>
            </w:pPr>
            <w:r w:rsidRPr="008F3233">
              <w:rPr>
                <w:rFonts w:ascii="Calibri" w:eastAsia="Times New Roman" w:hAnsi="Calibri" w:cs="Times New Roman"/>
                <w:color w:val="000000"/>
                <w:lang w:eastAsia="en-GB"/>
              </w:rPr>
              <w:t>11</w:t>
            </w:r>
          </w:p>
        </w:tc>
        <w:tc>
          <w:tcPr>
            <w:tcW w:w="975" w:type="dxa"/>
            <w:noWrap/>
            <w:hideMark/>
          </w:tcPr>
          <w:p w:rsidR="007B3E72" w:rsidRPr="008F3233" w:rsidRDefault="007B3E72" w:rsidP="005D74C9">
            <w:pPr>
              <w:rPr>
                <w:rFonts w:ascii="Calibri" w:eastAsia="Times New Roman" w:hAnsi="Calibri" w:cs="Times New Roman"/>
                <w:color w:val="000000"/>
                <w:lang w:eastAsia="en-GB"/>
              </w:rPr>
            </w:pPr>
            <w:r w:rsidRPr="008F3233">
              <w:rPr>
                <w:rFonts w:ascii="Calibri" w:eastAsia="Times New Roman" w:hAnsi="Calibri" w:cs="Times New Roman"/>
                <w:color w:val="000000"/>
                <w:lang w:eastAsia="en-GB"/>
              </w:rPr>
              <w:t>1</w:t>
            </w:r>
          </w:p>
        </w:tc>
        <w:tc>
          <w:tcPr>
            <w:tcW w:w="661" w:type="dxa"/>
            <w:noWrap/>
            <w:hideMark/>
          </w:tcPr>
          <w:p w:rsidR="007B3E72" w:rsidRPr="008F3233" w:rsidRDefault="007B3E72" w:rsidP="005D74C9">
            <w:pPr>
              <w:rPr>
                <w:rFonts w:ascii="Calibri" w:eastAsia="Times New Roman" w:hAnsi="Calibri" w:cs="Times New Roman"/>
                <w:color w:val="000000"/>
                <w:lang w:eastAsia="en-GB"/>
              </w:rPr>
            </w:pPr>
            <w:r w:rsidRPr="008F3233">
              <w:rPr>
                <w:rFonts w:ascii="Calibri" w:eastAsia="Times New Roman" w:hAnsi="Calibri" w:cs="Times New Roman"/>
                <w:color w:val="000000"/>
                <w:lang w:eastAsia="en-GB"/>
              </w:rPr>
              <w:t>11</w:t>
            </w:r>
          </w:p>
        </w:tc>
      </w:tr>
      <w:tr w:rsidR="007B3E72" w:rsidRPr="008F3233" w:rsidTr="005E6343">
        <w:trPr>
          <w:trHeight w:val="300"/>
        </w:trPr>
        <w:tc>
          <w:tcPr>
            <w:tcW w:w="2240" w:type="dxa"/>
            <w:noWrap/>
            <w:hideMark/>
          </w:tcPr>
          <w:p w:rsidR="007B3E72" w:rsidRPr="008F3233" w:rsidRDefault="007B3E72" w:rsidP="008F3233">
            <w:pPr>
              <w:rPr>
                <w:rFonts w:ascii="Calibri" w:eastAsia="Times New Roman" w:hAnsi="Calibri" w:cs="Times New Roman"/>
                <w:color w:val="000000"/>
                <w:lang w:eastAsia="en-GB"/>
              </w:rPr>
            </w:pPr>
            <w:r w:rsidRPr="008F3233">
              <w:rPr>
                <w:rFonts w:ascii="Calibri" w:eastAsia="Times New Roman" w:hAnsi="Calibri" w:cs="Times New Roman"/>
                <w:color w:val="000000"/>
                <w:lang w:eastAsia="en-GB"/>
              </w:rPr>
              <w:t>Acute Teaching</w:t>
            </w:r>
            <w:r>
              <w:rPr>
                <w:rFonts w:ascii="Calibri" w:eastAsia="Times New Roman" w:hAnsi="Calibri" w:cs="Times New Roman"/>
                <w:color w:val="000000"/>
                <w:lang w:eastAsia="en-GB"/>
              </w:rPr>
              <w:t xml:space="preserve"> Trust</w:t>
            </w:r>
          </w:p>
        </w:tc>
        <w:tc>
          <w:tcPr>
            <w:tcW w:w="975" w:type="dxa"/>
            <w:noWrap/>
            <w:hideMark/>
          </w:tcPr>
          <w:p w:rsidR="007B3E72" w:rsidRPr="008F3233" w:rsidRDefault="007B3E72" w:rsidP="005D74C9">
            <w:pPr>
              <w:rPr>
                <w:rFonts w:ascii="Calibri" w:eastAsia="Times New Roman" w:hAnsi="Calibri" w:cs="Times New Roman"/>
                <w:color w:val="000000"/>
                <w:lang w:eastAsia="en-GB"/>
              </w:rPr>
            </w:pPr>
            <w:r w:rsidRPr="008F3233">
              <w:rPr>
                <w:rFonts w:ascii="Calibri" w:eastAsia="Times New Roman" w:hAnsi="Calibri" w:cs="Times New Roman"/>
                <w:color w:val="000000"/>
                <w:lang w:eastAsia="en-GB"/>
              </w:rPr>
              <w:t>11</w:t>
            </w:r>
          </w:p>
        </w:tc>
        <w:tc>
          <w:tcPr>
            <w:tcW w:w="661" w:type="dxa"/>
            <w:noWrap/>
            <w:hideMark/>
          </w:tcPr>
          <w:p w:rsidR="007B3E72" w:rsidRPr="008F3233" w:rsidRDefault="007B3E72" w:rsidP="005D74C9">
            <w:pPr>
              <w:rPr>
                <w:rFonts w:ascii="Calibri" w:eastAsia="Times New Roman" w:hAnsi="Calibri" w:cs="Times New Roman"/>
                <w:color w:val="000000"/>
                <w:lang w:eastAsia="en-GB"/>
              </w:rPr>
            </w:pPr>
            <w:r w:rsidRPr="008F3233">
              <w:rPr>
                <w:rFonts w:ascii="Calibri" w:eastAsia="Times New Roman" w:hAnsi="Calibri" w:cs="Times New Roman"/>
                <w:color w:val="000000"/>
                <w:lang w:eastAsia="en-GB"/>
              </w:rPr>
              <w:t>15</w:t>
            </w:r>
          </w:p>
        </w:tc>
        <w:tc>
          <w:tcPr>
            <w:tcW w:w="975" w:type="dxa"/>
            <w:noWrap/>
            <w:hideMark/>
          </w:tcPr>
          <w:p w:rsidR="007B3E72" w:rsidRPr="008F3233" w:rsidRDefault="007B3E72" w:rsidP="005D74C9">
            <w:pPr>
              <w:rPr>
                <w:rFonts w:ascii="Calibri" w:eastAsia="Times New Roman" w:hAnsi="Calibri" w:cs="Times New Roman"/>
                <w:color w:val="000000"/>
                <w:lang w:eastAsia="en-GB"/>
              </w:rPr>
            </w:pPr>
            <w:r w:rsidRPr="008F3233">
              <w:rPr>
                <w:rFonts w:ascii="Calibri" w:eastAsia="Times New Roman" w:hAnsi="Calibri" w:cs="Times New Roman"/>
                <w:color w:val="000000"/>
                <w:lang w:eastAsia="en-GB"/>
              </w:rPr>
              <w:t>10</w:t>
            </w:r>
          </w:p>
        </w:tc>
        <w:tc>
          <w:tcPr>
            <w:tcW w:w="661" w:type="dxa"/>
            <w:noWrap/>
            <w:hideMark/>
          </w:tcPr>
          <w:p w:rsidR="007B3E72" w:rsidRPr="008F3233" w:rsidRDefault="007B3E72" w:rsidP="005D74C9">
            <w:pPr>
              <w:rPr>
                <w:rFonts w:ascii="Calibri" w:eastAsia="Times New Roman" w:hAnsi="Calibri" w:cs="Times New Roman"/>
                <w:color w:val="000000"/>
                <w:lang w:eastAsia="en-GB"/>
              </w:rPr>
            </w:pPr>
            <w:r w:rsidRPr="008F3233">
              <w:rPr>
                <w:rFonts w:ascii="Calibri" w:eastAsia="Times New Roman" w:hAnsi="Calibri" w:cs="Times New Roman"/>
                <w:color w:val="000000"/>
                <w:lang w:eastAsia="en-GB"/>
              </w:rPr>
              <w:t>16</w:t>
            </w:r>
          </w:p>
        </w:tc>
        <w:tc>
          <w:tcPr>
            <w:tcW w:w="975" w:type="dxa"/>
            <w:noWrap/>
            <w:hideMark/>
          </w:tcPr>
          <w:p w:rsidR="007B3E72" w:rsidRPr="008F3233" w:rsidRDefault="007B3E72" w:rsidP="005D74C9">
            <w:pPr>
              <w:rPr>
                <w:rFonts w:ascii="Calibri" w:eastAsia="Times New Roman" w:hAnsi="Calibri" w:cs="Times New Roman"/>
                <w:color w:val="000000"/>
                <w:lang w:eastAsia="en-GB"/>
              </w:rPr>
            </w:pPr>
            <w:r w:rsidRPr="008F3233">
              <w:rPr>
                <w:rFonts w:ascii="Calibri" w:eastAsia="Times New Roman" w:hAnsi="Calibri" w:cs="Times New Roman"/>
                <w:color w:val="000000"/>
                <w:lang w:eastAsia="en-GB"/>
              </w:rPr>
              <w:t>10</w:t>
            </w:r>
          </w:p>
        </w:tc>
        <w:tc>
          <w:tcPr>
            <w:tcW w:w="661" w:type="dxa"/>
            <w:noWrap/>
            <w:hideMark/>
          </w:tcPr>
          <w:p w:rsidR="007B3E72" w:rsidRPr="008F3233" w:rsidRDefault="007B3E72" w:rsidP="005D74C9">
            <w:pPr>
              <w:rPr>
                <w:rFonts w:ascii="Calibri" w:eastAsia="Times New Roman" w:hAnsi="Calibri" w:cs="Times New Roman"/>
                <w:color w:val="000000"/>
                <w:lang w:eastAsia="en-GB"/>
              </w:rPr>
            </w:pPr>
            <w:r w:rsidRPr="008F3233">
              <w:rPr>
                <w:rFonts w:ascii="Calibri" w:eastAsia="Times New Roman" w:hAnsi="Calibri" w:cs="Times New Roman"/>
                <w:color w:val="000000"/>
                <w:lang w:eastAsia="en-GB"/>
              </w:rPr>
              <w:t>16</w:t>
            </w:r>
          </w:p>
        </w:tc>
      </w:tr>
      <w:tr w:rsidR="007B3E72" w:rsidRPr="008F3233" w:rsidTr="005E6343">
        <w:trPr>
          <w:trHeight w:val="300"/>
        </w:trPr>
        <w:tc>
          <w:tcPr>
            <w:tcW w:w="2240" w:type="dxa"/>
            <w:noWrap/>
            <w:hideMark/>
          </w:tcPr>
          <w:p w:rsidR="007B3E72" w:rsidRPr="008F3233" w:rsidRDefault="007B3E72" w:rsidP="008F3233">
            <w:pPr>
              <w:rPr>
                <w:rFonts w:ascii="Calibri" w:eastAsia="Times New Roman" w:hAnsi="Calibri" w:cs="Times New Roman"/>
                <w:color w:val="000000"/>
                <w:lang w:eastAsia="en-GB"/>
              </w:rPr>
            </w:pPr>
            <w:r w:rsidRPr="008F3233">
              <w:rPr>
                <w:rFonts w:ascii="Calibri" w:eastAsia="Times New Roman" w:hAnsi="Calibri" w:cs="Times New Roman"/>
                <w:color w:val="000000"/>
                <w:lang w:eastAsia="en-GB"/>
              </w:rPr>
              <w:t>Mental Health</w:t>
            </w:r>
            <w:r>
              <w:rPr>
                <w:rFonts w:ascii="Calibri" w:eastAsia="Times New Roman" w:hAnsi="Calibri" w:cs="Times New Roman"/>
                <w:color w:val="000000"/>
                <w:lang w:eastAsia="en-GB"/>
              </w:rPr>
              <w:t xml:space="preserve"> Trust</w:t>
            </w:r>
          </w:p>
        </w:tc>
        <w:tc>
          <w:tcPr>
            <w:tcW w:w="975" w:type="dxa"/>
            <w:noWrap/>
            <w:hideMark/>
          </w:tcPr>
          <w:p w:rsidR="007B3E72" w:rsidRPr="008F3233" w:rsidRDefault="007B3E72" w:rsidP="005D74C9">
            <w:pPr>
              <w:rPr>
                <w:rFonts w:ascii="Calibri" w:eastAsia="Times New Roman" w:hAnsi="Calibri" w:cs="Times New Roman"/>
                <w:color w:val="000000"/>
                <w:lang w:eastAsia="en-GB"/>
              </w:rPr>
            </w:pPr>
            <w:r w:rsidRPr="008F3233">
              <w:rPr>
                <w:rFonts w:ascii="Calibri" w:eastAsia="Times New Roman" w:hAnsi="Calibri" w:cs="Times New Roman"/>
                <w:color w:val="000000"/>
                <w:lang w:eastAsia="en-GB"/>
              </w:rPr>
              <w:t>15</w:t>
            </w:r>
          </w:p>
        </w:tc>
        <w:tc>
          <w:tcPr>
            <w:tcW w:w="661" w:type="dxa"/>
            <w:noWrap/>
            <w:hideMark/>
          </w:tcPr>
          <w:p w:rsidR="007B3E72" w:rsidRPr="008F3233" w:rsidRDefault="007B3E72" w:rsidP="005D74C9">
            <w:pPr>
              <w:rPr>
                <w:rFonts w:ascii="Calibri" w:eastAsia="Times New Roman" w:hAnsi="Calibri" w:cs="Times New Roman"/>
                <w:color w:val="000000"/>
                <w:lang w:eastAsia="en-GB"/>
              </w:rPr>
            </w:pPr>
            <w:r w:rsidRPr="008F3233">
              <w:rPr>
                <w:rFonts w:ascii="Calibri" w:eastAsia="Times New Roman" w:hAnsi="Calibri" w:cs="Times New Roman"/>
                <w:color w:val="000000"/>
                <w:lang w:eastAsia="en-GB"/>
              </w:rPr>
              <w:t>36</w:t>
            </w:r>
          </w:p>
        </w:tc>
        <w:tc>
          <w:tcPr>
            <w:tcW w:w="975" w:type="dxa"/>
            <w:noWrap/>
            <w:hideMark/>
          </w:tcPr>
          <w:p w:rsidR="007B3E72" w:rsidRPr="008F3233" w:rsidRDefault="007B3E72" w:rsidP="005D74C9">
            <w:pPr>
              <w:rPr>
                <w:rFonts w:ascii="Calibri" w:eastAsia="Times New Roman" w:hAnsi="Calibri" w:cs="Times New Roman"/>
                <w:color w:val="000000"/>
                <w:lang w:eastAsia="en-GB"/>
              </w:rPr>
            </w:pPr>
            <w:r w:rsidRPr="008F3233">
              <w:rPr>
                <w:rFonts w:ascii="Calibri" w:eastAsia="Times New Roman" w:hAnsi="Calibri" w:cs="Times New Roman"/>
                <w:color w:val="000000"/>
                <w:lang w:eastAsia="en-GB"/>
              </w:rPr>
              <w:t>14</w:t>
            </w:r>
          </w:p>
        </w:tc>
        <w:tc>
          <w:tcPr>
            <w:tcW w:w="661" w:type="dxa"/>
            <w:noWrap/>
            <w:hideMark/>
          </w:tcPr>
          <w:p w:rsidR="007B3E72" w:rsidRPr="008F3233" w:rsidRDefault="007B3E72" w:rsidP="005D74C9">
            <w:pPr>
              <w:rPr>
                <w:rFonts w:ascii="Calibri" w:eastAsia="Times New Roman" w:hAnsi="Calibri" w:cs="Times New Roman"/>
                <w:color w:val="000000"/>
                <w:lang w:eastAsia="en-GB"/>
              </w:rPr>
            </w:pPr>
            <w:r w:rsidRPr="008F3233">
              <w:rPr>
                <w:rFonts w:ascii="Calibri" w:eastAsia="Times New Roman" w:hAnsi="Calibri" w:cs="Times New Roman"/>
                <w:color w:val="000000"/>
                <w:lang w:eastAsia="en-GB"/>
              </w:rPr>
              <w:t>36</w:t>
            </w:r>
          </w:p>
        </w:tc>
        <w:tc>
          <w:tcPr>
            <w:tcW w:w="975" w:type="dxa"/>
            <w:noWrap/>
            <w:hideMark/>
          </w:tcPr>
          <w:p w:rsidR="007B3E72" w:rsidRPr="008F3233" w:rsidRDefault="007B3E72" w:rsidP="005D74C9">
            <w:pPr>
              <w:rPr>
                <w:rFonts w:ascii="Calibri" w:eastAsia="Times New Roman" w:hAnsi="Calibri" w:cs="Times New Roman"/>
                <w:color w:val="000000"/>
                <w:lang w:eastAsia="en-GB"/>
              </w:rPr>
            </w:pPr>
            <w:r w:rsidRPr="008F3233">
              <w:rPr>
                <w:rFonts w:ascii="Calibri" w:eastAsia="Times New Roman" w:hAnsi="Calibri" w:cs="Times New Roman"/>
                <w:color w:val="000000"/>
                <w:lang w:eastAsia="en-GB"/>
              </w:rPr>
              <w:t>14</w:t>
            </w:r>
          </w:p>
        </w:tc>
        <w:tc>
          <w:tcPr>
            <w:tcW w:w="661" w:type="dxa"/>
            <w:noWrap/>
            <w:hideMark/>
          </w:tcPr>
          <w:p w:rsidR="007B3E72" w:rsidRPr="008F3233" w:rsidRDefault="007B3E72" w:rsidP="005D74C9">
            <w:pPr>
              <w:rPr>
                <w:rFonts w:ascii="Calibri" w:eastAsia="Times New Roman" w:hAnsi="Calibri" w:cs="Times New Roman"/>
                <w:color w:val="000000"/>
                <w:lang w:eastAsia="en-GB"/>
              </w:rPr>
            </w:pPr>
            <w:r w:rsidRPr="008F3233">
              <w:rPr>
                <w:rFonts w:ascii="Calibri" w:eastAsia="Times New Roman" w:hAnsi="Calibri" w:cs="Times New Roman"/>
                <w:color w:val="000000"/>
                <w:lang w:eastAsia="en-GB"/>
              </w:rPr>
              <w:t>36</w:t>
            </w:r>
          </w:p>
        </w:tc>
      </w:tr>
      <w:tr w:rsidR="007B3E72" w:rsidRPr="008F3233" w:rsidTr="005E6343">
        <w:trPr>
          <w:trHeight w:val="300"/>
        </w:trPr>
        <w:tc>
          <w:tcPr>
            <w:tcW w:w="2240" w:type="dxa"/>
            <w:noWrap/>
            <w:hideMark/>
          </w:tcPr>
          <w:p w:rsidR="007B3E72" w:rsidRPr="008F3233" w:rsidRDefault="007B3E72" w:rsidP="008F3233">
            <w:pPr>
              <w:rPr>
                <w:rFonts w:ascii="Calibri" w:eastAsia="Times New Roman" w:hAnsi="Calibri" w:cs="Times New Roman"/>
                <w:color w:val="000000"/>
                <w:lang w:eastAsia="en-GB"/>
              </w:rPr>
            </w:pPr>
            <w:r w:rsidRPr="008F3233">
              <w:rPr>
                <w:rFonts w:ascii="Calibri" w:eastAsia="Times New Roman" w:hAnsi="Calibri" w:cs="Times New Roman"/>
                <w:color w:val="000000"/>
                <w:lang w:eastAsia="en-GB"/>
              </w:rPr>
              <w:t>Total</w:t>
            </w:r>
          </w:p>
        </w:tc>
        <w:tc>
          <w:tcPr>
            <w:tcW w:w="975" w:type="dxa"/>
            <w:noWrap/>
            <w:hideMark/>
          </w:tcPr>
          <w:p w:rsidR="007B3E72" w:rsidRPr="008F3233" w:rsidRDefault="007B3E72" w:rsidP="005D74C9">
            <w:pPr>
              <w:rPr>
                <w:rFonts w:ascii="Calibri" w:eastAsia="Times New Roman" w:hAnsi="Calibri" w:cs="Times New Roman"/>
                <w:color w:val="000000"/>
                <w:lang w:eastAsia="en-GB"/>
              </w:rPr>
            </w:pPr>
            <w:r w:rsidRPr="008F3233">
              <w:rPr>
                <w:rFonts w:ascii="Calibri" w:eastAsia="Times New Roman" w:hAnsi="Calibri" w:cs="Times New Roman"/>
                <w:color w:val="000000"/>
                <w:lang w:eastAsia="en-GB"/>
              </w:rPr>
              <w:t>81</w:t>
            </w:r>
          </w:p>
        </w:tc>
        <w:tc>
          <w:tcPr>
            <w:tcW w:w="661" w:type="dxa"/>
            <w:noWrap/>
            <w:hideMark/>
          </w:tcPr>
          <w:p w:rsidR="007B3E72" w:rsidRPr="008F3233" w:rsidRDefault="007B3E72" w:rsidP="005D74C9">
            <w:pPr>
              <w:rPr>
                <w:rFonts w:ascii="Calibri" w:eastAsia="Times New Roman" w:hAnsi="Calibri" w:cs="Times New Roman"/>
                <w:color w:val="000000"/>
                <w:lang w:eastAsia="en-GB"/>
              </w:rPr>
            </w:pPr>
            <w:r w:rsidRPr="008F3233">
              <w:rPr>
                <w:rFonts w:ascii="Calibri" w:eastAsia="Times New Roman" w:hAnsi="Calibri" w:cs="Times New Roman"/>
                <w:color w:val="000000"/>
                <w:lang w:eastAsia="en-GB"/>
              </w:rPr>
              <w:t>127</w:t>
            </w:r>
          </w:p>
        </w:tc>
        <w:tc>
          <w:tcPr>
            <w:tcW w:w="975" w:type="dxa"/>
            <w:noWrap/>
            <w:hideMark/>
          </w:tcPr>
          <w:p w:rsidR="007B3E72" w:rsidRPr="008F3233" w:rsidRDefault="007B3E72" w:rsidP="005D74C9">
            <w:pPr>
              <w:rPr>
                <w:rFonts w:ascii="Calibri" w:eastAsia="Times New Roman" w:hAnsi="Calibri" w:cs="Times New Roman"/>
                <w:color w:val="000000"/>
                <w:lang w:eastAsia="en-GB"/>
              </w:rPr>
            </w:pPr>
            <w:r w:rsidRPr="008F3233">
              <w:rPr>
                <w:rFonts w:ascii="Calibri" w:eastAsia="Times New Roman" w:hAnsi="Calibri" w:cs="Times New Roman"/>
                <w:color w:val="000000"/>
                <w:lang w:eastAsia="en-GB"/>
              </w:rPr>
              <w:t>75</w:t>
            </w:r>
          </w:p>
        </w:tc>
        <w:tc>
          <w:tcPr>
            <w:tcW w:w="661" w:type="dxa"/>
            <w:noWrap/>
            <w:hideMark/>
          </w:tcPr>
          <w:p w:rsidR="007B3E72" w:rsidRPr="008F3233" w:rsidRDefault="007B3E72" w:rsidP="005D74C9">
            <w:pPr>
              <w:rPr>
                <w:rFonts w:ascii="Calibri" w:eastAsia="Times New Roman" w:hAnsi="Calibri" w:cs="Times New Roman"/>
                <w:color w:val="000000"/>
                <w:lang w:eastAsia="en-GB"/>
              </w:rPr>
            </w:pPr>
            <w:r w:rsidRPr="008F3233">
              <w:rPr>
                <w:rFonts w:ascii="Calibri" w:eastAsia="Times New Roman" w:hAnsi="Calibri" w:cs="Times New Roman"/>
                <w:color w:val="000000"/>
                <w:lang w:eastAsia="en-GB"/>
              </w:rPr>
              <w:t>128</w:t>
            </w:r>
          </w:p>
        </w:tc>
        <w:tc>
          <w:tcPr>
            <w:tcW w:w="975" w:type="dxa"/>
            <w:noWrap/>
            <w:hideMark/>
          </w:tcPr>
          <w:p w:rsidR="007B3E72" w:rsidRPr="008F3233" w:rsidRDefault="007B3E72" w:rsidP="005D74C9">
            <w:pPr>
              <w:rPr>
                <w:rFonts w:ascii="Calibri" w:eastAsia="Times New Roman" w:hAnsi="Calibri" w:cs="Times New Roman"/>
                <w:color w:val="000000"/>
                <w:lang w:eastAsia="en-GB"/>
              </w:rPr>
            </w:pPr>
            <w:r w:rsidRPr="008F3233">
              <w:rPr>
                <w:rFonts w:ascii="Calibri" w:eastAsia="Times New Roman" w:hAnsi="Calibri" w:cs="Times New Roman"/>
                <w:color w:val="000000"/>
                <w:lang w:eastAsia="en-GB"/>
              </w:rPr>
              <w:t>73</w:t>
            </w:r>
          </w:p>
        </w:tc>
        <w:tc>
          <w:tcPr>
            <w:tcW w:w="661" w:type="dxa"/>
            <w:noWrap/>
            <w:hideMark/>
          </w:tcPr>
          <w:p w:rsidR="007B3E72" w:rsidRPr="008F3233" w:rsidRDefault="007B3E72" w:rsidP="005D74C9">
            <w:pPr>
              <w:rPr>
                <w:rFonts w:ascii="Calibri" w:eastAsia="Times New Roman" w:hAnsi="Calibri" w:cs="Times New Roman"/>
                <w:color w:val="000000"/>
                <w:lang w:eastAsia="en-GB"/>
              </w:rPr>
            </w:pPr>
            <w:r w:rsidRPr="008F3233">
              <w:rPr>
                <w:rFonts w:ascii="Calibri" w:eastAsia="Times New Roman" w:hAnsi="Calibri" w:cs="Times New Roman"/>
                <w:color w:val="000000"/>
                <w:lang w:eastAsia="en-GB"/>
              </w:rPr>
              <w:t>130</w:t>
            </w:r>
          </w:p>
        </w:tc>
      </w:tr>
    </w:tbl>
    <w:p w:rsidR="00C13135" w:rsidRDefault="00C13135" w:rsidP="005E6343">
      <w:pPr>
        <w:ind w:left="1440"/>
        <w:sectPr w:rsidR="00C13135" w:rsidSect="005D74C9">
          <w:pgSz w:w="11906" w:h="16838"/>
          <w:pgMar w:top="1440" w:right="1134" w:bottom="1440" w:left="567" w:header="708" w:footer="708" w:gutter="0"/>
          <w:cols w:space="708"/>
          <w:docGrid w:linePitch="360"/>
        </w:sectPr>
      </w:pPr>
      <w:r>
        <w:rPr>
          <w:sz w:val="18"/>
          <w:szCs w:val="18"/>
        </w:rPr>
        <w:t>FT: Foundation Trust Status.</w:t>
      </w:r>
    </w:p>
    <w:p w:rsidR="008F3233" w:rsidRPr="008F3233" w:rsidRDefault="008F3233" w:rsidP="007B3E72"/>
    <w:p w:rsidR="00540CE3" w:rsidRPr="005E6343" w:rsidRDefault="00540CE3" w:rsidP="00540CE3">
      <w:pPr>
        <w:pStyle w:val="Heading2"/>
        <w:rPr>
          <w:color w:val="365F91" w:themeColor="accent1" w:themeShade="BF"/>
        </w:rPr>
      </w:pPr>
      <w:r w:rsidRPr="005E6343">
        <w:rPr>
          <w:color w:val="365F91" w:themeColor="accent1" w:themeShade="BF"/>
        </w:rPr>
        <w:t xml:space="preserve">Table </w:t>
      </w:r>
      <w:r w:rsidR="000C6FA8" w:rsidRPr="005E6343">
        <w:rPr>
          <w:color w:val="365F91" w:themeColor="accent1" w:themeShade="BF"/>
        </w:rPr>
        <w:t>3</w:t>
      </w:r>
      <w:r w:rsidRPr="005E6343">
        <w:rPr>
          <w:color w:val="365F91" w:themeColor="accent1" w:themeShade="BF"/>
        </w:rPr>
        <w:t>: Days of Delay</w:t>
      </w:r>
    </w:p>
    <w:tbl>
      <w:tblPr>
        <w:tblStyle w:val="TableGrid"/>
        <w:tblW w:w="12362" w:type="dxa"/>
        <w:tblLook w:val="04A0" w:firstRow="1" w:lastRow="0" w:firstColumn="1" w:lastColumn="0" w:noHBand="0" w:noVBand="1"/>
      </w:tblPr>
      <w:tblGrid>
        <w:gridCol w:w="2376"/>
        <w:gridCol w:w="1127"/>
        <w:gridCol w:w="858"/>
        <w:gridCol w:w="1041"/>
        <w:gridCol w:w="1085"/>
        <w:gridCol w:w="1134"/>
        <w:gridCol w:w="772"/>
        <w:gridCol w:w="1071"/>
        <w:gridCol w:w="914"/>
        <w:gridCol w:w="1053"/>
        <w:gridCol w:w="931"/>
      </w:tblGrid>
      <w:tr w:rsidR="00540CE3" w:rsidRPr="00B37132" w:rsidTr="00540CE3">
        <w:trPr>
          <w:trHeight w:val="209"/>
        </w:trPr>
        <w:tc>
          <w:tcPr>
            <w:tcW w:w="2376"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1985" w:type="dxa"/>
            <w:gridSpan w:val="2"/>
            <w:noWrap/>
            <w:hideMark/>
          </w:tcPr>
          <w:p w:rsidR="00540CE3" w:rsidRDefault="00540CE3" w:rsidP="00540CE3">
            <w:pPr>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Model (1):</w:t>
            </w:r>
          </w:p>
          <w:p w:rsidR="00540CE3" w:rsidRPr="00B37132" w:rsidRDefault="00540CE3" w:rsidP="00540CE3">
            <w:pPr>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Hospital type only</w:t>
            </w:r>
          </w:p>
        </w:tc>
        <w:tc>
          <w:tcPr>
            <w:tcW w:w="2126" w:type="dxa"/>
            <w:gridSpan w:val="2"/>
            <w:noWrap/>
            <w:hideMark/>
          </w:tcPr>
          <w:p w:rsidR="00540CE3" w:rsidRDefault="00540CE3" w:rsidP="00540CE3">
            <w:pPr>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Model (2):</w:t>
            </w:r>
          </w:p>
          <w:p w:rsidR="00540CE3" w:rsidRPr="00B37132" w:rsidRDefault="00540CE3" w:rsidP="00540CE3">
            <w:pPr>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(1) plus exposure and size categories</w:t>
            </w:r>
          </w:p>
        </w:tc>
        <w:tc>
          <w:tcPr>
            <w:tcW w:w="1906" w:type="dxa"/>
            <w:gridSpan w:val="2"/>
            <w:noWrap/>
            <w:hideMark/>
          </w:tcPr>
          <w:p w:rsidR="00540CE3" w:rsidRDefault="00540CE3" w:rsidP="00540CE3">
            <w:pPr>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Model (3):</w:t>
            </w:r>
          </w:p>
          <w:p w:rsidR="00540CE3" w:rsidRPr="00B37132" w:rsidRDefault="00540CE3" w:rsidP="00540CE3">
            <w:pPr>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(2) plus care home beds, prices</w:t>
            </w:r>
          </w:p>
        </w:tc>
        <w:tc>
          <w:tcPr>
            <w:tcW w:w="1985" w:type="dxa"/>
            <w:gridSpan w:val="2"/>
            <w:noWrap/>
            <w:hideMark/>
          </w:tcPr>
          <w:p w:rsidR="00540CE3" w:rsidRDefault="00540CE3" w:rsidP="00540CE3">
            <w:pPr>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Model (4):</w:t>
            </w:r>
          </w:p>
          <w:p w:rsidR="00540CE3" w:rsidRPr="00B37132" w:rsidRDefault="00540CE3" w:rsidP="00540CE3">
            <w:pPr>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(3) plus covariates</w:t>
            </w:r>
          </w:p>
        </w:tc>
        <w:tc>
          <w:tcPr>
            <w:tcW w:w="1984" w:type="dxa"/>
            <w:gridSpan w:val="2"/>
            <w:noWrap/>
            <w:hideMark/>
          </w:tcPr>
          <w:p w:rsidR="00540CE3" w:rsidRDefault="00540CE3" w:rsidP="00540CE3">
            <w:pPr>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Model (5):</w:t>
            </w:r>
          </w:p>
          <w:p w:rsidR="00540CE3" w:rsidRPr="00B37132" w:rsidRDefault="00540CE3" w:rsidP="00540CE3">
            <w:pPr>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(4) with random hospital effects</w:t>
            </w:r>
          </w:p>
        </w:tc>
      </w:tr>
      <w:tr w:rsidR="00540CE3" w:rsidRPr="00B37132" w:rsidTr="00540CE3">
        <w:trPr>
          <w:trHeight w:val="240"/>
        </w:trPr>
        <w:tc>
          <w:tcPr>
            <w:tcW w:w="2376"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1127"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6517E7">
              <w:rPr>
                <w:rFonts w:ascii="Calibri" w:eastAsia="Times New Roman" w:hAnsi="Calibri" w:cs="Times New Roman"/>
                <w:color w:val="000000"/>
                <w:sz w:val="18"/>
                <w:szCs w:val="18"/>
                <w:lang w:eastAsia="en-GB"/>
              </w:rPr>
              <w:t>Coef</w:t>
            </w:r>
          </w:p>
        </w:tc>
        <w:tc>
          <w:tcPr>
            <w:tcW w:w="858"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155929">
              <w:rPr>
                <w:rFonts w:ascii="Calibri" w:eastAsia="Times New Roman" w:hAnsi="Calibri" w:cs="Times New Roman"/>
                <w:color w:val="000000"/>
                <w:sz w:val="18"/>
                <w:szCs w:val="18"/>
                <w:lang w:eastAsia="en-GB"/>
              </w:rPr>
              <w:t>p-value</w:t>
            </w:r>
          </w:p>
        </w:tc>
        <w:tc>
          <w:tcPr>
            <w:tcW w:w="1041" w:type="dxa"/>
            <w:noWrap/>
            <w:hideMark/>
          </w:tcPr>
          <w:p w:rsidR="00540CE3" w:rsidRPr="00B37132" w:rsidRDefault="00540CE3" w:rsidP="00540CE3">
            <w:pP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C</w:t>
            </w:r>
            <w:r w:rsidRPr="006517E7">
              <w:rPr>
                <w:rFonts w:ascii="Calibri" w:eastAsia="Times New Roman" w:hAnsi="Calibri" w:cs="Times New Roman"/>
                <w:color w:val="000000"/>
                <w:sz w:val="18"/>
                <w:szCs w:val="18"/>
                <w:lang w:eastAsia="en-GB"/>
              </w:rPr>
              <w:t>oef</w:t>
            </w:r>
          </w:p>
        </w:tc>
        <w:tc>
          <w:tcPr>
            <w:tcW w:w="1085"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155929">
              <w:rPr>
                <w:rFonts w:ascii="Calibri" w:eastAsia="Times New Roman" w:hAnsi="Calibri" w:cs="Times New Roman"/>
                <w:color w:val="000000"/>
                <w:sz w:val="18"/>
                <w:szCs w:val="18"/>
                <w:lang w:eastAsia="en-GB"/>
              </w:rPr>
              <w:t>p-value</w:t>
            </w:r>
            <w:r w:rsidRPr="006517E7" w:rsidDel="00C70D1C">
              <w:rPr>
                <w:rFonts w:ascii="Calibri" w:eastAsia="Times New Roman" w:hAnsi="Calibri" w:cs="Times New Roman"/>
                <w:color w:val="000000"/>
                <w:sz w:val="18"/>
                <w:szCs w:val="18"/>
                <w:lang w:eastAsia="en-GB"/>
              </w:rPr>
              <w:t xml:space="preserve"> </w:t>
            </w:r>
          </w:p>
        </w:tc>
        <w:tc>
          <w:tcPr>
            <w:tcW w:w="1134" w:type="dxa"/>
            <w:noWrap/>
            <w:hideMark/>
          </w:tcPr>
          <w:p w:rsidR="00540CE3" w:rsidRPr="00B37132" w:rsidRDefault="00540CE3" w:rsidP="00540CE3">
            <w:pP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C</w:t>
            </w:r>
            <w:r w:rsidRPr="006517E7">
              <w:rPr>
                <w:rFonts w:ascii="Calibri" w:eastAsia="Times New Roman" w:hAnsi="Calibri" w:cs="Times New Roman"/>
                <w:color w:val="000000"/>
                <w:sz w:val="18"/>
                <w:szCs w:val="18"/>
                <w:lang w:eastAsia="en-GB"/>
              </w:rPr>
              <w:t>oef</w:t>
            </w:r>
          </w:p>
        </w:tc>
        <w:tc>
          <w:tcPr>
            <w:tcW w:w="772"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155929">
              <w:rPr>
                <w:rFonts w:ascii="Calibri" w:eastAsia="Times New Roman" w:hAnsi="Calibri" w:cs="Times New Roman"/>
                <w:color w:val="000000"/>
                <w:sz w:val="18"/>
                <w:szCs w:val="18"/>
                <w:lang w:eastAsia="en-GB"/>
              </w:rPr>
              <w:t>p-value</w:t>
            </w:r>
            <w:r w:rsidRPr="006517E7" w:rsidDel="00C70D1C">
              <w:rPr>
                <w:rFonts w:ascii="Calibri" w:eastAsia="Times New Roman" w:hAnsi="Calibri" w:cs="Times New Roman"/>
                <w:color w:val="000000"/>
                <w:sz w:val="18"/>
                <w:szCs w:val="18"/>
                <w:lang w:eastAsia="en-GB"/>
              </w:rPr>
              <w:t xml:space="preserve"> </w:t>
            </w:r>
          </w:p>
        </w:tc>
        <w:tc>
          <w:tcPr>
            <w:tcW w:w="107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6517E7">
              <w:rPr>
                <w:rFonts w:ascii="Calibri" w:eastAsia="Times New Roman" w:hAnsi="Calibri" w:cs="Times New Roman"/>
                <w:color w:val="000000"/>
                <w:sz w:val="18"/>
                <w:szCs w:val="18"/>
                <w:lang w:eastAsia="en-GB"/>
              </w:rPr>
              <w:t>Coef</w:t>
            </w:r>
          </w:p>
        </w:tc>
        <w:tc>
          <w:tcPr>
            <w:tcW w:w="914"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155929">
              <w:rPr>
                <w:rFonts w:ascii="Calibri" w:eastAsia="Times New Roman" w:hAnsi="Calibri" w:cs="Times New Roman"/>
                <w:color w:val="000000"/>
                <w:sz w:val="18"/>
                <w:szCs w:val="18"/>
                <w:lang w:eastAsia="en-GB"/>
              </w:rPr>
              <w:t>p-value</w:t>
            </w:r>
          </w:p>
        </w:tc>
        <w:tc>
          <w:tcPr>
            <w:tcW w:w="1053" w:type="dxa"/>
            <w:noWrap/>
            <w:hideMark/>
          </w:tcPr>
          <w:p w:rsidR="00540CE3" w:rsidRPr="00B37132" w:rsidRDefault="00540CE3" w:rsidP="00540CE3">
            <w:pP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C</w:t>
            </w:r>
            <w:r w:rsidRPr="006517E7">
              <w:rPr>
                <w:rFonts w:ascii="Calibri" w:eastAsia="Times New Roman" w:hAnsi="Calibri" w:cs="Times New Roman"/>
                <w:color w:val="000000"/>
                <w:sz w:val="18"/>
                <w:szCs w:val="18"/>
                <w:lang w:eastAsia="en-GB"/>
              </w:rPr>
              <w:t>oef</w:t>
            </w:r>
          </w:p>
        </w:tc>
        <w:tc>
          <w:tcPr>
            <w:tcW w:w="93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155929">
              <w:rPr>
                <w:rFonts w:ascii="Calibri" w:eastAsia="Times New Roman" w:hAnsi="Calibri" w:cs="Times New Roman"/>
                <w:color w:val="000000"/>
                <w:sz w:val="18"/>
                <w:szCs w:val="18"/>
                <w:lang w:eastAsia="en-GB"/>
              </w:rPr>
              <w:t>p-value</w:t>
            </w:r>
            <w:r w:rsidRPr="006517E7" w:rsidDel="00C70D1C">
              <w:rPr>
                <w:rFonts w:ascii="Calibri" w:eastAsia="Times New Roman" w:hAnsi="Calibri" w:cs="Times New Roman"/>
                <w:color w:val="000000"/>
                <w:sz w:val="18"/>
                <w:szCs w:val="18"/>
                <w:lang w:eastAsia="en-GB"/>
              </w:rPr>
              <w:t xml:space="preserve"> </w:t>
            </w:r>
          </w:p>
        </w:tc>
      </w:tr>
      <w:tr w:rsidR="00540CE3" w:rsidRPr="00B37132" w:rsidTr="00540CE3">
        <w:trPr>
          <w:trHeight w:val="76"/>
        </w:trPr>
        <w:tc>
          <w:tcPr>
            <w:tcW w:w="2376" w:type="dxa"/>
            <w:noWrap/>
            <w:hideMark/>
          </w:tcPr>
          <w:p w:rsidR="00540CE3" w:rsidRPr="00A612E9" w:rsidRDefault="00540CE3" w:rsidP="00540CE3">
            <w:pPr>
              <w:rPr>
                <w:rFonts w:ascii="Calibri" w:eastAsia="Times New Roman" w:hAnsi="Calibri" w:cs="Times New Roman"/>
                <w:color w:val="000000"/>
                <w:sz w:val="18"/>
                <w:szCs w:val="18"/>
                <w:lang w:eastAsia="en-GB"/>
              </w:rPr>
            </w:pPr>
            <w:r w:rsidRPr="00A612E9">
              <w:rPr>
                <w:rFonts w:ascii="Calibri" w:eastAsia="Times New Roman" w:hAnsi="Calibri" w:cs="Times New Roman"/>
                <w:color w:val="000000"/>
                <w:sz w:val="18"/>
                <w:szCs w:val="18"/>
                <w:lang w:eastAsia="en-GB"/>
              </w:rPr>
              <w:t>Acute Specialist Trust</w:t>
            </w:r>
          </w:p>
        </w:tc>
        <w:tc>
          <w:tcPr>
            <w:tcW w:w="1127"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-2.177***</w:t>
            </w:r>
          </w:p>
        </w:tc>
        <w:tc>
          <w:tcPr>
            <w:tcW w:w="858"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(0.000)</w:t>
            </w:r>
          </w:p>
        </w:tc>
        <w:tc>
          <w:tcPr>
            <w:tcW w:w="104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-0.727**</w:t>
            </w:r>
          </w:p>
        </w:tc>
        <w:tc>
          <w:tcPr>
            <w:tcW w:w="1085"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(0.045)</w:t>
            </w:r>
          </w:p>
        </w:tc>
        <w:tc>
          <w:tcPr>
            <w:tcW w:w="1134"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-0.625</w:t>
            </w:r>
          </w:p>
        </w:tc>
        <w:tc>
          <w:tcPr>
            <w:tcW w:w="772"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(0.138)</w:t>
            </w:r>
          </w:p>
        </w:tc>
        <w:tc>
          <w:tcPr>
            <w:tcW w:w="107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-0.620</w:t>
            </w:r>
          </w:p>
        </w:tc>
        <w:tc>
          <w:tcPr>
            <w:tcW w:w="914"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(0.187)</w:t>
            </w:r>
          </w:p>
        </w:tc>
        <w:tc>
          <w:tcPr>
            <w:tcW w:w="1053"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0.0397</w:t>
            </w:r>
          </w:p>
        </w:tc>
        <w:tc>
          <w:tcPr>
            <w:tcW w:w="93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(0.886)</w:t>
            </w:r>
          </w:p>
        </w:tc>
      </w:tr>
      <w:tr w:rsidR="00540CE3" w:rsidRPr="00B37132" w:rsidTr="00540CE3">
        <w:trPr>
          <w:trHeight w:val="122"/>
        </w:trPr>
        <w:tc>
          <w:tcPr>
            <w:tcW w:w="2376" w:type="dxa"/>
            <w:noWrap/>
            <w:hideMark/>
          </w:tcPr>
          <w:p w:rsidR="00540CE3" w:rsidRPr="00A612E9" w:rsidRDefault="00540CE3" w:rsidP="00540CE3">
            <w:pPr>
              <w:rPr>
                <w:rFonts w:ascii="Calibri" w:eastAsia="Times New Roman" w:hAnsi="Calibri" w:cs="Times New Roman"/>
                <w:color w:val="000000"/>
                <w:sz w:val="18"/>
                <w:szCs w:val="18"/>
                <w:lang w:eastAsia="en-GB"/>
              </w:rPr>
            </w:pPr>
            <w:r w:rsidRPr="00A612E9">
              <w:rPr>
                <w:rFonts w:ascii="Calibri" w:eastAsia="Times New Roman" w:hAnsi="Calibri" w:cs="Times New Roman"/>
                <w:color w:val="000000"/>
                <w:sz w:val="18"/>
                <w:szCs w:val="18"/>
                <w:lang w:eastAsia="en-GB"/>
              </w:rPr>
              <w:t>Acute Teaching Trust</w:t>
            </w:r>
          </w:p>
        </w:tc>
        <w:tc>
          <w:tcPr>
            <w:tcW w:w="1127"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0.540***</w:t>
            </w:r>
          </w:p>
        </w:tc>
        <w:tc>
          <w:tcPr>
            <w:tcW w:w="858"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(0.002)</w:t>
            </w:r>
          </w:p>
        </w:tc>
        <w:tc>
          <w:tcPr>
            <w:tcW w:w="104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0.0967</w:t>
            </w:r>
          </w:p>
        </w:tc>
        <w:tc>
          <w:tcPr>
            <w:tcW w:w="1085"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(0.602)</w:t>
            </w:r>
          </w:p>
        </w:tc>
        <w:tc>
          <w:tcPr>
            <w:tcW w:w="1134"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0.122</w:t>
            </w:r>
          </w:p>
        </w:tc>
        <w:tc>
          <w:tcPr>
            <w:tcW w:w="772"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(0.430)</w:t>
            </w:r>
          </w:p>
        </w:tc>
        <w:tc>
          <w:tcPr>
            <w:tcW w:w="107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0.121</w:t>
            </w:r>
          </w:p>
        </w:tc>
        <w:tc>
          <w:tcPr>
            <w:tcW w:w="914"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(0.430)</w:t>
            </w:r>
          </w:p>
        </w:tc>
        <w:tc>
          <w:tcPr>
            <w:tcW w:w="1053"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-0.138</w:t>
            </w:r>
          </w:p>
        </w:tc>
        <w:tc>
          <w:tcPr>
            <w:tcW w:w="93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(0.344)</w:t>
            </w:r>
          </w:p>
        </w:tc>
      </w:tr>
      <w:tr w:rsidR="00540CE3" w:rsidRPr="00B37132" w:rsidTr="00540CE3">
        <w:trPr>
          <w:trHeight w:val="43"/>
        </w:trPr>
        <w:tc>
          <w:tcPr>
            <w:tcW w:w="2376" w:type="dxa"/>
            <w:noWrap/>
            <w:hideMark/>
          </w:tcPr>
          <w:p w:rsidR="00540CE3" w:rsidRPr="00A612E9" w:rsidRDefault="00540CE3" w:rsidP="00540CE3">
            <w:pPr>
              <w:rPr>
                <w:rFonts w:ascii="Calibri" w:eastAsia="Times New Roman" w:hAnsi="Calibri" w:cs="Times New Roman"/>
                <w:color w:val="000000"/>
                <w:sz w:val="18"/>
                <w:szCs w:val="18"/>
                <w:lang w:eastAsia="en-GB"/>
              </w:rPr>
            </w:pPr>
            <w:r w:rsidRPr="00A612E9">
              <w:rPr>
                <w:rFonts w:ascii="Calibri" w:eastAsia="Times New Roman" w:hAnsi="Calibri" w:cs="Times New Roman"/>
                <w:color w:val="000000"/>
                <w:sz w:val="18"/>
                <w:szCs w:val="18"/>
                <w:lang w:eastAsia="en-GB"/>
              </w:rPr>
              <w:t>Mental Health Trust</w:t>
            </w:r>
          </w:p>
        </w:tc>
        <w:tc>
          <w:tcPr>
            <w:tcW w:w="1127"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0.0981</w:t>
            </w:r>
          </w:p>
        </w:tc>
        <w:tc>
          <w:tcPr>
            <w:tcW w:w="858"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(0.394)</w:t>
            </w:r>
          </w:p>
        </w:tc>
        <w:tc>
          <w:tcPr>
            <w:tcW w:w="104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0.481***</w:t>
            </w:r>
          </w:p>
        </w:tc>
        <w:tc>
          <w:tcPr>
            <w:tcW w:w="1085"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(0.000)</w:t>
            </w:r>
          </w:p>
        </w:tc>
        <w:tc>
          <w:tcPr>
            <w:tcW w:w="1134"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0.615***</w:t>
            </w:r>
          </w:p>
        </w:tc>
        <w:tc>
          <w:tcPr>
            <w:tcW w:w="772"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(0.000)</w:t>
            </w:r>
          </w:p>
        </w:tc>
        <w:tc>
          <w:tcPr>
            <w:tcW w:w="107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0.457**</w:t>
            </w:r>
          </w:p>
        </w:tc>
        <w:tc>
          <w:tcPr>
            <w:tcW w:w="914"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(0.015)</w:t>
            </w:r>
          </w:p>
        </w:tc>
        <w:tc>
          <w:tcPr>
            <w:tcW w:w="1053"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0.205</w:t>
            </w:r>
          </w:p>
        </w:tc>
        <w:tc>
          <w:tcPr>
            <w:tcW w:w="93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(0.218)</w:t>
            </w:r>
          </w:p>
        </w:tc>
      </w:tr>
      <w:tr w:rsidR="00540CE3" w:rsidRPr="00B37132" w:rsidTr="00540CE3">
        <w:trPr>
          <w:trHeight w:val="99"/>
        </w:trPr>
        <w:tc>
          <w:tcPr>
            <w:tcW w:w="2376" w:type="dxa"/>
            <w:noWrap/>
            <w:hideMark/>
          </w:tcPr>
          <w:p w:rsidR="00540CE3" w:rsidRPr="001A7C23" w:rsidRDefault="00540CE3" w:rsidP="00540CE3">
            <w:pPr>
              <w:rPr>
                <w:rFonts w:ascii="Calibri" w:eastAsia="Times New Roman" w:hAnsi="Calibri" w:cs="Times New Roman"/>
                <w:color w:val="000000"/>
                <w:sz w:val="18"/>
                <w:szCs w:val="18"/>
                <w:lang w:eastAsia="en-GB"/>
              </w:rPr>
            </w:pPr>
            <w:r w:rsidRPr="00A612E9">
              <w:rPr>
                <w:rFonts w:ascii="Calibri" w:eastAsia="Times New Roman" w:hAnsi="Calibri" w:cs="Times New Roman"/>
                <w:color w:val="000000"/>
                <w:sz w:val="18"/>
                <w:szCs w:val="18"/>
                <w:lang w:eastAsia="en-GB"/>
              </w:rPr>
              <w:t>Foundation Trust</w:t>
            </w:r>
          </w:p>
        </w:tc>
        <w:tc>
          <w:tcPr>
            <w:tcW w:w="1127"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-0.128</w:t>
            </w:r>
          </w:p>
        </w:tc>
        <w:tc>
          <w:tcPr>
            <w:tcW w:w="858"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(0.196)</w:t>
            </w:r>
          </w:p>
        </w:tc>
        <w:tc>
          <w:tcPr>
            <w:tcW w:w="104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-0.125</w:t>
            </w:r>
          </w:p>
        </w:tc>
        <w:tc>
          <w:tcPr>
            <w:tcW w:w="1085"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(0.118)</w:t>
            </w:r>
          </w:p>
        </w:tc>
        <w:tc>
          <w:tcPr>
            <w:tcW w:w="1134"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-0.163**</w:t>
            </w:r>
          </w:p>
        </w:tc>
        <w:tc>
          <w:tcPr>
            <w:tcW w:w="772"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(0.039)</w:t>
            </w:r>
          </w:p>
        </w:tc>
        <w:tc>
          <w:tcPr>
            <w:tcW w:w="107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-0.147*</w:t>
            </w:r>
          </w:p>
        </w:tc>
        <w:tc>
          <w:tcPr>
            <w:tcW w:w="914"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(0.065)</w:t>
            </w:r>
          </w:p>
        </w:tc>
        <w:tc>
          <w:tcPr>
            <w:tcW w:w="1053"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-0.329***</w:t>
            </w:r>
          </w:p>
        </w:tc>
        <w:tc>
          <w:tcPr>
            <w:tcW w:w="93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(0.000)</w:t>
            </w:r>
          </w:p>
        </w:tc>
      </w:tr>
      <w:tr w:rsidR="00540CE3" w:rsidRPr="00B37132" w:rsidTr="00540CE3">
        <w:trPr>
          <w:trHeight w:val="145"/>
        </w:trPr>
        <w:tc>
          <w:tcPr>
            <w:tcW w:w="2376" w:type="dxa"/>
            <w:noWrap/>
            <w:hideMark/>
          </w:tcPr>
          <w:p w:rsidR="00540CE3" w:rsidRPr="001A7C23" w:rsidRDefault="00540CE3" w:rsidP="00540CE3">
            <w:pPr>
              <w:rPr>
                <w:rFonts w:ascii="Calibri" w:eastAsia="Times New Roman" w:hAnsi="Calibri" w:cs="Times New Roman"/>
                <w:color w:val="000000"/>
                <w:sz w:val="18"/>
                <w:szCs w:val="18"/>
                <w:lang w:eastAsia="en-GB"/>
              </w:rPr>
            </w:pPr>
            <w:r w:rsidRPr="001A7C23">
              <w:rPr>
                <w:rFonts w:ascii="Calibri" w:eastAsia="Times New Roman" w:hAnsi="Calibri" w:cs="Times New Roman"/>
                <w:color w:val="000000"/>
                <w:sz w:val="18"/>
                <w:szCs w:val="18"/>
                <w:lang w:eastAsia="en-GB"/>
              </w:rPr>
              <w:t>2012-13</w:t>
            </w:r>
          </w:p>
        </w:tc>
        <w:tc>
          <w:tcPr>
            <w:tcW w:w="1127"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0.0523*</w:t>
            </w:r>
          </w:p>
        </w:tc>
        <w:tc>
          <w:tcPr>
            <w:tcW w:w="858"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(0.084)</w:t>
            </w:r>
          </w:p>
        </w:tc>
        <w:tc>
          <w:tcPr>
            <w:tcW w:w="104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0.0438</w:t>
            </w:r>
          </w:p>
        </w:tc>
        <w:tc>
          <w:tcPr>
            <w:tcW w:w="1085"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(0.154)</w:t>
            </w:r>
          </w:p>
        </w:tc>
        <w:tc>
          <w:tcPr>
            <w:tcW w:w="1134"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0.0351</w:t>
            </w:r>
          </w:p>
        </w:tc>
        <w:tc>
          <w:tcPr>
            <w:tcW w:w="772"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(0.273)</w:t>
            </w:r>
          </w:p>
        </w:tc>
        <w:tc>
          <w:tcPr>
            <w:tcW w:w="107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0.0256</w:t>
            </w:r>
          </w:p>
        </w:tc>
        <w:tc>
          <w:tcPr>
            <w:tcW w:w="914"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(0.434)</w:t>
            </w:r>
          </w:p>
        </w:tc>
        <w:tc>
          <w:tcPr>
            <w:tcW w:w="1053"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0.0210</w:t>
            </w:r>
          </w:p>
        </w:tc>
        <w:tc>
          <w:tcPr>
            <w:tcW w:w="93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(0.539)</w:t>
            </w:r>
          </w:p>
        </w:tc>
      </w:tr>
      <w:tr w:rsidR="00540CE3" w:rsidRPr="00B37132" w:rsidTr="00540CE3">
        <w:trPr>
          <w:trHeight w:val="240"/>
        </w:trPr>
        <w:tc>
          <w:tcPr>
            <w:tcW w:w="2376" w:type="dxa"/>
            <w:noWrap/>
            <w:hideMark/>
          </w:tcPr>
          <w:p w:rsidR="00540CE3" w:rsidRPr="001A7C23" w:rsidRDefault="00540CE3" w:rsidP="00540CE3">
            <w:pPr>
              <w:rPr>
                <w:rFonts w:ascii="Calibri" w:eastAsia="Times New Roman" w:hAnsi="Calibri" w:cs="Times New Roman"/>
                <w:color w:val="000000"/>
                <w:sz w:val="18"/>
                <w:szCs w:val="18"/>
                <w:lang w:eastAsia="en-GB"/>
              </w:rPr>
            </w:pPr>
            <w:r w:rsidRPr="001A7C23">
              <w:rPr>
                <w:rFonts w:ascii="Calibri" w:eastAsia="Times New Roman" w:hAnsi="Calibri" w:cs="Times New Roman"/>
                <w:color w:val="000000"/>
                <w:sz w:val="18"/>
                <w:szCs w:val="18"/>
                <w:lang w:eastAsia="en-GB"/>
              </w:rPr>
              <w:t>2013-14</w:t>
            </w:r>
          </w:p>
        </w:tc>
        <w:tc>
          <w:tcPr>
            <w:tcW w:w="1127"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0.0545</w:t>
            </w:r>
          </w:p>
        </w:tc>
        <w:tc>
          <w:tcPr>
            <w:tcW w:w="858"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(0.174)</w:t>
            </w:r>
          </w:p>
        </w:tc>
        <w:tc>
          <w:tcPr>
            <w:tcW w:w="104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0.0563</w:t>
            </w:r>
          </w:p>
        </w:tc>
        <w:tc>
          <w:tcPr>
            <w:tcW w:w="1085"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(0.175)</w:t>
            </w:r>
          </w:p>
        </w:tc>
        <w:tc>
          <w:tcPr>
            <w:tcW w:w="1134"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0.0492</w:t>
            </w:r>
          </w:p>
        </w:tc>
        <w:tc>
          <w:tcPr>
            <w:tcW w:w="772"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(0.243)</w:t>
            </w:r>
          </w:p>
        </w:tc>
        <w:tc>
          <w:tcPr>
            <w:tcW w:w="107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0.0418</w:t>
            </w:r>
          </w:p>
        </w:tc>
        <w:tc>
          <w:tcPr>
            <w:tcW w:w="914"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(0.344)</w:t>
            </w:r>
          </w:p>
        </w:tc>
        <w:tc>
          <w:tcPr>
            <w:tcW w:w="1053"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0.0428</w:t>
            </w:r>
          </w:p>
        </w:tc>
        <w:tc>
          <w:tcPr>
            <w:tcW w:w="93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(0.224)</w:t>
            </w:r>
          </w:p>
        </w:tc>
      </w:tr>
      <w:tr w:rsidR="00540CE3" w:rsidRPr="00B37132" w:rsidTr="00540CE3">
        <w:trPr>
          <w:trHeight w:val="95"/>
        </w:trPr>
        <w:tc>
          <w:tcPr>
            <w:tcW w:w="2376" w:type="dxa"/>
            <w:noWrap/>
            <w:hideMark/>
          </w:tcPr>
          <w:p w:rsidR="00540CE3" w:rsidRPr="00A612E9" w:rsidRDefault="00540CE3" w:rsidP="00540CE3">
            <w:pPr>
              <w:rPr>
                <w:rFonts w:ascii="Calibri" w:eastAsia="Times New Roman" w:hAnsi="Calibri" w:cs="Times New Roman"/>
                <w:color w:val="000000"/>
                <w:sz w:val="18"/>
                <w:szCs w:val="18"/>
                <w:lang w:eastAsia="en-GB"/>
              </w:rPr>
            </w:pPr>
            <w:r w:rsidRPr="001A7C23">
              <w:rPr>
                <w:rFonts w:ascii="Calibri" w:eastAsia="Times New Roman" w:hAnsi="Calibri" w:cs="Times New Roman"/>
                <w:color w:val="000000"/>
                <w:sz w:val="18"/>
                <w:szCs w:val="18"/>
                <w:lang w:eastAsia="en-GB"/>
              </w:rPr>
              <w:t>Hospital Beds 200-399</w:t>
            </w:r>
          </w:p>
        </w:tc>
        <w:tc>
          <w:tcPr>
            <w:tcW w:w="1127"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858"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104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-0.0266</w:t>
            </w:r>
          </w:p>
        </w:tc>
        <w:tc>
          <w:tcPr>
            <w:tcW w:w="1085"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(0.931)</w:t>
            </w:r>
          </w:p>
        </w:tc>
        <w:tc>
          <w:tcPr>
            <w:tcW w:w="1134"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-0.234</w:t>
            </w:r>
          </w:p>
        </w:tc>
        <w:tc>
          <w:tcPr>
            <w:tcW w:w="772"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(0.534)</w:t>
            </w:r>
          </w:p>
        </w:tc>
        <w:tc>
          <w:tcPr>
            <w:tcW w:w="107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-0.353</w:t>
            </w:r>
          </w:p>
        </w:tc>
        <w:tc>
          <w:tcPr>
            <w:tcW w:w="914"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(0.350)</w:t>
            </w:r>
          </w:p>
        </w:tc>
        <w:tc>
          <w:tcPr>
            <w:tcW w:w="1053"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-0.255</w:t>
            </w:r>
          </w:p>
        </w:tc>
        <w:tc>
          <w:tcPr>
            <w:tcW w:w="93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(0.239)</w:t>
            </w:r>
          </w:p>
        </w:tc>
      </w:tr>
      <w:tr w:rsidR="00540CE3" w:rsidRPr="00B37132" w:rsidTr="00540CE3">
        <w:trPr>
          <w:trHeight w:val="142"/>
        </w:trPr>
        <w:tc>
          <w:tcPr>
            <w:tcW w:w="2376" w:type="dxa"/>
            <w:noWrap/>
            <w:hideMark/>
          </w:tcPr>
          <w:p w:rsidR="00540CE3" w:rsidRPr="00A612E9" w:rsidRDefault="00540CE3" w:rsidP="00540CE3">
            <w:pPr>
              <w:rPr>
                <w:rFonts w:ascii="Calibri" w:eastAsia="Times New Roman" w:hAnsi="Calibri" w:cs="Times New Roman"/>
                <w:color w:val="000000"/>
                <w:sz w:val="18"/>
                <w:szCs w:val="18"/>
                <w:lang w:eastAsia="en-GB"/>
              </w:rPr>
            </w:pPr>
            <w:r w:rsidRPr="001A7C23">
              <w:rPr>
                <w:rFonts w:ascii="Calibri" w:eastAsia="Times New Roman" w:hAnsi="Calibri" w:cs="Times New Roman"/>
                <w:color w:val="000000"/>
                <w:sz w:val="18"/>
                <w:szCs w:val="18"/>
                <w:lang w:eastAsia="en-GB"/>
              </w:rPr>
              <w:t>Hospital Beds 400-599</w:t>
            </w:r>
          </w:p>
        </w:tc>
        <w:tc>
          <w:tcPr>
            <w:tcW w:w="1127"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858"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104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-0.0601</w:t>
            </w:r>
          </w:p>
        </w:tc>
        <w:tc>
          <w:tcPr>
            <w:tcW w:w="1085"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(0.850)</w:t>
            </w:r>
          </w:p>
        </w:tc>
        <w:tc>
          <w:tcPr>
            <w:tcW w:w="1134"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-0.181</w:t>
            </w:r>
          </w:p>
        </w:tc>
        <w:tc>
          <w:tcPr>
            <w:tcW w:w="772"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(0.636)</w:t>
            </w:r>
          </w:p>
        </w:tc>
        <w:tc>
          <w:tcPr>
            <w:tcW w:w="107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-0.335</w:t>
            </w:r>
          </w:p>
        </w:tc>
        <w:tc>
          <w:tcPr>
            <w:tcW w:w="914"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(0.377)</w:t>
            </w:r>
          </w:p>
        </w:tc>
        <w:tc>
          <w:tcPr>
            <w:tcW w:w="1053"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-0.319</w:t>
            </w:r>
          </w:p>
        </w:tc>
        <w:tc>
          <w:tcPr>
            <w:tcW w:w="93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(0.152)</w:t>
            </w:r>
          </w:p>
        </w:tc>
      </w:tr>
      <w:tr w:rsidR="00540CE3" w:rsidRPr="00B37132" w:rsidTr="00540CE3">
        <w:trPr>
          <w:trHeight w:val="59"/>
        </w:trPr>
        <w:tc>
          <w:tcPr>
            <w:tcW w:w="2376" w:type="dxa"/>
            <w:noWrap/>
            <w:hideMark/>
          </w:tcPr>
          <w:p w:rsidR="00540CE3" w:rsidRPr="00A612E9" w:rsidRDefault="00540CE3" w:rsidP="00540CE3">
            <w:pPr>
              <w:rPr>
                <w:rFonts w:ascii="Calibri" w:eastAsia="Times New Roman" w:hAnsi="Calibri" w:cs="Times New Roman"/>
                <w:color w:val="000000"/>
                <w:sz w:val="18"/>
                <w:szCs w:val="18"/>
                <w:lang w:eastAsia="en-GB"/>
              </w:rPr>
            </w:pPr>
            <w:r w:rsidRPr="001A7C23">
              <w:rPr>
                <w:rFonts w:ascii="Calibri" w:eastAsia="Times New Roman" w:hAnsi="Calibri" w:cs="Times New Roman"/>
                <w:color w:val="000000"/>
                <w:sz w:val="18"/>
                <w:szCs w:val="18"/>
                <w:lang w:eastAsia="en-GB"/>
              </w:rPr>
              <w:t>Hospital Beds 600-799</w:t>
            </w:r>
          </w:p>
        </w:tc>
        <w:tc>
          <w:tcPr>
            <w:tcW w:w="1127"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858"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104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-0.0106</w:t>
            </w:r>
          </w:p>
        </w:tc>
        <w:tc>
          <w:tcPr>
            <w:tcW w:w="1085"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(0.974)</w:t>
            </w:r>
          </w:p>
        </w:tc>
        <w:tc>
          <w:tcPr>
            <w:tcW w:w="1134"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-0.0819</w:t>
            </w:r>
          </w:p>
        </w:tc>
        <w:tc>
          <w:tcPr>
            <w:tcW w:w="772"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(0.833)</w:t>
            </w:r>
          </w:p>
        </w:tc>
        <w:tc>
          <w:tcPr>
            <w:tcW w:w="107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-0.215</w:t>
            </w:r>
          </w:p>
        </w:tc>
        <w:tc>
          <w:tcPr>
            <w:tcW w:w="914"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(0.580)</w:t>
            </w:r>
          </w:p>
        </w:tc>
        <w:tc>
          <w:tcPr>
            <w:tcW w:w="1053"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-0.274</w:t>
            </w:r>
          </w:p>
        </w:tc>
        <w:tc>
          <w:tcPr>
            <w:tcW w:w="93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(0.232)</w:t>
            </w:r>
          </w:p>
        </w:tc>
      </w:tr>
      <w:tr w:rsidR="00540CE3" w:rsidRPr="00B37132" w:rsidTr="00540CE3">
        <w:trPr>
          <w:trHeight w:val="119"/>
        </w:trPr>
        <w:tc>
          <w:tcPr>
            <w:tcW w:w="2376" w:type="dxa"/>
            <w:noWrap/>
            <w:hideMark/>
          </w:tcPr>
          <w:p w:rsidR="00540CE3" w:rsidRPr="00A612E9" w:rsidRDefault="00540CE3" w:rsidP="00540CE3">
            <w:pPr>
              <w:rPr>
                <w:rFonts w:ascii="Calibri" w:eastAsia="Times New Roman" w:hAnsi="Calibri" w:cs="Times New Roman"/>
                <w:color w:val="000000"/>
                <w:sz w:val="18"/>
                <w:szCs w:val="18"/>
                <w:lang w:eastAsia="en-GB"/>
              </w:rPr>
            </w:pPr>
            <w:r w:rsidRPr="001A7C23">
              <w:rPr>
                <w:rFonts w:ascii="Calibri" w:eastAsia="Times New Roman" w:hAnsi="Calibri" w:cs="Times New Roman"/>
                <w:color w:val="000000"/>
                <w:sz w:val="18"/>
                <w:szCs w:val="18"/>
                <w:lang w:eastAsia="en-GB"/>
              </w:rPr>
              <w:t>Hospital Beds 800-999</w:t>
            </w:r>
          </w:p>
        </w:tc>
        <w:tc>
          <w:tcPr>
            <w:tcW w:w="1127"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858"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104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-0.0246</w:t>
            </w:r>
          </w:p>
        </w:tc>
        <w:tc>
          <w:tcPr>
            <w:tcW w:w="1085"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(0.940)</w:t>
            </w:r>
          </w:p>
        </w:tc>
        <w:tc>
          <w:tcPr>
            <w:tcW w:w="1134"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-0.0430</w:t>
            </w:r>
          </w:p>
        </w:tc>
        <w:tc>
          <w:tcPr>
            <w:tcW w:w="772"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(0.912)</w:t>
            </w:r>
          </w:p>
        </w:tc>
        <w:tc>
          <w:tcPr>
            <w:tcW w:w="107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-0.172</w:t>
            </w:r>
          </w:p>
        </w:tc>
        <w:tc>
          <w:tcPr>
            <w:tcW w:w="914"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(0.663)</w:t>
            </w:r>
          </w:p>
        </w:tc>
        <w:tc>
          <w:tcPr>
            <w:tcW w:w="1053"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-0.175</w:t>
            </w:r>
          </w:p>
        </w:tc>
        <w:tc>
          <w:tcPr>
            <w:tcW w:w="93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(0.447)</w:t>
            </w:r>
          </w:p>
        </w:tc>
      </w:tr>
      <w:tr w:rsidR="00540CE3" w:rsidRPr="00B37132" w:rsidTr="00540CE3">
        <w:trPr>
          <w:trHeight w:val="43"/>
        </w:trPr>
        <w:tc>
          <w:tcPr>
            <w:tcW w:w="2376" w:type="dxa"/>
            <w:noWrap/>
            <w:hideMark/>
          </w:tcPr>
          <w:p w:rsidR="00540CE3" w:rsidRPr="00A612E9" w:rsidRDefault="00540CE3" w:rsidP="00540CE3">
            <w:pP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Hospital Beds 1000-1499</w:t>
            </w:r>
          </w:p>
        </w:tc>
        <w:tc>
          <w:tcPr>
            <w:tcW w:w="1127"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858"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104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0.0428</w:t>
            </w:r>
          </w:p>
        </w:tc>
        <w:tc>
          <w:tcPr>
            <w:tcW w:w="1085"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(0.897)</w:t>
            </w:r>
          </w:p>
        </w:tc>
        <w:tc>
          <w:tcPr>
            <w:tcW w:w="1134"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0.0119</w:t>
            </w:r>
          </w:p>
        </w:tc>
        <w:tc>
          <w:tcPr>
            <w:tcW w:w="772"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(0.976)</w:t>
            </w:r>
          </w:p>
        </w:tc>
        <w:tc>
          <w:tcPr>
            <w:tcW w:w="107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-0.121</w:t>
            </w:r>
          </w:p>
        </w:tc>
        <w:tc>
          <w:tcPr>
            <w:tcW w:w="914"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(0.756)</w:t>
            </w:r>
          </w:p>
        </w:tc>
        <w:tc>
          <w:tcPr>
            <w:tcW w:w="1053"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-0.159</w:t>
            </w:r>
          </w:p>
        </w:tc>
        <w:tc>
          <w:tcPr>
            <w:tcW w:w="93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(0.501)</w:t>
            </w:r>
          </w:p>
        </w:tc>
      </w:tr>
      <w:tr w:rsidR="00540CE3" w:rsidRPr="00B37132" w:rsidTr="00540CE3">
        <w:trPr>
          <w:trHeight w:val="83"/>
        </w:trPr>
        <w:tc>
          <w:tcPr>
            <w:tcW w:w="2376" w:type="dxa"/>
            <w:noWrap/>
            <w:hideMark/>
          </w:tcPr>
          <w:p w:rsidR="00540CE3" w:rsidRPr="00A612E9" w:rsidRDefault="00540CE3" w:rsidP="00540CE3">
            <w:pPr>
              <w:rPr>
                <w:rFonts w:ascii="Calibri" w:eastAsia="Times New Roman" w:hAnsi="Calibri" w:cs="Times New Roman"/>
                <w:color w:val="000000"/>
                <w:sz w:val="18"/>
                <w:szCs w:val="18"/>
                <w:lang w:eastAsia="en-GB"/>
              </w:rPr>
            </w:pPr>
            <w:r w:rsidRPr="001A7C23">
              <w:rPr>
                <w:rFonts w:ascii="Calibri" w:eastAsia="Times New Roman" w:hAnsi="Calibri" w:cs="Times New Roman"/>
                <w:color w:val="000000"/>
                <w:sz w:val="18"/>
                <w:szCs w:val="18"/>
                <w:lang w:eastAsia="en-GB"/>
              </w:rPr>
              <w:t>Hospital Beds 1500+</w:t>
            </w:r>
          </w:p>
        </w:tc>
        <w:tc>
          <w:tcPr>
            <w:tcW w:w="1127"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858"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104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-0.426</w:t>
            </w:r>
          </w:p>
        </w:tc>
        <w:tc>
          <w:tcPr>
            <w:tcW w:w="1085"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(0.259)</w:t>
            </w:r>
          </w:p>
        </w:tc>
        <w:tc>
          <w:tcPr>
            <w:tcW w:w="1134"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-0.306</w:t>
            </w:r>
          </w:p>
        </w:tc>
        <w:tc>
          <w:tcPr>
            <w:tcW w:w="772"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(0.465)</w:t>
            </w:r>
          </w:p>
        </w:tc>
        <w:tc>
          <w:tcPr>
            <w:tcW w:w="107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-0.407</w:t>
            </w:r>
          </w:p>
        </w:tc>
        <w:tc>
          <w:tcPr>
            <w:tcW w:w="914"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(0.323)</w:t>
            </w:r>
          </w:p>
        </w:tc>
        <w:tc>
          <w:tcPr>
            <w:tcW w:w="1053"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-0.687**</w:t>
            </w:r>
          </w:p>
        </w:tc>
        <w:tc>
          <w:tcPr>
            <w:tcW w:w="93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(0.029)</w:t>
            </w:r>
          </w:p>
        </w:tc>
      </w:tr>
      <w:tr w:rsidR="00540CE3" w:rsidRPr="00B37132" w:rsidTr="00540CE3">
        <w:trPr>
          <w:trHeight w:val="130"/>
        </w:trPr>
        <w:tc>
          <w:tcPr>
            <w:tcW w:w="2376" w:type="dxa"/>
            <w:noWrap/>
            <w:hideMark/>
          </w:tcPr>
          <w:p w:rsidR="00540CE3" w:rsidRPr="00A612E9" w:rsidRDefault="00540CE3" w:rsidP="00540CE3">
            <w:pPr>
              <w:rPr>
                <w:rFonts w:ascii="Calibri" w:eastAsia="Times New Roman" w:hAnsi="Calibri" w:cs="Times New Roman"/>
                <w:color w:val="000000"/>
                <w:sz w:val="18"/>
                <w:szCs w:val="18"/>
                <w:lang w:eastAsia="en-GB"/>
              </w:rPr>
            </w:pPr>
            <w:r w:rsidRPr="001A7C23">
              <w:rPr>
                <w:rFonts w:ascii="Calibri" w:eastAsia="Times New Roman" w:hAnsi="Calibri" w:cs="Times New Roman"/>
                <w:color w:val="000000"/>
                <w:sz w:val="18"/>
                <w:szCs w:val="18"/>
                <w:lang w:eastAsia="en-GB"/>
              </w:rPr>
              <w:t xml:space="preserve">Ln Care Home Beds </w:t>
            </w:r>
          </w:p>
        </w:tc>
        <w:tc>
          <w:tcPr>
            <w:tcW w:w="1127"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858"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1041"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1085"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1134"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-0.270***</w:t>
            </w:r>
          </w:p>
        </w:tc>
        <w:tc>
          <w:tcPr>
            <w:tcW w:w="772"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(0.000)</w:t>
            </w:r>
          </w:p>
        </w:tc>
        <w:tc>
          <w:tcPr>
            <w:tcW w:w="107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-0.266***</w:t>
            </w:r>
          </w:p>
        </w:tc>
        <w:tc>
          <w:tcPr>
            <w:tcW w:w="914"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(0.000)</w:t>
            </w:r>
          </w:p>
        </w:tc>
        <w:tc>
          <w:tcPr>
            <w:tcW w:w="1053"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-0.288***</w:t>
            </w:r>
          </w:p>
        </w:tc>
        <w:tc>
          <w:tcPr>
            <w:tcW w:w="93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(0.000)</w:t>
            </w:r>
          </w:p>
        </w:tc>
      </w:tr>
      <w:tr w:rsidR="00540CE3" w:rsidRPr="00B37132" w:rsidTr="00540CE3">
        <w:trPr>
          <w:trHeight w:val="47"/>
        </w:trPr>
        <w:tc>
          <w:tcPr>
            <w:tcW w:w="2376" w:type="dxa"/>
            <w:noWrap/>
            <w:hideMark/>
          </w:tcPr>
          <w:p w:rsidR="00540CE3" w:rsidRPr="00A612E9" w:rsidRDefault="00540CE3" w:rsidP="00540CE3">
            <w:pPr>
              <w:rPr>
                <w:rFonts w:ascii="Calibri" w:eastAsia="Times New Roman" w:hAnsi="Calibri" w:cs="Times New Roman"/>
                <w:color w:val="000000"/>
                <w:sz w:val="18"/>
                <w:szCs w:val="18"/>
                <w:lang w:eastAsia="en-GB"/>
              </w:rPr>
            </w:pPr>
            <w:r w:rsidRPr="001A7C23">
              <w:rPr>
                <w:rFonts w:ascii="Calibri" w:eastAsia="Times New Roman" w:hAnsi="Calibri" w:cs="Times New Roman"/>
                <w:color w:val="000000"/>
                <w:sz w:val="18"/>
                <w:szCs w:val="18"/>
                <w:lang w:eastAsia="en-GB"/>
              </w:rPr>
              <w:t>Ln Care Home Price</w:t>
            </w:r>
            <w:r>
              <w:rPr>
                <w:rFonts w:ascii="Calibri" w:eastAsia="Times New Roman" w:hAnsi="Calibri" w:cs="Times New Roman"/>
                <w:color w:val="000000"/>
                <w:sz w:val="18"/>
                <w:szCs w:val="18"/>
                <w:lang w:eastAsia="en-GB"/>
              </w:rPr>
              <w:t>/Week</w:t>
            </w:r>
          </w:p>
        </w:tc>
        <w:tc>
          <w:tcPr>
            <w:tcW w:w="1127"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858"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1041"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1085"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1134"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0.166</w:t>
            </w:r>
          </w:p>
        </w:tc>
        <w:tc>
          <w:tcPr>
            <w:tcW w:w="772"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(0.530)</w:t>
            </w:r>
          </w:p>
        </w:tc>
        <w:tc>
          <w:tcPr>
            <w:tcW w:w="107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0.214</w:t>
            </w:r>
          </w:p>
        </w:tc>
        <w:tc>
          <w:tcPr>
            <w:tcW w:w="914"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(0.438)</w:t>
            </w:r>
          </w:p>
        </w:tc>
        <w:tc>
          <w:tcPr>
            <w:tcW w:w="1053"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0.417*</w:t>
            </w:r>
          </w:p>
        </w:tc>
        <w:tc>
          <w:tcPr>
            <w:tcW w:w="93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(0.081)</w:t>
            </w:r>
          </w:p>
        </w:tc>
      </w:tr>
      <w:tr w:rsidR="00540CE3" w:rsidRPr="00B37132" w:rsidTr="00540CE3">
        <w:trPr>
          <w:trHeight w:val="204"/>
        </w:trPr>
        <w:tc>
          <w:tcPr>
            <w:tcW w:w="2376" w:type="dxa"/>
            <w:noWrap/>
            <w:hideMark/>
          </w:tcPr>
          <w:p w:rsidR="00540CE3" w:rsidRPr="001A7C23" w:rsidRDefault="007D7FA1" w:rsidP="00540CE3">
            <w:pP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patients 60-74</w:t>
            </w:r>
          </w:p>
        </w:tc>
        <w:tc>
          <w:tcPr>
            <w:tcW w:w="1127"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858"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1041"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1085"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1134"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772"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107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-0.0126</w:t>
            </w:r>
          </w:p>
        </w:tc>
        <w:tc>
          <w:tcPr>
            <w:tcW w:w="914"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(0.495)</w:t>
            </w:r>
          </w:p>
        </w:tc>
        <w:tc>
          <w:tcPr>
            <w:tcW w:w="1053"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-0.0405***</w:t>
            </w:r>
          </w:p>
        </w:tc>
        <w:tc>
          <w:tcPr>
            <w:tcW w:w="93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(0.000)</w:t>
            </w:r>
          </w:p>
        </w:tc>
      </w:tr>
      <w:tr w:rsidR="00540CE3" w:rsidRPr="00B37132" w:rsidTr="00540CE3">
        <w:trPr>
          <w:trHeight w:val="240"/>
        </w:trPr>
        <w:tc>
          <w:tcPr>
            <w:tcW w:w="2376" w:type="dxa"/>
            <w:noWrap/>
            <w:hideMark/>
          </w:tcPr>
          <w:p w:rsidR="00540CE3" w:rsidRPr="001A7C23" w:rsidRDefault="007D7FA1" w:rsidP="00540CE3">
            <w:pP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patients</w:t>
            </w:r>
            <w:r w:rsidR="00540CE3" w:rsidRPr="00A612E9">
              <w:rPr>
                <w:rFonts w:ascii="Calibri" w:eastAsia="Times New Roman" w:hAnsi="Calibri" w:cs="Times New Roman"/>
                <w:color w:val="000000"/>
                <w:sz w:val="18"/>
                <w:szCs w:val="18"/>
                <w:lang w:eastAsia="en-GB"/>
              </w:rPr>
              <w:t xml:space="preserve"> </w:t>
            </w:r>
            <w:r>
              <w:rPr>
                <w:rFonts w:ascii="Calibri" w:eastAsia="Times New Roman" w:hAnsi="Calibri" w:cs="Times New Roman"/>
                <w:color w:val="000000"/>
                <w:sz w:val="18"/>
                <w:szCs w:val="18"/>
                <w:lang w:eastAsia="en-GB"/>
              </w:rPr>
              <w:t>75+</w:t>
            </w:r>
          </w:p>
        </w:tc>
        <w:tc>
          <w:tcPr>
            <w:tcW w:w="1127"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858"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1041"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1085"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1134"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772"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107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0.0127**</w:t>
            </w:r>
          </w:p>
        </w:tc>
        <w:tc>
          <w:tcPr>
            <w:tcW w:w="914"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(0.026)</w:t>
            </w:r>
          </w:p>
        </w:tc>
        <w:tc>
          <w:tcPr>
            <w:tcW w:w="1053"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0.0221***</w:t>
            </w:r>
          </w:p>
        </w:tc>
        <w:tc>
          <w:tcPr>
            <w:tcW w:w="93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(0.000)</w:t>
            </w:r>
          </w:p>
        </w:tc>
      </w:tr>
      <w:tr w:rsidR="00540CE3" w:rsidRPr="00B37132" w:rsidTr="00540CE3">
        <w:trPr>
          <w:trHeight w:val="43"/>
        </w:trPr>
        <w:tc>
          <w:tcPr>
            <w:tcW w:w="2376" w:type="dxa"/>
            <w:noWrap/>
            <w:hideMark/>
          </w:tcPr>
          <w:p w:rsidR="00540CE3" w:rsidRPr="00A612E9" w:rsidRDefault="00540CE3" w:rsidP="00540CE3">
            <w:pPr>
              <w:rPr>
                <w:rFonts w:ascii="Calibri" w:eastAsia="Times New Roman" w:hAnsi="Calibri" w:cs="Times New Roman"/>
                <w:color w:val="000000"/>
                <w:sz w:val="18"/>
                <w:szCs w:val="18"/>
                <w:lang w:eastAsia="en-GB"/>
              </w:rPr>
            </w:pPr>
            <w:r w:rsidRPr="00A612E9">
              <w:rPr>
                <w:rFonts w:ascii="Calibri" w:eastAsia="Times New Roman" w:hAnsi="Calibri" w:cs="Times New Roman"/>
                <w:color w:val="000000"/>
                <w:sz w:val="18"/>
                <w:szCs w:val="18"/>
                <w:lang w:eastAsia="en-GB"/>
              </w:rPr>
              <w:t xml:space="preserve">% of male patients </w:t>
            </w:r>
          </w:p>
        </w:tc>
        <w:tc>
          <w:tcPr>
            <w:tcW w:w="1127"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858"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1041"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1085"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1134"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772"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107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0.0150</w:t>
            </w:r>
          </w:p>
        </w:tc>
        <w:tc>
          <w:tcPr>
            <w:tcW w:w="914"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(0.105)</w:t>
            </w:r>
          </w:p>
        </w:tc>
        <w:tc>
          <w:tcPr>
            <w:tcW w:w="1053"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0.0146**</w:t>
            </w:r>
          </w:p>
        </w:tc>
        <w:tc>
          <w:tcPr>
            <w:tcW w:w="93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(0.021)</w:t>
            </w:r>
          </w:p>
        </w:tc>
      </w:tr>
      <w:tr w:rsidR="00540CE3" w:rsidRPr="00B37132" w:rsidTr="00540CE3">
        <w:trPr>
          <w:trHeight w:val="58"/>
        </w:trPr>
        <w:tc>
          <w:tcPr>
            <w:tcW w:w="2376" w:type="dxa"/>
            <w:noWrap/>
            <w:hideMark/>
          </w:tcPr>
          <w:p w:rsidR="00540CE3" w:rsidRPr="00A612E9" w:rsidRDefault="00540CE3" w:rsidP="00540CE3">
            <w:pPr>
              <w:rPr>
                <w:rFonts w:ascii="Calibri" w:eastAsia="Times New Roman" w:hAnsi="Calibri" w:cs="Times New Roman"/>
                <w:color w:val="000000"/>
                <w:sz w:val="18"/>
                <w:szCs w:val="18"/>
                <w:lang w:eastAsia="en-GB"/>
              </w:rPr>
            </w:pPr>
            <w:r w:rsidRPr="00A612E9">
              <w:rPr>
                <w:rFonts w:ascii="Calibri" w:eastAsia="Times New Roman" w:hAnsi="Calibri" w:cs="Times New Roman"/>
                <w:color w:val="000000"/>
                <w:sz w:val="18"/>
                <w:szCs w:val="18"/>
                <w:lang w:eastAsia="en-GB"/>
              </w:rPr>
              <w:t xml:space="preserve">% </w:t>
            </w:r>
            <w:r>
              <w:rPr>
                <w:rFonts w:ascii="Calibri" w:eastAsia="Times New Roman" w:hAnsi="Calibri" w:cs="Times New Roman"/>
                <w:color w:val="000000"/>
                <w:sz w:val="18"/>
                <w:szCs w:val="18"/>
                <w:lang w:eastAsia="en-GB"/>
              </w:rPr>
              <w:t>of emergency a</w:t>
            </w:r>
            <w:r w:rsidRPr="00A612E9">
              <w:rPr>
                <w:rFonts w:ascii="Calibri" w:eastAsia="Times New Roman" w:hAnsi="Calibri" w:cs="Times New Roman"/>
                <w:color w:val="000000"/>
                <w:sz w:val="18"/>
                <w:szCs w:val="18"/>
                <w:lang w:eastAsia="en-GB"/>
              </w:rPr>
              <w:t xml:space="preserve">dmissions </w:t>
            </w:r>
          </w:p>
        </w:tc>
        <w:tc>
          <w:tcPr>
            <w:tcW w:w="1127"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858"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1041"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1085"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1134"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772"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107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0.00136</w:t>
            </w:r>
          </w:p>
        </w:tc>
        <w:tc>
          <w:tcPr>
            <w:tcW w:w="914"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(0.685)</w:t>
            </w:r>
          </w:p>
        </w:tc>
        <w:tc>
          <w:tcPr>
            <w:tcW w:w="1053"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0.00254</w:t>
            </w:r>
          </w:p>
        </w:tc>
        <w:tc>
          <w:tcPr>
            <w:tcW w:w="93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(0.352)</w:t>
            </w:r>
          </w:p>
        </w:tc>
      </w:tr>
      <w:tr w:rsidR="00540CE3" w:rsidRPr="00B37132" w:rsidTr="00540CE3">
        <w:trPr>
          <w:trHeight w:val="104"/>
        </w:trPr>
        <w:tc>
          <w:tcPr>
            <w:tcW w:w="2376" w:type="dxa"/>
            <w:noWrap/>
            <w:hideMark/>
          </w:tcPr>
          <w:p w:rsidR="00540CE3" w:rsidRPr="00A612E9" w:rsidRDefault="00540CE3" w:rsidP="00540CE3">
            <w:pP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standardised r</w:t>
            </w:r>
            <w:r w:rsidRPr="00A612E9">
              <w:rPr>
                <w:rFonts w:ascii="Calibri" w:eastAsia="Times New Roman" w:hAnsi="Calibri" w:cs="Times New Roman"/>
                <w:color w:val="000000"/>
                <w:sz w:val="18"/>
                <w:szCs w:val="18"/>
                <w:lang w:eastAsia="en-GB"/>
              </w:rPr>
              <w:t xml:space="preserve">eadmissions </w:t>
            </w:r>
          </w:p>
        </w:tc>
        <w:tc>
          <w:tcPr>
            <w:tcW w:w="1127"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858"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1041"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1085"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1134"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772"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107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-0.000471</w:t>
            </w:r>
          </w:p>
        </w:tc>
        <w:tc>
          <w:tcPr>
            <w:tcW w:w="914"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(0.973)</w:t>
            </w:r>
          </w:p>
        </w:tc>
        <w:tc>
          <w:tcPr>
            <w:tcW w:w="1053"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-0.00121</w:t>
            </w:r>
          </w:p>
        </w:tc>
        <w:tc>
          <w:tcPr>
            <w:tcW w:w="93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(0.872)</w:t>
            </w:r>
          </w:p>
        </w:tc>
      </w:tr>
      <w:tr w:rsidR="00540CE3" w:rsidRPr="00B37132" w:rsidTr="00540CE3">
        <w:trPr>
          <w:trHeight w:val="240"/>
        </w:trPr>
        <w:tc>
          <w:tcPr>
            <w:tcW w:w="2376" w:type="dxa"/>
            <w:noWrap/>
            <w:hideMark/>
          </w:tcPr>
          <w:p w:rsidR="00540CE3" w:rsidRPr="001A7C23" w:rsidRDefault="00540CE3" w:rsidP="00540CE3">
            <w:pPr>
              <w:rPr>
                <w:rFonts w:ascii="Calibri" w:eastAsia="Times New Roman" w:hAnsi="Calibri" w:cs="Times New Roman"/>
                <w:color w:val="000000"/>
                <w:sz w:val="18"/>
                <w:szCs w:val="18"/>
                <w:lang w:eastAsia="en-GB"/>
              </w:rPr>
            </w:pPr>
            <w:r w:rsidRPr="001A7C23">
              <w:rPr>
                <w:rFonts w:ascii="Calibri" w:eastAsia="Times New Roman" w:hAnsi="Calibri" w:cs="Times New Roman"/>
                <w:color w:val="000000"/>
                <w:sz w:val="18"/>
                <w:szCs w:val="18"/>
                <w:lang w:eastAsia="en-GB"/>
              </w:rPr>
              <w:t>Constant</w:t>
            </w:r>
          </w:p>
        </w:tc>
        <w:tc>
          <w:tcPr>
            <w:tcW w:w="1127"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8.676***</w:t>
            </w:r>
          </w:p>
        </w:tc>
        <w:tc>
          <w:tcPr>
            <w:tcW w:w="858"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(0.000)</w:t>
            </w:r>
          </w:p>
        </w:tc>
        <w:tc>
          <w:tcPr>
            <w:tcW w:w="104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2.192***</w:t>
            </w:r>
          </w:p>
        </w:tc>
        <w:tc>
          <w:tcPr>
            <w:tcW w:w="1085"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(0.000)</w:t>
            </w:r>
          </w:p>
        </w:tc>
        <w:tc>
          <w:tcPr>
            <w:tcW w:w="1134"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3.298**</w:t>
            </w:r>
          </w:p>
        </w:tc>
        <w:tc>
          <w:tcPr>
            <w:tcW w:w="772"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(0.047)</w:t>
            </w:r>
          </w:p>
        </w:tc>
        <w:tc>
          <w:tcPr>
            <w:tcW w:w="107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2.359</w:t>
            </w:r>
          </w:p>
        </w:tc>
        <w:tc>
          <w:tcPr>
            <w:tcW w:w="914"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(0.254)</w:t>
            </w:r>
          </w:p>
        </w:tc>
        <w:tc>
          <w:tcPr>
            <w:tcW w:w="1053"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-4.782***</w:t>
            </w:r>
          </w:p>
        </w:tc>
        <w:tc>
          <w:tcPr>
            <w:tcW w:w="93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(0.007)</w:t>
            </w:r>
          </w:p>
        </w:tc>
      </w:tr>
      <w:tr w:rsidR="00540CE3" w:rsidRPr="00B37132" w:rsidTr="00540CE3">
        <w:trPr>
          <w:trHeight w:val="240"/>
        </w:trPr>
        <w:tc>
          <w:tcPr>
            <w:tcW w:w="2376" w:type="dxa"/>
            <w:noWrap/>
            <w:hideMark/>
          </w:tcPr>
          <w:p w:rsidR="00540CE3" w:rsidRPr="001A7C23" w:rsidRDefault="00540CE3" w:rsidP="00540CE3">
            <w:pP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L</w:t>
            </w:r>
            <w:r w:rsidRPr="001A7C23">
              <w:rPr>
                <w:rFonts w:ascii="Calibri" w:eastAsia="Times New Roman" w:hAnsi="Calibri" w:cs="Times New Roman"/>
                <w:color w:val="000000"/>
                <w:sz w:val="18"/>
                <w:szCs w:val="18"/>
                <w:lang w:eastAsia="en-GB"/>
              </w:rPr>
              <w:t xml:space="preserve">n alpha </w:t>
            </w:r>
          </w:p>
        </w:tc>
        <w:tc>
          <w:tcPr>
            <w:tcW w:w="1127"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-0.401***</w:t>
            </w:r>
          </w:p>
        </w:tc>
        <w:tc>
          <w:tcPr>
            <w:tcW w:w="858"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(0.000)</w:t>
            </w:r>
          </w:p>
        </w:tc>
        <w:tc>
          <w:tcPr>
            <w:tcW w:w="104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-0.712***</w:t>
            </w:r>
          </w:p>
        </w:tc>
        <w:tc>
          <w:tcPr>
            <w:tcW w:w="1085"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(0.000)</w:t>
            </w:r>
          </w:p>
        </w:tc>
        <w:tc>
          <w:tcPr>
            <w:tcW w:w="1134"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-0.790***</w:t>
            </w:r>
          </w:p>
        </w:tc>
        <w:tc>
          <w:tcPr>
            <w:tcW w:w="772"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(0.000)</w:t>
            </w:r>
          </w:p>
        </w:tc>
        <w:tc>
          <w:tcPr>
            <w:tcW w:w="107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-0.806***</w:t>
            </w:r>
          </w:p>
        </w:tc>
        <w:tc>
          <w:tcPr>
            <w:tcW w:w="914"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(0.000)</w:t>
            </w:r>
          </w:p>
        </w:tc>
        <w:tc>
          <w:tcPr>
            <w:tcW w:w="1053"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931" w:type="dxa"/>
            <w:noWrap/>
            <w:hideMark/>
          </w:tcPr>
          <w:p w:rsidR="00540CE3" w:rsidRPr="00B37132" w:rsidRDefault="00540CE3" w:rsidP="00540CE3">
            <w:pPr>
              <w:rPr>
                <w:rFonts w:ascii="Calibri" w:eastAsia="Times New Roman" w:hAnsi="Calibri" w:cs="Times New Roman"/>
                <w:color w:val="000000"/>
                <w:sz w:val="18"/>
                <w:szCs w:val="18"/>
                <w:lang w:eastAsia="en-GB"/>
              </w:rPr>
            </w:pPr>
          </w:p>
        </w:tc>
      </w:tr>
      <w:tr w:rsidR="00540CE3" w:rsidRPr="00B37132" w:rsidTr="00540CE3">
        <w:trPr>
          <w:trHeight w:val="240"/>
        </w:trPr>
        <w:tc>
          <w:tcPr>
            <w:tcW w:w="2376" w:type="dxa"/>
            <w:noWrap/>
            <w:hideMark/>
          </w:tcPr>
          <w:p w:rsidR="00540CE3" w:rsidRPr="001A7C23" w:rsidRDefault="00540CE3" w:rsidP="00540CE3">
            <w:pP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L</w:t>
            </w:r>
            <w:r w:rsidRPr="001A7C23">
              <w:rPr>
                <w:rFonts w:ascii="Calibri" w:eastAsia="Times New Roman" w:hAnsi="Calibri" w:cs="Times New Roman"/>
                <w:color w:val="000000"/>
                <w:sz w:val="18"/>
                <w:szCs w:val="18"/>
                <w:lang w:eastAsia="en-GB"/>
              </w:rPr>
              <w:t xml:space="preserve">n r </w:t>
            </w:r>
          </w:p>
        </w:tc>
        <w:tc>
          <w:tcPr>
            <w:tcW w:w="1127"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858"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1041"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1085"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1134"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772"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1071"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914"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1053"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1.150***</w:t>
            </w:r>
          </w:p>
        </w:tc>
        <w:tc>
          <w:tcPr>
            <w:tcW w:w="93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(0.000)</w:t>
            </w:r>
          </w:p>
        </w:tc>
      </w:tr>
      <w:tr w:rsidR="00540CE3" w:rsidRPr="00B37132" w:rsidTr="00540CE3">
        <w:trPr>
          <w:trHeight w:val="240"/>
        </w:trPr>
        <w:tc>
          <w:tcPr>
            <w:tcW w:w="2376" w:type="dxa"/>
            <w:noWrap/>
            <w:hideMark/>
          </w:tcPr>
          <w:p w:rsidR="00540CE3" w:rsidRPr="001A7C23" w:rsidRDefault="00540CE3" w:rsidP="00540CE3">
            <w:pP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L</w:t>
            </w:r>
            <w:r w:rsidRPr="001A7C23">
              <w:rPr>
                <w:rFonts w:ascii="Calibri" w:eastAsia="Times New Roman" w:hAnsi="Calibri" w:cs="Times New Roman"/>
                <w:color w:val="000000"/>
                <w:sz w:val="18"/>
                <w:szCs w:val="18"/>
                <w:lang w:eastAsia="en-GB"/>
              </w:rPr>
              <w:t xml:space="preserve">n s </w:t>
            </w:r>
          </w:p>
        </w:tc>
        <w:tc>
          <w:tcPr>
            <w:tcW w:w="1127"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858"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1041"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1085"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1134"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772"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1071"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914"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1053"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7.406***</w:t>
            </w:r>
          </w:p>
        </w:tc>
        <w:tc>
          <w:tcPr>
            <w:tcW w:w="931" w:type="dxa"/>
            <w:noWrap/>
            <w:hideMark/>
          </w:tcPr>
          <w:p w:rsidR="00540CE3" w:rsidRPr="00B37132" w:rsidRDefault="00540CE3" w:rsidP="00540CE3">
            <w:pP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(0.000)</w:t>
            </w:r>
          </w:p>
        </w:tc>
      </w:tr>
      <w:tr w:rsidR="00540CE3" w:rsidRPr="00B37132" w:rsidTr="00540CE3">
        <w:trPr>
          <w:trHeight w:val="240"/>
        </w:trPr>
        <w:tc>
          <w:tcPr>
            <w:tcW w:w="2376" w:type="dxa"/>
            <w:noWrap/>
            <w:hideMark/>
          </w:tcPr>
          <w:p w:rsidR="00540CE3" w:rsidRPr="001A7C23" w:rsidRDefault="00540CE3" w:rsidP="00540CE3">
            <w:pPr>
              <w:rPr>
                <w:rFonts w:ascii="Calibri" w:eastAsia="Times New Roman" w:hAnsi="Calibri" w:cs="Times New Roman"/>
                <w:color w:val="000000"/>
                <w:sz w:val="18"/>
                <w:szCs w:val="18"/>
                <w:lang w:eastAsia="en-GB"/>
              </w:rPr>
            </w:pPr>
            <w:r w:rsidRPr="001A7C23">
              <w:rPr>
                <w:rFonts w:ascii="Calibri" w:eastAsia="Times New Roman" w:hAnsi="Calibri" w:cs="Times New Roman"/>
                <w:color w:val="000000"/>
                <w:sz w:val="18"/>
                <w:szCs w:val="18"/>
                <w:lang w:eastAsia="en-GB"/>
              </w:rPr>
              <w:t>Exposure</w:t>
            </w:r>
          </w:p>
        </w:tc>
        <w:tc>
          <w:tcPr>
            <w:tcW w:w="1127"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858" w:type="dxa"/>
            <w:noWrap/>
            <w:hideMark/>
          </w:tcPr>
          <w:p w:rsidR="00540CE3" w:rsidRPr="00B37132" w:rsidRDefault="00540CE3" w:rsidP="00540CE3">
            <w:pPr>
              <w:rPr>
                <w:rFonts w:ascii="Calibri" w:eastAsia="Times New Roman" w:hAnsi="Calibri" w:cs="Times New Roman"/>
                <w:color w:val="000000"/>
                <w:sz w:val="18"/>
                <w:szCs w:val="18"/>
                <w:lang w:eastAsia="en-GB"/>
              </w:rPr>
            </w:pPr>
          </w:p>
        </w:tc>
        <w:tc>
          <w:tcPr>
            <w:tcW w:w="2126" w:type="dxa"/>
            <w:gridSpan w:val="2"/>
            <w:noWrap/>
            <w:hideMark/>
          </w:tcPr>
          <w:p w:rsidR="00540CE3" w:rsidRPr="00B37132" w:rsidRDefault="00540CE3" w:rsidP="00540CE3">
            <w:pPr>
              <w:jc w:val="center"/>
              <w:rPr>
                <w:rFonts w:ascii="Calibri" w:eastAsia="Times New Roman" w:hAnsi="Calibri" w:cs="Times New Roman"/>
                <w:color w:val="000000"/>
                <w:sz w:val="18"/>
                <w:szCs w:val="18"/>
                <w:lang w:eastAsia="en-GB"/>
              </w:rPr>
            </w:pPr>
            <w:r w:rsidRPr="006517E7">
              <w:rPr>
                <w:rFonts w:ascii="Calibri" w:eastAsia="Times New Roman" w:hAnsi="Calibri" w:cs="Times New Roman"/>
                <w:color w:val="000000"/>
                <w:sz w:val="18"/>
                <w:szCs w:val="18"/>
                <w:lang w:eastAsia="en-GB"/>
              </w:rPr>
              <w:t>Ln Beds in Trust</w:t>
            </w:r>
          </w:p>
        </w:tc>
        <w:tc>
          <w:tcPr>
            <w:tcW w:w="1906" w:type="dxa"/>
            <w:gridSpan w:val="2"/>
            <w:noWrap/>
            <w:hideMark/>
          </w:tcPr>
          <w:p w:rsidR="00540CE3" w:rsidRPr="00B37132" w:rsidRDefault="00540CE3" w:rsidP="00540CE3">
            <w:pPr>
              <w:jc w:val="center"/>
              <w:rPr>
                <w:rFonts w:ascii="Calibri" w:eastAsia="Times New Roman" w:hAnsi="Calibri" w:cs="Times New Roman"/>
                <w:color w:val="000000"/>
                <w:sz w:val="18"/>
                <w:szCs w:val="18"/>
                <w:lang w:eastAsia="en-GB"/>
              </w:rPr>
            </w:pPr>
            <w:r w:rsidRPr="006517E7">
              <w:rPr>
                <w:rFonts w:ascii="Calibri" w:eastAsia="Times New Roman" w:hAnsi="Calibri" w:cs="Times New Roman"/>
                <w:color w:val="000000"/>
                <w:sz w:val="18"/>
                <w:szCs w:val="18"/>
                <w:lang w:eastAsia="en-GB"/>
              </w:rPr>
              <w:t>Ln Beds in Trust</w:t>
            </w:r>
          </w:p>
        </w:tc>
        <w:tc>
          <w:tcPr>
            <w:tcW w:w="1985" w:type="dxa"/>
            <w:gridSpan w:val="2"/>
            <w:noWrap/>
            <w:hideMark/>
          </w:tcPr>
          <w:p w:rsidR="00540CE3" w:rsidRPr="00B37132" w:rsidRDefault="00540CE3" w:rsidP="00540CE3">
            <w:pPr>
              <w:jc w:val="center"/>
              <w:rPr>
                <w:rFonts w:ascii="Calibri" w:eastAsia="Times New Roman" w:hAnsi="Calibri" w:cs="Times New Roman"/>
                <w:color w:val="000000"/>
                <w:sz w:val="18"/>
                <w:szCs w:val="18"/>
                <w:lang w:eastAsia="en-GB"/>
              </w:rPr>
            </w:pPr>
            <w:r w:rsidRPr="006517E7">
              <w:rPr>
                <w:rFonts w:ascii="Calibri" w:eastAsia="Times New Roman" w:hAnsi="Calibri" w:cs="Times New Roman"/>
                <w:color w:val="000000"/>
                <w:sz w:val="18"/>
                <w:szCs w:val="18"/>
                <w:lang w:eastAsia="en-GB"/>
              </w:rPr>
              <w:t>Ln Beds in Trust</w:t>
            </w:r>
          </w:p>
        </w:tc>
        <w:tc>
          <w:tcPr>
            <w:tcW w:w="1984" w:type="dxa"/>
            <w:gridSpan w:val="2"/>
            <w:noWrap/>
            <w:hideMark/>
          </w:tcPr>
          <w:p w:rsidR="00540CE3" w:rsidRPr="00B37132" w:rsidRDefault="00540CE3" w:rsidP="00540CE3">
            <w:pPr>
              <w:jc w:val="center"/>
              <w:rPr>
                <w:rFonts w:ascii="Calibri" w:eastAsia="Times New Roman" w:hAnsi="Calibri" w:cs="Times New Roman"/>
                <w:color w:val="000000"/>
                <w:sz w:val="18"/>
                <w:szCs w:val="18"/>
                <w:lang w:eastAsia="en-GB"/>
              </w:rPr>
            </w:pPr>
            <w:r w:rsidRPr="006517E7">
              <w:rPr>
                <w:rFonts w:ascii="Calibri" w:eastAsia="Times New Roman" w:hAnsi="Calibri" w:cs="Times New Roman"/>
                <w:color w:val="000000"/>
                <w:sz w:val="18"/>
                <w:szCs w:val="18"/>
                <w:lang w:eastAsia="en-GB"/>
              </w:rPr>
              <w:t>Ln Beds in Trust</w:t>
            </w:r>
          </w:p>
        </w:tc>
      </w:tr>
      <w:tr w:rsidR="005C272E" w:rsidRPr="00B37132" w:rsidTr="00534844">
        <w:trPr>
          <w:trHeight w:val="240"/>
        </w:trPr>
        <w:tc>
          <w:tcPr>
            <w:tcW w:w="2376" w:type="dxa"/>
            <w:noWrap/>
            <w:hideMark/>
          </w:tcPr>
          <w:p w:rsidR="005C272E" w:rsidRPr="001A7C23" w:rsidRDefault="005C272E" w:rsidP="00540CE3">
            <w:pPr>
              <w:rPr>
                <w:rFonts w:ascii="Calibri" w:eastAsia="Times New Roman" w:hAnsi="Calibri" w:cs="Times New Roman"/>
                <w:color w:val="000000"/>
                <w:sz w:val="18"/>
                <w:szCs w:val="18"/>
                <w:lang w:eastAsia="en-GB"/>
              </w:rPr>
            </w:pPr>
            <w:r w:rsidRPr="001A7C23">
              <w:rPr>
                <w:rFonts w:ascii="Calibri" w:eastAsia="Times New Roman" w:hAnsi="Calibri" w:cs="Times New Roman"/>
                <w:color w:val="000000"/>
                <w:sz w:val="18"/>
                <w:szCs w:val="18"/>
                <w:lang w:eastAsia="en-GB"/>
              </w:rPr>
              <w:t>AIC</w:t>
            </w:r>
          </w:p>
        </w:tc>
        <w:tc>
          <w:tcPr>
            <w:tcW w:w="1985" w:type="dxa"/>
            <w:gridSpan w:val="2"/>
            <w:noWrap/>
            <w:hideMark/>
          </w:tcPr>
          <w:p w:rsidR="005C272E" w:rsidRPr="00B37132" w:rsidRDefault="005C272E" w:rsidP="005C272E">
            <w:pPr>
              <w:jc w:val="cente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11747.9</w:t>
            </w:r>
          </w:p>
        </w:tc>
        <w:tc>
          <w:tcPr>
            <w:tcW w:w="2126" w:type="dxa"/>
            <w:gridSpan w:val="2"/>
            <w:noWrap/>
            <w:hideMark/>
          </w:tcPr>
          <w:p w:rsidR="005C272E" w:rsidRPr="00B37132" w:rsidRDefault="005C272E" w:rsidP="005C272E">
            <w:pPr>
              <w:jc w:val="cente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11539.1</w:t>
            </w:r>
          </w:p>
        </w:tc>
        <w:tc>
          <w:tcPr>
            <w:tcW w:w="1906" w:type="dxa"/>
            <w:gridSpan w:val="2"/>
            <w:noWrap/>
            <w:hideMark/>
          </w:tcPr>
          <w:p w:rsidR="005C272E" w:rsidRPr="00B37132" w:rsidRDefault="005C272E" w:rsidP="005C272E">
            <w:pPr>
              <w:jc w:val="cente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11489.4</w:t>
            </w:r>
          </w:p>
        </w:tc>
        <w:tc>
          <w:tcPr>
            <w:tcW w:w="1985" w:type="dxa"/>
            <w:gridSpan w:val="2"/>
            <w:noWrap/>
            <w:hideMark/>
          </w:tcPr>
          <w:p w:rsidR="005C272E" w:rsidRPr="00B37132" w:rsidRDefault="005C272E" w:rsidP="005C272E">
            <w:pPr>
              <w:jc w:val="cente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11488.3</w:t>
            </w:r>
          </w:p>
        </w:tc>
        <w:tc>
          <w:tcPr>
            <w:tcW w:w="1984" w:type="dxa"/>
            <w:gridSpan w:val="2"/>
            <w:noWrap/>
            <w:hideMark/>
          </w:tcPr>
          <w:p w:rsidR="005C272E" w:rsidRPr="00B37132" w:rsidRDefault="005C272E" w:rsidP="005C272E">
            <w:pPr>
              <w:jc w:val="cente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11183.7</w:t>
            </w:r>
          </w:p>
        </w:tc>
      </w:tr>
      <w:tr w:rsidR="005C272E" w:rsidRPr="00B37132" w:rsidTr="00534844">
        <w:trPr>
          <w:trHeight w:val="240"/>
        </w:trPr>
        <w:tc>
          <w:tcPr>
            <w:tcW w:w="2376" w:type="dxa"/>
            <w:noWrap/>
            <w:hideMark/>
          </w:tcPr>
          <w:p w:rsidR="005C272E" w:rsidRPr="001A7C23" w:rsidRDefault="005C272E" w:rsidP="00540CE3">
            <w:pPr>
              <w:rPr>
                <w:rFonts w:ascii="Calibri" w:eastAsia="Times New Roman" w:hAnsi="Calibri" w:cs="Times New Roman"/>
                <w:color w:val="000000"/>
                <w:sz w:val="18"/>
                <w:szCs w:val="18"/>
                <w:lang w:eastAsia="en-GB"/>
              </w:rPr>
            </w:pPr>
            <w:r w:rsidRPr="001A7C23">
              <w:rPr>
                <w:rFonts w:ascii="Calibri" w:eastAsia="Times New Roman" w:hAnsi="Calibri" w:cs="Times New Roman"/>
                <w:color w:val="000000"/>
                <w:sz w:val="18"/>
                <w:szCs w:val="18"/>
                <w:lang w:eastAsia="en-GB"/>
              </w:rPr>
              <w:t>BIC</w:t>
            </w:r>
          </w:p>
        </w:tc>
        <w:tc>
          <w:tcPr>
            <w:tcW w:w="1985" w:type="dxa"/>
            <w:gridSpan w:val="2"/>
            <w:noWrap/>
            <w:hideMark/>
          </w:tcPr>
          <w:p w:rsidR="005C272E" w:rsidRPr="00B37132" w:rsidRDefault="005C272E" w:rsidP="005C272E">
            <w:pPr>
              <w:jc w:val="cente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11783.2</w:t>
            </w:r>
          </w:p>
        </w:tc>
        <w:tc>
          <w:tcPr>
            <w:tcW w:w="2126" w:type="dxa"/>
            <w:gridSpan w:val="2"/>
            <w:noWrap/>
            <w:hideMark/>
          </w:tcPr>
          <w:p w:rsidR="005C272E" w:rsidRPr="00B37132" w:rsidRDefault="005C272E" w:rsidP="005C272E">
            <w:pPr>
              <w:jc w:val="cente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11601.0</w:t>
            </w:r>
          </w:p>
        </w:tc>
        <w:tc>
          <w:tcPr>
            <w:tcW w:w="1906" w:type="dxa"/>
            <w:gridSpan w:val="2"/>
            <w:noWrap/>
            <w:hideMark/>
          </w:tcPr>
          <w:p w:rsidR="005C272E" w:rsidRPr="00B37132" w:rsidRDefault="005C272E" w:rsidP="005C272E">
            <w:pPr>
              <w:jc w:val="cente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11560.1</w:t>
            </w:r>
          </w:p>
        </w:tc>
        <w:tc>
          <w:tcPr>
            <w:tcW w:w="1985" w:type="dxa"/>
            <w:gridSpan w:val="2"/>
            <w:noWrap/>
            <w:hideMark/>
          </w:tcPr>
          <w:p w:rsidR="005C272E" w:rsidRPr="00B37132" w:rsidRDefault="005C272E" w:rsidP="005C272E">
            <w:pPr>
              <w:jc w:val="cente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11581.1</w:t>
            </w:r>
          </w:p>
        </w:tc>
        <w:tc>
          <w:tcPr>
            <w:tcW w:w="1984" w:type="dxa"/>
            <w:gridSpan w:val="2"/>
            <w:noWrap/>
            <w:hideMark/>
          </w:tcPr>
          <w:p w:rsidR="005C272E" w:rsidRPr="00B37132" w:rsidRDefault="005C272E" w:rsidP="005C272E">
            <w:pPr>
              <w:jc w:val="cente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11280.9</w:t>
            </w:r>
          </w:p>
        </w:tc>
      </w:tr>
      <w:tr w:rsidR="005C272E" w:rsidRPr="00B37132" w:rsidTr="00534844">
        <w:trPr>
          <w:trHeight w:val="240"/>
        </w:trPr>
        <w:tc>
          <w:tcPr>
            <w:tcW w:w="2376" w:type="dxa"/>
            <w:noWrap/>
            <w:hideMark/>
          </w:tcPr>
          <w:p w:rsidR="005C272E" w:rsidRPr="001A7C23" w:rsidRDefault="005C272E" w:rsidP="00540CE3">
            <w:pP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s.e. </w:t>
            </w:r>
          </w:p>
        </w:tc>
        <w:tc>
          <w:tcPr>
            <w:tcW w:w="1985" w:type="dxa"/>
            <w:gridSpan w:val="2"/>
            <w:noWrap/>
            <w:hideMark/>
          </w:tcPr>
          <w:p w:rsidR="005C272E" w:rsidRPr="00B37132" w:rsidRDefault="005C272E" w:rsidP="005C272E">
            <w:pPr>
              <w:jc w:val="center"/>
              <w:rPr>
                <w:rFonts w:ascii="Calibri" w:eastAsia="Times New Roman" w:hAnsi="Calibri" w:cs="Times New Roman"/>
                <w:color w:val="000000"/>
                <w:sz w:val="18"/>
                <w:szCs w:val="18"/>
                <w:lang w:eastAsia="en-GB"/>
              </w:rPr>
            </w:pPr>
            <w:r w:rsidRPr="00B37132">
              <w:rPr>
                <w:rFonts w:ascii="Calibri" w:eastAsia="Times New Roman" w:hAnsi="Calibri" w:cs="Times New Roman"/>
                <w:color w:val="000000"/>
                <w:sz w:val="18"/>
                <w:szCs w:val="18"/>
                <w:lang w:eastAsia="en-GB"/>
              </w:rPr>
              <w:t>Cluster</w:t>
            </w:r>
          </w:p>
        </w:tc>
        <w:tc>
          <w:tcPr>
            <w:tcW w:w="2126" w:type="dxa"/>
            <w:gridSpan w:val="2"/>
            <w:noWrap/>
            <w:hideMark/>
          </w:tcPr>
          <w:p w:rsidR="005C272E" w:rsidRPr="00B37132" w:rsidRDefault="005C272E" w:rsidP="005C272E">
            <w:pPr>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C</w:t>
            </w:r>
            <w:r w:rsidRPr="00B37132">
              <w:rPr>
                <w:rFonts w:ascii="Calibri" w:eastAsia="Times New Roman" w:hAnsi="Calibri" w:cs="Times New Roman"/>
                <w:color w:val="000000"/>
                <w:sz w:val="18"/>
                <w:szCs w:val="18"/>
                <w:lang w:eastAsia="en-GB"/>
              </w:rPr>
              <w:t>luster</w:t>
            </w:r>
          </w:p>
        </w:tc>
        <w:tc>
          <w:tcPr>
            <w:tcW w:w="1906" w:type="dxa"/>
            <w:gridSpan w:val="2"/>
            <w:noWrap/>
            <w:hideMark/>
          </w:tcPr>
          <w:p w:rsidR="005C272E" w:rsidRPr="00B37132" w:rsidRDefault="005C272E" w:rsidP="005C272E">
            <w:pPr>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C</w:t>
            </w:r>
            <w:r w:rsidRPr="00B37132">
              <w:rPr>
                <w:rFonts w:ascii="Calibri" w:eastAsia="Times New Roman" w:hAnsi="Calibri" w:cs="Times New Roman"/>
                <w:color w:val="000000"/>
                <w:sz w:val="18"/>
                <w:szCs w:val="18"/>
                <w:lang w:eastAsia="en-GB"/>
              </w:rPr>
              <w:t>luster</w:t>
            </w:r>
          </w:p>
        </w:tc>
        <w:tc>
          <w:tcPr>
            <w:tcW w:w="1985" w:type="dxa"/>
            <w:gridSpan w:val="2"/>
            <w:noWrap/>
            <w:hideMark/>
          </w:tcPr>
          <w:p w:rsidR="005C272E" w:rsidRPr="00B37132" w:rsidRDefault="005C272E" w:rsidP="005C272E">
            <w:pPr>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C</w:t>
            </w:r>
            <w:r w:rsidRPr="00B37132">
              <w:rPr>
                <w:rFonts w:ascii="Calibri" w:eastAsia="Times New Roman" w:hAnsi="Calibri" w:cs="Times New Roman"/>
                <w:color w:val="000000"/>
                <w:sz w:val="18"/>
                <w:szCs w:val="18"/>
                <w:lang w:eastAsia="en-GB"/>
              </w:rPr>
              <w:t>luster</w:t>
            </w:r>
          </w:p>
        </w:tc>
        <w:tc>
          <w:tcPr>
            <w:tcW w:w="1984" w:type="dxa"/>
            <w:gridSpan w:val="2"/>
            <w:noWrap/>
            <w:hideMark/>
          </w:tcPr>
          <w:p w:rsidR="005C272E" w:rsidRPr="00B37132" w:rsidRDefault="005C272E" w:rsidP="005C272E">
            <w:pPr>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OIM</w:t>
            </w:r>
          </w:p>
        </w:tc>
      </w:tr>
    </w:tbl>
    <w:p w:rsidR="00540CE3" w:rsidRDefault="00540CE3" w:rsidP="00540CE3">
      <w:pPr>
        <w:jc w:val="both"/>
        <w:rPr>
          <w:rFonts w:ascii="Calibri" w:eastAsia="Times New Roman" w:hAnsi="Calibri" w:cs="Times New Roman"/>
          <w:color w:val="000000"/>
          <w:sz w:val="18"/>
          <w:szCs w:val="18"/>
          <w:lang w:eastAsia="en-GB"/>
        </w:rPr>
      </w:pPr>
      <w:r w:rsidRPr="008A318C">
        <w:rPr>
          <w:rFonts w:ascii="Calibri" w:eastAsia="Times New Roman" w:hAnsi="Calibri" w:cs="Times New Roman"/>
          <w:color w:val="000000"/>
          <w:sz w:val="18"/>
          <w:szCs w:val="18"/>
          <w:lang w:eastAsia="en-GB"/>
        </w:rPr>
        <w:t xml:space="preserve">Negative binomial models: (1) to (4) pooled, (5) random effects. </w:t>
      </w:r>
      <w:r>
        <w:rPr>
          <w:rFonts w:ascii="Calibri" w:eastAsia="Times New Roman" w:hAnsi="Calibri" w:cs="Times New Roman"/>
          <w:color w:val="000000"/>
          <w:sz w:val="18"/>
          <w:szCs w:val="18"/>
          <w:lang w:eastAsia="en-GB"/>
        </w:rPr>
        <w:t xml:space="preserve"> </w:t>
      </w:r>
      <w:r w:rsidRPr="008A318C">
        <w:rPr>
          <w:rFonts w:ascii="Calibri" w:eastAsia="Times New Roman" w:hAnsi="Calibri" w:cs="Times New Roman"/>
          <w:color w:val="000000"/>
          <w:sz w:val="18"/>
          <w:szCs w:val="18"/>
          <w:lang w:eastAsia="en-GB"/>
        </w:rPr>
        <w:t>Dependent variable</w:t>
      </w:r>
      <w:r>
        <w:rPr>
          <w:rFonts w:ascii="Calibri" w:eastAsia="Times New Roman" w:hAnsi="Calibri" w:cs="Times New Roman"/>
          <w:color w:val="000000"/>
          <w:sz w:val="18"/>
          <w:szCs w:val="18"/>
          <w:lang w:eastAsia="en-GB"/>
        </w:rPr>
        <w:t xml:space="preserve">: </w:t>
      </w:r>
      <w:r w:rsidRPr="008A318C">
        <w:rPr>
          <w:sz w:val="18"/>
          <w:szCs w:val="18"/>
        </w:rPr>
        <w:t xml:space="preserve">total days of delay experienced by all delayed patients during a year. </w:t>
      </w:r>
      <w:r>
        <w:rPr>
          <w:sz w:val="18"/>
          <w:szCs w:val="18"/>
        </w:rPr>
        <w:t xml:space="preserve"> Coefficients are proportionate change in days of delay from one unit increase in explanatory variable.  Standardised r</w:t>
      </w:r>
      <w:r w:rsidRPr="008A318C">
        <w:rPr>
          <w:sz w:val="18"/>
          <w:szCs w:val="18"/>
        </w:rPr>
        <w:t xml:space="preserve">eadmissions are lagged by two years. </w:t>
      </w:r>
      <w:r>
        <w:rPr>
          <w:sz w:val="18"/>
          <w:szCs w:val="18"/>
        </w:rPr>
        <w:t>E</w:t>
      </w:r>
      <w:r w:rsidRPr="008A318C">
        <w:rPr>
          <w:sz w:val="18"/>
          <w:szCs w:val="18"/>
        </w:rPr>
        <w:t xml:space="preserve">xposure term has a coefficient </w:t>
      </w:r>
      <w:r w:rsidRPr="00E4235A">
        <w:rPr>
          <w:sz w:val="18"/>
          <w:szCs w:val="18"/>
        </w:rPr>
        <w:t>of 1.</w:t>
      </w:r>
      <w:r w:rsidRPr="00E4235A">
        <w:rPr>
          <w:rFonts w:ascii="Calibri" w:eastAsia="Times New Roman" w:hAnsi="Calibri" w:cs="Times New Roman"/>
          <w:color w:val="000000"/>
          <w:sz w:val="18"/>
          <w:szCs w:val="18"/>
          <w:lang w:eastAsia="en-GB"/>
        </w:rPr>
        <w:t xml:space="preserve"> </w:t>
      </w:r>
      <w:r>
        <w:rPr>
          <w:rFonts w:ascii="Calibri" w:eastAsia="Times New Roman" w:hAnsi="Calibri" w:cs="Times New Roman"/>
          <w:color w:val="000000"/>
          <w:sz w:val="18"/>
          <w:szCs w:val="18"/>
          <w:lang w:eastAsia="en-GB"/>
        </w:rPr>
        <w:t xml:space="preserve"> </w:t>
      </w:r>
      <w:r w:rsidRPr="00E4235A">
        <w:rPr>
          <w:rFonts w:ascii="Calibri" w:eastAsia="Times New Roman" w:hAnsi="Calibri" w:cs="Times New Roman"/>
          <w:color w:val="000000"/>
          <w:sz w:val="18"/>
          <w:szCs w:val="18"/>
          <w:lang w:eastAsia="en-GB"/>
        </w:rPr>
        <w:t xml:space="preserve">Ln alpha: </w:t>
      </w:r>
      <w:r>
        <w:rPr>
          <w:rFonts w:ascii="Calibri" w:eastAsia="Times New Roman" w:hAnsi="Calibri" w:cs="Times New Roman"/>
          <w:color w:val="000000"/>
          <w:sz w:val="18"/>
          <w:szCs w:val="18"/>
          <w:lang w:eastAsia="en-GB"/>
        </w:rPr>
        <w:t xml:space="preserve">log of overdispersion. </w:t>
      </w:r>
      <w:r w:rsidRPr="00E4235A">
        <w:rPr>
          <w:rFonts w:ascii="Calibri" w:eastAsia="Times New Roman" w:hAnsi="Calibri" w:cs="Times New Roman"/>
          <w:color w:val="000000"/>
          <w:sz w:val="18"/>
          <w:szCs w:val="18"/>
          <w:lang w:eastAsia="en-GB"/>
        </w:rPr>
        <w:t>Ln r and Ln s</w:t>
      </w:r>
      <w:r>
        <w:rPr>
          <w:rFonts w:ascii="Calibri" w:eastAsia="Times New Roman" w:hAnsi="Calibri" w:cs="Times New Roman"/>
          <w:color w:val="000000"/>
          <w:sz w:val="18"/>
          <w:szCs w:val="18"/>
          <w:lang w:eastAsia="en-GB"/>
        </w:rPr>
        <w:t xml:space="preserve">: </w:t>
      </w:r>
      <w:r w:rsidRPr="00E4235A">
        <w:rPr>
          <w:rFonts w:ascii="Calibri" w:eastAsia="Times New Roman" w:hAnsi="Calibri" w:cs="Times New Roman"/>
          <w:color w:val="000000"/>
          <w:sz w:val="18"/>
          <w:szCs w:val="18"/>
          <w:lang w:eastAsia="en-GB"/>
        </w:rPr>
        <w:t>shape parameters of the beta (r, s) distribution of random effects.</w:t>
      </w:r>
      <w:r w:rsidRPr="008A318C">
        <w:rPr>
          <w:rFonts w:ascii="Calibri" w:eastAsia="Times New Roman" w:hAnsi="Calibri" w:cs="Times New Roman"/>
          <w:color w:val="000000"/>
          <w:sz w:val="18"/>
          <w:szCs w:val="18"/>
          <w:lang w:eastAsia="en-GB"/>
        </w:rPr>
        <w:t xml:space="preserve"> AIC: Akaike Information Criterion. BIC: Bayesian Information Criterion. s.e.: standard errors. Cluster: </w:t>
      </w:r>
      <w:r w:rsidR="001625DC">
        <w:rPr>
          <w:rFonts w:ascii="Calibri" w:eastAsia="Times New Roman" w:hAnsi="Calibri" w:cs="Times New Roman"/>
          <w:color w:val="000000"/>
          <w:sz w:val="18"/>
          <w:szCs w:val="18"/>
          <w:lang w:eastAsia="en-GB"/>
        </w:rPr>
        <w:t>robust standard errors clustered at Trust level</w:t>
      </w:r>
      <w:r w:rsidRPr="008A318C">
        <w:rPr>
          <w:rFonts w:ascii="Calibri" w:eastAsia="Times New Roman" w:hAnsi="Calibri" w:cs="Times New Roman"/>
          <w:color w:val="000000"/>
          <w:sz w:val="18"/>
          <w:szCs w:val="18"/>
          <w:lang w:eastAsia="en-GB"/>
        </w:rPr>
        <w:t>. OIM: observed information matrix standard errors.  Observations: 614 = 208, 203 and 203 for 2011-12, 2012-13 and 2013-14</w:t>
      </w:r>
      <w:r>
        <w:rPr>
          <w:rFonts w:ascii="Calibri" w:eastAsia="Times New Roman" w:hAnsi="Calibri" w:cs="Times New Roman"/>
          <w:color w:val="000000"/>
          <w:sz w:val="18"/>
          <w:szCs w:val="18"/>
          <w:lang w:eastAsia="en-GB"/>
        </w:rPr>
        <w:t>.</w:t>
      </w:r>
      <w:r w:rsidRPr="008A318C">
        <w:rPr>
          <w:rFonts w:ascii="Calibri" w:eastAsia="Times New Roman" w:hAnsi="Calibri" w:cs="Times New Roman"/>
          <w:color w:val="000000"/>
          <w:sz w:val="18"/>
          <w:szCs w:val="18"/>
          <w:lang w:eastAsia="en-GB"/>
        </w:rPr>
        <w:t xml:space="preserve"> *p &lt; 0.1, **p &lt; 0.05, ***p &lt; 0.01</w:t>
      </w:r>
    </w:p>
    <w:p w:rsidR="00540CE3" w:rsidRPr="008A318C" w:rsidRDefault="00540CE3" w:rsidP="00540CE3">
      <w:pPr>
        <w:jc w:val="both"/>
        <w:rPr>
          <w:rFonts w:ascii="Calibri" w:eastAsia="Times New Roman" w:hAnsi="Calibri" w:cs="Times New Roman"/>
          <w:color w:val="000000"/>
          <w:sz w:val="18"/>
          <w:szCs w:val="18"/>
          <w:lang w:eastAsia="en-GB"/>
        </w:rPr>
        <w:sectPr w:rsidR="00540CE3" w:rsidRPr="008A318C" w:rsidSect="00BA2913">
          <w:pgSz w:w="16838" w:h="11906" w:orient="landscape"/>
          <w:pgMar w:top="567" w:right="1440" w:bottom="1134" w:left="1440" w:header="708" w:footer="708" w:gutter="0"/>
          <w:cols w:space="708"/>
          <w:docGrid w:linePitch="360"/>
        </w:sectPr>
      </w:pPr>
    </w:p>
    <w:p w:rsidR="00540CE3" w:rsidRPr="005E6343" w:rsidRDefault="00540CE3" w:rsidP="00540CE3">
      <w:pPr>
        <w:pStyle w:val="Heading2"/>
        <w:rPr>
          <w:color w:val="365F91" w:themeColor="accent1" w:themeShade="BF"/>
        </w:rPr>
      </w:pPr>
      <w:r w:rsidRPr="005E6343">
        <w:rPr>
          <w:color w:val="365F91" w:themeColor="accent1" w:themeShade="BF"/>
        </w:rPr>
        <w:lastRenderedPageBreak/>
        <w:t xml:space="preserve">Table </w:t>
      </w:r>
      <w:r w:rsidR="000C6FA8" w:rsidRPr="005E6343">
        <w:rPr>
          <w:color w:val="365F91" w:themeColor="accent1" w:themeShade="BF"/>
        </w:rPr>
        <w:t>4</w:t>
      </w:r>
      <w:r w:rsidRPr="005E6343">
        <w:rPr>
          <w:color w:val="365F91" w:themeColor="accent1" w:themeShade="BF"/>
        </w:rPr>
        <w:t>: Days of Delay Attributed to NHS</w:t>
      </w:r>
    </w:p>
    <w:tbl>
      <w:tblPr>
        <w:tblStyle w:val="TableGrid"/>
        <w:tblW w:w="12015" w:type="dxa"/>
        <w:tblLook w:val="04A0" w:firstRow="1" w:lastRow="0" w:firstColumn="1" w:lastColumn="0" w:noHBand="0" w:noVBand="1"/>
      </w:tblPr>
      <w:tblGrid>
        <w:gridCol w:w="2518"/>
        <w:gridCol w:w="987"/>
        <w:gridCol w:w="826"/>
        <w:gridCol w:w="1041"/>
        <w:gridCol w:w="973"/>
        <w:gridCol w:w="987"/>
        <w:gridCol w:w="782"/>
        <w:gridCol w:w="1077"/>
        <w:gridCol w:w="920"/>
        <w:gridCol w:w="1054"/>
        <w:gridCol w:w="850"/>
      </w:tblGrid>
      <w:tr w:rsidR="00540CE3" w:rsidRPr="002C2E8C" w:rsidTr="00540CE3">
        <w:trPr>
          <w:trHeight w:val="296"/>
        </w:trPr>
        <w:tc>
          <w:tcPr>
            <w:tcW w:w="2518"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1813" w:type="dxa"/>
            <w:gridSpan w:val="2"/>
            <w:noWrap/>
            <w:hideMark/>
          </w:tcPr>
          <w:p w:rsidR="00540CE3" w:rsidRDefault="00540CE3" w:rsidP="00540CE3">
            <w:pPr>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Model (1):</w:t>
            </w:r>
          </w:p>
          <w:p w:rsidR="00540CE3" w:rsidRPr="00B37132" w:rsidRDefault="00540CE3" w:rsidP="00540CE3">
            <w:pPr>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Hospital type only</w:t>
            </w:r>
          </w:p>
        </w:tc>
        <w:tc>
          <w:tcPr>
            <w:tcW w:w="2014" w:type="dxa"/>
            <w:gridSpan w:val="2"/>
            <w:noWrap/>
            <w:hideMark/>
          </w:tcPr>
          <w:p w:rsidR="00540CE3" w:rsidRDefault="00540CE3" w:rsidP="00540CE3">
            <w:pPr>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Model (2):</w:t>
            </w:r>
          </w:p>
          <w:p w:rsidR="00540CE3" w:rsidRPr="00B37132" w:rsidRDefault="00540CE3" w:rsidP="00540CE3">
            <w:pPr>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(1) plus exposure and size categories</w:t>
            </w:r>
          </w:p>
        </w:tc>
        <w:tc>
          <w:tcPr>
            <w:tcW w:w="1769" w:type="dxa"/>
            <w:gridSpan w:val="2"/>
            <w:noWrap/>
            <w:hideMark/>
          </w:tcPr>
          <w:p w:rsidR="00540CE3" w:rsidRDefault="00540CE3" w:rsidP="00540CE3">
            <w:pPr>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Model (3):</w:t>
            </w:r>
          </w:p>
          <w:p w:rsidR="00540CE3" w:rsidRPr="00B37132" w:rsidRDefault="00540CE3" w:rsidP="00540CE3">
            <w:pPr>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(2) plus care home beds, prices</w:t>
            </w:r>
          </w:p>
        </w:tc>
        <w:tc>
          <w:tcPr>
            <w:tcW w:w="1997" w:type="dxa"/>
            <w:gridSpan w:val="2"/>
            <w:noWrap/>
            <w:hideMark/>
          </w:tcPr>
          <w:p w:rsidR="00540CE3" w:rsidRDefault="00540CE3" w:rsidP="00540CE3">
            <w:pPr>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Model (4):</w:t>
            </w:r>
          </w:p>
          <w:p w:rsidR="00540CE3" w:rsidRPr="00B37132" w:rsidRDefault="00540CE3" w:rsidP="00540CE3">
            <w:pPr>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(3) plus covariates</w:t>
            </w:r>
          </w:p>
        </w:tc>
        <w:tc>
          <w:tcPr>
            <w:tcW w:w="1904" w:type="dxa"/>
            <w:gridSpan w:val="2"/>
            <w:noWrap/>
            <w:hideMark/>
          </w:tcPr>
          <w:p w:rsidR="00540CE3" w:rsidRDefault="00540CE3" w:rsidP="00540CE3">
            <w:pPr>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Model (5):</w:t>
            </w:r>
          </w:p>
          <w:p w:rsidR="00540CE3" w:rsidRPr="00B37132" w:rsidRDefault="00540CE3" w:rsidP="00540CE3">
            <w:pPr>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(4) with random hospital effects</w:t>
            </w:r>
          </w:p>
        </w:tc>
      </w:tr>
      <w:tr w:rsidR="00540CE3" w:rsidRPr="002C2E8C" w:rsidTr="00540CE3">
        <w:trPr>
          <w:trHeight w:val="237"/>
        </w:trPr>
        <w:tc>
          <w:tcPr>
            <w:tcW w:w="2518"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6517E7">
              <w:rPr>
                <w:rFonts w:ascii="Calibri" w:eastAsia="Times New Roman" w:hAnsi="Calibri" w:cs="Times New Roman"/>
                <w:color w:val="000000"/>
                <w:sz w:val="18"/>
                <w:szCs w:val="18"/>
                <w:lang w:eastAsia="en-GB"/>
              </w:rPr>
              <w:t>Coef</w:t>
            </w:r>
          </w:p>
        </w:tc>
        <w:tc>
          <w:tcPr>
            <w:tcW w:w="826"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155929">
              <w:rPr>
                <w:rFonts w:ascii="Calibri" w:eastAsia="Times New Roman" w:hAnsi="Calibri" w:cs="Times New Roman"/>
                <w:color w:val="000000"/>
                <w:sz w:val="18"/>
                <w:szCs w:val="18"/>
                <w:lang w:eastAsia="en-GB"/>
              </w:rPr>
              <w:t>p-value</w:t>
            </w:r>
          </w:p>
        </w:tc>
        <w:tc>
          <w:tcPr>
            <w:tcW w:w="1041" w:type="dxa"/>
            <w:noWrap/>
            <w:hideMark/>
          </w:tcPr>
          <w:p w:rsidR="00540CE3" w:rsidRPr="002C2E8C" w:rsidRDefault="00540CE3" w:rsidP="00540CE3">
            <w:pP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C</w:t>
            </w:r>
            <w:r w:rsidRPr="006517E7">
              <w:rPr>
                <w:rFonts w:ascii="Calibri" w:eastAsia="Times New Roman" w:hAnsi="Calibri" w:cs="Times New Roman"/>
                <w:color w:val="000000"/>
                <w:sz w:val="18"/>
                <w:szCs w:val="18"/>
                <w:lang w:eastAsia="en-GB"/>
              </w:rPr>
              <w:t>oef</w:t>
            </w:r>
          </w:p>
        </w:tc>
        <w:tc>
          <w:tcPr>
            <w:tcW w:w="973"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155929">
              <w:rPr>
                <w:rFonts w:ascii="Calibri" w:eastAsia="Times New Roman" w:hAnsi="Calibri" w:cs="Times New Roman"/>
                <w:color w:val="000000"/>
                <w:sz w:val="18"/>
                <w:szCs w:val="18"/>
                <w:lang w:eastAsia="en-GB"/>
              </w:rPr>
              <w:t>p-value</w:t>
            </w:r>
            <w:r w:rsidRPr="006517E7" w:rsidDel="00C70D1C">
              <w:rPr>
                <w:rFonts w:ascii="Calibri" w:eastAsia="Times New Roman" w:hAnsi="Calibri" w:cs="Times New Roman"/>
                <w:color w:val="000000"/>
                <w:sz w:val="18"/>
                <w:szCs w:val="18"/>
                <w:lang w:eastAsia="en-GB"/>
              </w:rPr>
              <w:t xml:space="preserve"> </w:t>
            </w: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C</w:t>
            </w:r>
            <w:r w:rsidRPr="006517E7">
              <w:rPr>
                <w:rFonts w:ascii="Calibri" w:eastAsia="Times New Roman" w:hAnsi="Calibri" w:cs="Times New Roman"/>
                <w:color w:val="000000"/>
                <w:sz w:val="18"/>
                <w:szCs w:val="18"/>
                <w:lang w:eastAsia="en-GB"/>
              </w:rPr>
              <w:t>oef</w:t>
            </w:r>
          </w:p>
        </w:tc>
        <w:tc>
          <w:tcPr>
            <w:tcW w:w="782"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155929">
              <w:rPr>
                <w:rFonts w:ascii="Calibri" w:eastAsia="Times New Roman" w:hAnsi="Calibri" w:cs="Times New Roman"/>
                <w:color w:val="000000"/>
                <w:sz w:val="18"/>
                <w:szCs w:val="18"/>
                <w:lang w:eastAsia="en-GB"/>
              </w:rPr>
              <w:t>p-value</w:t>
            </w:r>
            <w:r w:rsidRPr="006517E7" w:rsidDel="00C70D1C">
              <w:rPr>
                <w:rFonts w:ascii="Calibri" w:eastAsia="Times New Roman" w:hAnsi="Calibri" w:cs="Times New Roman"/>
                <w:color w:val="000000"/>
                <w:sz w:val="18"/>
                <w:szCs w:val="18"/>
                <w:lang w:eastAsia="en-GB"/>
              </w:rPr>
              <w:t xml:space="preserve"> </w:t>
            </w:r>
          </w:p>
        </w:tc>
        <w:tc>
          <w:tcPr>
            <w:tcW w:w="1077"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6517E7">
              <w:rPr>
                <w:rFonts w:ascii="Calibri" w:eastAsia="Times New Roman" w:hAnsi="Calibri" w:cs="Times New Roman"/>
                <w:color w:val="000000"/>
                <w:sz w:val="18"/>
                <w:szCs w:val="18"/>
                <w:lang w:eastAsia="en-GB"/>
              </w:rPr>
              <w:t>Coef</w:t>
            </w:r>
          </w:p>
        </w:tc>
        <w:tc>
          <w:tcPr>
            <w:tcW w:w="920"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155929">
              <w:rPr>
                <w:rFonts w:ascii="Calibri" w:eastAsia="Times New Roman" w:hAnsi="Calibri" w:cs="Times New Roman"/>
                <w:color w:val="000000"/>
                <w:sz w:val="18"/>
                <w:szCs w:val="18"/>
                <w:lang w:eastAsia="en-GB"/>
              </w:rPr>
              <w:t>p-value</w:t>
            </w:r>
          </w:p>
        </w:tc>
        <w:tc>
          <w:tcPr>
            <w:tcW w:w="1054" w:type="dxa"/>
            <w:noWrap/>
            <w:hideMark/>
          </w:tcPr>
          <w:p w:rsidR="00540CE3" w:rsidRPr="002C2E8C" w:rsidRDefault="00540CE3" w:rsidP="00540CE3">
            <w:pP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C</w:t>
            </w:r>
            <w:r w:rsidRPr="006517E7">
              <w:rPr>
                <w:rFonts w:ascii="Calibri" w:eastAsia="Times New Roman" w:hAnsi="Calibri" w:cs="Times New Roman"/>
                <w:color w:val="000000"/>
                <w:sz w:val="18"/>
                <w:szCs w:val="18"/>
                <w:lang w:eastAsia="en-GB"/>
              </w:rPr>
              <w:t>oef</w:t>
            </w:r>
          </w:p>
        </w:tc>
        <w:tc>
          <w:tcPr>
            <w:tcW w:w="850"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155929">
              <w:rPr>
                <w:rFonts w:ascii="Calibri" w:eastAsia="Times New Roman" w:hAnsi="Calibri" w:cs="Times New Roman"/>
                <w:color w:val="000000"/>
                <w:sz w:val="18"/>
                <w:szCs w:val="18"/>
                <w:lang w:eastAsia="en-GB"/>
              </w:rPr>
              <w:t>p-value</w:t>
            </w:r>
            <w:r w:rsidRPr="006517E7" w:rsidDel="00C70D1C">
              <w:rPr>
                <w:rFonts w:ascii="Calibri" w:eastAsia="Times New Roman" w:hAnsi="Calibri" w:cs="Times New Roman"/>
                <w:color w:val="000000"/>
                <w:sz w:val="18"/>
                <w:szCs w:val="18"/>
                <w:lang w:eastAsia="en-GB"/>
              </w:rPr>
              <w:t xml:space="preserve"> </w:t>
            </w:r>
          </w:p>
        </w:tc>
      </w:tr>
      <w:tr w:rsidR="00540CE3" w:rsidRPr="002C2E8C" w:rsidTr="00540CE3">
        <w:trPr>
          <w:trHeight w:val="43"/>
        </w:trPr>
        <w:tc>
          <w:tcPr>
            <w:tcW w:w="2518" w:type="dxa"/>
            <w:noWrap/>
          </w:tcPr>
          <w:p w:rsidR="00540CE3" w:rsidRPr="00A612E9" w:rsidRDefault="00540CE3" w:rsidP="00540CE3">
            <w:pPr>
              <w:rPr>
                <w:rFonts w:ascii="Calibri" w:eastAsia="Times New Roman" w:hAnsi="Calibri" w:cs="Times New Roman"/>
                <w:color w:val="000000"/>
                <w:sz w:val="18"/>
                <w:szCs w:val="18"/>
                <w:lang w:eastAsia="en-GB"/>
              </w:rPr>
            </w:pPr>
            <w:r w:rsidRPr="00A612E9">
              <w:rPr>
                <w:rFonts w:ascii="Calibri" w:eastAsia="Times New Roman" w:hAnsi="Calibri" w:cs="Times New Roman"/>
                <w:color w:val="000000"/>
                <w:sz w:val="18"/>
                <w:szCs w:val="18"/>
                <w:lang w:eastAsia="en-GB"/>
              </w:rPr>
              <w:t>Acute Specialist Trust</w:t>
            </w: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-2.429***</w:t>
            </w:r>
          </w:p>
        </w:tc>
        <w:tc>
          <w:tcPr>
            <w:tcW w:w="826"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(0.000)</w:t>
            </w:r>
          </w:p>
        </w:tc>
        <w:tc>
          <w:tcPr>
            <w:tcW w:w="1041"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-0.717</w:t>
            </w:r>
          </w:p>
        </w:tc>
        <w:tc>
          <w:tcPr>
            <w:tcW w:w="973"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(0.104)</w:t>
            </w: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-0.503</w:t>
            </w:r>
          </w:p>
        </w:tc>
        <w:tc>
          <w:tcPr>
            <w:tcW w:w="782"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(0.364)</w:t>
            </w:r>
          </w:p>
        </w:tc>
        <w:tc>
          <w:tcPr>
            <w:tcW w:w="1077"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-0.723</w:t>
            </w:r>
          </w:p>
        </w:tc>
        <w:tc>
          <w:tcPr>
            <w:tcW w:w="920"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(0.241)</w:t>
            </w:r>
          </w:p>
        </w:tc>
        <w:tc>
          <w:tcPr>
            <w:tcW w:w="1054"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-0.172</w:t>
            </w:r>
          </w:p>
        </w:tc>
        <w:tc>
          <w:tcPr>
            <w:tcW w:w="850"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(0.599)</w:t>
            </w:r>
          </w:p>
        </w:tc>
      </w:tr>
      <w:tr w:rsidR="00540CE3" w:rsidRPr="002C2E8C" w:rsidTr="00540CE3">
        <w:trPr>
          <w:trHeight w:val="96"/>
        </w:trPr>
        <w:tc>
          <w:tcPr>
            <w:tcW w:w="2518" w:type="dxa"/>
            <w:noWrap/>
            <w:hideMark/>
          </w:tcPr>
          <w:p w:rsidR="00540CE3" w:rsidRPr="00A612E9" w:rsidRDefault="00540CE3" w:rsidP="00540CE3">
            <w:pPr>
              <w:rPr>
                <w:rFonts w:ascii="Calibri" w:eastAsia="Times New Roman" w:hAnsi="Calibri" w:cs="Times New Roman"/>
                <w:color w:val="000000"/>
                <w:sz w:val="18"/>
                <w:szCs w:val="18"/>
                <w:lang w:eastAsia="en-GB"/>
              </w:rPr>
            </w:pPr>
            <w:r w:rsidRPr="00A612E9">
              <w:rPr>
                <w:rFonts w:ascii="Calibri" w:eastAsia="Times New Roman" w:hAnsi="Calibri" w:cs="Times New Roman"/>
                <w:color w:val="000000"/>
                <w:sz w:val="18"/>
                <w:szCs w:val="18"/>
                <w:lang w:eastAsia="en-GB"/>
              </w:rPr>
              <w:t>Acute Teaching Trust</w:t>
            </w: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0.491***</w:t>
            </w:r>
          </w:p>
        </w:tc>
        <w:tc>
          <w:tcPr>
            <w:tcW w:w="826"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(0.003)</w:t>
            </w:r>
          </w:p>
        </w:tc>
        <w:tc>
          <w:tcPr>
            <w:tcW w:w="1041"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0.0524</w:t>
            </w:r>
          </w:p>
        </w:tc>
        <w:tc>
          <w:tcPr>
            <w:tcW w:w="973"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(0.784)</w:t>
            </w: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0.106</w:t>
            </w:r>
          </w:p>
        </w:tc>
        <w:tc>
          <w:tcPr>
            <w:tcW w:w="782"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(0.520)</w:t>
            </w:r>
          </w:p>
        </w:tc>
        <w:tc>
          <w:tcPr>
            <w:tcW w:w="1077"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0.0694</w:t>
            </w:r>
          </w:p>
        </w:tc>
        <w:tc>
          <w:tcPr>
            <w:tcW w:w="920"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(0.689)</w:t>
            </w:r>
          </w:p>
        </w:tc>
        <w:tc>
          <w:tcPr>
            <w:tcW w:w="1054"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-0.0250</w:t>
            </w:r>
          </w:p>
        </w:tc>
        <w:tc>
          <w:tcPr>
            <w:tcW w:w="850"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(0.874)</w:t>
            </w:r>
          </w:p>
        </w:tc>
      </w:tr>
      <w:tr w:rsidR="00540CE3" w:rsidRPr="002C2E8C" w:rsidTr="00540CE3">
        <w:trPr>
          <w:trHeight w:val="141"/>
        </w:trPr>
        <w:tc>
          <w:tcPr>
            <w:tcW w:w="2518" w:type="dxa"/>
            <w:noWrap/>
            <w:hideMark/>
          </w:tcPr>
          <w:p w:rsidR="00540CE3" w:rsidRPr="00A612E9" w:rsidRDefault="00540CE3" w:rsidP="00540CE3">
            <w:pPr>
              <w:rPr>
                <w:rFonts w:ascii="Calibri" w:eastAsia="Times New Roman" w:hAnsi="Calibri" w:cs="Times New Roman"/>
                <w:color w:val="000000"/>
                <w:sz w:val="18"/>
                <w:szCs w:val="18"/>
                <w:lang w:eastAsia="en-GB"/>
              </w:rPr>
            </w:pPr>
            <w:r w:rsidRPr="00A612E9">
              <w:rPr>
                <w:rFonts w:ascii="Calibri" w:eastAsia="Times New Roman" w:hAnsi="Calibri" w:cs="Times New Roman"/>
                <w:color w:val="000000"/>
                <w:sz w:val="18"/>
                <w:szCs w:val="18"/>
                <w:lang w:eastAsia="en-GB"/>
              </w:rPr>
              <w:t>Mental Health Trust</w:t>
            </w: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-0.433***</w:t>
            </w:r>
          </w:p>
        </w:tc>
        <w:tc>
          <w:tcPr>
            <w:tcW w:w="826"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(0.001)</w:t>
            </w:r>
          </w:p>
        </w:tc>
        <w:tc>
          <w:tcPr>
            <w:tcW w:w="1041"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-0.0493</w:t>
            </w:r>
          </w:p>
        </w:tc>
        <w:tc>
          <w:tcPr>
            <w:tcW w:w="973"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(0.626)</w:t>
            </w: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0.0868</w:t>
            </w:r>
          </w:p>
        </w:tc>
        <w:tc>
          <w:tcPr>
            <w:tcW w:w="782"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(0.432)</w:t>
            </w:r>
          </w:p>
        </w:tc>
        <w:tc>
          <w:tcPr>
            <w:tcW w:w="1077"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-0.326</w:t>
            </w:r>
          </w:p>
        </w:tc>
        <w:tc>
          <w:tcPr>
            <w:tcW w:w="920"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(0.174)</w:t>
            </w:r>
          </w:p>
        </w:tc>
        <w:tc>
          <w:tcPr>
            <w:tcW w:w="1054"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-0.200</w:t>
            </w:r>
          </w:p>
        </w:tc>
        <w:tc>
          <w:tcPr>
            <w:tcW w:w="850"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(0.312)</w:t>
            </w:r>
          </w:p>
        </w:tc>
      </w:tr>
      <w:tr w:rsidR="00540CE3" w:rsidRPr="002C2E8C" w:rsidTr="00540CE3">
        <w:trPr>
          <w:trHeight w:val="45"/>
        </w:trPr>
        <w:tc>
          <w:tcPr>
            <w:tcW w:w="2518" w:type="dxa"/>
            <w:noWrap/>
            <w:hideMark/>
          </w:tcPr>
          <w:p w:rsidR="00540CE3" w:rsidRPr="001A7C23" w:rsidRDefault="00540CE3" w:rsidP="00540CE3">
            <w:pPr>
              <w:rPr>
                <w:rFonts w:ascii="Calibri" w:eastAsia="Times New Roman" w:hAnsi="Calibri" w:cs="Times New Roman"/>
                <w:color w:val="000000"/>
                <w:sz w:val="18"/>
                <w:szCs w:val="18"/>
                <w:lang w:eastAsia="en-GB"/>
              </w:rPr>
            </w:pPr>
            <w:r w:rsidRPr="00A612E9">
              <w:rPr>
                <w:rFonts w:ascii="Calibri" w:eastAsia="Times New Roman" w:hAnsi="Calibri" w:cs="Times New Roman"/>
                <w:color w:val="000000"/>
                <w:sz w:val="18"/>
                <w:szCs w:val="18"/>
                <w:lang w:eastAsia="en-GB"/>
              </w:rPr>
              <w:t>Foundation Trust</w:t>
            </w: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-0.171</w:t>
            </w:r>
          </w:p>
        </w:tc>
        <w:tc>
          <w:tcPr>
            <w:tcW w:w="826"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(0.125)</w:t>
            </w:r>
          </w:p>
        </w:tc>
        <w:tc>
          <w:tcPr>
            <w:tcW w:w="1041"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-0.171*</w:t>
            </w:r>
          </w:p>
        </w:tc>
        <w:tc>
          <w:tcPr>
            <w:tcW w:w="973"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(0.064)</w:t>
            </w: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-0.229**</w:t>
            </w:r>
          </w:p>
        </w:tc>
        <w:tc>
          <w:tcPr>
            <w:tcW w:w="782"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(0.013)</w:t>
            </w:r>
          </w:p>
        </w:tc>
        <w:tc>
          <w:tcPr>
            <w:tcW w:w="1077"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-0.190**</w:t>
            </w:r>
          </w:p>
        </w:tc>
        <w:tc>
          <w:tcPr>
            <w:tcW w:w="920"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(0.040)</w:t>
            </w:r>
          </w:p>
        </w:tc>
        <w:tc>
          <w:tcPr>
            <w:tcW w:w="1054"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-0.393***</w:t>
            </w:r>
          </w:p>
        </w:tc>
        <w:tc>
          <w:tcPr>
            <w:tcW w:w="850"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(0.000)</w:t>
            </w:r>
          </w:p>
        </w:tc>
      </w:tr>
      <w:tr w:rsidR="00540CE3" w:rsidRPr="002C2E8C" w:rsidTr="00540CE3">
        <w:trPr>
          <w:trHeight w:val="106"/>
        </w:trPr>
        <w:tc>
          <w:tcPr>
            <w:tcW w:w="2518" w:type="dxa"/>
            <w:noWrap/>
            <w:hideMark/>
          </w:tcPr>
          <w:p w:rsidR="00540CE3" w:rsidRPr="001A7C23" w:rsidRDefault="00540CE3" w:rsidP="00540CE3">
            <w:pPr>
              <w:rPr>
                <w:rFonts w:ascii="Calibri" w:eastAsia="Times New Roman" w:hAnsi="Calibri" w:cs="Times New Roman"/>
                <w:color w:val="000000"/>
                <w:sz w:val="18"/>
                <w:szCs w:val="18"/>
                <w:lang w:eastAsia="en-GB"/>
              </w:rPr>
            </w:pPr>
            <w:r w:rsidRPr="001A7C23">
              <w:rPr>
                <w:rFonts w:ascii="Calibri" w:eastAsia="Times New Roman" w:hAnsi="Calibri" w:cs="Times New Roman"/>
                <w:color w:val="000000"/>
                <w:sz w:val="18"/>
                <w:szCs w:val="18"/>
                <w:lang w:eastAsia="en-GB"/>
              </w:rPr>
              <w:t>2012-13</w:t>
            </w: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0.0967***</w:t>
            </w:r>
          </w:p>
        </w:tc>
        <w:tc>
          <w:tcPr>
            <w:tcW w:w="826"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(0.004)</w:t>
            </w:r>
          </w:p>
        </w:tc>
        <w:tc>
          <w:tcPr>
            <w:tcW w:w="1041"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0.109***</w:t>
            </w:r>
          </w:p>
        </w:tc>
        <w:tc>
          <w:tcPr>
            <w:tcW w:w="973"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(0.002)</w:t>
            </w: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0.0984***</w:t>
            </w:r>
          </w:p>
        </w:tc>
        <w:tc>
          <w:tcPr>
            <w:tcW w:w="782"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(0.007)</w:t>
            </w:r>
          </w:p>
        </w:tc>
        <w:tc>
          <w:tcPr>
            <w:tcW w:w="1077"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0.0856**</w:t>
            </w:r>
          </w:p>
        </w:tc>
        <w:tc>
          <w:tcPr>
            <w:tcW w:w="920"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(0.021)</w:t>
            </w:r>
          </w:p>
        </w:tc>
        <w:tc>
          <w:tcPr>
            <w:tcW w:w="1054"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0.0535</w:t>
            </w:r>
          </w:p>
        </w:tc>
        <w:tc>
          <w:tcPr>
            <w:tcW w:w="850"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(0.169)</w:t>
            </w:r>
          </w:p>
        </w:tc>
      </w:tr>
      <w:tr w:rsidR="00540CE3" w:rsidRPr="002C2E8C" w:rsidTr="00540CE3">
        <w:trPr>
          <w:trHeight w:val="43"/>
        </w:trPr>
        <w:tc>
          <w:tcPr>
            <w:tcW w:w="2518" w:type="dxa"/>
            <w:noWrap/>
            <w:hideMark/>
          </w:tcPr>
          <w:p w:rsidR="00540CE3" w:rsidRPr="001A7C23" w:rsidRDefault="00540CE3" w:rsidP="00540CE3">
            <w:pPr>
              <w:rPr>
                <w:rFonts w:ascii="Calibri" w:eastAsia="Times New Roman" w:hAnsi="Calibri" w:cs="Times New Roman"/>
                <w:color w:val="000000"/>
                <w:sz w:val="18"/>
                <w:szCs w:val="18"/>
                <w:lang w:eastAsia="en-GB"/>
              </w:rPr>
            </w:pPr>
            <w:r w:rsidRPr="001A7C23">
              <w:rPr>
                <w:rFonts w:ascii="Calibri" w:eastAsia="Times New Roman" w:hAnsi="Calibri" w:cs="Times New Roman"/>
                <w:color w:val="000000"/>
                <w:sz w:val="18"/>
                <w:szCs w:val="18"/>
                <w:lang w:eastAsia="en-GB"/>
              </w:rPr>
              <w:t>2013-14</w:t>
            </w: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0.122**</w:t>
            </w:r>
          </w:p>
        </w:tc>
        <w:tc>
          <w:tcPr>
            <w:tcW w:w="826"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(0.011)</w:t>
            </w:r>
          </w:p>
        </w:tc>
        <w:tc>
          <w:tcPr>
            <w:tcW w:w="1041"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0.151***</w:t>
            </w:r>
          </w:p>
        </w:tc>
        <w:tc>
          <w:tcPr>
            <w:tcW w:w="973"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(0.002)</w:t>
            </w: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0.148***</w:t>
            </w:r>
          </w:p>
        </w:tc>
        <w:tc>
          <w:tcPr>
            <w:tcW w:w="782"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(0.003)</w:t>
            </w:r>
          </w:p>
        </w:tc>
        <w:tc>
          <w:tcPr>
            <w:tcW w:w="1077"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0.145***</w:t>
            </w:r>
          </w:p>
        </w:tc>
        <w:tc>
          <w:tcPr>
            <w:tcW w:w="920"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(0.005)</w:t>
            </w:r>
          </w:p>
        </w:tc>
        <w:tc>
          <w:tcPr>
            <w:tcW w:w="1054"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0.0976**</w:t>
            </w:r>
          </w:p>
        </w:tc>
        <w:tc>
          <w:tcPr>
            <w:tcW w:w="850"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(0.014)</w:t>
            </w:r>
          </w:p>
        </w:tc>
      </w:tr>
      <w:tr w:rsidR="00540CE3" w:rsidRPr="002C2E8C" w:rsidTr="00540CE3">
        <w:trPr>
          <w:trHeight w:val="240"/>
        </w:trPr>
        <w:tc>
          <w:tcPr>
            <w:tcW w:w="2518" w:type="dxa"/>
            <w:noWrap/>
            <w:hideMark/>
          </w:tcPr>
          <w:p w:rsidR="00540CE3" w:rsidRPr="00A612E9" w:rsidRDefault="00540CE3" w:rsidP="00540CE3">
            <w:pPr>
              <w:rPr>
                <w:rFonts w:ascii="Calibri" w:eastAsia="Times New Roman" w:hAnsi="Calibri" w:cs="Times New Roman"/>
                <w:color w:val="000000"/>
                <w:sz w:val="18"/>
                <w:szCs w:val="18"/>
                <w:lang w:eastAsia="en-GB"/>
              </w:rPr>
            </w:pPr>
            <w:r w:rsidRPr="001A7C23">
              <w:rPr>
                <w:rFonts w:ascii="Calibri" w:eastAsia="Times New Roman" w:hAnsi="Calibri" w:cs="Times New Roman"/>
                <w:color w:val="000000"/>
                <w:sz w:val="18"/>
                <w:szCs w:val="18"/>
                <w:lang w:eastAsia="en-GB"/>
              </w:rPr>
              <w:t>Hospital Beds 200-399</w:t>
            </w: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826"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1041"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0.253</w:t>
            </w:r>
          </w:p>
        </w:tc>
        <w:tc>
          <w:tcPr>
            <w:tcW w:w="973"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(0.483)</w:t>
            </w: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0.128</w:t>
            </w:r>
          </w:p>
        </w:tc>
        <w:tc>
          <w:tcPr>
            <w:tcW w:w="782"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(0.774)</w:t>
            </w:r>
          </w:p>
        </w:tc>
        <w:tc>
          <w:tcPr>
            <w:tcW w:w="1077"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-0.0183</w:t>
            </w:r>
          </w:p>
        </w:tc>
        <w:tc>
          <w:tcPr>
            <w:tcW w:w="920"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(0.966)</w:t>
            </w:r>
          </w:p>
        </w:tc>
        <w:tc>
          <w:tcPr>
            <w:tcW w:w="1054"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0.253</w:t>
            </w:r>
          </w:p>
        </w:tc>
        <w:tc>
          <w:tcPr>
            <w:tcW w:w="850"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(0.344)</w:t>
            </w:r>
          </w:p>
        </w:tc>
      </w:tr>
      <w:tr w:rsidR="00540CE3" w:rsidRPr="002C2E8C" w:rsidTr="00540CE3">
        <w:trPr>
          <w:trHeight w:val="115"/>
        </w:trPr>
        <w:tc>
          <w:tcPr>
            <w:tcW w:w="2518" w:type="dxa"/>
            <w:noWrap/>
            <w:hideMark/>
          </w:tcPr>
          <w:p w:rsidR="00540CE3" w:rsidRPr="00A612E9" w:rsidRDefault="00540CE3" w:rsidP="00540CE3">
            <w:pPr>
              <w:rPr>
                <w:rFonts w:ascii="Calibri" w:eastAsia="Times New Roman" w:hAnsi="Calibri" w:cs="Times New Roman"/>
                <w:color w:val="000000"/>
                <w:sz w:val="18"/>
                <w:szCs w:val="18"/>
                <w:lang w:eastAsia="en-GB"/>
              </w:rPr>
            </w:pPr>
            <w:r w:rsidRPr="001A7C23">
              <w:rPr>
                <w:rFonts w:ascii="Calibri" w:eastAsia="Times New Roman" w:hAnsi="Calibri" w:cs="Times New Roman"/>
                <w:color w:val="000000"/>
                <w:sz w:val="18"/>
                <w:szCs w:val="18"/>
                <w:lang w:eastAsia="en-GB"/>
              </w:rPr>
              <w:t>Hospital Beds 400-599</w:t>
            </w: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826"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1041"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0.213</w:t>
            </w:r>
          </w:p>
        </w:tc>
        <w:tc>
          <w:tcPr>
            <w:tcW w:w="973"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(0.559)</w:t>
            </w: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0.190</w:t>
            </w:r>
          </w:p>
        </w:tc>
        <w:tc>
          <w:tcPr>
            <w:tcW w:w="782"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(0.678)</w:t>
            </w:r>
          </w:p>
        </w:tc>
        <w:tc>
          <w:tcPr>
            <w:tcW w:w="1077"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0.0184</w:t>
            </w:r>
          </w:p>
        </w:tc>
        <w:tc>
          <w:tcPr>
            <w:tcW w:w="920"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(0.967)</w:t>
            </w:r>
          </w:p>
        </w:tc>
        <w:tc>
          <w:tcPr>
            <w:tcW w:w="1054"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0.0581</w:t>
            </w:r>
          </w:p>
        </w:tc>
        <w:tc>
          <w:tcPr>
            <w:tcW w:w="850"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(0.831)</w:t>
            </w:r>
          </w:p>
        </w:tc>
      </w:tr>
      <w:tr w:rsidR="00540CE3" w:rsidRPr="002C2E8C" w:rsidTr="00540CE3">
        <w:trPr>
          <w:trHeight w:val="161"/>
        </w:trPr>
        <w:tc>
          <w:tcPr>
            <w:tcW w:w="2518" w:type="dxa"/>
            <w:noWrap/>
            <w:hideMark/>
          </w:tcPr>
          <w:p w:rsidR="00540CE3" w:rsidRPr="00A612E9" w:rsidRDefault="00540CE3" w:rsidP="00540CE3">
            <w:pPr>
              <w:rPr>
                <w:rFonts w:ascii="Calibri" w:eastAsia="Times New Roman" w:hAnsi="Calibri" w:cs="Times New Roman"/>
                <w:color w:val="000000"/>
                <w:sz w:val="18"/>
                <w:szCs w:val="18"/>
                <w:lang w:eastAsia="en-GB"/>
              </w:rPr>
            </w:pPr>
            <w:r w:rsidRPr="001A7C23">
              <w:rPr>
                <w:rFonts w:ascii="Calibri" w:eastAsia="Times New Roman" w:hAnsi="Calibri" w:cs="Times New Roman"/>
                <w:color w:val="000000"/>
                <w:sz w:val="18"/>
                <w:szCs w:val="18"/>
                <w:lang w:eastAsia="en-GB"/>
              </w:rPr>
              <w:t>Hospital Beds 600-799</w:t>
            </w: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826"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1041"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0.371</w:t>
            </w:r>
          </w:p>
        </w:tc>
        <w:tc>
          <w:tcPr>
            <w:tcW w:w="973"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(0.321)</w:t>
            </w: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0.372</w:t>
            </w:r>
          </w:p>
        </w:tc>
        <w:tc>
          <w:tcPr>
            <w:tcW w:w="782"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(0.421)</w:t>
            </w:r>
          </w:p>
        </w:tc>
        <w:tc>
          <w:tcPr>
            <w:tcW w:w="1077"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0.216</w:t>
            </w:r>
          </w:p>
        </w:tc>
        <w:tc>
          <w:tcPr>
            <w:tcW w:w="920"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(0.632)</w:t>
            </w:r>
          </w:p>
        </w:tc>
        <w:tc>
          <w:tcPr>
            <w:tcW w:w="1054"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0.198</w:t>
            </w:r>
          </w:p>
        </w:tc>
        <w:tc>
          <w:tcPr>
            <w:tcW w:w="850"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(0.477)</w:t>
            </w:r>
          </w:p>
        </w:tc>
      </w:tr>
      <w:tr w:rsidR="00540CE3" w:rsidRPr="002C2E8C" w:rsidTr="00540CE3">
        <w:trPr>
          <w:trHeight w:val="65"/>
        </w:trPr>
        <w:tc>
          <w:tcPr>
            <w:tcW w:w="2518" w:type="dxa"/>
            <w:noWrap/>
            <w:hideMark/>
          </w:tcPr>
          <w:p w:rsidR="00540CE3" w:rsidRPr="00A612E9" w:rsidRDefault="00540CE3" w:rsidP="00540CE3">
            <w:pPr>
              <w:rPr>
                <w:rFonts w:ascii="Calibri" w:eastAsia="Times New Roman" w:hAnsi="Calibri" w:cs="Times New Roman"/>
                <w:color w:val="000000"/>
                <w:sz w:val="18"/>
                <w:szCs w:val="18"/>
                <w:lang w:eastAsia="en-GB"/>
              </w:rPr>
            </w:pPr>
            <w:r w:rsidRPr="001A7C23">
              <w:rPr>
                <w:rFonts w:ascii="Calibri" w:eastAsia="Times New Roman" w:hAnsi="Calibri" w:cs="Times New Roman"/>
                <w:color w:val="000000"/>
                <w:sz w:val="18"/>
                <w:szCs w:val="18"/>
                <w:lang w:eastAsia="en-GB"/>
              </w:rPr>
              <w:t>Hospital Beds 800-999</w:t>
            </w: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826"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1041"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0.266</w:t>
            </w:r>
          </w:p>
        </w:tc>
        <w:tc>
          <w:tcPr>
            <w:tcW w:w="973"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(0.480)</w:t>
            </w: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0.304</w:t>
            </w:r>
          </w:p>
        </w:tc>
        <w:tc>
          <w:tcPr>
            <w:tcW w:w="782"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(0.512)</w:t>
            </w:r>
          </w:p>
        </w:tc>
        <w:tc>
          <w:tcPr>
            <w:tcW w:w="1077"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0.152</w:t>
            </w:r>
          </w:p>
        </w:tc>
        <w:tc>
          <w:tcPr>
            <w:tcW w:w="920"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(0.738)</w:t>
            </w:r>
          </w:p>
        </w:tc>
        <w:tc>
          <w:tcPr>
            <w:tcW w:w="1054"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0.204</w:t>
            </w:r>
          </w:p>
        </w:tc>
        <w:tc>
          <w:tcPr>
            <w:tcW w:w="850"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(0.469)</w:t>
            </w:r>
          </w:p>
        </w:tc>
      </w:tr>
      <w:tr w:rsidR="00540CE3" w:rsidRPr="002C2E8C" w:rsidTr="00540CE3">
        <w:trPr>
          <w:trHeight w:val="125"/>
        </w:trPr>
        <w:tc>
          <w:tcPr>
            <w:tcW w:w="2518" w:type="dxa"/>
            <w:noWrap/>
            <w:hideMark/>
          </w:tcPr>
          <w:p w:rsidR="00540CE3" w:rsidRPr="00A612E9" w:rsidRDefault="00540CE3" w:rsidP="00540CE3">
            <w:pP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Hospital Beds 1000-1499</w:t>
            </w: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826"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1041"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0.325</w:t>
            </w:r>
          </w:p>
        </w:tc>
        <w:tc>
          <w:tcPr>
            <w:tcW w:w="973"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(0.391)</w:t>
            </w: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0.342</w:t>
            </w:r>
          </w:p>
        </w:tc>
        <w:tc>
          <w:tcPr>
            <w:tcW w:w="782"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(0.456)</w:t>
            </w:r>
          </w:p>
        </w:tc>
        <w:tc>
          <w:tcPr>
            <w:tcW w:w="1077"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0.203</w:t>
            </w:r>
          </w:p>
        </w:tc>
        <w:tc>
          <w:tcPr>
            <w:tcW w:w="920"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(0.653)</w:t>
            </w:r>
          </w:p>
        </w:tc>
        <w:tc>
          <w:tcPr>
            <w:tcW w:w="1054"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0.220</w:t>
            </w:r>
          </w:p>
        </w:tc>
        <w:tc>
          <w:tcPr>
            <w:tcW w:w="850"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(0.439)</w:t>
            </w:r>
          </w:p>
        </w:tc>
      </w:tr>
      <w:tr w:rsidR="00540CE3" w:rsidRPr="002C2E8C" w:rsidTr="00540CE3">
        <w:trPr>
          <w:trHeight w:val="186"/>
        </w:trPr>
        <w:tc>
          <w:tcPr>
            <w:tcW w:w="2518" w:type="dxa"/>
            <w:noWrap/>
            <w:hideMark/>
          </w:tcPr>
          <w:p w:rsidR="00540CE3" w:rsidRPr="00A612E9" w:rsidRDefault="00540CE3" w:rsidP="00540CE3">
            <w:pPr>
              <w:rPr>
                <w:rFonts w:ascii="Calibri" w:eastAsia="Times New Roman" w:hAnsi="Calibri" w:cs="Times New Roman"/>
                <w:color w:val="000000"/>
                <w:sz w:val="18"/>
                <w:szCs w:val="18"/>
                <w:lang w:eastAsia="en-GB"/>
              </w:rPr>
            </w:pPr>
            <w:r w:rsidRPr="001A7C23">
              <w:rPr>
                <w:rFonts w:ascii="Calibri" w:eastAsia="Times New Roman" w:hAnsi="Calibri" w:cs="Times New Roman"/>
                <w:color w:val="000000"/>
                <w:sz w:val="18"/>
                <w:szCs w:val="18"/>
                <w:lang w:eastAsia="en-GB"/>
              </w:rPr>
              <w:t>Hospital Beds 1500+</w:t>
            </w: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826"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1041"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-0.0256</w:t>
            </w:r>
          </w:p>
        </w:tc>
        <w:tc>
          <w:tcPr>
            <w:tcW w:w="973"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(0.953)</w:t>
            </w: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0.0914</w:t>
            </w:r>
          </w:p>
        </w:tc>
        <w:tc>
          <w:tcPr>
            <w:tcW w:w="782"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(0.852)</w:t>
            </w:r>
          </w:p>
        </w:tc>
        <w:tc>
          <w:tcPr>
            <w:tcW w:w="1077"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0.00967</w:t>
            </w:r>
          </w:p>
        </w:tc>
        <w:tc>
          <w:tcPr>
            <w:tcW w:w="920"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(0.984)</w:t>
            </w:r>
          </w:p>
        </w:tc>
        <w:tc>
          <w:tcPr>
            <w:tcW w:w="1054"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-0.418</w:t>
            </w:r>
          </w:p>
        </w:tc>
        <w:tc>
          <w:tcPr>
            <w:tcW w:w="850"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(0.257)</w:t>
            </w:r>
          </w:p>
        </w:tc>
      </w:tr>
      <w:tr w:rsidR="00540CE3" w:rsidRPr="002C2E8C" w:rsidTr="00540CE3">
        <w:trPr>
          <w:trHeight w:val="103"/>
        </w:trPr>
        <w:tc>
          <w:tcPr>
            <w:tcW w:w="2518" w:type="dxa"/>
            <w:noWrap/>
            <w:hideMark/>
          </w:tcPr>
          <w:p w:rsidR="00540CE3" w:rsidRPr="00A612E9" w:rsidRDefault="00540CE3" w:rsidP="00540CE3">
            <w:pPr>
              <w:rPr>
                <w:rFonts w:ascii="Calibri" w:eastAsia="Times New Roman" w:hAnsi="Calibri" w:cs="Times New Roman"/>
                <w:color w:val="000000"/>
                <w:sz w:val="18"/>
                <w:szCs w:val="18"/>
                <w:lang w:eastAsia="en-GB"/>
              </w:rPr>
            </w:pPr>
            <w:r w:rsidRPr="001A7C23">
              <w:rPr>
                <w:rFonts w:ascii="Calibri" w:eastAsia="Times New Roman" w:hAnsi="Calibri" w:cs="Times New Roman"/>
                <w:color w:val="000000"/>
                <w:sz w:val="18"/>
                <w:szCs w:val="18"/>
                <w:lang w:eastAsia="en-GB"/>
              </w:rPr>
              <w:t xml:space="preserve">Ln Care Home Beds </w:t>
            </w: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826"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1041"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973"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-0.256***</w:t>
            </w:r>
          </w:p>
        </w:tc>
        <w:tc>
          <w:tcPr>
            <w:tcW w:w="782"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(0.000)</w:t>
            </w:r>
          </w:p>
        </w:tc>
        <w:tc>
          <w:tcPr>
            <w:tcW w:w="1077"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-0.230***</w:t>
            </w:r>
          </w:p>
        </w:tc>
        <w:tc>
          <w:tcPr>
            <w:tcW w:w="920"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(0.004)</w:t>
            </w:r>
          </w:p>
        </w:tc>
        <w:tc>
          <w:tcPr>
            <w:tcW w:w="1054"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-0.272***</w:t>
            </w:r>
          </w:p>
        </w:tc>
        <w:tc>
          <w:tcPr>
            <w:tcW w:w="850"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(0.000)</w:t>
            </w:r>
          </w:p>
        </w:tc>
      </w:tr>
      <w:tr w:rsidR="00540CE3" w:rsidRPr="002C2E8C" w:rsidTr="00540CE3">
        <w:trPr>
          <w:trHeight w:val="149"/>
        </w:trPr>
        <w:tc>
          <w:tcPr>
            <w:tcW w:w="2518" w:type="dxa"/>
            <w:noWrap/>
            <w:hideMark/>
          </w:tcPr>
          <w:p w:rsidR="00540CE3" w:rsidRPr="00A612E9" w:rsidRDefault="00540CE3" w:rsidP="00540CE3">
            <w:pPr>
              <w:rPr>
                <w:rFonts w:ascii="Calibri" w:eastAsia="Times New Roman" w:hAnsi="Calibri" w:cs="Times New Roman"/>
                <w:color w:val="000000"/>
                <w:sz w:val="18"/>
                <w:szCs w:val="18"/>
                <w:lang w:eastAsia="en-GB"/>
              </w:rPr>
            </w:pPr>
            <w:r w:rsidRPr="001A7C23">
              <w:rPr>
                <w:rFonts w:ascii="Calibri" w:eastAsia="Times New Roman" w:hAnsi="Calibri" w:cs="Times New Roman"/>
                <w:color w:val="000000"/>
                <w:sz w:val="18"/>
                <w:szCs w:val="18"/>
                <w:lang w:eastAsia="en-GB"/>
              </w:rPr>
              <w:t>Ln Care Home Price</w:t>
            </w:r>
            <w:r>
              <w:rPr>
                <w:rFonts w:ascii="Calibri" w:eastAsia="Times New Roman" w:hAnsi="Calibri" w:cs="Times New Roman"/>
                <w:color w:val="000000"/>
                <w:sz w:val="18"/>
                <w:szCs w:val="18"/>
                <w:lang w:eastAsia="en-GB"/>
              </w:rPr>
              <w:t>/Week</w:t>
            </w: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826"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1041"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973"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-0.141</w:t>
            </w:r>
          </w:p>
        </w:tc>
        <w:tc>
          <w:tcPr>
            <w:tcW w:w="782"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(0.667)</w:t>
            </w:r>
          </w:p>
        </w:tc>
        <w:tc>
          <w:tcPr>
            <w:tcW w:w="1077"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0.00136</w:t>
            </w:r>
          </w:p>
        </w:tc>
        <w:tc>
          <w:tcPr>
            <w:tcW w:w="920"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(0.997)</w:t>
            </w:r>
          </w:p>
        </w:tc>
        <w:tc>
          <w:tcPr>
            <w:tcW w:w="1054"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-0.0180</w:t>
            </w:r>
          </w:p>
        </w:tc>
        <w:tc>
          <w:tcPr>
            <w:tcW w:w="850"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(0.944)</w:t>
            </w:r>
          </w:p>
        </w:tc>
      </w:tr>
      <w:tr w:rsidR="00540CE3" w:rsidRPr="002C2E8C" w:rsidTr="00540CE3">
        <w:trPr>
          <w:trHeight w:val="240"/>
        </w:trPr>
        <w:tc>
          <w:tcPr>
            <w:tcW w:w="2518" w:type="dxa"/>
            <w:noWrap/>
            <w:hideMark/>
          </w:tcPr>
          <w:p w:rsidR="00540CE3" w:rsidRPr="001A7C23" w:rsidRDefault="007D7FA1" w:rsidP="00540CE3">
            <w:pP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patients 60-74</w:t>
            </w: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826"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1041"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973"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782"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1077"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-0.0152</w:t>
            </w:r>
          </w:p>
        </w:tc>
        <w:tc>
          <w:tcPr>
            <w:tcW w:w="920"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(0.495)</w:t>
            </w:r>
          </w:p>
        </w:tc>
        <w:tc>
          <w:tcPr>
            <w:tcW w:w="1054"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-0.0379***</w:t>
            </w:r>
          </w:p>
        </w:tc>
        <w:tc>
          <w:tcPr>
            <w:tcW w:w="850"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(0.002)</w:t>
            </w:r>
          </w:p>
        </w:tc>
      </w:tr>
      <w:tr w:rsidR="00540CE3" w:rsidRPr="002C2E8C" w:rsidTr="00540CE3">
        <w:trPr>
          <w:trHeight w:val="85"/>
        </w:trPr>
        <w:tc>
          <w:tcPr>
            <w:tcW w:w="2518" w:type="dxa"/>
            <w:noWrap/>
            <w:hideMark/>
          </w:tcPr>
          <w:p w:rsidR="00540CE3" w:rsidRPr="001A7C23" w:rsidRDefault="007D7FA1" w:rsidP="00540CE3">
            <w:pP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patients</w:t>
            </w:r>
            <w:r w:rsidR="00540CE3" w:rsidRPr="00A612E9">
              <w:rPr>
                <w:rFonts w:ascii="Calibri" w:eastAsia="Times New Roman" w:hAnsi="Calibri" w:cs="Times New Roman"/>
                <w:color w:val="000000"/>
                <w:sz w:val="18"/>
                <w:szCs w:val="18"/>
                <w:lang w:eastAsia="en-GB"/>
              </w:rPr>
              <w:t xml:space="preserve"> </w:t>
            </w:r>
            <w:r>
              <w:rPr>
                <w:rFonts w:ascii="Calibri" w:eastAsia="Times New Roman" w:hAnsi="Calibri" w:cs="Times New Roman"/>
                <w:color w:val="000000"/>
                <w:sz w:val="18"/>
                <w:szCs w:val="18"/>
                <w:lang w:eastAsia="en-GB"/>
              </w:rPr>
              <w:t>75+</w:t>
            </w: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826"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1041"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973"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782"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1077"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0.0187***</w:t>
            </w:r>
          </w:p>
        </w:tc>
        <w:tc>
          <w:tcPr>
            <w:tcW w:w="920"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(0.001)</w:t>
            </w:r>
          </w:p>
        </w:tc>
        <w:tc>
          <w:tcPr>
            <w:tcW w:w="1054"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0.0287***</w:t>
            </w:r>
          </w:p>
        </w:tc>
        <w:tc>
          <w:tcPr>
            <w:tcW w:w="850"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(0.000)</w:t>
            </w:r>
          </w:p>
        </w:tc>
      </w:tr>
      <w:tr w:rsidR="00540CE3" w:rsidRPr="002C2E8C" w:rsidTr="00540CE3">
        <w:trPr>
          <w:trHeight w:val="240"/>
        </w:trPr>
        <w:tc>
          <w:tcPr>
            <w:tcW w:w="2518" w:type="dxa"/>
            <w:noWrap/>
            <w:hideMark/>
          </w:tcPr>
          <w:p w:rsidR="00540CE3" w:rsidRPr="00A612E9" w:rsidRDefault="00540CE3" w:rsidP="00540CE3">
            <w:pPr>
              <w:rPr>
                <w:rFonts w:ascii="Calibri" w:eastAsia="Times New Roman" w:hAnsi="Calibri" w:cs="Times New Roman"/>
                <w:color w:val="000000"/>
                <w:sz w:val="18"/>
                <w:szCs w:val="18"/>
                <w:lang w:eastAsia="en-GB"/>
              </w:rPr>
            </w:pPr>
            <w:r w:rsidRPr="00A612E9">
              <w:rPr>
                <w:rFonts w:ascii="Calibri" w:eastAsia="Times New Roman" w:hAnsi="Calibri" w:cs="Times New Roman"/>
                <w:color w:val="000000"/>
                <w:sz w:val="18"/>
                <w:szCs w:val="18"/>
                <w:lang w:eastAsia="en-GB"/>
              </w:rPr>
              <w:t xml:space="preserve">% of male patients </w:t>
            </w: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826"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1041"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973"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782"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1077"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0.0331**</w:t>
            </w:r>
          </w:p>
        </w:tc>
        <w:tc>
          <w:tcPr>
            <w:tcW w:w="920"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(0.023)</w:t>
            </w:r>
          </w:p>
        </w:tc>
        <w:tc>
          <w:tcPr>
            <w:tcW w:w="1054"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0.0156**</w:t>
            </w:r>
          </w:p>
        </w:tc>
        <w:tc>
          <w:tcPr>
            <w:tcW w:w="850"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(0.031)</w:t>
            </w:r>
          </w:p>
        </w:tc>
      </w:tr>
      <w:tr w:rsidR="00540CE3" w:rsidRPr="002C2E8C" w:rsidTr="00540CE3">
        <w:trPr>
          <w:trHeight w:val="43"/>
        </w:trPr>
        <w:tc>
          <w:tcPr>
            <w:tcW w:w="2518" w:type="dxa"/>
            <w:noWrap/>
            <w:hideMark/>
          </w:tcPr>
          <w:p w:rsidR="00540CE3" w:rsidRPr="00A612E9" w:rsidRDefault="00540CE3" w:rsidP="00540CE3">
            <w:pPr>
              <w:rPr>
                <w:rFonts w:ascii="Calibri" w:eastAsia="Times New Roman" w:hAnsi="Calibri" w:cs="Times New Roman"/>
                <w:color w:val="000000"/>
                <w:sz w:val="18"/>
                <w:szCs w:val="18"/>
                <w:lang w:eastAsia="en-GB"/>
              </w:rPr>
            </w:pPr>
            <w:r w:rsidRPr="00A612E9">
              <w:rPr>
                <w:rFonts w:ascii="Calibri" w:eastAsia="Times New Roman" w:hAnsi="Calibri" w:cs="Times New Roman"/>
                <w:color w:val="000000"/>
                <w:sz w:val="18"/>
                <w:szCs w:val="18"/>
                <w:lang w:eastAsia="en-GB"/>
              </w:rPr>
              <w:t xml:space="preserve">% </w:t>
            </w:r>
            <w:r>
              <w:rPr>
                <w:rFonts w:ascii="Calibri" w:eastAsia="Times New Roman" w:hAnsi="Calibri" w:cs="Times New Roman"/>
                <w:color w:val="000000"/>
                <w:sz w:val="18"/>
                <w:szCs w:val="18"/>
                <w:lang w:eastAsia="en-GB"/>
              </w:rPr>
              <w:t>of emergency a</w:t>
            </w:r>
            <w:r w:rsidRPr="00A612E9">
              <w:rPr>
                <w:rFonts w:ascii="Calibri" w:eastAsia="Times New Roman" w:hAnsi="Calibri" w:cs="Times New Roman"/>
                <w:color w:val="000000"/>
                <w:sz w:val="18"/>
                <w:szCs w:val="18"/>
                <w:lang w:eastAsia="en-GB"/>
              </w:rPr>
              <w:t xml:space="preserve">dmissions </w:t>
            </w: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826"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1041"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973"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782"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1077"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0.00164</w:t>
            </w:r>
          </w:p>
        </w:tc>
        <w:tc>
          <w:tcPr>
            <w:tcW w:w="920"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(0.715)</w:t>
            </w:r>
          </w:p>
        </w:tc>
        <w:tc>
          <w:tcPr>
            <w:tcW w:w="1054"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0.00362</w:t>
            </w:r>
          </w:p>
        </w:tc>
        <w:tc>
          <w:tcPr>
            <w:tcW w:w="850"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(0.250)</w:t>
            </w:r>
          </w:p>
        </w:tc>
      </w:tr>
      <w:tr w:rsidR="00540CE3" w:rsidRPr="002C2E8C" w:rsidTr="00540CE3">
        <w:trPr>
          <w:trHeight w:val="237"/>
        </w:trPr>
        <w:tc>
          <w:tcPr>
            <w:tcW w:w="2518" w:type="dxa"/>
            <w:noWrap/>
            <w:hideMark/>
          </w:tcPr>
          <w:p w:rsidR="00540CE3" w:rsidRPr="00A612E9" w:rsidRDefault="00540CE3" w:rsidP="00540CE3">
            <w:pP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standardised r</w:t>
            </w:r>
            <w:r w:rsidRPr="00A612E9">
              <w:rPr>
                <w:rFonts w:ascii="Calibri" w:eastAsia="Times New Roman" w:hAnsi="Calibri" w:cs="Times New Roman"/>
                <w:color w:val="000000"/>
                <w:sz w:val="18"/>
                <w:szCs w:val="18"/>
                <w:lang w:eastAsia="en-GB"/>
              </w:rPr>
              <w:t xml:space="preserve">eadmissions </w:t>
            </w: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826"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1041"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973"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782"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1077"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-0.0127</w:t>
            </w:r>
          </w:p>
        </w:tc>
        <w:tc>
          <w:tcPr>
            <w:tcW w:w="920"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(0.425)</w:t>
            </w:r>
          </w:p>
        </w:tc>
        <w:tc>
          <w:tcPr>
            <w:tcW w:w="1054"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-0.00231</w:t>
            </w:r>
          </w:p>
        </w:tc>
        <w:tc>
          <w:tcPr>
            <w:tcW w:w="850"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(0.803)</w:t>
            </w:r>
          </w:p>
        </w:tc>
      </w:tr>
      <w:tr w:rsidR="00540CE3" w:rsidRPr="002C2E8C" w:rsidTr="00540CE3">
        <w:trPr>
          <w:trHeight w:val="73"/>
        </w:trPr>
        <w:tc>
          <w:tcPr>
            <w:tcW w:w="2518" w:type="dxa"/>
            <w:noWrap/>
            <w:hideMark/>
          </w:tcPr>
          <w:p w:rsidR="00540CE3" w:rsidRPr="001A7C23" w:rsidRDefault="00540CE3" w:rsidP="00540CE3">
            <w:pPr>
              <w:rPr>
                <w:rFonts w:ascii="Calibri" w:eastAsia="Times New Roman" w:hAnsi="Calibri" w:cs="Times New Roman"/>
                <w:color w:val="000000"/>
                <w:sz w:val="18"/>
                <w:szCs w:val="18"/>
                <w:lang w:eastAsia="en-GB"/>
              </w:rPr>
            </w:pPr>
            <w:r w:rsidRPr="001A7C23">
              <w:rPr>
                <w:rFonts w:ascii="Calibri" w:eastAsia="Times New Roman" w:hAnsi="Calibri" w:cs="Times New Roman"/>
                <w:color w:val="000000"/>
                <w:sz w:val="18"/>
                <w:szCs w:val="18"/>
                <w:lang w:eastAsia="en-GB"/>
              </w:rPr>
              <w:t>Constant</w:t>
            </w: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8.378***</w:t>
            </w:r>
          </w:p>
        </w:tc>
        <w:tc>
          <w:tcPr>
            <w:tcW w:w="826"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(0.000)</w:t>
            </w:r>
          </w:p>
        </w:tc>
        <w:tc>
          <w:tcPr>
            <w:tcW w:w="1041"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1.569***</w:t>
            </w:r>
          </w:p>
        </w:tc>
        <w:tc>
          <w:tcPr>
            <w:tcW w:w="973"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(0.000)</w:t>
            </w: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4.431**</w:t>
            </w:r>
          </w:p>
        </w:tc>
        <w:tc>
          <w:tcPr>
            <w:tcW w:w="782"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(0.028)</w:t>
            </w:r>
          </w:p>
        </w:tc>
        <w:tc>
          <w:tcPr>
            <w:tcW w:w="1077"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1.997</w:t>
            </w:r>
          </w:p>
        </w:tc>
        <w:tc>
          <w:tcPr>
            <w:tcW w:w="920"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(0.471)</w:t>
            </w:r>
          </w:p>
        </w:tc>
        <w:tc>
          <w:tcPr>
            <w:tcW w:w="1054"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-3.033</w:t>
            </w:r>
          </w:p>
        </w:tc>
        <w:tc>
          <w:tcPr>
            <w:tcW w:w="850"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(0.114)</w:t>
            </w:r>
          </w:p>
        </w:tc>
      </w:tr>
      <w:tr w:rsidR="00540CE3" w:rsidRPr="002C2E8C" w:rsidTr="00540CE3">
        <w:trPr>
          <w:trHeight w:val="240"/>
        </w:trPr>
        <w:tc>
          <w:tcPr>
            <w:tcW w:w="2518" w:type="dxa"/>
            <w:noWrap/>
            <w:hideMark/>
          </w:tcPr>
          <w:p w:rsidR="00540CE3" w:rsidRPr="001A7C23" w:rsidRDefault="00540CE3" w:rsidP="00540CE3">
            <w:pP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L</w:t>
            </w:r>
            <w:r w:rsidRPr="001A7C23">
              <w:rPr>
                <w:rFonts w:ascii="Calibri" w:eastAsia="Times New Roman" w:hAnsi="Calibri" w:cs="Times New Roman"/>
                <w:color w:val="000000"/>
                <w:sz w:val="18"/>
                <w:szCs w:val="18"/>
                <w:lang w:eastAsia="en-GB"/>
              </w:rPr>
              <w:t xml:space="preserve">n alpha </w:t>
            </w: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-0.162*</w:t>
            </w:r>
          </w:p>
        </w:tc>
        <w:tc>
          <w:tcPr>
            <w:tcW w:w="826"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(0.100)</w:t>
            </w:r>
          </w:p>
        </w:tc>
        <w:tc>
          <w:tcPr>
            <w:tcW w:w="1041"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-0.416***</w:t>
            </w:r>
          </w:p>
        </w:tc>
        <w:tc>
          <w:tcPr>
            <w:tcW w:w="973"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(0.000)</w:t>
            </w: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-0.460***</w:t>
            </w:r>
          </w:p>
        </w:tc>
        <w:tc>
          <w:tcPr>
            <w:tcW w:w="782"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(0.000)</w:t>
            </w:r>
          </w:p>
        </w:tc>
        <w:tc>
          <w:tcPr>
            <w:tcW w:w="1077"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-0.492***</w:t>
            </w:r>
          </w:p>
        </w:tc>
        <w:tc>
          <w:tcPr>
            <w:tcW w:w="920"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(0.000)</w:t>
            </w:r>
          </w:p>
        </w:tc>
        <w:tc>
          <w:tcPr>
            <w:tcW w:w="1054"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850" w:type="dxa"/>
            <w:noWrap/>
            <w:hideMark/>
          </w:tcPr>
          <w:p w:rsidR="00540CE3" w:rsidRPr="002C2E8C" w:rsidRDefault="00540CE3" w:rsidP="00540CE3">
            <w:pPr>
              <w:rPr>
                <w:rFonts w:ascii="Calibri" w:eastAsia="Times New Roman" w:hAnsi="Calibri" w:cs="Times New Roman"/>
                <w:color w:val="000000"/>
                <w:sz w:val="18"/>
                <w:szCs w:val="18"/>
                <w:lang w:eastAsia="en-GB"/>
              </w:rPr>
            </w:pPr>
          </w:p>
        </w:tc>
      </w:tr>
      <w:tr w:rsidR="00540CE3" w:rsidRPr="002C2E8C" w:rsidTr="00540CE3">
        <w:trPr>
          <w:trHeight w:val="43"/>
        </w:trPr>
        <w:tc>
          <w:tcPr>
            <w:tcW w:w="2518" w:type="dxa"/>
            <w:noWrap/>
            <w:hideMark/>
          </w:tcPr>
          <w:p w:rsidR="00540CE3" w:rsidRPr="001A7C23" w:rsidRDefault="00540CE3" w:rsidP="00540CE3">
            <w:pP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L</w:t>
            </w:r>
            <w:r w:rsidRPr="001A7C23">
              <w:rPr>
                <w:rFonts w:ascii="Calibri" w:eastAsia="Times New Roman" w:hAnsi="Calibri" w:cs="Times New Roman"/>
                <w:color w:val="000000"/>
                <w:sz w:val="18"/>
                <w:szCs w:val="18"/>
                <w:lang w:eastAsia="en-GB"/>
              </w:rPr>
              <w:t xml:space="preserve">n r </w:t>
            </w: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826"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1041"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973"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782"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1077"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920"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1054"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0.892***</w:t>
            </w:r>
          </w:p>
        </w:tc>
        <w:tc>
          <w:tcPr>
            <w:tcW w:w="850"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(0.000)</w:t>
            </w:r>
          </w:p>
        </w:tc>
      </w:tr>
      <w:tr w:rsidR="00540CE3" w:rsidRPr="002C2E8C" w:rsidTr="00540CE3">
        <w:trPr>
          <w:trHeight w:val="70"/>
        </w:trPr>
        <w:tc>
          <w:tcPr>
            <w:tcW w:w="2518" w:type="dxa"/>
            <w:noWrap/>
            <w:hideMark/>
          </w:tcPr>
          <w:p w:rsidR="00540CE3" w:rsidRPr="001A7C23" w:rsidRDefault="00540CE3" w:rsidP="00540CE3">
            <w:pP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L</w:t>
            </w:r>
            <w:r w:rsidRPr="001A7C23">
              <w:rPr>
                <w:rFonts w:ascii="Calibri" w:eastAsia="Times New Roman" w:hAnsi="Calibri" w:cs="Times New Roman"/>
                <w:color w:val="000000"/>
                <w:sz w:val="18"/>
                <w:szCs w:val="18"/>
                <w:lang w:eastAsia="en-GB"/>
              </w:rPr>
              <w:t xml:space="preserve">n s </w:t>
            </w: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826"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1041"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973"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782"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1077"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920"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1054"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6.906***</w:t>
            </w:r>
          </w:p>
        </w:tc>
        <w:tc>
          <w:tcPr>
            <w:tcW w:w="850" w:type="dxa"/>
            <w:noWrap/>
            <w:hideMark/>
          </w:tcPr>
          <w:p w:rsidR="00540CE3" w:rsidRPr="002C2E8C" w:rsidRDefault="00540CE3" w:rsidP="00540CE3">
            <w:pP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(0.000)</w:t>
            </w:r>
          </w:p>
        </w:tc>
      </w:tr>
      <w:tr w:rsidR="00540CE3" w:rsidRPr="002C2E8C" w:rsidTr="00540CE3">
        <w:trPr>
          <w:trHeight w:val="115"/>
        </w:trPr>
        <w:tc>
          <w:tcPr>
            <w:tcW w:w="2518" w:type="dxa"/>
            <w:noWrap/>
            <w:hideMark/>
          </w:tcPr>
          <w:p w:rsidR="00540CE3" w:rsidRPr="001A7C23" w:rsidRDefault="00540CE3" w:rsidP="00540CE3">
            <w:pPr>
              <w:rPr>
                <w:rFonts w:ascii="Calibri" w:eastAsia="Times New Roman" w:hAnsi="Calibri" w:cs="Times New Roman"/>
                <w:color w:val="000000"/>
                <w:sz w:val="18"/>
                <w:szCs w:val="18"/>
                <w:lang w:eastAsia="en-GB"/>
              </w:rPr>
            </w:pPr>
            <w:r w:rsidRPr="001A7C23">
              <w:rPr>
                <w:rFonts w:ascii="Calibri" w:eastAsia="Times New Roman" w:hAnsi="Calibri" w:cs="Times New Roman"/>
                <w:color w:val="000000"/>
                <w:sz w:val="18"/>
                <w:szCs w:val="18"/>
                <w:lang w:eastAsia="en-GB"/>
              </w:rPr>
              <w:t>Exposure</w:t>
            </w:r>
          </w:p>
        </w:tc>
        <w:tc>
          <w:tcPr>
            <w:tcW w:w="987"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826" w:type="dxa"/>
            <w:noWrap/>
            <w:hideMark/>
          </w:tcPr>
          <w:p w:rsidR="00540CE3" w:rsidRPr="002C2E8C" w:rsidRDefault="00540CE3" w:rsidP="00540CE3">
            <w:pPr>
              <w:rPr>
                <w:rFonts w:ascii="Calibri" w:eastAsia="Times New Roman" w:hAnsi="Calibri" w:cs="Times New Roman"/>
                <w:color w:val="000000"/>
                <w:sz w:val="18"/>
                <w:szCs w:val="18"/>
                <w:lang w:eastAsia="en-GB"/>
              </w:rPr>
            </w:pPr>
          </w:p>
        </w:tc>
        <w:tc>
          <w:tcPr>
            <w:tcW w:w="2014" w:type="dxa"/>
            <w:gridSpan w:val="2"/>
            <w:noWrap/>
            <w:hideMark/>
          </w:tcPr>
          <w:p w:rsidR="00540CE3" w:rsidRPr="002C2E8C" w:rsidRDefault="00540CE3" w:rsidP="00540CE3">
            <w:pPr>
              <w:jc w:val="center"/>
              <w:rPr>
                <w:rFonts w:ascii="Calibri" w:eastAsia="Times New Roman" w:hAnsi="Calibri" w:cs="Times New Roman"/>
                <w:color w:val="000000"/>
                <w:sz w:val="18"/>
                <w:szCs w:val="18"/>
                <w:lang w:eastAsia="en-GB"/>
              </w:rPr>
            </w:pPr>
            <w:r w:rsidRPr="006517E7">
              <w:rPr>
                <w:rFonts w:ascii="Calibri" w:eastAsia="Times New Roman" w:hAnsi="Calibri" w:cs="Times New Roman"/>
                <w:color w:val="000000"/>
                <w:sz w:val="18"/>
                <w:szCs w:val="18"/>
                <w:lang w:eastAsia="en-GB"/>
              </w:rPr>
              <w:t>Ln Beds in Trust</w:t>
            </w:r>
          </w:p>
        </w:tc>
        <w:tc>
          <w:tcPr>
            <w:tcW w:w="1769" w:type="dxa"/>
            <w:gridSpan w:val="2"/>
            <w:noWrap/>
            <w:hideMark/>
          </w:tcPr>
          <w:p w:rsidR="00540CE3" w:rsidRPr="002C2E8C" w:rsidRDefault="00540CE3" w:rsidP="00540CE3">
            <w:pPr>
              <w:jc w:val="center"/>
              <w:rPr>
                <w:rFonts w:ascii="Calibri" w:eastAsia="Times New Roman" w:hAnsi="Calibri" w:cs="Times New Roman"/>
                <w:color w:val="000000"/>
                <w:sz w:val="18"/>
                <w:szCs w:val="18"/>
                <w:lang w:eastAsia="en-GB"/>
              </w:rPr>
            </w:pPr>
            <w:r w:rsidRPr="006517E7">
              <w:rPr>
                <w:rFonts w:ascii="Calibri" w:eastAsia="Times New Roman" w:hAnsi="Calibri" w:cs="Times New Roman"/>
                <w:color w:val="000000"/>
                <w:sz w:val="18"/>
                <w:szCs w:val="18"/>
                <w:lang w:eastAsia="en-GB"/>
              </w:rPr>
              <w:t>Ln Beds in Trust</w:t>
            </w:r>
          </w:p>
        </w:tc>
        <w:tc>
          <w:tcPr>
            <w:tcW w:w="1997" w:type="dxa"/>
            <w:gridSpan w:val="2"/>
            <w:noWrap/>
            <w:hideMark/>
          </w:tcPr>
          <w:p w:rsidR="00540CE3" w:rsidRPr="002C2E8C" w:rsidRDefault="00540CE3" w:rsidP="00540CE3">
            <w:pPr>
              <w:jc w:val="center"/>
              <w:rPr>
                <w:rFonts w:ascii="Calibri" w:eastAsia="Times New Roman" w:hAnsi="Calibri" w:cs="Times New Roman"/>
                <w:color w:val="000000"/>
                <w:sz w:val="18"/>
                <w:szCs w:val="18"/>
                <w:lang w:eastAsia="en-GB"/>
              </w:rPr>
            </w:pPr>
            <w:r w:rsidRPr="006517E7">
              <w:rPr>
                <w:rFonts w:ascii="Calibri" w:eastAsia="Times New Roman" w:hAnsi="Calibri" w:cs="Times New Roman"/>
                <w:color w:val="000000"/>
                <w:sz w:val="18"/>
                <w:szCs w:val="18"/>
                <w:lang w:eastAsia="en-GB"/>
              </w:rPr>
              <w:t>Ln Beds in Trust</w:t>
            </w:r>
          </w:p>
        </w:tc>
        <w:tc>
          <w:tcPr>
            <w:tcW w:w="1904" w:type="dxa"/>
            <w:gridSpan w:val="2"/>
            <w:noWrap/>
            <w:hideMark/>
          </w:tcPr>
          <w:p w:rsidR="00540CE3" w:rsidRPr="002C2E8C" w:rsidRDefault="00540CE3" w:rsidP="00540CE3">
            <w:pPr>
              <w:jc w:val="center"/>
              <w:rPr>
                <w:rFonts w:ascii="Calibri" w:eastAsia="Times New Roman" w:hAnsi="Calibri" w:cs="Times New Roman"/>
                <w:color w:val="000000"/>
                <w:sz w:val="18"/>
                <w:szCs w:val="18"/>
                <w:lang w:eastAsia="en-GB"/>
              </w:rPr>
            </w:pPr>
            <w:r w:rsidRPr="006517E7">
              <w:rPr>
                <w:rFonts w:ascii="Calibri" w:eastAsia="Times New Roman" w:hAnsi="Calibri" w:cs="Times New Roman"/>
                <w:color w:val="000000"/>
                <w:sz w:val="18"/>
                <w:szCs w:val="18"/>
                <w:lang w:eastAsia="en-GB"/>
              </w:rPr>
              <w:t>Ln Beds in Trust</w:t>
            </w:r>
          </w:p>
        </w:tc>
      </w:tr>
      <w:tr w:rsidR="005C272E" w:rsidRPr="002C2E8C" w:rsidTr="00534844">
        <w:trPr>
          <w:trHeight w:val="43"/>
        </w:trPr>
        <w:tc>
          <w:tcPr>
            <w:tcW w:w="2518" w:type="dxa"/>
            <w:noWrap/>
            <w:hideMark/>
          </w:tcPr>
          <w:p w:rsidR="005C272E" w:rsidRPr="001A7C23" w:rsidRDefault="005C272E" w:rsidP="00540CE3">
            <w:pPr>
              <w:rPr>
                <w:rFonts w:ascii="Calibri" w:eastAsia="Times New Roman" w:hAnsi="Calibri" w:cs="Times New Roman"/>
                <w:color w:val="000000"/>
                <w:sz w:val="18"/>
                <w:szCs w:val="18"/>
                <w:lang w:eastAsia="en-GB"/>
              </w:rPr>
            </w:pPr>
            <w:r w:rsidRPr="001A7C23">
              <w:rPr>
                <w:rFonts w:ascii="Calibri" w:eastAsia="Times New Roman" w:hAnsi="Calibri" w:cs="Times New Roman"/>
                <w:color w:val="000000"/>
                <w:sz w:val="18"/>
                <w:szCs w:val="18"/>
                <w:lang w:eastAsia="en-GB"/>
              </w:rPr>
              <w:t>AIC</w:t>
            </w:r>
          </w:p>
        </w:tc>
        <w:tc>
          <w:tcPr>
            <w:tcW w:w="1813" w:type="dxa"/>
            <w:gridSpan w:val="2"/>
            <w:noWrap/>
            <w:hideMark/>
          </w:tcPr>
          <w:p w:rsidR="005C272E" w:rsidRPr="002C2E8C" w:rsidRDefault="005C272E" w:rsidP="005C272E">
            <w:pPr>
              <w:jc w:val="cente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11251.8</w:t>
            </w:r>
          </w:p>
        </w:tc>
        <w:tc>
          <w:tcPr>
            <w:tcW w:w="2014" w:type="dxa"/>
            <w:gridSpan w:val="2"/>
            <w:noWrap/>
            <w:hideMark/>
          </w:tcPr>
          <w:p w:rsidR="005C272E" w:rsidRPr="002C2E8C" w:rsidRDefault="005C272E" w:rsidP="005C272E">
            <w:pPr>
              <w:jc w:val="cente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11079.9</w:t>
            </w:r>
          </w:p>
        </w:tc>
        <w:tc>
          <w:tcPr>
            <w:tcW w:w="1769" w:type="dxa"/>
            <w:gridSpan w:val="2"/>
            <w:noWrap/>
            <w:hideMark/>
          </w:tcPr>
          <w:p w:rsidR="005C272E" w:rsidRPr="002C2E8C" w:rsidRDefault="005C272E" w:rsidP="005C272E">
            <w:pPr>
              <w:jc w:val="cente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11052.7</w:t>
            </w:r>
          </w:p>
        </w:tc>
        <w:tc>
          <w:tcPr>
            <w:tcW w:w="1997" w:type="dxa"/>
            <w:gridSpan w:val="2"/>
            <w:noWrap/>
            <w:hideMark/>
          </w:tcPr>
          <w:p w:rsidR="005C272E" w:rsidRPr="002C2E8C" w:rsidRDefault="005C272E" w:rsidP="005C272E">
            <w:pPr>
              <w:jc w:val="cente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11040.6</w:t>
            </w:r>
          </w:p>
        </w:tc>
        <w:tc>
          <w:tcPr>
            <w:tcW w:w="1904" w:type="dxa"/>
            <w:gridSpan w:val="2"/>
            <w:noWrap/>
            <w:hideMark/>
          </w:tcPr>
          <w:p w:rsidR="005C272E" w:rsidRPr="002C2E8C" w:rsidRDefault="005C272E" w:rsidP="005C272E">
            <w:pPr>
              <w:jc w:val="cente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10692.7</w:t>
            </w:r>
          </w:p>
        </w:tc>
      </w:tr>
      <w:tr w:rsidR="005C272E" w:rsidRPr="002C2E8C" w:rsidTr="00534844">
        <w:trPr>
          <w:trHeight w:val="79"/>
        </w:trPr>
        <w:tc>
          <w:tcPr>
            <w:tcW w:w="2518" w:type="dxa"/>
            <w:noWrap/>
            <w:hideMark/>
          </w:tcPr>
          <w:p w:rsidR="005C272E" w:rsidRPr="001A7C23" w:rsidRDefault="005C272E" w:rsidP="00540CE3">
            <w:pPr>
              <w:rPr>
                <w:rFonts w:ascii="Calibri" w:eastAsia="Times New Roman" w:hAnsi="Calibri" w:cs="Times New Roman"/>
                <w:color w:val="000000"/>
                <w:sz w:val="18"/>
                <w:szCs w:val="18"/>
                <w:lang w:eastAsia="en-GB"/>
              </w:rPr>
            </w:pPr>
            <w:r w:rsidRPr="001A7C23">
              <w:rPr>
                <w:rFonts w:ascii="Calibri" w:eastAsia="Times New Roman" w:hAnsi="Calibri" w:cs="Times New Roman"/>
                <w:color w:val="000000"/>
                <w:sz w:val="18"/>
                <w:szCs w:val="18"/>
                <w:lang w:eastAsia="en-GB"/>
              </w:rPr>
              <w:t>BIC</w:t>
            </w:r>
          </w:p>
        </w:tc>
        <w:tc>
          <w:tcPr>
            <w:tcW w:w="1813" w:type="dxa"/>
            <w:gridSpan w:val="2"/>
            <w:noWrap/>
            <w:hideMark/>
          </w:tcPr>
          <w:p w:rsidR="005C272E" w:rsidRPr="002C2E8C" w:rsidRDefault="005C272E" w:rsidP="005C272E">
            <w:pPr>
              <w:jc w:val="cente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11287.2</w:t>
            </w:r>
          </w:p>
        </w:tc>
        <w:tc>
          <w:tcPr>
            <w:tcW w:w="2014" w:type="dxa"/>
            <w:gridSpan w:val="2"/>
            <w:noWrap/>
            <w:hideMark/>
          </w:tcPr>
          <w:p w:rsidR="005C272E" w:rsidRPr="002C2E8C" w:rsidRDefault="005C272E" w:rsidP="005C272E">
            <w:pPr>
              <w:jc w:val="cente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11141.7</w:t>
            </w:r>
          </w:p>
        </w:tc>
        <w:tc>
          <w:tcPr>
            <w:tcW w:w="1769" w:type="dxa"/>
            <w:gridSpan w:val="2"/>
            <w:noWrap/>
            <w:hideMark/>
          </w:tcPr>
          <w:p w:rsidR="005C272E" w:rsidRPr="002C2E8C" w:rsidRDefault="005C272E" w:rsidP="005C272E">
            <w:pPr>
              <w:jc w:val="cente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11123.5</w:t>
            </w:r>
          </w:p>
        </w:tc>
        <w:tc>
          <w:tcPr>
            <w:tcW w:w="1997" w:type="dxa"/>
            <w:gridSpan w:val="2"/>
            <w:noWrap/>
            <w:hideMark/>
          </w:tcPr>
          <w:p w:rsidR="005C272E" w:rsidRPr="002C2E8C" w:rsidRDefault="005C272E" w:rsidP="005C272E">
            <w:pPr>
              <w:jc w:val="cente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11133.4</w:t>
            </w:r>
          </w:p>
        </w:tc>
        <w:tc>
          <w:tcPr>
            <w:tcW w:w="1904" w:type="dxa"/>
            <w:gridSpan w:val="2"/>
            <w:noWrap/>
            <w:hideMark/>
          </w:tcPr>
          <w:p w:rsidR="005C272E" w:rsidRPr="002C2E8C" w:rsidRDefault="005C272E" w:rsidP="005C272E">
            <w:pPr>
              <w:jc w:val="cente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10790.0</w:t>
            </w:r>
          </w:p>
        </w:tc>
      </w:tr>
      <w:tr w:rsidR="005C272E" w:rsidRPr="002C2E8C" w:rsidTr="00534844">
        <w:trPr>
          <w:trHeight w:val="139"/>
        </w:trPr>
        <w:tc>
          <w:tcPr>
            <w:tcW w:w="2518" w:type="dxa"/>
            <w:noWrap/>
            <w:hideMark/>
          </w:tcPr>
          <w:p w:rsidR="005C272E" w:rsidRPr="001A7C23" w:rsidRDefault="005C272E" w:rsidP="00540CE3">
            <w:pP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s.e.</w:t>
            </w:r>
          </w:p>
        </w:tc>
        <w:tc>
          <w:tcPr>
            <w:tcW w:w="1813" w:type="dxa"/>
            <w:gridSpan w:val="2"/>
            <w:noWrap/>
            <w:hideMark/>
          </w:tcPr>
          <w:p w:rsidR="005C272E" w:rsidRPr="002C2E8C" w:rsidRDefault="005C272E" w:rsidP="005C272E">
            <w:pPr>
              <w:jc w:val="center"/>
              <w:rPr>
                <w:rFonts w:ascii="Calibri" w:eastAsia="Times New Roman" w:hAnsi="Calibri" w:cs="Times New Roman"/>
                <w:color w:val="000000"/>
                <w:sz w:val="18"/>
                <w:szCs w:val="18"/>
                <w:lang w:eastAsia="en-GB"/>
              </w:rPr>
            </w:pPr>
            <w:r w:rsidRPr="002C2E8C">
              <w:rPr>
                <w:rFonts w:ascii="Calibri" w:eastAsia="Times New Roman" w:hAnsi="Calibri" w:cs="Times New Roman"/>
                <w:color w:val="000000"/>
                <w:sz w:val="18"/>
                <w:szCs w:val="18"/>
                <w:lang w:eastAsia="en-GB"/>
              </w:rPr>
              <w:t>Cluster</w:t>
            </w:r>
          </w:p>
        </w:tc>
        <w:tc>
          <w:tcPr>
            <w:tcW w:w="2014" w:type="dxa"/>
            <w:gridSpan w:val="2"/>
            <w:noWrap/>
            <w:hideMark/>
          </w:tcPr>
          <w:p w:rsidR="005C272E" w:rsidRPr="002C2E8C" w:rsidRDefault="005C272E" w:rsidP="005C272E">
            <w:pPr>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C</w:t>
            </w:r>
            <w:r w:rsidRPr="002C2E8C">
              <w:rPr>
                <w:rFonts w:ascii="Calibri" w:eastAsia="Times New Roman" w:hAnsi="Calibri" w:cs="Times New Roman"/>
                <w:color w:val="000000"/>
                <w:sz w:val="18"/>
                <w:szCs w:val="18"/>
                <w:lang w:eastAsia="en-GB"/>
              </w:rPr>
              <w:t>luster</w:t>
            </w:r>
          </w:p>
        </w:tc>
        <w:tc>
          <w:tcPr>
            <w:tcW w:w="1769" w:type="dxa"/>
            <w:gridSpan w:val="2"/>
            <w:noWrap/>
            <w:hideMark/>
          </w:tcPr>
          <w:p w:rsidR="005C272E" w:rsidRPr="002C2E8C" w:rsidRDefault="005C272E" w:rsidP="005C272E">
            <w:pPr>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C</w:t>
            </w:r>
            <w:r w:rsidRPr="002C2E8C">
              <w:rPr>
                <w:rFonts w:ascii="Calibri" w:eastAsia="Times New Roman" w:hAnsi="Calibri" w:cs="Times New Roman"/>
                <w:color w:val="000000"/>
                <w:sz w:val="18"/>
                <w:szCs w:val="18"/>
                <w:lang w:eastAsia="en-GB"/>
              </w:rPr>
              <w:t>luster</w:t>
            </w:r>
          </w:p>
        </w:tc>
        <w:tc>
          <w:tcPr>
            <w:tcW w:w="1997" w:type="dxa"/>
            <w:gridSpan w:val="2"/>
            <w:noWrap/>
            <w:hideMark/>
          </w:tcPr>
          <w:p w:rsidR="005C272E" w:rsidRPr="002C2E8C" w:rsidRDefault="005C272E" w:rsidP="005C272E">
            <w:pPr>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C</w:t>
            </w:r>
            <w:r w:rsidRPr="002C2E8C">
              <w:rPr>
                <w:rFonts w:ascii="Calibri" w:eastAsia="Times New Roman" w:hAnsi="Calibri" w:cs="Times New Roman"/>
                <w:color w:val="000000"/>
                <w:sz w:val="18"/>
                <w:szCs w:val="18"/>
                <w:lang w:eastAsia="en-GB"/>
              </w:rPr>
              <w:t>luster</w:t>
            </w:r>
          </w:p>
        </w:tc>
        <w:tc>
          <w:tcPr>
            <w:tcW w:w="1904" w:type="dxa"/>
            <w:gridSpan w:val="2"/>
            <w:noWrap/>
            <w:hideMark/>
          </w:tcPr>
          <w:p w:rsidR="005C272E" w:rsidRPr="002C2E8C" w:rsidRDefault="005C272E" w:rsidP="005C272E">
            <w:pPr>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OIM</w:t>
            </w:r>
          </w:p>
        </w:tc>
      </w:tr>
    </w:tbl>
    <w:p w:rsidR="00D07DCF" w:rsidRDefault="00540CE3" w:rsidP="00D07DCF">
      <w:pPr>
        <w:spacing w:after="0" w:line="240" w:lineRule="auto"/>
        <w:jc w:val="both"/>
        <w:rPr>
          <w:rFonts w:ascii="Calibri" w:eastAsia="Times New Roman" w:hAnsi="Calibri" w:cs="Times New Roman"/>
          <w:color w:val="000000"/>
          <w:sz w:val="18"/>
          <w:szCs w:val="18"/>
          <w:lang w:eastAsia="en-GB"/>
        </w:rPr>
        <w:sectPr w:rsidR="00D07DCF" w:rsidSect="00BC1E71">
          <w:pgSz w:w="16838" w:h="11906" w:orient="landscape"/>
          <w:pgMar w:top="1440" w:right="1440" w:bottom="1440" w:left="1440" w:header="708" w:footer="708" w:gutter="0"/>
          <w:cols w:space="708"/>
          <w:docGrid w:linePitch="360"/>
        </w:sectPr>
      </w:pPr>
      <w:r w:rsidRPr="008A318C">
        <w:rPr>
          <w:rFonts w:ascii="Calibri" w:eastAsia="Times New Roman" w:hAnsi="Calibri" w:cs="Times New Roman"/>
          <w:color w:val="000000"/>
          <w:sz w:val="18"/>
          <w:szCs w:val="18"/>
          <w:lang w:eastAsia="en-GB"/>
        </w:rPr>
        <w:t xml:space="preserve">Negative binomial models: (1) to (4) pooled, (5) random effects. </w:t>
      </w:r>
      <w:r>
        <w:rPr>
          <w:rFonts w:ascii="Calibri" w:eastAsia="Times New Roman" w:hAnsi="Calibri" w:cs="Times New Roman"/>
          <w:color w:val="000000"/>
          <w:sz w:val="18"/>
          <w:szCs w:val="18"/>
          <w:lang w:eastAsia="en-GB"/>
        </w:rPr>
        <w:t xml:space="preserve"> </w:t>
      </w:r>
      <w:r w:rsidRPr="008A318C">
        <w:rPr>
          <w:rFonts w:ascii="Calibri" w:eastAsia="Times New Roman" w:hAnsi="Calibri" w:cs="Times New Roman"/>
          <w:color w:val="000000"/>
          <w:sz w:val="18"/>
          <w:szCs w:val="18"/>
          <w:lang w:eastAsia="en-GB"/>
        </w:rPr>
        <w:t>Dependent variable</w:t>
      </w:r>
      <w:r>
        <w:rPr>
          <w:rFonts w:ascii="Calibri" w:eastAsia="Times New Roman" w:hAnsi="Calibri" w:cs="Times New Roman"/>
          <w:color w:val="000000"/>
          <w:sz w:val="18"/>
          <w:szCs w:val="18"/>
          <w:lang w:eastAsia="en-GB"/>
        </w:rPr>
        <w:t xml:space="preserve">: </w:t>
      </w:r>
      <w:r w:rsidRPr="008A318C">
        <w:rPr>
          <w:sz w:val="18"/>
          <w:szCs w:val="18"/>
        </w:rPr>
        <w:t xml:space="preserve">total days of delay </w:t>
      </w:r>
      <w:r>
        <w:rPr>
          <w:sz w:val="18"/>
          <w:szCs w:val="18"/>
        </w:rPr>
        <w:t>in year attributed to NHS.</w:t>
      </w:r>
      <w:r w:rsidRPr="008A318C">
        <w:rPr>
          <w:sz w:val="18"/>
          <w:szCs w:val="18"/>
        </w:rPr>
        <w:t xml:space="preserve"> </w:t>
      </w:r>
      <w:r>
        <w:rPr>
          <w:sz w:val="18"/>
          <w:szCs w:val="18"/>
        </w:rPr>
        <w:t xml:space="preserve"> Coefficients are proportionate change in days of delay from one unit increase in explanatory variable.  Standardised r</w:t>
      </w:r>
      <w:r w:rsidRPr="008A318C">
        <w:rPr>
          <w:sz w:val="18"/>
          <w:szCs w:val="18"/>
        </w:rPr>
        <w:t xml:space="preserve">eadmissions are lagged by two years. </w:t>
      </w:r>
      <w:r>
        <w:rPr>
          <w:sz w:val="18"/>
          <w:szCs w:val="18"/>
        </w:rPr>
        <w:t>E</w:t>
      </w:r>
      <w:r w:rsidRPr="008A318C">
        <w:rPr>
          <w:sz w:val="18"/>
          <w:szCs w:val="18"/>
        </w:rPr>
        <w:t xml:space="preserve">xposure term has a coefficient </w:t>
      </w:r>
      <w:r w:rsidRPr="00E4235A">
        <w:rPr>
          <w:sz w:val="18"/>
          <w:szCs w:val="18"/>
        </w:rPr>
        <w:t>of 1.</w:t>
      </w:r>
      <w:r w:rsidRPr="00E4235A">
        <w:rPr>
          <w:rFonts w:ascii="Calibri" w:eastAsia="Times New Roman" w:hAnsi="Calibri" w:cs="Times New Roman"/>
          <w:color w:val="000000"/>
          <w:sz w:val="18"/>
          <w:szCs w:val="18"/>
          <w:lang w:eastAsia="en-GB"/>
        </w:rPr>
        <w:t xml:space="preserve"> </w:t>
      </w:r>
      <w:r>
        <w:rPr>
          <w:rFonts w:ascii="Calibri" w:eastAsia="Times New Roman" w:hAnsi="Calibri" w:cs="Times New Roman"/>
          <w:color w:val="000000"/>
          <w:sz w:val="18"/>
          <w:szCs w:val="18"/>
          <w:lang w:eastAsia="en-GB"/>
        </w:rPr>
        <w:t xml:space="preserve"> </w:t>
      </w:r>
      <w:r w:rsidRPr="00E4235A">
        <w:rPr>
          <w:rFonts w:ascii="Calibri" w:eastAsia="Times New Roman" w:hAnsi="Calibri" w:cs="Times New Roman"/>
          <w:color w:val="000000"/>
          <w:sz w:val="18"/>
          <w:szCs w:val="18"/>
          <w:lang w:eastAsia="en-GB"/>
        </w:rPr>
        <w:t xml:space="preserve">Ln alpha: </w:t>
      </w:r>
      <w:r>
        <w:rPr>
          <w:rFonts w:ascii="Calibri" w:eastAsia="Times New Roman" w:hAnsi="Calibri" w:cs="Times New Roman"/>
          <w:color w:val="000000"/>
          <w:sz w:val="18"/>
          <w:szCs w:val="18"/>
          <w:lang w:eastAsia="en-GB"/>
        </w:rPr>
        <w:t xml:space="preserve">log of overdispersion. </w:t>
      </w:r>
      <w:r w:rsidRPr="00E4235A">
        <w:rPr>
          <w:rFonts w:ascii="Calibri" w:eastAsia="Times New Roman" w:hAnsi="Calibri" w:cs="Times New Roman"/>
          <w:color w:val="000000"/>
          <w:sz w:val="18"/>
          <w:szCs w:val="18"/>
          <w:lang w:eastAsia="en-GB"/>
        </w:rPr>
        <w:t>Ln r and Ln s</w:t>
      </w:r>
      <w:r>
        <w:rPr>
          <w:rFonts w:ascii="Calibri" w:eastAsia="Times New Roman" w:hAnsi="Calibri" w:cs="Times New Roman"/>
          <w:color w:val="000000"/>
          <w:sz w:val="18"/>
          <w:szCs w:val="18"/>
          <w:lang w:eastAsia="en-GB"/>
        </w:rPr>
        <w:t xml:space="preserve">: </w:t>
      </w:r>
      <w:r w:rsidRPr="00E4235A">
        <w:rPr>
          <w:rFonts w:ascii="Calibri" w:eastAsia="Times New Roman" w:hAnsi="Calibri" w:cs="Times New Roman"/>
          <w:color w:val="000000"/>
          <w:sz w:val="18"/>
          <w:szCs w:val="18"/>
          <w:lang w:eastAsia="en-GB"/>
        </w:rPr>
        <w:t>shape parameters of the beta (r, s) distribution of random effects.</w:t>
      </w:r>
      <w:r w:rsidRPr="008A318C">
        <w:rPr>
          <w:rFonts w:ascii="Calibri" w:eastAsia="Times New Roman" w:hAnsi="Calibri" w:cs="Times New Roman"/>
          <w:color w:val="000000"/>
          <w:sz w:val="18"/>
          <w:szCs w:val="18"/>
          <w:lang w:eastAsia="en-GB"/>
        </w:rPr>
        <w:t xml:space="preserve"> AIC: Akaike Information Criterion. BIC: Bayesian Information Criterion. s.e.: standard errors. Cluster: </w:t>
      </w:r>
      <w:r w:rsidR="001625DC">
        <w:rPr>
          <w:rFonts w:ascii="Calibri" w:eastAsia="Times New Roman" w:hAnsi="Calibri" w:cs="Times New Roman"/>
          <w:color w:val="000000"/>
          <w:sz w:val="18"/>
          <w:szCs w:val="18"/>
          <w:lang w:eastAsia="en-GB"/>
        </w:rPr>
        <w:t>robust standard errors clustered at Trust level</w:t>
      </w:r>
      <w:r w:rsidRPr="008A318C">
        <w:rPr>
          <w:rFonts w:ascii="Calibri" w:eastAsia="Times New Roman" w:hAnsi="Calibri" w:cs="Times New Roman"/>
          <w:color w:val="000000"/>
          <w:sz w:val="18"/>
          <w:szCs w:val="18"/>
          <w:lang w:eastAsia="en-GB"/>
        </w:rPr>
        <w:t>. OIM: observed information matrix standard errors.  Observations: 614 = 208, 203 and 203 for 2011-12, 2012-13 and 2013-14</w:t>
      </w:r>
      <w:r>
        <w:rPr>
          <w:rFonts w:ascii="Calibri" w:eastAsia="Times New Roman" w:hAnsi="Calibri" w:cs="Times New Roman"/>
          <w:color w:val="000000"/>
          <w:sz w:val="18"/>
          <w:szCs w:val="18"/>
          <w:lang w:eastAsia="en-GB"/>
        </w:rPr>
        <w:t>.</w:t>
      </w:r>
      <w:r w:rsidRPr="008A318C">
        <w:rPr>
          <w:rFonts w:ascii="Calibri" w:eastAsia="Times New Roman" w:hAnsi="Calibri" w:cs="Times New Roman"/>
          <w:color w:val="000000"/>
          <w:sz w:val="18"/>
          <w:szCs w:val="18"/>
          <w:lang w:eastAsia="en-GB"/>
        </w:rPr>
        <w:t xml:space="preserve"> *p &lt; 0.1, **p &lt; 0.05, ***p &lt; 0.01</w:t>
      </w:r>
    </w:p>
    <w:p w:rsidR="003B1CCA" w:rsidRDefault="002C4A80" w:rsidP="005E6343">
      <w:pPr>
        <w:pStyle w:val="Heading1"/>
        <w:jc w:val="center"/>
        <w:rPr>
          <w:rFonts w:eastAsia="Times New Roman"/>
          <w:lang w:eastAsia="en-GB"/>
        </w:rPr>
      </w:pPr>
      <w:r>
        <w:rPr>
          <w:rFonts w:eastAsia="Times New Roman"/>
          <w:lang w:eastAsia="en-GB"/>
        </w:rPr>
        <w:lastRenderedPageBreak/>
        <w:t>Appendix</w:t>
      </w:r>
    </w:p>
    <w:p w:rsidR="00701DAE" w:rsidRDefault="00701DAE" w:rsidP="005E6343">
      <w:pPr>
        <w:rPr>
          <w:lang w:eastAsia="en-GB"/>
        </w:rPr>
      </w:pPr>
    </w:p>
    <w:p w:rsidR="00701DAE" w:rsidRPr="005E6343" w:rsidRDefault="00701DAE" w:rsidP="005E6343">
      <w:pPr>
        <w:rPr>
          <w:lang w:eastAsia="en-GB"/>
        </w:rPr>
      </w:pPr>
    </w:p>
    <w:p w:rsidR="00D07DCF" w:rsidRDefault="00D07DCF" w:rsidP="00E65998">
      <w:pPr>
        <w:pStyle w:val="Heading2"/>
        <w:ind w:left="-709" w:firstLine="709"/>
        <w:rPr>
          <w:rFonts w:eastAsia="Times New Roman"/>
          <w:lang w:eastAsia="en-GB"/>
        </w:rPr>
      </w:pPr>
      <w:r w:rsidRPr="005E6343">
        <w:rPr>
          <w:rFonts w:eastAsia="Times New Roman"/>
          <w:color w:val="365F91" w:themeColor="accent1" w:themeShade="BF"/>
          <w:sz w:val="24"/>
          <w:lang w:eastAsia="en-GB"/>
        </w:rPr>
        <w:t xml:space="preserve">Table </w:t>
      </w:r>
      <w:r w:rsidR="002C4A80" w:rsidRPr="005E6343">
        <w:rPr>
          <w:rFonts w:eastAsia="Times New Roman"/>
          <w:color w:val="365F91" w:themeColor="accent1" w:themeShade="BF"/>
          <w:sz w:val="24"/>
          <w:lang w:eastAsia="en-GB"/>
        </w:rPr>
        <w:t>A</w:t>
      </w:r>
      <w:r w:rsidRPr="005E6343">
        <w:rPr>
          <w:rFonts w:eastAsia="Times New Roman"/>
          <w:color w:val="365F91" w:themeColor="accent1" w:themeShade="BF"/>
          <w:sz w:val="24"/>
          <w:lang w:eastAsia="en-GB"/>
        </w:rPr>
        <w:t xml:space="preserve">: Days of Delay with </w:t>
      </w:r>
      <w:r w:rsidR="000642D2" w:rsidRPr="005E6343">
        <w:rPr>
          <w:color w:val="365F91" w:themeColor="accent1" w:themeShade="BF"/>
          <w:sz w:val="24"/>
        </w:rPr>
        <w:t>Interaction of FT status and Trust Type</w:t>
      </w:r>
    </w:p>
    <w:tbl>
      <w:tblPr>
        <w:tblStyle w:val="TableGrid"/>
        <w:tblW w:w="9699" w:type="dxa"/>
        <w:tblInd w:w="108" w:type="dxa"/>
        <w:tblLayout w:type="fixed"/>
        <w:tblLook w:val="0000" w:firstRow="0" w:lastRow="0" w:firstColumn="0" w:lastColumn="0" w:noHBand="0" w:noVBand="0"/>
      </w:tblPr>
      <w:tblGrid>
        <w:gridCol w:w="2227"/>
        <w:gridCol w:w="1041"/>
        <w:gridCol w:w="826"/>
        <w:gridCol w:w="1041"/>
        <w:gridCol w:w="828"/>
        <w:gridCol w:w="1041"/>
        <w:gridCol w:w="826"/>
        <w:gridCol w:w="1041"/>
        <w:gridCol w:w="828"/>
      </w:tblGrid>
      <w:tr w:rsidR="00D07DCF" w:rsidTr="00B24C21">
        <w:trPr>
          <w:trHeight w:val="290"/>
        </w:trPr>
        <w:tc>
          <w:tcPr>
            <w:tcW w:w="2227" w:type="dxa"/>
          </w:tcPr>
          <w:p w:rsidR="00D07DCF" w:rsidRPr="00D07DCF" w:rsidRDefault="00D07DCF" w:rsidP="00B24C21">
            <w:pPr>
              <w:autoSpaceDE w:val="0"/>
              <w:autoSpaceDN w:val="0"/>
              <w:adjustRightInd w:val="0"/>
              <w:ind w:left="34"/>
              <w:rPr>
                <w:rFonts w:ascii="Calibri" w:hAnsi="Calibri" w:cs="Calibri"/>
                <w:color w:val="000000"/>
                <w:sz w:val="18"/>
                <w:szCs w:val="18"/>
              </w:rPr>
            </w:pPr>
          </w:p>
        </w:tc>
        <w:tc>
          <w:tcPr>
            <w:tcW w:w="3736" w:type="dxa"/>
            <w:gridSpan w:val="4"/>
          </w:tcPr>
          <w:p w:rsidR="00D07DCF" w:rsidRPr="00D07DCF" w:rsidRDefault="00D07DCF">
            <w:pPr>
              <w:autoSpaceDE w:val="0"/>
              <w:autoSpaceDN w:val="0"/>
              <w:adjustRightInd w:val="0"/>
              <w:jc w:val="center"/>
              <w:rPr>
                <w:rFonts w:ascii="Calibri" w:hAnsi="Calibri" w:cs="Calibri"/>
                <w:color w:val="000000"/>
                <w:sz w:val="18"/>
                <w:szCs w:val="18"/>
              </w:rPr>
            </w:pPr>
            <w:r w:rsidRPr="00D07DCF">
              <w:rPr>
                <w:rFonts w:ascii="Calibri" w:hAnsi="Calibri" w:cs="Calibri"/>
                <w:color w:val="000000"/>
                <w:sz w:val="18"/>
                <w:szCs w:val="18"/>
              </w:rPr>
              <w:t>Days of Delay</w:t>
            </w:r>
          </w:p>
        </w:tc>
        <w:tc>
          <w:tcPr>
            <w:tcW w:w="3736" w:type="dxa"/>
            <w:gridSpan w:val="4"/>
          </w:tcPr>
          <w:p w:rsidR="00D07DCF" w:rsidRPr="00D07DCF" w:rsidRDefault="00D07DCF" w:rsidP="000642D2">
            <w:pPr>
              <w:autoSpaceDE w:val="0"/>
              <w:autoSpaceDN w:val="0"/>
              <w:adjustRightInd w:val="0"/>
              <w:jc w:val="center"/>
              <w:rPr>
                <w:rFonts w:ascii="Calibri" w:hAnsi="Calibri" w:cs="Calibri"/>
                <w:color w:val="000000"/>
                <w:sz w:val="18"/>
                <w:szCs w:val="18"/>
              </w:rPr>
            </w:pPr>
            <w:r w:rsidRPr="00D07DCF">
              <w:rPr>
                <w:rFonts w:ascii="Calibri" w:hAnsi="Calibri" w:cs="Calibri"/>
                <w:color w:val="000000"/>
                <w:sz w:val="18"/>
                <w:szCs w:val="18"/>
              </w:rPr>
              <w:t>Days of Delay Attributed to NHS</w:t>
            </w:r>
          </w:p>
        </w:tc>
      </w:tr>
      <w:tr w:rsidR="00D07DCF" w:rsidTr="00B24C21">
        <w:trPr>
          <w:trHeight w:val="190"/>
        </w:trPr>
        <w:tc>
          <w:tcPr>
            <w:tcW w:w="2227" w:type="dxa"/>
          </w:tcPr>
          <w:p w:rsidR="00D07DCF" w:rsidRPr="00D07DCF" w:rsidRDefault="00D07DCF">
            <w:pPr>
              <w:autoSpaceDE w:val="0"/>
              <w:autoSpaceDN w:val="0"/>
              <w:adjustRightInd w:val="0"/>
              <w:rPr>
                <w:rFonts w:ascii="Calibri" w:hAnsi="Calibri" w:cs="Calibri"/>
                <w:color w:val="000000"/>
                <w:sz w:val="18"/>
                <w:szCs w:val="18"/>
              </w:rPr>
            </w:pPr>
          </w:p>
        </w:tc>
        <w:tc>
          <w:tcPr>
            <w:tcW w:w="1867" w:type="dxa"/>
            <w:gridSpan w:val="2"/>
          </w:tcPr>
          <w:p w:rsidR="00D07DCF" w:rsidRPr="00D07DCF" w:rsidRDefault="00D07DCF">
            <w:pPr>
              <w:autoSpaceDE w:val="0"/>
              <w:autoSpaceDN w:val="0"/>
              <w:adjustRightInd w:val="0"/>
              <w:jc w:val="center"/>
              <w:rPr>
                <w:rFonts w:ascii="Calibri" w:hAnsi="Calibri" w:cs="Calibri"/>
                <w:color w:val="000000"/>
                <w:sz w:val="18"/>
                <w:szCs w:val="18"/>
              </w:rPr>
            </w:pPr>
            <w:r w:rsidRPr="00D07DCF">
              <w:rPr>
                <w:rFonts w:ascii="Calibri" w:hAnsi="Calibri" w:cs="Calibri"/>
                <w:color w:val="000000"/>
                <w:sz w:val="18"/>
                <w:szCs w:val="18"/>
              </w:rPr>
              <w:t>Pooled Model</w:t>
            </w:r>
          </w:p>
        </w:tc>
        <w:tc>
          <w:tcPr>
            <w:tcW w:w="1869" w:type="dxa"/>
            <w:gridSpan w:val="2"/>
          </w:tcPr>
          <w:p w:rsidR="00D07DCF" w:rsidRPr="00D07DCF" w:rsidRDefault="00D07DCF" w:rsidP="0053719C">
            <w:pPr>
              <w:autoSpaceDE w:val="0"/>
              <w:autoSpaceDN w:val="0"/>
              <w:adjustRightInd w:val="0"/>
              <w:jc w:val="center"/>
              <w:rPr>
                <w:rFonts w:ascii="Calibri" w:hAnsi="Calibri" w:cs="Calibri"/>
                <w:color w:val="000000"/>
                <w:sz w:val="18"/>
                <w:szCs w:val="18"/>
              </w:rPr>
            </w:pPr>
            <w:r w:rsidRPr="00D07DCF">
              <w:rPr>
                <w:rFonts w:ascii="Calibri" w:hAnsi="Calibri" w:cs="Calibri"/>
                <w:color w:val="000000"/>
                <w:sz w:val="18"/>
                <w:szCs w:val="18"/>
              </w:rPr>
              <w:t xml:space="preserve">Random </w:t>
            </w:r>
            <w:r w:rsidR="0053719C">
              <w:rPr>
                <w:rFonts w:ascii="Calibri" w:hAnsi="Calibri" w:cs="Calibri"/>
                <w:color w:val="000000"/>
                <w:sz w:val="18"/>
                <w:szCs w:val="18"/>
              </w:rPr>
              <w:t>Trust</w:t>
            </w:r>
            <w:r w:rsidR="0053719C" w:rsidRPr="00D07DCF">
              <w:rPr>
                <w:rFonts w:ascii="Calibri" w:hAnsi="Calibri" w:cs="Calibri"/>
                <w:color w:val="000000"/>
                <w:sz w:val="18"/>
                <w:szCs w:val="18"/>
              </w:rPr>
              <w:t xml:space="preserve"> </w:t>
            </w:r>
            <w:r w:rsidRPr="00D07DCF">
              <w:rPr>
                <w:rFonts w:ascii="Calibri" w:hAnsi="Calibri" w:cs="Calibri"/>
                <w:color w:val="000000"/>
                <w:sz w:val="18"/>
                <w:szCs w:val="18"/>
              </w:rPr>
              <w:t>Effects</w:t>
            </w:r>
          </w:p>
        </w:tc>
        <w:tc>
          <w:tcPr>
            <w:tcW w:w="1867" w:type="dxa"/>
            <w:gridSpan w:val="2"/>
          </w:tcPr>
          <w:p w:rsidR="00D07DCF" w:rsidRPr="00D07DCF" w:rsidRDefault="00D07DCF">
            <w:pPr>
              <w:autoSpaceDE w:val="0"/>
              <w:autoSpaceDN w:val="0"/>
              <w:adjustRightInd w:val="0"/>
              <w:jc w:val="center"/>
              <w:rPr>
                <w:rFonts w:ascii="Calibri" w:hAnsi="Calibri" w:cs="Calibri"/>
                <w:color w:val="000000"/>
                <w:sz w:val="18"/>
                <w:szCs w:val="18"/>
              </w:rPr>
            </w:pPr>
            <w:r w:rsidRPr="00D07DCF">
              <w:rPr>
                <w:rFonts w:ascii="Calibri" w:hAnsi="Calibri" w:cs="Calibri"/>
                <w:color w:val="000000"/>
                <w:sz w:val="18"/>
                <w:szCs w:val="18"/>
              </w:rPr>
              <w:t>Pooled Model</w:t>
            </w:r>
          </w:p>
        </w:tc>
        <w:tc>
          <w:tcPr>
            <w:tcW w:w="1869" w:type="dxa"/>
            <w:gridSpan w:val="2"/>
          </w:tcPr>
          <w:p w:rsidR="00D07DCF" w:rsidRPr="00D07DCF" w:rsidRDefault="00D07DCF" w:rsidP="0053719C">
            <w:pPr>
              <w:autoSpaceDE w:val="0"/>
              <w:autoSpaceDN w:val="0"/>
              <w:adjustRightInd w:val="0"/>
              <w:jc w:val="center"/>
              <w:rPr>
                <w:rFonts w:ascii="Calibri" w:hAnsi="Calibri" w:cs="Calibri"/>
                <w:color w:val="000000"/>
                <w:sz w:val="18"/>
                <w:szCs w:val="18"/>
              </w:rPr>
            </w:pPr>
            <w:r w:rsidRPr="00D07DCF">
              <w:rPr>
                <w:rFonts w:ascii="Calibri" w:hAnsi="Calibri" w:cs="Calibri"/>
                <w:color w:val="000000"/>
                <w:sz w:val="18"/>
                <w:szCs w:val="18"/>
              </w:rPr>
              <w:t xml:space="preserve">Random </w:t>
            </w:r>
            <w:r w:rsidR="0053719C">
              <w:rPr>
                <w:rFonts w:ascii="Calibri" w:hAnsi="Calibri" w:cs="Calibri"/>
                <w:color w:val="000000"/>
                <w:sz w:val="18"/>
                <w:szCs w:val="18"/>
              </w:rPr>
              <w:t>Trust</w:t>
            </w:r>
            <w:r w:rsidR="0053719C" w:rsidRPr="00D07DCF">
              <w:rPr>
                <w:rFonts w:ascii="Calibri" w:hAnsi="Calibri" w:cs="Calibri"/>
                <w:color w:val="000000"/>
                <w:sz w:val="18"/>
                <w:szCs w:val="18"/>
              </w:rPr>
              <w:t xml:space="preserve"> </w:t>
            </w:r>
            <w:r w:rsidRPr="00D07DCF">
              <w:rPr>
                <w:rFonts w:ascii="Calibri" w:hAnsi="Calibri" w:cs="Calibri"/>
                <w:color w:val="000000"/>
                <w:sz w:val="18"/>
                <w:szCs w:val="18"/>
              </w:rPr>
              <w:t>Effects</w:t>
            </w:r>
          </w:p>
        </w:tc>
      </w:tr>
      <w:tr w:rsidR="00D07DCF" w:rsidTr="00B24C21">
        <w:trPr>
          <w:trHeight w:val="290"/>
        </w:trPr>
        <w:tc>
          <w:tcPr>
            <w:tcW w:w="2227"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Acute Specialist Trust</w:t>
            </w:r>
          </w:p>
        </w:tc>
        <w:tc>
          <w:tcPr>
            <w:tcW w:w="1041"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-0.685</w:t>
            </w:r>
          </w:p>
        </w:tc>
        <w:tc>
          <w:tcPr>
            <w:tcW w:w="826"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(0.144)</w:t>
            </w:r>
          </w:p>
        </w:tc>
        <w:tc>
          <w:tcPr>
            <w:tcW w:w="1041"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0.137</w:t>
            </w:r>
          </w:p>
        </w:tc>
        <w:tc>
          <w:tcPr>
            <w:tcW w:w="828"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(0.816)</w:t>
            </w:r>
          </w:p>
        </w:tc>
        <w:tc>
          <w:tcPr>
            <w:tcW w:w="1041"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-2.833***</w:t>
            </w:r>
          </w:p>
        </w:tc>
        <w:tc>
          <w:tcPr>
            <w:tcW w:w="826"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(0.000)</w:t>
            </w:r>
          </w:p>
        </w:tc>
        <w:tc>
          <w:tcPr>
            <w:tcW w:w="1041"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-2.815***</w:t>
            </w:r>
          </w:p>
        </w:tc>
        <w:tc>
          <w:tcPr>
            <w:tcW w:w="828"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(0.007)</w:t>
            </w:r>
          </w:p>
        </w:tc>
      </w:tr>
      <w:tr w:rsidR="00D07DCF" w:rsidTr="00B24C21">
        <w:trPr>
          <w:trHeight w:val="290"/>
        </w:trPr>
        <w:tc>
          <w:tcPr>
            <w:tcW w:w="2227"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Acute Teaching Trust</w:t>
            </w:r>
          </w:p>
        </w:tc>
        <w:tc>
          <w:tcPr>
            <w:tcW w:w="1041"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0.193</w:t>
            </w:r>
          </w:p>
        </w:tc>
        <w:tc>
          <w:tcPr>
            <w:tcW w:w="826"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(0.420)</w:t>
            </w:r>
          </w:p>
        </w:tc>
        <w:tc>
          <w:tcPr>
            <w:tcW w:w="1041"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0.0606</w:t>
            </w:r>
          </w:p>
        </w:tc>
        <w:tc>
          <w:tcPr>
            <w:tcW w:w="828"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(0.738)</w:t>
            </w:r>
          </w:p>
        </w:tc>
        <w:tc>
          <w:tcPr>
            <w:tcW w:w="1041"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0.108</w:t>
            </w:r>
          </w:p>
        </w:tc>
        <w:tc>
          <w:tcPr>
            <w:tcW w:w="826"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(0.657)</w:t>
            </w:r>
          </w:p>
        </w:tc>
        <w:tc>
          <w:tcPr>
            <w:tcW w:w="1041"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0.114</w:t>
            </w:r>
          </w:p>
        </w:tc>
        <w:tc>
          <w:tcPr>
            <w:tcW w:w="828"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(0.566)</w:t>
            </w:r>
          </w:p>
        </w:tc>
      </w:tr>
      <w:tr w:rsidR="00D07DCF" w:rsidTr="00B24C21">
        <w:trPr>
          <w:trHeight w:val="290"/>
        </w:trPr>
        <w:tc>
          <w:tcPr>
            <w:tcW w:w="2227"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Mental Health Trust</w:t>
            </w:r>
          </w:p>
        </w:tc>
        <w:tc>
          <w:tcPr>
            <w:tcW w:w="1041"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0.501**</w:t>
            </w:r>
          </w:p>
        </w:tc>
        <w:tc>
          <w:tcPr>
            <w:tcW w:w="826"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(0.028)</w:t>
            </w:r>
          </w:p>
        </w:tc>
        <w:tc>
          <w:tcPr>
            <w:tcW w:w="1041"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0.193</w:t>
            </w:r>
          </w:p>
        </w:tc>
        <w:tc>
          <w:tcPr>
            <w:tcW w:w="828"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(0.361)</w:t>
            </w:r>
          </w:p>
        </w:tc>
        <w:tc>
          <w:tcPr>
            <w:tcW w:w="1041"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-0.222</w:t>
            </w:r>
          </w:p>
        </w:tc>
        <w:tc>
          <w:tcPr>
            <w:tcW w:w="826"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(0.453)</w:t>
            </w:r>
          </w:p>
        </w:tc>
        <w:tc>
          <w:tcPr>
            <w:tcW w:w="1041"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-0.400*</w:t>
            </w:r>
          </w:p>
        </w:tc>
        <w:tc>
          <w:tcPr>
            <w:tcW w:w="828"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(0.095)</w:t>
            </w:r>
          </w:p>
        </w:tc>
      </w:tr>
      <w:tr w:rsidR="00D07DCF" w:rsidTr="00B24C21">
        <w:trPr>
          <w:trHeight w:val="290"/>
        </w:trPr>
        <w:tc>
          <w:tcPr>
            <w:tcW w:w="2227"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Foundation Trust</w:t>
            </w:r>
          </w:p>
        </w:tc>
        <w:tc>
          <w:tcPr>
            <w:tcW w:w="1041"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-0.120</w:t>
            </w:r>
          </w:p>
        </w:tc>
        <w:tc>
          <w:tcPr>
            <w:tcW w:w="826"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(0.228)</w:t>
            </w:r>
          </w:p>
        </w:tc>
        <w:tc>
          <w:tcPr>
            <w:tcW w:w="1041"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-0.276***</w:t>
            </w:r>
          </w:p>
        </w:tc>
        <w:tc>
          <w:tcPr>
            <w:tcW w:w="828"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(0.003)</w:t>
            </w:r>
          </w:p>
        </w:tc>
        <w:tc>
          <w:tcPr>
            <w:tcW w:w="1041"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-0.163</w:t>
            </w:r>
          </w:p>
        </w:tc>
        <w:tc>
          <w:tcPr>
            <w:tcW w:w="826"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(0.155)</w:t>
            </w:r>
          </w:p>
        </w:tc>
        <w:tc>
          <w:tcPr>
            <w:tcW w:w="1041"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-0.460***</w:t>
            </w:r>
          </w:p>
        </w:tc>
        <w:tc>
          <w:tcPr>
            <w:tcW w:w="828"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(0.000)</w:t>
            </w:r>
          </w:p>
        </w:tc>
      </w:tr>
      <w:tr w:rsidR="00D07DCF" w:rsidTr="00B24C21">
        <w:trPr>
          <w:trHeight w:val="290"/>
        </w:trPr>
        <w:tc>
          <w:tcPr>
            <w:tcW w:w="2227" w:type="dxa"/>
          </w:tcPr>
          <w:p w:rsidR="00E65998"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Teaching Trust-</w:t>
            </w:r>
          </w:p>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FT Interaction</w:t>
            </w:r>
          </w:p>
        </w:tc>
        <w:tc>
          <w:tcPr>
            <w:tcW w:w="1041"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-0.111</w:t>
            </w:r>
          </w:p>
        </w:tc>
        <w:tc>
          <w:tcPr>
            <w:tcW w:w="826"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(0.683)</w:t>
            </w:r>
          </w:p>
        </w:tc>
        <w:tc>
          <w:tcPr>
            <w:tcW w:w="1041"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-0.366*</w:t>
            </w:r>
          </w:p>
        </w:tc>
        <w:tc>
          <w:tcPr>
            <w:tcW w:w="828"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(0.090)</w:t>
            </w:r>
          </w:p>
        </w:tc>
        <w:tc>
          <w:tcPr>
            <w:tcW w:w="1041"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-0.0610</w:t>
            </w:r>
          </w:p>
        </w:tc>
        <w:tc>
          <w:tcPr>
            <w:tcW w:w="826"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(0.832)</w:t>
            </w:r>
          </w:p>
        </w:tc>
        <w:tc>
          <w:tcPr>
            <w:tcW w:w="1041"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-0.318</w:t>
            </w:r>
          </w:p>
        </w:tc>
        <w:tc>
          <w:tcPr>
            <w:tcW w:w="828"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(0.181)</w:t>
            </w:r>
          </w:p>
        </w:tc>
      </w:tr>
      <w:tr w:rsidR="00D07DCF" w:rsidTr="00B24C21">
        <w:trPr>
          <w:trHeight w:val="290"/>
        </w:trPr>
        <w:tc>
          <w:tcPr>
            <w:tcW w:w="2227" w:type="dxa"/>
          </w:tcPr>
          <w:p w:rsidR="00E65998"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Specialist-</w:t>
            </w:r>
          </w:p>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FT Interaction</w:t>
            </w:r>
          </w:p>
        </w:tc>
        <w:tc>
          <w:tcPr>
            <w:tcW w:w="1041"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0.0605</w:t>
            </w:r>
          </w:p>
        </w:tc>
        <w:tc>
          <w:tcPr>
            <w:tcW w:w="826"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(0.846)</w:t>
            </w:r>
          </w:p>
        </w:tc>
        <w:tc>
          <w:tcPr>
            <w:tcW w:w="1041"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-0.130</w:t>
            </w:r>
          </w:p>
        </w:tc>
        <w:tc>
          <w:tcPr>
            <w:tcW w:w="828"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(0.823)</w:t>
            </w:r>
          </w:p>
        </w:tc>
        <w:tc>
          <w:tcPr>
            <w:tcW w:w="1041"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2.241***</w:t>
            </w:r>
          </w:p>
        </w:tc>
        <w:tc>
          <w:tcPr>
            <w:tcW w:w="826"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(0.000)</w:t>
            </w:r>
          </w:p>
        </w:tc>
        <w:tc>
          <w:tcPr>
            <w:tcW w:w="1041"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2.972***</w:t>
            </w:r>
          </w:p>
        </w:tc>
        <w:tc>
          <w:tcPr>
            <w:tcW w:w="828"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(0.004)</w:t>
            </w:r>
          </w:p>
        </w:tc>
      </w:tr>
      <w:tr w:rsidR="00D07DCF" w:rsidTr="00B24C21">
        <w:trPr>
          <w:trHeight w:val="290"/>
        </w:trPr>
        <w:tc>
          <w:tcPr>
            <w:tcW w:w="2227" w:type="dxa"/>
          </w:tcPr>
          <w:p w:rsidR="00E65998"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Mental Health-</w:t>
            </w:r>
          </w:p>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FT Interaction</w:t>
            </w:r>
          </w:p>
        </w:tc>
        <w:tc>
          <w:tcPr>
            <w:tcW w:w="1041"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-0.0660</w:t>
            </w:r>
          </w:p>
        </w:tc>
        <w:tc>
          <w:tcPr>
            <w:tcW w:w="826"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(0.701)</w:t>
            </w:r>
          </w:p>
        </w:tc>
        <w:tc>
          <w:tcPr>
            <w:tcW w:w="1041"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-0.00124</w:t>
            </w:r>
          </w:p>
        </w:tc>
        <w:tc>
          <w:tcPr>
            <w:tcW w:w="828"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(0.995)</w:t>
            </w:r>
          </w:p>
        </w:tc>
        <w:tc>
          <w:tcPr>
            <w:tcW w:w="1041"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-0.163</w:t>
            </w:r>
          </w:p>
        </w:tc>
        <w:tc>
          <w:tcPr>
            <w:tcW w:w="826"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(0.412)</w:t>
            </w:r>
          </w:p>
        </w:tc>
        <w:tc>
          <w:tcPr>
            <w:tcW w:w="1041"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0.269</w:t>
            </w:r>
          </w:p>
        </w:tc>
        <w:tc>
          <w:tcPr>
            <w:tcW w:w="828"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(0.204)</w:t>
            </w:r>
          </w:p>
        </w:tc>
      </w:tr>
      <w:tr w:rsidR="00D07DCF" w:rsidTr="00B24C21">
        <w:trPr>
          <w:trHeight w:val="290"/>
        </w:trPr>
        <w:tc>
          <w:tcPr>
            <w:tcW w:w="2227"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Ln Care Home Beds</w:t>
            </w:r>
          </w:p>
        </w:tc>
        <w:tc>
          <w:tcPr>
            <w:tcW w:w="1041"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-0.263***</w:t>
            </w:r>
          </w:p>
        </w:tc>
        <w:tc>
          <w:tcPr>
            <w:tcW w:w="826"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(0.000)</w:t>
            </w:r>
          </w:p>
        </w:tc>
        <w:tc>
          <w:tcPr>
            <w:tcW w:w="1041"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-0.287***</w:t>
            </w:r>
          </w:p>
        </w:tc>
        <w:tc>
          <w:tcPr>
            <w:tcW w:w="828"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(0.000)</w:t>
            </w:r>
          </w:p>
        </w:tc>
        <w:tc>
          <w:tcPr>
            <w:tcW w:w="1041"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-0.239***</w:t>
            </w:r>
          </w:p>
        </w:tc>
        <w:tc>
          <w:tcPr>
            <w:tcW w:w="826"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(0.004)</w:t>
            </w:r>
          </w:p>
        </w:tc>
        <w:tc>
          <w:tcPr>
            <w:tcW w:w="1041"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-0.258***</w:t>
            </w:r>
          </w:p>
        </w:tc>
        <w:tc>
          <w:tcPr>
            <w:tcW w:w="828"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(0.000)</w:t>
            </w:r>
          </w:p>
        </w:tc>
      </w:tr>
      <w:tr w:rsidR="00D07DCF" w:rsidTr="00B24C21">
        <w:trPr>
          <w:trHeight w:val="290"/>
        </w:trPr>
        <w:tc>
          <w:tcPr>
            <w:tcW w:w="2227"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Ln Care Home Price/Week</w:t>
            </w:r>
          </w:p>
        </w:tc>
        <w:tc>
          <w:tcPr>
            <w:tcW w:w="1041"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0.221</w:t>
            </w:r>
          </w:p>
        </w:tc>
        <w:tc>
          <w:tcPr>
            <w:tcW w:w="826"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(0.433)</w:t>
            </w:r>
          </w:p>
        </w:tc>
        <w:tc>
          <w:tcPr>
            <w:tcW w:w="1041"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0.418*</w:t>
            </w:r>
          </w:p>
        </w:tc>
        <w:tc>
          <w:tcPr>
            <w:tcW w:w="828"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(0.081)</w:t>
            </w:r>
          </w:p>
        </w:tc>
        <w:tc>
          <w:tcPr>
            <w:tcW w:w="1041"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0.0340</w:t>
            </w:r>
          </w:p>
        </w:tc>
        <w:tc>
          <w:tcPr>
            <w:tcW w:w="826"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(0.923)</w:t>
            </w:r>
          </w:p>
        </w:tc>
        <w:tc>
          <w:tcPr>
            <w:tcW w:w="1041"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-0.0206</w:t>
            </w:r>
          </w:p>
        </w:tc>
        <w:tc>
          <w:tcPr>
            <w:tcW w:w="828"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(0.935)</w:t>
            </w:r>
          </w:p>
        </w:tc>
      </w:tr>
      <w:tr w:rsidR="00D07DCF" w:rsidTr="00B24C21">
        <w:trPr>
          <w:trHeight w:val="290"/>
        </w:trPr>
        <w:tc>
          <w:tcPr>
            <w:tcW w:w="2227"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Ln alpha</w:t>
            </w:r>
          </w:p>
        </w:tc>
        <w:tc>
          <w:tcPr>
            <w:tcW w:w="1041"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-0.807***</w:t>
            </w:r>
          </w:p>
        </w:tc>
        <w:tc>
          <w:tcPr>
            <w:tcW w:w="826"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(0.000)</w:t>
            </w:r>
          </w:p>
        </w:tc>
        <w:tc>
          <w:tcPr>
            <w:tcW w:w="1041" w:type="dxa"/>
          </w:tcPr>
          <w:p w:rsidR="00D07DCF" w:rsidRPr="00D07DCF" w:rsidRDefault="00D07DCF">
            <w:pPr>
              <w:autoSpaceDE w:val="0"/>
              <w:autoSpaceDN w:val="0"/>
              <w:adjustRightInd w:val="0"/>
              <w:rPr>
                <w:rFonts w:ascii="Calibri" w:hAnsi="Calibri" w:cs="Calibri"/>
                <w:color w:val="000000"/>
                <w:sz w:val="18"/>
                <w:szCs w:val="18"/>
              </w:rPr>
            </w:pPr>
          </w:p>
        </w:tc>
        <w:tc>
          <w:tcPr>
            <w:tcW w:w="828" w:type="dxa"/>
          </w:tcPr>
          <w:p w:rsidR="00D07DCF" w:rsidRPr="00D07DCF" w:rsidRDefault="00D07DCF">
            <w:pPr>
              <w:autoSpaceDE w:val="0"/>
              <w:autoSpaceDN w:val="0"/>
              <w:adjustRightInd w:val="0"/>
              <w:rPr>
                <w:rFonts w:ascii="Calibri" w:hAnsi="Calibri" w:cs="Calibri"/>
                <w:color w:val="000000"/>
                <w:sz w:val="18"/>
                <w:szCs w:val="18"/>
              </w:rPr>
            </w:pPr>
          </w:p>
        </w:tc>
        <w:tc>
          <w:tcPr>
            <w:tcW w:w="1041"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-0.511***</w:t>
            </w:r>
          </w:p>
        </w:tc>
        <w:tc>
          <w:tcPr>
            <w:tcW w:w="826"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(0.000)</w:t>
            </w:r>
          </w:p>
        </w:tc>
        <w:tc>
          <w:tcPr>
            <w:tcW w:w="1041" w:type="dxa"/>
          </w:tcPr>
          <w:p w:rsidR="00D07DCF" w:rsidRPr="00D07DCF" w:rsidRDefault="00D07DCF">
            <w:pPr>
              <w:autoSpaceDE w:val="0"/>
              <w:autoSpaceDN w:val="0"/>
              <w:adjustRightInd w:val="0"/>
              <w:rPr>
                <w:rFonts w:ascii="Calibri" w:hAnsi="Calibri" w:cs="Calibri"/>
                <w:color w:val="000000"/>
                <w:sz w:val="18"/>
                <w:szCs w:val="18"/>
              </w:rPr>
            </w:pPr>
          </w:p>
        </w:tc>
        <w:tc>
          <w:tcPr>
            <w:tcW w:w="828" w:type="dxa"/>
          </w:tcPr>
          <w:p w:rsidR="00D07DCF" w:rsidRPr="00D07DCF" w:rsidRDefault="00D07DCF">
            <w:pPr>
              <w:autoSpaceDE w:val="0"/>
              <w:autoSpaceDN w:val="0"/>
              <w:adjustRightInd w:val="0"/>
              <w:rPr>
                <w:rFonts w:ascii="Calibri" w:hAnsi="Calibri" w:cs="Calibri"/>
                <w:color w:val="000000"/>
                <w:sz w:val="18"/>
                <w:szCs w:val="18"/>
              </w:rPr>
            </w:pPr>
          </w:p>
        </w:tc>
      </w:tr>
      <w:tr w:rsidR="00D07DCF" w:rsidTr="00B24C21">
        <w:trPr>
          <w:trHeight w:val="290"/>
        </w:trPr>
        <w:tc>
          <w:tcPr>
            <w:tcW w:w="2227"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Ln r</w:t>
            </w:r>
          </w:p>
        </w:tc>
        <w:tc>
          <w:tcPr>
            <w:tcW w:w="1041" w:type="dxa"/>
          </w:tcPr>
          <w:p w:rsidR="00D07DCF" w:rsidRPr="00D07DCF" w:rsidRDefault="00D07DCF">
            <w:pPr>
              <w:autoSpaceDE w:val="0"/>
              <w:autoSpaceDN w:val="0"/>
              <w:adjustRightInd w:val="0"/>
              <w:rPr>
                <w:rFonts w:ascii="Calibri" w:hAnsi="Calibri" w:cs="Calibri"/>
                <w:color w:val="000000"/>
                <w:sz w:val="18"/>
                <w:szCs w:val="18"/>
              </w:rPr>
            </w:pPr>
          </w:p>
        </w:tc>
        <w:tc>
          <w:tcPr>
            <w:tcW w:w="826" w:type="dxa"/>
          </w:tcPr>
          <w:p w:rsidR="00D07DCF" w:rsidRPr="00D07DCF" w:rsidRDefault="00D07DCF">
            <w:pPr>
              <w:autoSpaceDE w:val="0"/>
              <w:autoSpaceDN w:val="0"/>
              <w:adjustRightInd w:val="0"/>
              <w:rPr>
                <w:rFonts w:ascii="Calibri" w:hAnsi="Calibri" w:cs="Calibri"/>
                <w:color w:val="000000"/>
                <w:sz w:val="18"/>
                <w:szCs w:val="18"/>
              </w:rPr>
            </w:pPr>
          </w:p>
        </w:tc>
        <w:tc>
          <w:tcPr>
            <w:tcW w:w="1041"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1.147***</w:t>
            </w:r>
          </w:p>
        </w:tc>
        <w:tc>
          <w:tcPr>
            <w:tcW w:w="828"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(0.000)</w:t>
            </w:r>
          </w:p>
        </w:tc>
        <w:tc>
          <w:tcPr>
            <w:tcW w:w="1041" w:type="dxa"/>
          </w:tcPr>
          <w:p w:rsidR="00D07DCF" w:rsidRPr="00D07DCF" w:rsidRDefault="00D07DCF">
            <w:pPr>
              <w:autoSpaceDE w:val="0"/>
              <w:autoSpaceDN w:val="0"/>
              <w:adjustRightInd w:val="0"/>
              <w:rPr>
                <w:rFonts w:ascii="Calibri" w:hAnsi="Calibri" w:cs="Calibri"/>
                <w:color w:val="000000"/>
                <w:sz w:val="18"/>
                <w:szCs w:val="18"/>
              </w:rPr>
            </w:pPr>
          </w:p>
        </w:tc>
        <w:tc>
          <w:tcPr>
            <w:tcW w:w="826" w:type="dxa"/>
          </w:tcPr>
          <w:p w:rsidR="00D07DCF" w:rsidRPr="00D07DCF" w:rsidRDefault="00D07DCF">
            <w:pPr>
              <w:autoSpaceDE w:val="0"/>
              <w:autoSpaceDN w:val="0"/>
              <w:adjustRightInd w:val="0"/>
              <w:rPr>
                <w:rFonts w:ascii="Calibri" w:hAnsi="Calibri" w:cs="Calibri"/>
                <w:color w:val="000000"/>
                <w:sz w:val="18"/>
                <w:szCs w:val="18"/>
              </w:rPr>
            </w:pPr>
          </w:p>
        </w:tc>
        <w:tc>
          <w:tcPr>
            <w:tcW w:w="1041"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0.866***</w:t>
            </w:r>
          </w:p>
        </w:tc>
        <w:tc>
          <w:tcPr>
            <w:tcW w:w="828"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(0.000)</w:t>
            </w:r>
          </w:p>
        </w:tc>
      </w:tr>
      <w:tr w:rsidR="00D07DCF" w:rsidTr="00B24C21">
        <w:trPr>
          <w:trHeight w:val="290"/>
        </w:trPr>
        <w:tc>
          <w:tcPr>
            <w:tcW w:w="2227"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Ln s</w:t>
            </w:r>
          </w:p>
        </w:tc>
        <w:tc>
          <w:tcPr>
            <w:tcW w:w="1041" w:type="dxa"/>
          </w:tcPr>
          <w:p w:rsidR="00D07DCF" w:rsidRPr="00D07DCF" w:rsidRDefault="00D07DCF">
            <w:pPr>
              <w:autoSpaceDE w:val="0"/>
              <w:autoSpaceDN w:val="0"/>
              <w:adjustRightInd w:val="0"/>
              <w:rPr>
                <w:rFonts w:ascii="Calibri" w:hAnsi="Calibri" w:cs="Calibri"/>
                <w:color w:val="000000"/>
                <w:sz w:val="18"/>
                <w:szCs w:val="18"/>
              </w:rPr>
            </w:pPr>
          </w:p>
        </w:tc>
        <w:tc>
          <w:tcPr>
            <w:tcW w:w="826" w:type="dxa"/>
          </w:tcPr>
          <w:p w:rsidR="00D07DCF" w:rsidRPr="00D07DCF" w:rsidRDefault="00D07DCF">
            <w:pPr>
              <w:autoSpaceDE w:val="0"/>
              <w:autoSpaceDN w:val="0"/>
              <w:adjustRightInd w:val="0"/>
              <w:rPr>
                <w:rFonts w:ascii="Calibri" w:hAnsi="Calibri" w:cs="Calibri"/>
                <w:color w:val="000000"/>
                <w:sz w:val="18"/>
                <w:szCs w:val="18"/>
              </w:rPr>
            </w:pPr>
          </w:p>
        </w:tc>
        <w:tc>
          <w:tcPr>
            <w:tcW w:w="1041"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7.393***</w:t>
            </w:r>
          </w:p>
        </w:tc>
        <w:tc>
          <w:tcPr>
            <w:tcW w:w="828"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(0.000)</w:t>
            </w:r>
          </w:p>
        </w:tc>
        <w:tc>
          <w:tcPr>
            <w:tcW w:w="1041" w:type="dxa"/>
          </w:tcPr>
          <w:p w:rsidR="00D07DCF" w:rsidRPr="00D07DCF" w:rsidRDefault="00D07DCF">
            <w:pPr>
              <w:autoSpaceDE w:val="0"/>
              <w:autoSpaceDN w:val="0"/>
              <w:adjustRightInd w:val="0"/>
              <w:rPr>
                <w:rFonts w:ascii="Calibri" w:hAnsi="Calibri" w:cs="Calibri"/>
                <w:color w:val="000000"/>
                <w:sz w:val="18"/>
                <w:szCs w:val="18"/>
              </w:rPr>
            </w:pPr>
          </w:p>
        </w:tc>
        <w:tc>
          <w:tcPr>
            <w:tcW w:w="826" w:type="dxa"/>
          </w:tcPr>
          <w:p w:rsidR="00D07DCF" w:rsidRPr="00D07DCF" w:rsidRDefault="00D07DCF">
            <w:pPr>
              <w:autoSpaceDE w:val="0"/>
              <w:autoSpaceDN w:val="0"/>
              <w:adjustRightInd w:val="0"/>
              <w:rPr>
                <w:rFonts w:ascii="Calibri" w:hAnsi="Calibri" w:cs="Calibri"/>
                <w:color w:val="000000"/>
                <w:sz w:val="18"/>
                <w:szCs w:val="18"/>
              </w:rPr>
            </w:pPr>
          </w:p>
        </w:tc>
        <w:tc>
          <w:tcPr>
            <w:tcW w:w="1041"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6.831***</w:t>
            </w:r>
          </w:p>
        </w:tc>
        <w:tc>
          <w:tcPr>
            <w:tcW w:w="828"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(0.000)</w:t>
            </w:r>
          </w:p>
        </w:tc>
      </w:tr>
      <w:tr w:rsidR="00D07DCF" w:rsidTr="00B24C21">
        <w:trPr>
          <w:trHeight w:val="290"/>
        </w:trPr>
        <w:tc>
          <w:tcPr>
            <w:tcW w:w="2227" w:type="dxa"/>
          </w:tcPr>
          <w:p w:rsidR="00D07DCF" w:rsidRPr="00D07DCF" w:rsidRDefault="00D07DCF">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Exposure</w:t>
            </w:r>
          </w:p>
        </w:tc>
        <w:tc>
          <w:tcPr>
            <w:tcW w:w="1867" w:type="dxa"/>
            <w:gridSpan w:val="2"/>
          </w:tcPr>
          <w:p w:rsidR="00D07DCF" w:rsidRPr="00D07DCF" w:rsidRDefault="00D07DCF">
            <w:pPr>
              <w:autoSpaceDE w:val="0"/>
              <w:autoSpaceDN w:val="0"/>
              <w:adjustRightInd w:val="0"/>
              <w:jc w:val="center"/>
              <w:rPr>
                <w:rFonts w:ascii="Calibri" w:hAnsi="Calibri" w:cs="Calibri"/>
                <w:color w:val="000000"/>
                <w:sz w:val="18"/>
                <w:szCs w:val="18"/>
              </w:rPr>
            </w:pPr>
            <w:r w:rsidRPr="00D07DCF">
              <w:rPr>
                <w:rFonts w:ascii="Calibri" w:hAnsi="Calibri" w:cs="Calibri"/>
                <w:color w:val="000000"/>
                <w:sz w:val="18"/>
                <w:szCs w:val="18"/>
              </w:rPr>
              <w:t>Ln Beds in Trust</w:t>
            </w:r>
          </w:p>
        </w:tc>
        <w:tc>
          <w:tcPr>
            <w:tcW w:w="1869" w:type="dxa"/>
            <w:gridSpan w:val="2"/>
          </w:tcPr>
          <w:p w:rsidR="00D07DCF" w:rsidRPr="00D07DCF" w:rsidRDefault="00D07DCF">
            <w:pPr>
              <w:autoSpaceDE w:val="0"/>
              <w:autoSpaceDN w:val="0"/>
              <w:adjustRightInd w:val="0"/>
              <w:jc w:val="center"/>
              <w:rPr>
                <w:rFonts w:ascii="Calibri" w:hAnsi="Calibri" w:cs="Calibri"/>
                <w:color w:val="000000"/>
                <w:sz w:val="18"/>
                <w:szCs w:val="18"/>
              </w:rPr>
            </w:pPr>
            <w:r w:rsidRPr="00D07DCF">
              <w:rPr>
                <w:rFonts w:ascii="Calibri" w:hAnsi="Calibri" w:cs="Calibri"/>
                <w:color w:val="000000"/>
                <w:sz w:val="18"/>
                <w:szCs w:val="18"/>
              </w:rPr>
              <w:t>Ln Beds in Trust</w:t>
            </w:r>
          </w:p>
        </w:tc>
        <w:tc>
          <w:tcPr>
            <w:tcW w:w="1867" w:type="dxa"/>
            <w:gridSpan w:val="2"/>
          </w:tcPr>
          <w:p w:rsidR="00D07DCF" w:rsidRPr="00D07DCF" w:rsidRDefault="00D07DCF">
            <w:pPr>
              <w:autoSpaceDE w:val="0"/>
              <w:autoSpaceDN w:val="0"/>
              <w:adjustRightInd w:val="0"/>
              <w:jc w:val="center"/>
              <w:rPr>
                <w:rFonts w:ascii="Calibri" w:hAnsi="Calibri" w:cs="Calibri"/>
                <w:color w:val="000000"/>
                <w:sz w:val="18"/>
                <w:szCs w:val="18"/>
              </w:rPr>
            </w:pPr>
            <w:r w:rsidRPr="00D07DCF">
              <w:rPr>
                <w:rFonts w:ascii="Calibri" w:hAnsi="Calibri" w:cs="Calibri"/>
                <w:color w:val="000000"/>
                <w:sz w:val="18"/>
                <w:szCs w:val="18"/>
              </w:rPr>
              <w:t>Ln Beds in Trust</w:t>
            </w:r>
          </w:p>
        </w:tc>
        <w:tc>
          <w:tcPr>
            <w:tcW w:w="1869" w:type="dxa"/>
            <w:gridSpan w:val="2"/>
          </w:tcPr>
          <w:p w:rsidR="00D07DCF" w:rsidRPr="00D07DCF" w:rsidRDefault="00D07DCF">
            <w:pPr>
              <w:autoSpaceDE w:val="0"/>
              <w:autoSpaceDN w:val="0"/>
              <w:adjustRightInd w:val="0"/>
              <w:jc w:val="center"/>
              <w:rPr>
                <w:rFonts w:ascii="Calibri" w:hAnsi="Calibri" w:cs="Calibri"/>
                <w:color w:val="000000"/>
                <w:sz w:val="18"/>
                <w:szCs w:val="18"/>
              </w:rPr>
            </w:pPr>
            <w:r w:rsidRPr="00D07DCF">
              <w:rPr>
                <w:rFonts w:ascii="Calibri" w:hAnsi="Calibri" w:cs="Calibri"/>
                <w:color w:val="000000"/>
                <w:sz w:val="18"/>
                <w:szCs w:val="18"/>
              </w:rPr>
              <w:t>Ln Beds in Trust</w:t>
            </w:r>
          </w:p>
        </w:tc>
      </w:tr>
      <w:tr w:rsidR="005D74C9" w:rsidTr="00B24C21">
        <w:trPr>
          <w:trHeight w:val="290"/>
        </w:trPr>
        <w:tc>
          <w:tcPr>
            <w:tcW w:w="2227" w:type="dxa"/>
          </w:tcPr>
          <w:p w:rsidR="005D74C9" w:rsidRPr="00D07DCF" w:rsidRDefault="005D74C9">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AIC</w:t>
            </w:r>
          </w:p>
        </w:tc>
        <w:tc>
          <w:tcPr>
            <w:tcW w:w="1867" w:type="dxa"/>
            <w:gridSpan w:val="2"/>
          </w:tcPr>
          <w:p w:rsidR="005D74C9" w:rsidRPr="00D07DCF" w:rsidRDefault="005D74C9" w:rsidP="007B3E72">
            <w:pPr>
              <w:autoSpaceDE w:val="0"/>
              <w:autoSpaceDN w:val="0"/>
              <w:adjustRightInd w:val="0"/>
              <w:jc w:val="center"/>
              <w:rPr>
                <w:rFonts w:ascii="Calibri" w:hAnsi="Calibri" w:cs="Calibri"/>
                <w:color w:val="000000"/>
                <w:sz w:val="18"/>
                <w:szCs w:val="18"/>
              </w:rPr>
            </w:pPr>
            <w:r w:rsidRPr="00D07DCF">
              <w:rPr>
                <w:rFonts w:ascii="Calibri" w:hAnsi="Calibri" w:cs="Calibri"/>
                <w:color w:val="000000"/>
                <w:sz w:val="18"/>
                <w:szCs w:val="18"/>
              </w:rPr>
              <w:t>11491.8</w:t>
            </w:r>
          </w:p>
        </w:tc>
        <w:tc>
          <w:tcPr>
            <w:tcW w:w="1869" w:type="dxa"/>
            <w:gridSpan w:val="2"/>
          </w:tcPr>
          <w:p w:rsidR="005D74C9" w:rsidRPr="00D07DCF" w:rsidRDefault="005D74C9" w:rsidP="007B3E72">
            <w:pPr>
              <w:autoSpaceDE w:val="0"/>
              <w:autoSpaceDN w:val="0"/>
              <w:adjustRightInd w:val="0"/>
              <w:jc w:val="center"/>
              <w:rPr>
                <w:rFonts w:ascii="Calibri" w:hAnsi="Calibri" w:cs="Calibri"/>
                <w:color w:val="000000"/>
                <w:sz w:val="18"/>
                <w:szCs w:val="18"/>
              </w:rPr>
            </w:pPr>
            <w:r w:rsidRPr="00D07DCF">
              <w:rPr>
                <w:rFonts w:ascii="Calibri" w:hAnsi="Calibri" w:cs="Calibri"/>
                <w:color w:val="000000"/>
                <w:sz w:val="18"/>
                <w:szCs w:val="18"/>
              </w:rPr>
              <w:t>11186.7</w:t>
            </w:r>
          </w:p>
        </w:tc>
        <w:tc>
          <w:tcPr>
            <w:tcW w:w="1867" w:type="dxa"/>
            <w:gridSpan w:val="2"/>
          </w:tcPr>
          <w:p w:rsidR="005D74C9" w:rsidRPr="00D07DCF" w:rsidRDefault="005D74C9" w:rsidP="007B3E72">
            <w:pPr>
              <w:autoSpaceDE w:val="0"/>
              <w:autoSpaceDN w:val="0"/>
              <w:adjustRightInd w:val="0"/>
              <w:jc w:val="center"/>
              <w:rPr>
                <w:rFonts w:ascii="Calibri" w:hAnsi="Calibri" w:cs="Calibri"/>
                <w:color w:val="000000"/>
                <w:sz w:val="18"/>
                <w:szCs w:val="18"/>
              </w:rPr>
            </w:pPr>
            <w:r w:rsidRPr="00D07DCF">
              <w:rPr>
                <w:rFonts w:ascii="Calibri" w:hAnsi="Calibri" w:cs="Calibri"/>
                <w:color w:val="000000"/>
                <w:sz w:val="18"/>
                <w:szCs w:val="18"/>
              </w:rPr>
              <w:t>11031.0</w:t>
            </w:r>
          </w:p>
        </w:tc>
        <w:tc>
          <w:tcPr>
            <w:tcW w:w="1869" w:type="dxa"/>
            <w:gridSpan w:val="2"/>
          </w:tcPr>
          <w:p w:rsidR="005D74C9" w:rsidRPr="00D07DCF" w:rsidRDefault="005D74C9" w:rsidP="007B3E72">
            <w:pPr>
              <w:autoSpaceDE w:val="0"/>
              <w:autoSpaceDN w:val="0"/>
              <w:adjustRightInd w:val="0"/>
              <w:jc w:val="center"/>
              <w:rPr>
                <w:rFonts w:ascii="Calibri" w:hAnsi="Calibri" w:cs="Calibri"/>
                <w:color w:val="000000"/>
                <w:sz w:val="18"/>
                <w:szCs w:val="18"/>
              </w:rPr>
            </w:pPr>
            <w:r w:rsidRPr="00D07DCF">
              <w:rPr>
                <w:rFonts w:ascii="Calibri" w:hAnsi="Calibri" w:cs="Calibri"/>
                <w:color w:val="000000"/>
                <w:sz w:val="18"/>
                <w:szCs w:val="18"/>
              </w:rPr>
              <w:t>10676.3</w:t>
            </w:r>
          </w:p>
        </w:tc>
      </w:tr>
      <w:tr w:rsidR="005D74C9" w:rsidTr="00B24C21">
        <w:trPr>
          <w:trHeight w:val="290"/>
        </w:trPr>
        <w:tc>
          <w:tcPr>
            <w:tcW w:w="2227" w:type="dxa"/>
          </w:tcPr>
          <w:p w:rsidR="005D74C9" w:rsidRPr="00D07DCF" w:rsidRDefault="005D74C9">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BIC</w:t>
            </w:r>
          </w:p>
        </w:tc>
        <w:tc>
          <w:tcPr>
            <w:tcW w:w="1867" w:type="dxa"/>
            <w:gridSpan w:val="2"/>
          </w:tcPr>
          <w:p w:rsidR="005D74C9" w:rsidRPr="00D07DCF" w:rsidRDefault="005D74C9" w:rsidP="007B3E72">
            <w:pPr>
              <w:autoSpaceDE w:val="0"/>
              <w:autoSpaceDN w:val="0"/>
              <w:adjustRightInd w:val="0"/>
              <w:jc w:val="center"/>
              <w:rPr>
                <w:rFonts w:ascii="Calibri" w:hAnsi="Calibri" w:cs="Calibri"/>
                <w:color w:val="000000"/>
                <w:sz w:val="18"/>
                <w:szCs w:val="18"/>
              </w:rPr>
            </w:pPr>
            <w:r w:rsidRPr="00D07DCF">
              <w:rPr>
                <w:rFonts w:ascii="Calibri" w:hAnsi="Calibri" w:cs="Calibri"/>
                <w:color w:val="000000"/>
                <w:sz w:val="18"/>
                <w:szCs w:val="18"/>
              </w:rPr>
              <w:t>11593.4</w:t>
            </w:r>
          </w:p>
        </w:tc>
        <w:tc>
          <w:tcPr>
            <w:tcW w:w="1869" w:type="dxa"/>
            <w:gridSpan w:val="2"/>
          </w:tcPr>
          <w:p w:rsidR="005D74C9" w:rsidRPr="00D07DCF" w:rsidRDefault="005D74C9" w:rsidP="007B3E72">
            <w:pPr>
              <w:autoSpaceDE w:val="0"/>
              <w:autoSpaceDN w:val="0"/>
              <w:adjustRightInd w:val="0"/>
              <w:jc w:val="center"/>
              <w:rPr>
                <w:rFonts w:ascii="Calibri" w:hAnsi="Calibri" w:cs="Calibri"/>
                <w:color w:val="000000"/>
                <w:sz w:val="18"/>
                <w:szCs w:val="18"/>
              </w:rPr>
            </w:pPr>
            <w:r w:rsidRPr="00D07DCF">
              <w:rPr>
                <w:rFonts w:ascii="Calibri" w:hAnsi="Calibri" w:cs="Calibri"/>
                <w:color w:val="000000"/>
                <w:sz w:val="18"/>
                <w:szCs w:val="18"/>
              </w:rPr>
              <w:t>11297.2</w:t>
            </w:r>
          </w:p>
        </w:tc>
        <w:tc>
          <w:tcPr>
            <w:tcW w:w="1867" w:type="dxa"/>
            <w:gridSpan w:val="2"/>
          </w:tcPr>
          <w:p w:rsidR="005D74C9" w:rsidRPr="00D07DCF" w:rsidRDefault="005D74C9" w:rsidP="007B3E72">
            <w:pPr>
              <w:autoSpaceDE w:val="0"/>
              <w:autoSpaceDN w:val="0"/>
              <w:adjustRightInd w:val="0"/>
              <w:jc w:val="center"/>
              <w:rPr>
                <w:rFonts w:ascii="Calibri" w:hAnsi="Calibri" w:cs="Calibri"/>
                <w:color w:val="000000"/>
                <w:sz w:val="18"/>
                <w:szCs w:val="18"/>
              </w:rPr>
            </w:pPr>
            <w:r w:rsidRPr="00D07DCF">
              <w:rPr>
                <w:rFonts w:ascii="Calibri" w:hAnsi="Calibri" w:cs="Calibri"/>
                <w:color w:val="000000"/>
                <w:sz w:val="18"/>
                <w:szCs w:val="18"/>
              </w:rPr>
              <w:t>11132.6</w:t>
            </w:r>
          </w:p>
        </w:tc>
        <w:tc>
          <w:tcPr>
            <w:tcW w:w="1869" w:type="dxa"/>
            <w:gridSpan w:val="2"/>
          </w:tcPr>
          <w:p w:rsidR="005D74C9" w:rsidRPr="00D07DCF" w:rsidRDefault="005D74C9" w:rsidP="007B3E72">
            <w:pPr>
              <w:autoSpaceDE w:val="0"/>
              <w:autoSpaceDN w:val="0"/>
              <w:adjustRightInd w:val="0"/>
              <w:jc w:val="center"/>
              <w:rPr>
                <w:rFonts w:ascii="Calibri" w:hAnsi="Calibri" w:cs="Calibri"/>
                <w:color w:val="000000"/>
                <w:sz w:val="18"/>
                <w:szCs w:val="18"/>
              </w:rPr>
            </w:pPr>
            <w:r w:rsidRPr="00D07DCF">
              <w:rPr>
                <w:rFonts w:ascii="Calibri" w:hAnsi="Calibri" w:cs="Calibri"/>
                <w:color w:val="000000"/>
                <w:sz w:val="18"/>
                <w:szCs w:val="18"/>
              </w:rPr>
              <w:t>10786.8</w:t>
            </w:r>
          </w:p>
        </w:tc>
      </w:tr>
      <w:tr w:rsidR="005D74C9" w:rsidTr="00B24C21">
        <w:trPr>
          <w:trHeight w:val="290"/>
        </w:trPr>
        <w:tc>
          <w:tcPr>
            <w:tcW w:w="2227" w:type="dxa"/>
          </w:tcPr>
          <w:p w:rsidR="005D74C9" w:rsidRPr="00D07DCF" w:rsidRDefault="005D74C9">
            <w:pPr>
              <w:autoSpaceDE w:val="0"/>
              <w:autoSpaceDN w:val="0"/>
              <w:adjustRightInd w:val="0"/>
              <w:rPr>
                <w:rFonts w:ascii="Calibri" w:hAnsi="Calibri" w:cs="Calibri"/>
                <w:color w:val="000000"/>
                <w:sz w:val="18"/>
                <w:szCs w:val="18"/>
              </w:rPr>
            </w:pPr>
            <w:r w:rsidRPr="00D07DCF">
              <w:rPr>
                <w:rFonts w:ascii="Calibri" w:hAnsi="Calibri" w:cs="Calibri"/>
                <w:color w:val="000000"/>
                <w:sz w:val="18"/>
                <w:szCs w:val="18"/>
              </w:rPr>
              <w:t>s.e.</w:t>
            </w:r>
          </w:p>
        </w:tc>
        <w:tc>
          <w:tcPr>
            <w:tcW w:w="1867" w:type="dxa"/>
            <w:gridSpan w:val="2"/>
          </w:tcPr>
          <w:p w:rsidR="005D74C9" w:rsidRPr="00D07DCF" w:rsidRDefault="005D74C9" w:rsidP="007B3E72">
            <w:pPr>
              <w:autoSpaceDE w:val="0"/>
              <w:autoSpaceDN w:val="0"/>
              <w:adjustRightInd w:val="0"/>
              <w:jc w:val="center"/>
              <w:rPr>
                <w:rFonts w:ascii="Calibri" w:hAnsi="Calibri" w:cs="Calibri"/>
                <w:color w:val="000000"/>
                <w:sz w:val="18"/>
                <w:szCs w:val="18"/>
              </w:rPr>
            </w:pPr>
            <w:r w:rsidRPr="00D07DCF">
              <w:rPr>
                <w:rFonts w:ascii="Calibri" w:hAnsi="Calibri" w:cs="Calibri"/>
                <w:color w:val="000000"/>
                <w:sz w:val="18"/>
                <w:szCs w:val="18"/>
              </w:rPr>
              <w:t>cluster</w:t>
            </w:r>
          </w:p>
        </w:tc>
        <w:tc>
          <w:tcPr>
            <w:tcW w:w="1869" w:type="dxa"/>
            <w:gridSpan w:val="2"/>
          </w:tcPr>
          <w:p w:rsidR="005D74C9" w:rsidRPr="00D07DCF" w:rsidRDefault="005C272E" w:rsidP="007B3E72">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OIM</w:t>
            </w:r>
          </w:p>
        </w:tc>
        <w:tc>
          <w:tcPr>
            <w:tcW w:w="1867" w:type="dxa"/>
            <w:gridSpan w:val="2"/>
          </w:tcPr>
          <w:p w:rsidR="005D74C9" w:rsidRPr="00D07DCF" w:rsidRDefault="005D74C9" w:rsidP="007B3E72">
            <w:pPr>
              <w:autoSpaceDE w:val="0"/>
              <w:autoSpaceDN w:val="0"/>
              <w:adjustRightInd w:val="0"/>
              <w:jc w:val="center"/>
              <w:rPr>
                <w:rFonts w:ascii="Calibri" w:hAnsi="Calibri" w:cs="Calibri"/>
                <w:color w:val="000000"/>
                <w:sz w:val="18"/>
                <w:szCs w:val="18"/>
              </w:rPr>
            </w:pPr>
            <w:r w:rsidRPr="00D07DCF">
              <w:rPr>
                <w:rFonts w:ascii="Calibri" w:hAnsi="Calibri" w:cs="Calibri"/>
                <w:color w:val="000000"/>
                <w:sz w:val="18"/>
                <w:szCs w:val="18"/>
              </w:rPr>
              <w:t>cluster</w:t>
            </w:r>
          </w:p>
        </w:tc>
        <w:tc>
          <w:tcPr>
            <w:tcW w:w="1869" w:type="dxa"/>
            <w:gridSpan w:val="2"/>
          </w:tcPr>
          <w:p w:rsidR="005D74C9" w:rsidRPr="00D07DCF" w:rsidRDefault="005C272E" w:rsidP="007B3E72">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OIM</w:t>
            </w:r>
          </w:p>
        </w:tc>
      </w:tr>
    </w:tbl>
    <w:p w:rsidR="00540CE3" w:rsidRDefault="007F7699" w:rsidP="00540CE3">
      <w:pPr>
        <w:spacing w:after="0" w:line="240" w:lineRule="auto"/>
        <w:jc w:val="both"/>
        <w:rPr>
          <w:rFonts w:ascii="Calibri" w:eastAsia="Times New Roman" w:hAnsi="Calibri" w:cs="Times New Roman"/>
          <w:color w:val="000000"/>
          <w:sz w:val="18"/>
          <w:szCs w:val="18"/>
          <w:lang w:eastAsia="en-GB"/>
        </w:rPr>
      </w:pPr>
      <w:r w:rsidRPr="008A318C">
        <w:rPr>
          <w:rFonts w:ascii="Calibri" w:eastAsia="Times New Roman" w:hAnsi="Calibri" w:cs="Times New Roman"/>
          <w:color w:val="000000"/>
          <w:sz w:val="18"/>
          <w:szCs w:val="18"/>
          <w:lang w:eastAsia="en-GB"/>
        </w:rPr>
        <w:t xml:space="preserve">Negative binomial models. </w:t>
      </w:r>
      <w:r>
        <w:rPr>
          <w:rFonts w:ascii="Calibri" w:eastAsia="Times New Roman" w:hAnsi="Calibri" w:cs="Times New Roman"/>
          <w:color w:val="000000"/>
          <w:sz w:val="18"/>
          <w:szCs w:val="18"/>
          <w:lang w:eastAsia="en-GB"/>
        </w:rPr>
        <w:t xml:space="preserve"> Days of Delay: </w:t>
      </w:r>
      <w:r w:rsidRPr="008A318C">
        <w:rPr>
          <w:sz w:val="18"/>
          <w:szCs w:val="18"/>
        </w:rPr>
        <w:t xml:space="preserve">total days of delay </w:t>
      </w:r>
      <w:r>
        <w:rPr>
          <w:sz w:val="18"/>
          <w:szCs w:val="18"/>
        </w:rPr>
        <w:t>in year</w:t>
      </w:r>
      <w:r w:rsidR="000642D2">
        <w:rPr>
          <w:sz w:val="18"/>
          <w:szCs w:val="18"/>
        </w:rPr>
        <w:t>.</w:t>
      </w:r>
      <w:r>
        <w:rPr>
          <w:sz w:val="18"/>
          <w:szCs w:val="18"/>
        </w:rPr>
        <w:t xml:space="preserve"> Days of Delay Attributed to NHS: total days of delay in year attributed to NHS.</w:t>
      </w:r>
      <w:r w:rsidRPr="008A318C">
        <w:rPr>
          <w:sz w:val="18"/>
          <w:szCs w:val="18"/>
        </w:rPr>
        <w:t xml:space="preserve"> </w:t>
      </w:r>
      <w:r>
        <w:rPr>
          <w:sz w:val="18"/>
          <w:szCs w:val="18"/>
        </w:rPr>
        <w:t xml:space="preserve"> Coefficients are proportionate change in days of delay from one unit increase in explanatory variable. </w:t>
      </w:r>
      <w:r>
        <w:rPr>
          <w:rFonts w:ascii="Calibri" w:eastAsia="Times New Roman" w:hAnsi="Calibri" w:cs="Times New Roman"/>
          <w:color w:val="000000"/>
          <w:sz w:val="18"/>
          <w:szCs w:val="18"/>
          <w:lang w:eastAsia="en-GB"/>
        </w:rPr>
        <w:t xml:space="preserve">These coefficients are also conditional on year dummies, </w:t>
      </w:r>
      <w:r w:rsidR="000642D2">
        <w:rPr>
          <w:rFonts w:ascii="Calibri" w:eastAsia="Times New Roman" w:hAnsi="Calibri" w:cs="Times New Roman"/>
          <w:color w:val="000000"/>
          <w:sz w:val="18"/>
          <w:szCs w:val="18"/>
          <w:lang w:eastAsia="en-GB"/>
        </w:rPr>
        <w:t>h</w:t>
      </w:r>
      <w:r>
        <w:rPr>
          <w:rFonts w:ascii="Calibri" w:eastAsia="Times New Roman" w:hAnsi="Calibri" w:cs="Times New Roman"/>
          <w:color w:val="000000"/>
          <w:sz w:val="18"/>
          <w:szCs w:val="18"/>
          <w:lang w:eastAsia="en-GB"/>
        </w:rPr>
        <w:t>ospital beds, age, gender</w:t>
      </w:r>
      <w:r w:rsidR="000642D2">
        <w:rPr>
          <w:rFonts w:ascii="Calibri" w:eastAsia="Times New Roman" w:hAnsi="Calibri" w:cs="Times New Roman"/>
          <w:color w:val="000000"/>
          <w:sz w:val="18"/>
          <w:szCs w:val="18"/>
          <w:lang w:eastAsia="en-GB"/>
        </w:rPr>
        <w:t>,</w:t>
      </w:r>
      <w:r>
        <w:rPr>
          <w:rFonts w:ascii="Calibri" w:eastAsia="Times New Roman" w:hAnsi="Calibri" w:cs="Times New Roman"/>
          <w:color w:val="000000"/>
          <w:sz w:val="18"/>
          <w:szCs w:val="18"/>
          <w:lang w:eastAsia="en-GB"/>
        </w:rPr>
        <w:t xml:space="preserve"> emergency and readmission </w:t>
      </w:r>
      <w:r w:rsidR="00CE220F">
        <w:rPr>
          <w:rFonts w:ascii="Calibri" w:eastAsia="Times New Roman" w:hAnsi="Calibri" w:cs="Times New Roman"/>
          <w:color w:val="000000"/>
          <w:sz w:val="18"/>
          <w:szCs w:val="18"/>
          <w:lang w:eastAsia="en-GB"/>
        </w:rPr>
        <w:t>variables</w:t>
      </w:r>
      <w:r>
        <w:rPr>
          <w:rFonts w:ascii="Calibri" w:eastAsia="Times New Roman" w:hAnsi="Calibri" w:cs="Times New Roman"/>
          <w:color w:val="000000"/>
          <w:sz w:val="18"/>
          <w:szCs w:val="18"/>
          <w:lang w:eastAsia="en-GB"/>
        </w:rPr>
        <w:t xml:space="preserve"> as in Tables 3 and 4</w:t>
      </w:r>
      <w:r w:rsidR="000642D2">
        <w:rPr>
          <w:rFonts w:ascii="Calibri" w:eastAsia="Times New Roman" w:hAnsi="Calibri" w:cs="Times New Roman"/>
          <w:color w:val="000000"/>
          <w:sz w:val="18"/>
          <w:szCs w:val="18"/>
          <w:lang w:eastAsia="en-GB"/>
        </w:rPr>
        <w:t>.</w:t>
      </w:r>
      <w:r>
        <w:rPr>
          <w:sz w:val="18"/>
          <w:szCs w:val="18"/>
        </w:rPr>
        <w:t xml:space="preserve"> E</w:t>
      </w:r>
      <w:r w:rsidRPr="008A318C">
        <w:rPr>
          <w:sz w:val="18"/>
          <w:szCs w:val="18"/>
        </w:rPr>
        <w:t xml:space="preserve">xposure term has a coefficient </w:t>
      </w:r>
      <w:r w:rsidRPr="00E4235A">
        <w:rPr>
          <w:sz w:val="18"/>
          <w:szCs w:val="18"/>
        </w:rPr>
        <w:t>of 1.</w:t>
      </w:r>
      <w:r w:rsidRPr="00E4235A">
        <w:rPr>
          <w:rFonts w:ascii="Calibri" w:eastAsia="Times New Roman" w:hAnsi="Calibri" w:cs="Times New Roman"/>
          <w:color w:val="000000"/>
          <w:sz w:val="18"/>
          <w:szCs w:val="18"/>
          <w:lang w:eastAsia="en-GB"/>
        </w:rPr>
        <w:t xml:space="preserve"> </w:t>
      </w:r>
      <w:r>
        <w:rPr>
          <w:rFonts w:ascii="Calibri" w:eastAsia="Times New Roman" w:hAnsi="Calibri" w:cs="Times New Roman"/>
          <w:color w:val="000000"/>
          <w:sz w:val="18"/>
          <w:szCs w:val="18"/>
          <w:lang w:eastAsia="en-GB"/>
        </w:rPr>
        <w:t xml:space="preserve"> </w:t>
      </w:r>
      <w:r w:rsidRPr="00E4235A">
        <w:rPr>
          <w:rFonts w:ascii="Calibri" w:eastAsia="Times New Roman" w:hAnsi="Calibri" w:cs="Times New Roman"/>
          <w:color w:val="000000"/>
          <w:sz w:val="18"/>
          <w:szCs w:val="18"/>
          <w:lang w:eastAsia="en-GB"/>
        </w:rPr>
        <w:t xml:space="preserve">Ln alpha: </w:t>
      </w:r>
      <w:r>
        <w:rPr>
          <w:rFonts w:ascii="Calibri" w:eastAsia="Times New Roman" w:hAnsi="Calibri" w:cs="Times New Roman"/>
          <w:color w:val="000000"/>
          <w:sz w:val="18"/>
          <w:szCs w:val="18"/>
          <w:lang w:eastAsia="en-GB"/>
        </w:rPr>
        <w:t xml:space="preserve">log of overdispersion. </w:t>
      </w:r>
      <w:r w:rsidRPr="00E4235A">
        <w:rPr>
          <w:rFonts w:ascii="Calibri" w:eastAsia="Times New Roman" w:hAnsi="Calibri" w:cs="Times New Roman"/>
          <w:color w:val="000000"/>
          <w:sz w:val="18"/>
          <w:szCs w:val="18"/>
          <w:lang w:eastAsia="en-GB"/>
        </w:rPr>
        <w:t>Ln r and Ln s</w:t>
      </w:r>
      <w:r>
        <w:rPr>
          <w:rFonts w:ascii="Calibri" w:eastAsia="Times New Roman" w:hAnsi="Calibri" w:cs="Times New Roman"/>
          <w:color w:val="000000"/>
          <w:sz w:val="18"/>
          <w:szCs w:val="18"/>
          <w:lang w:eastAsia="en-GB"/>
        </w:rPr>
        <w:t xml:space="preserve">: </w:t>
      </w:r>
      <w:r w:rsidRPr="00E4235A">
        <w:rPr>
          <w:rFonts w:ascii="Calibri" w:eastAsia="Times New Roman" w:hAnsi="Calibri" w:cs="Times New Roman"/>
          <w:color w:val="000000"/>
          <w:sz w:val="18"/>
          <w:szCs w:val="18"/>
          <w:lang w:eastAsia="en-GB"/>
        </w:rPr>
        <w:t>shape parameters of the beta (r, s) distribution of random effects.</w:t>
      </w:r>
      <w:r w:rsidRPr="008A318C">
        <w:rPr>
          <w:rFonts w:ascii="Calibri" w:eastAsia="Times New Roman" w:hAnsi="Calibri" w:cs="Times New Roman"/>
          <w:color w:val="000000"/>
          <w:sz w:val="18"/>
          <w:szCs w:val="18"/>
          <w:lang w:eastAsia="en-GB"/>
        </w:rPr>
        <w:t xml:space="preserve"> AIC: Akaike Information Criterion. BIC: Bayesian Information Criterion. s.e.: standard errors. Cluster: </w:t>
      </w:r>
      <w:r>
        <w:rPr>
          <w:rFonts w:ascii="Calibri" w:eastAsia="Times New Roman" w:hAnsi="Calibri" w:cs="Times New Roman"/>
          <w:color w:val="000000"/>
          <w:sz w:val="18"/>
          <w:szCs w:val="18"/>
          <w:lang w:eastAsia="en-GB"/>
        </w:rPr>
        <w:t>robust standard errors clustered at Trust level</w:t>
      </w:r>
      <w:r w:rsidRPr="008A318C">
        <w:rPr>
          <w:rFonts w:ascii="Calibri" w:eastAsia="Times New Roman" w:hAnsi="Calibri" w:cs="Times New Roman"/>
          <w:color w:val="000000"/>
          <w:sz w:val="18"/>
          <w:szCs w:val="18"/>
          <w:lang w:eastAsia="en-GB"/>
        </w:rPr>
        <w:t>. OIM: observed information matrix standard errors.  Observations: 614 = 208, 203 and 203 for 2011-12, 2012-13 and 2013-14</w:t>
      </w:r>
      <w:r>
        <w:rPr>
          <w:rFonts w:ascii="Calibri" w:eastAsia="Times New Roman" w:hAnsi="Calibri" w:cs="Times New Roman"/>
          <w:color w:val="000000"/>
          <w:sz w:val="18"/>
          <w:szCs w:val="18"/>
          <w:lang w:eastAsia="en-GB"/>
        </w:rPr>
        <w:t>.</w:t>
      </w:r>
      <w:r w:rsidRPr="008A318C">
        <w:rPr>
          <w:rFonts w:ascii="Calibri" w:eastAsia="Times New Roman" w:hAnsi="Calibri" w:cs="Times New Roman"/>
          <w:color w:val="000000"/>
          <w:sz w:val="18"/>
          <w:szCs w:val="18"/>
          <w:lang w:eastAsia="en-GB"/>
        </w:rPr>
        <w:t xml:space="preserve"> *p &lt; 0.1, **p &lt; 0.05, ***p &lt; 0.01</w:t>
      </w:r>
      <w:r>
        <w:rPr>
          <w:rFonts w:ascii="Calibri" w:eastAsia="Times New Roman" w:hAnsi="Calibri" w:cs="Times New Roman"/>
          <w:color w:val="000000"/>
          <w:sz w:val="18"/>
          <w:szCs w:val="18"/>
          <w:lang w:eastAsia="en-GB"/>
        </w:rPr>
        <w:t xml:space="preserve">. </w:t>
      </w:r>
    </w:p>
    <w:p w:rsidR="0053719C" w:rsidRDefault="0053719C" w:rsidP="00540CE3">
      <w:pPr>
        <w:pStyle w:val="Heading2"/>
        <w:rPr>
          <w:rFonts w:ascii="Calibri" w:eastAsia="Times New Roman" w:hAnsi="Calibri" w:cs="Times New Roman"/>
          <w:b w:val="0"/>
          <w:color w:val="000000"/>
          <w:sz w:val="18"/>
          <w:szCs w:val="18"/>
          <w:lang w:eastAsia="en-GB"/>
        </w:rPr>
        <w:sectPr w:rsidR="0053719C" w:rsidSect="00B24C21">
          <w:pgSz w:w="11906" w:h="16838"/>
          <w:pgMar w:top="1440" w:right="1440" w:bottom="1440" w:left="709" w:header="708" w:footer="708" w:gutter="0"/>
          <w:cols w:space="708"/>
          <w:docGrid w:linePitch="360"/>
        </w:sectPr>
      </w:pPr>
    </w:p>
    <w:p w:rsidR="00540CE3" w:rsidRPr="005E6343" w:rsidRDefault="0053719C" w:rsidP="006A6B92">
      <w:pPr>
        <w:pStyle w:val="Heading2"/>
        <w:rPr>
          <w:rFonts w:eastAsia="Times New Roman" w:cs="Times New Roman"/>
          <w:color w:val="365F91" w:themeColor="accent1" w:themeShade="BF"/>
          <w:sz w:val="24"/>
          <w:szCs w:val="18"/>
          <w:lang w:eastAsia="en-GB"/>
        </w:rPr>
      </w:pPr>
      <w:r w:rsidRPr="005E6343">
        <w:rPr>
          <w:rFonts w:eastAsia="Times New Roman" w:cs="Times New Roman"/>
          <w:color w:val="365F91" w:themeColor="accent1" w:themeShade="BF"/>
          <w:sz w:val="24"/>
          <w:szCs w:val="18"/>
          <w:lang w:eastAsia="en-GB"/>
        </w:rPr>
        <w:lastRenderedPageBreak/>
        <w:t>Table B: Days of Delay without Mental Health Trusts</w:t>
      </w:r>
    </w:p>
    <w:tbl>
      <w:tblPr>
        <w:tblStyle w:val="TableGrid"/>
        <w:tblW w:w="9213" w:type="dxa"/>
        <w:tblInd w:w="108" w:type="dxa"/>
        <w:tblLook w:val="04A0" w:firstRow="1" w:lastRow="0" w:firstColumn="1" w:lastColumn="0" w:noHBand="0" w:noVBand="1"/>
      </w:tblPr>
      <w:tblGrid>
        <w:gridCol w:w="2376"/>
        <w:gridCol w:w="993"/>
        <w:gridCol w:w="736"/>
        <w:gridCol w:w="965"/>
        <w:gridCol w:w="743"/>
        <w:gridCol w:w="963"/>
        <w:gridCol w:w="736"/>
        <w:gridCol w:w="965"/>
        <w:gridCol w:w="736"/>
      </w:tblGrid>
      <w:tr w:rsidR="005D74C9" w:rsidRPr="0053719C" w:rsidTr="00B24C21">
        <w:trPr>
          <w:trHeight w:val="300"/>
        </w:trPr>
        <w:tc>
          <w:tcPr>
            <w:tcW w:w="2376" w:type="dxa"/>
            <w:noWrap/>
            <w:hideMark/>
          </w:tcPr>
          <w:p w:rsidR="0053719C" w:rsidRPr="00C2610F" w:rsidRDefault="0053719C" w:rsidP="0053719C">
            <w:pPr>
              <w:rPr>
                <w:rFonts w:ascii="Calibri" w:eastAsia="Times New Roman" w:hAnsi="Calibri" w:cs="Times New Roman"/>
                <w:color w:val="000000"/>
                <w:sz w:val="18"/>
                <w:szCs w:val="18"/>
                <w:lang w:eastAsia="en-GB"/>
              </w:rPr>
            </w:pPr>
          </w:p>
        </w:tc>
        <w:tc>
          <w:tcPr>
            <w:tcW w:w="3437" w:type="dxa"/>
            <w:gridSpan w:val="4"/>
            <w:noWrap/>
            <w:hideMark/>
          </w:tcPr>
          <w:p w:rsidR="0053719C" w:rsidRPr="00C2610F" w:rsidRDefault="0053719C" w:rsidP="0053719C">
            <w:pPr>
              <w:jc w:val="cente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Days of Delay</w:t>
            </w:r>
          </w:p>
        </w:tc>
        <w:tc>
          <w:tcPr>
            <w:tcW w:w="3400" w:type="dxa"/>
            <w:gridSpan w:val="4"/>
            <w:noWrap/>
            <w:hideMark/>
          </w:tcPr>
          <w:p w:rsidR="0053719C" w:rsidRPr="00C2610F" w:rsidRDefault="0053719C" w:rsidP="0053719C">
            <w:pPr>
              <w:jc w:val="cente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Days of Delay Attributed to NHS</w:t>
            </w:r>
          </w:p>
        </w:tc>
      </w:tr>
      <w:tr w:rsidR="005D74C9" w:rsidRPr="0053719C" w:rsidTr="00B24C21">
        <w:trPr>
          <w:trHeight w:val="300"/>
        </w:trPr>
        <w:tc>
          <w:tcPr>
            <w:tcW w:w="2376" w:type="dxa"/>
            <w:noWrap/>
            <w:hideMark/>
          </w:tcPr>
          <w:p w:rsidR="0053719C" w:rsidRPr="00C2610F" w:rsidRDefault="0053719C" w:rsidP="00B24C21">
            <w:pPr>
              <w:ind w:left="34"/>
              <w:rPr>
                <w:rFonts w:ascii="Calibri" w:eastAsia="Times New Roman" w:hAnsi="Calibri" w:cs="Times New Roman"/>
                <w:color w:val="000000"/>
                <w:sz w:val="18"/>
                <w:szCs w:val="18"/>
                <w:lang w:eastAsia="en-GB"/>
              </w:rPr>
            </w:pPr>
          </w:p>
        </w:tc>
        <w:tc>
          <w:tcPr>
            <w:tcW w:w="1729" w:type="dxa"/>
            <w:gridSpan w:val="2"/>
            <w:noWrap/>
            <w:hideMark/>
          </w:tcPr>
          <w:p w:rsidR="0053719C" w:rsidRPr="00C2610F" w:rsidRDefault="0053719C" w:rsidP="0053719C">
            <w:pPr>
              <w:jc w:val="cente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Pooled Model</w:t>
            </w:r>
          </w:p>
        </w:tc>
        <w:tc>
          <w:tcPr>
            <w:tcW w:w="1708" w:type="dxa"/>
            <w:gridSpan w:val="2"/>
            <w:noWrap/>
            <w:hideMark/>
          </w:tcPr>
          <w:p w:rsidR="0053719C" w:rsidRPr="00C2610F" w:rsidRDefault="0053719C" w:rsidP="0053719C">
            <w:pPr>
              <w:jc w:val="cente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Random Trust Effects</w:t>
            </w:r>
          </w:p>
        </w:tc>
        <w:tc>
          <w:tcPr>
            <w:tcW w:w="1699" w:type="dxa"/>
            <w:gridSpan w:val="2"/>
            <w:noWrap/>
            <w:hideMark/>
          </w:tcPr>
          <w:p w:rsidR="0053719C" w:rsidRPr="00C2610F" w:rsidRDefault="0053719C" w:rsidP="0053719C">
            <w:pPr>
              <w:jc w:val="cente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Pooled Model</w:t>
            </w:r>
          </w:p>
        </w:tc>
        <w:tc>
          <w:tcPr>
            <w:tcW w:w="1701" w:type="dxa"/>
            <w:gridSpan w:val="2"/>
            <w:noWrap/>
            <w:hideMark/>
          </w:tcPr>
          <w:p w:rsidR="0053719C" w:rsidRPr="00C2610F" w:rsidRDefault="0053719C" w:rsidP="0053719C">
            <w:pPr>
              <w:jc w:val="cente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Random Trust Effects</w:t>
            </w:r>
          </w:p>
        </w:tc>
      </w:tr>
      <w:tr w:rsidR="005D74C9" w:rsidRPr="0053719C" w:rsidTr="00B24C21">
        <w:trPr>
          <w:trHeight w:val="300"/>
        </w:trPr>
        <w:tc>
          <w:tcPr>
            <w:tcW w:w="2376" w:type="dxa"/>
            <w:noWrap/>
            <w:hideMark/>
          </w:tcPr>
          <w:p w:rsidR="0053719C" w:rsidRPr="00C2610F" w:rsidRDefault="0053719C" w:rsidP="00B24C21">
            <w:pPr>
              <w:ind w:firstLine="34"/>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Acute Specialist Trust</w:t>
            </w:r>
          </w:p>
        </w:tc>
        <w:tc>
          <w:tcPr>
            <w:tcW w:w="993"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-0.796</w:t>
            </w:r>
          </w:p>
        </w:tc>
        <w:tc>
          <w:tcPr>
            <w:tcW w:w="736"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(0.256)</w:t>
            </w:r>
          </w:p>
        </w:tc>
        <w:tc>
          <w:tcPr>
            <w:tcW w:w="965"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-0.674</w:t>
            </w:r>
          </w:p>
        </w:tc>
        <w:tc>
          <w:tcPr>
            <w:tcW w:w="743"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(0.232)</w:t>
            </w:r>
          </w:p>
        </w:tc>
        <w:tc>
          <w:tcPr>
            <w:tcW w:w="963"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-1.318</w:t>
            </w:r>
          </w:p>
        </w:tc>
        <w:tc>
          <w:tcPr>
            <w:tcW w:w="736"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(0.106)</w:t>
            </w:r>
          </w:p>
        </w:tc>
        <w:tc>
          <w:tcPr>
            <w:tcW w:w="965"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-0.359</w:t>
            </w:r>
          </w:p>
        </w:tc>
        <w:tc>
          <w:tcPr>
            <w:tcW w:w="736"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(0.536)</w:t>
            </w:r>
          </w:p>
        </w:tc>
      </w:tr>
      <w:tr w:rsidR="005D74C9" w:rsidRPr="0053719C" w:rsidTr="00B24C21">
        <w:trPr>
          <w:trHeight w:val="300"/>
        </w:trPr>
        <w:tc>
          <w:tcPr>
            <w:tcW w:w="2376"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Acute Teaching Trust</w:t>
            </w:r>
          </w:p>
        </w:tc>
        <w:tc>
          <w:tcPr>
            <w:tcW w:w="993"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0.146</w:t>
            </w:r>
          </w:p>
        </w:tc>
        <w:tc>
          <w:tcPr>
            <w:tcW w:w="736"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(0.367)</w:t>
            </w:r>
          </w:p>
        </w:tc>
        <w:tc>
          <w:tcPr>
            <w:tcW w:w="965"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-0.0678</w:t>
            </w:r>
          </w:p>
        </w:tc>
        <w:tc>
          <w:tcPr>
            <w:tcW w:w="743"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(0.744)</w:t>
            </w:r>
          </w:p>
        </w:tc>
        <w:tc>
          <w:tcPr>
            <w:tcW w:w="963"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0.100</w:t>
            </w:r>
          </w:p>
        </w:tc>
        <w:tc>
          <w:tcPr>
            <w:tcW w:w="736"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(0.603)</w:t>
            </w:r>
          </w:p>
        </w:tc>
        <w:tc>
          <w:tcPr>
            <w:tcW w:w="965"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0.144</w:t>
            </w:r>
          </w:p>
        </w:tc>
        <w:tc>
          <w:tcPr>
            <w:tcW w:w="736"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(0.510)</w:t>
            </w:r>
          </w:p>
        </w:tc>
      </w:tr>
      <w:tr w:rsidR="005D74C9" w:rsidRPr="0053719C" w:rsidTr="00B24C21">
        <w:trPr>
          <w:trHeight w:val="300"/>
        </w:trPr>
        <w:tc>
          <w:tcPr>
            <w:tcW w:w="2376"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Foundation Trust</w:t>
            </w:r>
          </w:p>
        </w:tc>
        <w:tc>
          <w:tcPr>
            <w:tcW w:w="993"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-0.185*</w:t>
            </w:r>
          </w:p>
        </w:tc>
        <w:tc>
          <w:tcPr>
            <w:tcW w:w="736"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(0.063)</w:t>
            </w:r>
          </w:p>
        </w:tc>
        <w:tc>
          <w:tcPr>
            <w:tcW w:w="965"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-0.393***</w:t>
            </w:r>
          </w:p>
        </w:tc>
        <w:tc>
          <w:tcPr>
            <w:tcW w:w="743"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(0.000)</w:t>
            </w:r>
          </w:p>
        </w:tc>
        <w:tc>
          <w:tcPr>
            <w:tcW w:w="963"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-0.191*</w:t>
            </w:r>
          </w:p>
        </w:tc>
        <w:tc>
          <w:tcPr>
            <w:tcW w:w="736"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(0.091)</w:t>
            </w:r>
          </w:p>
        </w:tc>
        <w:tc>
          <w:tcPr>
            <w:tcW w:w="965"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-0.457***</w:t>
            </w:r>
          </w:p>
        </w:tc>
        <w:tc>
          <w:tcPr>
            <w:tcW w:w="736"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(0.000)</w:t>
            </w:r>
          </w:p>
        </w:tc>
      </w:tr>
      <w:tr w:rsidR="005D74C9" w:rsidRPr="0053719C" w:rsidTr="00B24C21">
        <w:trPr>
          <w:trHeight w:val="300"/>
        </w:trPr>
        <w:tc>
          <w:tcPr>
            <w:tcW w:w="2376"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 xml:space="preserve">Ln Care Home Beds </w:t>
            </w:r>
          </w:p>
        </w:tc>
        <w:tc>
          <w:tcPr>
            <w:tcW w:w="993"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-0.382***</w:t>
            </w:r>
          </w:p>
        </w:tc>
        <w:tc>
          <w:tcPr>
            <w:tcW w:w="736"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(0.000)</w:t>
            </w:r>
          </w:p>
        </w:tc>
        <w:tc>
          <w:tcPr>
            <w:tcW w:w="965"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-0.455***</w:t>
            </w:r>
          </w:p>
        </w:tc>
        <w:tc>
          <w:tcPr>
            <w:tcW w:w="743"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(0.000)</w:t>
            </w:r>
          </w:p>
        </w:tc>
        <w:tc>
          <w:tcPr>
            <w:tcW w:w="963"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-0.337***</w:t>
            </w:r>
          </w:p>
        </w:tc>
        <w:tc>
          <w:tcPr>
            <w:tcW w:w="736"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(0.002)</w:t>
            </w:r>
          </w:p>
        </w:tc>
        <w:tc>
          <w:tcPr>
            <w:tcW w:w="965"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-0.455***</w:t>
            </w:r>
          </w:p>
        </w:tc>
        <w:tc>
          <w:tcPr>
            <w:tcW w:w="736"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(0.000)</w:t>
            </w:r>
          </w:p>
        </w:tc>
      </w:tr>
      <w:tr w:rsidR="005D74C9" w:rsidRPr="0053719C" w:rsidTr="00B24C21">
        <w:trPr>
          <w:trHeight w:val="300"/>
        </w:trPr>
        <w:tc>
          <w:tcPr>
            <w:tcW w:w="2376"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Ln Care Home Price/Week</w:t>
            </w:r>
          </w:p>
        </w:tc>
        <w:tc>
          <w:tcPr>
            <w:tcW w:w="993"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-0.250</w:t>
            </w:r>
          </w:p>
        </w:tc>
        <w:tc>
          <w:tcPr>
            <w:tcW w:w="736"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(0.554)</w:t>
            </w:r>
          </w:p>
        </w:tc>
        <w:tc>
          <w:tcPr>
            <w:tcW w:w="965"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0.344</w:t>
            </w:r>
          </w:p>
        </w:tc>
        <w:tc>
          <w:tcPr>
            <w:tcW w:w="743"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(0.305)</w:t>
            </w:r>
          </w:p>
        </w:tc>
        <w:tc>
          <w:tcPr>
            <w:tcW w:w="963"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-0.223</w:t>
            </w:r>
          </w:p>
        </w:tc>
        <w:tc>
          <w:tcPr>
            <w:tcW w:w="736"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(0.653)</w:t>
            </w:r>
          </w:p>
        </w:tc>
        <w:tc>
          <w:tcPr>
            <w:tcW w:w="965"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-0.172</w:t>
            </w:r>
          </w:p>
        </w:tc>
        <w:tc>
          <w:tcPr>
            <w:tcW w:w="736"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(0.631)</w:t>
            </w:r>
          </w:p>
        </w:tc>
      </w:tr>
      <w:tr w:rsidR="005D74C9" w:rsidRPr="0053719C" w:rsidTr="00B24C21">
        <w:trPr>
          <w:trHeight w:val="300"/>
        </w:trPr>
        <w:tc>
          <w:tcPr>
            <w:tcW w:w="2376"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Ln alpha</w:t>
            </w:r>
          </w:p>
        </w:tc>
        <w:tc>
          <w:tcPr>
            <w:tcW w:w="993"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-0.768***</w:t>
            </w:r>
          </w:p>
        </w:tc>
        <w:tc>
          <w:tcPr>
            <w:tcW w:w="736"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(0.000)</w:t>
            </w:r>
          </w:p>
        </w:tc>
        <w:tc>
          <w:tcPr>
            <w:tcW w:w="965" w:type="dxa"/>
            <w:noWrap/>
            <w:hideMark/>
          </w:tcPr>
          <w:p w:rsidR="0053719C" w:rsidRPr="00C2610F" w:rsidRDefault="0053719C" w:rsidP="0053719C">
            <w:pPr>
              <w:rPr>
                <w:rFonts w:ascii="Calibri" w:eastAsia="Times New Roman" w:hAnsi="Calibri" w:cs="Times New Roman"/>
                <w:color w:val="000000"/>
                <w:sz w:val="18"/>
                <w:szCs w:val="18"/>
                <w:lang w:eastAsia="en-GB"/>
              </w:rPr>
            </w:pPr>
          </w:p>
        </w:tc>
        <w:tc>
          <w:tcPr>
            <w:tcW w:w="743" w:type="dxa"/>
            <w:noWrap/>
            <w:hideMark/>
          </w:tcPr>
          <w:p w:rsidR="0053719C" w:rsidRPr="00C2610F" w:rsidRDefault="0053719C" w:rsidP="0053719C">
            <w:pPr>
              <w:rPr>
                <w:rFonts w:ascii="Calibri" w:eastAsia="Times New Roman" w:hAnsi="Calibri" w:cs="Times New Roman"/>
                <w:color w:val="000000"/>
                <w:sz w:val="18"/>
                <w:szCs w:val="18"/>
                <w:lang w:eastAsia="en-GB"/>
              </w:rPr>
            </w:pPr>
          </w:p>
        </w:tc>
        <w:tc>
          <w:tcPr>
            <w:tcW w:w="963"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-0.456***</w:t>
            </w:r>
          </w:p>
        </w:tc>
        <w:tc>
          <w:tcPr>
            <w:tcW w:w="736"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(0.000)</w:t>
            </w:r>
          </w:p>
        </w:tc>
        <w:tc>
          <w:tcPr>
            <w:tcW w:w="965" w:type="dxa"/>
            <w:noWrap/>
            <w:hideMark/>
          </w:tcPr>
          <w:p w:rsidR="0053719C" w:rsidRPr="00C2610F" w:rsidRDefault="0053719C" w:rsidP="0053719C">
            <w:pPr>
              <w:rPr>
                <w:rFonts w:ascii="Calibri" w:eastAsia="Times New Roman" w:hAnsi="Calibri" w:cs="Times New Roman"/>
                <w:color w:val="000000"/>
                <w:sz w:val="18"/>
                <w:szCs w:val="18"/>
                <w:lang w:eastAsia="en-GB"/>
              </w:rPr>
            </w:pPr>
          </w:p>
        </w:tc>
        <w:tc>
          <w:tcPr>
            <w:tcW w:w="736" w:type="dxa"/>
            <w:noWrap/>
            <w:hideMark/>
          </w:tcPr>
          <w:p w:rsidR="0053719C" w:rsidRPr="00C2610F" w:rsidRDefault="0053719C" w:rsidP="0053719C">
            <w:pPr>
              <w:rPr>
                <w:rFonts w:ascii="Calibri" w:eastAsia="Times New Roman" w:hAnsi="Calibri" w:cs="Times New Roman"/>
                <w:color w:val="000000"/>
                <w:sz w:val="18"/>
                <w:szCs w:val="18"/>
                <w:lang w:eastAsia="en-GB"/>
              </w:rPr>
            </w:pPr>
          </w:p>
        </w:tc>
      </w:tr>
      <w:tr w:rsidR="005D74C9" w:rsidRPr="0053719C" w:rsidTr="00B24C21">
        <w:trPr>
          <w:trHeight w:val="300"/>
        </w:trPr>
        <w:tc>
          <w:tcPr>
            <w:tcW w:w="2376"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Ln r</w:t>
            </w:r>
          </w:p>
        </w:tc>
        <w:tc>
          <w:tcPr>
            <w:tcW w:w="993" w:type="dxa"/>
            <w:noWrap/>
            <w:hideMark/>
          </w:tcPr>
          <w:p w:rsidR="0053719C" w:rsidRPr="00C2610F" w:rsidRDefault="0053719C" w:rsidP="0053719C">
            <w:pPr>
              <w:rPr>
                <w:rFonts w:ascii="Calibri" w:eastAsia="Times New Roman" w:hAnsi="Calibri" w:cs="Times New Roman"/>
                <w:color w:val="000000"/>
                <w:sz w:val="18"/>
                <w:szCs w:val="18"/>
                <w:lang w:eastAsia="en-GB"/>
              </w:rPr>
            </w:pPr>
          </w:p>
        </w:tc>
        <w:tc>
          <w:tcPr>
            <w:tcW w:w="736" w:type="dxa"/>
            <w:noWrap/>
            <w:hideMark/>
          </w:tcPr>
          <w:p w:rsidR="0053719C" w:rsidRPr="00C2610F" w:rsidRDefault="0053719C" w:rsidP="0053719C">
            <w:pPr>
              <w:rPr>
                <w:rFonts w:ascii="Calibri" w:eastAsia="Times New Roman" w:hAnsi="Calibri" w:cs="Times New Roman"/>
                <w:color w:val="000000"/>
                <w:sz w:val="18"/>
                <w:szCs w:val="18"/>
                <w:lang w:eastAsia="en-GB"/>
              </w:rPr>
            </w:pPr>
          </w:p>
        </w:tc>
        <w:tc>
          <w:tcPr>
            <w:tcW w:w="965"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1.021***</w:t>
            </w:r>
          </w:p>
        </w:tc>
        <w:tc>
          <w:tcPr>
            <w:tcW w:w="743"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(0.000)</w:t>
            </w:r>
          </w:p>
        </w:tc>
        <w:tc>
          <w:tcPr>
            <w:tcW w:w="963" w:type="dxa"/>
            <w:noWrap/>
            <w:hideMark/>
          </w:tcPr>
          <w:p w:rsidR="0053719C" w:rsidRPr="00C2610F" w:rsidRDefault="0053719C" w:rsidP="0053719C">
            <w:pPr>
              <w:rPr>
                <w:rFonts w:ascii="Calibri" w:eastAsia="Times New Roman" w:hAnsi="Calibri" w:cs="Times New Roman"/>
                <w:color w:val="000000"/>
                <w:sz w:val="18"/>
                <w:szCs w:val="18"/>
                <w:lang w:eastAsia="en-GB"/>
              </w:rPr>
            </w:pPr>
          </w:p>
        </w:tc>
        <w:tc>
          <w:tcPr>
            <w:tcW w:w="736" w:type="dxa"/>
            <w:noWrap/>
            <w:hideMark/>
          </w:tcPr>
          <w:p w:rsidR="0053719C" w:rsidRPr="00C2610F" w:rsidRDefault="0053719C" w:rsidP="0053719C">
            <w:pPr>
              <w:rPr>
                <w:rFonts w:ascii="Calibri" w:eastAsia="Times New Roman" w:hAnsi="Calibri" w:cs="Times New Roman"/>
                <w:color w:val="000000"/>
                <w:sz w:val="18"/>
                <w:szCs w:val="18"/>
                <w:lang w:eastAsia="en-GB"/>
              </w:rPr>
            </w:pPr>
          </w:p>
        </w:tc>
        <w:tc>
          <w:tcPr>
            <w:tcW w:w="965"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0.781***</w:t>
            </w:r>
          </w:p>
        </w:tc>
        <w:tc>
          <w:tcPr>
            <w:tcW w:w="736"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(0.000)</w:t>
            </w:r>
          </w:p>
        </w:tc>
      </w:tr>
      <w:tr w:rsidR="005D74C9" w:rsidRPr="0053719C" w:rsidTr="00B24C21">
        <w:trPr>
          <w:trHeight w:val="300"/>
        </w:trPr>
        <w:tc>
          <w:tcPr>
            <w:tcW w:w="2376"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Ln s</w:t>
            </w:r>
          </w:p>
        </w:tc>
        <w:tc>
          <w:tcPr>
            <w:tcW w:w="993" w:type="dxa"/>
            <w:noWrap/>
            <w:hideMark/>
          </w:tcPr>
          <w:p w:rsidR="0053719C" w:rsidRPr="00C2610F" w:rsidRDefault="0053719C" w:rsidP="0053719C">
            <w:pPr>
              <w:rPr>
                <w:rFonts w:ascii="Calibri" w:eastAsia="Times New Roman" w:hAnsi="Calibri" w:cs="Times New Roman"/>
                <w:color w:val="000000"/>
                <w:sz w:val="18"/>
                <w:szCs w:val="18"/>
                <w:lang w:eastAsia="en-GB"/>
              </w:rPr>
            </w:pPr>
          </w:p>
        </w:tc>
        <w:tc>
          <w:tcPr>
            <w:tcW w:w="736" w:type="dxa"/>
            <w:noWrap/>
            <w:hideMark/>
          </w:tcPr>
          <w:p w:rsidR="0053719C" w:rsidRPr="00C2610F" w:rsidRDefault="0053719C" w:rsidP="0053719C">
            <w:pPr>
              <w:rPr>
                <w:rFonts w:ascii="Calibri" w:eastAsia="Times New Roman" w:hAnsi="Calibri" w:cs="Times New Roman"/>
                <w:color w:val="000000"/>
                <w:sz w:val="18"/>
                <w:szCs w:val="18"/>
                <w:lang w:eastAsia="en-GB"/>
              </w:rPr>
            </w:pPr>
          </w:p>
        </w:tc>
        <w:tc>
          <w:tcPr>
            <w:tcW w:w="965"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7.123***</w:t>
            </w:r>
          </w:p>
        </w:tc>
        <w:tc>
          <w:tcPr>
            <w:tcW w:w="743"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(0.000)</w:t>
            </w:r>
          </w:p>
        </w:tc>
        <w:tc>
          <w:tcPr>
            <w:tcW w:w="963" w:type="dxa"/>
            <w:noWrap/>
            <w:hideMark/>
          </w:tcPr>
          <w:p w:rsidR="0053719C" w:rsidRPr="00C2610F" w:rsidRDefault="0053719C" w:rsidP="0053719C">
            <w:pPr>
              <w:rPr>
                <w:rFonts w:ascii="Calibri" w:eastAsia="Times New Roman" w:hAnsi="Calibri" w:cs="Times New Roman"/>
                <w:color w:val="000000"/>
                <w:sz w:val="18"/>
                <w:szCs w:val="18"/>
                <w:lang w:eastAsia="en-GB"/>
              </w:rPr>
            </w:pPr>
          </w:p>
        </w:tc>
        <w:tc>
          <w:tcPr>
            <w:tcW w:w="736" w:type="dxa"/>
            <w:noWrap/>
            <w:hideMark/>
          </w:tcPr>
          <w:p w:rsidR="0053719C" w:rsidRPr="00C2610F" w:rsidRDefault="0053719C" w:rsidP="0053719C">
            <w:pPr>
              <w:rPr>
                <w:rFonts w:ascii="Calibri" w:eastAsia="Times New Roman" w:hAnsi="Calibri" w:cs="Times New Roman"/>
                <w:color w:val="000000"/>
                <w:sz w:val="18"/>
                <w:szCs w:val="18"/>
                <w:lang w:eastAsia="en-GB"/>
              </w:rPr>
            </w:pPr>
          </w:p>
        </w:tc>
        <w:tc>
          <w:tcPr>
            <w:tcW w:w="965"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6.720***</w:t>
            </w:r>
          </w:p>
        </w:tc>
        <w:tc>
          <w:tcPr>
            <w:tcW w:w="736"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(0.000)</w:t>
            </w:r>
          </w:p>
        </w:tc>
      </w:tr>
      <w:tr w:rsidR="005D74C9" w:rsidRPr="0053719C" w:rsidTr="00B24C21">
        <w:trPr>
          <w:trHeight w:val="300"/>
        </w:trPr>
        <w:tc>
          <w:tcPr>
            <w:tcW w:w="2376" w:type="dxa"/>
            <w:noWrap/>
            <w:hideMark/>
          </w:tcPr>
          <w:p w:rsidR="0053719C" w:rsidRPr="00C2610F" w:rsidRDefault="0053719C"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exposure</w:t>
            </w:r>
          </w:p>
        </w:tc>
        <w:tc>
          <w:tcPr>
            <w:tcW w:w="1729" w:type="dxa"/>
            <w:gridSpan w:val="2"/>
            <w:noWrap/>
            <w:hideMark/>
          </w:tcPr>
          <w:p w:rsidR="0053719C" w:rsidRPr="00C2610F" w:rsidRDefault="005C272E" w:rsidP="0053719C">
            <w:pPr>
              <w:jc w:val="center"/>
              <w:rPr>
                <w:rFonts w:ascii="Calibri" w:eastAsia="Times New Roman" w:hAnsi="Calibri" w:cs="Times New Roman"/>
                <w:color w:val="000000"/>
                <w:sz w:val="18"/>
                <w:szCs w:val="18"/>
                <w:lang w:eastAsia="en-GB"/>
              </w:rPr>
            </w:pPr>
            <w:r w:rsidRPr="00D07DCF">
              <w:rPr>
                <w:rFonts w:ascii="Calibri" w:hAnsi="Calibri" w:cs="Calibri"/>
                <w:color w:val="000000"/>
                <w:sz w:val="18"/>
                <w:szCs w:val="18"/>
              </w:rPr>
              <w:t>Ln Beds in Trust</w:t>
            </w:r>
          </w:p>
        </w:tc>
        <w:tc>
          <w:tcPr>
            <w:tcW w:w="1708" w:type="dxa"/>
            <w:gridSpan w:val="2"/>
            <w:noWrap/>
            <w:hideMark/>
          </w:tcPr>
          <w:p w:rsidR="0053719C" w:rsidRPr="00C2610F" w:rsidRDefault="005C272E" w:rsidP="0053719C">
            <w:pPr>
              <w:jc w:val="center"/>
              <w:rPr>
                <w:rFonts w:ascii="Calibri" w:eastAsia="Times New Roman" w:hAnsi="Calibri" w:cs="Times New Roman"/>
                <w:color w:val="000000"/>
                <w:sz w:val="18"/>
                <w:szCs w:val="18"/>
                <w:lang w:eastAsia="en-GB"/>
              </w:rPr>
            </w:pPr>
            <w:r w:rsidRPr="00D07DCF">
              <w:rPr>
                <w:rFonts w:ascii="Calibri" w:hAnsi="Calibri" w:cs="Calibri"/>
                <w:color w:val="000000"/>
                <w:sz w:val="18"/>
                <w:szCs w:val="18"/>
              </w:rPr>
              <w:t>Ln Beds in Trust</w:t>
            </w:r>
          </w:p>
        </w:tc>
        <w:tc>
          <w:tcPr>
            <w:tcW w:w="1699" w:type="dxa"/>
            <w:gridSpan w:val="2"/>
            <w:noWrap/>
            <w:hideMark/>
          </w:tcPr>
          <w:p w:rsidR="0053719C" w:rsidRPr="00C2610F" w:rsidRDefault="005C272E" w:rsidP="0053719C">
            <w:pPr>
              <w:jc w:val="center"/>
              <w:rPr>
                <w:rFonts w:ascii="Calibri" w:eastAsia="Times New Roman" w:hAnsi="Calibri" w:cs="Times New Roman"/>
                <w:color w:val="000000"/>
                <w:sz w:val="18"/>
                <w:szCs w:val="18"/>
                <w:lang w:eastAsia="en-GB"/>
              </w:rPr>
            </w:pPr>
            <w:r w:rsidRPr="00D07DCF">
              <w:rPr>
                <w:rFonts w:ascii="Calibri" w:hAnsi="Calibri" w:cs="Calibri"/>
                <w:color w:val="000000"/>
                <w:sz w:val="18"/>
                <w:szCs w:val="18"/>
              </w:rPr>
              <w:t>Ln Beds in Trust</w:t>
            </w:r>
          </w:p>
        </w:tc>
        <w:tc>
          <w:tcPr>
            <w:tcW w:w="1701" w:type="dxa"/>
            <w:gridSpan w:val="2"/>
            <w:noWrap/>
            <w:hideMark/>
          </w:tcPr>
          <w:p w:rsidR="0053719C" w:rsidRPr="00C2610F" w:rsidRDefault="005C272E" w:rsidP="0053719C">
            <w:pPr>
              <w:jc w:val="center"/>
              <w:rPr>
                <w:rFonts w:ascii="Calibri" w:eastAsia="Times New Roman" w:hAnsi="Calibri" w:cs="Times New Roman"/>
                <w:color w:val="000000"/>
                <w:sz w:val="18"/>
                <w:szCs w:val="18"/>
                <w:lang w:eastAsia="en-GB"/>
              </w:rPr>
            </w:pPr>
            <w:r w:rsidRPr="00D07DCF">
              <w:rPr>
                <w:rFonts w:ascii="Calibri" w:hAnsi="Calibri" w:cs="Calibri"/>
                <w:color w:val="000000"/>
                <w:sz w:val="18"/>
                <w:szCs w:val="18"/>
              </w:rPr>
              <w:t>Ln Beds in Trust</w:t>
            </w:r>
          </w:p>
        </w:tc>
      </w:tr>
      <w:tr w:rsidR="005D74C9" w:rsidRPr="0053719C" w:rsidTr="00B24C21">
        <w:trPr>
          <w:trHeight w:val="300"/>
        </w:trPr>
        <w:tc>
          <w:tcPr>
            <w:tcW w:w="2376" w:type="dxa"/>
            <w:noWrap/>
            <w:hideMark/>
          </w:tcPr>
          <w:p w:rsidR="005D74C9" w:rsidRPr="00C2610F" w:rsidRDefault="005D74C9"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AIC</w:t>
            </w:r>
          </w:p>
        </w:tc>
        <w:tc>
          <w:tcPr>
            <w:tcW w:w="1729" w:type="dxa"/>
            <w:gridSpan w:val="2"/>
            <w:noWrap/>
            <w:hideMark/>
          </w:tcPr>
          <w:p w:rsidR="005D74C9" w:rsidRPr="00C2610F" w:rsidRDefault="005D74C9" w:rsidP="007B3E72">
            <w:pPr>
              <w:jc w:val="cente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8635.8</w:t>
            </w:r>
          </w:p>
        </w:tc>
        <w:tc>
          <w:tcPr>
            <w:tcW w:w="1708" w:type="dxa"/>
            <w:gridSpan w:val="2"/>
            <w:noWrap/>
            <w:hideMark/>
          </w:tcPr>
          <w:p w:rsidR="005D74C9" w:rsidRPr="00C2610F" w:rsidRDefault="005D74C9" w:rsidP="007B3E72">
            <w:pPr>
              <w:jc w:val="cente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8379.9</w:t>
            </w:r>
          </w:p>
        </w:tc>
        <w:tc>
          <w:tcPr>
            <w:tcW w:w="1699" w:type="dxa"/>
            <w:gridSpan w:val="2"/>
            <w:noWrap/>
            <w:hideMark/>
          </w:tcPr>
          <w:p w:rsidR="005D74C9" w:rsidRPr="00C2610F" w:rsidRDefault="005D74C9" w:rsidP="007B3E72">
            <w:pPr>
              <w:jc w:val="cente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8421.2</w:t>
            </w:r>
          </w:p>
        </w:tc>
        <w:tc>
          <w:tcPr>
            <w:tcW w:w="1701" w:type="dxa"/>
            <w:gridSpan w:val="2"/>
            <w:noWrap/>
            <w:hideMark/>
          </w:tcPr>
          <w:p w:rsidR="005D74C9" w:rsidRPr="00C2610F" w:rsidRDefault="005D74C9" w:rsidP="007B3E72">
            <w:pPr>
              <w:jc w:val="cente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8110.5</w:t>
            </w:r>
          </w:p>
        </w:tc>
      </w:tr>
      <w:tr w:rsidR="005D74C9" w:rsidRPr="0053719C" w:rsidTr="00B24C21">
        <w:trPr>
          <w:trHeight w:val="300"/>
        </w:trPr>
        <w:tc>
          <w:tcPr>
            <w:tcW w:w="2376" w:type="dxa"/>
            <w:noWrap/>
            <w:hideMark/>
          </w:tcPr>
          <w:p w:rsidR="005D74C9" w:rsidRPr="00C2610F" w:rsidRDefault="005D74C9"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BIC</w:t>
            </w:r>
          </w:p>
        </w:tc>
        <w:tc>
          <w:tcPr>
            <w:tcW w:w="1729" w:type="dxa"/>
            <w:gridSpan w:val="2"/>
            <w:noWrap/>
            <w:hideMark/>
          </w:tcPr>
          <w:p w:rsidR="005D74C9" w:rsidRPr="00C2610F" w:rsidRDefault="005D74C9" w:rsidP="007B3E72">
            <w:pPr>
              <w:jc w:val="cente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8718.5</w:t>
            </w:r>
          </w:p>
        </w:tc>
        <w:tc>
          <w:tcPr>
            <w:tcW w:w="1708" w:type="dxa"/>
            <w:gridSpan w:val="2"/>
            <w:noWrap/>
            <w:hideMark/>
          </w:tcPr>
          <w:p w:rsidR="005D74C9" w:rsidRPr="00C2610F" w:rsidRDefault="005D74C9" w:rsidP="007B3E72">
            <w:pPr>
              <w:jc w:val="cente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8466.8</w:t>
            </w:r>
          </w:p>
        </w:tc>
        <w:tc>
          <w:tcPr>
            <w:tcW w:w="1699" w:type="dxa"/>
            <w:gridSpan w:val="2"/>
            <w:noWrap/>
            <w:hideMark/>
          </w:tcPr>
          <w:p w:rsidR="005D74C9" w:rsidRPr="00C2610F" w:rsidRDefault="005D74C9" w:rsidP="007B3E72">
            <w:pPr>
              <w:jc w:val="cente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8504.0</w:t>
            </w:r>
          </w:p>
        </w:tc>
        <w:tc>
          <w:tcPr>
            <w:tcW w:w="1701" w:type="dxa"/>
            <w:gridSpan w:val="2"/>
            <w:noWrap/>
            <w:hideMark/>
          </w:tcPr>
          <w:p w:rsidR="005D74C9" w:rsidRPr="00C2610F" w:rsidRDefault="005D74C9" w:rsidP="007B3E72">
            <w:pPr>
              <w:jc w:val="cente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8197.4</w:t>
            </w:r>
          </w:p>
        </w:tc>
      </w:tr>
      <w:tr w:rsidR="005D74C9" w:rsidRPr="0053719C" w:rsidTr="00B24C21">
        <w:trPr>
          <w:trHeight w:val="300"/>
        </w:trPr>
        <w:tc>
          <w:tcPr>
            <w:tcW w:w="2376" w:type="dxa"/>
            <w:noWrap/>
            <w:hideMark/>
          </w:tcPr>
          <w:p w:rsidR="005D74C9" w:rsidRPr="00C2610F" w:rsidRDefault="005D74C9" w:rsidP="0053719C">
            <w:pP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s.e.</w:t>
            </w:r>
          </w:p>
        </w:tc>
        <w:tc>
          <w:tcPr>
            <w:tcW w:w="1729" w:type="dxa"/>
            <w:gridSpan w:val="2"/>
            <w:noWrap/>
            <w:hideMark/>
          </w:tcPr>
          <w:p w:rsidR="005D74C9" w:rsidRPr="00C2610F" w:rsidRDefault="005D74C9" w:rsidP="007B3E72">
            <w:pPr>
              <w:jc w:val="cente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cluster</w:t>
            </w:r>
          </w:p>
        </w:tc>
        <w:tc>
          <w:tcPr>
            <w:tcW w:w="1708" w:type="dxa"/>
            <w:gridSpan w:val="2"/>
            <w:noWrap/>
            <w:hideMark/>
          </w:tcPr>
          <w:p w:rsidR="005D74C9" w:rsidRPr="00C2610F" w:rsidRDefault="009B014D" w:rsidP="007B3E72">
            <w:pPr>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OIM</w:t>
            </w:r>
          </w:p>
        </w:tc>
        <w:tc>
          <w:tcPr>
            <w:tcW w:w="1699" w:type="dxa"/>
            <w:gridSpan w:val="2"/>
            <w:noWrap/>
            <w:hideMark/>
          </w:tcPr>
          <w:p w:rsidR="005D74C9" w:rsidRPr="00C2610F" w:rsidRDefault="005D74C9" w:rsidP="007B3E72">
            <w:pPr>
              <w:jc w:val="center"/>
              <w:rPr>
                <w:rFonts w:ascii="Calibri" w:eastAsia="Times New Roman" w:hAnsi="Calibri" w:cs="Times New Roman"/>
                <w:color w:val="000000"/>
                <w:sz w:val="18"/>
                <w:szCs w:val="18"/>
                <w:lang w:eastAsia="en-GB"/>
              </w:rPr>
            </w:pPr>
            <w:r w:rsidRPr="00C2610F">
              <w:rPr>
                <w:rFonts w:ascii="Calibri" w:eastAsia="Times New Roman" w:hAnsi="Calibri" w:cs="Times New Roman"/>
                <w:color w:val="000000"/>
                <w:sz w:val="18"/>
                <w:szCs w:val="18"/>
                <w:lang w:eastAsia="en-GB"/>
              </w:rPr>
              <w:t>cluster</w:t>
            </w:r>
          </w:p>
        </w:tc>
        <w:tc>
          <w:tcPr>
            <w:tcW w:w="1701" w:type="dxa"/>
            <w:gridSpan w:val="2"/>
            <w:noWrap/>
            <w:hideMark/>
          </w:tcPr>
          <w:p w:rsidR="005D74C9" w:rsidRPr="00C2610F" w:rsidRDefault="009B014D" w:rsidP="007B3E72">
            <w:pPr>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OIM</w:t>
            </w:r>
          </w:p>
        </w:tc>
      </w:tr>
    </w:tbl>
    <w:p w:rsidR="0053719C" w:rsidRPr="00C2610F" w:rsidRDefault="007F7699" w:rsidP="005E6343">
      <w:pPr>
        <w:jc w:val="both"/>
        <w:rPr>
          <w:lang w:eastAsia="en-GB"/>
        </w:rPr>
      </w:pPr>
      <w:r w:rsidRPr="008A318C">
        <w:rPr>
          <w:rFonts w:ascii="Calibri" w:eastAsia="Times New Roman" w:hAnsi="Calibri" w:cs="Times New Roman"/>
          <w:color w:val="000000"/>
          <w:sz w:val="18"/>
          <w:szCs w:val="18"/>
          <w:lang w:eastAsia="en-GB"/>
        </w:rPr>
        <w:t xml:space="preserve">Negative binomial models. </w:t>
      </w:r>
      <w:r>
        <w:rPr>
          <w:rFonts w:ascii="Calibri" w:eastAsia="Times New Roman" w:hAnsi="Calibri" w:cs="Times New Roman"/>
          <w:color w:val="000000"/>
          <w:sz w:val="18"/>
          <w:szCs w:val="18"/>
          <w:lang w:eastAsia="en-GB"/>
        </w:rPr>
        <w:t xml:space="preserve"> Days of Delay: </w:t>
      </w:r>
      <w:r w:rsidRPr="008A318C">
        <w:rPr>
          <w:sz w:val="18"/>
          <w:szCs w:val="18"/>
        </w:rPr>
        <w:t xml:space="preserve">total days of delay </w:t>
      </w:r>
      <w:r>
        <w:rPr>
          <w:sz w:val="18"/>
          <w:szCs w:val="18"/>
        </w:rPr>
        <w:t>in year</w:t>
      </w:r>
      <w:r w:rsidR="00533B04">
        <w:rPr>
          <w:sz w:val="18"/>
          <w:szCs w:val="18"/>
        </w:rPr>
        <w:t>.</w:t>
      </w:r>
      <w:r>
        <w:rPr>
          <w:sz w:val="18"/>
          <w:szCs w:val="18"/>
        </w:rPr>
        <w:t xml:space="preserve"> Days of Delay Attributed to NHS: total days of delay in year attributed to NHS.</w:t>
      </w:r>
      <w:r w:rsidRPr="008A318C">
        <w:rPr>
          <w:sz w:val="18"/>
          <w:szCs w:val="18"/>
        </w:rPr>
        <w:t xml:space="preserve"> </w:t>
      </w:r>
      <w:r>
        <w:rPr>
          <w:sz w:val="18"/>
          <w:szCs w:val="18"/>
        </w:rPr>
        <w:t xml:space="preserve"> Coefficients are proportionate change in days of delay from one unit increase in explanatory variable. </w:t>
      </w:r>
      <w:r>
        <w:rPr>
          <w:rFonts w:ascii="Calibri" w:eastAsia="Times New Roman" w:hAnsi="Calibri" w:cs="Times New Roman"/>
          <w:color w:val="000000"/>
          <w:sz w:val="18"/>
          <w:szCs w:val="18"/>
          <w:lang w:eastAsia="en-GB"/>
        </w:rPr>
        <w:t xml:space="preserve">These coefficients are also conditional on year dummies, Hospital beds, age, gender emergency and readmission </w:t>
      </w:r>
      <w:r w:rsidR="00CE220F">
        <w:rPr>
          <w:rFonts w:ascii="Calibri" w:eastAsia="Times New Roman" w:hAnsi="Calibri" w:cs="Times New Roman"/>
          <w:color w:val="000000"/>
          <w:sz w:val="18"/>
          <w:szCs w:val="18"/>
          <w:lang w:eastAsia="en-GB"/>
        </w:rPr>
        <w:t>variables</w:t>
      </w:r>
      <w:r>
        <w:rPr>
          <w:rFonts w:ascii="Calibri" w:eastAsia="Times New Roman" w:hAnsi="Calibri" w:cs="Times New Roman"/>
          <w:color w:val="000000"/>
          <w:sz w:val="18"/>
          <w:szCs w:val="18"/>
          <w:lang w:eastAsia="en-GB"/>
        </w:rPr>
        <w:t xml:space="preserve"> as in Tables 3 and 4</w:t>
      </w:r>
      <w:r w:rsidR="004E6116">
        <w:rPr>
          <w:rFonts w:ascii="Calibri" w:eastAsia="Times New Roman" w:hAnsi="Calibri" w:cs="Times New Roman"/>
          <w:color w:val="000000"/>
          <w:sz w:val="18"/>
          <w:szCs w:val="18"/>
          <w:lang w:eastAsia="en-GB"/>
        </w:rPr>
        <w:t>.</w:t>
      </w:r>
      <w:r>
        <w:rPr>
          <w:sz w:val="18"/>
          <w:szCs w:val="18"/>
        </w:rPr>
        <w:t xml:space="preserve"> E</w:t>
      </w:r>
      <w:r w:rsidRPr="008A318C">
        <w:rPr>
          <w:sz w:val="18"/>
          <w:szCs w:val="18"/>
        </w:rPr>
        <w:t xml:space="preserve">xposure term has a coefficient </w:t>
      </w:r>
      <w:r w:rsidRPr="00E4235A">
        <w:rPr>
          <w:sz w:val="18"/>
          <w:szCs w:val="18"/>
        </w:rPr>
        <w:t>of 1.</w:t>
      </w:r>
      <w:r w:rsidRPr="00E4235A">
        <w:rPr>
          <w:rFonts w:ascii="Calibri" w:eastAsia="Times New Roman" w:hAnsi="Calibri" w:cs="Times New Roman"/>
          <w:color w:val="000000"/>
          <w:sz w:val="18"/>
          <w:szCs w:val="18"/>
          <w:lang w:eastAsia="en-GB"/>
        </w:rPr>
        <w:t xml:space="preserve"> </w:t>
      </w:r>
      <w:r>
        <w:rPr>
          <w:rFonts w:ascii="Calibri" w:eastAsia="Times New Roman" w:hAnsi="Calibri" w:cs="Times New Roman"/>
          <w:color w:val="000000"/>
          <w:sz w:val="18"/>
          <w:szCs w:val="18"/>
          <w:lang w:eastAsia="en-GB"/>
        </w:rPr>
        <w:t xml:space="preserve"> </w:t>
      </w:r>
      <w:r w:rsidRPr="00E4235A">
        <w:rPr>
          <w:rFonts w:ascii="Calibri" w:eastAsia="Times New Roman" w:hAnsi="Calibri" w:cs="Times New Roman"/>
          <w:color w:val="000000"/>
          <w:sz w:val="18"/>
          <w:szCs w:val="18"/>
          <w:lang w:eastAsia="en-GB"/>
        </w:rPr>
        <w:t xml:space="preserve">Ln alpha: </w:t>
      </w:r>
      <w:r>
        <w:rPr>
          <w:rFonts w:ascii="Calibri" w:eastAsia="Times New Roman" w:hAnsi="Calibri" w:cs="Times New Roman"/>
          <w:color w:val="000000"/>
          <w:sz w:val="18"/>
          <w:szCs w:val="18"/>
          <w:lang w:eastAsia="en-GB"/>
        </w:rPr>
        <w:t xml:space="preserve">log of overdispersion. </w:t>
      </w:r>
      <w:r w:rsidRPr="00E4235A">
        <w:rPr>
          <w:rFonts w:ascii="Calibri" w:eastAsia="Times New Roman" w:hAnsi="Calibri" w:cs="Times New Roman"/>
          <w:color w:val="000000"/>
          <w:sz w:val="18"/>
          <w:szCs w:val="18"/>
          <w:lang w:eastAsia="en-GB"/>
        </w:rPr>
        <w:t>Ln r and Ln s</w:t>
      </w:r>
      <w:r>
        <w:rPr>
          <w:rFonts w:ascii="Calibri" w:eastAsia="Times New Roman" w:hAnsi="Calibri" w:cs="Times New Roman"/>
          <w:color w:val="000000"/>
          <w:sz w:val="18"/>
          <w:szCs w:val="18"/>
          <w:lang w:eastAsia="en-GB"/>
        </w:rPr>
        <w:t xml:space="preserve">: </w:t>
      </w:r>
      <w:r w:rsidRPr="00E4235A">
        <w:rPr>
          <w:rFonts w:ascii="Calibri" w:eastAsia="Times New Roman" w:hAnsi="Calibri" w:cs="Times New Roman"/>
          <w:color w:val="000000"/>
          <w:sz w:val="18"/>
          <w:szCs w:val="18"/>
          <w:lang w:eastAsia="en-GB"/>
        </w:rPr>
        <w:t>shape parameters of the beta (r, s) distribution of random effects.</w:t>
      </w:r>
      <w:r w:rsidRPr="008A318C">
        <w:rPr>
          <w:rFonts w:ascii="Calibri" w:eastAsia="Times New Roman" w:hAnsi="Calibri" w:cs="Times New Roman"/>
          <w:color w:val="000000"/>
          <w:sz w:val="18"/>
          <w:szCs w:val="18"/>
          <w:lang w:eastAsia="en-GB"/>
        </w:rPr>
        <w:t xml:space="preserve"> AIC: Akaike Information Criterion. BIC: Bayesian Information Criterion. s.e.: standard errors. Cluster: </w:t>
      </w:r>
      <w:r>
        <w:rPr>
          <w:rFonts w:ascii="Calibri" w:eastAsia="Times New Roman" w:hAnsi="Calibri" w:cs="Times New Roman"/>
          <w:color w:val="000000"/>
          <w:sz w:val="18"/>
          <w:szCs w:val="18"/>
          <w:lang w:eastAsia="en-GB"/>
        </w:rPr>
        <w:t>robust standard errors clustered at Trust level</w:t>
      </w:r>
      <w:r w:rsidRPr="008A318C">
        <w:rPr>
          <w:rFonts w:ascii="Calibri" w:eastAsia="Times New Roman" w:hAnsi="Calibri" w:cs="Times New Roman"/>
          <w:color w:val="000000"/>
          <w:sz w:val="18"/>
          <w:szCs w:val="18"/>
          <w:lang w:eastAsia="en-GB"/>
        </w:rPr>
        <w:t>. OIM: observed information matrix standard errors.  Observations: 614 = 208, 203 and 203 for 2011-12, 2012-13 and 2013-14</w:t>
      </w:r>
      <w:r>
        <w:rPr>
          <w:rFonts w:ascii="Calibri" w:eastAsia="Times New Roman" w:hAnsi="Calibri" w:cs="Times New Roman"/>
          <w:color w:val="000000"/>
          <w:sz w:val="18"/>
          <w:szCs w:val="18"/>
          <w:lang w:eastAsia="en-GB"/>
        </w:rPr>
        <w:t>.</w:t>
      </w:r>
      <w:r w:rsidRPr="008A318C">
        <w:rPr>
          <w:rFonts w:ascii="Calibri" w:eastAsia="Times New Roman" w:hAnsi="Calibri" w:cs="Times New Roman"/>
          <w:color w:val="000000"/>
          <w:sz w:val="18"/>
          <w:szCs w:val="18"/>
          <w:lang w:eastAsia="en-GB"/>
        </w:rPr>
        <w:t xml:space="preserve"> *p &lt; 0.1, **p &lt; 0.05, ***p &lt; 0.01</w:t>
      </w:r>
      <w:r>
        <w:rPr>
          <w:rFonts w:ascii="Calibri" w:eastAsia="Times New Roman" w:hAnsi="Calibri" w:cs="Times New Roman"/>
          <w:color w:val="000000"/>
          <w:sz w:val="18"/>
          <w:szCs w:val="18"/>
          <w:lang w:eastAsia="en-GB"/>
        </w:rPr>
        <w:t>.</w:t>
      </w:r>
    </w:p>
    <w:p w:rsidR="00343E91" w:rsidRDefault="00343E91" w:rsidP="00325AD4">
      <w:pPr>
        <w:spacing w:line="360" w:lineRule="auto"/>
        <w:jc w:val="both"/>
      </w:pPr>
    </w:p>
    <w:p w:rsidR="00190FEF" w:rsidRDefault="00190FEF">
      <w:r>
        <w:br w:type="page"/>
      </w:r>
    </w:p>
    <w:p w:rsidR="00190FEF" w:rsidRPr="004C7E47" w:rsidRDefault="00190FEF" w:rsidP="00190FEF">
      <w:pPr>
        <w:autoSpaceDE w:val="0"/>
        <w:autoSpaceDN w:val="0"/>
        <w:adjustRightInd w:val="0"/>
        <w:snapToGrid w:val="0"/>
        <w:jc w:val="both"/>
        <w:rPr>
          <w:rFonts w:asciiTheme="majorHAnsi" w:hAnsiTheme="majorHAnsi"/>
          <w:b/>
          <w:color w:val="365F91" w:themeColor="accent1" w:themeShade="BF"/>
          <w:sz w:val="24"/>
        </w:rPr>
      </w:pPr>
      <w:r w:rsidRPr="004C7E47">
        <w:rPr>
          <w:rFonts w:asciiTheme="majorHAnsi" w:hAnsiTheme="majorHAnsi"/>
          <w:b/>
          <w:color w:val="365F91" w:themeColor="accent1" w:themeShade="BF"/>
          <w:sz w:val="24"/>
        </w:rPr>
        <w:lastRenderedPageBreak/>
        <w:t xml:space="preserve">Table C: Model 5 with competing Trusts indicator </w:t>
      </w:r>
    </w:p>
    <w:tbl>
      <w:tblPr>
        <w:tblStyle w:val="TableGrid"/>
        <w:tblW w:w="8585" w:type="dxa"/>
        <w:tblLook w:val="04A0" w:firstRow="1" w:lastRow="0" w:firstColumn="1" w:lastColumn="0" w:noHBand="0" w:noVBand="1"/>
      </w:tblPr>
      <w:tblGrid>
        <w:gridCol w:w="4416"/>
        <w:gridCol w:w="1132"/>
        <w:gridCol w:w="858"/>
        <w:gridCol w:w="1158"/>
        <w:gridCol w:w="1021"/>
      </w:tblGrid>
      <w:tr w:rsidR="00190FEF" w:rsidRPr="00B52E6B" w:rsidTr="0065481C">
        <w:trPr>
          <w:trHeight w:val="300"/>
        </w:trPr>
        <w:tc>
          <w:tcPr>
            <w:tcW w:w="4416" w:type="dxa"/>
            <w:noWrap/>
            <w:hideMark/>
          </w:tcPr>
          <w:p w:rsidR="00190FEF" w:rsidRPr="00B52E6B" w:rsidRDefault="00190FEF" w:rsidP="001F50C1">
            <w:pPr>
              <w:rPr>
                <w:rFonts w:ascii="Calibri" w:eastAsia="Times New Roman" w:hAnsi="Calibri" w:cs="Times New Roman"/>
                <w:color w:val="000000"/>
                <w:sz w:val="18"/>
                <w:szCs w:val="18"/>
                <w:lang w:eastAsia="en-GB"/>
              </w:rPr>
            </w:pPr>
          </w:p>
        </w:tc>
        <w:tc>
          <w:tcPr>
            <w:tcW w:w="1990" w:type="dxa"/>
            <w:gridSpan w:val="2"/>
            <w:noWrap/>
          </w:tcPr>
          <w:p w:rsidR="00190FEF" w:rsidRPr="00B52E6B" w:rsidRDefault="00190FEF" w:rsidP="001F50C1">
            <w:pP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All Days of Delay</w:t>
            </w:r>
          </w:p>
        </w:tc>
        <w:tc>
          <w:tcPr>
            <w:tcW w:w="2179" w:type="dxa"/>
            <w:gridSpan w:val="2"/>
            <w:noWrap/>
          </w:tcPr>
          <w:p w:rsidR="00190FEF" w:rsidRPr="00B52E6B" w:rsidRDefault="00190FEF" w:rsidP="001F50C1">
            <w:pP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Days of Delay Due to NHS</w:t>
            </w:r>
          </w:p>
        </w:tc>
      </w:tr>
      <w:tr w:rsidR="00190FEF" w:rsidRPr="00B52E6B" w:rsidTr="0065481C">
        <w:trPr>
          <w:trHeight w:val="300"/>
        </w:trPr>
        <w:tc>
          <w:tcPr>
            <w:tcW w:w="4416" w:type="dxa"/>
            <w:noWrap/>
          </w:tcPr>
          <w:p w:rsidR="00190FEF" w:rsidRPr="00B52E6B" w:rsidRDefault="00190FEF" w:rsidP="001F50C1">
            <w:pPr>
              <w:rPr>
                <w:rFonts w:ascii="Calibri" w:eastAsia="Times New Roman" w:hAnsi="Calibri" w:cs="Times New Roman"/>
                <w:color w:val="000000"/>
                <w:sz w:val="18"/>
                <w:szCs w:val="18"/>
                <w:lang w:eastAsia="en-GB"/>
              </w:rPr>
            </w:pPr>
          </w:p>
        </w:tc>
        <w:tc>
          <w:tcPr>
            <w:tcW w:w="1132" w:type="dxa"/>
            <w:noWrap/>
          </w:tcPr>
          <w:p w:rsidR="00190FEF" w:rsidRPr="00B52E6B" w:rsidRDefault="00190FEF" w:rsidP="001F50C1">
            <w:pPr>
              <w:rPr>
                <w:rFonts w:ascii="Calibri" w:eastAsia="Times New Roman" w:hAnsi="Calibri" w:cs="Times New Roman"/>
                <w:color w:val="000000"/>
                <w:sz w:val="18"/>
                <w:szCs w:val="18"/>
                <w:lang w:eastAsia="en-GB"/>
              </w:rPr>
            </w:pPr>
            <w:r w:rsidRPr="00B17F2F">
              <w:rPr>
                <w:rFonts w:ascii="Calibri" w:eastAsia="Times New Roman" w:hAnsi="Calibri" w:cs="Times New Roman"/>
                <w:color w:val="000000"/>
                <w:sz w:val="18"/>
                <w:szCs w:val="18"/>
                <w:lang w:eastAsia="en-GB"/>
              </w:rPr>
              <w:t>coef</w:t>
            </w:r>
          </w:p>
        </w:tc>
        <w:tc>
          <w:tcPr>
            <w:tcW w:w="858" w:type="dxa"/>
            <w:noWrap/>
          </w:tcPr>
          <w:p w:rsidR="00190FEF" w:rsidRPr="00B52E6B" w:rsidRDefault="00190FEF" w:rsidP="001F50C1">
            <w:pPr>
              <w:rPr>
                <w:rFonts w:ascii="Calibri" w:eastAsia="Times New Roman" w:hAnsi="Calibri" w:cs="Times New Roman"/>
                <w:color w:val="000000"/>
                <w:sz w:val="18"/>
                <w:szCs w:val="18"/>
                <w:lang w:eastAsia="en-GB"/>
              </w:rPr>
            </w:pPr>
            <w:r w:rsidRPr="00B17F2F">
              <w:rPr>
                <w:rFonts w:ascii="Calibri" w:eastAsia="Times New Roman" w:hAnsi="Calibri" w:cs="Times New Roman"/>
                <w:color w:val="000000"/>
                <w:sz w:val="18"/>
                <w:szCs w:val="18"/>
                <w:lang w:eastAsia="en-GB"/>
              </w:rPr>
              <w:t>p</w:t>
            </w:r>
          </w:p>
        </w:tc>
        <w:tc>
          <w:tcPr>
            <w:tcW w:w="1158" w:type="dxa"/>
            <w:noWrap/>
          </w:tcPr>
          <w:p w:rsidR="00190FEF" w:rsidRPr="00B52E6B" w:rsidRDefault="00190FEF" w:rsidP="001F50C1">
            <w:pPr>
              <w:rPr>
                <w:rFonts w:ascii="Calibri" w:eastAsia="Times New Roman" w:hAnsi="Calibri" w:cs="Times New Roman"/>
                <w:color w:val="000000"/>
                <w:sz w:val="18"/>
                <w:szCs w:val="18"/>
                <w:lang w:eastAsia="en-GB"/>
              </w:rPr>
            </w:pPr>
            <w:r w:rsidRPr="00B17F2F">
              <w:rPr>
                <w:rFonts w:ascii="Calibri" w:eastAsia="Times New Roman" w:hAnsi="Calibri" w:cs="Times New Roman"/>
                <w:color w:val="000000"/>
                <w:sz w:val="18"/>
                <w:szCs w:val="18"/>
                <w:lang w:eastAsia="en-GB"/>
              </w:rPr>
              <w:t>coef</w:t>
            </w:r>
          </w:p>
        </w:tc>
        <w:tc>
          <w:tcPr>
            <w:tcW w:w="1021" w:type="dxa"/>
            <w:noWrap/>
          </w:tcPr>
          <w:p w:rsidR="00190FEF" w:rsidRPr="00B52E6B" w:rsidRDefault="00190FEF" w:rsidP="001F50C1">
            <w:pPr>
              <w:rPr>
                <w:rFonts w:ascii="Calibri" w:eastAsia="Times New Roman" w:hAnsi="Calibri" w:cs="Times New Roman"/>
                <w:color w:val="000000"/>
                <w:sz w:val="18"/>
                <w:szCs w:val="18"/>
                <w:lang w:eastAsia="en-GB"/>
              </w:rPr>
            </w:pPr>
            <w:r w:rsidRPr="00B17F2F">
              <w:rPr>
                <w:rFonts w:ascii="Calibri" w:eastAsia="Times New Roman" w:hAnsi="Calibri" w:cs="Times New Roman"/>
                <w:color w:val="000000"/>
                <w:sz w:val="18"/>
                <w:szCs w:val="18"/>
                <w:lang w:eastAsia="en-GB"/>
              </w:rPr>
              <w:t>p</w:t>
            </w:r>
          </w:p>
        </w:tc>
      </w:tr>
      <w:tr w:rsidR="00190FEF" w:rsidRPr="00B52E6B" w:rsidTr="0065481C">
        <w:trPr>
          <w:trHeight w:val="300"/>
        </w:trPr>
        <w:tc>
          <w:tcPr>
            <w:tcW w:w="4416" w:type="dxa"/>
            <w:noWrap/>
            <w:hideMark/>
          </w:tcPr>
          <w:p w:rsidR="00190FEF" w:rsidRPr="00B52E6B" w:rsidRDefault="00190FEF" w:rsidP="001F50C1">
            <w:pP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Acute Specialist Trust</w:t>
            </w:r>
          </w:p>
        </w:tc>
        <w:tc>
          <w:tcPr>
            <w:tcW w:w="1132" w:type="dxa"/>
            <w:noWrap/>
            <w:hideMark/>
          </w:tcPr>
          <w:p w:rsidR="00190FEF" w:rsidRPr="00B52E6B" w:rsidRDefault="00190FEF" w:rsidP="001F50C1">
            <w:pP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0.0713</w:t>
            </w:r>
          </w:p>
        </w:tc>
        <w:tc>
          <w:tcPr>
            <w:tcW w:w="858" w:type="dxa"/>
            <w:noWrap/>
            <w:hideMark/>
          </w:tcPr>
          <w:p w:rsidR="00190FEF" w:rsidRPr="00B52E6B" w:rsidRDefault="00190FEF" w:rsidP="001F50C1">
            <w:pP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(0.798)</w:t>
            </w:r>
          </w:p>
        </w:tc>
        <w:tc>
          <w:tcPr>
            <w:tcW w:w="1158" w:type="dxa"/>
            <w:noWrap/>
            <w:hideMark/>
          </w:tcPr>
          <w:p w:rsidR="00190FEF" w:rsidRPr="00B52E6B" w:rsidRDefault="00190FEF" w:rsidP="001F50C1">
            <w:pP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-0.132</w:t>
            </w:r>
          </w:p>
        </w:tc>
        <w:tc>
          <w:tcPr>
            <w:tcW w:w="1021" w:type="dxa"/>
            <w:noWrap/>
            <w:hideMark/>
          </w:tcPr>
          <w:p w:rsidR="00190FEF" w:rsidRPr="00B52E6B" w:rsidRDefault="00190FEF" w:rsidP="001F50C1">
            <w:pP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(0.688)</w:t>
            </w:r>
          </w:p>
        </w:tc>
      </w:tr>
      <w:tr w:rsidR="00190FEF" w:rsidRPr="00B52E6B" w:rsidTr="0065481C">
        <w:trPr>
          <w:trHeight w:val="300"/>
        </w:trPr>
        <w:tc>
          <w:tcPr>
            <w:tcW w:w="4416" w:type="dxa"/>
            <w:noWrap/>
            <w:hideMark/>
          </w:tcPr>
          <w:p w:rsidR="00190FEF" w:rsidRPr="00B52E6B" w:rsidRDefault="00190FEF" w:rsidP="001F50C1">
            <w:pP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Acute Teaching Trust</w:t>
            </w:r>
          </w:p>
        </w:tc>
        <w:tc>
          <w:tcPr>
            <w:tcW w:w="1132" w:type="dxa"/>
            <w:noWrap/>
            <w:hideMark/>
          </w:tcPr>
          <w:p w:rsidR="00190FEF" w:rsidRPr="00B52E6B" w:rsidRDefault="00190FEF" w:rsidP="001F50C1">
            <w:pP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-0.137</w:t>
            </w:r>
          </w:p>
        </w:tc>
        <w:tc>
          <w:tcPr>
            <w:tcW w:w="858" w:type="dxa"/>
            <w:noWrap/>
            <w:hideMark/>
          </w:tcPr>
          <w:p w:rsidR="00190FEF" w:rsidRPr="00B52E6B" w:rsidRDefault="00190FEF" w:rsidP="001F50C1">
            <w:pP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(0.363)</w:t>
            </w:r>
          </w:p>
        </w:tc>
        <w:tc>
          <w:tcPr>
            <w:tcW w:w="1158" w:type="dxa"/>
            <w:noWrap/>
            <w:hideMark/>
          </w:tcPr>
          <w:p w:rsidR="00190FEF" w:rsidRPr="00B52E6B" w:rsidRDefault="00190FEF" w:rsidP="001F50C1">
            <w:pP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-0.0399</w:t>
            </w:r>
          </w:p>
        </w:tc>
        <w:tc>
          <w:tcPr>
            <w:tcW w:w="1021" w:type="dxa"/>
            <w:noWrap/>
            <w:hideMark/>
          </w:tcPr>
          <w:p w:rsidR="00190FEF" w:rsidRPr="00B52E6B" w:rsidRDefault="00190FEF" w:rsidP="001F50C1">
            <w:pP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(0.809)</w:t>
            </w:r>
          </w:p>
        </w:tc>
      </w:tr>
      <w:tr w:rsidR="00190FEF" w:rsidRPr="00B52E6B" w:rsidTr="0065481C">
        <w:trPr>
          <w:trHeight w:val="300"/>
        </w:trPr>
        <w:tc>
          <w:tcPr>
            <w:tcW w:w="4416" w:type="dxa"/>
            <w:noWrap/>
            <w:hideMark/>
          </w:tcPr>
          <w:p w:rsidR="00190FEF" w:rsidRPr="00B52E6B" w:rsidRDefault="00190FEF" w:rsidP="001F50C1">
            <w:pP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Mental Health Trust</w:t>
            </w:r>
          </w:p>
        </w:tc>
        <w:tc>
          <w:tcPr>
            <w:tcW w:w="1132" w:type="dxa"/>
            <w:noWrap/>
            <w:hideMark/>
          </w:tcPr>
          <w:p w:rsidR="00190FEF" w:rsidRPr="00B52E6B" w:rsidRDefault="00190FEF" w:rsidP="001F50C1">
            <w:pP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0.208</w:t>
            </w:r>
          </w:p>
        </w:tc>
        <w:tc>
          <w:tcPr>
            <w:tcW w:w="858" w:type="dxa"/>
            <w:noWrap/>
            <w:hideMark/>
          </w:tcPr>
          <w:p w:rsidR="00190FEF" w:rsidRPr="00B52E6B" w:rsidRDefault="00190FEF" w:rsidP="001F50C1">
            <w:pP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(0.220)</w:t>
            </w:r>
          </w:p>
        </w:tc>
        <w:tc>
          <w:tcPr>
            <w:tcW w:w="1158" w:type="dxa"/>
            <w:noWrap/>
            <w:hideMark/>
          </w:tcPr>
          <w:p w:rsidR="00190FEF" w:rsidRPr="00B52E6B" w:rsidRDefault="00190FEF" w:rsidP="001F50C1">
            <w:pP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-0.215</w:t>
            </w:r>
          </w:p>
        </w:tc>
        <w:tc>
          <w:tcPr>
            <w:tcW w:w="1021" w:type="dxa"/>
            <w:noWrap/>
            <w:hideMark/>
          </w:tcPr>
          <w:p w:rsidR="00190FEF" w:rsidRPr="00B52E6B" w:rsidRDefault="00190FEF" w:rsidP="001F50C1">
            <w:pP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(0.283)</w:t>
            </w:r>
          </w:p>
        </w:tc>
      </w:tr>
      <w:tr w:rsidR="00190FEF" w:rsidRPr="00B52E6B" w:rsidTr="0065481C">
        <w:trPr>
          <w:trHeight w:val="300"/>
        </w:trPr>
        <w:tc>
          <w:tcPr>
            <w:tcW w:w="4416" w:type="dxa"/>
            <w:noWrap/>
            <w:hideMark/>
          </w:tcPr>
          <w:p w:rsidR="00190FEF" w:rsidRPr="00B52E6B" w:rsidRDefault="00190FEF" w:rsidP="001F50C1">
            <w:pP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Foundation Trust</w:t>
            </w:r>
          </w:p>
        </w:tc>
        <w:tc>
          <w:tcPr>
            <w:tcW w:w="1132" w:type="dxa"/>
            <w:noWrap/>
            <w:hideMark/>
          </w:tcPr>
          <w:p w:rsidR="00190FEF" w:rsidRPr="00B52E6B" w:rsidRDefault="00190FEF" w:rsidP="001F50C1">
            <w:pP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-0.211*</w:t>
            </w:r>
          </w:p>
        </w:tc>
        <w:tc>
          <w:tcPr>
            <w:tcW w:w="858" w:type="dxa"/>
            <w:noWrap/>
            <w:hideMark/>
          </w:tcPr>
          <w:p w:rsidR="00190FEF" w:rsidRPr="00B52E6B" w:rsidRDefault="00190FEF" w:rsidP="001F50C1">
            <w:pP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(0.084)</w:t>
            </w:r>
          </w:p>
        </w:tc>
        <w:tc>
          <w:tcPr>
            <w:tcW w:w="1158" w:type="dxa"/>
            <w:noWrap/>
            <w:hideMark/>
          </w:tcPr>
          <w:p w:rsidR="00190FEF" w:rsidRPr="00B52E6B" w:rsidRDefault="00190FEF" w:rsidP="001F50C1">
            <w:pP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-0.271**</w:t>
            </w:r>
          </w:p>
        </w:tc>
        <w:tc>
          <w:tcPr>
            <w:tcW w:w="1021" w:type="dxa"/>
            <w:noWrap/>
            <w:hideMark/>
          </w:tcPr>
          <w:p w:rsidR="00190FEF" w:rsidRPr="00B52E6B" w:rsidRDefault="00190FEF" w:rsidP="001F50C1">
            <w:pP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(0.042)</w:t>
            </w:r>
          </w:p>
        </w:tc>
      </w:tr>
      <w:tr w:rsidR="00190FEF" w:rsidRPr="00B52E6B" w:rsidTr="0065481C">
        <w:trPr>
          <w:trHeight w:val="300"/>
        </w:trPr>
        <w:tc>
          <w:tcPr>
            <w:tcW w:w="4416" w:type="dxa"/>
            <w:noWrap/>
            <w:hideMark/>
          </w:tcPr>
          <w:p w:rsidR="00190FEF" w:rsidRPr="00B52E6B" w:rsidRDefault="00190FEF" w:rsidP="001F50C1">
            <w:pP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Ln Care Home Beds</w:t>
            </w:r>
          </w:p>
        </w:tc>
        <w:tc>
          <w:tcPr>
            <w:tcW w:w="1132" w:type="dxa"/>
            <w:noWrap/>
            <w:hideMark/>
          </w:tcPr>
          <w:p w:rsidR="00190FEF" w:rsidRPr="00B52E6B" w:rsidRDefault="00190FEF" w:rsidP="001F50C1">
            <w:pP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-0.296***</w:t>
            </w:r>
          </w:p>
        </w:tc>
        <w:tc>
          <w:tcPr>
            <w:tcW w:w="858" w:type="dxa"/>
            <w:noWrap/>
            <w:hideMark/>
          </w:tcPr>
          <w:p w:rsidR="00190FEF" w:rsidRPr="00B52E6B" w:rsidRDefault="00190FEF" w:rsidP="001F50C1">
            <w:pP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(0.000)</w:t>
            </w:r>
          </w:p>
        </w:tc>
        <w:tc>
          <w:tcPr>
            <w:tcW w:w="1158" w:type="dxa"/>
            <w:noWrap/>
            <w:hideMark/>
          </w:tcPr>
          <w:p w:rsidR="00190FEF" w:rsidRPr="00B52E6B" w:rsidRDefault="00190FEF" w:rsidP="001F50C1">
            <w:pP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-0.274***</w:t>
            </w:r>
          </w:p>
        </w:tc>
        <w:tc>
          <w:tcPr>
            <w:tcW w:w="1021" w:type="dxa"/>
            <w:noWrap/>
            <w:hideMark/>
          </w:tcPr>
          <w:p w:rsidR="00190FEF" w:rsidRPr="00B52E6B" w:rsidRDefault="00190FEF" w:rsidP="001F50C1">
            <w:pP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(0.000)</w:t>
            </w:r>
          </w:p>
        </w:tc>
      </w:tr>
      <w:tr w:rsidR="00190FEF" w:rsidRPr="00B52E6B" w:rsidTr="0065481C">
        <w:trPr>
          <w:trHeight w:val="300"/>
        </w:trPr>
        <w:tc>
          <w:tcPr>
            <w:tcW w:w="4416" w:type="dxa"/>
            <w:noWrap/>
            <w:hideMark/>
          </w:tcPr>
          <w:p w:rsidR="00190FEF" w:rsidRPr="00B52E6B" w:rsidRDefault="00190FEF" w:rsidP="001F50C1">
            <w:pP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Ln Care Home Price/Week</w:t>
            </w:r>
          </w:p>
        </w:tc>
        <w:tc>
          <w:tcPr>
            <w:tcW w:w="1132" w:type="dxa"/>
            <w:noWrap/>
            <w:hideMark/>
          </w:tcPr>
          <w:p w:rsidR="00190FEF" w:rsidRPr="00B52E6B" w:rsidRDefault="00190FEF" w:rsidP="001F50C1">
            <w:pP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0.448*</w:t>
            </w:r>
          </w:p>
        </w:tc>
        <w:tc>
          <w:tcPr>
            <w:tcW w:w="858" w:type="dxa"/>
            <w:noWrap/>
            <w:hideMark/>
          </w:tcPr>
          <w:p w:rsidR="00190FEF" w:rsidRPr="00B52E6B" w:rsidRDefault="00190FEF" w:rsidP="001F50C1">
            <w:pP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(0.062)</w:t>
            </w:r>
          </w:p>
        </w:tc>
        <w:tc>
          <w:tcPr>
            <w:tcW w:w="1158" w:type="dxa"/>
            <w:noWrap/>
            <w:hideMark/>
          </w:tcPr>
          <w:p w:rsidR="00190FEF" w:rsidRPr="00B52E6B" w:rsidRDefault="00190FEF" w:rsidP="001F50C1">
            <w:pP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0.00965</w:t>
            </w:r>
          </w:p>
        </w:tc>
        <w:tc>
          <w:tcPr>
            <w:tcW w:w="1021" w:type="dxa"/>
            <w:noWrap/>
            <w:hideMark/>
          </w:tcPr>
          <w:p w:rsidR="00190FEF" w:rsidRPr="00B52E6B" w:rsidRDefault="00190FEF" w:rsidP="001F50C1">
            <w:pP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(0.970)</w:t>
            </w:r>
          </w:p>
        </w:tc>
      </w:tr>
      <w:tr w:rsidR="0065481C" w:rsidRPr="00B52E6B" w:rsidTr="0065481C">
        <w:trPr>
          <w:trHeight w:val="300"/>
        </w:trPr>
        <w:tc>
          <w:tcPr>
            <w:tcW w:w="4416" w:type="dxa"/>
            <w:noWrap/>
            <w:hideMark/>
          </w:tcPr>
          <w:p w:rsidR="0065481C" w:rsidRPr="00B52E6B" w:rsidRDefault="0065481C" w:rsidP="001F50C1">
            <w:pP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Other Trusts in the same Local Authority</w:t>
            </w:r>
          </w:p>
        </w:tc>
        <w:tc>
          <w:tcPr>
            <w:tcW w:w="1132" w:type="dxa"/>
            <w:noWrap/>
            <w:hideMark/>
          </w:tcPr>
          <w:p w:rsidR="0065481C" w:rsidRPr="00B52E6B" w:rsidRDefault="0065481C" w:rsidP="001F50C1">
            <w:pP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0.0909</w:t>
            </w:r>
          </w:p>
        </w:tc>
        <w:tc>
          <w:tcPr>
            <w:tcW w:w="858" w:type="dxa"/>
            <w:noWrap/>
            <w:hideMark/>
          </w:tcPr>
          <w:p w:rsidR="0065481C" w:rsidRPr="00B52E6B" w:rsidRDefault="0065481C" w:rsidP="001F50C1">
            <w:pP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(0.469)</w:t>
            </w:r>
          </w:p>
        </w:tc>
        <w:tc>
          <w:tcPr>
            <w:tcW w:w="1158" w:type="dxa"/>
            <w:noWrap/>
            <w:hideMark/>
          </w:tcPr>
          <w:p w:rsidR="0065481C" w:rsidRPr="00B52E6B" w:rsidRDefault="0065481C" w:rsidP="001F50C1">
            <w:pP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0.128</w:t>
            </w:r>
          </w:p>
        </w:tc>
        <w:tc>
          <w:tcPr>
            <w:tcW w:w="1021" w:type="dxa"/>
            <w:noWrap/>
            <w:hideMark/>
          </w:tcPr>
          <w:p w:rsidR="0065481C" w:rsidRPr="00B52E6B" w:rsidRDefault="0065481C" w:rsidP="001F50C1">
            <w:pP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(0.352)</w:t>
            </w:r>
          </w:p>
        </w:tc>
      </w:tr>
      <w:tr w:rsidR="0065481C" w:rsidRPr="00B52E6B" w:rsidTr="0065481C">
        <w:trPr>
          <w:trHeight w:val="300"/>
        </w:trPr>
        <w:tc>
          <w:tcPr>
            <w:tcW w:w="4416" w:type="dxa"/>
            <w:noWrap/>
            <w:hideMark/>
          </w:tcPr>
          <w:p w:rsidR="0065481C" w:rsidRDefault="0065481C" w:rsidP="001F50C1">
            <w:pP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Interaction of FT * Other Trusts in LA</w:t>
            </w:r>
          </w:p>
        </w:tc>
        <w:tc>
          <w:tcPr>
            <w:tcW w:w="1132" w:type="dxa"/>
            <w:noWrap/>
            <w:hideMark/>
          </w:tcPr>
          <w:p w:rsidR="0065481C" w:rsidRDefault="0065481C" w:rsidP="001F50C1">
            <w:pP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-0.186</w:t>
            </w:r>
          </w:p>
        </w:tc>
        <w:tc>
          <w:tcPr>
            <w:tcW w:w="858" w:type="dxa"/>
            <w:noWrap/>
            <w:hideMark/>
          </w:tcPr>
          <w:p w:rsidR="0065481C" w:rsidRDefault="0065481C" w:rsidP="001F50C1">
            <w:pP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(0.223)</w:t>
            </w:r>
          </w:p>
        </w:tc>
        <w:tc>
          <w:tcPr>
            <w:tcW w:w="1158" w:type="dxa"/>
            <w:noWrap/>
            <w:hideMark/>
          </w:tcPr>
          <w:p w:rsidR="0065481C" w:rsidRDefault="0065481C" w:rsidP="001F50C1">
            <w:pP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-0.193</w:t>
            </w:r>
          </w:p>
        </w:tc>
        <w:tc>
          <w:tcPr>
            <w:tcW w:w="1021" w:type="dxa"/>
            <w:noWrap/>
            <w:hideMark/>
          </w:tcPr>
          <w:p w:rsidR="0065481C" w:rsidRDefault="0065481C" w:rsidP="001F50C1">
            <w:pP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(0.352)</w:t>
            </w:r>
          </w:p>
        </w:tc>
      </w:tr>
      <w:tr w:rsidR="00190FEF" w:rsidRPr="00B52E6B" w:rsidTr="0065481C">
        <w:trPr>
          <w:trHeight w:val="300"/>
        </w:trPr>
        <w:tc>
          <w:tcPr>
            <w:tcW w:w="4416" w:type="dxa"/>
            <w:noWrap/>
            <w:hideMark/>
          </w:tcPr>
          <w:p w:rsidR="00190FEF" w:rsidRPr="00B52E6B" w:rsidRDefault="00190FEF" w:rsidP="001F50C1">
            <w:pP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ln r</w:t>
            </w:r>
          </w:p>
        </w:tc>
        <w:tc>
          <w:tcPr>
            <w:tcW w:w="1132" w:type="dxa"/>
            <w:noWrap/>
            <w:hideMark/>
          </w:tcPr>
          <w:p w:rsidR="00190FEF" w:rsidRPr="00B52E6B" w:rsidRDefault="00190FEF" w:rsidP="001F50C1">
            <w:pP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1.174***</w:t>
            </w:r>
          </w:p>
        </w:tc>
        <w:tc>
          <w:tcPr>
            <w:tcW w:w="858" w:type="dxa"/>
            <w:noWrap/>
            <w:hideMark/>
          </w:tcPr>
          <w:p w:rsidR="00190FEF" w:rsidRPr="00B52E6B" w:rsidRDefault="00190FEF" w:rsidP="001F50C1">
            <w:pP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(0.000)</w:t>
            </w:r>
          </w:p>
        </w:tc>
        <w:tc>
          <w:tcPr>
            <w:tcW w:w="1158" w:type="dxa"/>
            <w:noWrap/>
            <w:hideMark/>
          </w:tcPr>
          <w:p w:rsidR="00190FEF" w:rsidRPr="00B52E6B" w:rsidRDefault="00190FEF" w:rsidP="001F50C1">
            <w:pP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0.910***</w:t>
            </w:r>
          </w:p>
        </w:tc>
        <w:tc>
          <w:tcPr>
            <w:tcW w:w="1021" w:type="dxa"/>
            <w:noWrap/>
            <w:hideMark/>
          </w:tcPr>
          <w:p w:rsidR="00190FEF" w:rsidRPr="00B52E6B" w:rsidRDefault="00190FEF" w:rsidP="001F50C1">
            <w:pP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(0.000)</w:t>
            </w:r>
          </w:p>
        </w:tc>
      </w:tr>
      <w:tr w:rsidR="00190FEF" w:rsidRPr="00B52E6B" w:rsidTr="0065481C">
        <w:trPr>
          <w:trHeight w:val="300"/>
        </w:trPr>
        <w:tc>
          <w:tcPr>
            <w:tcW w:w="4416" w:type="dxa"/>
            <w:noWrap/>
            <w:hideMark/>
          </w:tcPr>
          <w:p w:rsidR="00190FEF" w:rsidRPr="00B52E6B" w:rsidRDefault="00190FEF" w:rsidP="001F50C1">
            <w:pP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ln s</w:t>
            </w:r>
          </w:p>
        </w:tc>
        <w:tc>
          <w:tcPr>
            <w:tcW w:w="1132" w:type="dxa"/>
            <w:noWrap/>
            <w:hideMark/>
          </w:tcPr>
          <w:p w:rsidR="00190FEF" w:rsidRPr="00B52E6B" w:rsidRDefault="00190FEF" w:rsidP="001F50C1">
            <w:pP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7.442***</w:t>
            </w:r>
          </w:p>
        </w:tc>
        <w:tc>
          <w:tcPr>
            <w:tcW w:w="858" w:type="dxa"/>
            <w:noWrap/>
            <w:hideMark/>
          </w:tcPr>
          <w:p w:rsidR="00190FEF" w:rsidRPr="00B52E6B" w:rsidRDefault="00190FEF" w:rsidP="001F50C1">
            <w:pP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(0.000)</w:t>
            </w:r>
          </w:p>
        </w:tc>
        <w:tc>
          <w:tcPr>
            <w:tcW w:w="1158" w:type="dxa"/>
            <w:noWrap/>
            <w:hideMark/>
          </w:tcPr>
          <w:p w:rsidR="00190FEF" w:rsidRPr="00B52E6B" w:rsidRDefault="00190FEF" w:rsidP="001F50C1">
            <w:pP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6.934***</w:t>
            </w:r>
          </w:p>
        </w:tc>
        <w:tc>
          <w:tcPr>
            <w:tcW w:w="1021" w:type="dxa"/>
            <w:noWrap/>
            <w:hideMark/>
          </w:tcPr>
          <w:p w:rsidR="00190FEF" w:rsidRPr="00B52E6B" w:rsidRDefault="00190FEF" w:rsidP="001F50C1">
            <w:pP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(0.000)</w:t>
            </w:r>
          </w:p>
        </w:tc>
      </w:tr>
      <w:tr w:rsidR="00190FEF" w:rsidRPr="00B52E6B" w:rsidTr="0065481C">
        <w:trPr>
          <w:trHeight w:val="300"/>
        </w:trPr>
        <w:tc>
          <w:tcPr>
            <w:tcW w:w="4416" w:type="dxa"/>
            <w:noWrap/>
            <w:hideMark/>
          </w:tcPr>
          <w:p w:rsidR="00190FEF" w:rsidRPr="00B52E6B" w:rsidRDefault="00190FEF" w:rsidP="001F50C1">
            <w:pP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exposure</w:t>
            </w:r>
          </w:p>
        </w:tc>
        <w:tc>
          <w:tcPr>
            <w:tcW w:w="1990" w:type="dxa"/>
            <w:gridSpan w:val="2"/>
            <w:noWrap/>
            <w:hideMark/>
          </w:tcPr>
          <w:p w:rsidR="00190FEF" w:rsidRPr="00B52E6B" w:rsidRDefault="009B014D" w:rsidP="001F50C1">
            <w:pPr>
              <w:jc w:val="center"/>
              <w:rPr>
                <w:rFonts w:ascii="Calibri" w:eastAsia="Times New Roman" w:hAnsi="Calibri" w:cs="Times New Roman"/>
                <w:color w:val="000000"/>
                <w:sz w:val="18"/>
                <w:szCs w:val="18"/>
                <w:lang w:eastAsia="en-GB"/>
              </w:rPr>
            </w:pPr>
            <w:r w:rsidRPr="00D07DCF">
              <w:rPr>
                <w:rFonts w:ascii="Calibri" w:hAnsi="Calibri" w:cs="Calibri"/>
                <w:color w:val="000000"/>
                <w:sz w:val="18"/>
                <w:szCs w:val="18"/>
              </w:rPr>
              <w:t>Ln Beds in Trust</w:t>
            </w:r>
          </w:p>
        </w:tc>
        <w:tc>
          <w:tcPr>
            <w:tcW w:w="2179" w:type="dxa"/>
            <w:gridSpan w:val="2"/>
            <w:noWrap/>
            <w:hideMark/>
          </w:tcPr>
          <w:p w:rsidR="00190FEF" w:rsidRPr="00B52E6B" w:rsidRDefault="009B014D" w:rsidP="001F50C1">
            <w:pPr>
              <w:jc w:val="center"/>
              <w:rPr>
                <w:rFonts w:ascii="Calibri" w:eastAsia="Times New Roman" w:hAnsi="Calibri" w:cs="Times New Roman"/>
                <w:color w:val="000000"/>
                <w:sz w:val="18"/>
                <w:szCs w:val="18"/>
                <w:lang w:eastAsia="en-GB"/>
              </w:rPr>
            </w:pPr>
            <w:r w:rsidRPr="00D07DCF">
              <w:rPr>
                <w:rFonts w:ascii="Calibri" w:hAnsi="Calibri" w:cs="Calibri"/>
                <w:color w:val="000000"/>
                <w:sz w:val="18"/>
                <w:szCs w:val="18"/>
              </w:rPr>
              <w:t>Ln Beds in Trust</w:t>
            </w:r>
          </w:p>
        </w:tc>
      </w:tr>
      <w:tr w:rsidR="000B7267" w:rsidRPr="00B52E6B" w:rsidTr="0065481C">
        <w:trPr>
          <w:trHeight w:val="300"/>
        </w:trPr>
        <w:tc>
          <w:tcPr>
            <w:tcW w:w="4416" w:type="dxa"/>
            <w:noWrap/>
            <w:hideMark/>
          </w:tcPr>
          <w:p w:rsidR="000B7267" w:rsidRPr="00B52E6B" w:rsidRDefault="000B7267" w:rsidP="001F50C1">
            <w:pP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AIC</w:t>
            </w:r>
          </w:p>
        </w:tc>
        <w:tc>
          <w:tcPr>
            <w:tcW w:w="1990" w:type="dxa"/>
            <w:gridSpan w:val="2"/>
            <w:noWrap/>
            <w:hideMark/>
          </w:tcPr>
          <w:p w:rsidR="000B7267" w:rsidRPr="00B52E6B" w:rsidRDefault="000B7267" w:rsidP="000B7267">
            <w:pPr>
              <w:jc w:val="cente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11186.1</w:t>
            </w:r>
          </w:p>
        </w:tc>
        <w:tc>
          <w:tcPr>
            <w:tcW w:w="2179" w:type="dxa"/>
            <w:gridSpan w:val="2"/>
            <w:noWrap/>
            <w:hideMark/>
          </w:tcPr>
          <w:p w:rsidR="000B7267" w:rsidRPr="00B52E6B" w:rsidRDefault="000B7267" w:rsidP="000B7267">
            <w:pPr>
              <w:jc w:val="cente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10695.4</w:t>
            </w:r>
          </w:p>
        </w:tc>
      </w:tr>
      <w:tr w:rsidR="000B7267" w:rsidRPr="00B52E6B" w:rsidTr="0065481C">
        <w:trPr>
          <w:trHeight w:val="300"/>
        </w:trPr>
        <w:tc>
          <w:tcPr>
            <w:tcW w:w="4416" w:type="dxa"/>
            <w:noWrap/>
            <w:hideMark/>
          </w:tcPr>
          <w:p w:rsidR="000B7267" w:rsidRPr="00B52E6B" w:rsidRDefault="000B7267" w:rsidP="001F50C1">
            <w:pP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BIC</w:t>
            </w:r>
          </w:p>
        </w:tc>
        <w:tc>
          <w:tcPr>
            <w:tcW w:w="1990" w:type="dxa"/>
            <w:gridSpan w:val="2"/>
            <w:noWrap/>
            <w:hideMark/>
          </w:tcPr>
          <w:p w:rsidR="000B7267" w:rsidRPr="00B52E6B" w:rsidRDefault="000B7267" w:rsidP="000B7267">
            <w:pPr>
              <w:jc w:val="cente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11292.2</w:t>
            </w:r>
          </w:p>
        </w:tc>
        <w:tc>
          <w:tcPr>
            <w:tcW w:w="2179" w:type="dxa"/>
            <w:gridSpan w:val="2"/>
            <w:noWrap/>
            <w:hideMark/>
          </w:tcPr>
          <w:p w:rsidR="000B7267" w:rsidRPr="00B52E6B" w:rsidRDefault="000B7267" w:rsidP="000B7267">
            <w:pPr>
              <w:jc w:val="cente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10801.5</w:t>
            </w:r>
          </w:p>
        </w:tc>
      </w:tr>
      <w:tr w:rsidR="000B7267" w:rsidRPr="00B52E6B" w:rsidTr="0065481C">
        <w:trPr>
          <w:trHeight w:val="300"/>
        </w:trPr>
        <w:tc>
          <w:tcPr>
            <w:tcW w:w="4416" w:type="dxa"/>
            <w:noWrap/>
            <w:hideMark/>
          </w:tcPr>
          <w:p w:rsidR="000B7267" w:rsidRPr="00B52E6B" w:rsidRDefault="000B7267" w:rsidP="001F50C1">
            <w:pPr>
              <w:rPr>
                <w:rFonts w:ascii="Calibri" w:eastAsia="Times New Roman" w:hAnsi="Calibri" w:cs="Times New Roman"/>
                <w:color w:val="000000"/>
                <w:sz w:val="18"/>
                <w:szCs w:val="18"/>
                <w:lang w:eastAsia="en-GB"/>
              </w:rPr>
            </w:pPr>
            <w:r w:rsidRPr="00B52E6B">
              <w:rPr>
                <w:rFonts w:ascii="Calibri" w:eastAsia="Times New Roman" w:hAnsi="Calibri" w:cs="Times New Roman"/>
                <w:color w:val="000000"/>
                <w:sz w:val="18"/>
                <w:szCs w:val="18"/>
                <w:lang w:eastAsia="en-GB"/>
              </w:rPr>
              <w:t>s.e.</w:t>
            </w:r>
          </w:p>
        </w:tc>
        <w:tc>
          <w:tcPr>
            <w:tcW w:w="1990" w:type="dxa"/>
            <w:gridSpan w:val="2"/>
            <w:noWrap/>
            <w:hideMark/>
          </w:tcPr>
          <w:p w:rsidR="000B7267" w:rsidRPr="00B52E6B" w:rsidRDefault="000B7267" w:rsidP="000B7267">
            <w:pPr>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OIM</w:t>
            </w:r>
          </w:p>
        </w:tc>
        <w:tc>
          <w:tcPr>
            <w:tcW w:w="2179" w:type="dxa"/>
            <w:gridSpan w:val="2"/>
            <w:noWrap/>
            <w:hideMark/>
          </w:tcPr>
          <w:p w:rsidR="000B7267" w:rsidRPr="00B52E6B" w:rsidRDefault="000B7267" w:rsidP="000B7267">
            <w:pPr>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OIM</w:t>
            </w:r>
          </w:p>
        </w:tc>
      </w:tr>
    </w:tbl>
    <w:p w:rsidR="00190FEF" w:rsidRDefault="00190FEF" w:rsidP="00DC44CE">
      <w:pPr>
        <w:jc w:val="both"/>
        <w:rPr>
          <w:rFonts w:ascii="Calibri" w:hAnsi="Calibri"/>
          <w:color w:val="000000"/>
          <w:sz w:val="18"/>
          <w:szCs w:val="18"/>
          <w:lang w:eastAsia="en-GB"/>
        </w:rPr>
      </w:pPr>
      <w:r>
        <w:rPr>
          <w:rFonts w:ascii="Calibri" w:hAnsi="Calibri"/>
          <w:color w:val="000000"/>
          <w:sz w:val="18"/>
          <w:szCs w:val="18"/>
          <w:lang w:eastAsia="en-GB"/>
        </w:rPr>
        <w:t xml:space="preserve">Negative binomial models with Trust level </w:t>
      </w:r>
      <w:r w:rsidRPr="008A318C">
        <w:rPr>
          <w:rFonts w:ascii="Calibri" w:hAnsi="Calibri"/>
          <w:color w:val="000000"/>
          <w:sz w:val="18"/>
          <w:szCs w:val="18"/>
          <w:lang w:eastAsia="en-GB"/>
        </w:rPr>
        <w:t xml:space="preserve">random effects. </w:t>
      </w:r>
      <w:r>
        <w:rPr>
          <w:rFonts w:ascii="Calibri" w:hAnsi="Calibri"/>
          <w:color w:val="000000"/>
          <w:sz w:val="18"/>
          <w:szCs w:val="18"/>
          <w:lang w:eastAsia="en-GB"/>
        </w:rPr>
        <w:t xml:space="preserve"> All Days of Delay: </w:t>
      </w:r>
      <w:r w:rsidRPr="008A318C">
        <w:rPr>
          <w:sz w:val="18"/>
          <w:szCs w:val="18"/>
        </w:rPr>
        <w:t xml:space="preserve">total days of delay </w:t>
      </w:r>
      <w:r>
        <w:rPr>
          <w:sz w:val="18"/>
          <w:szCs w:val="18"/>
        </w:rPr>
        <w:t>in year</w:t>
      </w:r>
      <w:r w:rsidR="00533B04">
        <w:rPr>
          <w:sz w:val="18"/>
          <w:szCs w:val="18"/>
        </w:rPr>
        <w:t xml:space="preserve">. </w:t>
      </w:r>
      <w:r>
        <w:rPr>
          <w:sz w:val="18"/>
          <w:szCs w:val="18"/>
        </w:rPr>
        <w:t>Days of Delay Attributed to NHS: days of delay in year attributed to NHS.</w:t>
      </w:r>
      <w:r w:rsidRPr="008A318C">
        <w:rPr>
          <w:sz w:val="18"/>
          <w:szCs w:val="18"/>
        </w:rPr>
        <w:t xml:space="preserve"> </w:t>
      </w:r>
      <w:r>
        <w:rPr>
          <w:sz w:val="18"/>
          <w:szCs w:val="18"/>
        </w:rPr>
        <w:t xml:space="preserve"> Coefficients are proportionate change in days of delay from one unit increase in explanatory variable.  </w:t>
      </w:r>
      <w:r w:rsidR="004E6116">
        <w:rPr>
          <w:rFonts w:ascii="Calibri" w:eastAsia="Times New Roman" w:hAnsi="Calibri" w:cs="Times New Roman"/>
          <w:color w:val="000000"/>
          <w:sz w:val="18"/>
          <w:szCs w:val="18"/>
          <w:lang w:eastAsia="en-GB"/>
        </w:rPr>
        <w:t>These coefficients are also conditional on year dummies, Hospital beds, age, gender emergency and readmission variables as in Tables 3 and 4.</w:t>
      </w:r>
      <w:r w:rsidRPr="008A318C">
        <w:rPr>
          <w:sz w:val="18"/>
          <w:szCs w:val="18"/>
        </w:rPr>
        <w:t xml:space="preserve"> </w:t>
      </w:r>
      <w:r>
        <w:rPr>
          <w:sz w:val="18"/>
          <w:szCs w:val="18"/>
        </w:rPr>
        <w:t>E</w:t>
      </w:r>
      <w:r w:rsidRPr="008A318C">
        <w:rPr>
          <w:sz w:val="18"/>
          <w:szCs w:val="18"/>
        </w:rPr>
        <w:t xml:space="preserve">xposure term has a coefficient </w:t>
      </w:r>
      <w:r w:rsidRPr="00E4235A">
        <w:rPr>
          <w:sz w:val="18"/>
          <w:szCs w:val="18"/>
        </w:rPr>
        <w:t>of 1.</w:t>
      </w:r>
      <w:r w:rsidRPr="00E4235A">
        <w:rPr>
          <w:rFonts w:ascii="Calibri" w:hAnsi="Calibri"/>
          <w:color w:val="000000"/>
          <w:sz w:val="18"/>
          <w:szCs w:val="18"/>
          <w:lang w:eastAsia="en-GB"/>
        </w:rPr>
        <w:t xml:space="preserve"> </w:t>
      </w:r>
      <w:r>
        <w:rPr>
          <w:rFonts w:ascii="Calibri" w:hAnsi="Calibri"/>
          <w:color w:val="000000"/>
          <w:sz w:val="18"/>
          <w:szCs w:val="18"/>
          <w:lang w:eastAsia="en-GB"/>
        </w:rPr>
        <w:t xml:space="preserve"> </w:t>
      </w:r>
      <w:r w:rsidRPr="00E4235A">
        <w:rPr>
          <w:rFonts w:ascii="Calibri" w:hAnsi="Calibri"/>
          <w:color w:val="000000"/>
          <w:sz w:val="18"/>
          <w:szCs w:val="18"/>
          <w:lang w:eastAsia="en-GB"/>
        </w:rPr>
        <w:t>Ln r and Ln s</w:t>
      </w:r>
      <w:r>
        <w:rPr>
          <w:rFonts w:ascii="Calibri" w:hAnsi="Calibri"/>
          <w:color w:val="000000"/>
          <w:sz w:val="18"/>
          <w:szCs w:val="18"/>
          <w:lang w:eastAsia="en-GB"/>
        </w:rPr>
        <w:t xml:space="preserve">: </w:t>
      </w:r>
      <w:r w:rsidRPr="00E4235A">
        <w:rPr>
          <w:rFonts w:ascii="Calibri" w:hAnsi="Calibri"/>
          <w:color w:val="000000"/>
          <w:sz w:val="18"/>
          <w:szCs w:val="18"/>
          <w:lang w:eastAsia="en-GB"/>
        </w:rPr>
        <w:t>shape parameters of the beta (r, s) distribution of random effects.</w:t>
      </w:r>
      <w:r w:rsidRPr="008A318C">
        <w:rPr>
          <w:rFonts w:ascii="Calibri" w:hAnsi="Calibri"/>
          <w:color w:val="000000"/>
          <w:sz w:val="18"/>
          <w:szCs w:val="18"/>
          <w:lang w:eastAsia="en-GB"/>
        </w:rPr>
        <w:t xml:space="preserve"> AIC: Akaike Information Criterion. BIC: Bayesian Information Criterion. s.e.: standard errors. OIM: observed information matrix standard errors.  Observations: 614 = 208, 203 and 203 for 2011-12, 2012-13 and 2013-14</w:t>
      </w:r>
      <w:r>
        <w:rPr>
          <w:rFonts w:ascii="Calibri" w:hAnsi="Calibri"/>
          <w:color w:val="000000"/>
          <w:sz w:val="18"/>
          <w:szCs w:val="18"/>
          <w:lang w:eastAsia="en-GB"/>
        </w:rPr>
        <w:t>.</w:t>
      </w:r>
      <w:r w:rsidRPr="008A318C">
        <w:rPr>
          <w:rFonts w:ascii="Calibri" w:hAnsi="Calibri"/>
          <w:color w:val="000000"/>
          <w:sz w:val="18"/>
          <w:szCs w:val="18"/>
          <w:lang w:eastAsia="en-GB"/>
        </w:rPr>
        <w:t xml:space="preserve"> *p &lt; 0.1, **p &lt; 0.05, ***p &lt; 0.01</w:t>
      </w:r>
    </w:p>
    <w:p w:rsidR="00CD639B" w:rsidRDefault="00CD639B" w:rsidP="00343E91">
      <w:pPr>
        <w:spacing w:line="360" w:lineRule="auto"/>
        <w:jc w:val="both"/>
      </w:pPr>
    </w:p>
    <w:sectPr w:rsidR="00CD639B" w:rsidSect="00B24C21">
      <w:pgSz w:w="11906" w:h="16838"/>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A09" w:rsidRDefault="001F0A09" w:rsidP="00C428D7">
      <w:pPr>
        <w:spacing w:after="0" w:line="240" w:lineRule="auto"/>
      </w:pPr>
      <w:r>
        <w:separator/>
      </w:r>
    </w:p>
  </w:endnote>
  <w:endnote w:type="continuationSeparator" w:id="0">
    <w:p w:rsidR="001F0A09" w:rsidRDefault="001F0A09" w:rsidP="00C4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dvTT6120e2a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vTT153188ed">
    <w:panose1 w:val="00000000000000000000"/>
    <w:charset w:val="00"/>
    <w:family w:val="swiss"/>
    <w:notTrueType/>
    <w:pitch w:val="default"/>
    <w:sig w:usb0="00000003" w:usb1="00000000" w:usb2="00000000" w:usb3="00000000" w:csb0="00000001" w:csb1="00000000"/>
  </w:font>
  <w:font w:name="AdvOTb0c9bf5d+2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426555"/>
      <w:docPartObj>
        <w:docPartGallery w:val="Page Numbers (Bottom of Page)"/>
        <w:docPartUnique/>
      </w:docPartObj>
    </w:sdtPr>
    <w:sdtEndPr>
      <w:rPr>
        <w:noProof/>
      </w:rPr>
    </w:sdtEndPr>
    <w:sdtContent>
      <w:p w:rsidR="00534844" w:rsidRDefault="00270F3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34844" w:rsidRDefault="005348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658504"/>
      <w:docPartObj>
        <w:docPartGallery w:val="Page Numbers (Bottom of Page)"/>
        <w:docPartUnique/>
      </w:docPartObj>
    </w:sdtPr>
    <w:sdtEndPr>
      <w:rPr>
        <w:noProof/>
      </w:rPr>
    </w:sdtEndPr>
    <w:sdtContent>
      <w:p w:rsidR="00534844" w:rsidRDefault="00270F33">
        <w:pPr>
          <w:pStyle w:val="Footer"/>
          <w:jc w:val="center"/>
        </w:pPr>
        <w:r>
          <w:fldChar w:fldCharType="begin"/>
        </w:r>
        <w:r>
          <w:instrText xml:space="preserve"> PAGE   \* MERGEFORMAT </w:instrText>
        </w:r>
        <w:r>
          <w:fldChar w:fldCharType="separate"/>
        </w:r>
        <w:r>
          <w:rPr>
            <w:noProof/>
          </w:rPr>
          <w:t>37</w:t>
        </w:r>
        <w:r>
          <w:rPr>
            <w:noProof/>
          </w:rPr>
          <w:fldChar w:fldCharType="end"/>
        </w:r>
      </w:p>
    </w:sdtContent>
  </w:sdt>
  <w:p w:rsidR="00534844" w:rsidRDefault="00534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A09" w:rsidRDefault="001F0A09" w:rsidP="00C428D7">
      <w:pPr>
        <w:spacing w:after="0" w:line="240" w:lineRule="auto"/>
      </w:pPr>
      <w:r>
        <w:separator/>
      </w:r>
    </w:p>
  </w:footnote>
  <w:footnote w:type="continuationSeparator" w:id="0">
    <w:p w:rsidR="001F0A09" w:rsidRDefault="001F0A09" w:rsidP="00C428D7">
      <w:pPr>
        <w:spacing w:after="0" w:line="240" w:lineRule="auto"/>
      </w:pPr>
      <w:r>
        <w:continuationSeparator/>
      </w:r>
    </w:p>
  </w:footnote>
  <w:footnote w:id="1">
    <w:p w:rsidR="00534844" w:rsidRDefault="00534844" w:rsidP="003D54D9">
      <w:pPr>
        <w:pStyle w:val="FootnoteText"/>
        <w:jc w:val="both"/>
      </w:pPr>
      <w:r>
        <w:rPr>
          <w:rStyle w:val="FootnoteReference"/>
        </w:rPr>
        <w:footnoteRef/>
      </w:r>
      <w:r>
        <w:t xml:space="preserve"> Before the creation of the NHS, Poor Law Authorities were responsible for the social (long-term care) and medical (hospital) needs of people in their area. The difference in cost between caring for an elderly person in hospital and elsewhere may have been small, due to the limited differences between settings in terms of equipment and staff at the time. The National Health Service Act in 1946 specifically set the remit of the new hospital boards created to be providers of hospital care, creating a division of responsibility for the different services. </w:t>
      </w:r>
    </w:p>
  </w:footnote>
  <w:footnote w:id="2">
    <w:p w:rsidR="00534844" w:rsidRDefault="00534844" w:rsidP="005837A5">
      <w:pPr>
        <w:pStyle w:val="FootnoteText"/>
        <w:jc w:val="both"/>
      </w:pPr>
      <w:r>
        <w:rPr>
          <w:rStyle w:val="FootnoteReference"/>
        </w:rPr>
        <w:footnoteRef/>
      </w:r>
      <w:r>
        <w:t xml:space="preserve"> Acute NHS hospitals are paid by a prospective payment system with price per patient treated varying with the patient’s Health Resource Group (HRG) which is defined by diagnosis and procedure. Similar grouping with tariff systems, referred to as Diagnosis Related Group (DRG) payment systems, are used in many other European and OECD countries.</w:t>
      </w:r>
    </w:p>
  </w:footnote>
  <w:footnote w:id="3">
    <w:p w:rsidR="00534844" w:rsidRDefault="00534844" w:rsidP="00ED14F2">
      <w:pPr>
        <w:pStyle w:val="FootnoteText"/>
        <w:jc w:val="both"/>
      </w:pPr>
      <w:r>
        <w:rPr>
          <w:rStyle w:val="FootnoteReference"/>
        </w:rPr>
        <w:footnoteRef/>
      </w:r>
      <w:r>
        <w:t xml:space="preserve">Our unit of analysis is the Trust though many Trusts operate on more than one site. </w:t>
      </w:r>
    </w:p>
  </w:footnote>
  <w:footnote w:id="4">
    <w:p w:rsidR="00534844" w:rsidRDefault="00534844" w:rsidP="00CD639B">
      <w:pPr>
        <w:pStyle w:val="FootnoteText"/>
        <w:jc w:val="both"/>
      </w:pPr>
      <w:r>
        <w:rPr>
          <w:rStyle w:val="FootnoteReference"/>
        </w:rPr>
        <w:footnoteRef/>
      </w:r>
      <w:r>
        <w:t xml:space="preserve"> The Act allows NHS Trusts to claim reimbursement from Local Authorities in charge of care home and community care provision in their area, if necessary services are not provided in time for the discharge of an acute patient and this is solely the responsibility of the Local Authority. A Trust can only claim such reimbursement if it gives at least three days notice that a patient is likely to require LTC on discharge and at least 24 hours notice of the discharge (DH 2003, DH 2010b). Trusts must report all delays which occur, irrespective of whether they are entitled to reimbursement for them.</w:t>
      </w:r>
    </w:p>
  </w:footnote>
  <w:footnote w:id="5">
    <w:p w:rsidR="00534844" w:rsidRDefault="00534844" w:rsidP="00CD639B">
      <w:pPr>
        <w:pStyle w:val="FootnoteText"/>
        <w:jc w:val="both"/>
      </w:pPr>
      <w:r>
        <w:rPr>
          <w:rStyle w:val="FootnoteReference"/>
        </w:rPr>
        <w:footnoteRef/>
      </w:r>
      <w:r>
        <w:t xml:space="preserve"> Within the set of Acute Trusts which are not categorised as Acute Specialist or Acute Teaching, there are three subsets: Small Acute, Medium Acute and Large Acute. Size in this instance is defined by income (HSCIC 2013c). We ignore these subsets so that size is measured by beds for all Trust types (Acute, Acute Teaching, Acute Specialist and Mental Health Trusts). </w:t>
      </w:r>
    </w:p>
  </w:footnote>
  <w:footnote w:id="6">
    <w:p w:rsidR="00534844" w:rsidRDefault="00534844" w:rsidP="00436803">
      <w:pPr>
        <w:pStyle w:val="FootnoteText"/>
      </w:pPr>
      <w:r>
        <w:rPr>
          <w:rStyle w:val="FootnoteReference"/>
        </w:rPr>
        <w:footnoteRef/>
      </w:r>
      <w:r>
        <w:t xml:space="preserve"> Other measures of clinical quality such as case mix adjusted mortality are not available for all types of Trust. </w:t>
      </w:r>
    </w:p>
  </w:footnote>
  <w:footnote w:id="7">
    <w:p w:rsidR="00534844" w:rsidRDefault="00534844" w:rsidP="00CD639B">
      <w:pPr>
        <w:pStyle w:val="FootnoteText"/>
        <w:jc w:val="both"/>
      </w:pPr>
      <w:r>
        <w:rPr>
          <w:rStyle w:val="FootnoteReference"/>
        </w:rPr>
        <w:footnoteRef/>
      </w:r>
      <w:r>
        <w:t xml:space="preserve"> The location of Trusts is defined by the postcode of headquarters. The postcode of the care home provider defines the location of LTC. Postcodes are mapped to lower super output area (LSOA) which have a mean population of 1500. The straight line distance between the centroids of LSOAs is used to determine which care homes are within 10km of each Trust.</w:t>
      </w:r>
    </w:p>
  </w:footnote>
  <w:footnote w:id="8">
    <w:p w:rsidR="00534844" w:rsidRDefault="00534844" w:rsidP="00D23462">
      <w:pPr>
        <w:pStyle w:val="FootnoteText"/>
      </w:pPr>
      <w:r>
        <w:rPr>
          <w:rStyle w:val="FootnoteReference"/>
        </w:rPr>
        <w:footnoteRef/>
      </w:r>
      <w:r>
        <w:t xml:space="preserve"> R</w:t>
      </w:r>
      <w:r w:rsidRPr="00524CC4">
        <w:t>equirements for obtaining FT status are set out in</w:t>
      </w:r>
      <w:r>
        <w:t xml:space="preserve"> </w:t>
      </w:r>
      <w:r w:rsidRPr="00524CC4">
        <w:t xml:space="preserve">Monitor </w:t>
      </w:r>
      <w:r>
        <w:t>(</w:t>
      </w:r>
      <w:r w:rsidRPr="00524CC4">
        <w:t>2007</w:t>
      </w:r>
      <w:r>
        <w:t>)</w:t>
      </w:r>
      <w:r w:rsidRPr="00524CC4">
        <w:t xml:space="preserve">, Monitor </w:t>
      </w:r>
      <w:r>
        <w:t>(</w:t>
      </w:r>
      <w:r w:rsidRPr="00524CC4">
        <w:t>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AF5"/>
    <w:multiLevelType w:val="hybridMultilevel"/>
    <w:tmpl w:val="516A9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F85EDB"/>
    <w:multiLevelType w:val="multilevel"/>
    <w:tmpl w:val="5428E3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ECC6801"/>
    <w:multiLevelType w:val="hybridMultilevel"/>
    <w:tmpl w:val="6058A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332DEF"/>
    <w:multiLevelType w:val="hybridMultilevel"/>
    <w:tmpl w:val="E0443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857A4A"/>
    <w:multiLevelType w:val="multilevel"/>
    <w:tmpl w:val="5B9842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B2D71CA"/>
    <w:multiLevelType w:val="hybridMultilevel"/>
    <w:tmpl w:val="D6C6280C"/>
    <w:lvl w:ilvl="0" w:tplc="1FAC7E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FC446E5"/>
    <w:multiLevelType w:val="multilevel"/>
    <w:tmpl w:val="5428E3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4"/>
  </w:num>
  <w:num w:numId="3">
    <w:abstractNumId w:val="1"/>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41"/>
    <w:rsid w:val="00001653"/>
    <w:rsid w:val="00003AAC"/>
    <w:rsid w:val="000069CA"/>
    <w:rsid w:val="00007829"/>
    <w:rsid w:val="00015093"/>
    <w:rsid w:val="00017489"/>
    <w:rsid w:val="00017595"/>
    <w:rsid w:val="00017BAC"/>
    <w:rsid w:val="000200A8"/>
    <w:rsid w:val="00020AF8"/>
    <w:rsid w:val="00020EDC"/>
    <w:rsid w:val="000217CB"/>
    <w:rsid w:val="000236A4"/>
    <w:rsid w:val="00023C89"/>
    <w:rsid w:val="00026B6D"/>
    <w:rsid w:val="00027652"/>
    <w:rsid w:val="000306F5"/>
    <w:rsid w:val="000317D0"/>
    <w:rsid w:val="000330B6"/>
    <w:rsid w:val="00034ED0"/>
    <w:rsid w:val="0003546D"/>
    <w:rsid w:val="00035670"/>
    <w:rsid w:val="00035F21"/>
    <w:rsid w:val="000428AA"/>
    <w:rsid w:val="00044126"/>
    <w:rsid w:val="000443C2"/>
    <w:rsid w:val="000555FB"/>
    <w:rsid w:val="000577EB"/>
    <w:rsid w:val="000578DC"/>
    <w:rsid w:val="00063B83"/>
    <w:rsid w:val="000642D2"/>
    <w:rsid w:val="00066806"/>
    <w:rsid w:val="000672AD"/>
    <w:rsid w:val="00067A58"/>
    <w:rsid w:val="000702F6"/>
    <w:rsid w:val="00070A00"/>
    <w:rsid w:val="00070E42"/>
    <w:rsid w:val="00072ECB"/>
    <w:rsid w:val="000745AA"/>
    <w:rsid w:val="0007679D"/>
    <w:rsid w:val="0007756A"/>
    <w:rsid w:val="000815BA"/>
    <w:rsid w:val="00082D32"/>
    <w:rsid w:val="000835D4"/>
    <w:rsid w:val="00083659"/>
    <w:rsid w:val="0008442F"/>
    <w:rsid w:val="000848EC"/>
    <w:rsid w:val="00084EF6"/>
    <w:rsid w:val="00087153"/>
    <w:rsid w:val="0008722B"/>
    <w:rsid w:val="00087771"/>
    <w:rsid w:val="000905FC"/>
    <w:rsid w:val="000914BE"/>
    <w:rsid w:val="00094487"/>
    <w:rsid w:val="00096982"/>
    <w:rsid w:val="000978DD"/>
    <w:rsid w:val="000A35F4"/>
    <w:rsid w:val="000A5E40"/>
    <w:rsid w:val="000A684C"/>
    <w:rsid w:val="000B0724"/>
    <w:rsid w:val="000B19A6"/>
    <w:rsid w:val="000B2E84"/>
    <w:rsid w:val="000B309F"/>
    <w:rsid w:val="000B7267"/>
    <w:rsid w:val="000C07F8"/>
    <w:rsid w:val="000C0EFC"/>
    <w:rsid w:val="000C0F28"/>
    <w:rsid w:val="000C3BFA"/>
    <w:rsid w:val="000C3CBA"/>
    <w:rsid w:val="000C6FA8"/>
    <w:rsid w:val="000D27C8"/>
    <w:rsid w:val="000D38F0"/>
    <w:rsid w:val="000D4689"/>
    <w:rsid w:val="000D5AC3"/>
    <w:rsid w:val="000D6E1C"/>
    <w:rsid w:val="000D7963"/>
    <w:rsid w:val="000E5B0D"/>
    <w:rsid w:val="000E7CA0"/>
    <w:rsid w:val="000F1AC6"/>
    <w:rsid w:val="000F3013"/>
    <w:rsid w:val="000F6BC1"/>
    <w:rsid w:val="000F6FCE"/>
    <w:rsid w:val="000F70FA"/>
    <w:rsid w:val="00101AC8"/>
    <w:rsid w:val="0010336D"/>
    <w:rsid w:val="00103EBB"/>
    <w:rsid w:val="001049C2"/>
    <w:rsid w:val="00104A4E"/>
    <w:rsid w:val="00104C71"/>
    <w:rsid w:val="00106C79"/>
    <w:rsid w:val="00106EE3"/>
    <w:rsid w:val="00111F42"/>
    <w:rsid w:val="00111F5C"/>
    <w:rsid w:val="001121B2"/>
    <w:rsid w:val="0011434C"/>
    <w:rsid w:val="00115CB0"/>
    <w:rsid w:val="001162E7"/>
    <w:rsid w:val="0011694E"/>
    <w:rsid w:val="0011726B"/>
    <w:rsid w:val="001208C6"/>
    <w:rsid w:val="001224A9"/>
    <w:rsid w:val="00123618"/>
    <w:rsid w:val="00123709"/>
    <w:rsid w:val="00125E4A"/>
    <w:rsid w:val="001322C4"/>
    <w:rsid w:val="00133476"/>
    <w:rsid w:val="001360D6"/>
    <w:rsid w:val="00141FB4"/>
    <w:rsid w:val="0014217C"/>
    <w:rsid w:val="00146E39"/>
    <w:rsid w:val="00150422"/>
    <w:rsid w:val="00151E20"/>
    <w:rsid w:val="00160103"/>
    <w:rsid w:val="0016135D"/>
    <w:rsid w:val="001620B3"/>
    <w:rsid w:val="001625DC"/>
    <w:rsid w:val="00171932"/>
    <w:rsid w:val="00171A66"/>
    <w:rsid w:val="00172B84"/>
    <w:rsid w:val="001742AC"/>
    <w:rsid w:val="001759C5"/>
    <w:rsid w:val="00176E47"/>
    <w:rsid w:val="00181370"/>
    <w:rsid w:val="00183E39"/>
    <w:rsid w:val="00185EA8"/>
    <w:rsid w:val="00186A43"/>
    <w:rsid w:val="0018729C"/>
    <w:rsid w:val="00187AA4"/>
    <w:rsid w:val="00187DF5"/>
    <w:rsid w:val="0019073F"/>
    <w:rsid w:val="00190FEF"/>
    <w:rsid w:val="00191708"/>
    <w:rsid w:val="00192588"/>
    <w:rsid w:val="0019290B"/>
    <w:rsid w:val="0019772A"/>
    <w:rsid w:val="001A1B73"/>
    <w:rsid w:val="001A1CE9"/>
    <w:rsid w:val="001A40C1"/>
    <w:rsid w:val="001A4377"/>
    <w:rsid w:val="001A48E5"/>
    <w:rsid w:val="001A4D3D"/>
    <w:rsid w:val="001A6C8F"/>
    <w:rsid w:val="001A7A52"/>
    <w:rsid w:val="001B07C6"/>
    <w:rsid w:val="001B0EAE"/>
    <w:rsid w:val="001B4BAB"/>
    <w:rsid w:val="001B4FDD"/>
    <w:rsid w:val="001C1EC2"/>
    <w:rsid w:val="001C4B49"/>
    <w:rsid w:val="001D163A"/>
    <w:rsid w:val="001D178A"/>
    <w:rsid w:val="001D1925"/>
    <w:rsid w:val="001D1B5B"/>
    <w:rsid w:val="001D1C18"/>
    <w:rsid w:val="001D2350"/>
    <w:rsid w:val="001D3BD5"/>
    <w:rsid w:val="001D56C1"/>
    <w:rsid w:val="001D6DB9"/>
    <w:rsid w:val="001D7001"/>
    <w:rsid w:val="001E0462"/>
    <w:rsid w:val="001E07E8"/>
    <w:rsid w:val="001E281E"/>
    <w:rsid w:val="001E2B1C"/>
    <w:rsid w:val="001E3E81"/>
    <w:rsid w:val="001E5118"/>
    <w:rsid w:val="001E7533"/>
    <w:rsid w:val="001E7C91"/>
    <w:rsid w:val="001F0A09"/>
    <w:rsid w:val="001F168E"/>
    <w:rsid w:val="001F2BDB"/>
    <w:rsid w:val="001F2D2B"/>
    <w:rsid w:val="001F2F44"/>
    <w:rsid w:val="001F3451"/>
    <w:rsid w:val="001F50C1"/>
    <w:rsid w:val="001F7389"/>
    <w:rsid w:val="002000FB"/>
    <w:rsid w:val="002006A0"/>
    <w:rsid w:val="00202044"/>
    <w:rsid w:val="0020451A"/>
    <w:rsid w:val="002077CE"/>
    <w:rsid w:val="002131CB"/>
    <w:rsid w:val="00213F2B"/>
    <w:rsid w:val="002152E2"/>
    <w:rsid w:val="002157D2"/>
    <w:rsid w:val="00215AD3"/>
    <w:rsid w:val="00221B36"/>
    <w:rsid w:val="00226BD0"/>
    <w:rsid w:val="00227C3F"/>
    <w:rsid w:val="002308D8"/>
    <w:rsid w:val="002313DF"/>
    <w:rsid w:val="00234D9C"/>
    <w:rsid w:val="00235D6A"/>
    <w:rsid w:val="0024005B"/>
    <w:rsid w:val="00242379"/>
    <w:rsid w:val="002426A4"/>
    <w:rsid w:val="002440D9"/>
    <w:rsid w:val="00244563"/>
    <w:rsid w:val="00244FC9"/>
    <w:rsid w:val="002460CB"/>
    <w:rsid w:val="00247C1C"/>
    <w:rsid w:val="00251D23"/>
    <w:rsid w:val="002520A7"/>
    <w:rsid w:val="002522B3"/>
    <w:rsid w:val="00253BA2"/>
    <w:rsid w:val="00254C70"/>
    <w:rsid w:val="00256EFE"/>
    <w:rsid w:val="00257C96"/>
    <w:rsid w:val="0026083F"/>
    <w:rsid w:val="00261343"/>
    <w:rsid w:val="0026348A"/>
    <w:rsid w:val="00265C94"/>
    <w:rsid w:val="00266C70"/>
    <w:rsid w:val="00267CCF"/>
    <w:rsid w:val="00267EEF"/>
    <w:rsid w:val="00270421"/>
    <w:rsid w:val="00270F33"/>
    <w:rsid w:val="00272E10"/>
    <w:rsid w:val="00272EC7"/>
    <w:rsid w:val="002810A4"/>
    <w:rsid w:val="00281D24"/>
    <w:rsid w:val="002832CF"/>
    <w:rsid w:val="002836C2"/>
    <w:rsid w:val="00284784"/>
    <w:rsid w:val="00284C09"/>
    <w:rsid w:val="002909AA"/>
    <w:rsid w:val="00291AE9"/>
    <w:rsid w:val="00292024"/>
    <w:rsid w:val="00292772"/>
    <w:rsid w:val="00293F36"/>
    <w:rsid w:val="00294EC0"/>
    <w:rsid w:val="00296635"/>
    <w:rsid w:val="002979BD"/>
    <w:rsid w:val="002A0A04"/>
    <w:rsid w:val="002A1BFD"/>
    <w:rsid w:val="002A2B1D"/>
    <w:rsid w:val="002A3B0B"/>
    <w:rsid w:val="002A4D48"/>
    <w:rsid w:val="002A4E2D"/>
    <w:rsid w:val="002A70E9"/>
    <w:rsid w:val="002B481E"/>
    <w:rsid w:val="002C11A1"/>
    <w:rsid w:val="002C3FA9"/>
    <w:rsid w:val="002C40AE"/>
    <w:rsid w:val="002C4A80"/>
    <w:rsid w:val="002D2085"/>
    <w:rsid w:val="002D295C"/>
    <w:rsid w:val="002D37EB"/>
    <w:rsid w:val="002D79C8"/>
    <w:rsid w:val="002E0E03"/>
    <w:rsid w:val="002E0E94"/>
    <w:rsid w:val="002E1841"/>
    <w:rsid w:val="002E35DF"/>
    <w:rsid w:val="002E4E5C"/>
    <w:rsid w:val="002E4EC9"/>
    <w:rsid w:val="002E6660"/>
    <w:rsid w:val="002E6B40"/>
    <w:rsid w:val="002F422E"/>
    <w:rsid w:val="002F428C"/>
    <w:rsid w:val="00301157"/>
    <w:rsid w:val="00305290"/>
    <w:rsid w:val="0030583D"/>
    <w:rsid w:val="00306AB1"/>
    <w:rsid w:val="003137DC"/>
    <w:rsid w:val="00314D37"/>
    <w:rsid w:val="00315332"/>
    <w:rsid w:val="003155CC"/>
    <w:rsid w:val="0032262D"/>
    <w:rsid w:val="00322E6B"/>
    <w:rsid w:val="00323BC6"/>
    <w:rsid w:val="003242CB"/>
    <w:rsid w:val="003244FF"/>
    <w:rsid w:val="003247DC"/>
    <w:rsid w:val="00325AD4"/>
    <w:rsid w:val="003264DC"/>
    <w:rsid w:val="0032714B"/>
    <w:rsid w:val="00327883"/>
    <w:rsid w:val="00332B3A"/>
    <w:rsid w:val="00333212"/>
    <w:rsid w:val="003351C9"/>
    <w:rsid w:val="00335593"/>
    <w:rsid w:val="00335CE3"/>
    <w:rsid w:val="00337173"/>
    <w:rsid w:val="00341BDB"/>
    <w:rsid w:val="00343E91"/>
    <w:rsid w:val="00347895"/>
    <w:rsid w:val="00347EDA"/>
    <w:rsid w:val="0035193B"/>
    <w:rsid w:val="00353B36"/>
    <w:rsid w:val="0035491F"/>
    <w:rsid w:val="00355E19"/>
    <w:rsid w:val="00356282"/>
    <w:rsid w:val="00357A9C"/>
    <w:rsid w:val="00360D7F"/>
    <w:rsid w:val="00361C42"/>
    <w:rsid w:val="00362691"/>
    <w:rsid w:val="00362C45"/>
    <w:rsid w:val="003645C8"/>
    <w:rsid w:val="00365194"/>
    <w:rsid w:val="00365B15"/>
    <w:rsid w:val="00373C84"/>
    <w:rsid w:val="00373E15"/>
    <w:rsid w:val="00374315"/>
    <w:rsid w:val="003761EA"/>
    <w:rsid w:val="0038026D"/>
    <w:rsid w:val="003830CC"/>
    <w:rsid w:val="00385ECF"/>
    <w:rsid w:val="003865CE"/>
    <w:rsid w:val="0038673C"/>
    <w:rsid w:val="00386F4E"/>
    <w:rsid w:val="0039149E"/>
    <w:rsid w:val="00397BE2"/>
    <w:rsid w:val="00397C6F"/>
    <w:rsid w:val="003A29E8"/>
    <w:rsid w:val="003A4577"/>
    <w:rsid w:val="003A531D"/>
    <w:rsid w:val="003A7AE8"/>
    <w:rsid w:val="003B10B7"/>
    <w:rsid w:val="003B1922"/>
    <w:rsid w:val="003B1CCA"/>
    <w:rsid w:val="003B1D22"/>
    <w:rsid w:val="003B44FA"/>
    <w:rsid w:val="003C2596"/>
    <w:rsid w:val="003C2ACB"/>
    <w:rsid w:val="003C2C1D"/>
    <w:rsid w:val="003D06E9"/>
    <w:rsid w:val="003D4D76"/>
    <w:rsid w:val="003D54D9"/>
    <w:rsid w:val="003D5724"/>
    <w:rsid w:val="003D5D80"/>
    <w:rsid w:val="003D6EB8"/>
    <w:rsid w:val="003E052D"/>
    <w:rsid w:val="003E3156"/>
    <w:rsid w:val="003E3DDA"/>
    <w:rsid w:val="003F0CA6"/>
    <w:rsid w:val="003F10A5"/>
    <w:rsid w:val="003F5760"/>
    <w:rsid w:val="003F60E3"/>
    <w:rsid w:val="004008A9"/>
    <w:rsid w:val="00404332"/>
    <w:rsid w:val="00412D4F"/>
    <w:rsid w:val="0041421B"/>
    <w:rsid w:val="00415004"/>
    <w:rsid w:val="004173FD"/>
    <w:rsid w:val="00423709"/>
    <w:rsid w:val="004257D7"/>
    <w:rsid w:val="004300A5"/>
    <w:rsid w:val="0043187A"/>
    <w:rsid w:val="00433E41"/>
    <w:rsid w:val="00436803"/>
    <w:rsid w:val="004372CF"/>
    <w:rsid w:val="00440A64"/>
    <w:rsid w:val="004414F4"/>
    <w:rsid w:val="00443AC2"/>
    <w:rsid w:val="004444EC"/>
    <w:rsid w:val="00445E11"/>
    <w:rsid w:val="00445E44"/>
    <w:rsid w:val="00446689"/>
    <w:rsid w:val="00450456"/>
    <w:rsid w:val="0045337C"/>
    <w:rsid w:val="00460196"/>
    <w:rsid w:val="004601F3"/>
    <w:rsid w:val="004648C4"/>
    <w:rsid w:val="00464DCB"/>
    <w:rsid w:val="0046503C"/>
    <w:rsid w:val="0046583C"/>
    <w:rsid w:val="00470327"/>
    <w:rsid w:val="00473096"/>
    <w:rsid w:val="0047380A"/>
    <w:rsid w:val="00473F76"/>
    <w:rsid w:val="00475071"/>
    <w:rsid w:val="00475E4B"/>
    <w:rsid w:val="004775BE"/>
    <w:rsid w:val="00477745"/>
    <w:rsid w:val="00482248"/>
    <w:rsid w:val="00484255"/>
    <w:rsid w:val="00487B51"/>
    <w:rsid w:val="00490B2D"/>
    <w:rsid w:val="0049284C"/>
    <w:rsid w:val="00492D24"/>
    <w:rsid w:val="00496825"/>
    <w:rsid w:val="00497C81"/>
    <w:rsid w:val="004A1099"/>
    <w:rsid w:val="004A2BBF"/>
    <w:rsid w:val="004A4612"/>
    <w:rsid w:val="004A493D"/>
    <w:rsid w:val="004A57C4"/>
    <w:rsid w:val="004A651A"/>
    <w:rsid w:val="004A7B3D"/>
    <w:rsid w:val="004B00F4"/>
    <w:rsid w:val="004B2179"/>
    <w:rsid w:val="004B21A0"/>
    <w:rsid w:val="004B3D4B"/>
    <w:rsid w:val="004B46B2"/>
    <w:rsid w:val="004B5B32"/>
    <w:rsid w:val="004C20FD"/>
    <w:rsid w:val="004C2D17"/>
    <w:rsid w:val="004C7A0A"/>
    <w:rsid w:val="004C7E47"/>
    <w:rsid w:val="004D01C4"/>
    <w:rsid w:val="004D0B1D"/>
    <w:rsid w:val="004D11AD"/>
    <w:rsid w:val="004D1411"/>
    <w:rsid w:val="004D2CE7"/>
    <w:rsid w:val="004D31E4"/>
    <w:rsid w:val="004D6A65"/>
    <w:rsid w:val="004E0BC0"/>
    <w:rsid w:val="004E1048"/>
    <w:rsid w:val="004E2B67"/>
    <w:rsid w:val="004E4243"/>
    <w:rsid w:val="004E6116"/>
    <w:rsid w:val="004E617C"/>
    <w:rsid w:val="004E64F4"/>
    <w:rsid w:val="004E796B"/>
    <w:rsid w:val="004F2053"/>
    <w:rsid w:val="004F2CA4"/>
    <w:rsid w:val="004F4470"/>
    <w:rsid w:val="004F6243"/>
    <w:rsid w:val="004F6356"/>
    <w:rsid w:val="004F774B"/>
    <w:rsid w:val="00503A0F"/>
    <w:rsid w:val="00504276"/>
    <w:rsid w:val="00504FF0"/>
    <w:rsid w:val="00507035"/>
    <w:rsid w:val="00511D8A"/>
    <w:rsid w:val="0051348D"/>
    <w:rsid w:val="0051423B"/>
    <w:rsid w:val="00514A73"/>
    <w:rsid w:val="00520CB0"/>
    <w:rsid w:val="00523157"/>
    <w:rsid w:val="00524CC4"/>
    <w:rsid w:val="0053051F"/>
    <w:rsid w:val="00533B04"/>
    <w:rsid w:val="00534844"/>
    <w:rsid w:val="00535B66"/>
    <w:rsid w:val="005366D9"/>
    <w:rsid w:val="00536733"/>
    <w:rsid w:val="0053719C"/>
    <w:rsid w:val="00540CE3"/>
    <w:rsid w:val="00542510"/>
    <w:rsid w:val="00542A1A"/>
    <w:rsid w:val="005446C1"/>
    <w:rsid w:val="005471D1"/>
    <w:rsid w:val="0055116D"/>
    <w:rsid w:val="0055203A"/>
    <w:rsid w:val="0055789A"/>
    <w:rsid w:val="00561AA4"/>
    <w:rsid w:val="00562451"/>
    <w:rsid w:val="00567349"/>
    <w:rsid w:val="00571267"/>
    <w:rsid w:val="00572F2F"/>
    <w:rsid w:val="0057683D"/>
    <w:rsid w:val="0057723A"/>
    <w:rsid w:val="00577D89"/>
    <w:rsid w:val="00582978"/>
    <w:rsid w:val="005837A5"/>
    <w:rsid w:val="00593AA9"/>
    <w:rsid w:val="00594365"/>
    <w:rsid w:val="00594C66"/>
    <w:rsid w:val="00594C6E"/>
    <w:rsid w:val="00597787"/>
    <w:rsid w:val="005A6895"/>
    <w:rsid w:val="005B3E9F"/>
    <w:rsid w:val="005B3F3A"/>
    <w:rsid w:val="005B412B"/>
    <w:rsid w:val="005B55CC"/>
    <w:rsid w:val="005B6B02"/>
    <w:rsid w:val="005C1963"/>
    <w:rsid w:val="005C272E"/>
    <w:rsid w:val="005C326B"/>
    <w:rsid w:val="005C75EE"/>
    <w:rsid w:val="005D1776"/>
    <w:rsid w:val="005D1905"/>
    <w:rsid w:val="005D2322"/>
    <w:rsid w:val="005D2402"/>
    <w:rsid w:val="005D738D"/>
    <w:rsid w:val="005D74C9"/>
    <w:rsid w:val="005E5958"/>
    <w:rsid w:val="005E5BA4"/>
    <w:rsid w:val="005E6343"/>
    <w:rsid w:val="005E7F93"/>
    <w:rsid w:val="005F26A9"/>
    <w:rsid w:val="005F2AA4"/>
    <w:rsid w:val="00600129"/>
    <w:rsid w:val="00600F65"/>
    <w:rsid w:val="0060398D"/>
    <w:rsid w:val="006076DE"/>
    <w:rsid w:val="006155D3"/>
    <w:rsid w:val="00617EC9"/>
    <w:rsid w:val="006206B0"/>
    <w:rsid w:val="0062331F"/>
    <w:rsid w:val="00624641"/>
    <w:rsid w:val="00625761"/>
    <w:rsid w:val="00633C89"/>
    <w:rsid w:val="00637DB1"/>
    <w:rsid w:val="0064067E"/>
    <w:rsid w:val="00641AED"/>
    <w:rsid w:val="00642F7A"/>
    <w:rsid w:val="00643DC2"/>
    <w:rsid w:val="006505C9"/>
    <w:rsid w:val="0065481C"/>
    <w:rsid w:val="00665CE7"/>
    <w:rsid w:val="006719A1"/>
    <w:rsid w:val="00671AED"/>
    <w:rsid w:val="006725EF"/>
    <w:rsid w:val="00673BF7"/>
    <w:rsid w:val="00673F14"/>
    <w:rsid w:val="0067432A"/>
    <w:rsid w:val="00674812"/>
    <w:rsid w:val="00674C13"/>
    <w:rsid w:val="00674DB7"/>
    <w:rsid w:val="00675014"/>
    <w:rsid w:val="00676BA1"/>
    <w:rsid w:val="00676BEA"/>
    <w:rsid w:val="00676F98"/>
    <w:rsid w:val="00682E6A"/>
    <w:rsid w:val="00683187"/>
    <w:rsid w:val="00684DD0"/>
    <w:rsid w:val="006874D3"/>
    <w:rsid w:val="0069014A"/>
    <w:rsid w:val="00693E7F"/>
    <w:rsid w:val="00695738"/>
    <w:rsid w:val="00696175"/>
    <w:rsid w:val="00696831"/>
    <w:rsid w:val="00696EF2"/>
    <w:rsid w:val="006A2F5B"/>
    <w:rsid w:val="006A580F"/>
    <w:rsid w:val="006A5FD8"/>
    <w:rsid w:val="006A6B92"/>
    <w:rsid w:val="006B3C41"/>
    <w:rsid w:val="006B47F7"/>
    <w:rsid w:val="006B728F"/>
    <w:rsid w:val="006B7B09"/>
    <w:rsid w:val="006C2083"/>
    <w:rsid w:val="006C3D31"/>
    <w:rsid w:val="006C64AC"/>
    <w:rsid w:val="006D0460"/>
    <w:rsid w:val="006D096A"/>
    <w:rsid w:val="006D4F30"/>
    <w:rsid w:val="006D57D8"/>
    <w:rsid w:val="006D7165"/>
    <w:rsid w:val="006D77D1"/>
    <w:rsid w:val="006E00C0"/>
    <w:rsid w:val="006E19D2"/>
    <w:rsid w:val="006E2933"/>
    <w:rsid w:val="006E2F1F"/>
    <w:rsid w:val="006E5CB6"/>
    <w:rsid w:val="006F4FBD"/>
    <w:rsid w:val="006F54B7"/>
    <w:rsid w:val="007006C5"/>
    <w:rsid w:val="00701DAE"/>
    <w:rsid w:val="007020F7"/>
    <w:rsid w:val="00705DF8"/>
    <w:rsid w:val="00706164"/>
    <w:rsid w:val="007062F4"/>
    <w:rsid w:val="0070656A"/>
    <w:rsid w:val="00707673"/>
    <w:rsid w:val="00707A47"/>
    <w:rsid w:val="00710F28"/>
    <w:rsid w:val="007126E2"/>
    <w:rsid w:val="00712E89"/>
    <w:rsid w:val="00713EE3"/>
    <w:rsid w:val="007145F9"/>
    <w:rsid w:val="007153DF"/>
    <w:rsid w:val="00716C9A"/>
    <w:rsid w:val="00716CA0"/>
    <w:rsid w:val="00720E75"/>
    <w:rsid w:val="00722E90"/>
    <w:rsid w:val="00723199"/>
    <w:rsid w:val="007242AA"/>
    <w:rsid w:val="00725D89"/>
    <w:rsid w:val="007270E9"/>
    <w:rsid w:val="007308AA"/>
    <w:rsid w:val="00732EBE"/>
    <w:rsid w:val="007366E4"/>
    <w:rsid w:val="00736CB4"/>
    <w:rsid w:val="00740C1C"/>
    <w:rsid w:val="00740F7D"/>
    <w:rsid w:val="00741B3B"/>
    <w:rsid w:val="0074262C"/>
    <w:rsid w:val="00742D32"/>
    <w:rsid w:val="00743AFA"/>
    <w:rsid w:val="00743B4B"/>
    <w:rsid w:val="007442DA"/>
    <w:rsid w:val="00745989"/>
    <w:rsid w:val="0074612E"/>
    <w:rsid w:val="00746252"/>
    <w:rsid w:val="00750174"/>
    <w:rsid w:val="00750658"/>
    <w:rsid w:val="00752965"/>
    <w:rsid w:val="007626CE"/>
    <w:rsid w:val="00766FD2"/>
    <w:rsid w:val="0076732E"/>
    <w:rsid w:val="00770FBC"/>
    <w:rsid w:val="00771B2D"/>
    <w:rsid w:val="00771FC4"/>
    <w:rsid w:val="00772922"/>
    <w:rsid w:val="00772BF9"/>
    <w:rsid w:val="007759BA"/>
    <w:rsid w:val="0077617F"/>
    <w:rsid w:val="0077794A"/>
    <w:rsid w:val="007819B6"/>
    <w:rsid w:val="00782AEF"/>
    <w:rsid w:val="00783913"/>
    <w:rsid w:val="00785F6C"/>
    <w:rsid w:val="007901F3"/>
    <w:rsid w:val="007911E3"/>
    <w:rsid w:val="007A0417"/>
    <w:rsid w:val="007A1F44"/>
    <w:rsid w:val="007A6B1B"/>
    <w:rsid w:val="007A76DB"/>
    <w:rsid w:val="007B015A"/>
    <w:rsid w:val="007B0A29"/>
    <w:rsid w:val="007B0B37"/>
    <w:rsid w:val="007B3E72"/>
    <w:rsid w:val="007B4BFF"/>
    <w:rsid w:val="007B683B"/>
    <w:rsid w:val="007C4AA8"/>
    <w:rsid w:val="007D1BC6"/>
    <w:rsid w:val="007D4AB8"/>
    <w:rsid w:val="007D4C32"/>
    <w:rsid w:val="007D4EE0"/>
    <w:rsid w:val="007D4F96"/>
    <w:rsid w:val="007D54A9"/>
    <w:rsid w:val="007D7FA1"/>
    <w:rsid w:val="007E02C7"/>
    <w:rsid w:val="007E0C73"/>
    <w:rsid w:val="007E17DC"/>
    <w:rsid w:val="007E2106"/>
    <w:rsid w:val="007E2467"/>
    <w:rsid w:val="007E5997"/>
    <w:rsid w:val="007E5E42"/>
    <w:rsid w:val="007E70DF"/>
    <w:rsid w:val="007F0015"/>
    <w:rsid w:val="007F1C4D"/>
    <w:rsid w:val="007F1D7F"/>
    <w:rsid w:val="007F2163"/>
    <w:rsid w:val="007F618A"/>
    <w:rsid w:val="007F73BE"/>
    <w:rsid w:val="007F7699"/>
    <w:rsid w:val="00800188"/>
    <w:rsid w:val="008005DF"/>
    <w:rsid w:val="00802000"/>
    <w:rsid w:val="00802CB6"/>
    <w:rsid w:val="00804964"/>
    <w:rsid w:val="00807DD2"/>
    <w:rsid w:val="008125B9"/>
    <w:rsid w:val="008128E7"/>
    <w:rsid w:val="00813703"/>
    <w:rsid w:val="00813807"/>
    <w:rsid w:val="008140C8"/>
    <w:rsid w:val="008156D6"/>
    <w:rsid w:val="008157E9"/>
    <w:rsid w:val="00821BD4"/>
    <w:rsid w:val="008308BC"/>
    <w:rsid w:val="00836180"/>
    <w:rsid w:val="00836900"/>
    <w:rsid w:val="0083709C"/>
    <w:rsid w:val="00837CD8"/>
    <w:rsid w:val="0084293B"/>
    <w:rsid w:val="00843544"/>
    <w:rsid w:val="0084586E"/>
    <w:rsid w:val="008464C3"/>
    <w:rsid w:val="008548D2"/>
    <w:rsid w:val="0085502D"/>
    <w:rsid w:val="0085676B"/>
    <w:rsid w:val="00857416"/>
    <w:rsid w:val="008601AE"/>
    <w:rsid w:val="0086211A"/>
    <w:rsid w:val="00864896"/>
    <w:rsid w:val="00864918"/>
    <w:rsid w:val="008666DE"/>
    <w:rsid w:val="00870CDF"/>
    <w:rsid w:val="00873515"/>
    <w:rsid w:val="00875821"/>
    <w:rsid w:val="00876597"/>
    <w:rsid w:val="00877B1B"/>
    <w:rsid w:val="008802E5"/>
    <w:rsid w:val="00881570"/>
    <w:rsid w:val="00884798"/>
    <w:rsid w:val="00885094"/>
    <w:rsid w:val="00890A2F"/>
    <w:rsid w:val="008935F5"/>
    <w:rsid w:val="00894303"/>
    <w:rsid w:val="0089455F"/>
    <w:rsid w:val="00895124"/>
    <w:rsid w:val="008959AB"/>
    <w:rsid w:val="008A0E62"/>
    <w:rsid w:val="008A3CE1"/>
    <w:rsid w:val="008A5391"/>
    <w:rsid w:val="008A5554"/>
    <w:rsid w:val="008A6BA8"/>
    <w:rsid w:val="008A79E5"/>
    <w:rsid w:val="008B2B3D"/>
    <w:rsid w:val="008B58F9"/>
    <w:rsid w:val="008B7015"/>
    <w:rsid w:val="008C01C5"/>
    <w:rsid w:val="008C0373"/>
    <w:rsid w:val="008C6D60"/>
    <w:rsid w:val="008D06A3"/>
    <w:rsid w:val="008D2789"/>
    <w:rsid w:val="008D2847"/>
    <w:rsid w:val="008E17AE"/>
    <w:rsid w:val="008E2953"/>
    <w:rsid w:val="008E3123"/>
    <w:rsid w:val="008E4C22"/>
    <w:rsid w:val="008E5E2D"/>
    <w:rsid w:val="008E746B"/>
    <w:rsid w:val="008E7A30"/>
    <w:rsid w:val="008F3233"/>
    <w:rsid w:val="00901EB7"/>
    <w:rsid w:val="00902670"/>
    <w:rsid w:val="00905087"/>
    <w:rsid w:val="009051FA"/>
    <w:rsid w:val="0090628E"/>
    <w:rsid w:val="00907CDC"/>
    <w:rsid w:val="009105C0"/>
    <w:rsid w:val="00910704"/>
    <w:rsid w:val="00913458"/>
    <w:rsid w:val="00913D8A"/>
    <w:rsid w:val="00914224"/>
    <w:rsid w:val="00914D63"/>
    <w:rsid w:val="0091635E"/>
    <w:rsid w:val="00917415"/>
    <w:rsid w:val="00917DBB"/>
    <w:rsid w:val="00920F06"/>
    <w:rsid w:val="00924D1A"/>
    <w:rsid w:val="00925C94"/>
    <w:rsid w:val="00927719"/>
    <w:rsid w:val="0093101A"/>
    <w:rsid w:val="00931611"/>
    <w:rsid w:val="0093197A"/>
    <w:rsid w:val="00934920"/>
    <w:rsid w:val="009370C5"/>
    <w:rsid w:val="00941887"/>
    <w:rsid w:val="00943649"/>
    <w:rsid w:val="00944DDB"/>
    <w:rsid w:val="00945D37"/>
    <w:rsid w:val="00950C75"/>
    <w:rsid w:val="00952CD4"/>
    <w:rsid w:val="00952D35"/>
    <w:rsid w:val="0095302D"/>
    <w:rsid w:val="009532CB"/>
    <w:rsid w:val="009535CA"/>
    <w:rsid w:val="00957238"/>
    <w:rsid w:val="00957CE4"/>
    <w:rsid w:val="0096213E"/>
    <w:rsid w:val="00964095"/>
    <w:rsid w:val="00966FF5"/>
    <w:rsid w:val="0097033A"/>
    <w:rsid w:val="00970F23"/>
    <w:rsid w:val="00971A56"/>
    <w:rsid w:val="00971B46"/>
    <w:rsid w:val="00974CEE"/>
    <w:rsid w:val="009772F3"/>
    <w:rsid w:val="00981222"/>
    <w:rsid w:val="00983EAC"/>
    <w:rsid w:val="009861B6"/>
    <w:rsid w:val="009871BD"/>
    <w:rsid w:val="009874DF"/>
    <w:rsid w:val="00990885"/>
    <w:rsid w:val="009922A0"/>
    <w:rsid w:val="00992387"/>
    <w:rsid w:val="00994070"/>
    <w:rsid w:val="00994739"/>
    <w:rsid w:val="00994A94"/>
    <w:rsid w:val="009962A6"/>
    <w:rsid w:val="009A35D4"/>
    <w:rsid w:val="009A372B"/>
    <w:rsid w:val="009A3FAF"/>
    <w:rsid w:val="009A4AF1"/>
    <w:rsid w:val="009B014D"/>
    <w:rsid w:val="009B0789"/>
    <w:rsid w:val="009B273C"/>
    <w:rsid w:val="009B3843"/>
    <w:rsid w:val="009B7BC5"/>
    <w:rsid w:val="009B7DAA"/>
    <w:rsid w:val="009C2D92"/>
    <w:rsid w:val="009C4D23"/>
    <w:rsid w:val="009C55D4"/>
    <w:rsid w:val="009C63EA"/>
    <w:rsid w:val="009C694B"/>
    <w:rsid w:val="009D041D"/>
    <w:rsid w:val="009D20C4"/>
    <w:rsid w:val="009D3336"/>
    <w:rsid w:val="009E06DC"/>
    <w:rsid w:val="009E4C1C"/>
    <w:rsid w:val="009E6C55"/>
    <w:rsid w:val="009E7EEF"/>
    <w:rsid w:val="009F0C33"/>
    <w:rsid w:val="009F0F9B"/>
    <w:rsid w:val="009F20F2"/>
    <w:rsid w:val="009F2CF6"/>
    <w:rsid w:val="009F3473"/>
    <w:rsid w:val="009F3E6D"/>
    <w:rsid w:val="009F4774"/>
    <w:rsid w:val="00A00591"/>
    <w:rsid w:val="00A07AB7"/>
    <w:rsid w:val="00A1060E"/>
    <w:rsid w:val="00A10BA0"/>
    <w:rsid w:val="00A11C39"/>
    <w:rsid w:val="00A11E81"/>
    <w:rsid w:val="00A15496"/>
    <w:rsid w:val="00A155F2"/>
    <w:rsid w:val="00A169FA"/>
    <w:rsid w:val="00A16C49"/>
    <w:rsid w:val="00A170EE"/>
    <w:rsid w:val="00A202ED"/>
    <w:rsid w:val="00A203F5"/>
    <w:rsid w:val="00A23041"/>
    <w:rsid w:val="00A23A98"/>
    <w:rsid w:val="00A2428F"/>
    <w:rsid w:val="00A24427"/>
    <w:rsid w:val="00A267BC"/>
    <w:rsid w:val="00A31F5A"/>
    <w:rsid w:val="00A33637"/>
    <w:rsid w:val="00A342A2"/>
    <w:rsid w:val="00A3597E"/>
    <w:rsid w:val="00A367CC"/>
    <w:rsid w:val="00A36811"/>
    <w:rsid w:val="00A4105A"/>
    <w:rsid w:val="00A44424"/>
    <w:rsid w:val="00A459B2"/>
    <w:rsid w:val="00A4607B"/>
    <w:rsid w:val="00A52CC1"/>
    <w:rsid w:val="00A540A2"/>
    <w:rsid w:val="00A54D5A"/>
    <w:rsid w:val="00A55C34"/>
    <w:rsid w:val="00A569A3"/>
    <w:rsid w:val="00A70355"/>
    <w:rsid w:val="00A754FC"/>
    <w:rsid w:val="00A81915"/>
    <w:rsid w:val="00A8197B"/>
    <w:rsid w:val="00A81EA4"/>
    <w:rsid w:val="00A82A0F"/>
    <w:rsid w:val="00A83250"/>
    <w:rsid w:val="00A836D1"/>
    <w:rsid w:val="00A85002"/>
    <w:rsid w:val="00A91542"/>
    <w:rsid w:val="00A92F2C"/>
    <w:rsid w:val="00A940C6"/>
    <w:rsid w:val="00A94AB3"/>
    <w:rsid w:val="00A95318"/>
    <w:rsid w:val="00AA200B"/>
    <w:rsid w:val="00AA2850"/>
    <w:rsid w:val="00AA4039"/>
    <w:rsid w:val="00AA5296"/>
    <w:rsid w:val="00AA52B3"/>
    <w:rsid w:val="00AA5810"/>
    <w:rsid w:val="00AA5C7E"/>
    <w:rsid w:val="00AA6684"/>
    <w:rsid w:val="00AA78F2"/>
    <w:rsid w:val="00AB0E2D"/>
    <w:rsid w:val="00AB3F3F"/>
    <w:rsid w:val="00AB480E"/>
    <w:rsid w:val="00AC0A39"/>
    <w:rsid w:val="00AC27DA"/>
    <w:rsid w:val="00AC2CF4"/>
    <w:rsid w:val="00AC387B"/>
    <w:rsid w:val="00AC40D0"/>
    <w:rsid w:val="00AC4948"/>
    <w:rsid w:val="00AC6932"/>
    <w:rsid w:val="00AC6E81"/>
    <w:rsid w:val="00AD0093"/>
    <w:rsid w:val="00AD1033"/>
    <w:rsid w:val="00AD19F3"/>
    <w:rsid w:val="00AD6177"/>
    <w:rsid w:val="00AE2067"/>
    <w:rsid w:val="00AE298A"/>
    <w:rsid w:val="00AE30A8"/>
    <w:rsid w:val="00AF0D43"/>
    <w:rsid w:val="00AF487E"/>
    <w:rsid w:val="00AF4920"/>
    <w:rsid w:val="00AF69B4"/>
    <w:rsid w:val="00B03380"/>
    <w:rsid w:val="00B050CF"/>
    <w:rsid w:val="00B05895"/>
    <w:rsid w:val="00B10278"/>
    <w:rsid w:val="00B12345"/>
    <w:rsid w:val="00B13383"/>
    <w:rsid w:val="00B14CF9"/>
    <w:rsid w:val="00B14E99"/>
    <w:rsid w:val="00B21DC1"/>
    <w:rsid w:val="00B2482E"/>
    <w:rsid w:val="00B24C21"/>
    <w:rsid w:val="00B2729B"/>
    <w:rsid w:val="00B3090B"/>
    <w:rsid w:val="00B3100D"/>
    <w:rsid w:val="00B31F1E"/>
    <w:rsid w:val="00B31F36"/>
    <w:rsid w:val="00B33C3D"/>
    <w:rsid w:val="00B36A96"/>
    <w:rsid w:val="00B40D1F"/>
    <w:rsid w:val="00B424DF"/>
    <w:rsid w:val="00B426C4"/>
    <w:rsid w:val="00B42A30"/>
    <w:rsid w:val="00B46137"/>
    <w:rsid w:val="00B46BF1"/>
    <w:rsid w:val="00B50041"/>
    <w:rsid w:val="00B52E6B"/>
    <w:rsid w:val="00B5572D"/>
    <w:rsid w:val="00B56630"/>
    <w:rsid w:val="00B566C0"/>
    <w:rsid w:val="00B5677B"/>
    <w:rsid w:val="00B57B94"/>
    <w:rsid w:val="00B60918"/>
    <w:rsid w:val="00B60C54"/>
    <w:rsid w:val="00B62E69"/>
    <w:rsid w:val="00B64387"/>
    <w:rsid w:val="00B66EFD"/>
    <w:rsid w:val="00B72603"/>
    <w:rsid w:val="00B73CD4"/>
    <w:rsid w:val="00B7429F"/>
    <w:rsid w:val="00B74469"/>
    <w:rsid w:val="00B745B7"/>
    <w:rsid w:val="00B767B7"/>
    <w:rsid w:val="00B808C0"/>
    <w:rsid w:val="00B81388"/>
    <w:rsid w:val="00B8308F"/>
    <w:rsid w:val="00B87B53"/>
    <w:rsid w:val="00B91D4F"/>
    <w:rsid w:val="00B93C63"/>
    <w:rsid w:val="00B94300"/>
    <w:rsid w:val="00B969D1"/>
    <w:rsid w:val="00BA0E9E"/>
    <w:rsid w:val="00BA1759"/>
    <w:rsid w:val="00BA1836"/>
    <w:rsid w:val="00BA2913"/>
    <w:rsid w:val="00BA2D1B"/>
    <w:rsid w:val="00BA73F8"/>
    <w:rsid w:val="00BB1014"/>
    <w:rsid w:val="00BB22E7"/>
    <w:rsid w:val="00BB41A3"/>
    <w:rsid w:val="00BB5244"/>
    <w:rsid w:val="00BB71BF"/>
    <w:rsid w:val="00BC1E71"/>
    <w:rsid w:val="00BC6E74"/>
    <w:rsid w:val="00BD2DAF"/>
    <w:rsid w:val="00BD4213"/>
    <w:rsid w:val="00BD79A3"/>
    <w:rsid w:val="00BE1AA2"/>
    <w:rsid w:val="00BE4E4E"/>
    <w:rsid w:val="00BE5422"/>
    <w:rsid w:val="00BF376B"/>
    <w:rsid w:val="00BF378D"/>
    <w:rsid w:val="00BF5DE8"/>
    <w:rsid w:val="00BF618B"/>
    <w:rsid w:val="00BF636F"/>
    <w:rsid w:val="00C05F20"/>
    <w:rsid w:val="00C06F59"/>
    <w:rsid w:val="00C07696"/>
    <w:rsid w:val="00C10323"/>
    <w:rsid w:val="00C13135"/>
    <w:rsid w:val="00C156EF"/>
    <w:rsid w:val="00C1795D"/>
    <w:rsid w:val="00C20B33"/>
    <w:rsid w:val="00C217E7"/>
    <w:rsid w:val="00C237ED"/>
    <w:rsid w:val="00C25CDF"/>
    <w:rsid w:val="00C2610F"/>
    <w:rsid w:val="00C2643E"/>
    <w:rsid w:val="00C26D1D"/>
    <w:rsid w:val="00C278FB"/>
    <w:rsid w:val="00C317FA"/>
    <w:rsid w:val="00C33C57"/>
    <w:rsid w:val="00C3528A"/>
    <w:rsid w:val="00C428D7"/>
    <w:rsid w:val="00C4398B"/>
    <w:rsid w:val="00C53971"/>
    <w:rsid w:val="00C54600"/>
    <w:rsid w:val="00C56B6B"/>
    <w:rsid w:val="00C57E75"/>
    <w:rsid w:val="00C60D61"/>
    <w:rsid w:val="00C65B27"/>
    <w:rsid w:val="00C71CD3"/>
    <w:rsid w:val="00C73FBC"/>
    <w:rsid w:val="00C74FA2"/>
    <w:rsid w:val="00C756EE"/>
    <w:rsid w:val="00C775A9"/>
    <w:rsid w:val="00C809F5"/>
    <w:rsid w:val="00C8113F"/>
    <w:rsid w:val="00C81BF5"/>
    <w:rsid w:val="00C86C78"/>
    <w:rsid w:val="00C91070"/>
    <w:rsid w:val="00C910B3"/>
    <w:rsid w:val="00C91BF5"/>
    <w:rsid w:val="00C94BD2"/>
    <w:rsid w:val="00C94DE2"/>
    <w:rsid w:val="00C95E0C"/>
    <w:rsid w:val="00CA30BB"/>
    <w:rsid w:val="00CA5555"/>
    <w:rsid w:val="00CA68C4"/>
    <w:rsid w:val="00CB7E8B"/>
    <w:rsid w:val="00CC1E23"/>
    <w:rsid w:val="00CC3B87"/>
    <w:rsid w:val="00CC4C21"/>
    <w:rsid w:val="00CC60BC"/>
    <w:rsid w:val="00CC6F1F"/>
    <w:rsid w:val="00CD2593"/>
    <w:rsid w:val="00CD45FD"/>
    <w:rsid w:val="00CD639B"/>
    <w:rsid w:val="00CE220F"/>
    <w:rsid w:val="00CE329E"/>
    <w:rsid w:val="00CE6DF7"/>
    <w:rsid w:val="00CF4F57"/>
    <w:rsid w:val="00CF55DD"/>
    <w:rsid w:val="00CF65A7"/>
    <w:rsid w:val="00CF7BEB"/>
    <w:rsid w:val="00D02B22"/>
    <w:rsid w:val="00D034E2"/>
    <w:rsid w:val="00D039CB"/>
    <w:rsid w:val="00D05ADF"/>
    <w:rsid w:val="00D06188"/>
    <w:rsid w:val="00D0767C"/>
    <w:rsid w:val="00D07DCF"/>
    <w:rsid w:val="00D07EB1"/>
    <w:rsid w:val="00D10191"/>
    <w:rsid w:val="00D10DE3"/>
    <w:rsid w:val="00D11CE7"/>
    <w:rsid w:val="00D134A4"/>
    <w:rsid w:val="00D1517E"/>
    <w:rsid w:val="00D1706E"/>
    <w:rsid w:val="00D174BB"/>
    <w:rsid w:val="00D17E13"/>
    <w:rsid w:val="00D22E68"/>
    <w:rsid w:val="00D23462"/>
    <w:rsid w:val="00D25626"/>
    <w:rsid w:val="00D260DB"/>
    <w:rsid w:val="00D2628C"/>
    <w:rsid w:val="00D267D6"/>
    <w:rsid w:val="00D30FBA"/>
    <w:rsid w:val="00D32394"/>
    <w:rsid w:val="00D333B6"/>
    <w:rsid w:val="00D345DE"/>
    <w:rsid w:val="00D34BE7"/>
    <w:rsid w:val="00D35A68"/>
    <w:rsid w:val="00D361A7"/>
    <w:rsid w:val="00D3766A"/>
    <w:rsid w:val="00D468D7"/>
    <w:rsid w:val="00D622A9"/>
    <w:rsid w:val="00D628DF"/>
    <w:rsid w:val="00D66533"/>
    <w:rsid w:val="00D70072"/>
    <w:rsid w:val="00D77382"/>
    <w:rsid w:val="00D83D82"/>
    <w:rsid w:val="00D85558"/>
    <w:rsid w:val="00D86110"/>
    <w:rsid w:val="00D86FF9"/>
    <w:rsid w:val="00D87A3C"/>
    <w:rsid w:val="00D900D0"/>
    <w:rsid w:val="00D925A3"/>
    <w:rsid w:val="00D92E76"/>
    <w:rsid w:val="00D9373E"/>
    <w:rsid w:val="00D93FB8"/>
    <w:rsid w:val="00D9532C"/>
    <w:rsid w:val="00D959FB"/>
    <w:rsid w:val="00DA0190"/>
    <w:rsid w:val="00DA0967"/>
    <w:rsid w:val="00DA262B"/>
    <w:rsid w:val="00DA34DB"/>
    <w:rsid w:val="00DA39BE"/>
    <w:rsid w:val="00DA490B"/>
    <w:rsid w:val="00DA74F5"/>
    <w:rsid w:val="00DB18A9"/>
    <w:rsid w:val="00DB49C5"/>
    <w:rsid w:val="00DB4C33"/>
    <w:rsid w:val="00DB60C5"/>
    <w:rsid w:val="00DB70B8"/>
    <w:rsid w:val="00DB7DB8"/>
    <w:rsid w:val="00DC23D1"/>
    <w:rsid w:val="00DC2C23"/>
    <w:rsid w:val="00DC2ECF"/>
    <w:rsid w:val="00DC3D04"/>
    <w:rsid w:val="00DC44CE"/>
    <w:rsid w:val="00DC744A"/>
    <w:rsid w:val="00DD02F6"/>
    <w:rsid w:val="00DD2182"/>
    <w:rsid w:val="00DD4FDE"/>
    <w:rsid w:val="00DD5562"/>
    <w:rsid w:val="00DD604A"/>
    <w:rsid w:val="00DE3C5C"/>
    <w:rsid w:val="00DE43B6"/>
    <w:rsid w:val="00DE7BBF"/>
    <w:rsid w:val="00DF07D2"/>
    <w:rsid w:val="00DF1405"/>
    <w:rsid w:val="00DF29CA"/>
    <w:rsid w:val="00DF2F31"/>
    <w:rsid w:val="00DF3A8E"/>
    <w:rsid w:val="00DF5A51"/>
    <w:rsid w:val="00E035B3"/>
    <w:rsid w:val="00E0425D"/>
    <w:rsid w:val="00E04A7B"/>
    <w:rsid w:val="00E04FF6"/>
    <w:rsid w:val="00E06493"/>
    <w:rsid w:val="00E105E9"/>
    <w:rsid w:val="00E10995"/>
    <w:rsid w:val="00E10DDD"/>
    <w:rsid w:val="00E134A2"/>
    <w:rsid w:val="00E15BF4"/>
    <w:rsid w:val="00E2450F"/>
    <w:rsid w:val="00E24BFC"/>
    <w:rsid w:val="00E2551A"/>
    <w:rsid w:val="00E27B81"/>
    <w:rsid w:val="00E309C2"/>
    <w:rsid w:val="00E32E00"/>
    <w:rsid w:val="00E32F30"/>
    <w:rsid w:val="00E339CA"/>
    <w:rsid w:val="00E413FD"/>
    <w:rsid w:val="00E416E0"/>
    <w:rsid w:val="00E4416E"/>
    <w:rsid w:val="00E445C5"/>
    <w:rsid w:val="00E451D0"/>
    <w:rsid w:val="00E503E2"/>
    <w:rsid w:val="00E50D8F"/>
    <w:rsid w:val="00E50E3F"/>
    <w:rsid w:val="00E517F5"/>
    <w:rsid w:val="00E5682B"/>
    <w:rsid w:val="00E60C68"/>
    <w:rsid w:val="00E64215"/>
    <w:rsid w:val="00E64C00"/>
    <w:rsid w:val="00E64D00"/>
    <w:rsid w:val="00E65998"/>
    <w:rsid w:val="00E7173F"/>
    <w:rsid w:val="00E72ED2"/>
    <w:rsid w:val="00E73683"/>
    <w:rsid w:val="00E73A2E"/>
    <w:rsid w:val="00E7742E"/>
    <w:rsid w:val="00E80FAA"/>
    <w:rsid w:val="00E87FA6"/>
    <w:rsid w:val="00E979FA"/>
    <w:rsid w:val="00EA0754"/>
    <w:rsid w:val="00EA2C27"/>
    <w:rsid w:val="00EA47F3"/>
    <w:rsid w:val="00EA5B68"/>
    <w:rsid w:val="00EA63F4"/>
    <w:rsid w:val="00EA7AE0"/>
    <w:rsid w:val="00EB0E86"/>
    <w:rsid w:val="00EB2A05"/>
    <w:rsid w:val="00EB4149"/>
    <w:rsid w:val="00EB5541"/>
    <w:rsid w:val="00EC16C3"/>
    <w:rsid w:val="00EC17A7"/>
    <w:rsid w:val="00EC3306"/>
    <w:rsid w:val="00EC373C"/>
    <w:rsid w:val="00EC39F8"/>
    <w:rsid w:val="00EC5621"/>
    <w:rsid w:val="00EC644F"/>
    <w:rsid w:val="00ED0E12"/>
    <w:rsid w:val="00ED14F2"/>
    <w:rsid w:val="00ED32FE"/>
    <w:rsid w:val="00ED3996"/>
    <w:rsid w:val="00ED50FB"/>
    <w:rsid w:val="00ED6AD0"/>
    <w:rsid w:val="00EE511B"/>
    <w:rsid w:val="00EE758E"/>
    <w:rsid w:val="00EF0072"/>
    <w:rsid w:val="00EF0212"/>
    <w:rsid w:val="00EF05D3"/>
    <w:rsid w:val="00EF09E7"/>
    <w:rsid w:val="00EF1500"/>
    <w:rsid w:val="00EF27FC"/>
    <w:rsid w:val="00EF36D2"/>
    <w:rsid w:val="00EF3A55"/>
    <w:rsid w:val="00EF50F7"/>
    <w:rsid w:val="00F013F6"/>
    <w:rsid w:val="00F04491"/>
    <w:rsid w:val="00F077F4"/>
    <w:rsid w:val="00F10D36"/>
    <w:rsid w:val="00F10DC8"/>
    <w:rsid w:val="00F12764"/>
    <w:rsid w:val="00F13FD5"/>
    <w:rsid w:val="00F1570F"/>
    <w:rsid w:val="00F15731"/>
    <w:rsid w:val="00F1750D"/>
    <w:rsid w:val="00F17CB2"/>
    <w:rsid w:val="00F17D17"/>
    <w:rsid w:val="00F21C7A"/>
    <w:rsid w:val="00F24EE3"/>
    <w:rsid w:val="00F25EA8"/>
    <w:rsid w:val="00F26816"/>
    <w:rsid w:val="00F27F65"/>
    <w:rsid w:val="00F30A25"/>
    <w:rsid w:val="00F329CD"/>
    <w:rsid w:val="00F35AED"/>
    <w:rsid w:val="00F35E6A"/>
    <w:rsid w:val="00F365C3"/>
    <w:rsid w:val="00F42FEA"/>
    <w:rsid w:val="00F45E4B"/>
    <w:rsid w:val="00F468FB"/>
    <w:rsid w:val="00F54E5A"/>
    <w:rsid w:val="00F57C32"/>
    <w:rsid w:val="00F603D6"/>
    <w:rsid w:val="00F65E8A"/>
    <w:rsid w:val="00F72821"/>
    <w:rsid w:val="00F7706E"/>
    <w:rsid w:val="00F81EC4"/>
    <w:rsid w:val="00F830D1"/>
    <w:rsid w:val="00F84C33"/>
    <w:rsid w:val="00F8533F"/>
    <w:rsid w:val="00F85A05"/>
    <w:rsid w:val="00F910CD"/>
    <w:rsid w:val="00F91B6D"/>
    <w:rsid w:val="00F92A62"/>
    <w:rsid w:val="00F9314F"/>
    <w:rsid w:val="00F93908"/>
    <w:rsid w:val="00F94195"/>
    <w:rsid w:val="00F9765A"/>
    <w:rsid w:val="00F97C33"/>
    <w:rsid w:val="00FA0581"/>
    <w:rsid w:val="00FA1E5F"/>
    <w:rsid w:val="00FA3002"/>
    <w:rsid w:val="00FA47D0"/>
    <w:rsid w:val="00FA4971"/>
    <w:rsid w:val="00FA53E1"/>
    <w:rsid w:val="00FB43BE"/>
    <w:rsid w:val="00FB489C"/>
    <w:rsid w:val="00FB6B99"/>
    <w:rsid w:val="00FB6D28"/>
    <w:rsid w:val="00FC5A2A"/>
    <w:rsid w:val="00FC63F4"/>
    <w:rsid w:val="00FD0D1D"/>
    <w:rsid w:val="00FE1FE9"/>
    <w:rsid w:val="00FE3691"/>
    <w:rsid w:val="00FE4523"/>
    <w:rsid w:val="00FE7BF5"/>
    <w:rsid w:val="00FF04EE"/>
    <w:rsid w:val="00FF3DCD"/>
    <w:rsid w:val="00FF6F19"/>
    <w:rsid w:val="00FF6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18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18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43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8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E18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438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027652"/>
    <w:pPr>
      <w:pBdr>
        <w:bottom w:val="single" w:sz="8" w:space="4" w:color="4F81BD" w:themeColor="accent1"/>
      </w:pBdr>
      <w:spacing w:after="300" w:line="240" w:lineRule="auto"/>
      <w:contextualSpacing/>
    </w:pPr>
    <w:rPr>
      <w:rFonts w:ascii="Cambria" w:eastAsiaTheme="majorEastAsia" w:hAnsi="Cambr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7652"/>
    <w:rPr>
      <w:rFonts w:ascii="Cambria" w:eastAsiaTheme="majorEastAsia" w:hAnsi="Cambria"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007829"/>
    <w:rPr>
      <w:sz w:val="16"/>
      <w:szCs w:val="16"/>
    </w:rPr>
  </w:style>
  <w:style w:type="paragraph" w:styleId="CommentText">
    <w:name w:val="annotation text"/>
    <w:basedOn w:val="Normal"/>
    <w:link w:val="CommentTextChar"/>
    <w:uiPriority w:val="99"/>
    <w:semiHidden/>
    <w:unhideWhenUsed/>
    <w:rsid w:val="00007829"/>
    <w:pPr>
      <w:spacing w:line="240" w:lineRule="auto"/>
    </w:pPr>
    <w:rPr>
      <w:sz w:val="20"/>
      <w:szCs w:val="20"/>
    </w:rPr>
  </w:style>
  <w:style w:type="character" w:customStyle="1" w:styleId="CommentTextChar">
    <w:name w:val="Comment Text Char"/>
    <w:basedOn w:val="DefaultParagraphFont"/>
    <w:link w:val="CommentText"/>
    <w:uiPriority w:val="99"/>
    <w:semiHidden/>
    <w:rsid w:val="00007829"/>
    <w:rPr>
      <w:sz w:val="20"/>
      <w:szCs w:val="20"/>
    </w:rPr>
  </w:style>
  <w:style w:type="paragraph" w:styleId="CommentSubject">
    <w:name w:val="annotation subject"/>
    <w:basedOn w:val="CommentText"/>
    <w:next w:val="CommentText"/>
    <w:link w:val="CommentSubjectChar"/>
    <w:uiPriority w:val="99"/>
    <w:semiHidden/>
    <w:unhideWhenUsed/>
    <w:rsid w:val="00007829"/>
    <w:rPr>
      <w:b/>
      <w:bCs/>
    </w:rPr>
  </w:style>
  <w:style w:type="character" w:customStyle="1" w:styleId="CommentSubjectChar">
    <w:name w:val="Comment Subject Char"/>
    <w:basedOn w:val="CommentTextChar"/>
    <w:link w:val="CommentSubject"/>
    <w:uiPriority w:val="99"/>
    <w:semiHidden/>
    <w:rsid w:val="00007829"/>
    <w:rPr>
      <w:b/>
      <w:bCs/>
      <w:sz w:val="20"/>
      <w:szCs w:val="20"/>
    </w:rPr>
  </w:style>
  <w:style w:type="paragraph" w:styleId="BalloonText">
    <w:name w:val="Balloon Text"/>
    <w:basedOn w:val="Normal"/>
    <w:link w:val="BalloonTextChar"/>
    <w:uiPriority w:val="99"/>
    <w:semiHidden/>
    <w:unhideWhenUsed/>
    <w:rsid w:val="00007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829"/>
    <w:rPr>
      <w:rFonts w:ascii="Tahoma" w:hAnsi="Tahoma" w:cs="Tahoma"/>
      <w:sz w:val="16"/>
      <w:szCs w:val="16"/>
    </w:rPr>
  </w:style>
  <w:style w:type="character" w:styleId="Hyperlink">
    <w:name w:val="Hyperlink"/>
    <w:basedOn w:val="DefaultParagraphFont"/>
    <w:uiPriority w:val="99"/>
    <w:unhideWhenUsed/>
    <w:rsid w:val="0097033A"/>
    <w:rPr>
      <w:color w:val="0000FF" w:themeColor="hyperlink"/>
      <w:u w:val="single"/>
    </w:rPr>
  </w:style>
  <w:style w:type="paragraph" w:styleId="FootnoteText">
    <w:name w:val="footnote text"/>
    <w:basedOn w:val="Normal"/>
    <w:link w:val="FootnoteTextChar"/>
    <w:uiPriority w:val="99"/>
    <w:unhideWhenUsed/>
    <w:rsid w:val="00C428D7"/>
    <w:pPr>
      <w:spacing w:after="0" w:line="240" w:lineRule="auto"/>
    </w:pPr>
    <w:rPr>
      <w:sz w:val="20"/>
      <w:szCs w:val="20"/>
    </w:rPr>
  </w:style>
  <w:style w:type="character" w:customStyle="1" w:styleId="FootnoteTextChar">
    <w:name w:val="Footnote Text Char"/>
    <w:basedOn w:val="DefaultParagraphFont"/>
    <w:link w:val="FootnoteText"/>
    <w:uiPriority w:val="99"/>
    <w:rsid w:val="00C428D7"/>
    <w:rPr>
      <w:sz w:val="20"/>
      <w:szCs w:val="20"/>
    </w:rPr>
  </w:style>
  <w:style w:type="character" w:styleId="FootnoteReference">
    <w:name w:val="footnote reference"/>
    <w:basedOn w:val="DefaultParagraphFont"/>
    <w:uiPriority w:val="99"/>
    <w:semiHidden/>
    <w:unhideWhenUsed/>
    <w:rsid w:val="00C428D7"/>
    <w:rPr>
      <w:vertAlign w:val="superscript"/>
    </w:rPr>
  </w:style>
  <w:style w:type="character" w:styleId="FollowedHyperlink">
    <w:name w:val="FollowedHyperlink"/>
    <w:basedOn w:val="DefaultParagraphFont"/>
    <w:uiPriority w:val="99"/>
    <w:semiHidden/>
    <w:unhideWhenUsed/>
    <w:rsid w:val="00745989"/>
    <w:rPr>
      <w:color w:val="800080" w:themeColor="followedHyperlink"/>
      <w:u w:val="single"/>
    </w:rPr>
  </w:style>
  <w:style w:type="table" w:styleId="TableGrid">
    <w:name w:val="Table Grid"/>
    <w:basedOn w:val="TableNormal"/>
    <w:uiPriority w:val="59"/>
    <w:rsid w:val="002E4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F5DE8"/>
    <w:rPr>
      <w:color w:val="808080"/>
    </w:rPr>
  </w:style>
  <w:style w:type="paragraph" w:styleId="ListParagraph">
    <w:name w:val="List Paragraph"/>
    <w:basedOn w:val="Normal"/>
    <w:uiPriority w:val="34"/>
    <w:qFormat/>
    <w:rsid w:val="00931611"/>
    <w:pPr>
      <w:ind w:left="720"/>
      <w:contextualSpacing/>
    </w:pPr>
  </w:style>
  <w:style w:type="paragraph" w:styleId="EndnoteText">
    <w:name w:val="endnote text"/>
    <w:basedOn w:val="Normal"/>
    <w:link w:val="EndnoteTextChar"/>
    <w:uiPriority w:val="99"/>
    <w:semiHidden/>
    <w:unhideWhenUsed/>
    <w:rsid w:val="001813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1370"/>
    <w:rPr>
      <w:sz w:val="20"/>
      <w:szCs w:val="20"/>
    </w:rPr>
  </w:style>
  <w:style w:type="character" w:styleId="EndnoteReference">
    <w:name w:val="endnote reference"/>
    <w:basedOn w:val="DefaultParagraphFont"/>
    <w:uiPriority w:val="99"/>
    <w:semiHidden/>
    <w:unhideWhenUsed/>
    <w:rsid w:val="00181370"/>
    <w:rPr>
      <w:vertAlign w:val="superscript"/>
    </w:rPr>
  </w:style>
  <w:style w:type="character" w:customStyle="1" w:styleId="hit">
    <w:name w:val="hit"/>
    <w:basedOn w:val="DefaultParagraphFont"/>
    <w:rsid w:val="00D70072"/>
    <w:rPr>
      <w:shd w:val="clear" w:color="auto" w:fill="FFFF99"/>
    </w:rPr>
  </w:style>
  <w:style w:type="paragraph" w:styleId="Header">
    <w:name w:val="header"/>
    <w:basedOn w:val="Normal"/>
    <w:link w:val="HeaderChar"/>
    <w:uiPriority w:val="99"/>
    <w:unhideWhenUsed/>
    <w:rsid w:val="00C86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C78"/>
  </w:style>
  <w:style w:type="paragraph" w:styleId="Footer">
    <w:name w:val="footer"/>
    <w:basedOn w:val="Normal"/>
    <w:link w:val="FooterChar"/>
    <w:uiPriority w:val="99"/>
    <w:unhideWhenUsed/>
    <w:rsid w:val="00C86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C78"/>
  </w:style>
  <w:style w:type="paragraph" w:customStyle="1" w:styleId="A-Text1">
    <w:name w:val="A-Text 1"/>
    <w:basedOn w:val="Normal"/>
    <w:link w:val="A-Text1Char"/>
    <w:qFormat/>
    <w:rsid w:val="00C91070"/>
    <w:pPr>
      <w:spacing w:after="360" w:line="360" w:lineRule="auto"/>
      <w:jc w:val="both"/>
    </w:pPr>
    <w:rPr>
      <w:rFonts w:ascii="Times New Roman" w:eastAsia="Times New Roman" w:hAnsi="Times New Roman" w:cs="Times New Roman"/>
      <w:sz w:val="24"/>
      <w:szCs w:val="24"/>
      <w:lang w:eastAsia="it-IT"/>
    </w:rPr>
  </w:style>
  <w:style w:type="character" w:customStyle="1" w:styleId="A-Text1Char">
    <w:name w:val="A-Text 1 Char"/>
    <w:basedOn w:val="DefaultParagraphFont"/>
    <w:link w:val="A-Text1"/>
    <w:locked/>
    <w:rsid w:val="00C91070"/>
    <w:rPr>
      <w:rFonts w:ascii="Times New Roman" w:eastAsia="Times New Roman" w:hAnsi="Times New Roman" w:cs="Times New Roman"/>
      <w:sz w:val="24"/>
      <w:szCs w:val="24"/>
      <w:lang w:eastAsia="it-IT"/>
    </w:rPr>
  </w:style>
  <w:style w:type="paragraph" w:customStyle="1" w:styleId="Default">
    <w:name w:val="Default"/>
    <w:rsid w:val="00272EC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18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18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43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8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E18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438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027652"/>
    <w:pPr>
      <w:pBdr>
        <w:bottom w:val="single" w:sz="8" w:space="4" w:color="4F81BD" w:themeColor="accent1"/>
      </w:pBdr>
      <w:spacing w:after="300" w:line="240" w:lineRule="auto"/>
      <w:contextualSpacing/>
    </w:pPr>
    <w:rPr>
      <w:rFonts w:ascii="Cambria" w:eastAsiaTheme="majorEastAsia" w:hAnsi="Cambr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7652"/>
    <w:rPr>
      <w:rFonts w:ascii="Cambria" w:eastAsiaTheme="majorEastAsia" w:hAnsi="Cambria"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007829"/>
    <w:rPr>
      <w:sz w:val="16"/>
      <w:szCs w:val="16"/>
    </w:rPr>
  </w:style>
  <w:style w:type="paragraph" w:styleId="CommentText">
    <w:name w:val="annotation text"/>
    <w:basedOn w:val="Normal"/>
    <w:link w:val="CommentTextChar"/>
    <w:uiPriority w:val="99"/>
    <w:semiHidden/>
    <w:unhideWhenUsed/>
    <w:rsid w:val="00007829"/>
    <w:pPr>
      <w:spacing w:line="240" w:lineRule="auto"/>
    </w:pPr>
    <w:rPr>
      <w:sz w:val="20"/>
      <w:szCs w:val="20"/>
    </w:rPr>
  </w:style>
  <w:style w:type="character" w:customStyle="1" w:styleId="CommentTextChar">
    <w:name w:val="Comment Text Char"/>
    <w:basedOn w:val="DefaultParagraphFont"/>
    <w:link w:val="CommentText"/>
    <w:uiPriority w:val="99"/>
    <w:semiHidden/>
    <w:rsid w:val="00007829"/>
    <w:rPr>
      <w:sz w:val="20"/>
      <w:szCs w:val="20"/>
    </w:rPr>
  </w:style>
  <w:style w:type="paragraph" w:styleId="CommentSubject">
    <w:name w:val="annotation subject"/>
    <w:basedOn w:val="CommentText"/>
    <w:next w:val="CommentText"/>
    <w:link w:val="CommentSubjectChar"/>
    <w:uiPriority w:val="99"/>
    <w:semiHidden/>
    <w:unhideWhenUsed/>
    <w:rsid w:val="00007829"/>
    <w:rPr>
      <w:b/>
      <w:bCs/>
    </w:rPr>
  </w:style>
  <w:style w:type="character" w:customStyle="1" w:styleId="CommentSubjectChar">
    <w:name w:val="Comment Subject Char"/>
    <w:basedOn w:val="CommentTextChar"/>
    <w:link w:val="CommentSubject"/>
    <w:uiPriority w:val="99"/>
    <w:semiHidden/>
    <w:rsid w:val="00007829"/>
    <w:rPr>
      <w:b/>
      <w:bCs/>
      <w:sz w:val="20"/>
      <w:szCs w:val="20"/>
    </w:rPr>
  </w:style>
  <w:style w:type="paragraph" w:styleId="BalloonText">
    <w:name w:val="Balloon Text"/>
    <w:basedOn w:val="Normal"/>
    <w:link w:val="BalloonTextChar"/>
    <w:uiPriority w:val="99"/>
    <w:semiHidden/>
    <w:unhideWhenUsed/>
    <w:rsid w:val="00007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829"/>
    <w:rPr>
      <w:rFonts w:ascii="Tahoma" w:hAnsi="Tahoma" w:cs="Tahoma"/>
      <w:sz w:val="16"/>
      <w:szCs w:val="16"/>
    </w:rPr>
  </w:style>
  <w:style w:type="character" w:styleId="Hyperlink">
    <w:name w:val="Hyperlink"/>
    <w:basedOn w:val="DefaultParagraphFont"/>
    <w:uiPriority w:val="99"/>
    <w:unhideWhenUsed/>
    <w:rsid w:val="0097033A"/>
    <w:rPr>
      <w:color w:val="0000FF" w:themeColor="hyperlink"/>
      <w:u w:val="single"/>
    </w:rPr>
  </w:style>
  <w:style w:type="paragraph" w:styleId="FootnoteText">
    <w:name w:val="footnote text"/>
    <w:basedOn w:val="Normal"/>
    <w:link w:val="FootnoteTextChar"/>
    <w:uiPriority w:val="99"/>
    <w:unhideWhenUsed/>
    <w:rsid w:val="00C428D7"/>
    <w:pPr>
      <w:spacing w:after="0" w:line="240" w:lineRule="auto"/>
    </w:pPr>
    <w:rPr>
      <w:sz w:val="20"/>
      <w:szCs w:val="20"/>
    </w:rPr>
  </w:style>
  <w:style w:type="character" w:customStyle="1" w:styleId="FootnoteTextChar">
    <w:name w:val="Footnote Text Char"/>
    <w:basedOn w:val="DefaultParagraphFont"/>
    <w:link w:val="FootnoteText"/>
    <w:uiPriority w:val="99"/>
    <w:rsid w:val="00C428D7"/>
    <w:rPr>
      <w:sz w:val="20"/>
      <w:szCs w:val="20"/>
    </w:rPr>
  </w:style>
  <w:style w:type="character" w:styleId="FootnoteReference">
    <w:name w:val="footnote reference"/>
    <w:basedOn w:val="DefaultParagraphFont"/>
    <w:uiPriority w:val="99"/>
    <w:semiHidden/>
    <w:unhideWhenUsed/>
    <w:rsid w:val="00C428D7"/>
    <w:rPr>
      <w:vertAlign w:val="superscript"/>
    </w:rPr>
  </w:style>
  <w:style w:type="character" w:styleId="FollowedHyperlink">
    <w:name w:val="FollowedHyperlink"/>
    <w:basedOn w:val="DefaultParagraphFont"/>
    <w:uiPriority w:val="99"/>
    <w:semiHidden/>
    <w:unhideWhenUsed/>
    <w:rsid w:val="00745989"/>
    <w:rPr>
      <w:color w:val="800080" w:themeColor="followedHyperlink"/>
      <w:u w:val="single"/>
    </w:rPr>
  </w:style>
  <w:style w:type="table" w:styleId="TableGrid">
    <w:name w:val="Table Grid"/>
    <w:basedOn w:val="TableNormal"/>
    <w:uiPriority w:val="59"/>
    <w:rsid w:val="002E4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F5DE8"/>
    <w:rPr>
      <w:color w:val="808080"/>
    </w:rPr>
  </w:style>
  <w:style w:type="paragraph" w:styleId="ListParagraph">
    <w:name w:val="List Paragraph"/>
    <w:basedOn w:val="Normal"/>
    <w:uiPriority w:val="34"/>
    <w:qFormat/>
    <w:rsid w:val="00931611"/>
    <w:pPr>
      <w:ind w:left="720"/>
      <w:contextualSpacing/>
    </w:pPr>
  </w:style>
  <w:style w:type="paragraph" w:styleId="EndnoteText">
    <w:name w:val="endnote text"/>
    <w:basedOn w:val="Normal"/>
    <w:link w:val="EndnoteTextChar"/>
    <w:uiPriority w:val="99"/>
    <w:semiHidden/>
    <w:unhideWhenUsed/>
    <w:rsid w:val="001813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1370"/>
    <w:rPr>
      <w:sz w:val="20"/>
      <w:szCs w:val="20"/>
    </w:rPr>
  </w:style>
  <w:style w:type="character" w:styleId="EndnoteReference">
    <w:name w:val="endnote reference"/>
    <w:basedOn w:val="DefaultParagraphFont"/>
    <w:uiPriority w:val="99"/>
    <w:semiHidden/>
    <w:unhideWhenUsed/>
    <w:rsid w:val="00181370"/>
    <w:rPr>
      <w:vertAlign w:val="superscript"/>
    </w:rPr>
  </w:style>
  <w:style w:type="character" w:customStyle="1" w:styleId="hit">
    <w:name w:val="hit"/>
    <w:basedOn w:val="DefaultParagraphFont"/>
    <w:rsid w:val="00D70072"/>
    <w:rPr>
      <w:shd w:val="clear" w:color="auto" w:fill="FFFF99"/>
    </w:rPr>
  </w:style>
  <w:style w:type="paragraph" w:styleId="Header">
    <w:name w:val="header"/>
    <w:basedOn w:val="Normal"/>
    <w:link w:val="HeaderChar"/>
    <w:uiPriority w:val="99"/>
    <w:unhideWhenUsed/>
    <w:rsid w:val="00C86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C78"/>
  </w:style>
  <w:style w:type="paragraph" w:styleId="Footer">
    <w:name w:val="footer"/>
    <w:basedOn w:val="Normal"/>
    <w:link w:val="FooterChar"/>
    <w:uiPriority w:val="99"/>
    <w:unhideWhenUsed/>
    <w:rsid w:val="00C86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C78"/>
  </w:style>
  <w:style w:type="paragraph" w:customStyle="1" w:styleId="A-Text1">
    <w:name w:val="A-Text 1"/>
    <w:basedOn w:val="Normal"/>
    <w:link w:val="A-Text1Char"/>
    <w:qFormat/>
    <w:rsid w:val="00C91070"/>
    <w:pPr>
      <w:spacing w:after="360" w:line="360" w:lineRule="auto"/>
      <w:jc w:val="both"/>
    </w:pPr>
    <w:rPr>
      <w:rFonts w:ascii="Times New Roman" w:eastAsia="Times New Roman" w:hAnsi="Times New Roman" w:cs="Times New Roman"/>
      <w:sz w:val="24"/>
      <w:szCs w:val="24"/>
      <w:lang w:eastAsia="it-IT"/>
    </w:rPr>
  </w:style>
  <w:style w:type="character" w:customStyle="1" w:styleId="A-Text1Char">
    <w:name w:val="A-Text 1 Char"/>
    <w:basedOn w:val="DefaultParagraphFont"/>
    <w:link w:val="A-Text1"/>
    <w:locked/>
    <w:rsid w:val="00C91070"/>
    <w:rPr>
      <w:rFonts w:ascii="Times New Roman" w:eastAsia="Times New Roman" w:hAnsi="Times New Roman" w:cs="Times New Roman"/>
      <w:sz w:val="24"/>
      <w:szCs w:val="24"/>
      <w:lang w:eastAsia="it-IT"/>
    </w:rPr>
  </w:style>
  <w:style w:type="paragraph" w:customStyle="1" w:styleId="Default">
    <w:name w:val="Default"/>
    <w:rsid w:val="00272EC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09064">
      <w:bodyDiv w:val="1"/>
      <w:marLeft w:val="0"/>
      <w:marRight w:val="0"/>
      <w:marTop w:val="0"/>
      <w:marBottom w:val="0"/>
      <w:divBdr>
        <w:top w:val="none" w:sz="0" w:space="0" w:color="auto"/>
        <w:left w:val="none" w:sz="0" w:space="0" w:color="auto"/>
        <w:bottom w:val="none" w:sz="0" w:space="0" w:color="auto"/>
        <w:right w:val="none" w:sz="0" w:space="0" w:color="auto"/>
      </w:divBdr>
    </w:div>
    <w:div w:id="227767761">
      <w:bodyDiv w:val="1"/>
      <w:marLeft w:val="0"/>
      <w:marRight w:val="0"/>
      <w:marTop w:val="0"/>
      <w:marBottom w:val="0"/>
      <w:divBdr>
        <w:top w:val="none" w:sz="0" w:space="0" w:color="auto"/>
        <w:left w:val="none" w:sz="0" w:space="0" w:color="auto"/>
        <w:bottom w:val="none" w:sz="0" w:space="0" w:color="auto"/>
        <w:right w:val="none" w:sz="0" w:space="0" w:color="auto"/>
      </w:divBdr>
    </w:div>
    <w:div w:id="339045946">
      <w:bodyDiv w:val="1"/>
      <w:marLeft w:val="0"/>
      <w:marRight w:val="0"/>
      <w:marTop w:val="0"/>
      <w:marBottom w:val="0"/>
      <w:divBdr>
        <w:top w:val="none" w:sz="0" w:space="0" w:color="auto"/>
        <w:left w:val="none" w:sz="0" w:space="0" w:color="auto"/>
        <w:bottom w:val="none" w:sz="0" w:space="0" w:color="auto"/>
        <w:right w:val="none" w:sz="0" w:space="0" w:color="auto"/>
      </w:divBdr>
    </w:div>
    <w:div w:id="397901440">
      <w:bodyDiv w:val="1"/>
      <w:marLeft w:val="0"/>
      <w:marRight w:val="0"/>
      <w:marTop w:val="0"/>
      <w:marBottom w:val="0"/>
      <w:divBdr>
        <w:top w:val="none" w:sz="0" w:space="0" w:color="auto"/>
        <w:left w:val="none" w:sz="0" w:space="0" w:color="auto"/>
        <w:bottom w:val="none" w:sz="0" w:space="0" w:color="auto"/>
        <w:right w:val="none" w:sz="0" w:space="0" w:color="auto"/>
      </w:divBdr>
    </w:div>
    <w:div w:id="527259253">
      <w:bodyDiv w:val="1"/>
      <w:marLeft w:val="0"/>
      <w:marRight w:val="0"/>
      <w:marTop w:val="0"/>
      <w:marBottom w:val="0"/>
      <w:divBdr>
        <w:top w:val="none" w:sz="0" w:space="0" w:color="auto"/>
        <w:left w:val="none" w:sz="0" w:space="0" w:color="auto"/>
        <w:bottom w:val="none" w:sz="0" w:space="0" w:color="auto"/>
        <w:right w:val="none" w:sz="0" w:space="0" w:color="auto"/>
      </w:divBdr>
      <w:divsChild>
        <w:div w:id="1613518121">
          <w:marLeft w:val="0"/>
          <w:marRight w:val="0"/>
          <w:marTop w:val="0"/>
          <w:marBottom w:val="0"/>
          <w:divBdr>
            <w:top w:val="single" w:sz="2" w:space="0" w:color="2E2E2E"/>
            <w:left w:val="single" w:sz="2" w:space="0" w:color="2E2E2E"/>
            <w:bottom w:val="single" w:sz="2" w:space="0" w:color="2E2E2E"/>
            <w:right w:val="single" w:sz="2" w:space="0" w:color="2E2E2E"/>
          </w:divBdr>
          <w:divsChild>
            <w:div w:id="1966813683">
              <w:marLeft w:val="0"/>
              <w:marRight w:val="0"/>
              <w:marTop w:val="0"/>
              <w:marBottom w:val="0"/>
              <w:divBdr>
                <w:top w:val="single" w:sz="6" w:space="0" w:color="C9C9C9"/>
                <w:left w:val="none" w:sz="0" w:space="0" w:color="auto"/>
                <w:bottom w:val="none" w:sz="0" w:space="0" w:color="auto"/>
                <w:right w:val="none" w:sz="0" w:space="0" w:color="auto"/>
              </w:divBdr>
              <w:divsChild>
                <w:div w:id="2018070597">
                  <w:marLeft w:val="0"/>
                  <w:marRight w:val="0"/>
                  <w:marTop w:val="0"/>
                  <w:marBottom w:val="0"/>
                  <w:divBdr>
                    <w:top w:val="none" w:sz="0" w:space="0" w:color="auto"/>
                    <w:left w:val="none" w:sz="0" w:space="0" w:color="auto"/>
                    <w:bottom w:val="none" w:sz="0" w:space="0" w:color="auto"/>
                    <w:right w:val="none" w:sz="0" w:space="0" w:color="auto"/>
                  </w:divBdr>
                  <w:divsChild>
                    <w:div w:id="409933372">
                      <w:marLeft w:val="0"/>
                      <w:marRight w:val="0"/>
                      <w:marTop w:val="0"/>
                      <w:marBottom w:val="0"/>
                      <w:divBdr>
                        <w:top w:val="none" w:sz="0" w:space="0" w:color="auto"/>
                        <w:left w:val="none" w:sz="0" w:space="0" w:color="auto"/>
                        <w:bottom w:val="none" w:sz="0" w:space="0" w:color="auto"/>
                        <w:right w:val="none" w:sz="0" w:space="0" w:color="auto"/>
                      </w:divBdr>
                      <w:divsChild>
                        <w:div w:id="529534160">
                          <w:marLeft w:val="0"/>
                          <w:marRight w:val="0"/>
                          <w:marTop w:val="225"/>
                          <w:marBottom w:val="315"/>
                          <w:divBdr>
                            <w:top w:val="single" w:sz="6" w:space="0" w:color="D7D7D7"/>
                            <w:left w:val="single" w:sz="2" w:space="0" w:color="D7D7D7"/>
                            <w:bottom w:val="single" w:sz="6" w:space="0" w:color="D7D7D7"/>
                            <w:right w:val="single" w:sz="2" w:space="0" w:color="D7D7D7"/>
                          </w:divBdr>
                          <w:divsChild>
                            <w:div w:id="154759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950512">
      <w:bodyDiv w:val="1"/>
      <w:marLeft w:val="0"/>
      <w:marRight w:val="0"/>
      <w:marTop w:val="0"/>
      <w:marBottom w:val="0"/>
      <w:divBdr>
        <w:top w:val="none" w:sz="0" w:space="0" w:color="auto"/>
        <w:left w:val="none" w:sz="0" w:space="0" w:color="auto"/>
        <w:bottom w:val="none" w:sz="0" w:space="0" w:color="auto"/>
        <w:right w:val="none" w:sz="0" w:space="0" w:color="auto"/>
      </w:divBdr>
      <w:divsChild>
        <w:div w:id="738207651">
          <w:marLeft w:val="0"/>
          <w:marRight w:val="0"/>
          <w:marTop w:val="0"/>
          <w:marBottom w:val="0"/>
          <w:divBdr>
            <w:top w:val="none" w:sz="0" w:space="0" w:color="auto"/>
            <w:left w:val="none" w:sz="0" w:space="0" w:color="auto"/>
            <w:bottom w:val="none" w:sz="0" w:space="0" w:color="auto"/>
            <w:right w:val="none" w:sz="0" w:space="0" w:color="auto"/>
          </w:divBdr>
          <w:divsChild>
            <w:div w:id="383061918">
              <w:marLeft w:val="0"/>
              <w:marRight w:val="0"/>
              <w:marTop w:val="0"/>
              <w:marBottom w:val="0"/>
              <w:divBdr>
                <w:top w:val="none" w:sz="0" w:space="0" w:color="auto"/>
                <w:left w:val="none" w:sz="0" w:space="0" w:color="auto"/>
                <w:bottom w:val="none" w:sz="0" w:space="0" w:color="auto"/>
                <w:right w:val="none" w:sz="0" w:space="0" w:color="auto"/>
              </w:divBdr>
              <w:divsChild>
                <w:div w:id="1140151286">
                  <w:marLeft w:val="0"/>
                  <w:marRight w:val="0"/>
                  <w:marTop w:val="0"/>
                  <w:marBottom w:val="0"/>
                  <w:divBdr>
                    <w:top w:val="none" w:sz="0" w:space="0" w:color="auto"/>
                    <w:left w:val="none" w:sz="0" w:space="0" w:color="auto"/>
                    <w:bottom w:val="none" w:sz="0" w:space="0" w:color="auto"/>
                    <w:right w:val="none" w:sz="0" w:space="0" w:color="auto"/>
                  </w:divBdr>
                  <w:divsChild>
                    <w:div w:id="17392629">
                      <w:marLeft w:val="0"/>
                      <w:marRight w:val="0"/>
                      <w:marTop w:val="0"/>
                      <w:marBottom w:val="0"/>
                      <w:divBdr>
                        <w:top w:val="none" w:sz="0" w:space="0" w:color="auto"/>
                        <w:left w:val="none" w:sz="0" w:space="0" w:color="auto"/>
                        <w:bottom w:val="none" w:sz="0" w:space="0" w:color="auto"/>
                        <w:right w:val="none" w:sz="0" w:space="0" w:color="auto"/>
                      </w:divBdr>
                      <w:divsChild>
                        <w:div w:id="642930704">
                          <w:marLeft w:val="0"/>
                          <w:marRight w:val="0"/>
                          <w:marTop w:val="0"/>
                          <w:marBottom w:val="0"/>
                          <w:divBdr>
                            <w:top w:val="none" w:sz="0" w:space="0" w:color="auto"/>
                            <w:left w:val="none" w:sz="0" w:space="0" w:color="auto"/>
                            <w:bottom w:val="none" w:sz="0" w:space="0" w:color="auto"/>
                            <w:right w:val="none" w:sz="0" w:space="0" w:color="auto"/>
                          </w:divBdr>
                          <w:divsChild>
                            <w:div w:id="1781795975">
                              <w:marLeft w:val="0"/>
                              <w:marRight w:val="0"/>
                              <w:marTop w:val="0"/>
                              <w:marBottom w:val="0"/>
                              <w:divBdr>
                                <w:top w:val="none" w:sz="0" w:space="0" w:color="auto"/>
                                <w:left w:val="none" w:sz="0" w:space="0" w:color="auto"/>
                                <w:bottom w:val="none" w:sz="0" w:space="0" w:color="auto"/>
                                <w:right w:val="none" w:sz="0" w:space="0" w:color="auto"/>
                              </w:divBdr>
                              <w:divsChild>
                                <w:div w:id="1028146557">
                                  <w:marLeft w:val="0"/>
                                  <w:marRight w:val="0"/>
                                  <w:marTop w:val="0"/>
                                  <w:marBottom w:val="0"/>
                                  <w:divBdr>
                                    <w:top w:val="none" w:sz="0" w:space="0" w:color="auto"/>
                                    <w:left w:val="none" w:sz="0" w:space="0" w:color="auto"/>
                                    <w:bottom w:val="none" w:sz="0" w:space="0" w:color="auto"/>
                                    <w:right w:val="none" w:sz="0" w:space="0" w:color="auto"/>
                                  </w:divBdr>
                                  <w:divsChild>
                                    <w:div w:id="1194997622">
                                      <w:marLeft w:val="0"/>
                                      <w:marRight w:val="0"/>
                                      <w:marTop w:val="0"/>
                                      <w:marBottom w:val="0"/>
                                      <w:divBdr>
                                        <w:top w:val="none" w:sz="0" w:space="0" w:color="auto"/>
                                        <w:left w:val="none" w:sz="0" w:space="0" w:color="auto"/>
                                        <w:bottom w:val="none" w:sz="0" w:space="0" w:color="auto"/>
                                        <w:right w:val="none" w:sz="0" w:space="0" w:color="auto"/>
                                      </w:divBdr>
                                      <w:divsChild>
                                        <w:div w:id="1722165706">
                                          <w:marLeft w:val="0"/>
                                          <w:marRight w:val="0"/>
                                          <w:marTop w:val="0"/>
                                          <w:marBottom w:val="0"/>
                                          <w:divBdr>
                                            <w:top w:val="none" w:sz="0" w:space="0" w:color="auto"/>
                                            <w:left w:val="none" w:sz="0" w:space="0" w:color="auto"/>
                                            <w:bottom w:val="none" w:sz="0" w:space="0" w:color="auto"/>
                                            <w:right w:val="none" w:sz="0" w:space="0" w:color="auto"/>
                                          </w:divBdr>
                                          <w:divsChild>
                                            <w:div w:id="914587062">
                                              <w:marLeft w:val="0"/>
                                              <w:marRight w:val="0"/>
                                              <w:marTop w:val="0"/>
                                              <w:marBottom w:val="0"/>
                                              <w:divBdr>
                                                <w:top w:val="single" w:sz="12" w:space="2" w:color="FFFFCC"/>
                                                <w:left w:val="single" w:sz="12" w:space="2" w:color="FFFFCC"/>
                                                <w:bottom w:val="single" w:sz="12" w:space="2" w:color="FFFFCC"/>
                                                <w:right w:val="single" w:sz="12" w:space="0" w:color="FFFFCC"/>
                                              </w:divBdr>
                                              <w:divsChild>
                                                <w:div w:id="487789624">
                                                  <w:marLeft w:val="0"/>
                                                  <w:marRight w:val="0"/>
                                                  <w:marTop w:val="0"/>
                                                  <w:marBottom w:val="0"/>
                                                  <w:divBdr>
                                                    <w:top w:val="none" w:sz="0" w:space="0" w:color="auto"/>
                                                    <w:left w:val="none" w:sz="0" w:space="0" w:color="auto"/>
                                                    <w:bottom w:val="none" w:sz="0" w:space="0" w:color="auto"/>
                                                    <w:right w:val="none" w:sz="0" w:space="0" w:color="auto"/>
                                                  </w:divBdr>
                                                  <w:divsChild>
                                                    <w:div w:id="633365608">
                                                      <w:marLeft w:val="0"/>
                                                      <w:marRight w:val="0"/>
                                                      <w:marTop w:val="0"/>
                                                      <w:marBottom w:val="0"/>
                                                      <w:divBdr>
                                                        <w:top w:val="none" w:sz="0" w:space="0" w:color="auto"/>
                                                        <w:left w:val="none" w:sz="0" w:space="0" w:color="auto"/>
                                                        <w:bottom w:val="none" w:sz="0" w:space="0" w:color="auto"/>
                                                        <w:right w:val="none" w:sz="0" w:space="0" w:color="auto"/>
                                                      </w:divBdr>
                                                      <w:divsChild>
                                                        <w:div w:id="667251778">
                                                          <w:marLeft w:val="0"/>
                                                          <w:marRight w:val="0"/>
                                                          <w:marTop w:val="0"/>
                                                          <w:marBottom w:val="0"/>
                                                          <w:divBdr>
                                                            <w:top w:val="none" w:sz="0" w:space="0" w:color="auto"/>
                                                            <w:left w:val="none" w:sz="0" w:space="0" w:color="auto"/>
                                                            <w:bottom w:val="none" w:sz="0" w:space="0" w:color="auto"/>
                                                            <w:right w:val="none" w:sz="0" w:space="0" w:color="auto"/>
                                                          </w:divBdr>
                                                          <w:divsChild>
                                                            <w:div w:id="525561034">
                                                              <w:marLeft w:val="0"/>
                                                              <w:marRight w:val="0"/>
                                                              <w:marTop w:val="0"/>
                                                              <w:marBottom w:val="0"/>
                                                              <w:divBdr>
                                                                <w:top w:val="none" w:sz="0" w:space="0" w:color="auto"/>
                                                                <w:left w:val="none" w:sz="0" w:space="0" w:color="auto"/>
                                                                <w:bottom w:val="none" w:sz="0" w:space="0" w:color="auto"/>
                                                                <w:right w:val="none" w:sz="0" w:space="0" w:color="auto"/>
                                                              </w:divBdr>
                                                              <w:divsChild>
                                                                <w:div w:id="954826632">
                                                                  <w:marLeft w:val="0"/>
                                                                  <w:marRight w:val="0"/>
                                                                  <w:marTop w:val="0"/>
                                                                  <w:marBottom w:val="0"/>
                                                                  <w:divBdr>
                                                                    <w:top w:val="none" w:sz="0" w:space="0" w:color="auto"/>
                                                                    <w:left w:val="none" w:sz="0" w:space="0" w:color="auto"/>
                                                                    <w:bottom w:val="none" w:sz="0" w:space="0" w:color="auto"/>
                                                                    <w:right w:val="none" w:sz="0" w:space="0" w:color="auto"/>
                                                                  </w:divBdr>
                                                                  <w:divsChild>
                                                                    <w:div w:id="685059743">
                                                                      <w:marLeft w:val="0"/>
                                                                      <w:marRight w:val="0"/>
                                                                      <w:marTop w:val="0"/>
                                                                      <w:marBottom w:val="0"/>
                                                                      <w:divBdr>
                                                                        <w:top w:val="none" w:sz="0" w:space="0" w:color="auto"/>
                                                                        <w:left w:val="none" w:sz="0" w:space="0" w:color="auto"/>
                                                                        <w:bottom w:val="none" w:sz="0" w:space="0" w:color="auto"/>
                                                                        <w:right w:val="none" w:sz="0" w:space="0" w:color="auto"/>
                                                                      </w:divBdr>
                                                                      <w:divsChild>
                                                                        <w:div w:id="1635140410">
                                                                          <w:marLeft w:val="0"/>
                                                                          <w:marRight w:val="0"/>
                                                                          <w:marTop w:val="0"/>
                                                                          <w:marBottom w:val="0"/>
                                                                          <w:divBdr>
                                                                            <w:top w:val="none" w:sz="0" w:space="0" w:color="auto"/>
                                                                            <w:left w:val="none" w:sz="0" w:space="0" w:color="auto"/>
                                                                            <w:bottom w:val="none" w:sz="0" w:space="0" w:color="auto"/>
                                                                            <w:right w:val="none" w:sz="0" w:space="0" w:color="auto"/>
                                                                          </w:divBdr>
                                                                          <w:divsChild>
                                                                            <w:div w:id="758793914">
                                                                              <w:marLeft w:val="0"/>
                                                                              <w:marRight w:val="0"/>
                                                                              <w:marTop w:val="0"/>
                                                                              <w:marBottom w:val="0"/>
                                                                              <w:divBdr>
                                                                                <w:top w:val="none" w:sz="0" w:space="0" w:color="auto"/>
                                                                                <w:left w:val="none" w:sz="0" w:space="0" w:color="auto"/>
                                                                                <w:bottom w:val="none" w:sz="0" w:space="0" w:color="auto"/>
                                                                                <w:right w:val="none" w:sz="0" w:space="0" w:color="auto"/>
                                                                              </w:divBdr>
                                                                              <w:divsChild>
                                                                                <w:div w:id="1945650412">
                                                                                  <w:marLeft w:val="0"/>
                                                                                  <w:marRight w:val="0"/>
                                                                                  <w:marTop w:val="0"/>
                                                                                  <w:marBottom w:val="0"/>
                                                                                  <w:divBdr>
                                                                                    <w:top w:val="none" w:sz="0" w:space="0" w:color="auto"/>
                                                                                    <w:left w:val="none" w:sz="0" w:space="0" w:color="auto"/>
                                                                                    <w:bottom w:val="none" w:sz="0" w:space="0" w:color="auto"/>
                                                                                    <w:right w:val="none" w:sz="0" w:space="0" w:color="auto"/>
                                                                                  </w:divBdr>
                                                                                  <w:divsChild>
                                                                                    <w:div w:id="1831677895">
                                                                                      <w:marLeft w:val="0"/>
                                                                                      <w:marRight w:val="0"/>
                                                                                      <w:marTop w:val="0"/>
                                                                                      <w:marBottom w:val="0"/>
                                                                                      <w:divBdr>
                                                                                        <w:top w:val="none" w:sz="0" w:space="0" w:color="auto"/>
                                                                                        <w:left w:val="none" w:sz="0" w:space="0" w:color="auto"/>
                                                                                        <w:bottom w:val="none" w:sz="0" w:space="0" w:color="auto"/>
                                                                                        <w:right w:val="none" w:sz="0" w:space="0" w:color="auto"/>
                                                                                      </w:divBdr>
                                                                                      <w:divsChild>
                                                                                        <w:div w:id="2001889704">
                                                                                          <w:marLeft w:val="0"/>
                                                                                          <w:marRight w:val="120"/>
                                                                                          <w:marTop w:val="0"/>
                                                                                          <w:marBottom w:val="150"/>
                                                                                          <w:divBdr>
                                                                                            <w:top w:val="single" w:sz="2" w:space="0" w:color="EFEFEF"/>
                                                                                            <w:left w:val="single" w:sz="6" w:space="0" w:color="EFEFEF"/>
                                                                                            <w:bottom w:val="single" w:sz="6" w:space="0" w:color="E2E2E2"/>
                                                                                            <w:right w:val="single" w:sz="6" w:space="0" w:color="EFEFEF"/>
                                                                                          </w:divBdr>
                                                                                          <w:divsChild>
                                                                                            <w:div w:id="1324045745">
                                                                                              <w:marLeft w:val="0"/>
                                                                                              <w:marRight w:val="0"/>
                                                                                              <w:marTop w:val="0"/>
                                                                                              <w:marBottom w:val="0"/>
                                                                                              <w:divBdr>
                                                                                                <w:top w:val="none" w:sz="0" w:space="0" w:color="auto"/>
                                                                                                <w:left w:val="none" w:sz="0" w:space="0" w:color="auto"/>
                                                                                                <w:bottom w:val="none" w:sz="0" w:space="0" w:color="auto"/>
                                                                                                <w:right w:val="none" w:sz="0" w:space="0" w:color="auto"/>
                                                                                              </w:divBdr>
                                                                                              <w:divsChild>
                                                                                                <w:div w:id="1968461552">
                                                                                                  <w:marLeft w:val="0"/>
                                                                                                  <w:marRight w:val="0"/>
                                                                                                  <w:marTop w:val="0"/>
                                                                                                  <w:marBottom w:val="0"/>
                                                                                                  <w:divBdr>
                                                                                                    <w:top w:val="none" w:sz="0" w:space="0" w:color="auto"/>
                                                                                                    <w:left w:val="none" w:sz="0" w:space="0" w:color="auto"/>
                                                                                                    <w:bottom w:val="none" w:sz="0" w:space="0" w:color="auto"/>
                                                                                                    <w:right w:val="none" w:sz="0" w:space="0" w:color="auto"/>
                                                                                                  </w:divBdr>
                                                                                                  <w:divsChild>
                                                                                                    <w:div w:id="1717268317">
                                                                                                      <w:marLeft w:val="0"/>
                                                                                                      <w:marRight w:val="0"/>
                                                                                                      <w:marTop w:val="0"/>
                                                                                                      <w:marBottom w:val="0"/>
                                                                                                      <w:divBdr>
                                                                                                        <w:top w:val="none" w:sz="0" w:space="0" w:color="auto"/>
                                                                                                        <w:left w:val="none" w:sz="0" w:space="0" w:color="auto"/>
                                                                                                        <w:bottom w:val="none" w:sz="0" w:space="0" w:color="auto"/>
                                                                                                        <w:right w:val="none" w:sz="0" w:space="0" w:color="auto"/>
                                                                                                      </w:divBdr>
                                                                                                      <w:divsChild>
                                                                                                        <w:div w:id="1533765999">
                                                                                                          <w:marLeft w:val="0"/>
                                                                                                          <w:marRight w:val="0"/>
                                                                                                          <w:marTop w:val="0"/>
                                                                                                          <w:marBottom w:val="0"/>
                                                                                                          <w:divBdr>
                                                                                                            <w:top w:val="none" w:sz="0" w:space="0" w:color="auto"/>
                                                                                                            <w:left w:val="none" w:sz="0" w:space="0" w:color="auto"/>
                                                                                                            <w:bottom w:val="none" w:sz="0" w:space="0" w:color="auto"/>
                                                                                                            <w:right w:val="none" w:sz="0" w:space="0" w:color="auto"/>
                                                                                                          </w:divBdr>
                                                                                                          <w:divsChild>
                                                                                                            <w:div w:id="115956011">
                                                                                                              <w:marLeft w:val="0"/>
                                                                                                              <w:marRight w:val="0"/>
                                                                                                              <w:marTop w:val="0"/>
                                                                                                              <w:marBottom w:val="0"/>
                                                                                                              <w:divBdr>
                                                                                                                <w:top w:val="single" w:sz="2" w:space="4" w:color="D8D8D8"/>
                                                                                                                <w:left w:val="single" w:sz="2" w:space="0" w:color="D8D8D8"/>
                                                                                                                <w:bottom w:val="single" w:sz="2" w:space="4" w:color="D8D8D8"/>
                                                                                                                <w:right w:val="single" w:sz="2" w:space="0" w:color="D8D8D8"/>
                                                                                                              </w:divBdr>
                                                                                                              <w:divsChild>
                                                                                                                <w:div w:id="1868789882">
                                                                                                                  <w:marLeft w:val="225"/>
                                                                                                                  <w:marRight w:val="225"/>
                                                                                                                  <w:marTop w:val="75"/>
                                                                                                                  <w:marBottom w:val="75"/>
                                                                                                                  <w:divBdr>
                                                                                                                    <w:top w:val="none" w:sz="0" w:space="0" w:color="auto"/>
                                                                                                                    <w:left w:val="none" w:sz="0" w:space="0" w:color="auto"/>
                                                                                                                    <w:bottom w:val="none" w:sz="0" w:space="0" w:color="auto"/>
                                                                                                                    <w:right w:val="none" w:sz="0" w:space="0" w:color="auto"/>
                                                                                                                  </w:divBdr>
                                                                                                                  <w:divsChild>
                                                                                                                    <w:div w:id="1917089179">
                                                                                                                      <w:marLeft w:val="0"/>
                                                                                                                      <w:marRight w:val="0"/>
                                                                                                                      <w:marTop w:val="0"/>
                                                                                                                      <w:marBottom w:val="0"/>
                                                                                                                      <w:divBdr>
                                                                                                                        <w:top w:val="single" w:sz="6" w:space="0" w:color="auto"/>
                                                                                                                        <w:left w:val="single" w:sz="6" w:space="0" w:color="auto"/>
                                                                                                                        <w:bottom w:val="single" w:sz="6" w:space="0" w:color="auto"/>
                                                                                                                        <w:right w:val="single" w:sz="6" w:space="0" w:color="auto"/>
                                                                                                                      </w:divBdr>
                                                                                                                      <w:divsChild>
                                                                                                                        <w:div w:id="244415610">
                                                                                                                          <w:marLeft w:val="0"/>
                                                                                                                          <w:marRight w:val="0"/>
                                                                                                                          <w:marTop w:val="0"/>
                                                                                                                          <w:marBottom w:val="0"/>
                                                                                                                          <w:divBdr>
                                                                                                                            <w:top w:val="none" w:sz="0" w:space="0" w:color="auto"/>
                                                                                                                            <w:left w:val="none" w:sz="0" w:space="0" w:color="auto"/>
                                                                                                                            <w:bottom w:val="none" w:sz="0" w:space="0" w:color="auto"/>
                                                                                                                            <w:right w:val="none" w:sz="0" w:space="0" w:color="auto"/>
                                                                                                                          </w:divBdr>
                                                                                                                          <w:divsChild>
                                                                                                                            <w:div w:id="2128968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280387">
      <w:bodyDiv w:val="1"/>
      <w:marLeft w:val="0"/>
      <w:marRight w:val="0"/>
      <w:marTop w:val="0"/>
      <w:marBottom w:val="0"/>
      <w:divBdr>
        <w:top w:val="none" w:sz="0" w:space="0" w:color="auto"/>
        <w:left w:val="none" w:sz="0" w:space="0" w:color="auto"/>
        <w:bottom w:val="none" w:sz="0" w:space="0" w:color="auto"/>
        <w:right w:val="none" w:sz="0" w:space="0" w:color="auto"/>
      </w:divBdr>
    </w:div>
    <w:div w:id="760954330">
      <w:bodyDiv w:val="1"/>
      <w:marLeft w:val="0"/>
      <w:marRight w:val="0"/>
      <w:marTop w:val="0"/>
      <w:marBottom w:val="0"/>
      <w:divBdr>
        <w:top w:val="none" w:sz="0" w:space="0" w:color="auto"/>
        <w:left w:val="none" w:sz="0" w:space="0" w:color="auto"/>
        <w:bottom w:val="none" w:sz="0" w:space="0" w:color="auto"/>
        <w:right w:val="none" w:sz="0" w:space="0" w:color="auto"/>
      </w:divBdr>
    </w:div>
    <w:div w:id="1063524597">
      <w:bodyDiv w:val="1"/>
      <w:marLeft w:val="0"/>
      <w:marRight w:val="0"/>
      <w:marTop w:val="0"/>
      <w:marBottom w:val="0"/>
      <w:divBdr>
        <w:top w:val="none" w:sz="0" w:space="0" w:color="auto"/>
        <w:left w:val="none" w:sz="0" w:space="0" w:color="auto"/>
        <w:bottom w:val="none" w:sz="0" w:space="0" w:color="auto"/>
        <w:right w:val="none" w:sz="0" w:space="0" w:color="auto"/>
      </w:divBdr>
    </w:div>
    <w:div w:id="1235050444">
      <w:bodyDiv w:val="1"/>
      <w:marLeft w:val="0"/>
      <w:marRight w:val="0"/>
      <w:marTop w:val="0"/>
      <w:marBottom w:val="0"/>
      <w:divBdr>
        <w:top w:val="none" w:sz="0" w:space="0" w:color="auto"/>
        <w:left w:val="none" w:sz="0" w:space="0" w:color="auto"/>
        <w:bottom w:val="none" w:sz="0" w:space="0" w:color="auto"/>
        <w:right w:val="none" w:sz="0" w:space="0" w:color="auto"/>
      </w:divBdr>
    </w:div>
    <w:div w:id="1422294488">
      <w:bodyDiv w:val="1"/>
      <w:marLeft w:val="0"/>
      <w:marRight w:val="0"/>
      <w:marTop w:val="0"/>
      <w:marBottom w:val="0"/>
      <w:divBdr>
        <w:top w:val="none" w:sz="0" w:space="0" w:color="auto"/>
        <w:left w:val="none" w:sz="0" w:space="0" w:color="auto"/>
        <w:bottom w:val="none" w:sz="0" w:space="0" w:color="auto"/>
        <w:right w:val="none" w:sz="0" w:space="0" w:color="auto"/>
      </w:divBdr>
    </w:div>
    <w:div w:id="1669866105">
      <w:bodyDiv w:val="1"/>
      <w:marLeft w:val="0"/>
      <w:marRight w:val="0"/>
      <w:marTop w:val="0"/>
      <w:marBottom w:val="0"/>
      <w:divBdr>
        <w:top w:val="none" w:sz="0" w:space="0" w:color="auto"/>
        <w:left w:val="none" w:sz="0" w:space="0" w:color="auto"/>
        <w:bottom w:val="none" w:sz="0" w:space="0" w:color="auto"/>
        <w:right w:val="none" w:sz="0" w:space="0" w:color="auto"/>
      </w:divBdr>
    </w:div>
    <w:div w:id="2054620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gland.nhs.uk/statistics/statistical-work-areas/delayed-transfers-of-care/" TargetMode="External"/><Relationship Id="rId18" Type="http://schemas.openxmlformats.org/officeDocument/2006/relationships/hyperlink" Target="http://www.hscic.gov.uk/catalogue/PUB12566" TargetMode="External"/><Relationship Id="rId26" Type="http://schemas.openxmlformats.org/officeDocument/2006/relationships/hyperlink" Target="http://www.nrls.npsa.nhs.uk/resources/?entryid45=135145" TargetMode="External"/><Relationship Id="rId3" Type="http://schemas.openxmlformats.org/officeDocument/2006/relationships/styles" Target="styles.xml"/><Relationship Id="rId21" Type="http://schemas.openxmlformats.org/officeDocument/2006/relationships/hyperlink" Target="http://www.laingbuisson.co.uk/Data/CareHomes/tabid/603/ProductID/50/Default.asp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ngland.nhs.uk/statistics/statistical-work-areas/bed-availability-and-occupancy/" TargetMode="External"/><Relationship Id="rId17" Type="http://schemas.openxmlformats.org/officeDocument/2006/relationships/hyperlink" Target="https://indicators.ic.nhs.uk/download/NCHOD/Specification/Spec_03N_523ISP4ADP_12_V1.pdf" TargetMode="External"/><Relationship Id="rId25" Type="http://schemas.openxmlformats.org/officeDocument/2006/relationships/hyperlink" Target="https://www.gov.uk/government/publications/nhs-foundation-trust-directory/nhs-foundation-trust-director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ublications.parliament.uk/pa/cm201314/cmselect/cmhealth/171/17102.htm" TargetMode="External"/><Relationship Id="rId20" Type="http://schemas.openxmlformats.org/officeDocument/2006/relationships/hyperlink" Target="https://indicators.ic.nhs.uk/webview/" TargetMode="External"/><Relationship Id="rId29" Type="http://schemas.openxmlformats.org/officeDocument/2006/relationships/hyperlink" Target="http://www.york.ac.uk/che/publications/in-hou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eds.ac.uk/lpop/Key%20Policy%20Documents/communitycaredelayeddisc.pdf" TargetMode="External"/><Relationship Id="rId24" Type="http://schemas.openxmlformats.org/officeDocument/2006/relationships/hyperlink" Target="http://webarchive.nationalarchives.gov.uk/20140106173514/http://www.monitor-nhsft.gov.uk/sites/default/files/publications/ToPublishGuideforApplicants12April2013FINAL.pdf" TargetMode="External"/><Relationship Id="rId32"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health.org.uk/media_manager/public/75/publications_pdfs/Improving%20the%20flow%20of%20older%20people.pdf" TargetMode="External"/><Relationship Id="rId23" Type="http://schemas.openxmlformats.org/officeDocument/2006/relationships/hyperlink" Target="http://www.avantec.uk.com/downloads/government/Monitor%20Compliance%20Framework%20Apr_07_.pdf" TargetMode="External"/><Relationship Id="rId28" Type="http://schemas.openxmlformats.org/officeDocument/2006/relationships/hyperlink" Target="http://www.england.nhs.uk/statistics/statistical-work-areas/bed-availability-and-occupancy/" TargetMode="External"/><Relationship Id="rId10" Type="http://schemas.openxmlformats.org/officeDocument/2006/relationships/hyperlink" Target="http://www.kingsfund.org.uk/publications/how-health-and-social-care-system-performing-february-2013" TargetMode="External"/><Relationship Id="rId19" Type="http://schemas.openxmlformats.org/officeDocument/2006/relationships/hyperlink" Target="http://www.ewin2.nhs.uk.boilerhousestudio.co.uk/news/item/2335/important-updates-to-iview-monthly-workforce-nhs-earnings-is-now-live-and-benchmark-organisation-grouping-changes"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ec.europa.eu/economy_finance/publications/publication_summary14911_en.htm" TargetMode="External"/><Relationship Id="rId22" Type="http://schemas.openxmlformats.org/officeDocument/2006/relationships/hyperlink" Target="http://www.nrls.npsa.nhs.uk/resources/?entryid45=135262" TargetMode="External"/><Relationship Id="rId27" Type="http://schemas.openxmlformats.org/officeDocument/2006/relationships/hyperlink" Target="http://www.england.nhs.uk/statistics/statistical-work-areas/delayed-transfers-of-care/" TargetMode="External"/><Relationship Id="rId3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5B337-5179-4CF2-9F9B-F3867F53E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95BCF844.dotm</Template>
  <TotalTime>1</TotalTime>
  <Pages>37</Pages>
  <Words>9146</Words>
  <Characters>52135</Characters>
  <Application>Microsoft Office Word</Application>
  <DocSecurity>4</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61159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Gaughan</dc:creator>
  <cp:lastModifiedBy>James Gaughan</cp:lastModifiedBy>
  <cp:revision>2</cp:revision>
  <cp:lastPrinted>2016-07-04T19:36:00Z</cp:lastPrinted>
  <dcterms:created xsi:type="dcterms:W3CDTF">2016-07-07T15:52:00Z</dcterms:created>
  <dcterms:modified xsi:type="dcterms:W3CDTF">2016-07-07T15:52:00Z</dcterms:modified>
</cp:coreProperties>
</file>