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029A1" w14:textId="77777777" w:rsidR="00622870" w:rsidRPr="006B426D" w:rsidRDefault="00622870" w:rsidP="00BD4EB5">
      <w:pPr>
        <w:spacing w:before="720" w:after="360" w:line="480" w:lineRule="auto"/>
        <w:rPr>
          <w:rFonts w:ascii="Times New Roman" w:eastAsia="Times New Roman" w:hAnsi="Times New Roman" w:cs="Times New Roman"/>
          <w:sz w:val="44"/>
          <w:szCs w:val="44"/>
        </w:rPr>
      </w:pPr>
      <w:r w:rsidRPr="006B426D">
        <w:rPr>
          <w:rFonts w:ascii="Times New Roman" w:eastAsia="Times New Roman" w:hAnsi="Times New Roman" w:cs="Times New Roman"/>
          <w:sz w:val="44"/>
          <w:szCs w:val="44"/>
        </w:rPr>
        <w:t xml:space="preserve">Statistical thermodynamics unveils the dissolution mechanism of cellobiose </w:t>
      </w:r>
    </w:p>
    <w:p w14:paraId="6FB9CD58" w14:textId="6BF2A486" w:rsidR="00622870" w:rsidRPr="006B426D" w:rsidRDefault="00622870" w:rsidP="00BD4EB5">
      <w:pPr>
        <w:spacing w:after="240" w:line="480" w:lineRule="auto"/>
        <w:jc w:val="center"/>
        <w:rPr>
          <w:rFonts w:ascii="Times" w:eastAsia="Times" w:hAnsi="Times" w:cs="Times"/>
          <w:i/>
          <w:sz w:val="24"/>
          <w:szCs w:val="24"/>
        </w:rPr>
      </w:pPr>
      <w:r w:rsidRPr="006B426D">
        <w:rPr>
          <w:rFonts w:ascii="Times" w:eastAsia="Times" w:hAnsi="Times" w:cs="Times"/>
          <w:i/>
          <w:sz w:val="24"/>
          <w:szCs w:val="24"/>
        </w:rPr>
        <w:t>Thomas W. J. Nicol,</w:t>
      </w:r>
      <w:r w:rsidRPr="006B426D">
        <w:rPr>
          <w:rFonts w:ascii="Times" w:eastAsia="Times" w:hAnsi="Times" w:cs="Times"/>
          <w:i/>
          <w:sz w:val="24"/>
          <w:szCs w:val="24"/>
          <w:vertAlign w:val="superscript"/>
        </w:rPr>
        <w:t>1</w:t>
      </w:r>
      <w:r w:rsidR="00193DF5" w:rsidRPr="006B426D">
        <w:rPr>
          <w:rFonts w:ascii="Times" w:eastAsia="Times" w:hAnsi="Times" w:cs="Times"/>
          <w:i/>
          <w:sz w:val="24"/>
          <w:szCs w:val="24"/>
          <w:vertAlign w:val="superscript"/>
        </w:rPr>
        <w:t>,2</w:t>
      </w:r>
      <w:r w:rsidRPr="006B426D">
        <w:rPr>
          <w:rFonts w:ascii="Times" w:eastAsia="Times" w:hAnsi="Times" w:cs="Times"/>
          <w:i/>
          <w:sz w:val="24"/>
          <w:szCs w:val="24"/>
        </w:rPr>
        <w:t xml:space="preserve"> Noriyuki Isobe,</w:t>
      </w:r>
      <w:r w:rsidR="00193DF5" w:rsidRPr="006B426D">
        <w:rPr>
          <w:rFonts w:ascii="Times" w:eastAsia="Times" w:hAnsi="Times" w:cs="Times"/>
          <w:i/>
          <w:sz w:val="24"/>
          <w:szCs w:val="24"/>
          <w:vertAlign w:val="superscript"/>
        </w:rPr>
        <w:t>3</w:t>
      </w:r>
      <w:r w:rsidRPr="006B426D">
        <w:rPr>
          <w:rFonts w:ascii="Times" w:eastAsia="Times" w:hAnsi="Times" w:cs="Times"/>
          <w:i/>
          <w:sz w:val="24"/>
          <w:szCs w:val="24"/>
          <w:vertAlign w:val="superscript"/>
        </w:rPr>
        <w:t>,*</w:t>
      </w:r>
      <w:r w:rsidRPr="006B426D">
        <w:rPr>
          <w:rFonts w:ascii="Times" w:eastAsia="Times" w:hAnsi="Times" w:cs="Times"/>
          <w:i/>
          <w:sz w:val="24"/>
          <w:szCs w:val="24"/>
        </w:rPr>
        <w:t xml:space="preserve"> James H. Clark,</w:t>
      </w:r>
      <w:r w:rsidR="00193DF5" w:rsidRPr="006B426D">
        <w:rPr>
          <w:rFonts w:ascii="Times" w:eastAsia="Times" w:hAnsi="Times" w:cs="Times"/>
          <w:i/>
          <w:sz w:val="24"/>
          <w:szCs w:val="24"/>
          <w:vertAlign w:val="superscript"/>
        </w:rPr>
        <w:t>2</w:t>
      </w:r>
      <w:r w:rsidRPr="006B426D">
        <w:rPr>
          <w:rFonts w:ascii="Times" w:eastAsia="Times" w:hAnsi="Times" w:cs="Times"/>
          <w:i/>
          <w:sz w:val="24"/>
          <w:szCs w:val="24"/>
        </w:rPr>
        <w:t xml:space="preserve"> and Seishi Shimizu</w:t>
      </w:r>
      <w:r w:rsidRPr="006B426D">
        <w:rPr>
          <w:rFonts w:ascii="Times" w:eastAsia="Times" w:hAnsi="Times" w:cs="Times"/>
          <w:i/>
          <w:sz w:val="24"/>
          <w:szCs w:val="24"/>
          <w:vertAlign w:val="superscript"/>
        </w:rPr>
        <w:t>1,*</w:t>
      </w:r>
    </w:p>
    <w:p w14:paraId="156B55DC" w14:textId="0CE8BCF3" w:rsidR="00D73D33" w:rsidRPr="006B426D" w:rsidRDefault="00622870" w:rsidP="00D73D33">
      <w:pPr>
        <w:spacing w:after="240" w:line="480" w:lineRule="auto"/>
        <w:rPr>
          <w:rFonts w:ascii="Times" w:eastAsia="Times" w:hAnsi="Times" w:cs="Times"/>
          <w:sz w:val="24"/>
          <w:szCs w:val="24"/>
        </w:rPr>
      </w:pPr>
      <w:r w:rsidRPr="006B426D">
        <w:rPr>
          <w:rFonts w:ascii="Times" w:eastAsia="Times" w:hAnsi="Times" w:cs="Times"/>
          <w:sz w:val="24"/>
          <w:szCs w:val="24"/>
          <w:vertAlign w:val="superscript"/>
        </w:rPr>
        <w:t>1</w:t>
      </w:r>
      <w:r w:rsidRPr="006B426D">
        <w:rPr>
          <w:rFonts w:ascii="Times" w:eastAsia="Times" w:hAnsi="Times" w:cs="Times"/>
          <w:sz w:val="24"/>
          <w:szCs w:val="24"/>
        </w:rPr>
        <w:t>York Structural Biology Laboratory, Department of Chemistry, University of York, Heslington, York YO10 5DD, United Kingdom</w:t>
      </w:r>
    </w:p>
    <w:p w14:paraId="57A56F85" w14:textId="3EC3018D" w:rsidR="00193DF5" w:rsidRPr="006B426D" w:rsidRDefault="00193DF5" w:rsidP="00D73D33">
      <w:pPr>
        <w:spacing w:after="240" w:line="480" w:lineRule="auto"/>
        <w:rPr>
          <w:rFonts w:ascii="Times" w:eastAsia="Times" w:hAnsi="Times" w:cs="Times"/>
          <w:sz w:val="24"/>
          <w:szCs w:val="24"/>
        </w:rPr>
      </w:pPr>
      <w:r w:rsidRPr="006B426D">
        <w:rPr>
          <w:rFonts w:ascii="Times" w:eastAsia="Times" w:hAnsi="Times" w:cs="Times"/>
          <w:sz w:val="24"/>
          <w:szCs w:val="24"/>
          <w:vertAlign w:val="superscript"/>
        </w:rPr>
        <w:t>2</w:t>
      </w:r>
      <w:r w:rsidRPr="006B426D">
        <w:rPr>
          <w:rFonts w:ascii="Times" w:eastAsia="Times" w:hAnsi="Times" w:cs="Times"/>
          <w:sz w:val="24"/>
          <w:szCs w:val="24"/>
        </w:rPr>
        <w:t>Green Chemistry Centre of Excellence, Department of Chemistry, University of York, Heslington, York YO10 5DD, United Kingdom</w:t>
      </w:r>
    </w:p>
    <w:p w14:paraId="12054DC5" w14:textId="02A3E638" w:rsidR="00546DC0" w:rsidRPr="006B426D" w:rsidRDefault="00193DF5" w:rsidP="00D73D33">
      <w:pPr>
        <w:spacing w:after="240" w:line="480" w:lineRule="auto"/>
        <w:rPr>
          <w:rFonts w:ascii="Times" w:hAnsi="Times" w:cs="Times"/>
          <w:color w:val="auto"/>
          <w:sz w:val="28"/>
          <w:szCs w:val="24"/>
          <w:lang w:val="en-US"/>
        </w:rPr>
      </w:pPr>
      <w:r w:rsidRPr="006B426D">
        <w:rPr>
          <w:rFonts w:ascii="Times" w:eastAsia="Times" w:hAnsi="Times" w:cs="Times"/>
          <w:sz w:val="24"/>
          <w:szCs w:val="24"/>
          <w:vertAlign w:val="superscript"/>
        </w:rPr>
        <w:t>3</w:t>
      </w:r>
      <w:r w:rsidR="00546DC0" w:rsidRPr="006B426D">
        <w:rPr>
          <w:rFonts w:ascii="Times" w:hAnsi="Times" w:cs="Times"/>
          <w:color w:val="auto"/>
          <w:sz w:val="24"/>
          <w:lang w:val="en-US"/>
        </w:rPr>
        <w:t>Japan Agency for Marine-Earth Science and Technology (JAMSTEC), 2-15 Natsushima-cho, Yokosuka, Kanagawa, 237-0061, Japan</w:t>
      </w:r>
    </w:p>
    <w:p w14:paraId="3A315980" w14:textId="77777777" w:rsidR="00622870" w:rsidRPr="006B426D" w:rsidRDefault="00622870" w:rsidP="00BD4EB5">
      <w:pPr>
        <w:spacing w:after="0" w:line="480" w:lineRule="auto"/>
        <w:rPr>
          <w:rFonts w:ascii="Times" w:eastAsia="Times" w:hAnsi="Times" w:cs="Times"/>
          <w:b/>
          <w:sz w:val="24"/>
          <w:szCs w:val="24"/>
        </w:rPr>
      </w:pPr>
      <w:r w:rsidRPr="006B426D">
        <w:rPr>
          <w:rFonts w:ascii="Times" w:eastAsia="Times" w:hAnsi="Times" w:cs="Times"/>
          <w:b/>
          <w:sz w:val="24"/>
          <w:szCs w:val="24"/>
        </w:rPr>
        <w:t xml:space="preserve">Corresponding Authors: </w:t>
      </w:r>
    </w:p>
    <w:p w14:paraId="12434CA2" w14:textId="77777777" w:rsidR="00622870" w:rsidRPr="006B426D" w:rsidRDefault="00622870" w:rsidP="00BD4EB5">
      <w:pPr>
        <w:spacing w:after="0" w:line="480" w:lineRule="auto"/>
        <w:rPr>
          <w:rFonts w:ascii="Times" w:eastAsia="Times" w:hAnsi="Times" w:cs="Times"/>
          <w:sz w:val="24"/>
          <w:szCs w:val="24"/>
        </w:rPr>
      </w:pPr>
      <w:r w:rsidRPr="006B426D">
        <w:rPr>
          <w:rFonts w:ascii="Times" w:eastAsia="Times" w:hAnsi="Times" w:cs="Times"/>
          <w:sz w:val="24"/>
          <w:szCs w:val="24"/>
        </w:rPr>
        <w:t xml:space="preserve">Seishi Shimizu </w:t>
      </w:r>
    </w:p>
    <w:p w14:paraId="2765F6AB" w14:textId="77777777" w:rsidR="005B472C" w:rsidRPr="006B426D" w:rsidRDefault="00622870" w:rsidP="00BD4EB5">
      <w:pPr>
        <w:spacing w:after="200" w:line="480" w:lineRule="auto"/>
        <w:jc w:val="both"/>
        <w:rPr>
          <w:rFonts w:ascii="Times" w:eastAsia="Times" w:hAnsi="Times" w:cs="Times"/>
          <w:sz w:val="24"/>
          <w:szCs w:val="24"/>
        </w:rPr>
      </w:pPr>
      <w:r w:rsidRPr="006B426D">
        <w:rPr>
          <w:rFonts w:ascii="Times" w:eastAsia="Times" w:hAnsi="Times" w:cs="Times"/>
          <w:sz w:val="24"/>
          <w:szCs w:val="24"/>
        </w:rPr>
        <w:t>York Structural Biology Laboratory, Department of Chemistry, University of York, Heslington, York YO10 5DD, United Kingdom</w:t>
      </w:r>
    </w:p>
    <w:p w14:paraId="2E783A3C" w14:textId="0C650BCB" w:rsidR="00D73D33" w:rsidRPr="006B426D" w:rsidRDefault="00622870" w:rsidP="00BD4EB5">
      <w:pPr>
        <w:spacing w:after="200" w:line="480" w:lineRule="auto"/>
        <w:jc w:val="both"/>
        <w:rPr>
          <w:rFonts w:ascii="Times" w:eastAsia="Times" w:hAnsi="Times" w:cs="Times"/>
          <w:sz w:val="24"/>
          <w:szCs w:val="24"/>
        </w:rPr>
      </w:pPr>
      <w:r w:rsidRPr="006B426D">
        <w:rPr>
          <w:rFonts w:ascii="Times" w:eastAsia="Times" w:hAnsi="Times" w:cs="Times"/>
          <w:sz w:val="24"/>
          <w:szCs w:val="24"/>
        </w:rPr>
        <w:t xml:space="preserve">Tel: +44 1904 328281, Fax: +44 1904 328281, Email: </w:t>
      </w:r>
      <w:r w:rsidR="00D73D33" w:rsidRPr="006B426D">
        <w:rPr>
          <w:rFonts w:ascii="Times" w:eastAsia="Times" w:hAnsi="Times" w:cs="Times"/>
          <w:sz w:val="24"/>
          <w:szCs w:val="24"/>
        </w:rPr>
        <w:t>seishi.shimizu@york.ac.uk</w:t>
      </w:r>
    </w:p>
    <w:p w14:paraId="38FC32E9" w14:textId="4FF386B8" w:rsidR="00546DC0" w:rsidRPr="006B426D" w:rsidRDefault="00546DC0" w:rsidP="00BD4EB5">
      <w:pPr>
        <w:spacing w:after="0" w:line="480" w:lineRule="auto"/>
        <w:jc w:val="both"/>
        <w:rPr>
          <w:rFonts w:ascii="Times" w:eastAsia="Times" w:hAnsi="Times" w:cs="Times"/>
          <w:sz w:val="24"/>
          <w:szCs w:val="24"/>
        </w:rPr>
      </w:pPr>
      <w:r w:rsidRPr="006B426D">
        <w:rPr>
          <w:rFonts w:ascii="Times" w:eastAsia="Times" w:hAnsi="Times" w:cs="Times"/>
          <w:sz w:val="24"/>
          <w:szCs w:val="24"/>
        </w:rPr>
        <w:t>Noriyuki Isobe</w:t>
      </w:r>
    </w:p>
    <w:p w14:paraId="5C48F388" w14:textId="77777777" w:rsidR="005B472C" w:rsidRPr="006B426D" w:rsidRDefault="00546DC0" w:rsidP="005B472C">
      <w:pPr>
        <w:spacing w:after="0" w:line="480" w:lineRule="auto"/>
        <w:jc w:val="both"/>
        <w:rPr>
          <w:rFonts w:ascii="Times" w:eastAsia="Times" w:hAnsi="Times" w:cs="Times"/>
          <w:sz w:val="24"/>
          <w:szCs w:val="24"/>
        </w:rPr>
      </w:pPr>
      <w:r w:rsidRPr="006B426D">
        <w:rPr>
          <w:rFonts w:ascii="Times" w:hAnsi="Times" w:cs="Times"/>
          <w:color w:val="auto"/>
          <w:sz w:val="24"/>
          <w:lang w:val="en-US"/>
        </w:rPr>
        <w:t>Japan Agency for Marine-Earth Science and Technology (JAMSTEC), 2-15 Natsushima-cho, Yokosuka, Kanagawa, 237-0061, Japan</w:t>
      </w:r>
    </w:p>
    <w:p w14:paraId="4FACDAA6" w14:textId="79F36F55" w:rsidR="00546DC0" w:rsidRPr="006B426D" w:rsidRDefault="00546DC0" w:rsidP="005B472C">
      <w:pPr>
        <w:spacing w:after="0" w:line="480" w:lineRule="auto"/>
        <w:jc w:val="both"/>
        <w:rPr>
          <w:rFonts w:ascii="Times" w:eastAsia="Times" w:hAnsi="Times" w:cs="Times"/>
          <w:sz w:val="24"/>
          <w:szCs w:val="24"/>
        </w:rPr>
      </w:pPr>
      <w:r w:rsidRPr="006B426D">
        <w:rPr>
          <w:rFonts w:ascii="Times" w:eastAsia="Times" w:hAnsi="Times" w:cs="Times"/>
          <w:sz w:val="24"/>
          <w:szCs w:val="24"/>
        </w:rPr>
        <w:t xml:space="preserve">Tel: +81 46 867 9674 , Fax: +81 46 867 9715, Email: </w:t>
      </w:r>
      <w:r w:rsidR="00D73D33" w:rsidRPr="006B426D">
        <w:rPr>
          <w:rFonts w:ascii="Times" w:eastAsia="Times" w:hAnsi="Times" w:cs="Times"/>
          <w:sz w:val="24"/>
          <w:szCs w:val="24"/>
        </w:rPr>
        <w:t>isoben@jamstec.go.jp</w:t>
      </w:r>
    </w:p>
    <w:p w14:paraId="6A3FC612" w14:textId="77777777" w:rsidR="00D73D33" w:rsidRPr="006B426D" w:rsidRDefault="00D73D33" w:rsidP="00BD4EB5">
      <w:pPr>
        <w:spacing w:after="200" w:line="480" w:lineRule="auto"/>
        <w:jc w:val="both"/>
        <w:rPr>
          <w:rFonts w:ascii="Times" w:eastAsia="Times" w:hAnsi="Times" w:cs="Times"/>
          <w:sz w:val="24"/>
          <w:szCs w:val="24"/>
          <w:u w:val="single"/>
        </w:rPr>
      </w:pPr>
    </w:p>
    <w:p w14:paraId="27F5488E" w14:textId="5A1F4C4C" w:rsidR="00BD783C" w:rsidRPr="006B426D" w:rsidRDefault="00BD783C" w:rsidP="00BD4EB5">
      <w:pPr>
        <w:spacing w:after="0" w:line="480" w:lineRule="auto"/>
        <w:jc w:val="both"/>
        <w:rPr>
          <w:rFonts w:ascii="Times" w:eastAsia="Times" w:hAnsi="Times" w:cs="Times"/>
          <w:b/>
          <w:sz w:val="24"/>
          <w:szCs w:val="24"/>
        </w:rPr>
      </w:pPr>
    </w:p>
    <w:p w14:paraId="5B1D0CB0" w14:textId="07ED34C0" w:rsidR="00622870" w:rsidRPr="006B426D" w:rsidRDefault="00622870" w:rsidP="00BD4EB5">
      <w:pPr>
        <w:spacing w:after="0" w:line="480" w:lineRule="auto"/>
        <w:jc w:val="both"/>
        <w:rPr>
          <w:rFonts w:ascii="Times" w:eastAsia="Times" w:hAnsi="Times" w:cs="Times"/>
          <w:b/>
          <w:sz w:val="24"/>
          <w:szCs w:val="24"/>
        </w:rPr>
      </w:pPr>
      <w:r w:rsidRPr="006B426D">
        <w:rPr>
          <w:rFonts w:ascii="Times" w:eastAsia="Times" w:hAnsi="Times" w:cs="Times"/>
          <w:b/>
          <w:sz w:val="24"/>
          <w:szCs w:val="24"/>
        </w:rPr>
        <w:t>Abstract</w:t>
      </w:r>
    </w:p>
    <w:p w14:paraId="75CEB596" w14:textId="77777777" w:rsidR="005B472C" w:rsidRPr="006B426D" w:rsidRDefault="005B472C" w:rsidP="00BD4EB5">
      <w:pPr>
        <w:spacing w:after="0" w:line="480" w:lineRule="auto"/>
        <w:jc w:val="both"/>
        <w:rPr>
          <w:rFonts w:ascii="Times" w:eastAsia="Times" w:hAnsi="Times" w:cs="Times"/>
          <w:sz w:val="24"/>
          <w:szCs w:val="24"/>
        </w:rPr>
      </w:pPr>
    </w:p>
    <w:p w14:paraId="320D4FF7" w14:textId="1817D746" w:rsidR="00BD783C" w:rsidRPr="006B426D" w:rsidRDefault="00BD783C" w:rsidP="00BD4EB5">
      <w:pPr>
        <w:spacing w:after="0" w:line="480" w:lineRule="auto"/>
        <w:jc w:val="both"/>
        <w:rPr>
          <w:rFonts w:ascii="Times" w:eastAsia="Times" w:hAnsi="Times" w:cs="Times"/>
          <w:sz w:val="24"/>
          <w:szCs w:val="24"/>
        </w:rPr>
      </w:pPr>
      <w:r w:rsidRPr="006B426D">
        <w:rPr>
          <w:rFonts w:ascii="Times" w:eastAsia="Times" w:hAnsi="Times" w:cs="Times"/>
          <w:sz w:val="24"/>
          <w:szCs w:val="24"/>
        </w:rPr>
        <w:t xml:space="preserve">In the study of the cellulose dissolution mechanism opinion is still divided. </w:t>
      </w:r>
      <w:r w:rsidR="00B12114" w:rsidRPr="006B426D">
        <w:rPr>
          <w:rFonts w:ascii="Times" w:eastAsia="Times" w:hAnsi="Times" w:cs="Times"/>
          <w:sz w:val="24"/>
          <w:szCs w:val="24"/>
        </w:rPr>
        <w:t>Here, t</w:t>
      </w:r>
      <w:r w:rsidRPr="006B426D">
        <w:rPr>
          <w:rFonts w:ascii="Times" w:eastAsia="Times" w:hAnsi="Times" w:cs="Times"/>
          <w:sz w:val="24"/>
          <w:szCs w:val="24"/>
        </w:rPr>
        <w:t>he solution interaction component</w:t>
      </w:r>
      <w:r w:rsidR="00B12114" w:rsidRPr="006B426D">
        <w:rPr>
          <w:rFonts w:ascii="Times" w:eastAsia="Times" w:hAnsi="Times" w:cs="Times"/>
          <w:sz w:val="24"/>
          <w:szCs w:val="24"/>
        </w:rPr>
        <w:t>s</w:t>
      </w:r>
      <w:r w:rsidRPr="006B426D">
        <w:rPr>
          <w:rFonts w:ascii="Times" w:eastAsia="Times" w:hAnsi="Times" w:cs="Times"/>
          <w:sz w:val="24"/>
          <w:szCs w:val="24"/>
        </w:rPr>
        <w:t xml:space="preserve"> of the most prominent hypotheses for the driving fo</w:t>
      </w:r>
      <w:r w:rsidR="00203AA1" w:rsidRPr="006B426D">
        <w:rPr>
          <w:rFonts w:ascii="Times" w:eastAsia="Times" w:hAnsi="Times" w:cs="Times"/>
          <w:sz w:val="24"/>
          <w:szCs w:val="24"/>
        </w:rPr>
        <w:t>rce of cellulose dissolution</w:t>
      </w:r>
      <w:r w:rsidR="00B12114" w:rsidRPr="006B426D">
        <w:rPr>
          <w:rFonts w:ascii="Times" w:eastAsia="Times" w:hAnsi="Times" w:cs="Times"/>
          <w:sz w:val="24"/>
          <w:szCs w:val="24"/>
        </w:rPr>
        <w:t xml:space="preserve"> were</w:t>
      </w:r>
      <w:r w:rsidRPr="006B426D">
        <w:rPr>
          <w:rFonts w:ascii="Times" w:eastAsia="Times" w:hAnsi="Times" w:cs="Times"/>
          <w:sz w:val="24"/>
          <w:szCs w:val="24"/>
        </w:rPr>
        <w:t xml:space="preserve"> </w:t>
      </w:r>
      <w:r w:rsidR="00B12114" w:rsidRPr="006B426D">
        <w:rPr>
          <w:rFonts w:ascii="Times" w:eastAsia="Times" w:hAnsi="Times" w:cs="Times"/>
          <w:sz w:val="24"/>
          <w:szCs w:val="24"/>
        </w:rPr>
        <w:t>evaluated quantitatively</w:t>
      </w:r>
      <w:r w:rsidRPr="006B426D">
        <w:rPr>
          <w:rFonts w:ascii="Times" w:eastAsia="Times" w:hAnsi="Times" w:cs="Times"/>
          <w:sz w:val="24"/>
          <w:szCs w:val="24"/>
        </w:rPr>
        <w:t xml:space="preserve">. </w:t>
      </w:r>
      <w:r w:rsidR="00D1736B" w:rsidRPr="006B426D">
        <w:rPr>
          <w:rFonts w:ascii="Times" w:hAnsi="Times" w:cs="Times"/>
          <w:sz w:val="24"/>
          <w:szCs w:val="24"/>
        </w:rPr>
        <w:t>Combining a rigorous statistical thermodynamic theory and cellobiose solubility data in the presence of chloride salts, whose cations progress in the Hofmeister series</w:t>
      </w:r>
      <w:r w:rsidR="00D1736B" w:rsidRPr="006B426D">
        <w:rPr>
          <w:rFonts w:ascii="Times" w:eastAsia="Times" w:hAnsi="Times" w:cs="Times"/>
          <w:sz w:val="24"/>
          <w:szCs w:val="24"/>
        </w:rPr>
        <w:t xml:space="preserve"> (KCl, NaCl, LiCl and ZnCl</w:t>
      </w:r>
      <w:r w:rsidR="00D1736B" w:rsidRPr="006B426D">
        <w:rPr>
          <w:rFonts w:ascii="Times" w:eastAsia="Times" w:hAnsi="Times" w:cs="Times"/>
          <w:sz w:val="24"/>
          <w:szCs w:val="24"/>
          <w:vertAlign w:val="subscript"/>
        </w:rPr>
        <w:t>2</w:t>
      </w:r>
      <w:r w:rsidR="00D1736B" w:rsidRPr="006B426D">
        <w:rPr>
          <w:rFonts w:ascii="Times" w:eastAsia="Times" w:hAnsi="Times" w:cs="Times"/>
          <w:sz w:val="24"/>
          <w:szCs w:val="24"/>
        </w:rPr>
        <w:t>),</w:t>
      </w:r>
      <w:r w:rsidR="00D1736B" w:rsidRPr="006B426D">
        <w:rPr>
          <w:rFonts w:ascii="Times" w:hAnsi="Times" w:cs="Times"/>
          <w:sz w:val="24"/>
          <w:szCs w:val="24"/>
        </w:rPr>
        <w:t xml:space="preserve"> we have shown that cellobiose solubilization is driven by the preferential accumulation of salts around the solutes which is stronger than cellobiose hydration. Yet contrary to the classical chaotropy hypothesis, increasing salt concentration leads to cellobiose dehydration in the presence of the strongest solubilizer ZnCl</w:t>
      </w:r>
      <w:r w:rsidR="00D1736B" w:rsidRPr="006B426D">
        <w:rPr>
          <w:rFonts w:ascii="Times" w:hAnsi="Times" w:cs="Times"/>
          <w:sz w:val="24"/>
          <w:szCs w:val="24"/>
          <w:vertAlign w:val="subscript"/>
        </w:rPr>
        <w:t>2</w:t>
      </w:r>
      <w:r w:rsidR="00D1736B" w:rsidRPr="006B426D">
        <w:rPr>
          <w:rFonts w:ascii="Times" w:hAnsi="Times" w:cs="Times"/>
          <w:sz w:val="24"/>
          <w:szCs w:val="24"/>
        </w:rPr>
        <w:t>. However, thanks</w:t>
      </w:r>
      <w:r w:rsidR="00D96830" w:rsidRPr="006B426D">
        <w:rPr>
          <w:rFonts w:ascii="Times" w:hAnsi="Times" w:cs="Times"/>
          <w:sz w:val="24"/>
          <w:szCs w:val="24"/>
        </w:rPr>
        <w:t xml:space="preserve"> to cellobiose dehydration</w:t>
      </w:r>
      <w:r w:rsidR="00D75C7B" w:rsidRPr="006B426D">
        <w:rPr>
          <w:rFonts w:ascii="Times" w:hAnsi="Times" w:cs="Times"/>
          <w:sz w:val="24"/>
          <w:szCs w:val="24"/>
        </w:rPr>
        <w:t>,</w:t>
      </w:r>
      <w:r w:rsidR="00D96830" w:rsidRPr="006B426D">
        <w:rPr>
          <w:rFonts w:ascii="Times" w:hAnsi="Times" w:cs="Times"/>
          <w:sz w:val="24"/>
          <w:szCs w:val="24"/>
        </w:rPr>
        <w:t xml:space="preserve"> cello</w:t>
      </w:r>
      <w:r w:rsidR="00D1736B" w:rsidRPr="006B426D">
        <w:rPr>
          <w:rFonts w:ascii="Times" w:hAnsi="Times" w:cs="Times"/>
          <w:sz w:val="24"/>
          <w:szCs w:val="24"/>
        </w:rPr>
        <w:t xml:space="preserve">biose-salt interaction still remains preferential despite weakening salt accumulation. </w:t>
      </w:r>
      <w:r w:rsidR="00800FC8" w:rsidRPr="006B426D">
        <w:rPr>
          <w:rFonts w:ascii="Times" w:eastAsia="Times New Roman" w:hAnsi="Times" w:cs="Times"/>
          <w:sz w:val="24"/>
          <w:szCs w:val="24"/>
          <w:lang w:eastAsia="en-GB"/>
        </w:rPr>
        <w:t>Based on such insights, the previous hypotheses based on</w:t>
      </w:r>
      <w:r w:rsidR="008B4910" w:rsidRPr="006B426D">
        <w:rPr>
          <w:rFonts w:ascii="Times" w:eastAsia="Times New Roman" w:hAnsi="Times" w:cs="Times"/>
          <w:sz w:val="24"/>
          <w:szCs w:val="24"/>
          <w:lang w:eastAsia="en-GB"/>
        </w:rPr>
        <w:t xml:space="preserve"> hydrophobic</w:t>
      </w:r>
      <w:r w:rsidR="00800FC8" w:rsidRPr="006B426D">
        <w:rPr>
          <w:rFonts w:ascii="Times" w:eastAsia="Times New Roman" w:hAnsi="Times" w:cs="Times"/>
          <w:sz w:val="24"/>
          <w:szCs w:val="24"/>
          <w:lang w:eastAsia="en-GB"/>
        </w:rPr>
        <w:t>ity</w:t>
      </w:r>
      <w:r w:rsidR="008B4910" w:rsidRPr="006B426D">
        <w:rPr>
          <w:rFonts w:ascii="Times" w:eastAsia="Times New Roman" w:hAnsi="Times" w:cs="Times"/>
          <w:sz w:val="24"/>
          <w:szCs w:val="24"/>
          <w:lang w:eastAsia="en-GB"/>
        </w:rPr>
        <w:t xml:space="preserve"> and polymer chargin</w:t>
      </w:r>
      <w:r w:rsidR="00800FC8" w:rsidRPr="006B426D">
        <w:rPr>
          <w:rFonts w:ascii="Times" w:eastAsia="Times New Roman" w:hAnsi="Times" w:cs="Times"/>
          <w:sz w:val="24"/>
          <w:szCs w:val="24"/>
          <w:lang w:eastAsia="en-GB"/>
        </w:rPr>
        <w:t xml:space="preserve">g have also been evaluated quantitatively. </w:t>
      </w:r>
      <w:r w:rsidR="008B4910" w:rsidRPr="006B426D">
        <w:rPr>
          <w:rFonts w:ascii="Times" w:hAnsi="Times" w:cs="Times"/>
          <w:sz w:val="24"/>
          <w:szCs w:val="24"/>
        </w:rPr>
        <w:t>Thus,</w:t>
      </w:r>
      <w:r w:rsidR="00D1736B" w:rsidRPr="006B426D">
        <w:rPr>
          <w:rFonts w:ascii="Times" w:hAnsi="Times" w:cs="Times"/>
          <w:sz w:val="24"/>
          <w:szCs w:val="24"/>
        </w:rPr>
        <w:t xml:space="preserve"> our present study successfully paved a way towards identifying the basic driving forces for cellulose solubilization in a quantitative manner for the first time. </w:t>
      </w:r>
      <w:r w:rsidR="00203AA1" w:rsidRPr="006B426D">
        <w:rPr>
          <w:rFonts w:ascii="Times" w:eastAsia="Times New Roman" w:hAnsi="Times" w:cs="Times"/>
          <w:sz w:val="24"/>
          <w:szCs w:val="24"/>
          <w:lang w:eastAsia="en-GB"/>
        </w:rPr>
        <w:t>When combined with unit additivity</w:t>
      </w:r>
      <w:r w:rsidR="00E52739" w:rsidRPr="006B426D">
        <w:rPr>
          <w:rFonts w:ascii="Times" w:eastAsia="Times New Roman" w:hAnsi="Times" w:cs="Times"/>
          <w:sz w:val="24"/>
          <w:szCs w:val="24"/>
          <w:lang w:eastAsia="en-GB"/>
        </w:rPr>
        <w:t xml:space="preserve"> </w:t>
      </w:r>
      <w:r w:rsidR="00203AA1" w:rsidRPr="006B426D">
        <w:rPr>
          <w:rFonts w:ascii="Times" w:eastAsia="Times New Roman" w:hAnsi="Times" w:cs="Times"/>
          <w:sz w:val="24"/>
          <w:szCs w:val="24"/>
          <w:lang w:eastAsia="en-GB"/>
        </w:rPr>
        <w:t xml:space="preserve">methods this quantitative information can lead to a full understanding of cellulose solubility. </w:t>
      </w:r>
    </w:p>
    <w:p w14:paraId="047CB33A" w14:textId="77777777" w:rsidR="00622870" w:rsidRPr="006B426D" w:rsidRDefault="00622870" w:rsidP="00BD4EB5">
      <w:pPr>
        <w:spacing w:after="0" w:line="480" w:lineRule="auto"/>
        <w:jc w:val="both"/>
        <w:rPr>
          <w:rFonts w:ascii="Times" w:eastAsia="Times" w:hAnsi="Times" w:cs="Times"/>
          <w:b/>
          <w:sz w:val="24"/>
          <w:szCs w:val="24"/>
        </w:rPr>
      </w:pPr>
    </w:p>
    <w:p w14:paraId="3ACF5D3D" w14:textId="77777777" w:rsidR="00B90C17" w:rsidRPr="006B426D" w:rsidRDefault="00B90C17" w:rsidP="00BD4EB5">
      <w:pPr>
        <w:spacing w:after="0" w:line="480" w:lineRule="auto"/>
        <w:jc w:val="both"/>
        <w:rPr>
          <w:rFonts w:ascii="Times" w:eastAsia="Times" w:hAnsi="Times" w:cs="Times"/>
          <w:b/>
          <w:sz w:val="24"/>
          <w:szCs w:val="24"/>
        </w:rPr>
      </w:pPr>
    </w:p>
    <w:p w14:paraId="35183A8E" w14:textId="1723299F" w:rsidR="00B90C17" w:rsidRPr="006B426D" w:rsidRDefault="00B90C17" w:rsidP="00BD4EB5">
      <w:pPr>
        <w:pStyle w:val="ListParagraph"/>
        <w:numPr>
          <w:ilvl w:val="0"/>
          <w:numId w:val="7"/>
        </w:numPr>
        <w:spacing w:after="0" w:line="480" w:lineRule="auto"/>
        <w:jc w:val="both"/>
        <w:rPr>
          <w:rFonts w:ascii="Times" w:eastAsia="Times" w:hAnsi="Times" w:cs="Times"/>
          <w:b/>
          <w:sz w:val="24"/>
          <w:szCs w:val="24"/>
        </w:rPr>
      </w:pPr>
      <w:r w:rsidRPr="006B426D">
        <w:rPr>
          <w:rFonts w:ascii="Times" w:eastAsia="Times" w:hAnsi="Times" w:cs="Times"/>
          <w:b/>
          <w:sz w:val="24"/>
          <w:szCs w:val="24"/>
        </w:rPr>
        <w:t>Introduction</w:t>
      </w:r>
    </w:p>
    <w:p w14:paraId="3B007468" w14:textId="77777777" w:rsidR="00B90C17" w:rsidRPr="006B426D" w:rsidRDefault="00B90C17" w:rsidP="00BD4EB5">
      <w:pPr>
        <w:spacing w:after="0" w:line="480" w:lineRule="auto"/>
        <w:ind w:left="360"/>
        <w:jc w:val="both"/>
        <w:rPr>
          <w:rFonts w:ascii="Times" w:eastAsia="Times" w:hAnsi="Times" w:cs="Times"/>
          <w:b/>
          <w:sz w:val="24"/>
          <w:szCs w:val="24"/>
        </w:rPr>
      </w:pPr>
    </w:p>
    <w:p w14:paraId="5A7F7BF8" w14:textId="445A3194" w:rsidR="00B90C17" w:rsidRPr="006B426D" w:rsidRDefault="00B90C17" w:rsidP="005B472C">
      <w:pPr>
        <w:pStyle w:val="TAMainText"/>
        <w:ind w:firstLine="0"/>
      </w:pPr>
      <w:r w:rsidRPr="006B426D">
        <w:t>The most abundant biomass on Earth, cellulose, is not soluble in conventional mono-component solvent such as water, alcohol and hydrocarbons. The dissolution of cellulose requires additional components, namely co-solvents</w:t>
      </w:r>
      <w:r w:rsidR="00D75C7B" w:rsidRPr="006B426D">
        <w:t>,</w:t>
      </w:r>
      <w:r w:rsidRPr="006B426D">
        <w:t xml:space="preserve"> as well as specific thermal conditions: Aqueous 2M alkali solution below 5°C,</w:t>
      </w:r>
      <w:r w:rsidR="00054845" w:rsidRPr="006B426D">
        <w:rPr>
          <w:noProof/>
          <w:vertAlign w:val="superscript"/>
        </w:rPr>
        <w:t>1,2</w:t>
      </w:r>
      <w:r w:rsidRPr="006B426D">
        <w:t xml:space="preserve"> aqueous 7M lithium bromide solution above 120°C,</w:t>
      </w:r>
      <w:r w:rsidR="00054845" w:rsidRPr="006B426D">
        <w:t xml:space="preserve"> </w:t>
      </w:r>
      <w:r w:rsidR="00054845" w:rsidRPr="006B426D">
        <w:rPr>
          <w:noProof/>
          <w:vertAlign w:val="superscript"/>
        </w:rPr>
        <w:t>3</w:t>
      </w:r>
      <w:r w:rsidRPr="006B426D">
        <w:t xml:space="preserve"> and 8% lithium chloride in dimet</w:t>
      </w:r>
      <w:r w:rsidR="00EC7EE6" w:rsidRPr="006B426D">
        <w:t>h</w:t>
      </w:r>
      <w:r w:rsidRPr="006B426D">
        <w:t>ylacetamide solution below 4°C  are the typical examples.</w:t>
      </w:r>
      <w:r w:rsidR="00054845" w:rsidRPr="006B426D">
        <w:rPr>
          <w:noProof/>
          <w:vertAlign w:val="superscript"/>
        </w:rPr>
        <w:t>4</w:t>
      </w:r>
      <w:r w:rsidRPr="006B426D">
        <w:t xml:space="preserve"> The origin of such a wide variety of optimal conditions, "heat or cold" and compositions "aqueous or non-aqueous", has been an unanswered question, hindered by a lack of explicit explanation on how cellulose molecule dissolves into solvents on a molecular scale.</w:t>
      </w:r>
    </w:p>
    <w:p w14:paraId="53E3A0D7" w14:textId="77777777" w:rsidR="00B90C17" w:rsidRPr="006B426D" w:rsidRDefault="00B90C17" w:rsidP="00BD4EB5">
      <w:pPr>
        <w:spacing w:after="0" w:line="480" w:lineRule="auto"/>
        <w:jc w:val="both"/>
        <w:rPr>
          <w:rFonts w:ascii="Times" w:eastAsia="Times" w:hAnsi="Times" w:cs="Times"/>
          <w:sz w:val="24"/>
          <w:szCs w:val="24"/>
        </w:rPr>
      </w:pPr>
    </w:p>
    <w:p w14:paraId="67C3B255" w14:textId="5B9D076B" w:rsidR="00B90C17" w:rsidRPr="006B426D" w:rsidRDefault="00B90C17" w:rsidP="005B472C">
      <w:pPr>
        <w:pStyle w:val="TAMainText"/>
      </w:pPr>
      <w:r w:rsidRPr="006B426D">
        <w:t xml:space="preserve">The dissolution mechanism of cellulose has been studied by the cutting-edge approach in each </w:t>
      </w:r>
      <w:r w:rsidRPr="006B426D">
        <w:rPr>
          <w:i/>
        </w:rPr>
        <w:t>époque</w:t>
      </w:r>
      <w:r w:rsidRPr="006B426D">
        <w:t>. From early bulk solution studies, based on viscosity and osmotic pressure,</w:t>
      </w:r>
      <w:r w:rsidRPr="006B426D">
        <w:rPr>
          <w:noProof/>
          <w:vertAlign w:val="superscript"/>
        </w:rPr>
        <w:t>5,6</w:t>
      </w:r>
      <w:r w:rsidRPr="006B426D">
        <w:t xml:space="preserve"> through to direct interaction </w:t>
      </w:r>
      <w:r w:rsidR="00DA0AB5" w:rsidRPr="006B426D">
        <w:t>characterizations</w:t>
      </w:r>
      <w:r w:rsidRPr="006B426D">
        <w:t xml:space="preserve"> with the development of</w:t>
      </w:r>
      <w:r w:rsidR="00A965C5" w:rsidRPr="006B426D">
        <w:t xml:space="preserve"> the</w:t>
      </w:r>
      <w:r w:rsidR="00984018" w:rsidRPr="006B426D">
        <w:t xml:space="preserve"> nuclear magnetic resonance (</w:t>
      </w:r>
      <w:r w:rsidRPr="006B426D">
        <w:t>NMR</w:t>
      </w:r>
      <w:r w:rsidR="00984018" w:rsidRPr="006B426D">
        <w:t>) technique,</w:t>
      </w:r>
      <w:r w:rsidRPr="006B426D">
        <w:t xml:space="preserve"> where dissolution mechanism was proposed by determining the locations where (co)solvent species interact with cellulose.</w:t>
      </w:r>
      <w:r w:rsidRPr="006B426D">
        <w:rPr>
          <w:noProof/>
          <w:vertAlign w:val="superscript"/>
        </w:rPr>
        <w:t>7–12</w:t>
      </w:r>
    </w:p>
    <w:p w14:paraId="599D4D88" w14:textId="77777777" w:rsidR="00B90C17" w:rsidRPr="006B426D" w:rsidRDefault="00B90C17" w:rsidP="00BD4EB5">
      <w:pPr>
        <w:spacing w:after="0" w:line="480" w:lineRule="auto"/>
        <w:jc w:val="both"/>
        <w:rPr>
          <w:rFonts w:ascii="Times" w:eastAsia="Times" w:hAnsi="Times" w:cs="Times"/>
          <w:sz w:val="24"/>
          <w:szCs w:val="24"/>
        </w:rPr>
      </w:pPr>
      <w:r w:rsidRPr="006B426D">
        <w:rPr>
          <w:rFonts w:ascii="Times" w:eastAsia="Times" w:hAnsi="Times" w:cs="Times"/>
          <w:sz w:val="24"/>
          <w:szCs w:val="24"/>
        </w:rPr>
        <w:tab/>
      </w:r>
    </w:p>
    <w:p w14:paraId="02B42E68" w14:textId="19C25A40" w:rsidR="00B90C17" w:rsidRPr="006B426D" w:rsidRDefault="00B90C17" w:rsidP="005B472C">
      <w:pPr>
        <w:pStyle w:val="TAMainText"/>
      </w:pPr>
      <w:r w:rsidRPr="006B426D">
        <w:rPr>
          <w:b/>
        </w:rPr>
        <w:t xml:space="preserve">Co-solvent binding. </w:t>
      </w:r>
      <w:r w:rsidRPr="006B426D">
        <w:t>Through these studies, it has since been assumed that in most cellulose solvents, co-solvents play a dominant role in dissolution by interacting with hydroxyl (OH) groups of cellulose leading to the currently-prevailing view that co-solvent disruption of hydrogen bonding present in the cellulose crystal is crucial for dissolution of cellulose.</w:t>
      </w:r>
      <w:r w:rsidR="001162EF" w:rsidRPr="006B426D">
        <w:rPr>
          <w:noProof/>
          <w:vertAlign w:val="superscript"/>
        </w:rPr>
        <w:t>11–14</w:t>
      </w:r>
    </w:p>
    <w:p w14:paraId="5564F0A5" w14:textId="77777777" w:rsidR="00B90C17" w:rsidRPr="006B426D" w:rsidRDefault="00B90C17" w:rsidP="00BD4EB5">
      <w:pPr>
        <w:spacing w:after="0" w:line="480" w:lineRule="auto"/>
        <w:jc w:val="both"/>
        <w:rPr>
          <w:rFonts w:ascii="Times" w:eastAsia="Times" w:hAnsi="Times" w:cs="Times"/>
          <w:sz w:val="24"/>
          <w:szCs w:val="24"/>
        </w:rPr>
      </w:pPr>
    </w:p>
    <w:p w14:paraId="65A9310F" w14:textId="3F906E64" w:rsidR="00B90C17" w:rsidRPr="006B426D" w:rsidRDefault="00B90C17" w:rsidP="005B472C">
      <w:pPr>
        <w:pStyle w:val="TAMainText"/>
      </w:pPr>
      <w:r w:rsidRPr="006B426D">
        <w:t>On top of this, further developments lead to two hypotheses which provide alternative, though related, candidates fo</w:t>
      </w:r>
      <w:r w:rsidR="007A7154" w:rsidRPr="006B426D">
        <w:t>r the driving force of solubiliz</w:t>
      </w:r>
      <w:r w:rsidRPr="006B426D">
        <w:t xml:space="preserve">ation: </w:t>
      </w:r>
    </w:p>
    <w:p w14:paraId="26CBF49A" w14:textId="77777777" w:rsidR="00B90C17" w:rsidRPr="006B426D" w:rsidRDefault="00B90C17" w:rsidP="00BD4EB5">
      <w:pPr>
        <w:spacing w:after="0" w:line="480" w:lineRule="auto"/>
        <w:jc w:val="both"/>
        <w:rPr>
          <w:rFonts w:ascii="Times" w:eastAsia="Times" w:hAnsi="Times" w:cs="Times"/>
          <w:sz w:val="24"/>
          <w:szCs w:val="24"/>
        </w:rPr>
      </w:pPr>
    </w:p>
    <w:p w14:paraId="79737DDA" w14:textId="0BB41BB1" w:rsidR="00B90C17" w:rsidRPr="006B426D" w:rsidRDefault="00B90C17" w:rsidP="005B472C">
      <w:pPr>
        <w:pStyle w:val="TAMainText"/>
      </w:pPr>
      <w:r w:rsidRPr="006B426D">
        <w:rPr>
          <w:b/>
        </w:rPr>
        <w:t xml:space="preserve">Cellulose Charging Up. </w:t>
      </w:r>
      <w:r w:rsidRPr="006B426D">
        <w:t>The OH group-cosolvent interactions are re-highlighted in recent studies as the "cellulose charging up” hypothesis. They claimed that cellulose-ion interaction can make cellulose into a “polyelectrolyte” which drives its dissolution</w:t>
      </w:r>
      <w:r w:rsidR="004A1394" w:rsidRPr="006B426D">
        <w:t>.</w:t>
      </w:r>
      <w:r w:rsidR="001162EF" w:rsidRPr="006B426D">
        <w:rPr>
          <w:noProof/>
          <w:vertAlign w:val="superscript"/>
        </w:rPr>
        <w:t>15,16</w:t>
      </w:r>
      <w:r w:rsidRPr="006B426D">
        <w:t xml:space="preserve"> The cellulose polyelectrolytes are in solution together with a number of small ions whose increase of the entropy of mixing is claimed to be the driving force of their cellulose solubility enhancement.</w:t>
      </w:r>
      <w:r w:rsidR="001162EF" w:rsidRPr="006B426D">
        <w:rPr>
          <w:noProof/>
          <w:vertAlign w:val="superscript"/>
        </w:rPr>
        <w:t>17</w:t>
      </w:r>
    </w:p>
    <w:p w14:paraId="5EB00017" w14:textId="77777777" w:rsidR="00B90C17" w:rsidRPr="006B426D" w:rsidRDefault="00B90C17" w:rsidP="00BD4EB5">
      <w:pPr>
        <w:spacing w:after="0" w:line="480" w:lineRule="auto"/>
        <w:jc w:val="both"/>
        <w:rPr>
          <w:rFonts w:ascii="Times" w:eastAsia="Times" w:hAnsi="Times" w:cs="Times"/>
          <w:sz w:val="24"/>
          <w:szCs w:val="24"/>
        </w:rPr>
      </w:pPr>
    </w:p>
    <w:p w14:paraId="210061C7" w14:textId="74787D9E" w:rsidR="00B90C17" w:rsidRPr="006B426D" w:rsidRDefault="00B90C17" w:rsidP="005B472C">
      <w:pPr>
        <w:pStyle w:val="TAMainText"/>
      </w:pPr>
      <w:r w:rsidRPr="006B426D">
        <w:rPr>
          <w:b/>
        </w:rPr>
        <w:t>Amphiphillicity – “Like dissolves like”</w:t>
      </w:r>
      <w:r w:rsidRPr="006B426D">
        <w:t>.</w:t>
      </w:r>
      <w:r w:rsidRPr="006B426D">
        <w:tab/>
        <w:t>The limitation of previous co-solvent binding hypotheses is that they do not explain the insolubility of cellulose as demonstrated in the following example: Polyvinyl alcohol (PVA), a highly water-soluble polymer, contains 3 OH groups per 6 carbons, an identical number to cellulose. To rationali</w:t>
      </w:r>
      <w:r w:rsidR="00E67561" w:rsidRPr="006B426D">
        <w:t xml:space="preserve">ze </w:t>
      </w:r>
      <w:r w:rsidRPr="006B426D">
        <w:t>this inconsistency, the hypothesis that insolubility is attributed to the structure of cellulose, particularly its amphiphilic nature, was proposed.</w:t>
      </w:r>
      <w:r w:rsidR="001162EF" w:rsidRPr="006B426D">
        <w:rPr>
          <w:noProof/>
          <w:vertAlign w:val="superscript"/>
        </w:rPr>
        <w:t>18–22</w:t>
      </w:r>
      <w:r w:rsidRPr="006B426D">
        <w:t xml:space="preserve"> Consequently, the “like dissolves like” principle has inspired the view that the solvent would need to be amphiphilic like cellulose. However, the discussion on such amphiphilic nature remains qualitative, because hydrophobic interaction cannot be quantified or detected experimentally, and thus the main methods are based on modeling</w:t>
      </w:r>
      <w:r w:rsidR="001162EF" w:rsidRPr="006B426D">
        <w:rPr>
          <w:noProof/>
          <w:vertAlign w:val="superscript"/>
        </w:rPr>
        <w:t>23</w:t>
      </w:r>
      <w:r w:rsidRPr="006B426D">
        <w:t xml:space="preserve">. </w:t>
      </w:r>
    </w:p>
    <w:p w14:paraId="26B3C698" w14:textId="77777777" w:rsidR="00B90C17" w:rsidRPr="006B426D" w:rsidRDefault="00B90C17" w:rsidP="00BD4EB5">
      <w:pPr>
        <w:spacing w:after="0" w:line="480" w:lineRule="auto"/>
        <w:jc w:val="both"/>
        <w:rPr>
          <w:rFonts w:ascii="Times" w:eastAsia="Times" w:hAnsi="Times" w:cs="Times"/>
          <w:sz w:val="24"/>
          <w:szCs w:val="24"/>
        </w:rPr>
      </w:pPr>
    </w:p>
    <w:p w14:paraId="59D66AA4" w14:textId="597FA5C9" w:rsidR="00B90C17" w:rsidRPr="006B426D" w:rsidRDefault="00B90C17" w:rsidP="00BD4EB5">
      <w:pPr>
        <w:spacing w:after="0" w:line="480" w:lineRule="auto"/>
        <w:jc w:val="both"/>
        <w:rPr>
          <w:rFonts w:ascii="Times" w:eastAsia="Times" w:hAnsi="Times" w:cs="Times"/>
          <w:sz w:val="24"/>
          <w:szCs w:val="24"/>
        </w:rPr>
      </w:pPr>
      <w:r w:rsidRPr="006B426D">
        <w:rPr>
          <w:rFonts w:ascii="Times" w:eastAsia="Times" w:hAnsi="Times" w:cs="Times"/>
          <w:sz w:val="24"/>
          <w:szCs w:val="24"/>
          <w:lang w:val="en-US"/>
        </w:rPr>
        <w:tab/>
      </w:r>
      <w:r w:rsidRPr="006B426D">
        <w:rPr>
          <w:rFonts w:ascii="Times" w:eastAsia="Times" w:hAnsi="Times" w:cs="Times"/>
          <w:sz w:val="24"/>
          <w:szCs w:val="24"/>
        </w:rPr>
        <w:t xml:space="preserve">We have thus seen the co-existence of different hypotheses on cellulose dissolution mechanisms, none of which can put numbers to each of the driving forces. Especially, to focus solely on cellulose-cosolvent interaction cannot give an accurate explanation of cellulose dissolution because it neglects another essential contributory factor, namely the cellulose-solvent interactions. It is not even clear which of the proposed driving forces are dominant or minor, or whether some of the proposed driving forces are interrelated or equivalent to one another. The major hindrance towards elucidating the mechanism of cellulose dissolution is the lack of a link between the proposed mechanisms and solubility on a quantitative basis. </w:t>
      </w:r>
    </w:p>
    <w:p w14:paraId="110805F6" w14:textId="77777777" w:rsidR="009A0EEA" w:rsidRPr="006B426D" w:rsidRDefault="009A0EEA" w:rsidP="00BD4EB5">
      <w:pPr>
        <w:spacing w:after="0" w:line="480" w:lineRule="auto"/>
        <w:jc w:val="both"/>
        <w:rPr>
          <w:rFonts w:ascii="Times" w:eastAsia="Times" w:hAnsi="Times" w:cs="Times"/>
          <w:sz w:val="24"/>
          <w:szCs w:val="24"/>
        </w:rPr>
      </w:pPr>
    </w:p>
    <w:p w14:paraId="11C602FA" w14:textId="388BADCE" w:rsidR="00B90C17" w:rsidRPr="006B426D" w:rsidRDefault="00B90C17" w:rsidP="005B472C">
      <w:pPr>
        <w:pStyle w:val="TAMainText"/>
      </w:pPr>
      <w:r w:rsidRPr="006B426D">
        <w:t>Such a hindrance towards elucidating cellulose dissolution can be overcome by employing a statistical thermodynamic theory that can explain solubility on a quantitative basis from the interactions between individual species. Indeed the rigorous theory of solvation based on Kirkwood Buff (KB) theory has recently been applied to biomolecular, pharmaceutical and food systems successfully to bring clarity on their long-disputed mechanisms directly from first principles.</w:t>
      </w:r>
      <w:r w:rsidR="001162EF" w:rsidRPr="006B426D">
        <w:rPr>
          <w:noProof/>
          <w:vertAlign w:val="superscript"/>
        </w:rPr>
        <w:t>24–26</w:t>
      </w:r>
      <w:r w:rsidRPr="006B426D">
        <w:t xml:space="preserve"> Based on such a track record, here we clarify the mechanism of cellulose dissolution by putting numbers to each of the key interactions taking place in solution. </w:t>
      </w:r>
    </w:p>
    <w:p w14:paraId="0E7965F5" w14:textId="77777777" w:rsidR="009A0EEA" w:rsidRPr="006B426D" w:rsidRDefault="009A0EEA" w:rsidP="00BD4EB5">
      <w:pPr>
        <w:spacing w:after="0" w:line="480" w:lineRule="auto"/>
        <w:jc w:val="both"/>
        <w:rPr>
          <w:rFonts w:ascii="Times" w:eastAsia="Times" w:hAnsi="Times" w:cs="Times"/>
          <w:sz w:val="24"/>
          <w:szCs w:val="24"/>
        </w:rPr>
      </w:pPr>
    </w:p>
    <w:p w14:paraId="746CEBC9" w14:textId="6331B243" w:rsidR="00B90C17" w:rsidRPr="006B426D" w:rsidRDefault="00B90C17" w:rsidP="005B472C">
      <w:pPr>
        <w:pStyle w:val="TAMainText"/>
      </w:pPr>
      <w:r w:rsidRPr="006B426D">
        <w:t>The aim of this paper is to rationalize the dissolution mechanism of cellulose by the combination of a rigorous statistical thermodynamic theory and a model compound for the cellulose monomeric unit as a starting point. Statistical thermodynamics can link the solubility data to the interactions between cellulose and solvents and between the solvent species in a quantitative manner.</w:t>
      </w:r>
      <w:r w:rsidR="001162EF" w:rsidRPr="006B426D">
        <w:rPr>
          <w:noProof/>
          <w:vertAlign w:val="superscript"/>
        </w:rPr>
        <w:t>24,27,28</w:t>
      </w:r>
      <w:r w:rsidRPr="006B426D">
        <w:t xml:space="preserve"> A quantitative evaluation will then be possible for the first time on the predominant hypotheses of cellulose dissolution mechanisms, summarized above. </w:t>
      </w:r>
    </w:p>
    <w:p w14:paraId="0936624D" w14:textId="77777777" w:rsidR="00B90C17" w:rsidRPr="006B426D" w:rsidRDefault="00B90C17" w:rsidP="00BD4EB5">
      <w:pPr>
        <w:pStyle w:val="TAMainText"/>
        <w:rPr>
          <w:rFonts w:asciiTheme="majorHAnsi" w:eastAsia="Times New Roman" w:hAnsiTheme="majorHAnsi" w:cs="Arial"/>
          <w:color w:val="222222"/>
          <w:lang w:eastAsia="en-GB"/>
        </w:rPr>
      </w:pPr>
    </w:p>
    <w:p w14:paraId="457DB9E4" w14:textId="77777777" w:rsidR="00622870" w:rsidRPr="006B426D" w:rsidRDefault="00622870" w:rsidP="00BD4EB5">
      <w:pPr>
        <w:pStyle w:val="TAMainText"/>
        <w:rPr>
          <w:rFonts w:eastAsia="Times"/>
          <w:b/>
        </w:rPr>
      </w:pPr>
      <w:r w:rsidRPr="006B426D">
        <w:rPr>
          <w:rFonts w:eastAsia="Times"/>
          <w:b/>
        </w:rPr>
        <w:t xml:space="preserve">2. Theory and Methods </w:t>
      </w:r>
    </w:p>
    <w:p w14:paraId="03514177" w14:textId="77777777" w:rsidR="00622870" w:rsidRPr="006B426D" w:rsidRDefault="00622870" w:rsidP="00BD4EB5">
      <w:pPr>
        <w:pStyle w:val="TAMainText"/>
        <w:rPr>
          <w:rFonts w:eastAsia="Times"/>
        </w:rPr>
      </w:pPr>
    </w:p>
    <w:p w14:paraId="5F491957" w14:textId="77777777" w:rsidR="00622870" w:rsidRPr="006B426D" w:rsidRDefault="00622870" w:rsidP="00BD4EB5">
      <w:pPr>
        <w:pStyle w:val="TAMainText"/>
        <w:rPr>
          <w:rFonts w:eastAsia="Times"/>
          <w:b/>
        </w:rPr>
      </w:pPr>
      <w:r w:rsidRPr="006B426D">
        <w:rPr>
          <w:rFonts w:eastAsia="Times"/>
          <w:b/>
        </w:rPr>
        <w:t xml:space="preserve">2.1. Model system and target for quantification </w:t>
      </w:r>
    </w:p>
    <w:p w14:paraId="0777D554" w14:textId="77777777" w:rsidR="005B472C" w:rsidRPr="006B426D" w:rsidRDefault="005B472C" w:rsidP="005B472C">
      <w:pPr>
        <w:pStyle w:val="TAMainText"/>
        <w:ind w:firstLine="0"/>
        <w:rPr>
          <w:rFonts w:eastAsia="Times"/>
        </w:rPr>
      </w:pPr>
    </w:p>
    <w:p w14:paraId="125E17C5" w14:textId="288B824D" w:rsidR="00622870" w:rsidRPr="006B426D" w:rsidRDefault="00622870" w:rsidP="005B472C">
      <w:pPr>
        <w:pStyle w:val="TAMainText"/>
        <w:ind w:firstLine="0"/>
        <w:rPr>
          <w:rFonts w:eastAsia="Times"/>
        </w:rPr>
      </w:pPr>
      <w:r w:rsidRPr="006B426D">
        <w:rPr>
          <w:rFonts w:eastAsia="Times"/>
        </w:rPr>
        <w:t>In our theoretical approach, the principal data necessary for quantitative characterization is the change of cellulose solubility against co-solvent concentration. However, cellulose solubility is poorly reproducible, due to the intricate intermediate steps such as swelling</w:t>
      </w:r>
      <w:r w:rsidR="001162EF" w:rsidRPr="006B426D">
        <w:rPr>
          <w:rFonts w:eastAsia="Times"/>
          <w:noProof/>
          <w:vertAlign w:val="superscript"/>
        </w:rPr>
        <w:t>29,30</w:t>
      </w:r>
      <w:r w:rsidRPr="006B426D">
        <w:rPr>
          <w:rFonts w:eastAsia="Times"/>
        </w:rPr>
        <w:t xml:space="preserve"> and complexation</w:t>
      </w:r>
      <w:r w:rsidR="00EF7AE7" w:rsidRPr="006B426D">
        <w:rPr>
          <w:rFonts w:eastAsia="Times"/>
        </w:rPr>
        <w:t>.</w:t>
      </w:r>
      <w:r w:rsidR="001162EF" w:rsidRPr="006B426D">
        <w:rPr>
          <w:rFonts w:eastAsia="Times"/>
          <w:noProof/>
          <w:vertAlign w:val="superscript"/>
        </w:rPr>
        <w:t>31</w:t>
      </w:r>
      <w:r w:rsidRPr="006B426D">
        <w:rPr>
          <w:rFonts w:eastAsia="Times"/>
        </w:rPr>
        <w:t xml:space="preserve"> The energetic barrier of these intermediate steps can be moderated by the pre-treatment such as steam-explosion</w:t>
      </w:r>
      <w:r w:rsidR="001162EF" w:rsidRPr="006B426D">
        <w:rPr>
          <w:rFonts w:eastAsia="Times"/>
          <w:noProof/>
          <w:vertAlign w:val="superscript"/>
        </w:rPr>
        <w:t>32</w:t>
      </w:r>
      <w:r w:rsidRPr="006B426D">
        <w:rPr>
          <w:rFonts w:eastAsia="Times"/>
        </w:rPr>
        <w:t xml:space="preserve"> and crystal transition</w:t>
      </w:r>
      <w:r w:rsidR="00EF7AE7" w:rsidRPr="006B426D">
        <w:rPr>
          <w:rFonts w:eastAsia="Times"/>
        </w:rPr>
        <w:t>.</w:t>
      </w:r>
      <w:r w:rsidR="001162EF" w:rsidRPr="006B426D">
        <w:rPr>
          <w:rFonts w:eastAsia="Times"/>
          <w:noProof/>
          <w:vertAlign w:val="superscript"/>
        </w:rPr>
        <w:t>33</w:t>
      </w:r>
      <w:r w:rsidRPr="006B426D">
        <w:rPr>
          <w:rFonts w:eastAsia="Times"/>
        </w:rPr>
        <w:t xml:space="preserve"> Therefore, cellulose dissolution can exhibit strong dependency on the severity of the pre-treatment</w:t>
      </w:r>
      <w:r w:rsidR="004F7B02" w:rsidRPr="006B426D">
        <w:rPr>
          <w:rFonts w:eastAsia="Times"/>
        </w:rPr>
        <w:t>.</w:t>
      </w:r>
      <w:r w:rsidR="001162EF" w:rsidRPr="006B426D">
        <w:rPr>
          <w:rFonts w:eastAsia="Times"/>
          <w:noProof/>
          <w:vertAlign w:val="superscript"/>
        </w:rPr>
        <w:t>32,34,35</w:t>
      </w:r>
      <w:r w:rsidRPr="006B426D">
        <w:rPr>
          <w:rFonts w:eastAsia="Times"/>
        </w:rPr>
        <w:t xml:space="preserve"> Consequently, literature data of cellulose solubility inherently contains errors brought about by kinetic traps, which complicates the thermodynamic measurements.</w:t>
      </w:r>
      <w:r w:rsidR="001162EF" w:rsidRPr="006B426D">
        <w:rPr>
          <w:rFonts w:eastAsia="Times"/>
          <w:noProof/>
          <w:vertAlign w:val="superscript"/>
        </w:rPr>
        <w:t>36</w:t>
      </w:r>
    </w:p>
    <w:p w14:paraId="3EC2A008" w14:textId="77777777" w:rsidR="00622870" w:rsidRPr="006B426D" w:rsidRDefault="00622870" w:rsidP="00BD4EB5">
      <w:pPr>
        <w:pStyle w:val="TAMainText"/>
        <w:rPr>
          <w:rFonts w:eastAsia="Times"/>
        </w:rPr>
      </w:pPr>
    </w:p>
    <w:p w14:paraId="4B8226FA" w14:textId="13F45158" w:rsidR="00622870" w:rsidRPr="006B426D" w:rsidRDefault="00715F52" w:rsidP="005B472C">
      <w:pPr>
        <w:pStyle w:val="TAMainText"/>
      </w:pPr>
      <w:r w:rsidRPr="006B426D">
        <w:t>To circumvent such difficulties, we must employ a model compound which consists of cellulose constituent units. For this purpose, we have chosen cellobiose, the repeating unit of cellulose, which</w:t>
      </w:r>
      <w:r w:rsidR="009E0493" w:rsidRPr="006B426D">
        <w:t xml:space="preserve"> is composed of two β-1,4 linked</w:t>
      </w:r>
      <w:r w:rsidRPr="006B426D">
        <w:t xml:space="preserve"> D-glucose units. Cellobiose retains "cellulosic" characteristics: aqueous solubility of cellobiose is much lower (12%) than its isomeric disaccharide maltose (α-</w:t>
      </w:r>
      <w:r w:rsidR="005E30ED" w:rsidRPr="006B426D">
        <w:t>1,4 linked two D-glucose units, 48</w:t>
      </w:r>
      <w:r w:rsidRPr="006B426D">
        <w:t>%</w:t>
      </w:r>
      <w:r w:rsidR="00AA5067" w:rsidRPr="006B426D">
        <w:rPr>
          <w:noProof/>
          <w:vertAlign w:val="superscript"/>
        </w:rPr>
        <w:t>37</w:t>
      </w:r>
      <w:r w:rsidRPr="006B426D">
        <w:t>), and dissolution of cellobiose</w:t>
      </w:r>
      <w:r w:rsidRPr="006B426D" w:rsidDel="00715F52">
        <w:t xml:space="preserve"> </w:t>
      </w:r>
      <w:r w:rsidR="00622870" w:rsidRPr="006B426D">
        <w:t>in dimethylacetamide necessitates the addition of lithium chloride as cellulose does</w:t>
      </w:r>
      <w:r w:rsidR="00EF7AE7" w:rsidRPr="006B426D">
        <w:t>.</w:t>
      </w:r>
      <w:r w:rsidR="00AA5067" w:rsidRPr="006B426D">
        <w:rPr>
          <w:noProof/>
          <w:vertAlign w:val="superscript"/>
        </w:rPr>
        <w:t>38</w:t>
      </w:r>
      <w:r w:rsidR="00622870" w:rsidRPr="006B426D">
        <w:t xml:space="preserve"> It should be noted, however, that cellobiose can take a cis conformation,</w:t>
      </w:r>
      <w:r w:rsidR="00AA5067" w:rsidRPr="006B426D">
        <w:rPr>
          <w:noProof/>
          <w:vertAlign w:val="superscript"/>
        </w:rPr>
        <w:t>39</w:t>
      </w:r>
      <w:r w:rsidR="00622870" w:rsidRPr="006B426D">
        <w:t xml:space="preserve"> whereas cellulose takes a trans conformation.</w:t>
      </w:r>
      <w:r w:rsidR="00AA5067" w:rsidRPr="006B426D">
        <w:rPr>
          <w:noProof/>
          <w:vertAlign w:val="superscript"/>
        </w:rPr>
        <w:t>40</w:t>
      </w:r>
      <w:r w:rsidR="00CE12EE" w:rsidRPr="006B426D">
        <w:t xml:space="preserve"> </w:t>
      </w:r>
      <w:r w:rsidR="001E68FC" w:rsidRPr="006B426D">
        <w:t xml:space="preserve">Also, </w:t>
      </w:r>
      <w:r w:rsidR="004570AC" w:rsidRPr="006B426D">
        <w:t>when considering the reducing end of these polysaccharides</w:t>
      </w:r>
      <w:r w:rsidR="001E68FC" w:rsidRPr="006B426D">
        <w:t>, which can exist in both α and β anomers and open chain form</w:t>
      </w:r>
      <w:r w:rsidR="00AA5067" w:rsidRPr="006B426D">
        <w:rPr>
          <w:noProof/>
          <w:vertAlign w:val="superscript"/>
        </w:rPr>
        <w:t>40</w:t>
      </w:r>
      <w:r w:rsidR="001E68FC" w:rsidRPr="006B426D">
        <w:t>, cellobiose</w:t>
      </w:r>
      <w:r w:rsidR="00081793" w:rsidRPr="006B426D">
        <w:t>, being a dimer,</w:t>
      </w:r>
      <w:r w:rsidR="001E68FC" w:rsidRPr="006B426D">
        <w:t xml:space="preserve"> demonstrates a non-negligible contribution from these possible arrangements in contrast to cellulose.</w:t>
      </w:r>
      <w:r w:rsidR="006521C5" w:rsidRPr="006B426D">
        <w:t xml:space="preserve"> </w:t>
      </w:r>
    </w:p>
    <w:p w14:paraId="6CE97D6F" w14:textId="085D030B" w:rsidR="00A90F00" w:rsidRPr="006B426D" w:rsidRDefault="00A90F00" w:rsidP="00375761">
      <w:pPr>
        <w:pStyle w:val="TAMainText"/>
        <w:ind w:firstLine="0"/>
        <w:rPr>
          <w:rFonts w:ascii="Arial" w:eastAsia="Times" w:hAnsi="Arial" w:cs="Arial"/>
        </w:rPr>
      </w:pPr>
    </w:p>
    <w:p w14:paraId="2C65D842" w14:textId="0978556B" w:rsidR="00622870" w:rsidRPr="006B426D" w:rsidRDefault="00622870" w:rsidP="005B472C">
      <w:pPr>
        <w:pStyle w:val="TAMainText"/>
      </w:pPr>
      <w:r w:rsidRPr="006B426D">
        <w:t>Nevertheless, thanks to the smaller molecular size compared with cellulose, the above-mentioned intermediate steps are rendered negligible, and thus the use of cellobiose assures the reproducibility of solubility measurement.</w:t>
      </w:r>
      <w:r w:rsidR="00AA5067" w:rsidRPr="006B426D">
        <w:rPr>
          <w:noProof/>
          <w:vertAlign w:val="superscript"/>
        </w:rPr>
        <w:t>20,41</w:t>
      </w:r>
      <w:r w:rsidR="00F30860" w:rsidRPr="006B426D">
        <w:t xml:space="preserve"> </w:t>
      </w:r>
      <w:r w:rsidRPr="006B426D">
        <w:t xml:space="preserve">This is a necessity for the quantification of the interactions that the constituent disaccharide unit of cellulose has respectively with solvent and cosolvent molecules, neither of which have been quantified previously. From the understanding of constituent unit solvation </w:t>
      </w:r>
      <w:r w:rsidR="00DA0AB5" w:rsidRPr="006B426D">
        <w:t>contributions,</w:t>
      </w:r>
      <w:r w:rsidRPr="006B426D">
        <w:t xml:space="preserve"> we can build up to the understanding of cellulose solvation as a whole. </w:t>
      </w:r>
    </w:p>
    <w:p w14:paraId="5A2633B7" w14:textId="77777777" w:rsidR="00622870" w:rsidRPr="006B426D" w:rsidRDefault="00622870" w:rsidP="00BD4EB5">
      <w:pPr>
        <w:pStyle w:val="TAMainText"/>
        <w:rPr>
          <w:rFonts w:eastAsia="Times"/>
        </w:rPr>
      </w:pPr>
    </w:p>
    <w:p w14:paraId="069AE839" w14:textId="4C696CEC" w:rsidR="00622870" w:rsidRPr="006B426D" w:rsidRDefault="00622870" w:rsidP="005B472C">
      <w:pPr>
        <w:pStyle w:val="TAMainText"/>
      </w:pPr>
      <w:r w:rsidRPr="006B426D">
        <w:t>To this end, we employ recently published data on cellobiose dissolution.</w:t>
      </w:r>
      <w:r w:rsidR="00AA5067" w:rsidRPr="006B426D">
        <w:rPr>
          <w:noProof/>
          <w:vertAlign w:val="superscript"/>
        </w:rPr>
        <w:t>42</w:t>
      </w:r>
      <w:r w:rsidRPr="006B426D">
        <w:t xml:space="preserve"> The enhancement of cellobiose solubility in the presence of Hofmeister cations with chloride has been reported as the function of salt concentration. The solubility data (Figure 1) ha</w:t>
      </w:r>
      <w:r w:rsidR="00750944" w:rsidRPr="006B426D">
        <w:t>s</w:t>
      </w:r>
      <w:r w:rsidRPr="006B426D">
        <w:t xml:space="preserve"> been complemented by the cellobiose partial molar volumes in the presence of the same salts, as well as the activity coefficients of water and salts. As will be discussed in Section 2.2, the combination of solubility, volumetric and activity data are sufficient to draw a complete picture of interactions in cellobiose-water-salt solutions in a quantitative way. </w:t>
      </w:r>
    </w:p>
    <w:p w14:paraId="7FCB8608" w14:textId="3E480332" w:rsidR="00622870" w:rsidRPr="006B426D" w:rsidRDefault="002135D5" w:rsidP="00BD4EB5">
      <w:pPr>
        <w:pStyle w:val="TAMainText"/>
        <w:rPr>
          <w:rFonts w:eastAsia="Times"/>
        </w:rPr>
      </w:pPr>
      <w:r w:rsidRPr="006B426D">
        <w:rPr>
          <w:noProof/>
          <w:lang w:eastAsia="en-GB"/>
        </w:rPr>
        <w:t xml:space="preserve"> </w:t>
      </w:r>
      <w:r w:rsidRPr="006B426D">
        <w:rPr>
          <w:noProof/>
          <w:lang w:val="en-GB" w:eastAsia="ja-JP"/>
        </w:rPr>
        <w:drawing>
          <wp:inline distT="0" distB="0" distL="0" distR="0" wp14:anchorId="54BC033A" wp14:editId="4FF60E47">
            <wp:extent cx="3114675" cy="2457450"/>
            <wp:effectExtent l="0" t="0" r="9525" b="0"/>
            <wp:docPr id="3" name="Chart 3">
              <a:extLst xmlns:a="http://schemas.openxmlformats.org/drawingml/2006/main">
                <a:ext uri="{FF2B5EF4-FFF2-40B4-BE49-F238E27FC236}">
                  <a16:creationId xmlns:a16="http://schemas.microsoft.com/office/drawing/2014/main" id="{765CE647-CB2E-4A9C-A65E-2A1F3FB20E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E1CB01" w14:textId="3C1060BF" w:rsidR="00622870" w:rsidRPr="006B426D" w:rsidRDefault="00622870" w:rsidP="00BD4EB5">
      <w:pPr>
        <w:pStyle w:val="TAMainText"/>
        <w:rPr>
          <w:b/>
        </w:rPr>
      </w:pPr>
      <w:r w:rsidRPr="006B426D">
        <w:rPr>
          <w:b/>
        </w:rPr>
        <w:t xml:space="preserve">Figure 1: </w:t>
      </w:r>
      <w:r w:rsidRPr="006B426D">
        <w:t xml:space="preserve">Solubility enhancement of cellobiose by </w:t>
      </w:r>
      <w:r w:rsidR="00DA0AB5" w:rsidRPr="006B426D">
        <w:t>ch</w:t>
      </w:r>
      <w:r w:rsidR="002C0BD2" w:rsidRPr="006B426D">
        <w:t>loride salts. Experimental d</w:t>
      </w:r>
      <w:r w:rsidRPr="006B426D">
        <w:t xml:space="preserve">ata </w:t>
      </w:r>
      <w:r w:rsidR="00E67293" w:rsidRPr="006B426D">
        <w:t xml:space="preserve">have been obtained from </w:t>
      </w:r>
      <w:r w:rsidR="00F42ABC" w:rsidRPr="006B426D">
        <w:t xml:space="preserve">Fig. 1 of </w:t>
      </w:r>
      <w:r w:rsidRPr="006B426D">
        <w:t>Liu et al</w:t>
      </w:r>
      <w:r w:rsidR="00D634A5" w:rsidRPr="006B426D">
        <w:t>.</w:t>
      </w:r>
      <w:r w:rsidR="00AA5067" w:rsidRPr="006B426D">
        <w:rPr>
          <w:noProof/>
          <w:vertAlign w:val="superscript"/>
        </w:rPr>
        <w:t>42</w:t>
      </w:r>
      <w:r w:rsidR="00C76FAC" w:rsidRPr="006B426D">
        <w:t xml:space="preserve"> </w:t>
      </w:r>
      <w:r w:rsidR="001E06B0" w:rsidRPr="006B426D">
        <w:t xml:space="preserve">(see Supporting Information </w:t>
      </w:r>
      <w:r w:rsidR="004A25DC" w:rsidRPr="006B426D">
        <w:t xml:space="preserve"> (SI:D) </w:t>
      </w:r>
      <w:r w:rsidR="001E06B0" w:rsidRPr="006B426D">
        <w:t>for further information)</w:t>
      </w:r>
      <w:r w:rsidR="00D634A5" w:rsidRPr="006B426D">
        <w:t>.</w:t>
      </w:r>
    </w:p>
    <w:p w14:paraId="168AF576" w14:textId="6BF776BF" w:rsidR="00EE72F4" w:rsidRPr="006B426D" w:rsidRDefault="00EE72F4" w:rsidP="00B17B6C">
      <w:pPr>
        <w:pStyle w:val="TAMainText"/>
        <w:ind w:firstLine="0"/>
        <w:rPr>
          <w:rFonts w:eastAsia="Times"/>
        </w:rPr>
      </w:pPr>
    </w:p>
    <w:p w14:paraId="0F937726" w14:textId="77777777" w:rsidR="00EE72F4" w:rsidRPr="006B426D" w:rsidRDefault="00EE72F4" w:rsidP="00BD4EB5">
      <w:pPr>
        <w:pStyle w:val="TAMainText"/>
        <w:rPr>
          <w:rFonts w:eastAsia="Times"/>
        </w:rPr>
      </w:pPr>
    </w:p>
    <w:p w14:paraId="1C1FF21D" w14:textId="77777777" w:rsidR="00622870" w:rsidRPr="006B426D" w:rsidRDefault="00622870" w:rsidP="00BD4EB5">
      <w:pPr>
        <w:pStyle w:val="TAMainText"/>
        <w:rPr>
          <w:rFonts w:eastAsia="Times"/>
          <w:b/>
        </w:rPr>
      </w:pPr>
      <w:r w:rsidRPr="006B426D">
        <w:rPr>
          <w:rFonts w:eastAsia="Times"/>
          <w:b/>
        </w:rPr>
        <w:t>2.2. Quantifying interactions in solutions</w:t>
      </w:r>
    </w:p>
    <w:p w14:paraId="10981556" w14:textId="77777777" w:rsidR="00622870" w:rsidRPr="006B426D" w:rsidRDefault="00622870" w:rsidP="00BD4EB5">
      <w:pPr>
        <w:pStyle w:val="TAMainText"/>
        <w:rPr>
          <w:rFonts w:eastAsia="Times"/>
        </w:rPr>
      </w:pPr>
    </w:p>
    <w:p w14:paraId="35772CB4" w14:textId="5D1942B9" w:rsidR="00622870" w:rsidRPr="006B426D" w:rsidRDefault="00622870" w:rsidP="005B472C">
      <w:pPr>
        <w:pStyle w:val="TAMainText"/>
        <w:ind w:firstLine="0"/>
      </w:pPr>
      <w:r w:rsidRPr="006B426D">
        <w:t xml:space="preserve">Our goal is to quantify how each of the interactions (cellobiose-salt, cellobiose-water, salt-salt, salt-water and water-water) contribute to the dissolution of cellobiose, thereby shedding light onto the mechanism of cellulose dissolution in a quantitative manner and, enabling the evaluation of different proposed scenarios towards cellulose dissolution. The interactions between a pair of species (say, between the species </w:t>
      </w:r>
      <m:oMath>
        <m:r>
          <w:rPr>
            <w:rFonts w:ascii="Cambria Math" w:eastAsia="Cambria" w:hAnsi="Cambria Math" w:cs="Cambria"/>
          </w:rPr>
          <m:t>i</m:t>
        </m:r>
      </m:oMath>
      <w:r w:rsidRPr="006B426D">
        <w:t xml:space="preserve"> and </w:t>
      </w:r>
      <m:oMath>
        <m:r>
          <w:rPr>
            <w:rFonts w:ascii="Cambria Math" w:eastAsia="Cambria" w:hAnsi="Cambria Math" w:cs="Cambria"/>
          </w:rPr>
          <m:t>j</m:t>
        </m:r>
      </m:oMath>
      <w:r w:rsidRPr="006B426D">
        <w:t xml:space="preserve">) can be quantified in terms of the KB integral </w:t>
      </w:r>
      <w:r w:rsidR="00B93ACF" w:rsidRPr="006B426D">
        <w:t xml:space="preserve">(KBI) </w:t>
      </w:r>
      <w:r w:rsidRPr="006B426D">
        <w:t xml:space="preserve">defined as </w:t>
      </w:r>
    </w:p>
    <w:p w14:paraId="37FAD287" w14:textId="77777777" w:rsidR="00622870" w:rsidRPr="006B426D" w:rsidRDefault="00A44FDD" w:rsidP="00BD4EB5">
      <w:pPr>
        <w:pStyle w:val="TAMainText"/>
        <w:rPr>
          <w:rFonts w:eastAsia="Gulim" w:cstheme="minorHAnsi"/>
        </w:rPr>
      </w:pPr>
      <m:oMath>
        <m:sSub>
          <m:sSubPr>
            <m:ctrlPr>
              <w:rPr>
                <w:rFonts w:ascii="Cambria Math" w:eastAsia="Gulim" w:hAnsi="Cambria Math" w:cstheme="minorHAnsi"/>
                <w:i/>
              </w:rPr>
            </m:ctrlPr>
          </m:sSubPr>
          <m:e>
            <m:r>
              <w:rPr>
                <w:rFonts w:ascii="Cambria Math" w:eastAsia="Gulim" w:hAnsi="Cambria Math" w:cstheme="minorHAnsi"/>
              </w:rPr>
              <m:t>G</m:t>
            </m:r>
          </m:e>
          <m:sub>
            <m:r>
              <w:rPr>
                <w:rFonts w:ascii="Cambria Math" w:eastAsia="Gulim" w:hAnsi="Cambria Math" w:cstheme="minorHAnsi"/>
              </w:rPr>
              <m:t>ij</m:t>
            </m:r>
          </m:sub>
        </m:sSub>
        <m:r>
          <w:rPr>
            <w:rFonts w:ascii="Cambria Math" w:eastAsia="Gulim" w:hAnsi="Cambria Math" w:cstheme="minorHAnsi"/>
          </w:rPr>
          <m:t>=</m:t>
        </m:r>
        <m:nary>
          <m:naryPr>
            <m:limLoc m:val="undOvr"/>
            <m:subHide m:val="1"/>
            <m:supHide m:val="1"/>
            <m:ctrlPr>
              <w:rPr>
                <w:rFonts w:ascii="Cambria Math" w:eastAsia="Gulim" w:hAnsi="Cambria Math" w:cstheme="minorHAnsi"/>
                <w:i/>
              </w:rPr>
            </m:ctrlPr>
          </m:naryPr>
          <m:sub/>
          <m:sup/>
          <m:e>
            <m:r>
              <w:rPr>
                <w:rFonts w:ascii="Cambria Math" w:eastAsia="Gulim" w:hAnsi="Cambria Math" w:cstheme="minorHAnsi"/>
              </w:rPr>
              <m:t>dr 4π</m:t>
            </m:r>
            <m:sSup>
              <m:sSupPr>
                <m:ctrlPr>
                  <w:rPr>
                    <w:rFonts w:ascii="Cambria Math" w:eastAsia="Gulim" w:hAnsi="Cambria Math" w:cstheme="minorHAnsi"/>
                    <w:i/>
                  </w:rPr>
                </m:ctrlPr>
              </m:sSupPr>
              <m:e>
                <m:r>
                  <w:rPr>
                    <w:rFonts w:ascii="Cambria Math" w:eastAsia="Gulim" w:hAnsi="Cambria Math" w:cstheme="minorHAnsi"/>
                  </w:rPr>
                  <m:t>r</m:t>
                </m:r>
              </m:e>
              <m:sup>
                <m:r>
                  <w:rPr>
                    <w:rFonts w:ascii="Cambria Math" w:eastAsia="Gulim" w:hAnsi="Cambria Math" w:cstheme="minorHAnsi"/>
                  </w:rPr>
                  <m:t>2</m:t>
                </m:r>
              </m:sup>
            </m:sSup>
            <m:d>
              <m:dPr>
                <m:begChr m:val="["/>
                <m:endChr m:val="]"/>
                <m:ctrlPr>
                  <w:rPr>
                    <w:rFonts w:ascii="Cambria Math" w:eastAsia="Gulim" w:hAnsi="Cambria Math" w:cstheme="minorHAnsi"/>
                    <w:i/>
                  </w:rPr>
                </m:ctrlPr>
              </m:dPr>
              <m:e>
                <m:sSub>
                  <m:sSubPr>
                    <m:ctrlPr>
                      <w:rPr>
                        <w:rFonts w:ascii="Cambria Math" w:eastAsia="Gulim" w:hAnsi="Cambria Math" w:cstheme="minorHAnsi"/>
                        <w:i/>
                      </w:rPr>
                    </m:ctrlPr>
                  </m:sSubPr>
                  <m:e>
                    <m:r>
                      <w:rPr>
                        <w:rFonts w:ascii="Cambria Math" w:eastAsia="Gulim" w:hAnsi="Cambria Math" w:cstheme="minorHAnsi"/>
                      </w:rPr>
                      <m:t>g</m:t>
                    </m:r>
                  </m:e>
                  <m:sub>
                    <m:r>
                      <w:rPr>
                        <w:rFonts w:ascii="Cambria Math" w:eastAsia="Gulim" w:hAnsi="Cambria Math" w:cstheme="minorHAnsi"/>
                      </w:rPr>
                      <m:t>ij</m:t>
                    </m:r>
                  </m:sub>
                </m:sSub>
                <m:d>
                  <m:dPr>
                    <m:ctrlPr>
                      <w:rPr>
                        <w:rFonts w:ascii="Cambria Math" w:eastAsia="Gulim" w:hAnsi="Cambria Math" w:cstheme="minorHAnsi"/>
                        <w:i/>
                      </w:rPr>
                    </m:ctrlPr>
                  </m:dPr>
                  <m:e>
                    <m:r>
                      <w:rPr>
                        <w:rFonts w:ascii="Cambria Math" w:eastAsia="Gulim" w:hAnsi="Cambria Math" w:cstheme="minorHAnsi"/>
                      </w:rPr>
                      <m:t>r</m:t>
                    </m:r>
                  </m:e>
                </m:d>
                <m:r>
                  <w:rPr>
                    <w:rFonts w:ascii="Cambria Math" w:eastAsia="Gulim" w:hAnsi="Cambria Math" w:cstheme="minorHAnsi"/>
                  </w:rPr>
                  <m:t>-1</m:t>
                </m:r>
              </m:e>
            </m:d>
          </m:e>
        </m:nary>
      </m:oMath>
      <w:r w:rsidR="00622870" w:rsidRPr="006B426D">
        <w:rPr>
          <w:rFonts w:eastAsia="Gulim" w:cstheme="minorHAnsi"/>
          <w:sz w:val="28"/>
        </w:rPr>
        <w:tab/>
      </w:r>
      <w:r w:rsidR="00622870" w:rsidRPr="006B426D">
        <w:rPr>
          <w:rFonts w:eastAsia="Gulim" w:cstheme="minorHAnsi"/>
        </w:rPr>
        <w:tab/>
      </w:r>
      <w:r w:rsidR="00622870" w:rsidRPr="006B426D">
        <w:rPr>
          <w:rFonts w:eastAsia="Gulim" w:cstheme="minorHAnsi"/>
        </w:rPr>
        <w:tab/>
      </w:r>
      <w:r w:rsidR="00622870" w:rsidRPr="006B426D">
        <w:rPr>
          <w:rFonts w:eastAsia="Gulim" w:cstheme="minorHAnsi"/>
        </w:rPr>
        <w:tab/>
      </w:r>
      <w:r w:rsidR="00622870" w:rsidRPr="006B426D">
        <w:rPr>
          <w:rFonts w:eastAsia="Gulim" w:cstheme="minorHAnsi"/>
        </w:rPr>
        <w:tab/>
      </w:r>
      <w:r w:rsidR="00622870" w:rsidRPr="006B426D">
        <w:rPr>
          <w:rFonts w:eastAsia="Gulim" w:cstheme="minorHAnsi"/>
        </w:rPr>
        <w:tab/>
      </w:r>
      <w:r w:rsidR="00622870" w:rsidRPr="006B426D">
        <w:rPr>
          <w:rFonts w:eastAsia="Gulim" w:cstheme="minorHAnsi"/>
        </w:rPr>
        <w:tab/>
      </w:r>
      <w:r w:rsidR="00622870" w:rsidRPr="006B426D">
        <w:rPr>
          <w:rFonts w:eastAsia="Gulim" w:cstheme="minorHAnsi"/>
        </w:rPr>
        <w:tab/>
        <w:t>(1)</w:t>
      </w:r>
    </w:p>
    <w:p w14:paraId="724F6EC0" w14:textId="2C4FF315" w:rsidR="00624968" w:rsidRPr="006B426D" w:rsidRDefault="00622870" w:rsidP="004F0B25">
      <w:pPr>
        <w:pStyle w:val="TAMainText"/>
        <w:ind w:firstLine="0"/>
        <w:rPr>
          <w:rFonts w:eastAsia="Times" w:cs="Times"/>
          <w:szCs w:val="24"/>
        </w:rPr>
      </w:pPr>
      <w:r w:rsidRPr="006B426D">
        <w:rPr>
          <w:rFonts w:eastAsia="Times" w:cs="Times"/>
          <w:szCs w:val="24"/>
        </w:rPr>
        <w:t xml:space="preserve">where </w:t>
      </w:r>
      <m:oMath>
        <m:sSub>
          <m:sSubPr>
            <m:ctrlPr>
              <w:rPr>
                <w:rFonts w:ascii="Cambria Math" w:eastAsia="Cambria" w:hAnsi="Cambria Math" w:cs="Cambria"/>
                <w:szCs w:val="24"/>
              </w:rPr>
            </m:ctrlPr>
          </m:sSubPr>
          <m:e>
            <m:r>
              <w:rPr>
                <w:rFonts w:ascii="Cambria Math" w:eastAsia="Cambria" w:hAnsi="Cambria Math" w:cs="Cambria"/>
                <w:szCs w:val="24"/>
              </w:rPr>
              <m:t>g</m:t>
            </m:r>
          </m:e>
          <m:sub>
            <m:r>
              <w:rPr>
                <w:rFonts w:ascii="Cambria Math" w:eastAsia="Cambria" w:hAnsi="Cambria Math" w:cs="Cambria"/>
                <w:szCs w:val="24"/>
              </w:rPr>
              <m:t>ij</m:t>
            </m:r>
          </m:sub>
        </m:sSub>
        <m:r>
          <w:rPr>
            <w:rFonts w:ascii="Cambria Math" w:eastAsia="Times" w:hAnsi="Cambria Math" w:cs="Times"/>
            <w:szCs w:val="24"/>
          </w:rPr>
          <m:t>(</m:t>
        </m:r>
        <m:r>
          <w:rPr>
            <w:rFonts w:ascii="Cambria Math" w:eastAsia="Cambria" w:hAnsi="Cambria Math" w:cs="Cambria"/>
            <w:szCs w:val="24"/>
          </w:rPr>
          <m:t>r</m:t>
        </m:r>
        <m:r>
          <w:rPr>
            <w:rFonts w:ascii="Cambria Math" w:eastAsia="Times" w:hAnsi="Cambria Math" w:cs="Times"/>
            <w:szCs w:val="24"/>
          </w:rPr>
          <m:t>)</m:t>
        </m:r>
      </m:oMath>
      <w:r w:rsidRPr="006B426D">
        <w:rPr>
          <w:rFonts w:eastAsia="Times" w:cs="Times"/>
          <w:szCs w:val="24"/>
        </w:rPr>
        <w:t xml:space="preserve"> is the radial distribution function between the species </w:t>
      </w:r>
      <m:oMath>
        <m:r>
          <w:rPr>
            <w:rFonts w:ascii="Cambria Math" w:eastAsia="Cambria" w:hAnsi="Cambria Math" w:cs="Cambria"/>
            <w:szCs w:val="24"/>
          </w:rPr>
          <m:t>i</m:t>
        </m:r>
      </m:oMath>
      <w:r w:rsidRPr="006B426D">
        <w:rPr>
          <w:rFonts w:eastAsia="Times" w:cs="Times"/>
          <w:szCs w:val="24"/>
        </w:rPr>
        <w:t xml:space="preserve"> and </w:t>
      </w:r>
      <m:oMath>
        <m:r>
          <w:rPr>
            <w:rFonts w:ascii="Cambria Math" w:eastAsia="Cambria" w:hAnsi="Cambria Math" w:cs="Cambria"/>
            <w:szCs w:val="24"/>
          </w:rPr>
          <m:t>j</m:t>
        </m:r>
      </m:oMath>
      <w:r w:rsidR="00CE12EE" w:rsidRPr="006B426D">
        <w:rPr>
          <w:rFonts w:eastAsia="Times" w:cs="Times"/>
          <w:szCs w:val="24"/>
        </w:rPr>
        <w:t>.</w:t>
      </w:r>
      <w:r w:rsidR="006521C5" w:rsidRPr="006B426D">
        <w:rPr>
          <w:rFonts w:eastAsia="Times" w:cs="Times"/>
          <w:szCs w:val="24"/>
        </w:rPr>
        <w:t xml:space="preserve"> </w:t>
      </w:r>
      <w:r w:rsidRPr="006B426D">
        <w:rPr>
          <w:rFonts w:eastAsia="Times" w:cs="Times"/>
          <w:i/>
          <w:szCs w:val="24"/>
        </w:rPr>
        <w:t>G</w:t>
      </w:r>
      <w:r w:rsidRPr="006B426D">
        <w:rPr>
          <w:rFonts w:eastAsia="Times" w:cs="Times"/>
          <w:i/>
          <w:szCs w:val="24"/>
          <w:vertAlign w:val="subscript"/>
        </w:rPr>
        <w:t>ij</w:t>
      </w:r>
      <w:r w:rsidRPr="006B426D">
        <w:rPr>
          <w:rFonts w:eastAsia="Times" w:cs="Times"/>
          <w:szCs w:val="24"/>
        </w:rPr>
        <w:t xml:space="preserve"> is the average affinity between the species </w:t>
      </w:r>
      <w:r w:rsidRPr="006B426D">
        <w:rPr>
          <w:rFonts w:eastAsia="Times" w:cs="Times"/>
          <w:i/>
          <w:szCs w:val="24"/>
        </w:rPr>
        <w:t>i</w:t>
      </w:r>
      <w:r w:rsidRPr="006B426D">
        <w:rPr>
          <w:rFonts w:eastAsia="Times" w:cs="Times"/>
          <w:szCs w:val="24"/>
        </w:rPr>
        <w:t xml:space="preserve"> and </w:t>
      </w:r>
      <w:r w:rsidRPr="006B426D">
        <w:rPr>
          <w:rFonts w:eastAsia="Times" w:cs="Times"/>
          <w:i/>
          <w:szCs w:val="24"/>
        </w:rPr>
        <w:t>j</w:t>
      </w:r>
      <w:r w:rsidRPr="006B426D">
        <w:rPr>
          <w:rFonts w:eastAsia="Times" w:cs="Times"/>
          <w:szCs w:val="24"/>
        </w:rPr>
        <w:t>.</w:t>
      </w:r>
      <w:r w:rsidR="001162EF" w:rsidRPr="006B426D">
        <w:rPr>
          <w:rFonts w:eastAsia="Times" w:cs="Times"/>
          <w:noProof/>
          <w:szCs w:val="24"/>
          <w:vertAlign w:val="superscript"/>
        </w:rPr>
        <w:t>27</w:t>
      </w:r>
      <w:r w:rsidRPr="006B426D">
        <w:rPr>
          <w:rFonts w:eastAsia="Times" w:cs="Times"/>
          <w:szCs w:val="24"/>
        </w:rPr>
        <w:t xml:space="preserve"> </w:t>
      </w:r>
      <w:r w:rsidR="00CE12EE" w:rsidRPr="006B426D">
        <w:rPr>
          <w:rFonts w:eastAsia="Times" w:cs="Times"/>
          <w:szCs w:val="24"/>
        </w:rPr>
        <w:t>These pair affinities can be calculated from experimental data (Section 2.1)</w:t>
      </w:r>
      <w:r w:rsidR="00762AB3" w:rsidRPr="006B426D">
        <w:rPr>
          <w:rFonts w:eastAsia="Times" w:cs="Times"/>
          <w:szCs w:val="24"/>
        </w:rPr>
        <w:t>, through this, the theory we apply in this paper will quantify the dominant role in cellobiose solubility.</w:t>
      </w:r>
    </w:p>
    <w:p w14:paraId="4A9105E7" w14:textId="77777777" w:rsidR="005B472C" w:rsidRPr="006B426D" w:rsidRDefault="005B472C" w:rsidP="00BD4EB5">
      <w:pPr>
        <w:spacing w:after="0" w:line="480" w:lineRule="auto"/>
        <w:jc w:val="both"/>
        <w:rPr>
          <w:rFonts w:ascii="Times" w:eastAsia="Times" w:hAnsi="Times" w:cs="Times"/>
          <w:sz w:val="24"/>
          <w:szCs w:val="24"/>
        </w:rPr>
      </w:pPr>
    </w:p>
    <w:p w14:paraId="191A0153" w14:textId="67B545F9" w:rsidR="006A168C" w:rsidRPr="006B426D" w:rsidRDefault="00622870">
      <w:pPr>
        <w:pStyle w:val="TAMainText"/>
      </w:pPr>
      <w:r w:rsidRPr="006B426D">
        <w:t xml:space="preserve">Throughout this paper, the following convention has been used: </w:t>
      </w:r>
      <m:oMath>
        <m:r>
          <w:rPr>
            <w:rFonts w:ascii="Cambria Math" w:eastAsia="Cambria" w:hAnsi="Cambria Math" w:cs="Cambria"/>
          </w:rPr>
          <m:t>c</m:t>
        </m:r>
      </m:oMath>
      <w:r w:rsidRPr="006B426D">
        <w:t xml:space="preserve">: cellobiose, </w:t>
      </w:r>
      <m:oMath>
        <m:r>
          <w:rPr>
            <w:rFonts w:ascii="Cambria Math" w:eastAsia="Cambria" w:hAnsi="Cambria Math" w:cs="Cambria"/>
          </w:rPr>
          <m:t>w</m:t>
        </m:r>
      </m:oMath>
      <w:r w:rsidRPr="006B426D">
        <w:t xml:space="preserve">: water and </w:t>
      </w:r>
      <m:oMath>
        <m:r>
          <w:rPr>
            <w:rFonts w:ascii="Cambria Math" w:eastAsia="Cambria" w:hAnsi="Cambria Math" w:cs="Cambria"/>
          </w:rPr>
          <m:t>s</m:t>
        </m:r>
      </m:oMath>
      <w:r w:rsidRPr="006B426D">
        <w:t xml:space="preserve">: salt ions. The theory used here </w:t>
      </w:r>
      <w:r w:rsidR="00750944" w:rsidRPr="006B426D">
        <w:t>is</w:t>
      </w:r>
      <w:r w:rsidRPr="006B426D">
        <w:t xml:space="preserve"> exact and without model assumptions</w:t>
      </w:r>
      <w:r w:rsidR="00485B95" w:rsidRPr="006B426D">
        <w:t>.</w:t>
      </w:r>
      <w:r w:rsidRPr="006B426D">
        <w:t xml:space="preserve"> One limitation of the theory, however, is that it is not possible to study the independent effects of each ion, due to the fact that the number of cations or anions, formed by the dissociation of salts, cannot be altered independently, as a consequence of this it is a standard practice to use the concentration of “indistinguishable ions” as opposed to salt concentration.</w:t>
      </w:r>
      <w:r w:rsidR="00AA5067" w:rsidRPr="006B426D">
        <w:rPr>
          <w:noProof/>
          <w:vertAlign w:val="superscript"/>
        </w:rPr>
        <w:t>43,44</w:t>
      </w:r>
      <w:r w:rsidRPr="006B426D">
        <w:t xml:space="preserve"> Therefore, </w:t>
      </w:r>
      <w:r w:rsidRPr="006B426D">
        <w:rPr>
          <w:i/>
        </w:rPr>
        <w:t>c</w:t>
      </w:r>
      <w:r w:rsidRPr="006B426D">
        <w:rPr>
          <w:vertAlign w:val="subscript"/>
        </w:rPr>
        <w:t>s</w:t>
      </w:r>
      <w:r w:rsidRPr="006B426D">
        <w:t xml:space="preserve"> refers to the concentration of the salt’s ions. </w:t>
      </w:r>
      <w:r w:rsidR="00AB19EA" w:rsidRPr="006B426D">
        <w:t xml:space="preserve">We emphasize that this inability of changing anion and cation concentrations separately in </w:t>
      </w:r>
      <w:r w:rsidR="00590FAD" w:rsidRPr="006B426D">
        <w:t xml:space="preserve">solution </w:t>
      </w:r>
      <w:r w:rsidR="00D52814" w:rsidRPr="006B426D">
        <w:t>poses difficulty</w:t>
      </w:r>
      <w:r w:rsidR="00AB19EA" w:rsidRPr="006B426D">
        <w:t xml:space="preserve"> from the experimental determination of contain separate KBIs for cations and anions, despite the </w:t>
      </w:r>
      <w:r w:rsidR="00485B95" w:rsidRPr="006B426D">
        <w:t>s</w:t>
      </w:r>
      <w:r w:rsidR="00D52814" w:rsidRPr="006B426D">
        <w:t>eminal extens</w:t>
      </w:r>
      <w:r w:rsidR="00AB19EA" w:rsidRPr="006B426D">
        <w:t>ion of the KB theory</w:t>
      </w:r>
      <w:r w:rsidR="00485B95" w:rsidRPr="006B426D">
        <w:t xml:space="preserve"> by Pa</w:t>
      </w:r>
      <w:r w:rsidR="00AB19EA" w:rsidRPr="006B426D">
        <w:t>tey and coworkers.</w:t>
      </w:r>
      <w:r w:rsidR="00A05455" w:rsidRPr="006B426D">
        <w:rPr>
          <w:noProof/>
          <w:vertAlign w:val="superscript"/>
        </w:rPr>
        <w:t>45,46</w:t>
      </w:r>
      <w:r w:rsidR="00AB19EA" w:rsidRPr="006B426D">
        <w:t xml:space="preserve"> </w:t>
      </w:r>
    </w:p>
    <w:p w14:paraId="28721B99" w14:textId="3CEC3D72" w:rsidR="00624968" w:rsidRPr="006B426D" w:rsidRDefault="00624968" w:rsidP="00155BDE">
      <w:pPr>
        <w:pStyle w:val="TAMainText"/>
        <w:ind w:firstLine="0"/>
      </w:pPr>
    </w:p>
    <w:p w14:paraId="442122D5" w14:textId="02312123" w:rsidR="00F86666" w:rsidRPr="006B426D" w:rsidRDefault="00346860" w:rsidP="00155BDE">
      <w:pPr>
        <w:pStyle w:val="TAMainText"/>
        <w:rPr>
          <w:color w:val="000000" w:themeColor="text1"/>
        </w:rPr>
      </w:pPr>
      <w:r w:rsidRPr="006B426D">
        <w:rPr>
          <w:color w:val="000000" w:themeColor="text1"/>
        </w:rPr>
        <w:t xml:space="preserve">Indeed, experimental evidence suggests that anions and cations both contribute to cellulose dissolution and dissecting dissolution capability into individual ion contributions may be extremely challenging. </w:t>
      </w:r>
      <w:r w:rsidR="00F86666" w:rsidRPr="006B426D">
        <w:rPr>
          <w:color w:val="000000" w:themeColor="text1"/>
        </w:rPr>
        <w:t xml:space="preserve">Due to the rarity of systematic cellobiose solubility data, here we summarize the dissolution of </w:t>
      </w:r>
      <w:r w:rsidRPr="006B426D">
        <w:rPr>
          <w:color w:val="000000" w:themeColor="text1"/>
        </w:rPr>
        <w:t xml:space="preserve">cellulose </w:t>
      </w:r>
      <w:r w:rsidR="00F86666" w:rsidRPr="006B426D">
        <w:rPr>
          <w:color w:val="000000" w:themeColor="text1"/>
        </w:rPr>
        <w:t xml:space="preserve">itself:  </w:t>
      </w:r>
    </w:p>
    <w:p w14:paraId="37867F63" w14:textId="0D08AA60" w:rsidR="003516A1" w:rsidRPr="006B426D" w:rsidRDefault="004A25DC" w:rsidP="00155BDE">
      <w:pPr>
        <w:pStyle w:val="TAMainText"/>
        <w:numPr>
          <w:ilvl w:val="0"/>
          <w:numId w:val="9"/>
        </w:numPr>
        <w:rPr>
          <w:rFonts w:eastAsia="Times" w:cs="Times"/>
          <w:color w:val="000000" w:themeColor="text1"/>
          <w:szCs w:val="24"/>
        </w:rPr>
      </w:pPr>
      <w:r w:rsidRPr="006B426D">
        <w:rPr>
          <w:rFonts w:eastAsia="Times" w:cs="Times"/>
          <w:color w:val="000000" w:themeColor="text1"/>
          <w:szCs w:val="24"/>
        </w:rPr>
        <w:t xml:space="preserve">LiCl/water </w:t>
      </w:r>
      <w:r w:rsidR="003516A1" w:rsidRPr="006B426D">
        <w:rPr>
          <w:rFonts w:eastAsia="Times" w:cs="Times"/>
          <w:color w:val="000000" w:themeColor="text1"/>
          <w:szCs w:val="24"/>
        </w:rPr>
        <w:t xml:space="preserve">does not dissolve cellulose </w:t>
      </w:r>
      <w:r w:rsidR="00346860" w:rsidRPr="006B426D">
        <w:rPr>
          <w:rFonts w:eastAsia="Times" w:cs="Times"/>
          <w:color w:val="000000" w:themeColor="text1"/>
          <w:szCs w:val="24"/>
        </w:rPr>
        <w:t>polymers</w:t>
      </w:r>
      <w:r w:rsidR="00155BDE" w:rsidRPr="006B426D">
        <w:rPr>
          <w:rFonts w:eastAsia="Times" w:cs="Times"/>
          <w:noProof/>
          <w:color w:val="000000" w:themeColor="text1"/>
          <w:szCs w:val="24"/>
          <w:vertAlign w:val="superscript"/>
        </w:rPr>
        <w:t>47</w:t>
      </w:r>
      <w:r w:rsidR="00155BDE" w:rsidRPr="006B426D">
        <w:rPr>
          <w:rFonts w:eastAsia="Times" w:cs="Times"/>
          <w:color w:val="000000" w:themeColor="text1"/>
          <w:szCs w:val="24"/>
        </w:rPr>
        <w:t xml:space="preserve"> </w:t>
      </w:r>
      <w:r w:rsidR="003516A1" w:rsidRPr="006B426D">
        <w:rPr>
          <w:rFonts w:eastAsia="Times" w:cs="Times"/>
          <w:color w:val="000000" w:themeColor="text1"/>
          <w:szCs w:val="24"/>
        </w:rPr>
        <w:t>but LiBr/water mixture dissolves cellulose</w:t>
      </w:r>
      <w:r w:rsidR="00155BDE" w:rsidRPr="006B426D">
        <w:rPr>
          <w:rFonts w:eastAsia="Times" w:cs="Times"/>
          <w:color w:val="000000" w:themeColor="text1"/>
          <w:szCs w:val="24"/>
        </w:rPr>
        <w:t>.</w:t>
      </w:r>
      <w:r w:rsidR="00155BDE" w:rsidRPr="006B426D">
        <w:rPr>
          <w:rFonts w:eastAsia="Times" w:cs="Times"/>
          <w:noProof/>
          <w:color w:val="000000" w:themeColor="text1"/>
          <w:szCs w:val="24"/>
          <w:vertAlign w:val="superscript"/>
        </w:rPr>
        <w:t>3</w:t>
      </w:r>
    </w:p>
    <w:p w14:paraId="0CBCA4A8" w14:textId="7749F803" w:rsidR="003516A1" w:rsidRPr="006B426D" w:rsidRDefault="003516A1" w:rsidP="00155BDE">
      <w:pPr>
        <w:pStyle w:val="ListParagraph"/>
        <w:numPr>
          <w:ilvl w:val="0"/>
          <w:numId w:val="9"/>
        </w:numPr>
        <w:spacing w:after="0" w:line="480" w:lineRule="auto"/>
        <w:jc w:val="both"/>
        <w:rPr>
          <w:rFonts w:ascii="Times" w:eastAsia="Times" w:hAnsi="Times" w:cs="Times"/>
          <w:color w:val="000000" w:themeColor="text1"/>
          <w:sz w:val="24"/>
          <w:szCs w:val="24"/>
          <w:lang w:val="en-US" w:eastAsia="en-US"/>
        </w:rPr>
      </w:pPr>
      <w:r w:rsidRPr="006B426D">
        <w:rPr>
          <w:rFonts w:ascii="Times" w:eastAsia="Times" w:hAnsi="Times" w:cs="Times"/>
          <w:color w:val="000000" w:themeColor="text1"/>
          <w:sz w:val="24"/>
          <w:szCs w:val="24"/>
          <w:lang w:val="en-US" w:eastAsia="en-US"/>
        </w:rPr>
        <w:t xml:space="preserve"> To solubilize cellulose with LiCl, a complete removal of the solvent water is indispensable, i.e., the complete replacement of water by ethanol, acetone, or dimethylacetamide.</w:t>
      </w:r>
      <w:r w:rsidR="008579FA" w:rsidRPr="006B426D">
        <w:rPr>
          <w:rFonts w:ascii="Times" w:eastAsia="Times" w:hAnsi="Times" w:cs="Times"/>
          <w:noProof/>
          <w:color w:val="000000" w:themeColor="text1"/>
          <w:sz w:val="24"/>
          <w:szCs w:val="24"/>
          <w:vertAlign w:val="superscript"/>
          <w:lang w:val="en-US" w:eastAsia="en-US"/>
        </w:rPr>
        <w:t>38,48</w:t>
      </w:r>
    </w:p>
    <w:p w14:paraId="521D7307" w14:textId="55F70431" w:rsidR="00622870" w:rsidRPr="006B426D" w:rsidRDefault="003516A1" w:rsidP="003516A1">
      <w:pPr>
        <w:spacing w:after="0" w:line="480" w:lineRule="auto"/>
        <w:jc w:val="both"/>
        <w:rPr>
          <w:rFonts w:ascii="Times" w:eastAsia="Times" w:hAnsi="Times" w:cs="Times"/>
          <w:strike/>
          <w:color w:val="000000" w:themeColor="text1"/>
          <w:sz w:val="24"/>
          <w:szCs w:val="24"/>
          <w:lang w:val="en-US" w:eastAsia="en-US"/>
        </w:rPr>
      </w:pPr>
      <w:r w:rsidRPr="006B426D">
        <w:rPr>
          <w:rFonts w:ascii="Times" w:eastAsia="Times" w:hAnsi="Times" w:cs="Times"/>
          <w:color w:val="000000" w:themeColor="text1"/>
          <w:sz w:val="24"/>
          <w:szCs w:val="24"/>
          <w:lang w:val="en-US" w:eastAsia="en-US"/>
        </w:rPr>
        <w:t xml:space="preserve">Such a strong anion dependence </w:t>
      </w:r>
      <w:r w:rsidR="00F86666" w:rsidRPr="006B426D">
        <w:rPr>
          <w:rFonts w:ascii="Times" w:eastAsia="Times" w:hAnsi="Times" w:cs="Times"/>
          <w:color w:val="000000" w:themeColor="text1"/>
          <w:sz w:val="24"/>
          <w:szCs w:val="24"/>
          <w:lang w:val="en-US" w:eastAsia="en-US"/>
        </w:rPr>
        <w:t xml:space="preserve">suggests that both </w:t>
      </w:r>
      <w:r w:rsidRPr="006B426D">
        <w:rPr>
          <w:rFonts w:ascii="Times" w:eastAsia="Times" w:hAnsi="Times" w:cs="Times"/>
          <w:color w:val="000000" w:themeColor="text1"/>
          <w:sz w:val="24"/>
          <w:szCs w:val="24"/>
          <w:lang w:val="en-US" w:eastAsia="en-US"/>
        </w:rPr>
        <w:t>anions and cations are engaged in the interaction with cellulose</w:t>
      </w:r>
      <w:r w:rsidR="00F86666" w:rsidRPr="006B426D">
        <w:rPr>
          <w:rFonts w:ascii="Times" w:eastAsia="Times" w:hAnsi="Times" w:cs="Times"/>
          <w:color w:val="000000" w:themeColor="text1"/>
          <w:sz w:val="24"/>
          <w:szCs w:val="24"/>
          <w:lang w:val="en-US" w:eastAsia="en-US"/>
        </w:rPr>
        <w:t xml:space="preserve"> molecules in a hard-to-separate manner. </w:t>
      </w:r>
    </w:p>
    <w:p w14:paraId="1718D7D7" w14:textId="77777777" w:rsidR="00F343AD" w:rsidRPr="006B426D" w:rsidRDefault="00F343AD" w:rsidP="003F7C30">
      <w:pPr>
        <w:spacing w:after="0" w:line="480" w:lineRule="auto"/>
        <w:jc w:val="both"/>
        <w:rPr>
          <w:rFonts w:eastAsia="Times" w:cs="Times"/>
          <w:szCs w:val="24"/>
        </w:rPr>
      </w:pPr>
    </w:p>
    <w:p w14:paraId="4ED2C5F5" w14:textId="45660C3C" w:rsidR="00622870" w:rsidRPr="006B426D" w:rsidRDefault="00622870" w:rsidP="00BD4EB5">
      <w:pPr>
        <w:pStyle w:val="TAMainText"/>
      </w:pPr>
      <w:r w:rsidRPr="006B426D">
        <w:rPr>
          <w:b/>
        </w:rPr>
        <w:t xml:space="preserve">To quantify the relative contribution of KBIs in solubilization, </w:t>
      </w:r>
      <w:r w:rsidRPr="006B426D">
        <w:t xml:space="preserve">let us employ how cellobiose solubility, </w:t>
      </w:r>
      <m:oMath>
        <m:sSub>
          <m:sSubPr>
            <m:ctrlPr>
              <w:rPr>
                <w:rFonts w:ascii="Cambria Math" w:hAnsi="Cambria Math"/>
                <w:i/>
              </w:rPr>
            </m:ctrlPr>
          </m:sSubPr>
          <m:e>
            <m:r>
              <w:rPr>
                <w:rFonts w:ascii="Cambria Math" w:hAnsi="Cambria Math"/>
              </w:rPr>
              <m:t>c</m:t>
            </m:r>
          </m:e>
          <m:sub>
            <m:r>
              <w:rPr>
                <w:rFonts w:ascii="Cambria Math" w:hAnsi="Cambria Math"/>
              </w:rPr>
              <m:t>c</m:t>
            </m:r>
          </m:sub>
        </m:sSub>
      </m:oMath>
      <w:r w:rsidRPr="006B426D">
        <w:t xml:space="preserve">, when dependent on the ion concentration, </w:t>
      </w:r>
      <m:oMath>
        <m:sSub>
          <m:sSubPr>
            <m:ctrlPr>
              <w:rPr>
                <w:rFonts w:ascii="Cambria Math" w:hAnsi="Cambria Math"/>
                <w:i/>
              </w:rPr>
            </m:ctrlPr>
          </m:sSubPr>
          <m:e>
            <m:r>
              <w:rPr>
                <w:rFonts w:ascii="Cambria Math" w:hAnsi="Cambria Math"/>
              </w:rPr>
              <m:t>c</m:t>
            </m:r>
          </m:e>
          <m:sub>
            <m:r>
              <w:rPr>
                <w:rFonts w:ascii="Cambria Math" w:hAnsi="Cambria Math"/>
              </w:rPr>
              <m:t>s</m:t>
            </m:r>
          </m:sub>
        </m:sSub>
      </m:oMath>
      <w:r w:rsidRPr="006B426D">
        <w:t xml:space="preserve">, can be expressed in terms of KBIs as </w:t>
      </w:r>
    </w:p>
    <w:p w14:paraId="07012FDC" w14:textId="77777777" w:rsidR="00622870" w:rsidRPr="006B426D" w:rsidRDefault="00A44FDD" w:rsidP="00BD4EB5">
      <w:pPr>
        <w:pStyle w:val="TAMainText"/>
        <w:rPr>
          <w:bCs/>
        </w:rPr>
      </w:pPr>
      <m:oMath>
        <m:f>
          <m:fPr>
            <m:ctrlPr>
              <w:rPr>
                <w:rFonts w:ascii="Cambria Math" w:hAnsi="Cambria Math"/>
                <w:bCs/>
                <w:i/>
              </w:rPr>
            </m:ctrlPr>
          </m:fPr>
          <m:num>
            <m:r>
              <w:rPr>
                <w:rFonts w:ascii="Cambria Math" w:hAnsi="Cambria Math"/>
              </w:rPr>
              <m:t>1</m:t>
            </m:r>
          </m:num>
          <m:den>
            <m:r>
              <w:rPr>
                <w:rFonts w:ascii="Cambria Math" w:hAnsi="Cambria Math"/>
              </w:rPr>
              <m:t>RT</m:t>
            </m:r>
          </m:den>
        </m:f>
        <m:sSub>
          <m:sSubPr>
            <m:ctrlPr>
              <w:rPr>
                <w:rFonts w:ascii="Cambria Math" w:hAnsi="Cambria Math"/>
                <w:bCs/>
              </w:rPr>
            </m:ctrlPr>
          </m:sSubPr>
          <m:e>
            <m:d>
              <m:dPr>
                <m:ctrlPr>
                  <w:rPr>
                    <w:rFonts w:ascii="Cambria Math" w:hAnsi="Cambria Math"/>
                    <w:bCs/>
                  </w:rPr>
                </m:ctrlPr>
              </m:dPr>
              <m:e>
                <m:f>
                  <m:fPr>
                    <m:ctrlPr>
                      <w:rPr>
                        <w:rFonts w:ascii="Cambria Math" w:hAnsi="Cambria Math"/>
                        <w:bCs/>
                      </w:rPr>
                    </m:ctrlPr>
                  </m:fPr>
                  <m:num>
                    <m:r>
                      <w:rPr>
                        <w:rFonts w:ascii="Cambria Math" w:hAnsi="Cambria Math"/>
                      </w:rPr>
                      <m:t>∂</m:t>
                    </m:r>
                    <m:func>
                      <m:funcPr>
                        <m:ctrlPr>
                          <w:rPr>
                            <w:rFonts w:ascii="Cambria Math" w:hAnsi="Cambria Math"/>
                            <w:i/>
                          </w:rPr>
                        </m:ctrlPr>
                      </m:funcPr>
                      <m:fName>
                        <m:r>
                          <m:rPr>
                            <m:sty m:val="p"/>
                          </m:rPr>
                          <w:rPr>
                            <w:rFonts w:ascii="Cambria Math" w:hAnsi="Cambria Math"/>
                          </w:rPr>
                          <m:t>ln</m:t>
                        </m:r>
                      </m:fName>
                      <m:e>
                        <m:sSub>
                          <m:sSubPr>
                            <m:ctrlPr>
                              <w:rPr>
                                <w:rFonts w:ascii="Cambria Math" w:hAnsi="Cambria Math"/>
                                <w:i/>
                              </w:rPr>
                            </m:ctrlPr>
                          </m:sSubPr>
                          <m:e>
                            <m:r>
                              <w:rPr>
                                <w:rFonts w:ascii="Cambria Math" w:hAnsi="Cambria Math"/>
                              </w:rPr>
                              <m:t>c</m:t>
                            </m:r>
                          </m:e>
                          <m:sub>
                            <m:r>
                              <w:rPr>
                                <w:rFonts w:ascii="Cambria Math" w:hAnsi="Cambria Math"/>
                              </w:rPr>
                              <m:t>c</m:t>
                            </m:r>
                          </m:sub>
                        </m:sSub>
                      </m:e>
                    </m:func>
                    <m:r>
                      <m:rPr>
                        <m:sty m:val="p"/>
                      </m:rPr>
                      <w:rPr>
                        <w:rFonts w:ascii="Cambria Math" w:hAnsi="Cambria Math"/>
                      </w:rPr>
                      <m:t xml:space="preserve"> </m:t>
                    </m:r>
                  </m:num>
                  <m:den>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s</m:t>
                        </m:r>
                      </m:sub>
                    </m:sSub>
                  </m:den>
                </m:f>
              </m:e>
            </m:d>
          </m:e>
          <m:sub>
            <m:r>
              <w:rPr>
                <w:rFonts w:ascii="Cambria Math" w:hAnsi="Cambria Math"/>
              </w:rPr>
              <m:t>T</m:t>
            </m:r>
            <m:r>
              <m:rPr>
                <m:sty m:val="p"/>
              </m:rPr>
              <w:rPr>
                <w:rFonts w:ascii="Cambria Math" w:hAnsi="Cambria Math"/>
              </w:rPr>
              <m:t>,</m:t>
            </m:r>
            <m:r>
              <w:rPr>
                <w:rFonts w:ascii="Cambria Math" w:hAnsi="Cambria Math"/>
              </w:rPr>
              <m:t>P</m:t>
            </m:r>
          </m:sub>
        </m:sSub>
        <m:r>
          <m:rPr>
            <m:sty m:val="p"/>
          </m:rPr>
          <w:rPr>
            <w:rFonts w:ascii="Cambria Math" w:hAnsi="Cambria Math"/>
          </w:rPr>
          <m:t>=</m:t>
        </m:r>
        <m:f>
          <m:fPr>
            <m:ctrlPr>
              <w:rPr>
                <w:rFonts w:ascii="Cambria Math" w:hAnsi="Cambria Math"/>
              </w:rPr>
            </m:ctrlPr>
          </m:fPr>
          <m:num>
            <m:sSub>
              <m:sSubPr>
                <m:ctrlPr>
                  <w:rPr>
                    <w:rFonts w:ascii="Cambria Math" w:hAnsi="Cambria Math"/>
                    <w:bCs/>
                  </w:rPr>
                </m:ctrlPr>
              </m:sSubPr>
              <m:e>
                <m:r>
                  <w:rPr>
                    <w:rFonts w:ascii="Cambria Math" w:hAnsi="Cambria Math"/>
                  </w:rPr>
                  <m:t>G</m:t>
                </m:r>
              </m:e>
              <m:sub>
                <m:r>
                  <m:rPr>
                    <m:sty m:val="p"/>
                  </m:rPr>
                  <w:rPr>
                    <w:rFonts w:ascii="Cambria Math" w:hAnsi="Cambria Math"/>
                  </w:rPr>
                  <m:t>cs</m:t>
                </m:r>
              </m:sub>
            </m:sSub>
            <m:r>
              <m:rPr>
                <m:sty m:val="p"/>
              </m:rPr>
              <w:rPr>
                <w:rFonts w:ascii="Cambria Math" w:hAnsi="Cambria Math"/>
              </w:rPr>
              <m:t>-</m:t>
            </m:r>
            <m:sSub>
              <m:sSubPr>
                <m:ctrlPr>
                  <w:rPr>
                    <w:rFonts w:ascii="Cambria Math" w:hAnsi="Cambria Math"/>
                    <w:bCs/>
                  </w:rPr>
                </m:ctrlPr>
              </m:sSubPr>
              <m:e>
                <m:r>
                  <w:rPr>
                    <w:rFonts w:ascii="Cambria Math" w:hAnsi="Cambria Math"/>
                  </w:rPr>
                  <m:t>G</m:t>
                </m:r>
              </m:e>
              <m:sub>
                <m:r>
                  <m:rPr>
                    <m:sty m:val="p"/>
                  </m:rPr>
                  <w:rPr>
                    <w:rFonts w:ascii="Cambria Math" w:hAnsi="Cambria Math"/>
                  </w:rPr>
                  <m:t>cw</m:t>
                </m:r>
              </m:sub>
            </m:sSub>
            <m:ctrlPr>
              <w:rPr>
                <w:rFonts w:ascii="Cambria Math" w:hAnsi="Cambria Math"/>
                <w:bCs/>
                <w:i/>
              </w:rPr>
            </m:ctrlPr>
          </m:num>
          <m:den>
            <m:r>
              <w:rPr>
                <w:rFonts w:ascii="Cambria Math" w:hAnsi="Cambria Math"/>
              </w:rPr>
              <m:t>1+</m:t>
            </m:r>
            <m:sSub>
              <m:sSubPr>
                <m:ctrlPr>
                  <w:rPr>
                    <w:rFonts w:ascii="Cambria Math" w:hAnsi="Cambria Math"/>
                    <w:bCs/>
                    <w:i/>
                  </w:rPr>
                </m:ctrlPr>
              </m:sSubPr>
              <m:e>
                <m:r>
                  <w:rPr>
                    <w:rFonts w:ascii="Cambria Math" w:hAnsi="Cambria Math"/>
                  </w:rPr>
                  <m:t>c</m:t>
                </m:r>
              </m:e>
              <m:sub>
                <m:r>
                  <w:rPr>
                    <w:rFonts w:ascii="Cambria Math" w:hAnsi="Cambria Math"/>
                  </w:rPr>
                  <m:t>s</m:t>
                </m:r>
              </m:sub>
            </m:sSub>
            <m:d>
              <m:dPr>
                <m:ctrlPr>
                  <w:rPr>
                    <w:rFonts w:ascii="Cambria Math" w:hAnsi="Cambria Math"/>
                    <w:bCs/>
                    <w:i/>
                  </w:rPr>
                </m:ctrlPr>
              </m:dPr>
              <m:e>
                <m:sSub>
                  <m:sSubPr>
                    <m:ctrlPr>
                      <w:rPr>
                        <w:rFonts w:ascii="Cambria Math" w:hAnsi="Cambria Math"/>
                        <w:bCs/>
                        <w:i/>
                      </w:rPr>
                    </m:ctrlPr>
                  </m:sSubPr>
                  <m:e>
                    <m:r>
                      <w:rPr>
                        <w:rFonts w:ascii="Cambria Math" w:hAnsi="Cambria Math"/>
                      </w:rPr>
                      <m:t>G</m:t>
                    </m:r>
                  </m:e>
                  <m:sub>
                    <m:r>
                      <w:rPr>
                        <w:rFonts w:ascii="Cambria Math" w:hAnsi="Cambria Math"/>
                      </w:rPr>
                      <m:t>ss</m:t>
                    </m:r>
                  </m:sub>
                </m:sSub>
                <m:r>
                  <w:rPr>
                    <w:rFonts w:ascii="Cambria Math" w:hAnsi="Cambria Math"/>
                  </w:rPr>
                  <m:t>-</m:t>
                </m:r>
                <m:sSub>
                  <m:sSubPr>
                    <m:ctrlPr>
                      <w:rPr>
                        <w:rFonts w:ascii="Cambria Math" w:hAnsi="Cambria Math"/>
                        <w:bCs/>
                        <w:i/>
                      </w:rPr>
                    </m:ctrlPr>
                  </m:sSubPr>
                  <m:e>
                    <m:r>
                      <w:rPr>
                        <w:rFonts w:ascii="Cambria Math" w:hAnsi="Cambria Math"/>
                      </w:rPr>
                      <m:t>G</m:t>
                    </m:r>
                  </m:e>
                  <m:sub>
                    <m:r>
                      <w:rPr>
                        <w:rFonts w:ascii="Cambria Math" w:hAnsi="Cambria Math"/>
                      </w:rPr>
                      <m:t>sw</m:t>
                    </m:r>
                  </m:sub>
                </m:sSub>
              </m:e>
            </m:d>
          </m:den>
        </m:f>
      </m:oMath>
      <w:r w:rsidR="00622870" w:rsidRPr="006B426D">
        <w:rPr>
          <w:bCs/>
        </w:rPr>
        <w:tab/>
      </w:r>
      <w:r w:rsidR="00622870" w:rsidRPr="006B426D">
        <w:rPr>
          <w:bCs/>
        </w:rPr>
        <w:tab/>
      </w:r>
      <w:r w:rsidR="00622870" w:rsidRPr="006B426D">
        <w:rPr>
          <w:bCs/>
        </w:rPr>
        <w:tab/>
      </w:r>
      <w:r w:rsidR="00622870" w:rsidRPr="006B426D">
        <w:rPr>
          <w:bCs/>
        </w:rPr>
        <w:tab/>
      </w:r>
      <w:r w:rsidR="00622870" w:rsidRPr="006B426D">
        <w:rPr>
          <w:bCs/>
        </w:rPr>
        <w:tab/>
      </w:r>
      <w:r w:rsidR="00622870" w:rsidRPr="006B426D">
        <w:rPr>
          <w:bCs/>
        </w:rPr>
        <w:tab/>
      </w:r>
      <w:r w:rsidR="00622870" w:rsidRPr="006B426D">
        <w:rPr>
          <w:bCs/>
        </w:rPr>
        <w:tab/>
      </w:r>
      <w:r w:rsidR="00622870" w:rsidRPr="006B426D">
        <w:rPr>
          <w:bCs/>
        </w:rPr>
        <w:tab/>
        <w:t>(2)</w:t>
      </w:r>
    </w:p>
    <w:p w14:paraId="5395B4F5" w14:textId="11ECAAF5" w:rsidR="00622870" w:rsidRPr="006B426D" w:rsidRDefault="00622870" w:rsidP="00BD4EB5">
      <w:pPr>
        <w:pStyle w:val="TAMainText"/>
        <w:ind w:firstLine="0"/>
        <w:rPr>
          <w:rFonts w:cstheme="minorHAnsi"/>
        </w:rPr>
      </w:pPr>
      <w:r w:rsidRPr="006B426D">
        <w:rPr>
          <w:rFonts w:cstheme="minorHAnsi"/>
        </w:rPr>
        <w:t xml:space="preserve">where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cs</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cw</m:t>
                </m:r>
              </m:sub>
            </m:sSub>
          </m:e>
        </m:d>
        <m:r>
          <w:rPr>
            <w:rFonts w:ascii="Cambria Math" w:hAnsi="Cambria Math" w:cstheme="minorHAnsi"/>
          </w:rPr>
          <m:t xml:space="preserve">, </m:t>
        </m:r>
      </m:oMath>
      <w:r w:rsidRPr="006B426D">
        <w:rPr>
          <w:rFonts w:cstheme="minorHAnsi"/>
        </w:rPr>
        <w:t>the preferential affinity between cellobiose molecules and ions</w:t>
      </w:r>
      <w:r w:rsidR="00DA0AB5" w:rsidRPr="006B426D">
        <w:rPr>
          <w:rFonts w:cstheme="minorHAnsi"/>
        </w:rPr>
        <w:t xml:space="preserve"> </w:t>
      </w:r>
      <w:r w:rsidRPr="006B426D">
        <w:rPr>
          <w:rFonts w:cstheme="minorHAnsi"/>
        </w:rPr>
        <w:t xml:space="preserve">over cellobiose and water molecules, drives up the solubility, while </w:t>
      </w:r>
      <m:oMath>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s</m:t>
            </m:r>
          </m:sub>
        </m:sSub>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ss</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sw</m:t>
                </m:r>
              </m:sub>
            </m:sSub>
          </m:e>
        </m:d>
      </m:oMath>
      <w:r w:rsidRPr="006B426D">
        <w:rPr>
          <w:rFonts w:cstheme="minorHAnsi"/>
        </w:rPr>
        <w:t>the preferential self-association of  ions, driven by ion-ion affinity (</w:t>
      </w:r>
      <m:oMath>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ss</m:t>
            </m:r>
          </m:sub>
        </m:sSub>
      </m:oMath>
      <w:r w:rsidRPr="006B426D">
        <w:rPr>
          <w:rFonts w:cstheme="minorHAnsi"/>
        </w:rPr>
        <w:t>) over affinity between ions and water or ion hydration (</w:t>
      </w:r>
      <m:oMath>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sw</m:t>
            </m:r>
          </m:sub>
        </m:sSub>
      </m:oMath>
      <w:r w:rsidRPr="006B426D">
        <w:rPr>
          <w:rFonts w:cstheme="minorHAnsi"/>
        </w:rPr>
        <w:t>) reduces the solubilization.</w:t>
      </w:r>
      <w:r w:rsidR="008579FA" w:rsidRPr="006B426D">
        <w:rPr>
          <w:rFonts w:cstheme="minorHAnsi"/>
          <w:noProof/>
          <w:vertAlign w:val="superscript"/>
        </w:rPr>
        <w:t>49</w:t>
      </w:r>
      <w:r w:rsidRPr="006B426D">
        <w:rPr>
          <w:rFonts w:cstheme="minorHAnsi"/>
        </w:rPr>
        <w:t xml:space="preserve"> </w:t>
      </w:r>
      <m:oMath>
        <m:r>
          <w:rPr>
            <w:rFonts w:ascii="Cambria Math" w:hAnsi="Cambria Math" w:cstheme="minorHAnsi"/>
          </w:rPr>
          <m:t>R</m:t>
        </m:r>
      </m:oMath>
      <w:r w:rsidRPr="006B426D">
        <w:rPr>
          <w:rFonts w:cstheme="minorHAnsi"/>
        </w:rPr>
        <w:t xml:space="preserve"> and </w:t>
      </w:r>
      <m:oMath>
        <m:r>
          <w:rPr>
            <w:rFonts w:ascii="Cambria Math" w:hAnsi="Cambria Math" w:cstheme="minorHAnsi"/>
          </w:rPr>
          <m:t>T</m:t>
        </m:r>
      </m:oMath>
      <w:r w:rsidRPr="006B426D">
        <w:rPr>
          <w:rFonts w:cstheme="minorHAnsi"/>
        </w:rPr>
        <w:t xml:space="preserve"> respectively denote the gas constant and the temperature. Eq. (2) thus quantifies the driving forces for </w:t>
      </w:r>
      <w:r w:rsidR="00DA0AB5" w:rsidRPr="006B426D">
        <w:rPr>
          <w:rFonts w:cstheme="minorHAnsi"/>
        </w:rPr>
        <w:t xml:space="preserve">cellobiose </w:t>
      </w:r>
      <w:r w:rsidRPr="006B426D">
        <w:rPr>
          <w:rFonts w:cstheme="minorHAnsi"/>
        </w:rPr>
        <w:t>dissolution.</w:t>
      </w:r>
    </w:p>
    <w:p w14:paraId="314BF106" w14:textId="77777777" w:rsidR="00622870" w:rsidRPr="006B426D" w:rsidRDefault="00622870" w:rsidP="00BD4EB5">
      <w:pPr>
        <w:spacing w:after="0" w:line="480" w:lineRule="auto"/>
        <w:jc w:val="both"/>
        <w:rPr>
          <w:rFonts w:ascii="Times" w:eastAsia="Times" w:hAnsi="Times" w:cs="Times"/>
          <w:sz w:val="24"/>
          <w:szCs w:val="24"/>
          <w:lang w:val="en-US"/>
        </w:rPr>
      </w:pPr>
    </w:p>
    <w:p w14:paraId="496A3ABC" w14:textId="46B594D3" w:rsidR="00622870" w:rsidRPr="006B426D" w:rsidRDefault="00622870" w:rsidP="00BD4EB5">
      <w:pPr>
        <w:pStyle w:val="TAMainText"/>
      </w:pPr>
      <w:r w:rsidRPr="006B426D">
        <w:rPr>
          <w:b/>
        </w:rPr>
        <w:t xml:space="preserve">The calculation of </w:t>
      </w:r>
      <m:oMath>
        <m:sSub>
          <m:sSubPr>
            <m:ctrlPr>
              <w:rPr>
                <w:rFonts w:ascii="Cambria Math" w:hAnsi="Cambria Math"/>
                <w:b/>
                <w:i/>
              </w:rPr>
            </m:ctrlPr>
          </m:sSubPr>
          <m:e>
            <m:r>
              <m:rPr>
                <m:sty m:val="bi"/>
              </m:rPr>
              <w:rPr>
                <w:rFonts w:ascii="Cambria Math" w:hAnsi="Cambria Math"/>
              </w:rPr>
              <m:t>G</m:t>
            </m:r>
          </m:e>
          <m:sub>
            <m:r>
              <m:rPr>
                <m:sty m:val="bi"/>
              </m:rPr>
              <w:rPr>
                <w:rFonts w:ascii="Cambria Math" w:hAnsi="Cambria Math"/>
              </w:rPr>
              <m:t>ij</m:t>
            </m:r>
          </m:sub>
        </m:sSub>
      </m:oMath>
      <w:r w:rsidRPr="006B426D">
        <w:rPr>
          <w:b/>
        </w:rPr>
        <w:t>s</w:t>
      </w:r>
      <w:r w:rsidRPr="006B426D">
        <w:t xml:space="preserve"> and the above expressions from experimental data requires not only the dependence of cellulose solubility on salt ion concentration (Eq. (2)) but also the partial molar volume of cellobiose in aqueous salt solutions, density and activities of aqueous salt solutions, all of which can be expressed in terms of KBIs. This procedure is well-established with </w:t>
      </w:r>
      <w:r w:rsidR="00A31BB4" w:rsidRPr="006B426D">
        <w:t xml:space="preserve">a </w:t>
      </w:r>
      <w:r w:rsidRPr="006B426D">
        <w:t xml:space="preserve">track record of successes in </w:t>
      </w:r>
      <w:r w:rsidR="006C3C39" w:rsidRPr="006B426D">
        <w:t>many</w:t>
      </w:r>
      <w:r w:rsidRPr="006B426D">
        <w:t xml:space="preserve"> applications,</w:t>
      </w:r>
      <w:r w:rsidR="008579FA" w:rsidRPr="006B426D">
        <w:rPr>
          <w:noProof/>
          <w:vertAlign w:val="superscript"/>
        </w:rPr>
        <w:t>25,26,50–54</w:t>
      </w:r>
      <w:r w:rsidRPr="006B426D">
        <w:t xml:space="preserve"> and will be detailed in the Supporting Information.  </w:t>
      </w:r>
    </w:p>
    <w:p w14:paraId="08ED42A6" w14:textId="77777777" w:rsidR="00D7689B" w:rsidRPr="006B426D" w:rsidRDefault="00D7689B" w:rsidP="00BD4EB5">
      <w:pPr>
        <w:pStyle w:val="TAMainText"/>
        <w:ind w:firstLine="0"/>
        <w:rPr>
          <w:rFonts w:asciiTheme="majorHAnsi" w:eastAsia="Times New Roman" w:hAnsiTheme="majorHAnsi" w:cs="Arial"/>
          <w:color w:val="222222"/>
          <w:szCs w:val="24"/>
          <w:lang w:eastAsia="en-GB"/>
        </w:rPr>
      </w:pPr>
    </w:p>
    <w:p w14:paraId="69C5C97A" w14:textId="77777777" w:rsidR="00622870" w:rsidRPr="006B426D" w:rsidRDefault="00622870" w:rsidP="00BD4EB5">
      <w:pPr>
        <w:pStyle w:val="TAMainText"/>
        <w:ind w:firstLine="0"/>
        <w:rPr>
          <w:b/>
          <w:lang w:eastAsia="en-GB"/>
        </w:rPr>
      </w:pPr>
      <w:r w:rsidRPr="006B426D">
        <w:rPr>
          <w:b/>
          <w:lang w:eastAsia="en-GB"/>
        </w:rPr>
        <w:t>3. Results and Discussion</w:t>
      </w:r>
    </w:p>
    <w:p w14:paraId="63CF3339" w14:textId="77777777" w:rsidR="00622870" w:rsidRPr="006B426D" w:rsidRDefault="00622870" w:rsidP="00BD4EB5">
      <w:pPr>
        <w:pStyle w:val="TAMainText"/>
        <w:ind w:firstLine="0"/>
      </w:pPr>
    </w:p>
    <w:p w14:paraId="1EECECBF" w14:textId="77777777" w:rsidR="00622870" w:rsidRPr="006B426D" w:rsidRDefault="00622870" w:rsidP="00BD4EB5">
      <w:pPr>
        <w:pStyle w:val="TAMainText"/>
        <w:ind w:firstLine="0"/>
      </w:pPr>
      <w:r w:rsidRPr="006B426D">
        <w:t xml:space="preserve">All of the proposed classical hypotheses for the mechanism of cellulose dissolution remain (for the most part) qualitative. To overcome such a limitation, we demonstrate in the following section that each of the driving forces for solubilization can be quantified, through statistical thermodynamics, using the experimental data identified previously. We then compare the findings of our new approach with those of the classical hypotheses to evaluate their veracity. </w:t>
      </w:r>
    </w:p>
    <w:p w14:paraId="02432977" w14:textId="77777777" w:rsidR="00622870" w:rsidRPr="006B426D" w:rsidRDefault="00622870" w:rsidP="00BD4EB5">
      <w:pPr>
        <w:pStyle w:val="TAMainText"/>
      </w:pPr>
    </w:p>
    <w:p w14:paraId="659A780B" w14:textId="7A6B0D7C" w:rsidR="00622870" w:rsidRPr="006B426D" w:rsidRDefault="00622870" w:rsidP="00BD4EB5">
      <w:pPr>
        <w:pStyle w:val="TAMainText"/>
        <w:ind w:firstLine="0"/>
        <w:rPr>
          <w:b/>
        </w:rPr>
      </w:pPr>
      <w:r w:rsidRPr="006B426D">
        <w:rPr>
          <w:b/>
        </w:rPr>
        <w:t>3.1. Driving forces of so</w:t>
      </w:r>
      <w:r w:rsidR="0014446B" w:rsidRPr="006B426D">
        <w:rPr>
          <w:b/>
        </w:rPr>
        <w:t>lubilization: Preferential cello</w:t>
      </w:r>
      <w:r w:rsidRPr="006B426D">
        <w:rPr>
          <w:b/>
        </w:rPr>
        <w:t xml:space="preserve">biose-salt interaction versus preferential self-aggregation of salts </w:t>
      </w:r>
    </w:p>
    <w:p w14:paraId="71FC3894" w14:textId="207CD462" w:rsidR="00622870" w:rsidRPr="006B426D" w:rsidRDefault="00A07586" w:rsidP="00BD4EB5">
      <w:pPr>
        <w:pStyle w:val="TAMainText"/>
        <w:ind w:firstLine="0"/>
        <w:jc w:val="left"/>
        <w:rPr>
          <w:noProof/>
          <w:lang w:eastAsia="en-GB"/>
        </w:rPr>
      </w:pPr>
      <w:r w:rsidRPr="006B426D">
        <w:rPr>
          <w:noProof/>
          <w:lang w:eastAsia="en-GB"/>
        </w:rPr>
        <w:t xml:space="preserve"> </w:t>
      </w:r>
    </w:p>
    <w:p w14:paraId="24228E25" w14:textId="7A99335E" w:rsidR="00691572" w:rsidRPr="006B426D" w:rsidRDefault="00691572" w:rsidP="00BD4EB5">
      <w:pPr>
        <w:pStyle w:val="TAMainText"/>
        <w:ind w:firstLine="0"/>
        <w:jc w:val="left"/>
        <w:rPr>
          <w:b/>
        </w:rPr>
      </w:pPr>
      <w:r w:rsidRPr="006B426D">
        <w:rPr>
          <w:noProof/>
          <w:lang w:val="en-GB" w:eastAsia="ja-JP"/>
        </w:rPr>
        <w:drawing>
          <wp:inline distT="0" distB="0" distL="0" distR="0" wp14:anchorId="3C28932C" wp14:editId="7CEEEE28">
            <wp:extent cx="3543300" cy="2971800"/>
            <wp:effectExtent l="0" t="0" r="0" b="0"/>
            <wp:docPr id="4" name="Chart 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137CE6" w14:textId="77777777" w:rsidR="00622870" w:rsidRPr="006B426D" w:rsidRDefault="00622870" w:rsidP="00BD4EB5">
      <w:pPr>
        <w:pStyle w:val="TAMainText"/>
        <w:ind w:firstLine="0"/>
        <w:jc w:val="left"/>
        <w:rPr>
          <w:b/>
        </w:rPr>
      </w:pPr>
    </w:p>
    <w:p w14:paraId="2AAB7C91" w14:textId="4B093E56" w:rsidR="00622870" w:rsidRPr="006B426D" w:rsidRDefault="00622870" w:rsidP="00BD4EB5">
      <w:pPr>
        <w:pStyle w:val="TAMainText"/>
        <w:ind w:firstLine="0"/>
        <w:jc w:val="left"/>
        <w:rPr>
          <w:color w:val="FF0000"/>
        </w:rPr>
      </w:pPr>
      <w:r w:rsidRPr="006B426D">
        <w:rPr>
          <w:b/>
        </w:rPr>
        <w:t>Figure 2:</w:t>
      </w:r>
      <w:r w:rsidRPr="006B426D">
        <w:t xml:space="preserve"> Preferential cellobiose-ion interactions characterized quantitatively via the Kirkwood-Buff integrals (</w:t>
      </w:r>
      <m:oMath>
        <m:sSub>
          <m:sSubPr>
            <m:ctrlPr>
              <w:rPr>
                <w:rFonts w:ascii="Cambria Math" w:hAnsi="Cambria Math"/>
                <w:i/>
              </w:rPr>
            </m:ctrlPr>
          </m:sSubPr>
          <m:e>
            <m:r>
              <w:rPr>
                <w:rFonts w:ascii="Cambria Math" w:hAnsi="Cambria Math"/>
              </w:rPr>
              <m:t>G</m:t>
            </m:r>
          </m:e>
          <m:sub>
            <m:r>
              <w:rPr>
                <w:rFonts w:ascii="Cambria Math" w:hAnsi="Cambria Math"/>
              </w:rPr>
              <m:t>cs</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cw</m:t>
            </m:r>
          </m:sub>
        </m:sSub>
      </m:oMath>
      <w:r w:rsidRPr="006B426D">
        <w:t>) for NaCl, KCl, LiCl and ZnCl</w:t>
      </w:r>
      <w:r w:rsidRPr="006B426D">
        <w:rPr>
          <w:vertAlign w:val="subscript"/>
        </w:rPr>
        <w:t>2</w:t>
      </w:r>
      <w:r w:rsidRPr="006B426D">
        <w:t xml:space="preserve"> calculated from the solubility data.</w:t>
      </w:r>
      <w:r w:rsidR="00AA5067" w:rsidRPr="006B426D">
        <w:rPr>
          <w:noProof/>
          <w:vertAlign w:val="superscript"/>
        </w:rPr>
        <w:t>42</w:t>
      </w:r>
      <w:r w:rsidRPr="006B426D">
        <w:t xml:space="preserve"> See Supporting Information for calculation procedure</w:t>
      </w:r>
      <w:r w:rsidR="008E00CD" w:rsidRPr="006B426D">
        <w:t xml:space="preserve"> (SI:B)</w:t>
      </w:r>
      <w:r w:rsidRPr="006B426D">
        <w:t xml:space="preserve">. </w:t>
      </w:r>
    </w:p>
    <w:p w14:paraId="0FD687A4" w14:textId="77777777" w:rsidR="00622870" w:rsidRPr="006B426D" w:rsidRDefault="00622870" w:rsidP="00BD4EB5">
      <w:pPr>
        <w:pStyle w:val="TAMainText"/>
        <w:ind w:firstLine="0"/>
        <w:rPr>
          <w:b/>
        </w:rPr>
      </w:pPr>
    </w:p>
    <w:p w14:paraId="341E6490" w14:textId="77777777" w:rsidR="00622870" w:rsidRPr="006B426D" w:rsidRDefault="00622870" w:rsidP="00BD4EB5">
      <w:pPr>
        <w:pStyle w:val="TAMainText"/>
        <w:ind w:firstLine="0"/>
        <w:rPr>
          <w:b/>
        </w:rPr>
      </w:pPr>
    </w:p>
    <w:p w14:paraId="0D04B4D1" w14:textId="77777777" w:rsidR="00622870" w:rsidRPr="006B426D" w:rsidRDefault="00622870" w:rsidP="00BD4EB5">
      <w:pPr>
        <w:pStyle w:val="TAMainText"/>
        <w:ind w:firstLine="0"/>
        <w:rPr>
          <w:b/>
        </w:rPr>
      </w:pPr>
      <w:r w:rsidRPr="006B426D">
        <w:rPr>
          <w:noProof/>
          <w:lang w:val="en-GB" w:eastAsia="ja-JP"/>
        </w:rPr>
        <w:drawing>
          <wp:anchor distT="0" distB="0" distL="114300" distR="114300" simplePos="0" relativeHeight="251663872" behindDoc="0" locked="0" layoutInCell="1" allowOverlap="1" wp14:anchorId="1A33F38C" wp14:editId="2440FFA4">
            <wp:simplePos x="0" y="0"/>
            <wp:positionH relativeFrom="margin">
              <wp:posOffset>0</wp:posOffset>
            </wp:positionH>
            <wp:positionV relativeFrom="paragraph">
              <wp:posOffset>352425</wp:posOffset>
            </wp:positionV>
            <wp:extent cx="3024000" cy="2808000"/>
            <wp:effectExtent l="0" t="0" r="5080" b="11430"/>
            <wp:wrapSquare wrapText="bothSides"/>
            <wp:docPr id="2" name="Chart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08997ADD" w14:textId="77777777" w:rsidR="00622870" w:rsidRPr="006B426D" w:rsidRDefault="00622870" w:rsidP="00BD4EB5">
      <w:pPr>
        <w:pStyle w:val="TAMainText"/>
        <w:ind w:firstLine="0"/>
      </w:pPr>
    </w:p>
    <w:p w14:paraId="030B27F6" w14:textId="77777777" w:rsidR="00622870" w:rsidRPr="006B426D" w:rsidRDefault="00622870" w:rsidP="00BD4EB5">
      <w:pPr>
        <w:pStyle w:val="TAMainText"/>
        <w:ind w:firstLine="0"/>
      </w:pPr>
    </w:p>
    <w:p w14:paraId="5E08BA45" w14:textId="77777777" w:rsidR="00622870" w:rsidRPr="006B426D" w:rsidRDefault="00622870" w:rsidP="00BD4EB5">
      <w:pPr>
        <w:pStyle w:val="TAMainText"/>
        <w:ind w:firstLine="0"/>
      </w:pPr>
    </w:p>
    <w:p w14:paraId="0FDEC1DD" w14:textId="77777777" w:rsidR="00622870" w:rsidRPr="006B426D" w:rsidRDefault="00622870" w:rsidP="00BD4EB5">
      <w:pPr>
        <w:pStyle w:val="TAMainText"/>
        <w:ind w:firstLine="0"/>
      </w:pPr>
    </w:p>
    <w:p w14:paraId="6FBFE8C4" w14:textId="77777777" w:rsidR="00622870" w:rsidRPr="006B426D" w:rsidRDefault="00622870" w:rsidP="00BD4EB5">
      <w:pPr>
        <w:pStyle w:val="TAMainText"/>
        <w:ind w:firstLine="0"/>
      </w:pPr>
    </w:p>
    <w:p w14:paraId="30518ADC" w14:textId="77777777" w:rsidR="00622870" w:rsidRPr="006B426D" w:rsidRDefault="00622870" w:rsidP="00BD4EB5">
      <w:pPr>
        <w:pStyle w:val="TAMainText"/>
        <w:ind w:firstLine="0"/>
      </w:pPr>
    </w:p>
    <w:p w14:paraId="4348E3E0" w14:textId="77777777" w:rsidR="00622870" w:rsidRPr="006B426D" w:rsidRDefault="00622870" w:rsidP="00BD4EB5">
      <w:pPr>
        <w:pStyle w:val="TAMainText"/>
        <w:ind w:firstLine="0"/>
      </w:pPr>
    </w:p>
    <w:p w14:paraId="5E5AECED" w14:textId="77777777" w:rsidR="00622870" w:rsidRPr="006B426D" w:rsidRDefault="00622870" w:rsidP="00BD4EB5">
      <w:pPr>
        <w:pStyle w:val="TAMainText"/>
        <w:ind w:firstLine="0"/>
      </w:pPr>
    </w:p>
    <w:p w14:paraId="61403728" w14:textId="77777777" w:rsidR="00622870" w:rsidRPr="006B426D" w:rsidRDefault="00622870" w:rsidP="00BD4EB5">
      <w:pPr>
        <w:pStyle w:val="TAMainText"/>
        <w:ind w:firstLine="0"/>
      </w:pPr>
    </w:p>
    <w:p w14:paraId="0DA46BAC" w14:textId="02FC868F" w:rsidR="00622870" w:rsidRPr="006B426D" w:rsidRDefault="00622870" w:rsidP="005B472C">
      <w:pPr>
        <w:pStyle w:val="TAMainText"/>
        <w:ind w:firstLine="0"/>
      </w:pPr>
      <w:r w:rsidRPr="006B426D">
        <w:rPr>
          <w:b/>
        </w:rPr>
        <w:t xml:space="preserve">Figure 3. </w:t>
      </w:r>
      <w:r w:rsidRPr="006B426D">
        <w:t>Solubilization inefficiency due to the preferential self-aggregation of salt ions in bulk aqueous solution, which has been quantified by the KBIs via</w:t>
      </w:r>
      <m:oMath>
        <m:r>
          <w:rPr>
            <w:rFonts w:ascii="Cambria Math" w:hAnsi="Cambria Math"/>
          </w:rPr>
          <m:t xml:space="preserve"> 1+</m:t>
        </m:r>
        <m:sSub>
          <m:sSubPr>
            <m:ctrlPr>
              <w:rPr>
                <w:rFonts w:ascii="Cambria Math" w:hAnsi="Cambria Math"/>
                <w:i/>
              </w:rPr>
            </m:ctrlPr>
          </m:sSubPr>
          <m:e>
            <m:r>
              <w:rPr>
                <w:rFonts w:ascii="Cambria Math" w:hAnsi="Cambria Math"/>
              </w:rPr>
              <m:t>c</m:t>
            </m:r>
          </m:e>
          <m:sub>
            <m:r>
              <w:rPr>
                <w:rFonts w:ascii="Cambria Math" w:hAnsi="Cambria Math"/>
              </w:rPr>
              <m:t>s</m:t>
            </m:r>
          </m:sub>
        </m:sSub>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ss</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sw</m:t>
                </m:r>
              </m:sub>
            </m:sSub>
          </m:e>
        </m:d>
      </m:oMath>
      <w:r w:rsidRPr="006B426D">
        <w:t>, plotted for KCl, NaCl, LiCl and ZnCl</w:t>
      </w:r>
      <w:r w:rsidRPr="006B426D">
        <w:rPr>
          <w:vertAlign w:val="subscript"/>
        </w:rPr>
        <w:t>2</w:t>
      </w:r>
      <w:r w:rsidRPr="006B426D">
        <w:t xml:space="preserve">.  </w:t>
      </w:r>
      <w:r w:rsidR="00411632" w:rsidRPr="006B426D">
        <w:t>(Calculated via osmotic coefficient data – see SI:C)</w:t>
      </w:r>
      <w:r w:rsidR="008579FA" w:rsidRPr="006B426D">
        <w:rPr>
          <w:noProof/>
          <w:vertAlign w:val="superscript"/>
        </w:rPr>
        <w:t>55</w:t>
      </w:r>
    </w:p>
    <w:p w14:paraId="4A9EDAB3" w14:textId="77777777" w:rsidR="005B472C" w:rsidRPr="006B426D" w:rsidRDefault="005B472C" w:rsidP="005B472C">
      <w:pPr>
        <w:pStyle w:val="TAMainText"/>
      </w:pPr>
    </w:p>
    <w:p w14:paraId="43F08FBF" w14:textId="19CF8E9D" w:rsidR="00622870" w:rsidRPr="006B426D" w:rsidRDefault="00622870" w:rsidP="005B472C">
      <w:pPr>
        <w:pStyle w:val="TAMainText"/>
        <w:ind w:firstLine="0"/>
      </w:pPr>
      <w:r w:rsidRPr="006B426D">
        <w:t xml:space="preserve">Statistical thermodynamics reveals the following two major driving forces for the increase of cellobiose solubility in the presence of salts: </w:t>
      </w:r>
    </w:p>
    <w:p w14:paraId="7EC75CDD" w14:textId="77777777" w:rsidR="00622870" w:rsidRPr="006B426D" w:rsidRDefault="00622870" w:rsidP="00BD4EB5">
      <w:pPr>
        <w:pStyle w:val="TAMainText"/>
        <w:numPr>
          <w:ilvl w:val="0"/>
          <w:numId w:val="3"/>
        </w:numPr>
      </w:pPr>
      <w:r w:rsidRPr="006B426D">
        <w:t xml:space="preserve">The preferential cellobiose-ion affinity over affinity between cellobiose and water molecules, this being the dominant driving force (Figure 2); </w:t>
      </w:r>
    </w:p>
    <w:p w14:paraId="41427941" w14:textId="7C06A529" w:rsidR="00622870" w:rsidRPr="006B426D" w:rsidRDefault="00622870" w:rsidP="00BD4EB5">
      <w:pPr>
        <w:pStyle w:val="TAMainText"/>
        <w:numPr>
          <w:ilvl w:val="0"/>
          <w:numId w:val="3"/>
        </w:numPr>
      </w:pPr>
      <w:r w:rsidRPr="006B426D">
        <w:t>Preferential self-association of salts in aqueous solution</w:t>
      </w:r>
      <w:r w:rsidR="00A31BB4" w:rsidRPr="006B426D">
        <w:t>, which is</w:t>
      </w:r>
      <w:r w:rsidRPr="006B426D">
        <w:t xml:space="preserve"> the minor </w:t>
      </w:r>
      <w:r w:rsidR="00A31BB4" w:rsidRPr="006B426D">
        <w:t>contribution,</w:t>
      </w:r>
      <w:r w:rsidRPr="006B426D">
        <w:t xml:space="preserve"> reduces per-ion solubilization efficiency (Figure 3). </w:t>
      </w:r>
    </w:p>
    <w:p w14:paraId="2E328CE7" w14:textId="28036D98" w:rsidR="00622870" w:rsidRPr="006B426D" w:rsidRDefault="00622870" w:rsidP="00BD4EB5">
      <w:pPr>
        <w:pStyle w:val="TAMainText"/>
        <w:ind w:firstLine="0"/>
      </w:pPr>
      <w:r w:rsidRPr="006B426D">
        <w:t>This picture of cellobiose solubilization is general and universal, common to wide-ranging solvation phenomena including protein denaturation and stabilization, hydrotropic solubilization and food gel stabilization.</w:t>
      </w:r>
      <w:r w:rsidR="008579FA" w:rsidRPr="006B426D">
        <w:rPr>
          <w:noProof/>
          <w:vertAlign w:val="superscript"/>
        </w:rPr>
        <w:t>24,25,56–59</w:t>
      </w:r>
      <w:r w:rsidRPr="006B426D">
        <w:t xml:space="preserve"> In the following, we shall examine the individual contributions to 1 and 2 in more detail to link the novel quantitative insights from the KB theory to the classical hypotheses. </w:t>
      </w:r>
    </w:p>
    <w:p w14:paraId="64544F09" w14:textId="77777777" w:rsidR="00622870" w:rsidRPr="006B426D" w:rsidRDefault="00622870" w:rsidP="00BD4EB5">
      <w:pPr>
        <w:pStyle w:val="TAMainText"/>
        <w:ind w:firstLine="0"/>
        <w:rPr>
          <w:b/>
        </w:rPr>
      </w:pPr>
    </w:p>
    <w:p w14:paraId="1168F34D" w14:textId="77777777" w:rsidR="00622870" w:rsidRPr="006B426D" w:rsidRDefault="00622870" w:rsidP="00BD4EB5">
      <w:pPr>
        <w:pStyle w:val="TAMainText"/>
        <w:ind w:firstLine="0"/>
        <w:rPr>
          <w:b/>
        </w:rPr>
      </w:pPr>
      <w:r w:rsidRPr="006B426D">
        <w:rPr>
          <w:b/>
        </w:rPr>
        <w:t xml:space="preserve">3.2. Salt accumulation as the dominant contribution </w:t>
      </w:r>
    </w:p>
    <w:p w14:paraId="1133A8D5" w14:textId="77777777" w:rsidR="005B472C" w:rsidRPr="006B426D" w:rsidRDefault="005B472C" w:rsidP="00BD4EB5">
      <w:pPr>
        <w:pStyle w:val="TAMainText"/>
        <w:ind w:firstLine="0"/>
      </w:pPr>
    </w:p>
    <w:p w14:paraId="7E60B19D" w14:textId="13BB1502" w:rsidR="00622870" w:rsidRPr="006B426D" w:rsidRDefault="00622870" w:rsidP="00BD4EB5">
      <w:pPr>
        <w:pStyle w:val="TAMainText"/>
        <w:ind w:firstLine="0"/>
      </w:pPr>
      <w:r w:rsidRPr="006B426D">
        <w:t xml:space="preserve">The salts that enhance cellobiose aqueous solubility (NaCl, LiCl </w:t>
      </w:r>
      <w:r w:rsidR="00DA0AB5" w:rsidRPr="006B426D">
        <w:t>and</w:t>
      </w:r>
      <w:r w:rsidRPr="006B426D">
        <w:t xml:space="preserve"> ZnCl</w:t>
      </w:r>
      <w:r w:rsidRPr="006B426D">
        <w:rPr>
          <w:vertAlign w:val="subscript"/>
        </w:rPr>
        <w:t>2</w:t>
      </w:r>
      <w:r w:rsidRPr="006B426D">
        <w:t>) have an energetic benefit to accumulation around cellobiose as indicated by the positive preferential affinity/ interaction exhibited in their solvent systems.  It may be noted, however, that the corresponding KBIs (</w:t>
      </w:r>
      <m:oMath>
        <m:sSub>
          <m:sSubPr>
            <m:ctrlPr>
              <w:rPr>
                <w:rFonts w:ascii="Cambria Math" w:hAnsi="Cambria Math"/>
                <w:i/>
              </w:rPr>
            </m:ctrlPr>
          </m:sSubPr>
          <m:e>
            <m:r>
              <w:rPr>
                <w:rFonts w:ascii="Cambria Math" w:hAnsi="Cambria Math"/>
              </w:rPr>
              <m:t>G</m:t>
            </m:r>
          </m:e>
          <m:sub>
            <m:r>
              <w:rPr>
                <w:rFonts w:ascii="Cambria Math" w:hAnsi="Cambria Math"/>
              </w:rPr>
              <m:t>cs</m:t>
            </m:r>
          </m:sub>
        </m:sSub>
      </m:oMath>
      <w:r w:rsidRPr="006B426D">
        <w:t xml:space="preserve">) are negative. This counterintuitive value arises due to the excluded volume of cellobiose contributing in a dominant manner to make </w:t>
      </w:r>
      <m:oMath>
        <m:sSub>
          <m:sSubPr>
            <m:ctrlPr>
              <w:rPr>
                <w:rFonts w:ascii="Cambria Math" w:hAnsi="Cambria Math"/>
                <w:i/>
              </w:rPr>
            </m:ctrlPr>
          </m:sSubPr>
          <m:e>
            <m:r>
              <w:rPr>
                <w:rFonts w:ascii="Cambria Math" w:hAnsi="Cambria Math"/>
              </w:rPr>
              <m:t>G</m:t>
            </m:r>
          </m:e>
          <m:sub>
            <m:r>
              <w:rPr>
                <w:rFonts w:ascii="Cambria Math" w:hAnsi="Cambria Math"/>
              </w:rPr>
              <m:t>cs</m:t>
            </m:r>
          </m:sub>
        </m:sSub>
      </m:oMath>
      <w:r w:rsidRPr="006B426D">
        <w:t xml:space="preserve"> net negative.</w:t>
      </w:r>
      <w:r w:rsidR="00347182" w:rsidRPr="006B426D">
        <w:rPr>
          <w:noProof/>
          <w:vertAlign w:val="superscript"/>
        </w:rPr>
        <w:t>60</w:t>
      </w:r>
      <w:r w:rsidRPr="006B426D">
        <w:t xml:space="preserve"> Increase of cellobiose solubility is seen when the affinity of salts with cellobiose exceed that of water. Salt accumulation </w:t>
      </w:r>
      <w:r w:rsidR="00711FBC" w:rsidRPr="006B426D">
        <w:t xml:space="preserve">around cellobiose should thus be considered </w:t>
      </w:r>
      <w:r w:rsidRPr="006B426D">
        <w:t xml:space="preserve">the dominant contribution to cellobiose solubilization. </w:t>
      </w:r>
    </w:p>
    <w:p w14:paraId="5E8ABDD6" w14:textId="77777777" w:rsidR="00622870" w:rsidRPr="006B426D" w:rsidRDefault="00622870" w:rsidP="00BD4EB5">
      <w:pPr>
        <w:pStyle w:val="TAMainText"/>
      </w:pPr>
    </w:p>
    <w:p w14:paraId="0BA19795" w14:textId="6A4D4B37" w:rsidR="00622870" w:rsidRPr="006B426D" w:rsidRDefault="00622870" w:rsidP="00BD4EB5">
      <w:pPr>
        <w:pStyle w:val="TAMainText"/>
      </w:pPr>
      <w:r w:rsidRPr="006B426D">
        <w:t>Salt accumulation as a driving force provides support for the cellulose charging up hypothesis in which ion binding is an important factor. Unlike this hypothesis, however, our theory does not involve any need for invoking the entropy of mixing, which, despite its historical importance, is problematic as a thermodynamic concept,</w:t>
      </w:r>
      <w:r w:rsidR="00DE090B" w:rsidRPr="006B426D">
        <w:rPr>
          <w:noProof/>
          <w:vertAlign w:val="superscript"/>
        </w:rPr>
        <w:t>61</w:t>
      </w:r>
      <w:r w:rsidRPr="006B426D">
        <w:t xml:space="preserve"> because (1) it is not a reversible and hence a thermodynamic process, and (2) solubility (governed by the free energy) is the result of compensating, large entropic and enthalpic contributions of different signs. Our theory, instead, is based on a direct relationship between salt accumulation and solvation free energy – provided by the KB theory.</w:t>
      </w:r>
    </w:p>
    <w:p w14:paraId="32A32EB9" w14:textId="19D4EA0C" w:rsidR="00873CAF" w:rsidRPr="006B426D" w:rsidRDefault="00B12114" w:rsidP="00BD4EB5">
      <w:pPr>
        <w:pStyle w:val="TAMainText"/>
        <w:ind w:firstLine="0"/>
      </w:pPr>
      <w:r w:rsidRPr="006B426D">
        <w:t xml:space="preserve"> </w:t>
      </w:r>
    </w:p>
    <w:p w14:paraId="32549746" w14:textId="77777777" w:rsidR="008F5A91" w:rsidRPr="006B426D" w:rsidRDefault="00622870" w:rsidP="00BD4EB5">
      <w:pPr>
        <w:pStyle w:val="TAMainText"/>
        <w:ind w:firstLine="0"/>
      </w:pPr>
      <w:r w:rsidRPr="006B426D">
        <w:rPr>
          <w:b/>
        </w:rPr>
        <w:t xml:space="preserve">3.3. Cellobiose dehydration </w:t>
      </w:r>
      <w:r w:rsidR="00E10403" w:rsidRPr="006B426D">
        <w:rPr>
          <w:b/>
        </w:rPr>
        <w:t>– water structure hypothesis</w:t>
      </w:r>
    </w:p>
    <w:p w14:paraId="27BF8351" w14:textId="77777777" w:rsidR="005B472C" w:rsidRPr="006B426D" w:rsidRDefault="005B472C" w:rsidP="00BD4EB5">
      <w:pPr>
        <w:pStyle w:val="TAMainText"/>
        <w:ind w:firstLine="0"/>
      </w:pPr>
    </w:p>
    <w:p w14:paraId="3FFAA0FA" w14:textId="3FDE89AF" w:rsidR="00622870" w:rsidRPr="006B426D" w:rsidRDefault="003F7C30" w:rsidP="00BD4EB5">
      <w:pPr>
        <w:pStyle w:val="TAMainText"/>
        <w:ind w:firstLine="0"/>
      </w:pPr>
      <w:r w:rsidRPr="006B426D">
        <w:t xml:space="preserve">The </w:t>
      </w:r>
      <w:r w:rsidR="00622870" w:rsidRPr="006B426D">
        <w:t>solution phase interaction component of the amphiphilicity hypothesis presupposes the enhanced water structure around the hydrophobic group as a basis for insolubility.</w:t>
      </w:r>
      <w:r w:rsidR="00DE090B" w:rsidRPr="006B426D">
        <w:rPr>
          <w:noProof/>
          <w:vertAlign w:val="superscript"/>
        </w:rPr>
        <w:t>62</w:t>
      </w:r>
      <w:r w:rsidR="008F5A91" w:rsidRPr="006B426D">
        <w:rPr>
          <w:rFonts w:eastAsia="Times New Roman" w:cs="Arial"/>
          <w:color w:val="222222"/>
          <w:szCs w:val="24"/>
          <w:lang w:eastAsia="en-GB"/>
        </w:rPr>
        <w:t xml:space="preserve"> Insolubility of cellulose has also been attributed specifically to the hydrophobic section of cellulose.</w:t>
      </w:r>
      <w:r w:rsidR="00DE090B" w:rsidRPr="006B426D">
        <w:rPr>
          <w:rFonts w:eastAsia="Times New Roman" w:cs="Arial"/>
          <w:noProof/>
          <w:color w:val="222222"/>
          <w:szCs w:val="24"/>
          <w:vertAlign w:val="superscript"/>
          <w:lang w:eastAsia="en-GB"/>
        </w:rPr>
        <w:t>18,23,63</w:t>
      </w:r>
      <w:r w:rsidR="00622870" w:rsidRPr="006B426D">
        <w:t xml:space="preserve"> Within this framework, the effect of cosolvents on solubility, and especially Hofmeister ions, have been explained via water structure. Despite the lack of a sound theoretical and quantitative basis for this argument, solubilization according to the classical hydrophobic clathrate view in solubility theory,</w:t>
      </w:r>
      <w:r w:rsidR="00DE090B" w:rsidRPr="006B426D">
        <w:rPr>
          <w:noProof/>
          <w:vertAlign w:val="superscript"/>
        </w:rPr>
        <w:t>64,65</w:t>
      </w:r>
      <w:r w:rsidR="00622870" w:rsidRPr="006B426D">
        <w:t xml:space="preserve"> which corresponds to the solution phase interaction portion of the aforementioned hypothesis, can be summarized as:</w:t>
      </w:r>
    </w:p>
    <w:p w14:paraId="0CFE6C04" w14:textId="77777777" w:rsidR="00622870" w:rsidRPr="006B426D" w:rsidRDefault="00622870" w:rsidP="00BD4EB5">
      <w:pPr>
        <w:pStyle w:val="TAMainText"/>
        <w:numPr>
          <w:ilvl w:val="0"/>
          <w:numId w:val="4"/>
        </w:numPr>
      </w:pPr>
      <w:r w:rsidRPr="006B426D">
        <w:t>The hydrophobic effect is due to the enhancement of the water structure around the solute (“clathrate” structure) which cannot hydrogen bond with water, which leads to entropic penalty;</w:t>
      </w:r>
    </w:p>
    <w:p w14:paraId="17829D16" w14:textId="18632947" w:rsidR="00622870" w:rsidRPr="006B426D" w:rsidRDefault="00D00FA8" w:rsidP="00BD4EB5">
      <w:pPr>
        <w:pStyle w:val="TAMainText"/>
        <w:numPr>
          <w:ilvl w:val="0"/>
          <w:numId w:val="4"/>
        </w:numPr>
      </w:pPr>
      <w:r w:rsidRPr="006B426D">
        <w:t>Species called "c</w:t>
      </w:r>
      <w:r w:rsidR="00622870" w:rsidRPr="006B426D">
        <w:t>haotropes</w:t>
      </w:r>
      <w:r w:rsidRPr="006B426D">
        <w:t xml:space="preserve">" </w:t>
      </w:r>
      <w:r w:rsidR="00622870" w:rsidRPr="006B426D">
        <w:t xml:space="preserve">break the “water structure”, or the hydrogen bond network of water molecules; </w:t>
      </w:r>
    </w:p>
    <w:p w14:paraId="08D12159" w14:textId="77777777" w:rsidR="00622870" w:rsidRPr="006B426D" w:rsidRDefault="00622870" w:rsidP="00BD4EB5">
      <w:pPr>
        <w:pStyle w:val="TAMainText"/>
        <w:numPr>
          <w:ilvl w:val="0"/>
          <w:numId w:val="4"/>
        </w:numPr>
      </w:pPr>
      <w:r w:rsidRPr="006B426D">
        <w:t xml:space="preserve"> Chaotropes weaken the clathrate structure of water, thereby weakening the hydrophobic effect </w:t>
      </w:r>
    </w:p>
    <w:p w14:paraId="59F90A54" w14:textId="30C0BD36" w:rsidR="00622870" w:rsidRPr="006B426D" w:rsidRDefault="00622870" w:rsidP="00BD4EB5">
      <w:pPr>
        <w:pStyle w:val="TAMainText"/>
        <w:ind w:firstLine="0"/>
      </w:pPr>
      <w:r w:rsidRPr="006B426D">
        <w:t>This classical hypothesis has been the source of controversy over decades.</w:t>
      </w:r>
      <w:r w:rsidR="00DE090B" w:rsidRPr="006B426D">
        <w:rPr>
          <w:noProof/>
          <w:vertAlign w:val="superscript"/>
        </w:rPr>
        <w:t>62,66,67</w:t>
      </w:r>
      <w:r w:rsidRPr="006B426D">
        <w:t xml:space="preserve"> </w:t>
      </w:r>
      <w:r w:rsidR="004B3C3D" w:rsidRPr="006B426D">
        <w:t>Indeed, the presumed hydrogen bond enhancement by ions has been challenged spectroscopically,</w:t>
      </w:r>
      <w:r w:rsidR="00302F70" w:rsidRPr="006B426D">
        <w:rPr>
          <w:noProof/>
          <w:vertAlign w:val="superscript"/>
        </w:rPr>
        <w:t>68</w:t>
      </w:r>
      <w:r w:rsidR="004B3C3D" w:rsidRPr="006B426D">
        <w:t xml:space="preserve"> and the dynamic nature of the “clathrate” or “iceberg” has emerged since then.</w:t>
      </w:r>
      <w:r w:rsidR="000473BB" w:rsidRPr="006B426D">
        <w:rPr>
          <w:noProof/>
          <w:vertAlign w:val="superscript"/>
        </w:rPr>
        <w:t>69</w:t>
      </w:r>
      <w:r w:rsidR="004B3C3D" w:rsidRPr="006B426D">
        <w:t xml:space="preserve"> </w:t>
      </w:r>
      <w:r w:rsidRPr="006B426D">
        <w:t>The consequence of this hypothesis is that, since the clathrate structure involves more hydrogen bonds, the water molecules are kept further apart on average and consequently the density is lower. Hence “water structure breaking” increases hydration, i.e., increase of the density of water in the hydration shell.</w:t>
      </w:r>
      <w:r w:rsidR="002B7930" w:rsidRPr="006B426D">
        <w:t xml:space="preserve"> </w:t>
      </w:r>
    </w:p>
    <w:p w14:paraId="420E1ECB" w14:textId="60211E90" w:rsidR="00622870" w:rsidRPr="006B426D" w:rsidRDefault="00630B15" w:rsidP="003F7C30">
      <w:pPr>
        <w:tabs>
          <w:tab w:val="left" w:pos="784"/>
        </w:tabs>
        <w:jc w:val="both"/>
        <w:rPr>
          <w:rFonts w:ascii="Times" w:eastAsia="Times New Roman" w:hAnsi="Times" w:cs="Arial"/>
          <w:color w:val="222222"/>
          <w:sz w:val="24"/>
          <w:szCs w:val="24"/>
          <w:lang w:eastAsia="en-GB"/>
        </w:rPr>
      </w:pPr>
      <w:r w:rsidRPr="006B426D">
        <w:rPr>
          <w:rFonts w:ascii="Times" w:eastAsia="Times New Roman" w:hAnsi="Times" w:cs="Arial"/>
          <w:color w:val="222222"/>
          <w:sz w:val="24"/>
          <w:szCs w:val="24"/>
          <w:lang w:eastAsia="en-GB"/>
        </w:rPr>
        <w:t xml:space="preserve"> </w:t>
      </w:r>
    </w:p>
    <w:p w14:paraId="32C02943" w14:textId="5C5808F5" w:rsidR="00622870" w:rsidRPr="006B426D" w:rsidRDefault="00EB1D79" w:rsidP="007E2423">
      <w:pPr>
        <w:tabs>
          <w:tab w:val="left" w:pos="784"/>
        </w:tabs>
        <w:rPr>
          <w:rFonts w:asciiTheme="majorHAnsi" w:eastAsia="Times New Roman" w:hAnsiTheme="majorHAnsi" w:cs="Arial"/>
          <w:color w:val="222222"/>
          <w:sz w:val="24"/>
          <w:szCs w:val="24"/>
          <w:lang w:eastAsia="en-GB"/>
        </w:rPr>
      </w:pPr>
      <w:r w:rsidRPr="006B426D">
        <w:rPr>
          <w:rFonts w:asciiTheme="majorHAnsi" w:eastAsia="Times New Roman" w:hAnsiTheme="majorHAnsi" w:cs="Arial"/>
          <w:noProof/>
          <w:color w:val="222222"/>
          <w:sz w:val="24"/>
          <w:szCs w:val="24"/>
        </w:rPr>
        <w:drawing>
          <wp:inline distT="0" distB="0" distL="0" distR="0" wp14:anchorId="5703A3A5" wp14:editId="6363805A">
            <wp:extent cx="5731510" cy="553593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4 - individual kb integrals.png"/>
                    <pic:cNvPicPr/>
                  </pic:nvPicPr>
                  <pic:blipFill>
                    <a:blip r:embed="rId11"/>
                    <a:stretch>
                      <a:fillRect/>
                    </a:stretch>
                  </pic:blipFill>
                  <pic:spPr>
                    <a:xfrm>
                      <a:off x="0" y="0"/>
                      <a:ext cx="5731510" cy="5535930"/>
                    </a:xfrm>
                    <a:prstGeom prst="rect">
                      <a:avLst/>
                    </a:prstGeom>
                  </pic:spPr>
                </pic:pic>
              </a:graphicData>
            </a:graphic>
          </wp:inline>
        </w:drawing>
      </w:r>
    </w:p>
    <w:p w14:paraId="10FBCF2D" w14:textId="735FDE6F" w:rsidR="00622870" w:rsidRPr="006B426D" w:rsidRDefault="00622870" w:rsidP="005B472C">
      <w:pPr>
        <w:pStyle w:val="TAMainText"/>
        <w:ind w:firstLine="0"/>
      </w:pPr>
      <w:r w:rsidRPr="006B426D">
        <w:rPr>
          <w:b/>
        </w:rPr>
        <w:t>Figure 4</w:t>
      </w:r>
      <w:r w:rsidR="00557849" w:rsidRPr="006B426D">
        <w:t>.</w:t>
      </w:r>
      <w:r w:rsidRPr="006B426D">
        <w:t xml:space="preserve"> Individual Kirkwood-Buff integrals that lead to preferential association for ZnCl</w:t>
      </w:r>
      <w:r w:rsidRPr="006B426D">
        <w:softHyphen/>
      </w:r>
      <w:r w:rsidRPr="006B426D">
        <w:rPr>
          <w:vertAlign w:val="subscript"/>
        </w:rPr>
        <w:t>2</w:t>
      </w:r>
      <w:r w:rsidR="009E2E70" w:rsidRPr="006B426D">
        <w:t>, LiCl, NaCl and K</w:t>
      </w:r>
      <w:r w:rsidRPr="006B426D">
        <w:t>Cl.</w:t>
      </w:r>
      <w:r w:rsidR="0060745F" w:rsidRPr="006B426D">
        <w:t xml:space="preserve"> </w:t>
      </w:r>
    </w:p>
    <w:p w14:paraId="2747B10A" w14:textId="77777777" w:rsidR="00622870" w:rsidRPr="006B426D" w:rsidRDefault="00622870" w:rsidP="00BD4EB5">
      <w:pPr>
        <w:pStyle w:val="TAMainText"/>
      </w:pPr>
    </w:p>
    <w:p w14:paraId="096BE51C" w14:textId="2BF08D5A" w:rsidR="00622870" w:rsidRPr="006B426D" w:rsidRDefault="00622870" w:rsidP="005B472C">
      <w:pPr>
        <w:pStyle w:val="TAMainText"/>
      </w:pPr>
      <w:r w:rsidRPr="006B426D">
        <w:t xml:space="preserve">In stark contrast to this classical hypothesis, Fig 4 shows that </w:t>
      </w:r>
      <m:oMath>
        <m:sSub>
          <m:sSubPr>
            <m:ctrlPr>
              <w:rPr>
                <w:rFonts w:ascii="Cambria Math" w:hAnsi="Cambria Math"/>
                <w:i/>
              </w:rPr>
            </m:ctrlPr>
          </m:sSubPr>
          <m:e>
            <m:r>
              <w:rPr>
                <w:rFonts w:ascii="Cambria Math" w:hAnsi="Cambria Math"/>
              </w:rPr>
              <m:t>G</m:t>
            </m:r>
          </m:e>
          <m:sub>
            <m:r>
              <w:rPr>
                <w:rFonts w:ascii="Cambria Math" w:hAnsi="Cambria Math"/>
              </w:rPr>
              <m:t>cw</m:t>
            </m:r>
          </m:sub>
        </m:sSub>
      </m:oMath>
      <w:r w:rsidRPr="006B426D">
        <w:t xml:space="preserve"> decreases as the concentration of salts that enhance cellobiose solubilization (NaCl, ZnCl</w:t>
      </w:r>
      <w:r w:rsidRPr="006B426D">
        <w:rPr>
          <w:vertAlign w:val="subscript"/>
        </w:rPr>
        <w:t>2</w:t>
      </w:r>
      <w:r w:rsidRPr="006B426D">
        <w:t xml:space="preserve"> and LiCl) increase, which means that the chaotropic salts dehydrate cellobiose instead of enhancing its hydration, which is in contradiction to the water structure hypothesis. Thus, our analysis suggests strongly that the water structure hypothesis cannot explain cellulose solubilization. Figure 4 also shows us that the relationship between the KBIs should not be neglected. As the salt ion concentration of ZnCl</w:t>
      </w:r>
      <w:r w:rsidRPr="006B426D">
        <w:rPr>
          <w:vertAlign w:val="subscript"/>
        </w:rPr>
        <w:t>2</w:t>
      </w:r>
      <w:r w:rsidRPr="006B426D">
        <w:t xml:space="preserve"> increases, salt accumulation (</w:t>
      </w:r>
      <m:oMath>
        <m:sSub>
          <m:sSubPr>
            <m:ctrlPr>
              <w:rPr>
                <w:rFonts w:ascii="Cambria Math" w:hAnsi="Cambria Math"/>
                <w:i/>
              </w:rPr>
            </m:ctrlPr>
          </m:sSubPr>
          <m:e>
            <m:r>
              <w:rPr>
                <w:rFonts w:ascii="Cambria Math" w:hAnsi="Cambria Math"/>
              </w:rPr>
              <m:t>G</m:t>
            </m:r>
          </m:e>
          <m:sub>
            <m:r>
              <w:rPr>
                <w:rFonts w:ascii="Cambria Math" w:hAnsi="Cambria Math"/>
              </w:rPr>
              <m:t>cs</m:t>
            </m:r>
          </m:sub>
        </m:sSub>
      </m:oMath>
      <w:r w:rsidRPr="006B426D">
        <w:t>) around cellobiose decreases which leads to a weaker contribution to solubilization (ZnCl</w:t>
      </w:r>
      <w:r w:rsidRPr="006B426D">
        <w:rPr>
          <w:vertAlign w:val="subscript"/>
        </w:rPr>
        <w:t>2</w:t>
      </w:r>
      <w:r w:rsidRPr="006B426D">
        <w:t xml:space="preserve"> - Fig</w:t>
      </w:r>
      <w:r w:rsidR="00D972CA" w:rsidRPr="006B426D">
        <w:t>ure</w:t>
      </w:r>
      <w:r w:rsidRPr="006B426D">
        <w:t xml:space="preserve"> 4). Despite this, decreasing cellobiose hydration (increasing cellobiose dehydration) indicated by decreasing </w:t>
      </w:r>
      <m:oMath>
        <m:sSub>
          <m:sSubPr>
            <m:ctrlPr>
              <w:rPr>
                <w:rFonts w:ascii="Cambria Math" w:hAnsi="Cambria Math"/>
                <w:i/>
              </w:rPr>
            </m:ctrlPr>
          </m:sSubPr>
          <m:e>
            <m:r>
              <w:rPr>
                <w:rFonts w:ascii="Cambria Math" w:hAnsi="Cambria Math"/>
              </w:rPr>
              <m:t>G</m:t>
            </m:r>
          </m:e>
          <m:sub>
            <m:r>
              <w:rPr>
                <w:rFonts w:ascii="Cambria Math" w:hAnsi="Cambria Math"/>
              </w:rPr>
              <m:t>cw</m:t>
            </m:r>
          </m:sub>
        </m:sSub>
      </m:oMath>
      <w:r w:rsidRPr="006B426D">
        <w:t xml:space="preserve"> (Fig</w:t>
      </w:r>
      <w:r w:rsidR="00D972CA" w:rsidRPr="006B426D">
        <w:t>ure</w:t>
      </w:r>
      <w:r w:rsidRPr="006B426D">
        <w:t xml:space="preserve"> 4) shows that salts still interact preferentially with cellobiose, thereby increasing its solubility.</w:t>
      </w:r>
    </w:p>
    <w:p w14:paraId="23DB4F91" w14:textId="77777777" w:rsidR="005B472C" w:rsidRPr="006B426D" w:rsidRDefault="005B472C" w:rsidP="00BD4EB5">
      <w:pPr>
        <w:pStyle w:val="TAMainText"/>
        <w:ind w:firstLine="0"/>
      </w:pPr>
    </w:p>
    <w:p w14:paraId="7ABBA808" w14:textId="2F567BE2" w:rsidR="008F5A91" w:rsidRPr="006B426D" w:rsidRDefault="00622870" w:rsidP="005B472C">
      <w:pPr>
        <w:pStyle w:val="TAMainText"/>
      </w:pPr>
      <w:r w:rsidRPr="006B426D">
        <w:t xml:space="preserve">Furthermore, </w:t>
      </w:r>
      <w:r w:rsidR="006D10BF" w:rsidRPr="006B426D">
        <w:t xml:space="preserve">though </w:t>
      </w:r>
      <w:r w:rsidRPr="006B426D">
        <w:t xml:space="preserve">KCl exhibits </w:t>
      </w:r>
      <w:r w:rsidR="00D972CA" w:rsidRPr="006B426D">
        <w:t>weak</w:t>
      </w:r>
      <w:r w:rsidRPr="006B426D">
        <w:t xml:space="preserve"> salt accumulation</w:t>
      </w:r>
      <w:r w:rsidR="005F4562" w:rsidRPr="006B426D">
        <w:t>, this</w:t>
      </w:r>
      <w:r w:rsidR="006D10BF" w:rsidRPr="006B426D">
        <w:t xml:space="preserve"> is</w:t>
      </w:r>
      <w:r w:rsidRPr="006B426D">
        <w:t xml:space="preserve"> not </w:t>
      </w:r>
      <w:r w:rsidR="008F5A91" w:rsidRPr="006B426D">
        <w:t xml:space="preserve">compensated </w:t>
      </w:r>
      <w:r w:rsidR="006D10BF" w:rsidRPr="006B426D">
        <w:t xml:space="preserve">for by </w:t>
      </w:r>
      <w:r w:rsidRPr="006B426D">
        <w:t xml:space="preserve">the corresponding dehydration and </w:t>
      </w:r>
      <w:r w:rsidR="005F4562" w:rsidRPr="006B426D">
        <w:t xml:space="preserve">accumulation </w:t>
      </w:r>
      <w:r w:rsidR="00D972CA" w:rsidRPr="006B426D">
        <w:t xml:space="preserve">continues to weaken </w:t>
      </w:r>
      <w:r w:rsidR="005F4562" w:rsidRPr="006B426D">
        <w:t xml:space="preserve">as salt ion concentration increases </w:t>
      </w:r>
      <w:r w:rsidR="00D972CA" w:rsidRPr="006B426D">
        <w:t xml:space="preserve">(Figure 4), </w:t>
      </w:r>
      <w:r w:rsidRPr="006B426D">
        <w:t>therefore lead</w:t>
      </w:r>
      <w:r w:rsidR="00D972CA" w:rsidRPr="006B426D">
        <w:t>ing</w:t>
      </w:r>
      <w:r w:rsidRPr="006B426D">
        <w:t xml:space="preserve"> to </w:t>
      </w:r>
      <w:r w:rsidR="00D972CA" w:rsidRPr="006B426D">
        <w:t xml:space="preserve">a </w:t>
      </w:r>
      <w:r w:rsidRPr="006B426D">
        <w:t xml:space="preserve">solubility </w:t>
      </w:r>
      <w:r w:rsidR="00D972CA" w:rsidRPr="006B426D">
        <w:t>decrease</w:t>
      </w:r>
      <w:r w:rsidRPr="006B426D">
        <w:t xml:space="preserve">, </w:t>
      </w:r>
      <w:r w:rsidR="00D972CA" w:rsidRPr="006B426D">
        <w:t xml:space="preserve">thus the salt’s effect on solubility is again caused by the interplay between the two affinities. </w:t>
      </w:r>
      <w:r w:rsidR="006D10BF" w:rsidRPr="006B426D">
        <w:t xml:space="preserve"> </w:t>
      </w:r>
    </w:p>
    <w:p w14:paraId="0B411A3F" w14:textId="5D8280F8" w:rsidR="00622870" w:rsidRPr="006B426D" w:rsidRDefault="00622870" w:rsidP="00BD4EB5">
      <w:pPr>
        <w:pStyle w:val="TAMainText"/>
        <w:ind w:firstLine="0"/>
      </w:pPr>
    </w:p>
    <w:p w14:paraId="48BA779E" w14:textId="5B28B5BB" w:rsidR="00F152E6" w:rsidRPr="006B426D" w:rsidRDefault="00F152E6" w:rsidP="005B472C">
      <w:pPr>
        <w:pStyle w:val="TAMainText"/>
      </w:pPr>
      <w:r w:rsidRPr="006B426D">
        <w:t>Note here that the classical water structure hypothesis focus</w:t>
      </w:r>
      <w:r w:rsidR="00A31BB4" w:rsidRPr="006B426D">
        <w:t>es</w:t>
      </w:r>
      <w:r w:rsidRPr="006B426D">
        <w:t xml:space="preserve"> exclusively on the </w:t>
      </w:r>
      <w:r w:rsidRPr="006B426D">
        <w:rPr>
          <w:i/>
        </w:rPr>
        <w:t>increase</w:t>
      </w:r>
      <w:r w:rsidRPr="006B426D">
        <w:t xml:space="preserve"> of solute hydration </w:t>
      </w:r>
      <w:r w:rsidR="005F4562" w:rsidRPr="006B426D">
        <w:t xml:space="preserve">with </w:t>
      </w:r>
      <w:r w:rsidRPr="006B426D">
        <w:t>increas</w:t>
      </w:r>
      <w:r w:rsidR="005F4562" w:rsidRPr="006B426D">
        <w:t>ing</w:t>
      </w:r>
      <w:r w:rsidRPr="006B426D">
        <w:t xml:space="preserve"> salt concentration, i.e., the </w:t>
      </w:r>
      <w:r w:rsidRPr="006B426D">
        <w:rPr>
          <w:i/>
        </w:rPr>
        <w:t>increase</w:t>
      </w:r>
      <w:r w:rsidRPr="006B426D">
        <w:t xml:space="preserve"> of </w:t>
      </w:r>
      <m:oMath>
        <m:sSub>
          <m:sSubPr>
            <m:ctrlPr>
              <w:rPr>
                <w:rFonts w:ascii="Cambria Math" w:hAnsi="Cambria Math"/>
                <w:i/>
              </w:rPr>
            </m:ctrlPr>
          </m:sSubPr>
          <m:e>
            <m:r>
              <w:rPr>
                <w:rFonts w:ascii="Cambria Math" w:hAnsi="Cambria Math"/>
              </w:rPr>
              <m:t>G</m:t>
            </m:r>
          </m:e>
          <m:sub>
            <m:r>
              <w:rPr>
                <w:rFonts w:ascii="Cambria Math" w:hAnsi="Cambria Math"/>
              </w:rPr>
              <m:t>cw</m:t>
            </m:r>
          </m:sub>
        </m:sSub>
      </m:oMath>
      <w:r w:rsidRPr="006B426D">
        <w:t xml:space="preserve">. The rigorous statistical thermodynamic theory not only shows that </w:t>
      </w:r>
      <w:r w:rsidRPr="006B426D">
        <w:rPr>
          <w:i/>
        </w:rPr>
        <w:t>decrease</w:t>
      </w:r>
      <w:r w:rsidRPr="006B426D">
        <w:t xml:space="preserve"> in cellobiose hydration takes place but also the crucial role of </w:t>
      </w:r>
      <m:oMath>
        <m:sSub>
          <m:sSubPr>
            <m:ctrlPr>
              <w:rPr>
                <w:rFonts w:ascii="Cambria Math" w:hAnsi="Cambria Math"/>
                <w:i/>
              </w:rPr>
            </m:ctrlPr>
          </m:sSubPr>
          <m:e>
            <m:r>
              <w:rPr>
                <w:rFonts w:ascii="Cambria Math" w:hAnsi="Cambria Math"/>
              </w:rPr>
              <m:t>G</m:t>
            </m:r>
          </m:e>
          <m:sub>
            <m:r>
              <w:rPr>
                <w:rFonts w:ascii="Cambria Math" w:hAnsi="Cambria Math"/>
              </w:rPr>
              <m:t>cs</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cw</m:t>
            </m:r>
          </m:sub>
        </m:sSub>
      </m:oMath>
      <w:r w:rsidRPr="006B426D">
        <w:t xml:space="preserve">, instead of </w:t>
      </w:r>
      <m:oMath>
        <m:sSub>
          <m:sSubPr>
            <m:ctrlPr>
              <w:rPr>
                <w:rFonts w:ascii="Cambria Math" w:hAnsi="Cambria Math"/>
                <w:i/>
              </w:rPr>
            </m:ctrlPr>
          </m:sSubPr>
          <m:e>
            <m:r>
              <w:rPr>
                <w:rFonts w:ascii="Cambria Math" w:hAnsi="Cambria Math"/>
              </w:rPr>
              <m:t>G</m:t>
            </m:r>
          </m:e>
          <m:sub>
            <m:r>
              <w:rPr>
                <w:rFonts w:ascii="Cambria Math" w:hAnsi="Cambria Math"/>
              </w:rPr>
              <m:t>cw</m:t>
            </m:r>
          </m:sub>
        </m:sSub>
      </m:oMath>
      <w:r w:rsidRPr="006B426D">
        <w:t xml:space="preserve"> on its own, that is the driving force for solubilization. </w:t>
      </w:r>
    </w:p>
    <w:p w14:paraId="3C8FC78B" w14:textId="42D27B7D" w:rsidR="00E10403" w:rsidRPr="006B426D" w:rsidRDefault="00E10403" w:rsidP="00A86746">
      <w:pPr>
        <w:pStyle w:val="TAMainText"/>
        <w:ind w:firstLine="0"/>
      </w:pPr>
    </w:p>
    <w:p w14:paraId="1FD8442D" w14:textId="5AE2EF63" w:rsidR="00A86746" w:rsidRPr="006B426D" w:rsidRDefault="00856130" w:rsidP="00A86746">
      <w:pPr>
        <w:pStyle w:val="TAMainText"/>
        <w:numPr>
          <w:ilvl w:val="1"/>
          <w:numId w:val="4"/>
        </w:numPr>
        <w:rPr>
          <w:b/>
        </w:rPr>
      </w:pPr>
      <w:r w:rsidRPr="006B426D">
        <w:rPr>
          <w:b/>
        </w:rPr>
        <w:t xml:space="preserve"> Cellobiose solubilization and the </w:t>
      </w:r>
      <w:r w:rsidR="00A86746" w:rsidRPr="006B426D">
        <w:rPr>
          <w:b/>
        </w:rPr>
        <w:t>H</w:t>
      </w:r>
      <w:r w:rsidRPr="006B426D">
        <w:rPr>
          <w:b/>
        </w:rPr>
        <w:t xml:space="preserve">ofmeister effect </w:t>
      </w:r>
    </w:p>
    <w:p w14:paraId="3232E19A" w14:textId="6277BE26" w:rsidR="00A86746" w:rsidRPr="006B426D" w:rsidRDefault="00A86746" w:rsidP="00A86746">
      <w:pPr>
        <w:pStyle w:val="TAMainText"/>
        <w:ind w:firstLine="0"/>
        <w:rPr>
          <w:b/>
        </w:rPr>
      </w:pPr>
    </w:p>
    <w:p w14:paraId="5AA20F8F" w14:textId="1D773343" w:rsidR="00856130" w:rsidRPr="006B426D" w:rsidRDefault="00856130" w:rsidP="005B472C">
      <w:pPr>
        <w:pStyle w:val="TAMainText"/>
        <w:ind w:firstLine="0"/>
      </w:pPr>
      <w:r w:rsidRPr="006B426D">
        <w:t xml:space="preserve">The effect of salts on solubilization has long been </w:t>
      </w:r>
      <w:r w:rsidR="007700E9" w:rsidRPr="006B426D">
        <w:t>related to</w:t>
      </w:r>
      <w:r w:rsidRPr="006B426D">
        <w:t xml:space="preserve"> the Hofmeister effect, in which the ionic charge density is considered to play a crucial role on solubilization</w:t>
      </w:r>
      <w:r w:rsidR="00A43E6F" w:rsidRPr="006B426D">
        <w:t>.</w:t>
      </w:r>
      <w:r w:rsidR="00F56A4F" w:rsidRPr="006B426D">
        <w:rPr>
          <w:noProof/>
          <w:vertAlign w:val="superscript"/>
        </w:rPr>
        <w:t>70</w:t>
      </w:r>
      <w:r w:rsidR="00A43E6F" w:rsidRPr="006B426D">
        <w:t xml:space="preserve"> According to the classical hypothesis, ions with low charge density break the “water structure” thereby weakens the hydrophobic effect, while those with high charge density enhance it and fortif</w:t>
      </w:r>
      <w:r w:rsidR="007C7DB1" w:rsidRPr="006B426D">
        <w:t>y</w:t>
      </w:r>
      <w:r w:rsidR="000F2F7A" w:rsidRPr="006B426D">
        <w:t xml:space="preserve"> the hydrophobic effect</w:t>
      </w:r>
      <w:r w:rsidR="000473BB" w:rsidRPr="006B426D">
        <w:rPr>
          <w:noProof/>
          <w:vertAlign w:val="superscript"/>
        </w:rPr>
        <w:t>70,71</w:t>
      </w:r>
      <w:r w:rsidRPr="006B426D">
        <w:t xml:space="preserve"> </w:t>
      </w:r>
      <w:r w:rsidR="00A43E6F" w:rsidRPr="006B426D">
        <w:t>Note that the water structure hypothesis has been developed to rationalize the effect of ions chiefly on the hydrophobic effect. Nevertheless, here</w:t>
      </w:r>
      <w:r w:rsidR="00907570" w:rsidRPr="006B426D">
        <w:rPr>
          <w:rFonts w:cs="Times"/>
          <w:color w:val="000000"/>
        </w:rPr>
        <w:t>, in the context of cellobiose solubilization, the order of solubility enhancement ability</w:t>
      </w:r>
      <w:r w:rsidR="007C7DB1" w:rsidRPr="006B426D">
        <w:rPr>
          <w:rFonts w:cs="Times"/>
          <w:color w:val="000000"/>
        </w:rPr>
        <w:t>,</w:t>
      </w:r>
      <w:r w:rsidR="00907570" w:rsidRPr="006B426D">
        <w:rPr>
          <w:rFonts w:cs="Times"/>
          <w:color w:val="000000"/>
        </w:rPr>
        <w:t xml:space="preserve"> </w:t>
      </w:r>
      <w:r w:rsidR="007C7DB1" w:rsidRPr="006B426D">
        <w:rPr>
          <w:rFonts w:cs="Times"/>
          <w:color w:val="000000"/>
        </w:rPr>
        <w:t xml:space="preserve">with respect to changing the cation, </w:t>
      </w:r>
      <w:r w:rsidR="00907570" w:rsidRPr="006B426D">
        <w:rPr>
          <w:rFonts w:cs="Times"/>
          <w:color w:val="000000"/>
        </w:rPr>
        <w:t xml:space="preserve">coincides with an increase in ion charge density </w:t>
      </w:r>
      <w:r w:rsidR="00907570" w:rsidRPr="006B426D">
        <w:rPr>
          <w:rFonts w:cs="Times"/>
          <w:color w:val="222222"/>
          <w:shd w:val="clear" w:color="auto" w:fill="FFFFFF"/>
        </w:rPr>
        <w:t>(Zn</w:t>
      </w:r>
      <w:r w:rsidR="007C7DB1" w:rsidRPr="006B426D">
        <w:rPr>
          <w:rFonts w:cs="Times"/>
          <w:color w:val="222222"/>
          <w:shd w:val="clear" w:color="auto" w:fill="FFFFFF"/>
          <w:vertAlign w:val="superscript"/>
        </w:rPr>
        <w:t>2+</w:t>
      </w:r>
      <w:r w:rsidR="00907570" w:rsidRPr="006B426D">
        <w:rPr>
          <w:rFonts w:cs="Times"/>
          <w:color w:val="222222"/>
          <w:shd w:val="clear" w:color="auto" w:fill="FFFFFF"/>
        </w:rPr>
        <w:t>&gt;</w:t>
      </w:r>
      <w:r w:rsidR="00440D12" w:rsidRPr="006B426D">
        <w:rPr>
          <w:rFonts w:cs="Times"/>
          <w:color w:val="222222"/>
          <w:shd w:val="clear" w:color="auto" w:fill="FFFFFF"/>
        </w:rPr>
        <w:t>&gt;</w:t>
      </w:r>
      <w:r w:rsidR="007C7DB1" w:rsidRPr="006B426D">
        <w:rPr>
          <w:rFonts w:cs="Times"/>
          <w:color w:val="222222"/>
          <w:shd w:val="clear" w:color="auto" w:fill="FFFFFF"/>
        </w:rPr>
        <w:t>Li</w:t>
      </w:r>
      <w:r w:rsidR="007C7DB1" w:rsidRPr="006B426D">
        <w:rPr>
          <w:rFonts w:cs="Times"/>
          <w:color w:val="222222"/>
          <w:shd w:val="clear" w:color="auto" w:fill="FFFFFF"/>
          <w:vertAlign w:val="superscript"/>
        </w:rPr>
        <w:t>+</w:t>
      </w:r>
      <w:r w:rsidR="00907570" w:rsidRPr="006B426D">
        <w:rPr>
          <w:rFonts w:cs="Times"/>
          <w:color w:val="222222"/>
          <w:shd w:val="clear" w:color="auto" w:fill="FFFFFF"/>
        </w:rPr>
        <w:t>&gt;</w:t>
      </w:r>
      <w:r w:rsidR="007C7DB1" w:rsidRPr="006B426D">
        <w:rPr>
          <w:rFonts w:cs="Times"/>
          <w:color w:val="222222"/>
          <w:shd w:val="clear" w:color="auto" w:fill="FFFFFF"/>
        </w:rPr>
        <w:t>Na</w:t>
      </w:r>
      <w:r w:rsidR="007C7DB1" w:rsidRPr="006B426D">
        <w:rPr>
          <w:rFonts w:cs="Times"/>
          <w:color w:val="222222"/>
          <w:shd w:val="clear" w:color="auto" w:fill="FFFFFF"/>
          <w:vertAlign w:val="superscript"/>
        </w:rPr>
        <w:t>+</w:t>
      </w:r>
      <w:r w:rsidR="00907570" w:rsidRPr="006B426D">
        <w:rPr>
          <w:rFonts w:cs="Times"/>
          <w:color w:val="222222"/>
          <w:shd w:val="clear" w:color="auto" w:fill="FFFFFF"/>
        </w:rPr>
        <w:t>&gt;</w:t>
      </w:r>
      <w:r w:rsidR="007C7DB1" w:rsidRPr="006B426D">
        <w:rPr>
          <w:rFonts w:cs="Times"/>
          <w:color w:val="222222"/>
          <w:shd w:val="clear" w:color="auto" w:fill="FFFFFF"/>
        </w:rPr>
        <w:t>K</w:t>
      </w:r>
      <w:r w:rsidR="007C7DB1" w:rsidRPr="006B426D">
        <w:rPr>
          <w:rFonts w:cs="Times"/>
          <w:color w:val="222222"/>
          <w:shd w:val="clear" w:color="auto" w:fill="FFFFFF"/>
          <w:vertAlign w:val="superscript"/>
        </w:rPr>
        <w:t>+</w:t>
      </w:r>
      <w:r w:rsidR="00907570" w:rsidRPr="006B426D">
        <w:rPr>
          <w:rFonts w:cs="Times"/>
          <w:color w:val="222222"/>
          <w:shd w:val="clear" w:color="auto" w:fill="FFFFFF"/>
        </w:rPr>
        <w:t>).</w:t>
      </w:r>
      <w:r w:rsidR="0002403A" w:rsidRPr="006B426D">
        <w:t xml:space="preserve"> So</w:t>
      </w:r>
      <w:r w:rsidR="00A13CD8" w:rsidRPr="006B426D">
        <w:t>,</w:t>
      </w:r>
      <w:r w:rsidR="0002403A" w:rsidRPr="006B426D">
        <w:t xml:space="preserve"> what is the mechanism upon which the charge density increases solubilization?  </w:t>
      </w:r>
      <w:r w:rsidRPr="006B426D">
        <w:t>The KB</w:t>
      </w:r>
      <w:r w:rsidR="00E72ED8" w:rsidRPr="006B426D">
        <w:t>I</w:t>
      </w:r>
      <w:r w:rsidR="00B93ACF" w:rsidRPr="006B426D">
        <w:t>s</w:t>
      </w:r>
      <w:r w:rsidR="00EF7AE7" w:rsidRPr="006B426D">
        <w:t xml:space="preserve"> </w:t>
      </w:r>
      <w:r w:rsidRPr="006B426D">
        <w:t>calculated in this paper enable</w:t>
      </w:r>
      <w:r w:rsidR="007700E9" w:rsidRPr="006B426D">
        <w:t xml:space="preserve"> us</w:t>
      </w:r>
      <w:r w:rsidRPr="006B426D">
        <w:t xml:space="preserve"> to re-examine the true mechan</w:t>
      </w:r>
      <w:r w:rsidR="0002403A" w:rsidRPr="006B426D">
        <w:t xml:space="preserve">ism. </w:t>
      </w:r>
    </w:p>
    <w:p w14:paraId="0FAA1B55" w14:textId="77777777" w:rsidR="00856130" w:rsidRPr="006B426D" w:rsidRDefault="00856130" w:rsidP="00856130">
      <w:pPr>
        <w:pStyle w:val="TAMainText"/>
      </w:pPr>
    </w:p>
    <w:p w14:paraId="1FE52B9F" w14:textId="5629D348" w:rsidR="00E10403" w:rsidRPr="006B426D" w:rsidRDefault="0002403A" w:rsidP="00856130">
      <w:pPr>
        <w:pStyle w:val="TAMainText"/>
      </w:pPr>
      <w:r w:rsidRPr="006B426D">
        <w:t>According to the water structure hypothesis, solubilization is caused by the breaking of water structure around the hydrophobic group. C</w:t>
      </w:r>
      <w:r w:rsidR="00E10403" w:rsidRPr="006B426D">
        <w:t>ellobiose hydration behavio</w:t>
      </w:r>
      <w:r w:rsidR="007700E9" w:rsidRPr="006B426D">
        <w:t xml:space="preserve">r exhibits the opposite trend to </w:t>
      </w:r>
      <w:r w:rsidRPr="006B426D">
        <w:t>this hypothesis</w:t>
      </w:r>
      <w:r w:rsidR="007700E9" w:rsidRPr="006B426D">
        <w:t xml:space="preserve"> (Section 3.3)</w:t>
      </w:r>
      <w:r w:rsidR="00E10403" w:rsidRPr="006B426D">
        <w:t xml:space="preserve">, </w:t>
      </w:r>
      <w:r w:rsidRPr="006B426D">
        <w:t xml:space="preserve">hence </w:t>
      </w:r>
      <w:r w:rsidR="00E10403" w:rsidRPr="006B426D">
        <w:t xml:space="preserve">the role of charge density should be reconsidered. </w:t>
      </w:r>
      <w:r w:rsidRPr="006B426D">
        <w:t>What we have observed here</w:t>
      </w:r>
      <w:r w:rsidR="00ED5867" w:rsidRPr="006B426D">
        <w:t xml:space="preserve"> (Figures 2 and 4)</w:t>
      </w:r>
      <w:r w:rsidRPr="006B426D">
        <w:t xml:space="preserve"> instead is the </w:t>
      </w:r>
      <w:r w:rsidR="00BE597D" w:rsidRPr="006B426D">
        <w:t xml:space="preserve">importance of </w:t>
      </w:r>
      <w:r w:rsidRPr="006B426D">
        <w:t xml:space="preserve">increasing </w:t>
      </w:r>
      <w:r w:rsidRPr="006B426D">
        <w:rPr>
          <w:i/>
        </w:rPr>
        <w:t>preferential</w:t>
      </w:r>
      <w:r w:rsidR="00800FC8" w:rsidRPr="006B426D">
        <w:t xml:space="preserve"> cellobiose-salt affinity instead of the cellobiose-salt affinity </w:t>
      </w:r>
      <w:r w:rsidR="00800FC8" w:rsidRPr="006B426D">
        <w:rPr>
          <w:i/>
        </w:rPr>
        <w:t>per se</w:t>
      </w:r>
      <w:r w:rsidRPr="006B426D">
        <w:t>. This</w:t>
      </w:r>
      <w:r w:rsidR="00E10403" w:rsidRPr="006B426D">
        <w:t xml:space="preserve"> </w:t>
      </w:r>
      <w:r w:rsidR="005D6C8C" w:rsidRPr="006B426D">
        <w:t>is consistent with the previous</w:t>
      </w:r>
      <w:r w:rsidR="00E10403" w:rsidRPr="006B426D">
        <w:t xml:space="preserve"> </w:t>
      </w:r>
      <w:r w:rsidR="005D6C8C" w:rsidRPr="006B426D">
        <w:t>identification of preferential interaction as the</w:t>
      </w:r>
      <w:r w:rsidR="00E10403" w:rsidRPr="006B426D">
        <w:t xml:space="preserve"> driving</w:t>
      </w:r>
      <w:r w:rsidR="005D6C8C" w:rsidRPr="006B426D">
        <w:t xml:space="preserve"> force of the Hofmeister effect.</w:t>
      </w:r>
      <w:r w:rsidR="000473BB" w:rsidRPr="006B426D">
        <w:rPr>
          <w:noProof/>
          <w:vertAlign w:val="superscript"/>
        </w:rPr>
        <w:t>72</w:t>
      </w:r>
      <w:r w:rsidR="00E10403" w:rsidRPr="006B426D">
        <w:t xml:space="preserve"> </w:t>
      </w:r>
    </w:p>
    <w:p w14:paraId="35CD4F34" w14:textId="064AFA49" w:rsidR="00E10403" w:rsidRPr="006B426D" w:rsidRDefault="00E10403" w:rsidP="00BD4EB5">
      <w:pPr>
        <w:pStyle w:val="TAMainText"/>
      </w:pPr>
    </w:p>
    <w:p w14:paraId="05707E9E" w14:textId="5868F34B" w:rsidR="000F2F7A" w:rsidRPr="006B426D" w:rsidRDefault="000F2F7A" w:rsidP="00440D12">
      <w:pPr>
        <w:pStyle w:val="TAMainText"/>
      </w:pPr>
      <w:r w:rsidRPr="006B426D">
        <w:t>Having singled out preferential interaction as the driving force of the Hofmeister effect for proteins as well as cellobi</w:t>
      </w:r>
      <w:r w:rsidR="004B0725" w:rsidRPr="006B426D">
        <w:t>ose, the next step is to elucidate</w:t>
      </w:r>
      <w:r w:rsidRPr="006B426D">
        <w:t xml:space="preserve"> the</w:t>
      </w:r>
      <w:r w:rsidR="004B0725" w:rsidRPr="006B426D">
        <w:t xml:space="preserve"> mechanism of preferential interaction on a molecular basis. To un</w:t>
      </w:r>
      <w:r w:rsidR="006D7D25" w:rsidRPr="006B426D">
        <w:t xml:space="preserve">dertake this challenging task, </w:t>
      </w:r>
      <w:r w:rsidR="006408BF" w:rsidRPr="006B426D">
        <w:t>a recent computational approach,</w:t>
      </w:r>
      <w:r w:rsidR="00D20B01" w:rsidRPr="006B426D">
        <w:rPr>
          <w:noProof/>
          <w:vertAlign w:val="superscript"/>
        </w:rPr>
        <w:t>73,74</w:t>
      </w:r>
      <w:r w:rsidR="006408BF" w:rsidRPr="006B426D">
        <w:t xml:space="preserve"> which has been based firmly on the theory of solutions and successful in quantifying different types of electrostatic and non-electrostatic interactions (</w:t>
      </w:r>
      <w:r w:rsidR="00A12A6D" w:rsidRPr="006B426D">
        <w:t xml:space="preserve">including </w:t>
      </w:r>
      <w:r w:rsidR="006408BF" w:rsidRPr="006B426D">
        <w:t xml:space="preserve">configurational and excluded volume effects) on </w:t>
      </w:r>
      <w:r w:rsidR="006D7D25" w:rsidRPr="006B426D">
        <w:t>the orig</w:t>
      </w:r>
      <w:r w:rsidR="00A12A6D" w:rsidRPr="006B426D">
        <w:t>in of the Hofmeister effect</w:t>
      </w:r>
      <w:r w:rsidR="006408BF" w:rsidRPr="006B426D">
        <w:t xml:space="preserve"> on protein</w:t>
      </w:r>
      <w:r w:rsidR="00A12A6D" w:rsidRPr="006B426D">
        <w:t xml:space="preserve"> stability</w:t>
      </w:r>
      <w:r w:rsidR="00440D12" w:rsidRPr="006B426D">
        <w:t>,</w:t>
      </w:r>
      <w:r w:rsidR="00A12A6D" w:rsidRPr="006B426D">
        <w:t xml:space="preserve"> </w:t>
      </w:r>
      <w:r w:rsidR="00440D12" w:rsidRPr="006B426D">
        <w:t>could be translated to use in</w:t>
      </w:r>
      <w:r w:rsidR="006408BF" w:rsidRPr="006B426D">
        <w:t xml:space="preserve"> polysaccharides</w:t>
      </w:r>
      <w:r w:rsidR="00440D12" w:rsidRPr="006B426D">
        <w:t xml:space="preserve"> to identify the molecular level interactions </w:t>
      </w:r>
      <w:r w:rsidR="006408BF" w:rsidRPr="006B426D">
        <w:t xml:space="preserve">that make up preferential ion-cellulose affinity. </w:t>
      </w:r>
    </w:p>
    <w:p w14:paraId="3C9E0862" w14:textId="6247136B" w:rsidR="00762AB3" w:rsidRPr="006B426D" w:rsidRDefault="00762AB3" w:rsidP="00BD4EB5">
      <w:pPr>
        <w:pStyle w:val="TAMainText"/>
      </w:pPr>
    </w:p>
    <w:p w14:paraId="0FE16774" w14:textId="77777777" w:rsidR="00762AB3" w:rsidRPr="006B426D" w:rsidRDefault="00762AB3" w:rsidP="00762AB3">
      <w:pPr>
        <w:pStyle w:val="TAMainText"/>
        <w:ind w:firstLine="0"/>
        <w:rPr>
          <w:rFonts w:eastAsia="Times New Roman"/>
          <w:b/>
          <w:lang w:eastAsia="en-GB"/>
        </w:rPr>
      </w:pPr>
      <w:r w:rsidRPr="006B426D">
        <w:rPr>
          <w:rFonts w:eastAsia="Times New Roman"/>
          <w:b/>
          <w:lang w:eastAsia="en-GB"/>
        </w:rPr>
        <w:t>4. Conclusion</w:t>
      </w:r>
    </w:p>
    <w:p w14:paraId="554A8ABB" w14:textId="77777777" w:rsidR="00762AB3" w:rsidRPr="006B426D" w:rsidRDefault="00762AB3" w:rsidP="00762AB3">
      <w:pPr>
        <w:pStyle w:val="TAMainText"/>
        <w:rPr>
          <w:rFonts w:eastAsia="Times New Roman"/>
          <w:lang w:eastAsia="en-GB"/>
        </w:rPr>
      </w:pPr>
    </w:p>
    <w:p w14:paraId="27B90D9D" w14:textId="440929B7" w:rsidR="00762AB3" w:rsidRPr="006B426D" w:rsidRDefault="00762AB3" w:rsidP="005B472C">
      <w:pPr>
        <w:pStyle w:val="TAMainText"/>
        <w:ind w:firstLine="0"/>
        <w:rPr>
          <w:rFonts w:eastAsia="Times New Roman"/>
          <w:lang w:eastAsia="en-GB"/>
        </w:rPr>
      </w:pPr>
      <w:r w:rsidRPr="006B426D">
        <w:rPr>
          <w:rFonts w:eastAsia="Times New Roman"/>
          <w:lang w:eastAsia="en-GB"/>
        </w:rPr>
        <w:t xml:space="preserve">Elucidation of the mechanism of cellulose dissolution has been hampered by the lack of a theoretical framework that can explain solubility on a molecular scale, as well as lack of standard model systems that enable the direct experimental measurements of cellulose-solvent interactions in a reproducible manner. To overcome these hindrances, we identified and quantified the driving forces of solubilization using cellobiose as a model system whose solubility in the presence of Hofmeister salts have been reported recently in the literature. The rigorous statistical thermodynamic framework, which has a track record of clarifying the microscopic basis of solvation in wide-ranging fields, has been applied to reveal the solubilization mechanism at odds with many of the classical hypotheses. </w:t>
      </w:r>
    </w:p>
    <w:p w14:paraId="014C062C" w14:textId="77777777" w:rsidR="00762AB3" w:rsidRPr="006B426D" w:rsidRDefault="00762AB3" w:rsidP="00762AB3">
      <w:pPr>
        <w:pStyle w:val="TAMainText"/>
        <w:rPr>
          <w:rFonts w:eastAsia="Times New Roman"/>
          <w:lang w:eastAsia="en-GB"/>
        </w:rPr>
      </w:pPr>
    </w:p>
    <w:p w14:paraId="5C957A0F" w14:textId="399D8BE2" w:rsidR="00762AB3" w:rsidRPr="006B426D" w:rsidRDefault="00762AB3" w:rsidP="00762AB3">
      <w:pPr>
        <w:pStyle w:val="TAMainText"/>
        <w:rPr>
          <w:rFonts w:eastAsia="Times New Roman"/>
          <w:lang w:eastAsia="en-GB"/>
        </w:rPr>
      </w:pPr>
      <w:r w:rsidRPr="006B426D">
        <w:rPr>
          <w:rFonts w:eastAsia="Times New Roman"/>
          <w:lang w:eastAsia="en-GB"/>
        </w:rPr>
        <w:t>The driving force for solubilization is the preferential accumulation of salt</w:t>
      </w:r>
      <w:r w:rsidR="009E2E70" w:rsidRPr="006B426D">
        <w:rPr>
          <w:rFonts w:eastAsia="Times New Roman"/>
          <w:lang w:eastAsia="en-GB"/>
        </w:rPr>
        <w:t xml:space="preserve"> ions around the solute molecules</w:t>
      </w:r>
      <w:r w:rsidRPr="006B426D">
        <w:rPr>
          <w:rFonts w:eastAsia="Times New Roman"/>
          <w:lang w:eastAsia="en-GB"/>
        </w:rPr>
        <w:t xml:space="preserve">, which is stronger than cellobiose hydration. Even though the salt accumulation weakens as the concentration of salts in solution, the increasing cellobiose </w:t>
      </w:r>
      <w:r w:rsidRPr="006B426D">
        <w:rPr>
          <w:rFonts w:eastAsia="Times New Roman"/>
          <w:i/>
          <w:lang w:eastAsia="en-GB"/>
        </w:rPr>
        <w:t xml:space="preserve">dehydration </w:t>
      </w:r>
      <w:r w:rsidRPr="006B426D">
        <w:rPr>
          <w:rFonts w:eastAsia="Times New Roman"/>
          <w:lang w:eastAsia="en-GB"/>
        </w:rPr>
        <w:t>keeps the cell</w:t>
      </w:r>
      <w:r w:rsidR="00865038" w:rsidRPr="006B426D">
        <w:rPr>
          <w:rFonts w:eastAsia="Times New Roman"/>
          <w:lang w:eastAsia="en-GB"/>
        </w:rPr>
        <w:t>o</w:t>
      </w:r>
      <w:r w:rsidRPr="006B426D">
        <w:rPr>
          <w:rFonts w:eastAsia="Times New Roman"/>
          <w:lang w:eastAsia="en-GB"/>
        </w:rPr>
        <w:t>biose-salt interaction still preferential.</w:t>
      </w:r>
      <w:r w:rsidR="00C76FAC" w:rsidRPr="006B426D">
        <w:rPr>
          <w:rFonts w:eastAsia="Times New Roman"/>
          <w:lang w:eastAsia="en-GB"/>
        </w:rPr>
        <w:t xml:space="preserve"> This scenario has also been observed for coffee ingredient molecules in aqueous ionic liquid solutions.</w:t>
      </w:r>
      <w:r w:rsidR="00D9191C" w:rsidRPr="006B426D">
        <w:rPr>
          <w:rFonts w:eastAsia="Times New Roman"/>
          <w:noProof/>
          <w:vertAlign w:val="superscript"/>
          <w:lang w:eastAsia="en-GB"/>
        </w:rPr>
        <w:t>59</w:t>
      </w:r>
      <w:r w:rsidR="00C76FAC" w:rsidRPr="006B426D">
        <w:rPr>
          <w:rFonts w:eastAsia="Times New Roman"/>
          <w:lang w:eastAsia="en-GB"/>
        </w:rPr>
        <w:t xml:space="preserve"> </w:t>
      </w:r>
      <w:r w:rsidRPr="006B426D">
        <w:rPr>
          <w:rFonts w:eastAsia="Times New Roman"/>
          <w:lang w:eastAsia="en-GB"/>
        </w:rPr>
        <w:t xml:space="preserve">The increasing dehydration is at odds with the classical “water structure” hypothesis for chaotropic solubilization which predicts the increase in cellobiose </w:t>
      </w:r>
      <w:r w:rsidRPr="006B426D">
        <w:rPr>
          <w:rFonts w:eastAsia="Times New Roman"/>
          <w:i/>
          <w:lang w:eastAsia="en-GB"/>
        </w:rPr>
        <w:t>hydration</w:t>
      </w:r>
      <w:r w:rsidRPr="006B426D">
        <w:rPr>
          <w:rFonts w:eastAsia="Times New Roman"/>
          <w:lang w:eastAsia="en-GB"/>
        </w:rPr>
        <w:t xml:space="preserve">. </w:t>
      </w:r>
    </w:p>
    <w:p w14:paraId="6D787481" w14:textId="77777777" w:rsidR="00762AB3" w:rsidRPr="006B426D" w:rsidRDefault="00762AB3" w:rsidP="00762AB3">
      <w:pPr>
        <w:pStyle w:val="TAMainText"/>
        <w:rPr>
          <w:rFonts w:eastAsia="Times New Roman"/>
          <w:lang w:eastAsia="en-GB"/>
        </w:rPr>
      </w:pPr>
    </w:p>
    <w:p w14:paraId="411A631D" w14:textId="0BB4ECF6" w:rsidR="00762AB3" w:rsidRPr="006B426D" w:rsidRDefault="00762AB3" w:rsidP="00762AB3">
      <w:pPr>
        <w:pStyle w:val="TAMainText"/>
        <w:rPr>
          <w:rFonts w:eastAsia="Times New Roman"/>
          <w:lang w:eastAsia="en-GB"/>
        </w:rPr>
      </w:pPr>
      <w:r w:rsidRPr="006B426D">
        <w:rPr>
          <w:rFonts w:eastAsia="Times New Roman"/>
          <w:lang w:eastAsia="en-GB"/>
        </w:rPr>
        <w:t>Hence the classical hypothesis regarding the role of ionic charge density on water structure breaking and making should be revised: the larger charge density leads to preferential interaction with cellobiose. That the concentration of ions around cellobiose is the key towards solubilization is consistent with the classical hypothesis that emphasized the importance of cellulose-ion binding as the driving force. However, in contrast to the classical hypothesis that invoked the favourable entropy of mixing between cellulose polyelectrolyte and small charged ions in solution as the driving force, our theory links the ion accumulation and solubilization directly; the approach based on entropy of mixing</w:t>
      </w:r>
      <w:r w:rsidR="00856130" w:rsidRPr="006B426D">
        <w:rPr>
          <w:rFonts w:eastAsia="Times New Roman"/>
          <w:lang w:eastAsia="en-GB"/>
        </w:rPr>
        <w:t xml:space="preserve"> (or more accurately “entropy of assimilation”)</w:t>
      </w:r>
      <w:r w:rsidRPr="006B426D">
        <w:rPr>
          <w:rFonts w:eastAsia="Times New Roman"/>
          <w:lang w:eastAsia="en-GB"/>
        </w:rPr>
        <w:t xml:space="preserve"> suffers from entropy-enthalpy compensation that prevents </w:t>
      </w:r>
      <w:r w:rsidR="00DA0AB5" w:rsidRPr="006B426D">
        <w:rPr>
          <w:rFonts w:eastAsia="Times New Roman"/>
          <w:lang w:eastAsia="en-GB"/>
        </w:rPr>
        <w:t xml:space="preserve">us </w:t>
      </w:r>
      <w:r w:rsidRPr="006B426D">
        <w:rPr>
          <w:rFonts w:eastAsia="Times New Roman"/>
          <w:lang w:eastAsia="en-GB"/>
        </w:rPr>
        <w:t xml:space="preserve">from directly linking solubility with solution structure.  </w:t>
      </w:r>
    </w:p>
    <w:p w14:paraId="306DC907" w14:textId="77777777" w:rsidR="00856130" w:rsidRPr="006B426D" w:rsidRDefault="00856130" w:rsidP="00856130">
      <w:pPr>
        <w:pStyle w:val="TAMainText"/>
        <w:ind w:firstLine="0"/>
        <w:rPr>
          <w:rFonts w:eastAsia="Times New Roman"/>
          <w:lang w:eastAsia="en-GB"/>
        </w:rPr>
      </w:pPr>
    </w:p>
    <w:p w14:paraId="711CB5FF" w14:textId="77777777" w:rsidR="00762AB3" w:rsidRPr="006B426D" w:rsidRDefault="00762AB3" w:rsidP="00762AB3">
      <w:pPr>
        <w:pStyle w:val="TAMainText"/>
        <w:rPr>
          <w:rFonts w:eastAsia="Times New Roman"/>
          <w:lang w:eastAsia="en-GB"/>
        </w:rPr>
      </w:pPr>
      <w:r w:rsidRPr="006B426D">
        <w:rPr>
          <w:rFonts w:eastAsia="Times New Roman"/>
          <w:lang w:eastAsia="en-GB"/>
        </w:rPr>
        <w:t xml:space="preserve">Self-association of salts in bulk solution has been identified also as a minor contribution that reduces the efficiency of solubilization, which is consistent with our recent application of statistical thermodynamics in a number of biological and chemical systems. </w:t>
      </w:r>
    </w:p>
    <w:p w14:paraId="757EE94D" w14:textId="77777777" w:rsidR="00762AB3" w:rsidRPr="006B426D" w:rsidRDefault="00762AB3" w:rsidP="00762AB3">
      <w:pPr>
        <w:pStyle w:val="TAMainText"/>
        <w:rPr>
          <w:rFonts w:eastAsia="Times New Roman"/>
          <w:lang w:eastAsia="en-GB"/>
        </w:rPr>
      </w:pPr>
    </w:p>
    <w:p w14:paraId="20C91DF2" w14:textId="43F5539B" w:rsidR="00762AB3" w:rsidRPr="006B426D" w:rsidRDefault="009E2E70" w:rsidP="00762AB3">
      <w:pPr>
        <w:pStyle w:val="TAMainText"/>
        <w:rPr>
          <w:rFonts w:eastAsia="Times New Roman"/>
          <w:lang w:eastAsia="en-GB"/>
        </w:rPr>
      </w:pPr>
      <w:r w:rsidRPr="006B426D">
        <w:rPr>
          <w:rFonts w:eastAsia="Times New Roman"/>
          <w:lang w:eastAsia="en-GB"/>
        </w:rPr>
        <w:t>Based on our identification of</w:t>
      </w:r>
      <w:r w:rsidR="00762AB3" w:rsidRPr="006B426D">
        <w:rPr>
          <w:rFonts w:eastAsia="Times New Roman"/>
          <w:lang w:eastAsia="en-GB"/>
        </w:rPr>
        <w:t xml:space="preserve"> the roles of cellulose-salt and cellulose water interactions on solubilization, applying our insights to cellulose in a quantitative manner requires an investigation into the group additivity of solvation that requires the study of cellulose analogues of longer chain lengths. </w:t>
      </w:r>
      <w:r w:rsidR="008626A5" w:rsidRPr="006B426D">
        <w:rPr>
          <w:rFonts w:eastAsia="Times New Roman"/>
          <w:lang w:eastAsia="en-GB"/>
        </w:rPr>
        <w:t>In addition, a molecular-based mechanism of the role of individual ions on KBIs and solubility requires an extensive molecular dynamics simulation.</w:t>
      </w:r>
      <w:r w:rsidR="005C2D5A" w:rsidRPr="006B426D">
        <w:rPr>
          <w:rFonts w:eastAsia="Times New Roman"/>
          <w:noProof/>
          <w:vertAlign w:val="superscript"/>
          <w:lang w:eastAsia="en-GB"/>
        </w:rPr>
        <w:t>75,76</w:t>
      </w:r>
      <w:r w:rsidR="008626A5" w:rsidRPr="006B426D">
        <w:rPr>
          <w:rFonts w:eastAsia="Times New Roman"/>
          <w:lang w:eastAsia="en-GB"/>
        </w:rPr>
        <w:t xml:space="preserve"> </w:t>
      </w:r>
      <w:r w:rsidR="00762AB3" w:rsidRPr="006B426D">
        <w:rPr>
          <w:rFonts w:eastAsia="Times New Roman"/>
          <w:lang w:eastAsia="en-GB"/>
        </w:rPr>
        <w:t xml:space="preserve">Nevertheless, our present study successfully paved a way towards identifying the basic driving forces for cellulose solubilization in a quantitative manner for the first time.  </w:t>
      </w:r>
    </w:p>
    <w:p w14:paraId="6066F019" w14:textId="27ABB282" w:rsidR="00762AB3" w:rsidRPr="006B426D" w:rsidRDefault="00762AB3" w:rsidP="005B472C">
      <w:pPr>
        <w:pStyle w:val="TAMainText"/>
        <w:ind w:firstLine="0"/>
        <w:rPr>
          <w:lang w:eastAsia="en-GB"/>
        </w:rPr>
      </w:pPr>
    </w:p>
    <w:p w14:paraId="1CC3AABC" w14:textId="77777777" w:rsidR="00762AB3" w:rsidRPr="006B426D" w:rsidRDefault="00762AB3" w:rsidP="00762AB3">
      <w:pPr>
        <w:pStyle w:val="TAMainText"/>
        <w:ind w:firstLine="0"/>
        <w:rPr>
          <w:b/>
          <w:lang w:eastAsia="en-GB"/>
        </w:rPr>
      </w:pPr>
      <w:r w:rsidRPr="006B426D">
        <w:rPr>
          <w:b/>
          <w:lang w:eastAsia="en-GB"/>
        </w:rPr>
        <w:t>Acknowledgements</w:t>
      </w:r>
    </w:p>
    <w:p w14:paraId="1979BEC6" w14:textId="15A592B6" w:rsidR="00762AB3" w:rsidRPr="006B426D" w:rsidRDefault="00762AB3" w:rsidP="00762AB3">
      <w:pPr>
        <w:pStyle w:val="TAMainText"/>
      </w:pPr>
      <w:r w:rsidRPr="006B426D">
        <w:t>T</w:t>
      </w:r>
      <w:r w:rsidR="00D23F1B" w:rsidRPr="006B426D">
        <w:t>.</w:t>
      </w:r>
      <w:r w:rsidRPr="006B426D">
        <w:t>W</w:t>
      </w:r>
      <w:r w:rsidR="00D23F1B" w:rsidRPr="006B426D">
        <w:t>.</w:t>
      </w:r>
      <w:r w:rsidRPr="006B426D">
        <w:t>J</w:t>
      </w:r>
      <w:r w:rsidR="00D23F1B" w:rsidRPr="006B426D">
        <w:t>.</w:t>
      </w:r>
      <w:r w:rsidRPr="006B426D">
        <w:t>N</w:t>
      </w:r>
      <w:r w:rsidR="00D23F1B" w:rsidRPr="006B426D">
        <w:t>.</w:t>
      </w:r>
      <w:r w:rsidRPr="006B426D">
        <w:t xml:space="preserve"> is supported by an EPSRC DTA PhD studentship supervised by S.S. and J.H.C. S.S. thanks the Gen Foundation for funding. </w:t>
      </w:r>
      <w:r w:rsidR="006109CE" w:rsidRPr="006B426D">
        <w:t xml:space="preserve">N. I. </w:t>
      </w:r>
      <w:r w:rsidR="00C661BA" w:rsidRPr="006B426D">
        <w:t>thanks the Daiwa Anglo-Japanese Foundation for funding (Daiwa Foundation Small Grant, ref: 11991/12791)</w:t>
      </w:r>
    </w:p>
    <w:p w14:paraId="6A92BFA7" w14:textId="77777777" w:rsidR="00292E2E" w:rsidRPr="006B426D" w:rsidRDefault="00292E2E" w:rsidP="00292E2E">
      <w:pPr>
        <w:pStyle w:val="TAMainText"/>
        <w:ind w:firstLine="0"/>
        <w:rPr>
          <w:lang w:eastAsia="en-GB"/>
        </w:rPr>
      </w:pPr>
    </w:p>
    <w:p w14:paraId="5BC0D612" w14:textId="0322D6B0" w:rsidR="00762AB3" w:rsidRPr="006B426D" w:rsidRDefault="00762AB3" w:rsidP="00292E2E">
      <w:pPr>
        <w:pStyle w:val="TAMainText"/>
        <w:ind w:firstLine="0"/>
        <w:rPr>
          <w:b/>
        </w:rPr>
      </w:pPr>
      <w:r w:rsidRPr="006B426D">
        <w:rPr>
          <w:b/>
        </w:rPr>
        <w:t>References</w:t>
      </w:r>
    </w:p>
    <w:p w14:paraId="17DFCF10" w14:textId="534DD5AC" w:rsidR="00054845" w:rsidRPr="006B426D" w:rsidRDefault="00054845" w:rsidP="00BD4EB5">
      <w:pPr>
        <w:pStyle w:val="TAMainText"/>
      </w:pPr>
    </w:p>
    <w:p w14:paraId="470953FC" w14:textId="70CC278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1</w:t>
      </w:r>
      <w:r w:rsidRPr="006B426D">
        <w:rPr>
          <w:rFonts w:ascii="Times" w:eastAsia="Times New Roman" w:hAnsi="Times" w:cs="Times New Roman"/>
          <w:noProof/>
          <w:sz w:val="24"/>
        </w:rPr>
        <w:tab/>
        <w:t xml:space="preserve">H. Sobue, H. Kiessig and K. Hess, </w:t>
      </w:r>
      <w:r w:rsidR="00F8206F" w:rsidRPr="006B426D">
        <w:rPr>
          <w:rFonts w:ascii="Times" w:eastAsia="Times New Roman" w:hAnsi="Times" w:cs="Times New Roman"/>
          <w:i/>
          <w:iCs/>
          <w:noProof/>
          <w:sz w:val="24"/>
        </w:rPr>
        <w:t>Z.</w:t>
      </w:r>
      <w:r w:rsidRPr="006B426D">
        <w:rPr>
          <w:rFonts w:ascii="Times" w:eastAsia="Times New Roman" w:hAnsi="Times" w:cs="Times New Roman"/>
          <w:i/>
          <w:iCs/>
          <w:noProof/>
          <w:sz w:val="24"/>
        </w:rPr>
        <w:t xml:space="preserve"> Phys. Chem</w:t>
      </w:r>
      <w:r w:rsidR="004562C4" w:rsidRPr="006B426D">
        <w:rPr>
          <w:rFonts w:ascii="Times" w:eastAsia="Times New Roman" w:hAnsi="Times" w:cs="Times New Roman"/>
          <w:i/>
          <w:iCs/>
          <w:noProof/>
          <w:sz w:val="24"/>
        </w:rPr>
        <w:t>.</w:t>
      </w:r>
      <w:r w:rsidRPr="006B426D">
        <w:rPr>
          <w:rFonts w:ascii="Times" w:eastAsia="Times New Roman" w:hAnsi="Times" w:cs="Times New Roman"/>
          <w:noProof/>
          <w:sz w:val="24"/>
        </w:rPr>
        <w:t xml:space="preserve">, 1939, </w:t>
      </w:r>
      <w:r w:rsidRPr="006B426D">
        <w:rPr>
          <w:rFonts w:ascii="Times" w:eastAsia="Times New Roman" w:hAnsi="Times" w:cs="Times New Roman"/>
          <w:b/>
          <w:bCs/>
          <w:noProof/>
          <w:sz w:val="24"/>
        </w:rPr>
        <w:t>43B</w:t>
      </w:r>
      <w:r w:rsidRPr="006B426D">
        <w:rPr>
          <w:rFonts w:ascii="Times" w:eastAsia="Times New Roman" w:hAnsi="Times" w:cs="Times New Roman"/>
          <w:noProof/>
          <w:sz w:val="24"/>
        </w:rPr>
        <w:t>, 309–328.</w:t>
      </w:r>
    </w:p>
    <w:p w14:paraId="4BE7C1D7"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2</w:t>
      </w:r>
      <w:r w:rsidRPr="006B426D">
        <w:rPr>
          <w:rFonts w:ascii="Times" w:eastAsia="Times New Roman" w:hAnsi="Times" w:cs="Times New Roman"/>
          <w:noProof/>
          <w:sz w:val="24"/>
        </w:rPr>
        <w:tab/>
        <w:t xml:space="preserve">T. Budtova and P. Navard, </w:t>
      </w:r>
      <w:r w:rsidRPr="006B426D">
        <w:rPr>
          <w:rFonts w:ascii="Times" w:eastAsia="Times New Roman" w:hAnsi="Times" w:cs="Times New Roman"/>
          <w:i/>
          <w:iCs/>
          <w:noProof/>
          <w:sz w:val="24"/>
        </w:rPr>
        <w:t>Cellulose</w:t>
      </w:r>
      <w:r w:rsidRPr="006B426D">
        <w:rPr>
          <w:rFonts w:ascii="Times" w:eastAsia="Times New Roman" w:hAnsi="Times" w:cs="Times New Roman"/>
          <w:noProof/>
          <w:sz w:val="24"/>
        </w:rPr>
        <w:t xml:space="preserve">, 2016, </w:t>
      </w:r>
      <w:r w:rsidRPr="006B426D">
        <w:rPr>
          <w:rFonts w:ascii="Times" w:eastAsia="Times New Roman" w:hAnsi="Times" w:cs="Times New Roman"/>
          <w:b/>
          <w:bCs/>
          <w:noProof/>
          <w:sz w:val="24"/>
        </w:rPr>
        <w:t>23</w:t>
      </w:r>
      <w:r w:rsidRPr="006B426D">
        <w:rPr>
          <w:rFonts w:ascii="Times" w:eastAsia="Times New Roman" w:hAnsi="Times" w:cs="Times New Roman"/>
          <w:noProof/>
          <w:sz w:val="24"/>
        </w:rPr>
        <w:t>, 5–55.</w:t>
      </w:r>
    </w:p>
    <w:p w14:paraId="15042009"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3</w:t>
      </w:r>
      <w:r w:rsidRPr="006B426D">
        <w:rPr>
          <w:rFonts w:ascii="Times" w:eastAsia="Times New Roman" w:hAnsi="Times" w:cs="Times New Roman"/>
          <w:noProof/>
          <w:sz w:val="24"/>
        </w:rPr>
        <w:tab/>
        <w:t xml:space="preserve">Y.-J. Yang, J.-M. Shin, T. H. Kang, S. Kimura, M. Wada and U.-J. Kim, </w:t>
      </w:r>
      <w:r w:rsidRPr="006B426D">
        <w:rPr>
          <w:rFonts w:ascii="Times" w:eastAsia="Times New Roman" w:hAnsi="Times" w:cs="Times New Roman"/>
          <w:i/>
          <w:iCs/>
          <w:noProof/>
          <w:sz w:val="24"/>
        </w:rPr>
        <w:t>Cellulose</w:t>
      </w:r>
      <w:r w:rsidRPr="006B426D">
        <w:rPr>
          <w:rFonts w:ascii="Times" w:eastAsia="Times New Roman" w:hAnsi="Times" w:cs="Times New Roman"/>
          <w:noProof/>
          <w:sz w:val="24"/>
        </w:rPr>
        <w:t xml:space="preserve">, 2014, </w:t>
      </w:r>
      <w:r w:rsidRPr="006B426D">
        <w:rPr>
          <w:rFonts w:ascii="Times" w:eastAsia="Times New Roman" w:hAnsi="Times" w:cs="Times New Roman"/>
          <w:b/>
          <w:bCs/>
          <w:noProof/>
          <w:sz w:val="24"/>
        </w:rPr>
        <w:t>21</w:t>
      </w:r>
      <w:r w:rsidRPr="006B426D">
        <w:rPr>
          <w:rFonts w:ascii="Times" w:eastAsia="Times New Roman" w:hAnsi="Times" w:cs="Times New Roman"/>
          <w:noProof/>
          <w:sz w:val="24"/>
        </w:rPr>
        <w:t>, 1175–1181.</w:t>
      </w:r>
    </w:p>
    <w:p w14:paraId="5A4DC552" w14:textId="043F3891"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4</w:t>
      </w:r>
      <w:r w:rsidRPr="006B426D">
        <w:rPr>
          <w:rFonts w:ascii="Times" w:eastAsia="Times New Roman" w:hAnsi="Times" w:cs="Times New Roman"/>
          <w:noProof/>
          <w:sz w:val="24"/>
        </w:rPr>
        <w:tab/>
        <w:t xml:space="preserve">A. L. Dupont, </w:t>
      </w:r>
      <w:r w:rsidR="00487182" w:rsidRPr="006B426D">
        <w:rPr>
          <w:rFonts w:ascii="Times" w:eastAsia="Times New Roman" w:hAnsi="Times" w:cs="Times New Roman"/>
          <w:i/>
          <w:iCs/>
          <w:noProof/>
          <w:sz w:val="24"/>
        </w:rPr>
        <w:t>Polymer</w:t>
      </w:r>
      <w:r w:rsidRPr="006B426D">
        <w:rPr>
          <w:rFonts w:ascii="Times" w:eastAsia="Times New Roman" w:hAnsi="Times" w:cs="Times New Roman"/>
          <w:noProof/>
          <w:sz w:val="24"/>
        </w:rPr>
        <w:t xml:space="preserve">, 2003, </w:t>
      </w:r>
      <w:r w:rsidRPr="006B426D">
        <w:rPr>
          <w:rFonts w:ascii="Times" w:eastAsia="Times New Roman" w:hAnsi="Times" w:cs="Times New Roman"/>
          <w:b/>
          <w:bCs/>
          <w:noProof/>
          <w:sz w:val="24"/>
        </w:rPr>
        <w:t>44</w:t>
      </w:r>
      <w:r w:rsidRPr="006B426D">
        <w:rPr>
          <w:rFonts w:ascii="Times" w:eastAsia="Times New Roman" w:hAnsi="Times" w:cs="Times New Roman"/>
          <w:noProof/>
          <w:sz w:val="24"/>
        </w:rPr>
        <w:t>, 4117–4126.</w:t>
      </w:r>
    </w:p>
    <w:p w14:paraId="7497C2A3"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5</w:t>
      </w:r>
      <w:r w:rsidRPr="006B426D">
        <w:rPr>
          <w:rFonts w:ascii="Times" w:eastAsia="Times New Roman" w:hAnsi="Times" w:cs="Times New Roman"/>
          <w:noProof/>
          <w:sz w:val="24"/>
        </w:rPr>
        <w:tab/>
        <w:t xml:space="preserve">E. Kraemer, </w:t>
      </w:r>
      <w:r w:rsidRPr="006B426D">
        <w:rPr>
          <w:rFonts w:ascii="Times" w:eastAsia="Times New Roman" w:hAnsi="Times" w:cs="Times New Roman"/>
          <w:i/>
          <w:iCs/>
          <w:noProof/>
          <w:sz w:val="24"/>
        </w:rPr>
        <w:t>Ind. Eng. Chem.</w:t>
      </w:r>
      <w:r w:rsidRPr="006B426D">
        <w:rPr>
          <w:rFonts w:ascii="Times" w:eastAsia="Times New Roman" w:hAnsi="Times" w:cs="Times New Roman"/>
          <w:noProof/>
          <w:sz w:val="24"/>
        </w:rPr>
        <w:t xml:space="preserve">, 1938, </w:t>
      </w:r>
      <w:r w:rsidRPr="006B426D">
        <w:rPr>
          <w:rFonts w:ascii="Times" w:eastAsia="Times New Roman" w:hAnsi="Times" w:cs="Times New Roman"/>
          <w:b/>
          <w:bCs/>
          <w:noProof/>
          <w:sz w:val="24"/>
        </w:rPr>
        <w:t>30</w:t>
      </w:r>
      <w:r w:rsidRPr="006B426D">
        <w:rPr>
          <w:rFonts w:ascii="Times" w:eastAsia="Times New Roman" w:hAnsi="Times" w:cs="Times New Roman"/>
          <w:noProof/>
          <w:sz w:val="24"/>
        </w:rPr>
        <w:t>, 1200–1203.</w:t>
      </w:r>
    </w:p>
    <w:p w14:paraId="7D12DDF9"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6</w:t>
      </w:r>
      <w:r w:rsidRPr="006B426D">
        <w:rPr>
          <w:rFonts w:ascii="Times" w:eastAsia="Times New Roman" w:hAnsi="Times" w:cs="Times New Roman"/>
          <w:noProof/>
          <w:sz w:val="24"/>
        </w:rPr>
        <w:tab/>
        <w:t xml:space="preserve">S. N. Danilov, T. I. Samsonova and L. S. Bolotnikova, </w:t>
      </w:r>
      <w:r w:rsidRPr="006B426D">
        <w:rPr>
          <w:rFonts w:ascii="Times" w:eastAsia="Times New Roman" w:hAnsi="Times" w:cs="Times New Roman"/>
          <w:i/>
          <w:iCs/>
          <w:noProof/>
          <w:sz w:val="24"/>
        </w:rPr>
        <w:t>Russ. Chem. Rev.</w:t>
      </w:r>
      <w:r w:rsidRPr="006B426D">
        <w:rPr>
          <w:rFonts w:ascii="Times" w:eastAsia="Times New Roman" w:hAnsi="Times" w:cs="Times New Roman"/>
          <w:noProof/>
          <w:sz w:val="24"/>
        </w:rPr>
        <w:t xml:space="preserve">, 1970, </w:t>
      </w:r>
      <w:r w:rsidRPr="006B426D">
        <w:rPr>
          <w:rFonts w:ascii="Times" w:eastAsia="Times New Roman" w:hAnsi="Times" w:cs="Times New Roman"/>
          <w:b/>
          <w:bCs/>
          <w:noProof/>
          <w:sz w:val="24"/>
        </w:rPr>
        <w:t>39</w:t>
      </w:r>
      <w:r w:rsidRPr="006B426D">
        <w:rPr>
          <w:rFonts w:ascii="Times" w:eastAsia="Times New Roman" w:hAnsi="Times" w:cs="Times New Roman"/>
          <w:noProof/>
          <w:sz w:val="24"/>
        </w:rPr>
        <w:t>, 156–168.</w:t>
      </w:r>
    </w:p>
    <w:p w14:paraId="57DA95E9"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7</w:t>
      </w:r>
      <w:r w:rsidRPr="006B426D">
        <w:rPr>
          <w:rFonts w:ascii="Times" w:eastAsia="Times New Roman" w:hAnsi="Times" w:cs="Times New Roman"/>
          <w:noProof/>
          <w:sz w:val="24"/>
        </w:rPr>
        <w:tab/>
        <w:t xml:space="preserve">A. Isogai, </w:t>
      </w:r>
      <w:r w:rsidRPr="006B426D">
        <w:rPr>
          <w:rFonts w:ascii="Times" w:eastAsia="Times New Roman" w:hAnsi="Times" w:cs="Times New Roman"/>
          <w:i/>
          <w:iCs/>
          <w:noProof/>
          <w:sz w:val="24"/>
        </w:rPr>
        <w:t>Cellulose</w:t>
      </w:r>
      <w:r w:rsidRPr="006B426D">
        <w:rPr>
          <w:rFonts w:ascii="Times" w:eastAsia="Times New Roman" w:hAnsi="Times" w:cs="Times New Roman"/>
          <w:noProof/>
          <w:sz w:val="24"/>
        </w:rPr>
        <w:t xml:space="preserve">, 1997, </w:t>
      </w:r>
      <w:r w:rsidRPr="006B426D">
        <w:rPr>
          <w:rFonts w:ascii="Times" w:eastAsia="Times New Roman" w:hAnsi="Times" w:cs="Times New Roman"/>
          <w:b/>
          <w:bCs/>
          <w:noProof/>
          <w:sz w:val="24"/>
        </w:rPr>
        <w:t>4</w:t>
      </w:r>
      <w:r w:rsidRPr="006B426D">
        <w:rPr>
          <w:rFonts w:ascii="Times" w:eastAsia="Times New Roman" w:hAnsi="Times" w:cs="Times New Roman"/>
          <w:noProof/>
          <w:sz w:val="24"/>
        </w:rPr>
        <w:t>, 99–107.</w:t>
      </w:r>
    </w:p>
    <w:p w14:paraId="77B6009B"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8</w:t>
      </w:r>
      <w:r w:rsidRPr="006B426D">
        <w:rPr>
          <w:rFonts w:ascii="Times" w:eastAsia="Times New Roman" w:hAnsi="Times" w:cs="Times New Roman"/>
          <w:noProof/>
          <w:sz w:val="24"/>
        </w:rPr>
        <w:tab/>
        <w:t xml:space="preserve">K. Kamide, K. Okajima, T. Matsui and K. Kowsaka, </w:t>
      </w:r>
      <w:r w:rsidRPr="006B426D">
        <w:rPr>
          <w:rFonts w:ascii="Times" w:eastAsia="Times New Roman" w:hAnsi="Times" w:cs="Times New Roman"/>
          <w:i/>
          <w:iCs/>
          <w:noProof/>
          <w:sz w:val="24"/>
        </w:rPr>
        <w:t>Polym. J.</w:t>
      </w:r>
      <w:r w:rsidRPr="006B426D">
        <w:rPr>
          <w:rFonts w:ascii="Times" w:eastAsia="Times New Roman" w:hAnsi="Times" w:cs="Times New Roman"/>
          <w:noProof/>
          <w:sz w:val="24"/>
        </w:rPr>
        <w:t>, 1984, 16, 857–866.</w:t>
      </w:r>
    </w:p>
    <w:p w14:paraId="1C4228E8" w14:textId="35C86280"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9</w:t>
      </w:r>
      <w:r w:rsidRPr="006B426D">
        <w:rPr>
          <w:rFonts w:ascii="Times" w:eastAsia="Times New Roman" w:hAnsi="Times" w:cs="Times New Roman"/>
          <w:noProof/>
          <w:sz w:val="24"/>
        </w:rPr>
        <w:tab/>
        <w:t xml:space="preserve">T. R. Dawsey and C. L. McCormick, </w:t>
      </w:r>
      <w:r w:rsidR="00FF6329" w:rsidRPr="006B426D">
        <w:rPr>
          <w:rFonts w:ascii="Times" w:eastAsia="Times New Roman" w:hAnsi="Times" w:cs="Times New Roman"/>
          <w:i/>
          <w:iCs/>
          <w:noProof/>
          <w:sz w:val="24"/>
        </w:rPr>
        <w:t xml:space="preserve">J. Macromol. Sci. </w:t>
      </w:r>
      <w:r w:rsidRPr="006B426D">
        <w:rPr>
          <w:rFonts w:ascii="Times" w:eastAsia="Times New Roman" w:hAnsi="Times" w:cs="Times New Roman"/>
          <w:i/>
          <w:iCs/>
          <w:noProof/>
          <w:sz w:val="24"/>
        </w:rPr>
        <w:t>C</w:t>
      </w:r>
      <w:r w:rsidRPr="006B426D">
        <w:rPr>
          <w:rFonts w:ascii="Times" w:eastAsia="Times New Roman" w:hAnsi="Times" w:cs="Times New Roman"/>
          <w:noProof/>
          <w:sz w:val="24"/>
        </w:rPr>
        <w:t xml:space="preserve">, 1990, </w:t>
      </w:r>
      <w:r w:rsidRPr="006B426D">
        <w:rPr>
          <w:rFonts w:ascii="Times" w:eastAsia="Times New Roman" w:hAnsi="Times" w:cs="Times New Roman"/>
          <w:b/>
          <w:bCs/>
          <w:noProof/>
          <w:sz w:val="24"/>
        </w:rPr>
        <w:t>30</w:t>
      </w:r>
      <w:r w:rsidRPr="006B426D">
        <w:rPr>
          <w:rFonts w:ascii="Times" w:eastAsia="Times New Roman" w:hAnsi="Times" w:cs="Times New Roman"/>
          <w:noProof/>
          <w:sz w:val="24"/>
        </w:rPr>
        <w:t>, 405–440.</w:t>
      </w:r>
    </w:p>
    <w:p w14:paraId="312803A8"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10</w:t>
      </w:r>
      <w:r w:rsidRPr="006B426D">
        <w:rPr>
          <w:rFonts w:ascii="Times" w:eastAsia="Times New Roman" w:hAnsi="Times" w:cs="Times New Roman"/>
          <w:noProof/>
          <w:sz w:val="24"/>
        </w:rPr>
        <w:tab/>
        <w:t xml:space="preserve">I. Miyamoto, M. Inamoto, T. Matsui, M. Saito and K. Okajima, </w:t>
      </w:r>
      <w:r w:rsidRPr="006B426D">
        <w:rPr>
          <w:rFonts w:ascii="Times" w:eastAsia="Times New Roman" w:hAnsi="Times" w:cs="Times New Roman"/>
          <w:i/>
          <w:iCs/>
          <w:noProof/>
          <w:sz w:val="24"/>
        </w:rPr>
        <w:t>Polym. J.</w:t>
      </w:r>
      <w:r w:rsidRPr="006B426D">
        <w:rPr>
          <w:rFonts w:ascii="Times" w:eastAsia="Times New Roman" w:hAnsi="Times" w:cs="Times New Roman"/>
          <w:noProof/>
          <w:sz w:val="24"/>
        </w:rPr>
        <w:t xml:space="preserve">, 1995, </w:t>
      </w:r>
      <w:r w:rsidRPr="006B426D">
        <w:rPr>
          <w:rFonts w:ascii="Times" w:eastAsia="Times New Roman" w:hAnsi="Times" w:cs="Times New Roman"/>
          <w:b/>
          <w:bCs/>
          <w:noProof/>
          <w:sz w:val="24"/>
        </w:rPr>
        <w:t>27</w:t>
      </w:r>
      <w:r w:rsidRPr="006B426D">
        <w:rPr>
          <w:rFonts w:ascii="Times" w:eastAsia="Times New Roman" w:hAnsi="Times" w:cs="Times New Roman"/>
          <w:noProof/>
          <w:sz w:val="24"/>
        </w:rPr>
        <w:t>, 1113–1122.</w:t>
      </w:r>
    </w:p>
    <w:p w14:paraId="6721006C"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11</w:t>
      </w:r>
      <w:r w:rsidRPr="006B426D">
        <w:rPr>
          <w:rFonts w:ascii="Times" w:eastAsia="Times New Roman" w:hAnsi="Times" w:cs="Times New Roman"/>
          <w:noProof/>
          <w:sz w:val="24"/>
        </w:rPr>
        <w:tab/>
        <w:t xml:space="preserve">W. Burchard, N. Habermann, P. Klüfers, B. Seger and U. Wilhelm, </w:t>
      </w:r>
      <w:r w:rsidRPr="006B426D">
        <w:rPr>
          <w:rFonts w:ascii="Times" w:eastAsia="Times New Roman" w:hAnsi="Times" w:cs="Times New Roman"/>
          <w:i/>
          <w:iCs/>
          <w:noProof/>
          <w:sz w:val="24"/>
        </w:rPr>
        <w:t>Angew. Chemie Int. Ed. English</w:t>
      </w:r>
      <w:r w:rsidRPr="006B426D">
        <w:rPr>
          <w:rFonts w:ascii="Times" w:eastAsia="Times New Roman" w:hAnsi="Times" w:cs="Times New Roman"/>
          <w:noProof/>
          <w:sz w:val="24"/>
        </w:rPr>
        <w:t xml:space="preserve">, 1994, </w:t>
      </w:r>
      <w:r w:rsidRPr="006B426D">
        <w:rPr>
          <w:rFonts w:ascii="Times" w:eastAsia="Times New Roman" w:hAnsi="Times" w:cs="Times New Roman"/>
          <w:b/>
          <w:bCs/>
          <w:noProof/>
          <w:sz w:val="24"/>
        </w:rPr>
        <w:t>33</w:t>
      </w:r>
      <w:r w:rsidRPr="006B426D">
        <w:rPr>
          <w:rFonts w:ascii="Times" w:eastAsia="Times New Roman" w:hAnsi="Times" w:cs="Times New Roman"/>
          <w:noProof/>
          <w:sz w:val="24"/>
        </w:rPr>
        <w:t>, 884–887.</w:t>
      </w:r>
    </w:p>
    <w:p w14:paraId="781A1881"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12</w:t>
      </w:r>
      <w:r w:rsidRPr="006B426D">
        <w:rPr>
          <w:rFonts w:ascii="Times" w:eastAsia="Times New Roman" w:hAnsi="Times" w:cs="Times New Roman"/>
          <w:noProof/>
          <w:sz w:val="24"/>
        </w:rPr>
        <w:tab/>
        <w:t xml:space="preserve">C. Zhang, R. Liu, J. Xiang, H. Kang, Z. Liu and Y. Huang, </w:t>
      </w:r>
      <w:r w:rsidRPr="006B426D">
        <w:rPr>
          <w:rFonts w:ascii="Times" w:eastAsia="Times New Roman" w:hAnsi="Times" w:cs="Times New Roman"/>
          <w:i/>
          <w:iCs/>
          <w:noProof/>
          <w:sz w:val="24"/>
        </w:rPr>
        <w:t>J. Phys. Chem. B</w:t>
      </w:r>
      <w:r w:rsidRPr="006B426D">
        <w:rPr>
          <w:rFonts w:ascii="Times" w:eastAsia="Times New Roman" w:hAnsi="Times" w:cs="Times New Roman"/>
          <w:noProof/>
          <w:sz w:val="24"/>
        </w:rPr>
        <w:t xml:space="preserve">, 2014, </w:t>
      </w:r>
      <w:r w:rsidRPr="006B426D">
        <w:rPr>
          <w:rFonts w:ascii="Times" w:eastAsia="Times New Roman" w:hAnsi="Times" w:cs="Times New Roman"/>
          <w:b/>
          <w:bCs/>
          <w:noProof/>
          <w:sz w:val="24"/>
        </w:rPr>
        <w:t>118</w:t>
      </w:r>
      <w:r w:rsidRPr="006B426D">
        <w:rPr>
          <w:rFonts w:ascii="Times" w:eastAsia="Times New Roman" w:hAnsi="Times" w:cs="Times New Roman"/>
          <w:noProof/>
          <w:sz w:val="24"/>
        </w:rPr>
        <w:t>, 9507–9514.</w:t>
      </w:r>
    </w:p>
    <w:p w14:paraId="1C2B14F0"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13</w:t>
      </w:r>
      <w:r w:rsidRPr="006B426D">
        <w:rPr>
          <w:rFonts w:ascii="Times" w:eastAsia="Times New Roman" w:hAnsi="Times" w:cs="Times New Roman"/>
          <w:noProof/>
          <w:sz w:val="24"/>
        </w:rPr>
        <w:tab/>
        <w:t xml:space="preserve">M. Egal, T. Budtova and P. Navard, </w:t>
      </w:r>
      <w:r w:rsidRPr="006B426D">
        <w:rPr>
          <w:rFonts w:ascii="Times" w:eastAsia="Times New Roman" w:hAnsi="Times" w:cs="Times New Roman"/>
          <w:i/>
          <w:iCs/>
          <w:noProof/>
          <w:sz w:val="24"/>
        </w:rPr>
        <w:t>Biomacromolecules</w:t>
      </w:r>
      <w:r w:rsidRPr="006B426D">
        <w:rPr>
          <w:rFonts w:ascii="Times" w:eastAsia="Times New Roman" w:hAnsi="Times" w:cs="Times New Roman"/>
          <w:noProof/>
          <w:sz w:val="24"/>
        </w:rPr>
        <w:t xml:space="preserve">, 2007, </w:t>
      </w:r>
      <w:r w:rsidRPr="006B426D">
        <w:rPr>
          <w:rFonts w:ascii="Times" w:eastAsia="Times New Roman" w:hAnsi="Times" w:cs="Times New Roman"/>
          <w:b/>
          <w:bCs/>
          <w:noProof/>
          <w:sz w:val="24"/>
        </w:rPr>
        <w:t>8</w:t>
      </w:r>
      <w:r w:rsidRPr="006B426D">
        <w:rPr>
          <w:rFonts w:ascii="Times" w:eastAsia="Times New Roman" w:hAnsi="Times" w:cs="Times New Roman"/>
          <w:noProof/>
          <w:sz w:val="24"/>
        </w:rPr>
        <w:t>, 2282–7.</w:t>
      </w:r>
    </w:p>
    <w:p w14:paraId="3BCEE945"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14</w:t>
      </w:r>
      <w:r w:rsidRPr="006B426D">
        <w:rPr>
          <w:rFonts w:ascii="Times" w:eastAsia="Times New Roman" w:hAnsi="Times" w:cs="Times New Roman"/>
          <w:noProof/>
          <w:sz w:val="24"/>
        </w:rPr>
        <w:tab/>
        <w:t xml:space="preserve">Å. Östlund, D. Lundberg, L. Nordstierna, K. Holmberg and M. Nydén, </w:t>
      </w:r>
      <w:r w:rsidRPr="006B426D">
        <w:rPr>
          <w:rFonts w:ascii="Times" w:eastAsia="Times New Roman" w:hAnsi="Times" w:cs="Times New Roman"/>
          <w:i/>
          <w:iCs/>
          <w:noProof/>
          <w:sz w:val="24"/>
        </w:rPr>
        <w:t>Biomacromolecules</w:t>
      </w:r>
      <w:r w:rsidRPr="006B426D">
        <w:rPr>
          <w:rFonts w:ascii="Times" w:eastAsia="Times New Roman" w:hAnsi="Times" w:cs="Times New Roman"/>
          <w:noProof/>
          <w:sz w:val="24"/>
        </w:rPr>
        <w:t xml:space="preserve">, 2009, </w:t>
      </w:r>
      <w:r w:rsidRPr="006B426D">
        <w:rPr>
          <w:rFonts w:ascii="Times" w:eastAsia="Times New Roman" w:hAnsi="Times" w:cs="Times New Roman"/>
          <w:b/>
          <w:bCs/>
          <w:noProof/>
          <w:sz w:val="24"/>
        </w:rPr>
        <w:t>10</w:t>
      </w:r>
      <w:r w:rsidRPr="006B426D">
        <w:rPr>
          <w:rFonts w:ascii="Times" w:eastAsia="Times New Roman" w:hAnsi="Times" w:cs="Times New Roman"/>
          <w:noProof/>
          <w:sz w:val="24"/>
        </w:rPr>
        <w:t>, 2401–7.</w:t>
      </w:r>
    </w:p>
    <w:p w14:paraId="0BD7CABF"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15</w:t>
      </w:r>
      <w:r w:rsidRPr="006B426D">
        <w:rPr>
          <w:rFonts w:ascii="Times" w:eastAsia="Times New Roman" w:hAnsi="Times" w:cs="Times New Roman"/>
          <w:noProof/>
          <w:sz w:val="24"/>
        </w:rPr>
        <w:tab/>
        <w:t xml:space="preserve">B. Medronho and B. Lindman, </w:t>
      </w:r>
      <w:r w:rsidRPr="006B426D">
        <w:rPr>
          <w:rFonts w:ascii="Times" w:eastAsia="Times New Roman" w:hAnsi="Times" w:cs="Times New Roman"/>
          <w:i/>
          <w:iCs/>
          <w:noProof/>
          <w:sz w:val="24"/>
        </w:rPr>
        <w:t>Adv. Colloid Interface Sci.</w:t>
      </w:r>
      <w:r w:rsidRPr="006B426D">
        <w:rPr>
          <w:rFonts w:ascii="Times" w:eastAsia="Times New Roman" w:hAnsi="Times" w:cs="Times New Roman"/>
          <w:noProof/>
          <w:sz w:val="24"/>
        </w:rPr>
        <w:t>, 2014, 1–7.</w:t>
      </w:r>
    </w:p>
    <w:p w14:paraId="7089AA38"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16</w:t>
      </w:r>
      <w:r w:rsidRPr="006B426D">
        <w:rPr>
          <w:rFonts w:ascii="Times" w:eastAsia="Times New Roman" w:hAnsi="Times" w:cs="Times New Roman"/>
          <w:noProof/>
          <w:sz w:val="24"/>
        </w:rPr>
        <w:tab/>
        <w:t xml:space="preserve">E. Bialik, B. Stenqvist, Y. Fang, Å. Östlund, I. Furó, B. Lindman, M. Lund and D. Bernin, </w:t>
      </w:r>
      <w:r w:rsidRPr="006B426D">
        <w:rPr>
          <w:rFonts w:ascii="Times" w:eastAsia="Times New Roman" w:hAnsi="Times" w:cs="Times New Roman"/>
          <w:i/>
          <w:iCs/>
          <w:noProof/>
          <w:sz w:val="24"/>
        </w:rPr>
        <w:t>J. Phys. Chem. Lett.</w:t>
      </w:r>
      <w:r w:rsidRPr="006B426D">
        <w:rPr>
          <w:rFonts w:ascii="Times" w:eastAsia="Times New Roman" w:hAnsi="Times" w:cs="Times New Roman"/>
          <w:noProof/>
          <w:sz w:val="24"/>
        </w:rPr>
        <w:t xml:space="preserve">, 2016, </w:t>
      </w:r>
      <w:r w:rsidRPr="006B426D">
        <w:rPr>
          <w:rFonts w:ascii="Times" w:eastAsia="Times New Roman" w:hAnsi="Times" w:cs="Times New Roman"/>
          <w:b/>
          <w:bCs/>
          <w:noProof/>
          <w:sz w:val="24"/>
        </w:rPr>
        <w:t>7</w:t>
      </w:r>
      <w:r w:rsidRPr="006B426D">
        <w:rPr>
          <w:rFonts w:ascii="Times" w:eastAsia="Times New Roman" w:hAnsi="Times" w:cs="Times New Roman"/>
          <w:noProof/>
          <w:sz w:val="24"/>
        </w:rPr>
        <w:t>, 5044–5048.</w:t>
      </w:r>
    </w:p>
    <w:p w14:paraId="6C542652"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17</w:t>
      </w:r>
      <w:r w:rsidRPr="006B426D">
        <w:rPr>
          <w:rFonts w:ascii="Times" w:eastAsia="Times New Roman" w:hAnsi="Times" w:cs="Times New Roman"/>
          <w:noProof/>
          <w:sz w:val="24"/>
        </w:rPr>
        <w:tab/>
        <w:t xml:space="preserve">B. Lindman, B. Medronho, L. Alves, C. Costa, H. Edlund and M. Norgren, </w:t>
      </w:r>
      <w:r w:rsidRPr="006B426D">
        <w:rPr>
          <w:rFonts w:ascii="Times" w:eastAsia="Times New Roman" w:hAnsi="Times" w:cs="Times New Roman"/>
          <w:i/>
          <w:iCs/>
          <w:noProof/>
          <w:sz w:val="24"/>
        </w:rPr>
        <w:t>Phys. Chem. Chem. Phys.</w:t>
      </w:r>
      <w:r w:rsidRPr="006B426D">
        <w:rPr>
          <w:rFonts w:ascii="Times" w:eastAsia="Times New Roman" w:hAnsi="Times" w:cs="Times New Roman"/>
          <w:noProof/>
          <w:sz w:val="24"/>
        </w:rPr>
        <w:t>, , DOI:10.1039/C7CP02409F.</w:t>
      </w:r>
    </w:p>
    <w:p w14:paraId="734EFAEB"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18</w:t>
      </w:r>
      <w:r w:rsidRPr="006B426D">
        <w:rPr>
          <w:rFonts w:ascii="Times" w:eastAsia="Times New Roman" w:hAnsi="Times" w:cs="Times New Roman"/>
          <w:noProof/>
          <w:sz w:val="24"/>
        </w:rPr>
        <w:tab/>
        <w:t xml:space="preserve">B. Medronho, A. Romano, M. G. Miguel, L. Stigsson and B. Lindman, </w:t>
      </w:r>
      <w:r w:rsidRPr="006B426D">
        <w:rPr>
          <w:rFonts w:ascii="Times" w:eastAsia="Times New Roman" w:hAnsi="Times" w:cs="Times New Roman"/>
          <w:i/>
          <w:iCs/>
          <w:noProof/>
          <w:sz w:val="24"/>
        </w:rPr>
        <w:t>Cellulose</w:t>
      </w:r>
      <w:r w:rsidRPr="006B426D">
        <w:rPr>
          <w:rFonts w:ascii="Times" w:eastAsia="Times New Roman" w:hAnsi="Times" w:cs="Times New Roman"/>
          <w:noProof/>
          <w:sz w:val="24"/>
        </w:rPr>
        <w:t xml:space="preserve">, 2012, </w:t>
      </w:r>
      <w:r w:rsidRPr="006B426D">
        <w:rPr>
          <w:rFonts w:ascii="Times" w:eastAsia="Times New Roman" w:hAnsi="Times" w:cs="Times New Roman"/>
          <w:b/>
          <w:bCs/>
          <w:noProof/>
          <w:sz w:val="24"/>
        </w:rPr>
        <w:t>19</w:t>
      </w:r>
      <w:r w:rsidRPr="006B426D">
        <w:rPr>
          <w:rFonts w:ascii="Times" w:eastAsia="Times New Roman" w:hAnsi="Times" w:cs="Times New Roman"/>
          <w:noProof/>
          <w:sz w:val="24"/>
        </w:rPr>
        <w:t>, 581–587.</w:t>
      </w:r>
    </w:p>
    <w:p w14:paraId="37FCEF33" w14:textId="6C0D11ED"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19</w:t>
      </w:r>
      <w:r w:rsidRPr="006B426D">
        <w:rPr>
          <w:rFonts w:ascii="Times" w:eastAsia="Times New Roman" w:hAnsi="Times" w:cs="Times New Roman"/>
          <w:noProof/>
          <w:sz w:val="24"/>
        </w:rPr>
        <w:tab/>
        <w:t xml:space="preserve">L. Alves, B. F. Medronho, F. E. Antunes, A. Romano, M. G. Miguel and B. Lindman, </w:t>
      </w:r>
      <w:r w:rsidRPr="006B426D">
        <w:rPr>
          <w:rFonts w:ascii="Times" w:eastAsia="Times New Roman" w:hAnsi="Times" w:cs="Times New Roman"/>
          <w:i/>
          <w:iCs/>
          <w:noProof/>
          <w:sz w:val="24"/>
        </w:rPr>
        <w:t>Colloids Surf</w:t>
      </w:r>
      <w:r w:rsidR="00C67FDD" w:rsidRPr="006B426D">
        <w:rPr>
          <w:rFonts w:ascii="Times" w:eastAsia="Times New Roman" w:hAnsi="Times" w:cs="Times New Roman"/>
          <w:i/>
          <w:iCs/>
          <w:noProof/>
          <w:sz w:val="24"/>
        </w:rPr>
        <w:t>. A</w:t>
      </w:r>
      <w:r w:rsidRPr="006B426D">
        <w:rPr>
          <w:rFonts w:ascii="Times" w:eastAsia="Times New Roman" w:hAnsi="Times" w:cs="Times New Roman"/>
          <w:noProof/>
          <w:sz w:val="24"/>
        </w:rPr>
        <w:t xml:space="preserve">, 2015, </w:t>
      </w:r>
      <w:r w:rsidRPr="006B426D">
        <w:rPr>
          <w:rFonts w:ascii="Times" w:eastAsia="Times New Roman" w:hAnsi="Times" w:cs="Times New Roman"/>
          <w:b/>
          <w:bCs/>
          <w:noProof/>
          <w:sz w:val="24"/>
        </w:rPr>
        <w:t>483</w:t>
      </w:r>
      <w:r w:rsidRPr="006B426D">
        <w:rPr>
          <w:rFonts w:ascii="Times" w:eastAsia="Times New Roman" w:hAnsi="Times" w:cs="Times New Roman"/>
          <w:noProof/>
          <w:sz w:val="24"/>
        </w:rPr>
        <w:t>, 257–263.</w:t>
      </w:r>
    </w:p>
    <w:p w14:paraId="7D714BAB"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20</w:t>
      </w:r>
      <w:r w:rsidRPr="006B426D">
        <w:rPr>
          <w:rFonts w:ascii="Times" w:eastAsia="Times New Roman" w:hAnsi="Times" w:cs="Times New Roman"/>
          <w:noProof/>
          <w:sz w:val="24"/>
        </w:rPr>
        <w:tab/>
        <w:t xml:space="preserve">W. G. Glasser, R. H. Atalla, J. Blackwell, R. Malcolm Brown, W. Burchard, A. D. French, D. O. Klemm and Y. Nishiyama, </w:t>
      </w:r>
      <w:r w:rsidRPr="006B426D">
        <w:rPr>
          <w:rFonts w:ascii="Times" w:eastAsia="Times New Roman" w:hAnsi="Times" w:cs="Times New Roman"/>
          <w:i/>
          <w:iCs/>
          <w:noProof/>
          <w:sz w:val="24"/>
        </w:rPr>
        <w:t>Cellulose</w:t>
      </w:r>
      <w:r w:rsidRPr="006B426D">
        <w:rPr>
          <w:rFonts w:ascii="Times" w:eastAsia="Times New Roman" w:hAnsi="Times" w:cs="Times New Roman"/>
          <w:noProof/>
          <w:sz w:val="24"/>
        </w:rPr>
        <w:t xml:space="preserve">, 2012, </w:t>
      </w:r>
      <w:r w:rsidRPr="006B426D">
        <w:rPr>
          <w:rFonts w:ascii="Times" w:eastAsia="Times New Roman" w:hAnsi="Times" w:cs="Times New Roman"/>
          <w:b/>
          <w:bCs/>
          <w:noProof/>
          <w:sz w:val="24"/>
        </w:rPr>
        <w:t>19</w:t>
      </w:r>
      <w:r w:rsidRPr="006B426D">
        <w:rPr>
          <w:rFonts w:ascii="Times" w:eastAsia="Times New Roman" w:hAnsi="Times" w:cs="Times New Roman"/>
          <w:noProof/>
          <w:sz w:val="24"/>
        </w:rPr>
        <w:t>, 589–598.</w:t>
      </w:r>
    </w:p>
    <w:p w14:paraId="7E70DEA5"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21</w:t>
      </w:r>
      <w:r w:rsidRPr="006B426D">
        <w:rPr>
          <w:rFonts w:ascii="Times" w:eastAsia="Times New Roman" w:hAnsi="Times" w:cs="Times New Roman"/>
          <w:noProof/>
          <w:sz w:val="24"/>
        </w:rPr>
        <w:tab/>
        <w:t xml:space="preserve">B. Lindman, G. Karlström and L. Stigsson, </w:t>
      </w:r>
      <w:r w:rsidRPr="006B426D">
        <w:rPr>
          <w:rFonts w:ascii="Times" w:eastAsia="Times New Roman" w:hAnsi="Times" w:cs="Times New Roman"/>
          <w:i/>
          <w:iCs/>
          <w:noProof/>
          <w:sz w:val="24"/>
        </w:rPr>
        <w:t>J. Mol. Liq.</w:t>
      </w:r>
      <w:r w:rsidRPr="006B426D">
        <w:rPr>
          <w:rFonts w:ascii="Times" w:eastAsia="Times New Roman" w:hAnsi="Times" w:cs="Times New Roman"/>
          <w:noProof/>
          <w:sz w:val="24"/>
        </w:rPr>
        <w:t xml:space="preserve">, 2010, </w:t>
      </w:r>
      <w:r w:rsidRPr="006B426D">
        <w:rPr>
          <w:rFonts w:ascii="Times" w:eastAsia="Times New Roman" w:hAnsi="Times" w:cs="Times New Roman"/>
          <w:b/>
          <w:bCs/>
          <w:noProof/>
          <w:sz w:val="24"/>
        </w:rPr>
        <w:t>156</w:t>
      </w:r>
      <w:r w:rsidRPr="006B426D">
        <w:rPr>
          <w:rFonts w:ascii="Times" w:eastAsia="Times New Roman" w:hAnsi="Times" w:cs="Times New Roman"/>
          <w:noProof/>
          <w:sz w:val="24"/>
        </w:rPr>
        <w:t>, 76–81.</w:t>
      </w:r>
    </w:p>
    <w:p w14:paraId="4B1A6623"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22</w:t>
      </w:r>
      <w:r w:rsidRPr="006B426D">
        <w:rPr>
          <w:rFonts w:ascii="Times" w:eastAsia="Times New Roman" w:hAnsi="Times" w:cs="Times New Roman"/>
          <w:noProof/>
          <w:sz w:val="24"/>
        </w:rPr>
        <w:tab/>
        <w:t xml:space="preserve">C. Yamane, T. Aoyagi, M. Ago, K. Sato, K. Okajima and T. Takahashi, </w:t>
      </w:r>
      <w:r w:rsidRPr="006B426D">
        <w:rPr>
          <w:rFonts w:ascii="Times" w:eastAsia="Times New Roman" w:hAnsi="Times" w:cs="Times New Roman"/>
          <w:i/>
          <w:iCs/>
          <w:noProof/>
          <w:sz w:val="24"/>
        </w:rPr>
        <w:t>Polym. J.</w:t>
      </w:r>
      <w:r w:rsidRPr="006B426D">
        <w:rPr>
          <w:rFonts w:ascii="Times" w:eastAsia="Times New Roman" w:hAnsi="Times" w:cs="Times New Roman"/>
          <w:noProof/>
          <w:sz w:val="24"/>
        </w:rPr>
        <w:t xml:space="preserve">, 2006, </w:t>
      </w:r>
      <w:r w:rsidRPr="006B426D">
        <w:rPr>
          <w:rFonts w:ascii="Times" w:eastAsia="Times New Roman" w:hAnsi="Times" w:cs="Times New Roman"/>
          <w:b/>
          <w:bCs/>
          <w:noProof/>
          <w:sz w:val="24"/>
        </w:rPr>
        <w:t>38</w:t>
      </w:r>
      <w:r w:rsidRPr="006B426D">
        <w:rPr>
          <w:rFonts w:ascii="Times" w:eastAsia="Times New Roman" w:hAnsi="Times" w:cs="Times New Roman"/>
          <w:noProof/>
          <w:sz w:val="24"/>
        </w:rPr>
        <w:t>, 819–826.</w:t>
      </w:r>
    </w:p>
    <w:p w14:paraId="4ECD32D7"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23</w:t>
      </w:r>
      <w:r w:rsidRPr="006B426D">
        <w:rPr>
          <w:rFonts w:ascii="Times" w:eastAsia="Times New Roman" w:hAnsi="Times" w:cs="Times New Roman"/>
          <w:noProof/>
          <w:sz w:val="24"/>
        </w:rPr>
        <w:tab/>
        <w:t xml:space="preserve">M. Bergenstråhle, J. Wohlert, M. E. Himmel and J. W. Brady, </w:t>
      </w:r>
      <w:r w:rsidRPr="006B426D">
        <w:rPr>
          <w:rFonts w:ascii="Times" w:eastAsia="Times New Roman" w:hAnsi="Times" w:cs="Times New Roman"/>
          <w:i/>
          <w:iCs/>
          <w:noProof/>
          <w:sz w:val="24"/>
        </w:rPr>
        <w:t>Carbohydr. Res.</w:t>
      </w:r>
      <w:r w:rsidRPr="006B426D">
        <w:rPr>
          <w:rFonts w:ascii="Times" w:eastAsia="Times New Roman" w:hAnsi="Times" w:cs="Times New Roman"/>
          <w:noProof/>
          <w:sz w:val="24"/>
        </w:rPr>
        <w:t xml:space="preserve">, 2010, </w:t>
      </w:r>
      <w:r w:rsidRPr="006B426D">
        <w:rPr>
          <w:rFonts w:ascii="Times" w:eastAsia="Times New Roman" w:hAnsi="Times" w:cs="Times New Roman"/>
          <w:b/>
          <w:bCs/>
          <w:noProof/>
          <w:sz w:val="24"/>
        </w:rPr>
        <w:t>345</w:t>
      </w:r>
      <w:r w:rsidRPr="006B426D">
        <w:rPr>
          <w:rFonts w:ascii="Times" w:eastAsia="Times New Roman" w:hAnsi="Times" w:cs="Times New Roman"/>
          <w:noProof/>
          <w:sz w:val="24"/>
        </w:rPr>
        <w:t>, 2060–6.</w:t>
      </w:r>
    </w:p>
    <w:p w14:paraId="3124520D"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24</w:t>
      </w:r>
      <w:r w:rsidRPr="006B426D">
        <w:rPr>
          <w:rFonts w:ascii="Times" w:eastAsia="Times New Roman" w:hAnsi="Times" w:cs="Times New Roman"/>
          <w:noProof/>
          <w:sz w:val="24"/>
        </w:rPr>
        <w:tab/>
        <w:t xml:space="preserve">S. Shimizu and C. L. Boon, </w:t>
      </w:r>
      <w:r w:rsidRPr="006B426D">
        <w:rPr>
          <w:rFonts w:ascii="Times" w:eastAsia="Times New Roman" w:hAnsi="Times" w:cs="Times New Roman"/>
          <w:i/>
          <w:iCs/>
          <w:noProof/>
          <w:sz w:val="24"/>
        </w:rPr>
        <w:t>J. Chem. Phys.</w:t>
      </w:r>
      <w:r w:rsidRPr="006B426D">
        <w:rPr>
          <w:rFonts w:ascii="Times" w:eastAsia="Times New Roman" w:hAnsi="Times" w:cs="Times New Roman"/>
          <w:noProof/>
          <w:sz w:val="24"/>
        </w:rPr>
        <w:t xml:space="preserve">, 2004, </w:t>
      </w:r>
      <w:r w:rsidRPr="006B426D">
        <w:rPr>
          <w:rFonts w:ascii="Times" w:eastAsia="Times New Roman" w:hAnsi="Times" w:cs="Times New Roman"/>
          <w:b/>
          <w:bCs/>
          <w:noProof/>
          <w:sz w:val="24"/>
        </w:rPr>
        <w:t>121</w:t>
      </w:r>
      <w:r w:rsidRPr="006B426D">
        <w:rPr>
          <w:rFonts w:ascii="Times" w:eastAsia="Times New Roman" w:hAnsi="Times" w:cs="Times New Roman"/>
          <w:noProof/>
          <w:sz w:val="24"/>
        </w:rPr>
        <w:t>, 9147–9155.</w:t>
      </w:r>
    </w:p>
    <w:p w14:paraId="596C7E6F"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25</w:t>
      </w:r>
      <w:r w:rsidRPr="006B426D">
        <w:rPr>
          <w:rFonts w:ascii="Times" w:eastAsia="Times New Roman" w:hAnsi="Times" w:cs="Times New Roman"/>
          <w:noProof/>
          <w:sz w:val="24"/>
        </w:rPr>
        <w:tab/>
        <w:t xml:space="preserve">S. Shimizu, J. J. Booth and S. Abbott, </w:t>
      </w:r>
      <w:r w:rsidRPr="006B426D">
        <w:rPr>
          <w:rFonts w:ascii="Times" w:eastAsia="Times New Roman" w:hAnsi="Times" w:cs="Times New Roman"/>
          <w:i/>
          <w:iCs/>
          <w:noProof/>
          <w:sz w:val="24"/>
        </w:rPr>
        <w:t>Phys. Chem. Chem. Phys.</w:t>
      </w:r>
      <w:r w:rsidRPr="006B426D">
        <w:rPr>
          <w:rFonts w:ascii="Times" w:eastAsia="Times New Roman" w:hAnsi="Times" w:cs="Times New Roman"/>
          <w:noProof/>
          <w:sz w:val="24"/>
        </w:rPr>
        <w:t xml:space="preserve">, 2013, </w:t>
      </w:r>
      <w:r w:rsidRPr="006B426D">
        <w:rPr>
          <w:rFonts w:ascii="Times" w:eastAsia="Times New Roman" w:hAnsi="Times" w:cs="Times New Roman"/>
          <w:b/>
          <w:bCs/>
          <w:noProof/>
          <w:sz w:val="24"/>
        </w:rPr>
        <w:t>15</w:t>
      </w:r>
      <w:r w:rsidRPr="006B426D">
        <w:rPr>
          <w:rFonts w:ascii="Times" w:eastAsia="Times New Roman" w:hAnsi="Times" w:cs="Times New Roman"/>
          <w:noProof/>
          <w:sz w:val="24"/>
        </w:rPr>
        <w:t>, 20625–32.</w:t>
      </w:r>
    </w:p>
    <w:p w14:paraId="323B4DA1"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26</w:t>
      </w:r>
      <w:r w:rsidRPr="006B426D">
        <w:rPr>
          <w:rFonts w:ascii="Times" w:eastAsia="Times New Roman" w:hAnsi="Times" w:cs="Times New Roman"/>
          <w:noProof/>
          <w:sz w:val="24"/>
        </w:rPr>
        <w:tab/>
        <w:t xml:space="preserve">S. Shimizu, R. Stenner and N. Matubayasi, </w:t>
      </w:r>
      <w:r w:rsidRPr="006B426D">
        <w:rPr>
          <w:rFonts w:ascii="Times" w:eastAsia="Times New Roman" w:hAnsi="Times" w:cs="Times New Roman"/>
          <w:i/>
          <w:iCs/>
          <w:noProof/>
          <w:sz w:val="24"/>
        </w:rPr>
        <w:t>Food Hydrocoll.</w:t>
      </w:r>
      <w:r w:rsidRPr="006B426D">
        <w:rPr>
          <w:rFonts w:ascii="Times" w:eastAsia="Times New Roman" w:hAnsi="Times" w:cs="Times New Roman"/>
          <w:noProof/>
          <w:sz w:val="24"/>
        </w:rPr>
        <w:t xml:space="preserve">, 2017, </w:t>
      </w:r>
      <w:r w:rsidRPr="006B426D">
        <w:rPr>
          <w:rFonts w:ascii="Times" w:eastAsia="Times New Roman" w:hAnsi="Times" w:cs="Times New Roman"/>
          <w:b/>
          <w:bCs/>
          <w:noProof/>
          <w:sz w:val="24"/>
        </w:rPr>
        <w:t>62</w:t>
      </w:r>
      <w:r w:rsidRPr="006B426D">
        <w:rPr>
          <w:rFonts w:ascii="Times" w:eastAsia="Times New Roman" w:hAnsi="Times" w:cs="Times New Roman"/>
          <w:noProof/>
          <w:sz w:val="24"/>
        </w:rPr>
        <w:t>, 128–139.</w:t>
      </w:r>
    </w:p>
    <w:p w14:paraId="281DE325"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27</w:t>
      </w:r>
      <w:r w:rsidRPr="006B426D">
        <w:rPr>
          <w:rFonts w:ascii="Times" w:eastAsia="Times New Roman" w:hAnsi="Times" w:cs="Times New Roman"/>
          <w:noProof/>
          <w:sz w:val="24"/>
        </w:rPr>
        <w:tab/>
        <w:t xml:space="preserve">A. Ben-Naim, </w:t>
      </w:r>
      <w:r w:rsidRPr="006B426D">
        <w:rPr>
          <w:rFonts w:ascii="Times" w:eastAsia="Times New Roman" w:hAnsi="Times" w:cs="Times New Roman"/>
          <w:i/>
          <w:iCs/>
          <w:noProof/>
          <w:sz w:val="24"/>
        </w:rPr>
        <w:t>J. Chem. Phys.</w:t>
      </w:r>
      <w:r w:rsidRPr="006B426D">
        <w:rPr>
          <w:rFonts w:ascii="Times" w:eastAsia="Times New Roman" w:hAnsi="Times" w:cs="Times New Roman"/>
          <w:noProof/>
          <w:sz w:val="24"/>
        </w:rPr>
        <w:t xml:space="preserve">, 1977, </w:t>
      </w:r>
      <w:r w:rsidRPr="006B426D">
        <w:rPr>
          <w:rFonts w:ascii="Times" w:eastAsia="Times New Roman" w:hAnsi="Times" w:cs="Times New Roman"/>
          <w:b/>
          <w:bCs/>
          <w:noProof/>
          <w:sz w:val="24"/>
        </w:rPr>
        <w:t>67</w:t>
      </w:r>
      <w:r w:rsidRPr="006B426D">
        <w:rPr>
          <w:rFonts w:ascii="Times" w:eastAsia="Times New Roman" w:hAnsi="Times" w:cs="Times New Roman"/>
          <w:noProof/>
          <w:sz w:val="24"/>
        </w:rPr>
        <w:t>, 4884–4890.</w:t>
      </w:r>
    </w:p>
    <w:p w14:paraId="1D9FCB20"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28</w:t>
      </w:r>
      <w:r w:rsidRPr="006B426D">
        <w:rPr>
          <w:rFonts w:ascii="Times" w:eastAsia="Times New Roman" w:hAnsi="Times" w:cs="Times New Roman"/>
          <w:noProof/>
          <w:sz w:val="24"/>
        </w:rPr>
        <w:tab/>
        <w:t xml:space="preserve">P. E. Smith, </w:t>
      </w:r>
      <w:r w:rsidRPr="006B426D">
        <w:rPr>
          <w:rFonts w:ascii="Times" w:eastAsia="Times New Roman" w:hAnsi="Times" w:cs="Times New Roman"/>
          <w:i/>
          <w:iCs/>
          <w:noProof/>
          <w:sz w:val="24"/>
        </w:rPr>
        <w:t>J. Chem. Phys.</w:t>
      </w:r>
      <w:r w:rsidRPr="006B426D">
        <w:rPr>
          <w:rFonts w:ascii="Times" w:eastAsia="Times New Roman" w:hAnsi="Times" w:cs="Times New Roman"/>
          <w:noProof/>
          <w:sz w:val="24"/>
        </w:rPr>
        <w:t xml:space="preserve">, 2008, </w:t>
      </w:r>
      <w:r w:rsidRPr="006B426D">
        <w:rPr>
          <w:rFonts w:ascii="Times" w:eastAsia="Times New Roman" w:hAnsi="Times" w:cs="Times New Roman"/>
          <w:b/>
          <w:bCs/>
          <w:noProof/>
          <w:sz w:val="24"/>
        </w:rPr>
        <w:t>129</w:t>
      </w:r>
      <w:r w:rsidRPr="006B426D">
        <w:rPr>
          <w:rFonts w:ascii="Times" w:eastAsia="Times New Roman" w:hAnsi="Times" w:cs="Times New Roman"/>
          <w:noProof/>
          <w:sz w:val="24"/>
        </w:rPr>
        <w:t>, 10–15.</w:t>
      </w:r>
    </w:p>
    <w:p w14:paraId="16404572"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29</w:t>
      </w:r>
      <w:r w:rsidRPr="006B426D">
        <w:rPr>
          <w:rFonts w:ascii="Times" w:eastAsia="Times New Roman" w:hAnsi="Times" w:cs="Times New Roman"/>
          <w:noProof/>
          <w:sz w:val="24"/>
        </w:rPr>
        <w:tab/>
        <w:t xml:space="preserve">M. Spinu, N. Dos Santos, N. Le Moigne and P. Navard, </w:t>
      </w:r>
      <w:r w:rsidRPr="006B426D">
        <w:rPr>
          <w:rFonts w:ascii="Times" w:eastAsia="Times New Roman" w:hAnsi="Times" w:cs="Times New Roman"/>
          <w:i/>
          <w:iCs/>
          <w:noProof/>
          <w:sz w:val="24"/>
        </w:rPr>
        <w:t>Cellulose</w:t>
      </w:r>
      <w:r w:rsidRPr="006B426D">
        <w:rPr>
          <w:rFonts w:ascii="Times" w:eastAsia="Times New Roman" w:hAnsi="Times" w:cs="Times New Roman"/>
          <w:noProof/>
          <w:sz w:val="24"/>
        </w:rPr>
        <w:t xml:space="preserve">, 2010, </w:t>
      </w:r>
      <w:r w:rsidRPr="006B426D">
        <w:rPr>
          <w:rFonts w:ascii="Times" w:eastAsia="Times New Roman" w:hAnsi="Times" w:cs="Times New Roman"/>
          <w:b/>
          <w:bCs/>
          <w:noProof/>
          <w:sz w:val="24"/>
        </w:rPr>
        <w:t>18</w:t>
      </w:r>
      <w:r w:rsidRPr="006B426D">
        <w:rPr>
          <w:rFonts w:ascii="Times" w:eastAsia="Times New Roman" w:hAnsi="Times" w:cs="Times New Roman"/>
          <w:noProof/>
          <w:sz w:val="24"/>
        </w:rPr>
        <w:t>, 247–256.</w:t>
      </w:r>
    </w:p>
    <w:p w14:paraId="3AB4F072"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30</w:t>
      </w:r>
      <w:r w:rsidRPr="006B426D">
        <w:rPr>
          <w:rFonts w:ascii="Times" w:eastAsia="Times New Roman" w:hAnsi="Times" w:cs="Times New Roman"/>
          <w:noProof/>
          <w:sz w:val="24"/>
        </w:rPr>
        <w:tab/>
        <w:t xml:space="preserve">U. Henniges, M. Kostic, A. Borgards, T. Rosenau and A. Potthast, </w:t>
      </w:r>
      <w:r w:rsidRPr="006B426D">
        <w:rPr>
          <w:rFonts w:ascii="Times" w:eastAsia="Times New Roman" w:hAnsi="Times" w:cs="Times New Roman"/>
          <w:i/>
          <w:iCs/>
          <w:noProof/>
          <w:sz w:val="24"/>
        </w:rPr>
        <w:t>Biomacromolecules</w:t>
      </w:r>
      <w:r w:rsidRPr="006B426D">
        <w:rPr>
          <w:rFonts w:ascii="Times" w:eastAsia="Times New Roman" w:hAnsi="Times" w:cs="Times New Roman"/>
          <w:noProof/>
          <w:sz w:val="24"/>
        </w:rPr>
        <w:t xml:space="preserve">, 2011, </w:t>
      </w:r>
      <w:r w:rsidRPr="006B426D">
        <w:rPr>
          <w:rFonts w:ascii="Times" w:eastAsia="Times New Roman" w:hAnsi="Times" w:cs="Times New Roman"/>
          <w:b/>
          <w:bCs/>
          <w:noProof/>
          <w:sz w:val="24"/>
        </w:rPr>
        <w:t>12</w:t>
      </w:r>
      <w:r w:rsidRPr="006B426D">
        <w:rPr>
          <w:rFonts w:ascii="Times" w:eastAsia="Times New Roman" w:hAnsi="Times" w:cs="Times New Roman"/>
          <w:noProof/>
          <w:sz w:val="24"/>
        </w:rPr>
        <w:t>, 871–879.</w:t>
      </w:r>
    </w:p>
    <w:p w14:paraId="4A790A93"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31</w:t>
      </w:r>
      <w:r w:rsidRPr="006B426D">
        <w:rPr>
          <w:rFonts w:ascii="Times" w:eastAsia="Times New Roman" w:hAnsi="Times" w:cs="Times New Roman"/>
          <w:noProof/>
          <w:sz w:val="24"/>
        </w:rPr>
        <w:tab/>
        <w:t xml:space="preserve">Z. Wang, S. Liu, Y. Matsumoto and S. Kuga, </w:t>
      </w:r>
      <w:r w:rsidRPr="006B426D">
        <w:rPr>
          <w:rFonts w:ascii="Times" w:eastAsia="Times New Roman" w:hAnsi="Times" w:cs="Times New Roman"/>
          <w:i/>
          <w:iCs/>
          <w:noProof/>
          <w:sz w:val="24"/>
        </w:rPr>
        <w:t>Cellulose</w:t>
      </w:r>
      <w:r w:rsidRPr="006B426D">
        <w:rPr>
          <w:rFonts w:ascii="Times" w:eastAsia="Times New Roman" w:hAnsi="Times" w:cs="Times New Roman"/>
          <w:noProof/>
          <w:sz w:val="24"/>
        </w:rPr>
        <w:t xml:space="preserve">, 2012, </w:t>
      </w:r>
      <w:r w:rsidRPr="006B426D">
        <w:rPr>
          <w:rFonts w:ascii="Times" w:eastAsia="Times New Roman" w:hAnsi="Times" w:cs="Times New Roman"/>
          <w:b/>
          <w:bCs/>
          <w:noProof/>
          <w:sz w:val="24"/>
        </w:rPr>
        <w:t>19</w:t>
      </w:r>
      <w:r w:rsidRPr="006B426D">
        <w:rPr>
          <w:rFonts w:ascii="Times" w:eastAsia="Times New Roman" w:hAnsi="Times" w:cs="Times New Roman"/>
          <w:noProof/>
          <w:sz w:val="24"/>
        </w:rPr>
        <w:t>, 393–399.</w:t>
      </w:r>
    </w:p>
    <w:p w14:paraId="209775FB"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32</w:t>
      </w:r>
      <w:r w:rsidRPr="006B426D">
        <w:rPr>
          <w:rFonts w:ascii="Times" w:eastAsia="Times New Roman" w:hAnsi="Times" w:cs="Times New Roman"/>
          <w:noProof/>
          <w:sz w:val="24"/>
        </w:rPr>
        <w:tab/>
        <w:t xml:space="preserve">T. Yamashiki, T. Matsui, M. Saitoh, K. Okajima, K. Kamide and T. Sawada, </w:t>
      </w:r>
      <w:r w:rsidRPr="006B426D">
        <w:rPr>
          <w:rFonts w:ascii="Times" w:eastAsia="Times New Roman" w:hAnsi="Times" w:cs="Times New Roman"/>
          <w:i/>
          <w:iCs/>
          <w:noProof/>
          <w:sz w:val="24"/>
        </w:rPr>
        <w:t>Br. Polym. J.</w:t>
      </w:r>
      <w:r w:rsidRPr="006B426D">
        <w:rPr>
          <w:rFonts w:ascii="Times" w:eastAsia="Times New Roman" w:hAnsi="Times" w:cs="Times New Roman"/>
          <w:noProof/>
          <w:sz w:val="24"/>
        </w:rPr>
        <w:t xml:space="preserve">, 1990, </w:t>
      </w:r>
      <w:r w:rsidRPr="006B426D">
        <w:rPr>
          <w:rFonts w:ascii="Times" w:eastAsia="Times New Roman" w:hAnsi="Times" w:cs="Times New Roman"/>
          <w:b/>
          <w:bCs/>
          <w:noProof/>
          <w:sz w:val="24"/>
        </w:rPr>
        <w:t>22</w:t>
      </w:r>
      <w:r w:rsidRPr="006B426D">
        <w:rPr>
          <w:rFonts w:ascii="Times" w:eastAsia="Times New Roman" w:hAnsi="Times" w:cs="Times New Roman"/>
          <w:noProof/>
          <w:sz w:val="24"/>
        </w:rPr>
        <w:t>, 121–128.</w:t>
      </w:r>
    </w:p>
    <w:p w14:paraId="6D95EA15"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33</w:t>
      </w:r>
      <w:r w:rsidRPr="006B426D">
        <w:rPr>
          <w:rFonts w:ascii="Times" w:eastAsia="Times New Roman" w:hAnsi="Times" w:cs="Times New Roman"/>
          <w:noProof/>
          <w:sz w:val="24"/>
        </w:rPr>
        <w:tab/>
        <w:t xml:space="preserve">B. Laszkiewicz and J. A. Cuculo, </w:t>
      </w:r>
      <w:r w:rsidRPr="006B426D">
        <w:rPr>
          <w:rFonts w:ascii="Times" w:eastAsia="Times New Roman" w:hAnsi="Times" w:cs="Times New Roman"/>
          <w:i/>
          <w:iCs/>
          <w:noProof/>
          <w:sz w:val="24"/>
        </w:rPr>
        <w:t>J. Appl. Polym. Sci.</w:t>
      </w:r>
      <w:r w:rsidRPr="006B426D">
        <w:rPr>
          <w:rFonts w:ascii="Times" w:eastAsia="Times New Roman" w:hAnsi="Times" w:cs="Times New Roman"/>
          <w:noProof/>
          <w:sz w:val="24"/>
        </w:rPr>
        <w:t xml:space="preserve">, 1993, </w:t>
      </w:r>
      <w:r w:rsidRPr="006B426D">
        <w:rPr>
          <w:rFonts w:ascii="Times" w:eastAsia="Times New Roman" w:hAnsi="Times" w:cs="Times New Roman"/>
          <w:b/>
          <w:bCs/>
          <w:noProof/>
          <w:sz w:val="24"/>
        </w:rPr>
        <w:t>50</w:t>
      </w:r>
      <w:r w:rsidRPr="006B426D">
        <w:rPr>
          <w:rFonts w:ascii="Times" w:eastAsia="Times New Roman" w:hAnsi="Times" w:cs="Times New Roman"/>
          <w:noProof/>
          <w:sz w:val="24"/>
        </w:rPr>
        <w:t>, 27–34.</w:t>
      </w:r>
    </w:p>
    <w:p w14:paraId="2B4227E8" w14:textId="355EF5AF"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34</w:t>
      </w:r>
      <w:r w:rsidRPr="006B426D">
        <w:rPr>
          <w:rFonts w:ascii="Times" w:eastAsia="Times New Roman" w:hAnsi="Times" w:cs="Times New Roman"/>
          <w:noProof/>
          <w:sz w:val="24"/>
        </w:rPr>
        <w:tab/>
        <w:t xml:space="preserve">I. Sakurada, </w:t>
      </w:r>
      <w:r w:rsidR="00312539" w:rsidRPr="006B426D">
        <w:rPr>
          <w:rFonts w:ascii="Times" w:eastAsia="Times New Roman" w:hAnsi="Times" w:cs="Times New Roman"/>
          <w:i/>
          <w:iCs/>
          <w:noProof/>
          <w:sz w:val="24"/>
        </w:rPr>
        <w:t>Ber.</w:t>
      </w:r>
      <w:r w:rsidRPr="006B426D">
        <w:rPr>
          <w:rFonts w:ascii="Times" w:eastAsia="Times New Roman" w:hAnsi="Times" w:cs="Times New Roman"/>
          <w:i/>
          <w:iCs/>
          <w:noProof/>
          <w:sz w:val="24"/>
        </w:rPr>
        <w:t xml:space="preserve"> Dtsch. Chem. Ges</w:t>
      </w:r>
      <w:r w:rsidR="00312539" w:rsidRPr="006B426D">
        <w:rPr>
          <w:rFonts w:ascii="Times" w:eastAsia="Times New Roman" w:hAnsi="Times" w:cs="Times New Roman"/>
          <w:i/>
          <w:iCs/>
          <w:noProof/>
          <w:sz w:val="24"/>
        </w:rPr>
        <w:t>.</w:t>
      </w:r>
      <w:r w:rsidRPr="006B426D">
        <w:rPr>
          <w:rFonts w:ascii="Times" w:eastAsia="Times New Roman" w:hAnsi="Times" w:cs="Times New Roman"/>
          <w:noProof/>
          <w:sz w:val="24"/>
        </w:rPr>
        <w:t xml:space="preserve">, 1930, </w:t>
      </w:r>
      <w:r w:rsidRPr="006B426D">
        <w:rPr>
          <w:rFonts w:ascii="Times" w:eastAsia="Times New Roman" w:hAnsi="Times" w:cs="Times New Roman"/>
          <w:b/>
          <w:bCs/>
          <w:noProof/>
          <w:sz w:val="24"/>
        </w:rPr>
        <w:t>63</w:t>
      </w:r>
      <w:r w:rsidRPr="006B426D">
        <w:rPr>
          <w:rFonts w:ascii="Times" w:eastAsia="Times New Roman" w:hAnsi="Times" w:cs="Times New Roman"/>
          <w:noProof/>
          <w:sz w:val="24"/>
        </w:rPr>
        <w:t>, 2027–2042.</w:t>
      </w:r>
    </w:p>
    <w:p w14:paraId="2401C7EC"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35</w:t>
      </w:r>
      <w:r w:rsidRPr="006B426D">
        <w:rPr>
          <w:rFonts w:ascii="Times" w:eastAsia="Times New Roman" w:hAnsi="Times" w:cs="Times New Roman"/>
          <w:noProof/>
          <w:sz w:val="24"/>
        </w:rPr>
        <w:tab/>
        <w:t xml:space="preserve">A. Isogai and R. H. Atalla, </w:t>
      </w:r>
      <w:r w:rsidRPr="006B426D">
        <w:rPr>
          <w:rFonts w:ascii="Times" w:eastAsia="Times New Roman" w:hAnsi="Times" w:cs="Times New Roman"/>
          <w:i/>
          <w:iCs/>
          <w:noProof/>
          <w:sz w:val="24"/>
        </w:rPr>
        <w:t>Cellulose</w:t>
      </w:r>
      <w:r w:rsidRPr="006B426D">
        <w:rPr>
          <w:rFonts w:ascii="Times" w:eastAsia="Times New Roman" w:hAnsi="Times" w:cs="Times New Roman"/>
          <w:noProof/>
          <w:sz w:val="24"/>
        </w:rPr>
        <w:t xml:space="preserve">, 1998, </w:t>
      </w:r>
      <w:r w:rsidRPr="006B426D">
        <w:rPr>
          <w:rFonts w:ascii="Times" w:eastAsia="Times New Roman" w:hAnsi="Times" w:cs="Times New Roman"/>
          <w:b/>
          <w:bCs/>
          <w:noProof/>
          <w:sz w:val="24"/>
        </w:rPr>
        <w:t>5</w:t>
      </w:r>
      <w:r w:rsidRPr="006B426D">
        <w:rPr>
          <w:rFonts w:ascii="Times" w:eastAsia="Times New Roman" w:hAnsi="Times" w:cs="Times New Roman"/>
          <w:noProof/>
          <w:sz w:val="24"/>
        </w:rPr>
        <w:t>, 309–319.</w:t>
      </w:r>
    </w:p>
    <w:p w14:paraId="735F7E00"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36</w:t>
      </w:r>
      <w:r w:rsidRPr="006B426D">
        <w:rPr>
          <w:rFonts w:ascii="Times" w:eastAsia="Times New Roman" w:hAnsi="Times" w:cs="Times New Roman"/>
          <w:noProof/>
          <w:sz w:val="24"/>
        </w:rPr>
        <w:tab/>
        <w:t xml:space="preserve">Y. Wang and Y. Deng, </w:t>
      </w:r>
      <w:r w:rsidRPr="006B426D">
        <w:rPr>
          <w:rFonts w:ascii="Times" w:eastAsia="Times New Roman" w:hAnsi="Times" w:cs="Times New Roman"/>
          <w:i/>
          <w:iCs/>
          <w:noProof/>
          <w:sz w:val="24"/>
        </w:rPr>
        <w:t>Biotechnol. Bioeng.</w:t>
      </w:r>
      <w:r w:rsidRPr="006B426D">
        <w:rPr>
          <w:rFonts w:ascii="Times" w:eastAsia="Times New Roman" w:hAnsi="Times" w:cs="Times New Roman"/>
          <w:noProof/>
          <w:sz w:val="24"/>
        </w:rPr>
        <w:t xml:space="preserve">, 2009, </w:t>
      </w:r>
      <w:r w:rsidRPr="006B426D">
        <w:rPr>
          <w:rFonts w:ascii="Times" w:eastAsia="Times New Roman" w:hAnsi="Times" w:cs="Times New Roman"/>
          <w:b/>
          <w:bCs/>
          <w:noProof/>
          <w:sz w:val="24"/>
        </w:rPr>
        <w:t>102</w:t>
      </w:r>
      <w:r w:rsidRPr="006B426D">
        <w:rPr>
          <w:rFonts w:ascii="Times" w:eastAsia="Times New Roman" w:hAnsi="Times" w:cs="Times New Roman"/>
          <w:noProof/>
          <w:sz w:val="24"/>
        </w:rPr>
        <w:t>, 1398–405.</w:t>
      </w:r>
    </w:p>
    <w:p w14:paraId="3171BAF7"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37</w:t>
      </w:r>
      <w:r w:rsidRPr="006B426D">
        <w:rPr>
          <w:rFonts w:ascii="Times" w:eastAsia="Times New Roman" w:hAnsi="Times" w:cs="Times New Roman"/>
          <w:noProof/>
          <w:sz w:val="24"/>
        </w:rPr>
        <w:tab/>
        <w:t xml:space="preserve">X. Gong, C. Wang, L. Zhang and H. Qu, </w:t>
      </w:r>
      <w:r w:rsidRPr="006B426D">
        <w:rPr>
          <w:rFonts w:ascii="Times" w:eastAsia="Times New Roman" w:hAnsi="Times" w:cs="Times New Roman"/>
          <w:i/>
          <w:iCs/>
          <w:noProof/>
          <w:sz w:val="24"/>
        </w:rPr>
        <w:t>J. Chem. Eng. Data</w:t>
      </w:r>
      <w:r w:rsidRPr="006B426D">
        <w:rPr>
          <w:rFonts w:ascii="Times" w:eastAsia="Times New Roman" w:hAnsi="Times" w:cs="Times New Roman"/>
          <w:noProof/>
          <w:sz w:val="24"/>
        </w:rPr>
        <w:t xml:space="preserve">, 2012, </w:t>
      </w:r>
      <w:r w:rsidRPr="006B426D">
        <w:rPr>
          <w:rFonts w:ascii="Times" w:eastAsia="Times New Roman" w:hAnsi="Times" w:cs="Times New Roman"/>
          <w:b/>
          <w:bCs/>
          <w:noProof/>
          <w:sz w:val="24"/>
        </w:rPr>
        <w:t>57</w:t>
      </w:r>
      <w:r w:rsidRPr="006B426D">
        <w:rPr>
          <w:rFonts w:ascii="Times" w:eastAsia="Times New Roman" w:hAnsi="Times" w:cs="Times New Roman"/>
          <w:noProof/>
          <w:sz w:val="24"/>
        </w:rPr>
        <w:t>, 3264–3269.</w:t>
      </w:r>
    </w:p>
    <w:p w14:paraId="731E5E09"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38</w:t>
      </w:r>
      <w:r w:rsidRPr="006B426D">
        <w:rPr>
          <w:rFonts w:ascii="Times" w:eastAsia="Times New Roman" w:hAnsi="Times" w:cs="Times New Roman"/>
          <w:noProof/>
          <w:sz w:val="24"/>
        </w:rPr>
        <w:tab/>
        <w:t xml:space="preserve">Y. Ono, T. Ishida, H. Soeta, T. Saito and A. Isogai, </w:t>
      </w:r>
      <w:r w:rsidRPr="006B426D">
        <w:rPr>
          <w:rFonts w:ascii="Times" w:eastAsia="Times New Roman" w:hAnsi="Times" w:cs="Times New Roman"/>
          <w:i/>
          <w:iCs/>
          <w:noProof/>
          <w:sz w:val="24"/>
        </w:rPr>
        <w:t>Biomacromolecules</w:t>
      </w:r>
      <w:r w:rsidRPr="006B426D">
        <w:rPr>
          <w:rFonts w:ascii="Times" w:eastAsia="Times New Roman" w:hAnsi="Times" w:cs="Times New Roman"/>
          <w:noProof/>
          <w:sz w:val="24"/>
        </w:rPr>
        <w:t xml:space="preserve">, 2016, </w:t>
      </w:r>
      <w:r w:rsidRPr="006B426D">
        <w:rPr>
          <w:rFonts w:ascii="Times" w:eastAsia="Times New Roman" w:hAnsi="Times" w:cs="Times New Roman"/>
          <w:b/>
          <w:bCs/>
          <w:noProof/>
          <w:sz w:val="24"/>
        </w:rPr>
        <w:t>17</w:t>
      </w:r>
      <w:r w:rsidRPr="006B426D">
        <w:rPr>
          <w:rFonts w:ascii="Times" w:eastAsia="Times New Roman" w:hAnsi="Times" w:cs="Times New Roman"/>
          <w:noProof/>
          <w:sz w:val="24"/>
        </w:rPr>
        <w:t>, 192–199.</w:t>
      </w:r>
    </w:p>
    <w:p w14:paraId="6F0A63F8"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39</w:t>
      </w:r>
      <w:r w:rsidRPr="006B426D">
        <w:rPr>
          <w:rFonts w:ascii="Times" w:eastAsia="Times New Roman" w:hAnsi="Times" w:cs="Times New Roman"/>
          <w:noProof/>
          <w:sz w:val="24"/>
        </w:rPr>
        <w:tab/>
        <w:t xml:space="preserve">M. Pincu, E. J. Cocinero, N. Mayorkas, B. Brauer, B. G. Davis, R. B. Gerber and J. P. Simons, </w:t>
      </w:r>
      <w:r w:rsidRPr="006B426D">
        <w:rPr>
          <w:rFonts w:ascii="Times" w:eastAsia="Times New Roman" w:hAnsi="Times" w:cs="Times New Roman"/>
          <w:i/>
          <w:iCs/>
          <w:noProof/>
          <w:sz w:val="24"/>
        </w:rPr>
        <w:t>J. Phys. Chem. A</w:t>
      </w:r>
      <w:r w:rsidRPr="006B426D">
        <w:rPr>
          <w:rFonts w:ascii="Times" w:eastAsia="Times New Roman" w:hAnsi="Times" w:cs="Times New Roman"/>
          <w:noProof/>
          <w:sz w:val="24"/>
        </w:rPr>
        <w:t xml:space="preserve">, 2011, </w:t>
      </w:r>
      <w:r w:rsidRPr="006B426D">
        <w:rPr>
          <w:rFonts w:ascii="Times" w:eastAsia="Times New Roman" w:hAnsi="Times" w:cs="Times New Roman"/>
          <w:b/>
          <w:bCs/>
          <w:noProof/>
          <w:sz w:val="24"/>
        </w:rPr>
        <w:t>115</w:t>
      </w:r>
      <w:r w:rsidRPr="006B426D">
        <w:rPr>
          <w:rFonts w:ascii="Times" w:eastAsia="Times New Roman" w:hAnsi="Times" w:cs="Times New Roman"/>
          <w:noProof/>
          <w:sz w:val="24"/>
        </w:rPr>
        <w:t>, 9498–9509.</w:t>
      </w:r>
    </w:p>
    <w:p w14:paraId="7CAA2617"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40</w:t>
      </w:r>
      <w:r w:rsidRPr="006B426D">
        <w:rPr>
          <w:rFonts w:ascii="Times" w:eastAsia="Times New Roman" w:hAnsi="Times" w:cs="Times New Roman"/>
          <w:noProof/>
          <w:sz w:val="24"/>
        </w:rPr>
        <w:tab/>
        <w:t xml:space="preserve">M. Sinnott, in </w:t>
      </w:r>
      <w:r w:rsidRPr="006B426D">
        <w:rPr>
          <w:rFonts w:ascii="Times" w:eastAsia="Times New Roman" w:hAnsi="Times" w:cs="Times New Roman"/>
          <w:i/>
          <w:iCs/>
          <w:noProof/>
          <w:sz w:val="24"/>
        </w:rPr>
        <w:t>Carbohydrate Chemistry and Biochemistry: Structure and Mechanism</w:t>
      </w:r>
      <w:r w:rsidRPr="006B426D">
        <w:rPr>
          <w:rFonts w:ascii="Times" w:eastAsia="Times New Roman" w:hAnsi="Times" w:cs="Times New Roman"/>
          <w:noProof/>
          <w:sz w:val="24"/>
        </w:rPr>
        <w:t>, 2007, pp. 276–281.</w:t>
      </w:r>
    </w:p>
    <w:p w14:paraId="26842A15"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41</w:t>
      </w:r>
      <w:r w:rsidRPr="006B426D">
        <w:rPr>
          <w:rFonts w:ascii="Times" w:eastAsia="Times New Roman" w:hAnsi="Times" w:cs="Times New Roman"/>
          <w:noProof/>
          <w:sz w:val="24"/>
        </w:rPr>
        <w:tab/>
        <w:t xml:space="preserve">J. B. Taylor, </w:t>
      </w:r>
      <w:r w:rsidRPr="006B426D">
        <w:rPr>
          <w:rFonts w:ascii="Times" w:eastAsia="Times New Roman" w:hAnsi="Times" w:cs="Times New Roman"/>
          <w:i/>
          <w:iCs/>
          <w:noProof/>
          <w:sz w:val="24"/>
        </w:rPr>
        <w:t>Trans. Faraday Soc.</w:t>
      </w:r>
      <w:r w:rsidRPr="006B426D">
        <w:rPr>
          <w:rFonts w:ascii="Times" w:eastAsia="Times New Roman" w:hAnsi="Times" w:cs="Times New Roman"/>
          <w:noProof/>
          <w:sz w:val="24"/>
        </w:rPr>
        <w:t xml:space="preserve">, 1957, </w:t>
      </w:r>
      <w:r w:rsidRPr="006B426D">
        <w:rPr>
          <w:rFonts w:ascii="Times" w:eastAsia="Times New Roman" w:hAnsi="Times" w:cs="Times New Roman"/>
          <w:b/>
          <w:bCs/>
          <w:noProof/>
          <w:sz w:val="24"/>
        </w:rPr>
        <w:t>53</w:t>
      </w:r>
      <w:r w:rsidRPr="006B426D">
        <w:rPr>
          <w:rFonts w:ascii="Times" w:eastAsia="Times New Roman" w:hAnsi="Times" w:cs="Times New Roman"/>
          <w:noProof/>
          <w:sz w:val="24"/>
        </w:rPr>
        <w:t>, 1198.</w:t>
      </w:r>
    </w:p>
    <w:p w14:paraId="374F267F"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42</w:t>
      </w:r>
      <w:r w:rsidRPr="006B426D">
        <w:rPr>
          <w:rFonts w:ascii="Times" w:eastAsia="Times New Roman" w:hAnsi="Times" w:cs="Times New Roman"/>
          <w:noProof/>
          <w:sz w:val="24"/>
        </w:rPr>
        <w:tab/>
        <w:t xml:space="preserve">Z. Liu, C. Zhang, R. Liu, W. Zhang, H. Kang, P. Li and Y. Huang, </w:t>
      </w:r>
      <w:r w:rsidRPr="006B426D">
        <w:rPr>
          <w:rFonts w:ascii="Times" w:eastAsia="Times New Roman" w:hAnsi="Times" w:cs="Times New Roman"/>
          <w:i/>
          <w:iCs/>
          <w:noProof/>
          <w:sz w:val="24"/>
        </w:rPr>
        <w:t>Cellulose</w:t>
      </w:r>
      <w:r w:rsidRPr="006B426D">
        <w:rPr>
          <w:rFonts w:ascii="Times" w:eastAsia="Times New Roman" w:hAnsi="Times" w:cs="Times New Roman"/>
          <w:noProof/>
          <w:sz w:val="24"/>
        </w:rPr>
        <w:t xml:space="preserve">, 2016, </w:t>
      </w:r>
      <w:r w:rsidRPr="006B426D">
        <w:rPr>
          <w:rFonts w:ascii="Times" w:eastAsia="Times New Roman" w:hAnsi="Times" w:cs="Times New Roman"/>
          <w:b/>
          <w:bCs/>
          <w:noProof/>
          <w:sz w:val="24"/>
        </w:rPr>
        <w:t>23</w:t>
      </w:r>
      <w:r w:rsidRPr="006B426D">
        <w:rPr>
          <w:rFonts w:ascii="Times" w:eastAsia="Times New Roman" w:hAnsi="Times" w:cs="Times New Roman"/>
          <w:noProof/>
          <w:sz w:val="24"/>
        </w:rPr>
        <w:t>, 295–305.</w:t>
      </w:r>
    </w:p>
    <w:p w14:paraId="728498D2"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43</w:t>
      </w:r>
      <w:r w:rsidRPr="006B426D">
        <w:rPr>
          <w:rFonts w:ascii="Times" w:eastAsia="Times New Roman" w:hAnsi="Times" w:cs="Times New Roman"/>
          <w:noProof/>
          <w:sz w:val="24"/>
        </w:rPr>
        <w:tab/>
        <w:t xml:space="preserve">J. E. S. J. Reid, A. J. Walker and S. Shimizu, </w:t>
      </w:r>
      <w:r w:rsidRPr="006B426D">
        <w:rPr>
          <w:rFonts w:ascii="Times" w:eastAsia="Times New Roman" w:hAnsi="Times" w:cs="Times New Roman"/>
          <w:i/>
          <w:iCs/>
          <w:noProof/>
          <w:sz w:val="24"/>
        </w:rPr>
        <w:t>Phys. Chem. Chem. Phys.</w:t>
      </w:r>
      <w:r w:rsidRPr="006B426D">
        <w:rPr>
          <w:rFonts w:ascii="Times" w:eastAsia="Times New Roman" w:hAnsi="Times" w:cs="Times New Roman"/>
          <w:noProof/>
          <w:sz w:val="24"/>
        </w:rPr>
        <w:t xml:space="preserve">, 2015, </w:t>
      </w:r>
      <w:r w:rsidRPr="006B426D">
        <w:rPr>
          <w:rFonts w:ascii="Times" w:eastAsia="Times New Roman" w:hAnsi="Times" w:cs="Times New Roman"/>
          <w:b/>
          <w:bCs/>
          <w:noProof/>
          <w:sz w:val="24"/>
        </w:rPr>
        <w:t>17</w:t>
      </w:r>
      <w:r w:rsidRPr="006B426D">
        <w:rPr>
          <w:rFonts w:ascii="Times" w:eastAsia="Times New Roman" w:hAnsi="Times" w:cs="Times New Roman"/>
          <w:noProof/>
          <w:sz w:val="24"/>
        </w:rPr>
        <w:t>, 14710–14718.</w:t>
      </w:r>
    </w:p>
    <w:p w14:paraId="63E7A374"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44</w:t>
      </w:r>
      <w:r w:rsidRPr="006B426D">
        <w:rPr>
          <w:rFonts w:ascii="Times" w:eastAsia="Times New Roman" w:hAnsi="Times" w:cs="Times New Roman"/>
          <w:noProof/>
          <w:sz w:val="24"/>
        </w:rPr>
        <w:tab/>
        <w:t xml:space="preserve">D. G. Hall, </w:t>
      </w:r>
      <w:r w:rsidRPr="006B426D">
        <w:rPr>
          <w:rFonts w:ascii="Times" w:eastAsia="Times New Roman" w:hAnsi="Times" w:cs="Times New Roman"/>
          <w:i/>
          <w:iCs/>
          <w:noProof/>
          <w:sz w:val="24"/>
        </w:rPr>
        <w:t>Trans. Faraday Soc.</w:t>
      </w:r>
      <w:r w:rsidRPr="006B426D">
        <w:rPr>
          <w:rFonts w:ascii="Times" w:eastAsia="Times New Roman" w:hAnsi="Times" w:cs="Times New Roman"/>
          <w:noProof/>
          <w:sz w:val="24"/>
        </w:rPr>
        <w:t xml:space="preserve">, 1971, </w:t>
      </w:r>
      <w:r w:rsidRPr="006B426D">
        <w:rPr>
          <w:rFonts w:ascii="Times" w:eastAsia="Times New Roman" w:hAnsi="Times" w:cs="Times New Roman"/>
          <w:b/>
          <w:bCs/>
          <w:noProof/>
          <w:sz w:val="24"/>
        </w:rPr>
        <w:t>61</w:t>
      </w:r>
      <w:r w:rsidRPr="006B426D">
        <w:rPr>
          <w:rFonts w:ascii="Times" w:eastAsia="Times New Roman" w:hAnsi="Times" w:cs="Times New Roman"/>
          <w:noProof/>
          <w:sz w:val="24"/>
        </w:rPr>
        <w:t>, 2516–2524.</w:t>
      </w:r>
    </w:p>
    <w:p w14:paraId="48767A06"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45</w:t>
      </w:r>
      <w:r w:rsidRPr="006B426D">
        <w:rPr>
          <w:rFonts w:ascii="Times" w:eastAsia="Times New Roman" w:hAnsi="Times" w:cs="Times New Roman"/>
          <w:noProof/>
          <w:sz w:val="24"/>
        </w:rPr>
        <w:tab/>
        <w:t xml:space="preserve">P. G. Kusalik and G. N. Patey, </w:t>
      </w:r>
      <w:r w:rsidRPr="006B426D">
        <w:rPr>
          <w:rFonts w:ascii="Times" w:eastAsia="Times New Roman" w:hAnsi="Times" w:cs="Times New Roman"/>
          <w:i/>
          <w:iCs/>
          <w:noProof/>
          <w:sz w:val="24"/>
        </w:rPr>
        <w:t>J. Chem. Phys.</w:t>
      </w:r>
      <w:r w:rsidRPr="006B426D">
        <w:rPr>
          <w:rFonts w:ascii="Times" w:eastAsia="Times New Roman" w:hAnsi="Times" w:cs="Times New Roman"/>
          <w:noProof/>
          <w:sz w:val="24"/>
        </w:rPr>
        <w:t xml:space="preserve">, 1987, </w:t>
      </w:r>
      <w:r w:rsidRPr="006B426D">
        <w:rPr>
          <w:rFonts w:ascii="Times" w:eastAsia="Times New Roman" w:hAnsi="Times" w:cs="Times New Roman"/>
          <w:b/>
          <w:bCs/>
          <w:noProof/>
          <w:sz w:val="24"/>
        </w:rPr>
        <w:t>86</w:t>
      </w:r>
      <w:r w:rsidRPr="006B426D">
        <w:rPr>
          <w:rFonts w:ascii="Times" w:eastAsia="Times New Roman" w:hAnsi="Times" w:cs="Times New Roman"/>
          <w:noProof/>
          <w:sz w:val="24"/>
        </w:rPr>
        <w:t>, 5110–5116.</w:t>
      </w:r>
    </w:p>
    <w:p w14:paraId="04340CB4"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46</w:t>
      </w:r>
      <w:r w:rsidRPr="006B426D">
        <w:rPr>
          <w:rFonts w:ascii="Times" w:eastAsia="Times New Roman" w:hAnsi="Times" w:cs="Times New Roman"/>
          <w:noProof/>
          <w:sz w:val="24"/>
        </w:rPr>
        <w:tab/>
        <w:t xml:space="preserve">C. P. Ursenbach and G. N. Patey, </w:t>
      </w:r>
      <w:r w:rsidRPr="006B426D">
        <w:rPr>
          <w:rFonts w:ascii="Times" w:eastAsia="Times New Roman" w:hAnsi="Times" w:cs="Times New Roman"/>
          <w:i/>
          <w:iCs/>
          <w:noProof/>
          <w:sz w:val="24"/>
        </w:rPr>
        <w:t>J. Chem. Phys.</w:t>
      </w:r>
      <w:r w:rsidRPr="006B426D">
        <w:rPr>
          <w:rFonts w:ascii="Times" w:eastAsia="Times New Roman" w:hAnsi="Times" w:cs="Times New Roman"/>
          <w:noProof/>
          <w:sz w:val="24"/>
        </w:rPr>
        <w:t xml:space="preserve">, 1994, </w:t>
      </w:r>
      <w:r w:rsidRPr="006B426D">
        <w:rPr>
          <w:rFonts w:ascii="Times" w:eastAsia="Times New Roman" w:hAnsi="Times" w:cs="Times New Roman"/>
          <w:b/>
          <w:bCs/>
          <w:noProof/>
          <w:sz w:val="24"/>
        </w:rPr>
        <w:t>100</w:t>
      </w:r>
      <w:r w:rsidRPr="006B426D">
        <w:rPr>
          <w:rFonts w:ascii="Times" w:eastAsia="Times New Roman" w:hAnsi="Times" w:cs="Times New Roman"/>
          <w:noProof/>
          <w:sz w:val="24"/>
        </w:rPr>
        <w:t>, 3827–3842.</w:t>
      </w:r>
    </w:p>
    <w:p w14:paraId="5BD804AB"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47</w:t>
      </w:r>
      <w:r w:rsidRPr="006B426D">
        <w:rPr>
          <w:rFonts w:ascii="Times" w:eastAsia="Times New Roman" w:hAnsi="Times" w:cs="Times New Roman"/>
          <w:noProof/>
          <w:sz w:val="24"/>
        </w:rPr>
        <w:tab/>
        <w:t xml:space="preserve">C. McCormick, P. Callais and B. H. Jr, </w:t>
      </w:r>
      <w:r w:rsidRPr="006B426D">
        <w:rPr>
          <w:rFonts w:ascii="Times" w:eastAsia="Times New Roman" w:hAnsi="Times" w:cs="Times New Roman"/>
          <w:i/>
          <w:iCs/>
          <w:noProof/>
          <w:sz w:val="24"/>
        </w:rPr>
        <w:t>Macromolecules</w:t>
      </w:r>
      <w:r w:rsidRPr="006B426D">
        <w:rPr>
          <w:rFonts w:ascii="Times" w:eastAsia="Times New Roman" w:hAnsi="Times" w:cs="Times New Roman"/>
          <w:noProof/>
          <w:sz w:val="24"/>
        </w:rPr>
        <w:t xml:space="preserve">, 1985, </w:t>
      </w:r>
      <w:r w:rsidRPr="006B426D">
        <w:rPr>
          <w:rFonts w:ascii="Times" w:eastAsia="Times New Roman" w:hAnsi="Times" w:cs="Times New Roman"/>
          <w:b/>
          <w:bCs/>
          <w:noProof/>
          <w:sz w:val="24"/>
        </w:rPr>
        <w:t>18</w:t>
      </w:r>
      <w:r w:rsidRPr="006B426D">
        <w:rPr>
          <w:rFonts w:ascii="Times" w:eastAsia="Times New Roman" w:hAnsi="Times" w:cs="Times New Roman"/>
          <w:noProof/>
          <w:sz w:val="24"/>
        </w:rPr>
        <w:t>, 2394–2401.</w:t>
      </w:r>
    </w:p>
    <w:p w14:paraId="09380591"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48</w:t>
      </w:r>
      <w:r w:rsidRPr="006B426D">
        <w:rPr>
          <w:rFonts w:ascii="Times" w:eastAsia="Times New Roman" w:hAnsi="Times" w:cs="Times New Roman"/>
          <w:noProof/>
          <w:sz w:val="24"/>
        </w:rPr>
        <w:tab/>
        <w:t xml:space="preserve">D. Ishii, D. Tatsumi and T. Matsumoto, </w:t>
      </w:r>
      <w:r w:rsidRPr="006B426D">
        <w:rPr>
          <w:rFonts w:ascii="Times" w:eastAsia="Times New Roman" w:hAnsi="Times" w:cs="Times New Roman"/>
          <w:i/>
          <w:iCs/>
          <w:noProof/>
          <w:sz w:val="24"/>
        </w:rPr>
        <w:t>Biomacromolecules</w:t>
      </w:r>
      <w:r w:rsidRPr="006B426D">
        <w:rPr>
          <w:rFonts w:ascii="Times" w:eastAsia="Times New Roman" w:hAnsi="Times" w:cs="Times New Roman"/>
          <w:noProof/>
          <w:sz w:val="24"/>
        </w:rPr>
        <w:t xml:space="preserve">, 2003, </w:t>
      </w:r>
      <w:r w:rsidRPr="006B426D">
        <w:rPr>
          <w:rFonts w:ascii="Times" w:eastAsia="Times New Roman" w:hAnsi="Times" w:cs="Times New Roman"/>
          <w:b/>
          <w:bCs/>
          <w:noProof/>
          <w:sz w:val="24"/>
        </w:rPr>
        <w:t>4</w:t>
      </w:r>
      <w:r w:rsidRPr="006B426D">
        <w:rPr>
          <w:rFonts w:ascii="Times" w:eastAsia="Times New Roman" w:hAnsi="Times" w:cs="Times New Roman"/>
          <w:noProof/>
          <w:sz w:val="24"/>
        </w:rPr>
        <w:t>, 1238–43.</w:t>
      </w:r>
    </w:p>
    <w:p w14:paraId="453A3F4D"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49</w:t>
      </w:r>
      <w:r w:rsidRPr="006B426D">
        <w:rPr>
          <w:rFonts w:ascii="Times" w:eastAsia="Times New Roman" w:hAnsi="Times" w:cs="Times New Roman"/>
          <w:noProof/>
          <w:sz w:val="24"/>
        </w:rPr>
        <w:tab/>
        <w:t xml:space="preserve">J. J. Booth, M. Omar, S. Abbott and S. Shimizu, </w:t>
      </w:r>
      <w:r w:rsidRPr="006B426D">
        <w:rPr>
          <w:rFonts w:ascii="Times" w:eastAsia="Times New Roman" w:hAnsi="Times" w:cs="Times New Roman"/>
          <w:i/>
          <w:iCs/>
          <w:noProof/>
          <w:sz w:val="24"/>
        </w:rPr>
        <w:t>Phys Chem Chem Phys</w:t>
      </w:r>
      <w:r w:rsidRPr="006B426D">
        <w:rPr>
          <w:rFonts w:ascii="Times" w:eastAsia="Times New Roman" w:hAnsi="Times" w:cs="Times New Roman"/>
          <w:noProof/>
          <w:sz w:val="24"/>
        </w:rPr>
        <w:t xml:space="preserve">, 2015, </w:t>
      </w:r>
      <w:r w:rsidRPr="006B426D">
        <w:rPr>
          <w:rFonts w:ascii="Times" w:eastAsia="Times New Roman" w:hAnsi="Times" w:cs="Times New Roman"/>
          <w:b/>
          <w:bCs/>
          <w:noProof/>
          <w:sz w:val="24"/>
        </w:rPr>
        <w:t>17</w:t>
      </w:r>
      <w:r w:rsidRPr="006B426D">
        <w:rPr>
          <w:rFonts w:ascii="Times" w:eastAsia="Times New Roman" w:hAnsi="Times" w:cs="Times New Roman"/>
          <w:noProof/>
          <w:sz w:val="24"/>
        </w:rPr>
        <w:t>, 8028–8037.</w:t>
      </w:r>
    </w:p>
    <w:p w14:paraId="669B4C94"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50</w:t>
      </w:r>
      <w:r w:rsidRPr="006B426D">
        <w:rPr>
          <w:rFonts w:ascii="Times" w:eastAsia="Times New Roman" w:hAnsi="Times" w:cs="Times New Roman"/>
          <w:noProof/>
          <w:sz w:val="24"/>
        </w:rPr>
        <w:tab/>
        <w:t xml:space="preserve">S. Shimizu, </w:t>
      </w:r>
      <w:r w:rsidRPr="006B426D">
        <w:rPr>
          <w:rFonts w:ascii="Times" w:eastAsia="Times New Roman" w:hAnsi="Times" w:cs="Times New Roman"/>
          <w:i/>
          <w:iCs/>
          <w:noProof/>
          <w:sz w:val="24"/>
        </w:rPr>
        <w:t>Proc. Natl. Acad. Sci. U. S. A.</w:t>
      </w:r>
      <w:r w:rsidRPr="006B426D">
        <w:rPr>
          <w:rFonts w:ascii="Times" w:eastAsia="Times New Roman" w:hAnsi="Times" w:cs="Times New Roman"/>
          <w:noProof/>
          <w:sz w:val="24"/>
        </w:rPr>
        <w:t xml:space="preserve">, 2004, </w:t>
      </w:r>
      <w:r w:rsidRPr="006B426D">
        <w:rPr>
          <w:rFonts w:ascii="Times" w:eastAsia="Times New Roman" w:hAnsi="Times" w:cs="Times New Roman"/>
          <w:b/>
          <w:bCs/>
          <w:noProof/>
          <w:sz w:val="24"/>
        </w:rPr>
        <w:t>101</w:t>
      </w:r>
      <w:r w:rsidRPr="006B426D">
        <w:rPr>
          <w:rFonts w:ascii="Times" w:eastAsia="Times New Roman" w:hAnsi="Times" w:cs="Times New Roman"/>
          <w:noProof/>
          <w:sz w:val="24"/>
        </w:rPr>
        <w:t>, 1195–9.</w:t>
      </w:r>
    </w:p>
    <w:p w14:paraId="6ED5C146"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51</w:t>
      </w:r>
      <w:r w:rsidRPr="006B426D">
        <w:rPr>
          <w:rFonts w:ascii="Times" w:eastAsia="Times New Roman" w:hAnsi="Times" w:cs="Times New Roman"/>
          <w:noProof/>
          <w:sz w:val="24"/>
        </w:rPr>
        <w:tab/>
        <w:t xml:space="preserve">I. L. Shulgin and E. Ruckenstein, </w:t>
      </w:r>
      <w:r w:rsidRPr="006B426D">
        <w:rPr>
          <w:rFonts w:ascii="Times" w:eastAsia="Times New Roman" w:hAnsi="Times" w:cs="Times New Roman"/>
          <w:i/>
          <w:iCs/>
          <w:noProof/>
          <w:sz w:val="24"/>
        </w:rPr>
        <w:t>J. Chem. Phys.</w:t>
      </w:r>
      <w:r w:rsidRPr="006B426D">
        <w:rPr>
          <w:rFonts w:ascii="Times" w:eastAsia="Times New Roman" w:hAnsi="Times" w:cs="Times New Roman"/>
          <w:noProof/>
          <w:sz w:val="24"/>
        </w:rPr>
        <w:t>, , DOI:10.1063/1.2011388.</w:t>
      </w:r>
    </w:p>
    <w:p w14:paraId="19648FC5"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52</w:t>
      </w:r>
      <w:r w:rsidRPr="006B426D">
        <w:rPr>
          <w:rFonts w:ascii="Times" w:eastAsia="Times New Roman" w:hAnsi="Times" w:cs="Times New Roman"/>
          <w:noProof/>
          <w:sz w:val="24"/>
        </w:rPr>
        <w:tab/>
        <w:t xml:space="preserve">S. S. Terdale, D. H. Dagade and K. J. Patil, </w:t>
      </w:r>
      <w:r w:rsidRPr="006B426D">
        <w:rPr>
          <w:rFonts w:ascii="Times" w:eastAsia="Times New Roman" w:hAnsi="Times" w:cs="Times New Roman"/>
          <w:i/>
          <w:iCs/>
          <w:noProof/>
          <w:sz w:val="24"/>
        </w:rPr>
        <w:t>J. Phys. Chem. B</w:t>
      </w:r>
      <w:r w:rsidRPr="006B426D">
        <w:rPr>
          <w:rFonts w:ascii="Times" w:eastAsia="Times New Roman" w:hAnsi="Times" w:cs="Times New Roman"/>
          <w:noProof/>
          <w:sz w:val="24"/>
        </w:rPr>
        <w:t xml:space="preserve">, 2006, </w:t>
      </w:r>
      <w:r w:rsidRPr="006B426D">
        <w:rPr>
          <w:rFonts w:ascii="Times" w:eastAsia="Times New Roman" w:hAnsi="Times" w:cs="Times New Roman"/>
          <w:b/>
          <w:bCs/>
          <w:noProof/>
          <w:sz w:val="24"/>
        </w:rPr>
        <w:t>110</w:t>
      </w:r>
      <w:r w:rsidRPr="006B426D">
        <w:rPr>
          <w:rFonts w:ascii="Times" w:eastAsia="Times New Roman" w:hAnsi="Times" w:cs="Times New Roman"/>
          <w:noProof/>
          <w:sz w:val="24"/>
        </w:rPr>
        <w:t>, 18583–18593.</w:t>
      </w:r>
    </w:p>
    <w:p w14:paraId="41EC3D6D" w14:textId="5B9C5251"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53</w:t>
      </w:r>
      <w:r w:rsidRPr="006B426D">
        <w:rPr>
          <w:rFonts w:ascii="Times" w:eastAsia="Times New Roman" w:hAnsi="Times" w:cs="Times New Roman"/>
          <w:noProof/>
          <w:sz w:val="24"/>
        </w:rPr>
        <w:tab/>
        <w:t xml:space="preserve">T. W. J. Nicol, N. Matubayasi and S. Shimizu, </w:t>
      </w:r>
      <w:r w:rsidRPr="006B426D">
        <w:rPr>
          <w:rFonts w:ascii="Times" w:eastAsia="Times New Roman" w:hAnsi="Times" w:cs="Times New Roman"/>
          <w:i/>
          <w:iCs/>
          <w:noProof/>
          <w:sz w:val="24"/>
        </w:rPr>
        <w:t>Phys. Chem. Chem. Phys.</w:t>
      </w:r>
      <w:r w:rsidR="00C24905" w:rsidRPr="006B426D">
        <w:rPr>
          <w:rFonts w:ascii="Times" w:eastAsia="Times New Roman" w:hAnsi="Times" w:cs="Times New Roman"/>
          <w:noProof/>
          <w:sz w:val="24"/>
        </w:rPr>
        <w:t xml:space="preserve">, </w:t>
      </w:r>
      <w:r w:rsidR="002F164F" w:rsidRPr="006B426D">
        <w:rPr>
          <w:rFonts w:ascii="Times" w:eastAsia="Times New Roman" w:hAnsi="Times" w:cs="Times New Roman"/>
          <w:noProof/>
          <w:sz w:val="24"/>
        </w:rPr>
        <w:t xml:space="preserve">2016, </w:t>
      </w:r>
      <w:r w:rsidR="002F164F" w:rsidRPr="006B426D">
        <w:rPr>
          <w:rFonts w:ascii="Times" w:eastAsia="Times New Roman" w:hAnsi="Times" w:cs="Times New Roman"/>
          <w:b/>
          <w:noProof/>
          <w:sz w:val="24"/>
        </w:rPr>
        <w:t>18</w:t>
      </w:r>
      <w:r w:rsidR="002F164F" w:rsidRPr="006B426D">
        <w:rPr>
          <w:rFonts w:ascii="Times" w:eastAsia="Times New Roman" w:hAnsi="Times" w:cs="Times New Roman"/>
          <w:noProof/>
          <w:sz w:val="24"/>
        </w:rPr>
        <w:t>, 15205-15217</w:t>
      </w:r>
      <w:r w:rsidRPr="006B426D">
        <w:rPr>
          <w:rFonts w:ascii="Times" w:eastAsia="Times New Roman" w:hAnsi="Times" w:cs="Times New Roman"/>
          <w:noProof/>
          <w:sz w:val="24"/>
        </w:rPr>
        <w:t>.</w:t>
      </w:r>
    </w:p>
    <w:p w14:paraId="1EFD55AB"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54</w:t>
      </w:r>
      <w:r w:rsidRPr="006B426D">
        <w:rPr>
          <w:rFonts w:ascii="Times" w:eastAsia="Times New Roman" w:hAnsi="Times" w:cs="Times New Roman"/>
          <w:noProof/>
          <w:sz w:val="24"/>
        </w:rPr>
        <w:tab/>
        <w:t xml:space="preserve">S. Shimizu and N. Matubayasi, </w:t>
      </w:r>
      <w:r w:rsidRPr="006B426D">
        <w:rPr>
          <w:rFonts w:ascii="Times" w:eastAsia="Times New Roman" w:hAnsi="Times" w:cs="Times New Roman"/>
          <w:i/>
          <w:iCs/>
          <w:noProof/>
          <w:sz w:val="24"/>
        </w:rPr>
        <w:t>J. Phys. Chem. B</w:t>
      </w:r>
      <w:r w:rsidRPr="006B426D">
        <w:rPr>
          <w:rFonts w:ascii="Times" w:eastAsia="Times New Roman" w:hAnsi="Times" w:cs="Times New Roman"/>
          <w:noProof/>
          <w:sz w:val="24"/>
        </w:rPr>
        <w:t xml:space="preserve">, 2014, </w:t>
      </w:r>
      <w:r w:rsidRPr="006B426D">
        <w:rPr>
          <w:rFonts w:ascii="Times" w:eastAsia="Times New Roman" w:hAnsi="Times" w:cs="Times New Roman"/>
          <w:b/>
          <w:bCs/>
          <w:noProof/>
          <w:sz w:val="24"/>
        </w:rPr>
        <w:t>118</w:t>
      </w:r>
      <w:r w:rsidRPr="006B426D">
        <w:rPr>
          <w:rFonts w:ascii="Times" w:eastAsia="Times New Roman" w:hAnsi="Times" w:cs="Times New Roman"/>
          <w:noProof/>
          <w:sz w:val="24"/>
        </w:rPr>
        <w:t>, 13210–13216.</w:t>
      </w:r>
    </w:p>
    <w:p w14:paraId="77CC3724" w14:textId="31ACD17E"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55</w:t>
      </w:r>
      <w:r w:rsidRPr="006B426D">
        <w:rPr>
          <w:rFonts w:ascii="Times" w:eastAsia="Times New Roman" w:hAnsi="Times" w:cs="Times New Roman"/>
          <w:noProof/>
          <w:sz w:val="24"/>
        </w:rPr>
        <w:tab/>
        <w:t xml:space="preserve">R. A. Robinson and R. H. Stokes, </w:t>
      </w:r>
      <w:r w:rsidRPr="006B426D">
        <w:rPr>
          <w:rFonts w:ascii="Times" w:eastAsia="Times New Roman" w:hAnsi="Times" w:cs="Times New Roman"/>
          <w:i/>
          <w:iCs/>
          <w:noProof/>
          <w:sz w:val="24"/>
        </w:rPr>
        <w:t>Electrolyte Solutions</w:t>
      </w:r>
      <w:r w:rsidRPr="006B426D">
        <w:rPr>
          <w:rFonts w:ascii="Times" w:eastAsia="Times New Roman" w:hAnsi="Times" w:cs="Times New Roman"/>
          <w:noProof/>
          <w:sz w:val="24"/>
        </w:rPr>
        <w:t xml:space="preserve">, </w:t>
      </w:r>
      <w:r w:rsidR="00CC0078" w:rsidRPr="006B426D">
        <w:rPr>
          <w:rFonts w:ascii="Times" w:eastAsia="Times New Roman" w:hAnsi="Times" w:cs="Times New Roman"/>
          <w:noProof/>
          <w:sz w:val="24"/>
        </w:rPr>
        <w:t xml:space="preserve">Butterworth, London, </w:t>
      </w:r>
      <w:r w:rsidRPr="006B426D">
        <w:rPr>
          <w:rFonts w:ascii="Times" w:eastAsia="Times New Roman" w:hAnsi="Times" w:cs="Times New Roman"/>
          <w:noProof/>
          <w:sz w:val="24"/>
        </w:rPr>
        <w:t>1959.</w:t>
      </w:r>
    </w:p>
    <w:p w14:paraId="706C5EDB"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56</w:t>
      </w:r>
      <w:r w:rsidRPr="006B426D">
        <w:rPr>
          <w:rFonts w:ascii="Times" w:eastAsia="Times New Roman" w:hAnsi="Times" w:cs="Times New Roman"/>
          <w:noProof/>
          <w:sz w:val="24"/>
        </w:rPr>
        <w:tab/>
        <w:t xml:space="preserve">S. Shimizu, </w:t>
      </w:r>
      <w:r w:rsidRPr="006B426D">
        <w:rPr>
          <w:rFonts w:ascii="Times" w:eastAsia="Times New Roman" w:hAnsi="Times" w:cs="Times New Roman"/>
          <w:i/>
          <w:iCs/>
          <w:noProof/>
          <w:sz w:val="24"/>
        </w:rPr>
        <w:t>Chem. Phys. Lett.</w:t>
      </w:r>
      <w:r w:rsidRPr="006B426D">
        <w:rPr>
          <w:rFonts w:ascii="Times" w:eastAsia="Times New Roman" w:hAnsi="Times" w:cs="Times New Roman"/>
          <w:noProof/>
          <w:sz w:val="24"/>
        </w:rPr>
        <w:t xml:space="preserve">, 2011, </w:t>
      </w:r>
      <w:r w:rsidRPr="006B426D">
        <w:rPr>
          <w:rFonts w:ascii="Times" w:eastAsia="Times New Roman" w:hAnsi="Times" w:cs="Times New Roman"/>
          <w:b/>
          <w:bCs/>
          <w:noProof/>
          <w:sz w:val="24"/>
        </w:rPr>
        <w:t>514</w:t>
      </w:r>
      <w:r w:rsidRPr="006B426D">
        <w:rPr>
          <w:rFonts w:ascii="Times" w:eastAsia="Times New Roman" w:hAnsi="Times" w:cs="Times New Roman"/>
          <w:noProof/>
          <w:sz w:val="24"/>
        </w:rPr>
        <w:t>, 156–158.</w:t>
      </w:r>
    </w:p>
    <w:p w14:paraId="087FDE4A"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57</w:t>
      </w:r>
      <w:r w:rsidRPr="006B426D">
        <w:rPr>
          <w:rFonts w:ascii="Times" w:eastAsia="Times New Roman" w:hAnsi="Times" w:cs="Times New Roman"/>
          <w:noProof/>
          <w:sz w:val="24"/>
        </w:rPr>
        <w:tab/>
        <w:t xml:space="preserve">S. Shimizu and N. Matubayasi, </w:t>
      </w:r>
      <w:r w:rsidRPr="006B426D">
        <w:rPr>
          <w:rFonts w:ascii="Times" w:eastAsia="Times New Roman" w:hAnsi="Times" w:cs="Times New Roman"/>
          <w:i/>
          <w:iCs/>
          <w:noProof/>
          <w:sz w:val="24"/>
        </w:rPr>
        <w:t>Phys. Chem. Chem. Phys.</w:t>
      </w:r>
      <w:r w:rsidRPr="006B426D">
        <w:rPr>
          <w:rFonts w:ascii="Times" w:eastAsia="Times New Roman" w:hAnsi="Times" w:cs="Times New Roman"/>
          <w:noProof/>
          <w:sz w:val="24"/>
        </w:rPr>
        <w:t xml:space="preserve">, 2016, </w:t>
      </w:r>
      <w:r w:rsidRPr="006B426D">
        <w:rPr>
          <w:rFonts w:ascii="Times" w:eastAsia="Times New Roman" w:hAnsi="Times" w:cs="Times New Roman"/>
          <w:b/>
          <w:bCs/>
          <w:noProof/>
          <w:sz w:val="24"/>
        </w:rPr>
        <w:t>18</w:t>
      </w:r>
      <w:r w:rsidRPr="006B426D">
        <w:rPr>
          <w:rFonts w:ascii="Times" w:eastAsia="Times New Roman" w:hAnsi="Times" w:cs="Times New Roman"/>
          <w:noProof/>
          <w:sz w:val="24"/>
        </w:rPr>
        <w:t>, 25621–25628.</w:t>
      </w:r>
    </w:p>
    <w:p w14:paraId="2C7F718F"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58</w:t>
      </w:r>
      <w:r w:rsidRPr="006B426D">
        <w:rPr>
          <w:rFonts w:ascii="Times" w:eastAsia="Times New Roman" w:hAnsi="Times" w:cs="Times New Roman"/>
          <w:noProof/>
          <w:sz w:val="24"/>
        </w:rPr>
        <w:tab/>
        <w:t xml:space="preserve">R. Stenner, N. Matubayasi and S. Shimizu, </w:t>
      </w:r>
      <w:r w:rsidRPr="006B426D">
        <w:rPr>
          <w:rFonts w:ascii="Times" w:eastAsia="Times New Roman" w:hAnsi="Times" w:cs="Times New Roman"/>
          <w:i/>
          <w:iCs/>
          <w:noProof/>
          <w:sz w:val="24"/>
        </w:rPr>
        <w:t>Food Hydrocoll.</w:t>
      </w:r>
      <w:r w:rsidRPr="006B426D">
        <w:rPr>
          <w:rFonts w:ascii="Times" w:eastAsia="Times New Roman" w:hAnsi="Times" w:cs="Times New Roman"/>
          <w:noProof/>
          <w:sz w:val="24"/>
        </w:rPr>
        <w:t xml:space="preserve">, 2016, </w:t>
      </w:r>
      <w:r w:rsidRPr="006B426D">
        <w:rPr>
          <w:rFonts w:ascii="Times" w:eastAsia="Times New Roman" w:hAnsi="Times" w:cs="Times New Roman"/>
          <w:b/>
          <w:bCs/>
          <w:noProof/>
          <w:sz w:val="24"/>
        </w:rPr>
        <w:t>54</w:t>
      </w:r>
      <w:r w:rsidRPr="006B426D">
        <w:rPr>
          <w:rFonts w:ascii="Times" w:eastAsia="Times New Roman" w:hAnsi="Times" w:cs="Times New Roman"/>
          <w:noProof/>
          <w:sz w:val="24"/>
        </w:rPr>
        <w:t>, 284–292.</w:t>
      </w:r>
    </w:p>
    <w:p w14:paraId="30344907"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59</w:t>
      </w:r>
      <w:r w:rsidRPr="006B426D">
        <w:rPr>
          <w:rFonts w:ascii="Times" w:eastAsia="Times New Roman" w:hAnsi="Times" w:cs="Times New Roman"/>
          <w:noProof/>
          <w:sz w:val="24"/>
        </w:rPr>
        <w:tab/>
        <w:t xml:space="preserve">V. Zeindlhofer, D. Khlan, K. Bica and C. Schröder, </w:t>
      </w:r>
      <w:r w:rsidRPr="006B426D">
        <w:rPr>
          <w:rFonts w:ascii="Times" w:eastAsia="Times New Roman" w:hAnsi="Times" w:cs="Times New Roman"/>
          <w:i/>
          <w:iCs/>
          <w:noProof/>
          <w:sz w:val="24"/>
        </w:rPr>
        <w:t>RSC Adv.</w:t>
      </w:r>
      <w:r w:rsidRPr="006B426D">
        <w:rPr>
          <w:rFonts w:ascii="Times" w:eastAsia="Times New Roman" w:hAnsi="Times" w:cs="Times New Roman"/>
          <w:noProof/>
          <w:sz w:val="24"/>
        </w:rPr>
        <w:t xml:space="preserve">, 2017, </w:t>
      </w:r>
      <w:r w:rsidRPr="006B426D">
        <w:rPr>
          <w:rFonts w:ascii="Times" w:eastAsia="Times New Roman" w:hAnsi="Times" w:cs="Times New Roman"/>
          <w:b/>
          <w:bCs/>
          <w:noProof/>
          <w:sz w:val="24"/>
        </w:rPr>
        <w:t>7</w:t>
      </w:r>
      <w:r w:rsidRPr="006B426D">
        <w:rPr>
          <w:rFonts w:ascii="Times" w:eastAsia="Times New Roman" w:hAnsi="Times" w:cs="Times New Roman"/>
          <w:noProof/>
          <w:sz w:val="24"/>
        </w:rPr>
        <w:t>, 3495–3504.</w:t>
      </w:r>
    </w:p>
    <w:p w14:paraId="60E24F5B"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60</w:t>
      </w:r>
      <w:r w:rsidRPr="006B426D">
        <w:rPr>
          <w:rFonts w:ascii="Times" w:eastAsia="Times New Roman" w:hAnsi="Times" w:cs="Times New Roman"/>
          <w:noProof/>
          <w:sz w:val="24"/>
        </w:rPr>
        <w:tab/>
        <w:t xml:space="preserve">I. L. Shulgin and E. Ruckenstein, </w:t>
      </w:r>
      <w:r w:rsidRPr="006B426D">
        <w:rPr>
          <w:rFonts w:ascii="Times" w:eastAsia="Times New Roman" w:hAnsi="Times" w:cs="Times New Roman"/>
          <w:i/>
          <w:iCs/>
          <w:noProof/>
          <w:sz w:val="24"/>
        </w:rPr>
        <w:t>J. Phys. Chem. B</w:t>
      </w:r>
      <w:r w:rsidRPr="006B426D">
        <w:rPr>
          <w:rFonts w:ascii="Times" w:eastAsia="Times New Roman" w:hAnsi="Times" w:cs="Times New Roman"/>
          <w:noProof/>
          <w:sz w:val="24"/>
        </w:rPr>
        <w:t xml:space="preserve">, 2006, </w:t>
      </w:r>
      <w:r w:rsidRPr="006B426D">
        <w:rPr>
          <w:rFonts w:ascii="Times" w:eastAsia="Times New Roman" w:hAnsi="Times" w:cs="Times New Roman"/>
          <w:b/>
          <w:bCs/>
          <w:noProof/>
          <w:sz w:val="24"/>
        </w:rPr>
        <w:t>110</w:t>
      </w:r>
      <w:r w:rsidRPr="006B426D">
        <w:rPr>
          <w:rFonts w:ascii="Times" w:eastAsia="Times New Roman" w:hAnsi="Times" w:cs="Times New Roman"/>
          <w:noProof/>
          <w:sz w:val="24"/>
        </w:rPr>
        <w:t>, 12707–12713.</w:t>
      </w:r>
    </w:p>
    <w:p w14:paraId="650B50A4"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61</w:t>
      </w:r>
      <w:r w:rsidRPr="006B426D">
        <w:rPr>
          <w:rFonts w:ascii="Times" w:eastAsia="Times New Roman" w:hAnsi="Times" w:cs="Times New Roman"/>
          <w:noProof/>
          <w:sz w:val="24"/>
        </w:rPr>
        <w:tab/>
        <w:t xml:space="preserve">A. Ben-Naim, </w:t>
      </w:r>
      <w:r w:rsidRPr="006B426D">
        <w:rPr>
          <w:rFonts w:ascii="Times" w:eastAsia="Times New Roman" w:hAnsi="Times" w:cs="Times New Roman"/>
          <w:i/>
          <w:iCs/>
          <w:noProof/>
          <w:sz w:val="24"/>
        </w:rPr>
        <w:t>Am. J. Phys.</w:t>
      </w:r>
      <w:r w:rsidRPr="006B426D">
        <w:rPr>
          <w:rFonts w:ascii="Times" w:eastAsia="Times New Roman" w:hAnsi="Times" w:cs="Times New Roman"/>
          <w:noProof/>
          <w:sz w:val="24"/>
        </w:rPr>
        <w:t xml:space="preserve">, 1987, </w:t>
      </w:r>
      <w:r w:rsidRPr="006B426D">
        <w:rPr>
          <w:rFonts w:ascii="Times" w:eastAsia="Times New Roman" w:hAnsi="Times" w:cs="Times New Roman"/>
          <w:b/>
          <w:bCs/>
          <w:noProof/>
          <w:sz w:val="24"/>
        </w:rPr>
        <w:t>55</w:t>
      </w:r>
      <w:r w:rsidRPr="006B426D">
        <w:rPr>
          <w:rFonts w:ascii="Times" w:eastAsia="Times New Roman" w:hAnsi="Times" w:cs="Times New Roman"/>
          <w:noProof/>
          <w:sz w:val="24"/>
        </w:rPr>
        <w:t>, 725–733.</w:t>
      </w:r>
    </w:p>
    <w:p w14:paraId="7E2183B5"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62</w:t>
      </w:r>
      <w:r w:rsidRPr="006B426D">
        <w:rPr>
          <w:rFonts w:ascii="Times" w:eastAsia="Times New Roman" w:hAnsi="Times" w:cs="Times New Roman"/>
          <w:noProof/>
          <w:sz w:val="24"/>
        </w:rPr>
        <w:tab/>
        <w:t xml:space="preserve">H. S. Frank and F. Franks, </w:t>
      </w:r>
      <w:r w:rsidRPr="006B426D">
        <w:rPr>
          <w:rFonts w:ascii="Times" w:eastAsia="Times New Roman" w:hAnsi="Times" w:cs="Times New Roman"/>
          <w:i/>
          <w:iCs/>
          <w:noProof/>
          <w:sz w:val="24"/>
        </w:rPr>
        <w:t>J. Chem. Phys.</w:t>
      </w:r>
      <w:r w:rsidRPr="006B426D">
        <w:rPr>
          <w:rFonts w:ascii="Times" w:eastAsia="Times New Roman" w:hAnsi="Times" w:cs="Times New Roman"/>
          <w:noProof/>
          <w:sz w:val="24"/>
        </w:rPr>
        <w:t xml:space="preserve">, 1968, </w:t>
      </w:r>
      <w:r w:rsidRPr="006B426D">
        <w:rPr>
          <w:rFonts w:ascii="Times" w:eastAsia="Times New Roman" w:hAnsi="Times" w:cs="Times New Roman"/>
          <w:b/>
          <w:bCs/>
          <w:noProof/>
          <w:sz w:val="24"/>
        </w:rPr>
        <w:t>48</w:t>
      </w:r>
      <w:r w:rsidRPr="006B426D">
        <w:rPr>
          <w:rFonts w:ascii="Times" w:eastAsia="Times New Roman" w:hAnsi="Times" w:cs="Times New Roman"/>
          <w:noProof/>
          <w:sz w:val="24"/>
        </w:rPr>
        <w:t>, 4746–4757.</w:t>
      </w:r>
    </w:p>
    <w:p w14:paraId="66C6B8AD"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63</w:t>
      </w:r>
      <w:r w:rsidRPr="006B426D">
        <w:rPr>
          <w:rFonts w:ascii="Times" w:eastAsia="Times New Roman" w:hAnsi="Times" w:cs="Times New Roman"/>
          <w:noProof/>
          <w:sz w:val="24"/>
        </w:rPr>
        <w:tab/>
        <w:t xml:space="preserve">H. Miyamoto, U. Schnupf and J. W. Brady, </w:t>
      </w:r>
      <w:r w:rsidRPr="006B426D">
        <w:rPr>
          <w:rFonts w:ascii="Times" w:eastAsia="Times New Roman" w:hAnsi="Times" w:cs="Times New Roman"/>
          <w:i/>
          <w:iCs/>
          <w:noProof/>
          <w:sz w:val="24"/>
        </w:rPr>
        <w:t>J. Agric. Food Chem.</w:t>
      </w:r>
      <w:r w:rsidRPr="006B426D">
        <w:rPr>
          <w:rFonts w:ascii="Times" w:eastAsia="Times New Roman" w:hAnsi="Times" w:cs="Times New Roman"/>
          <w:noProof/>
          <w:sz w:val="24"/>
        </w:rPr>
        <w:t xml:space="preserve">, 2014, </w:t>
      </w:r>
      <w:r w:rsidRPr="006B426D">
        <w:rPr>
          <w:rFonts w:ascii="Times" w:eastAsia="Times New Roman" w:hAnsi="Times" w:cs="Times New Roman"/>
          <w:b/>
          <w:bCs/>
          <w:noProof/>
          <w:sz w:val="24"/>
        </w:rPr>
        <w:t>62</w:t>
      </w:r>
      <w:r w:rsidRPr="006B426D">
        <w:rPr>
          <w:rFonts w:ascii="Times" w:eastAsia="Times New Roman" w:hAnsi="Times" w:cs="Times New Roman"/>
          <w:noProof/>
          <w:sz w:val="24"/>
        </w:rPr>
        <w:t>, 11017–11023.</w:t>
      </w:r>
    </w:p>
    <w:p w14:paraId="70A7C3D9"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64</w:t>
      </w:r>
      <w:r w:rsidRPr="006B426D">
        <w:rPr>
          <w:rFonts w:ascii="Times" w:eastAsia="Times New Roman" w:hAnsi="Times" w:cs="Times New Roman"/>
          <w:noProof/>
          <w:sz w:val="24"/>
        </w:rPr>
        <w:tab/>
        <w:t xml:space="preserve">H. S. Frank and M. W. Evans, </w:t>
      </w:r>
      <w:r w:rsidRPr="006B426D">
        <w:rPr>
          <w:rFonts w:ascii="Times" w:eastAsia="Times New Roman" w:hAnsi="Times" w:cs="Times New Roman"/>
          <w:i/>
          <w:iCs/>
          <w:noProof/>
          <w:sz w:val="24"/>
        </w:rPr>
        <w:t>J. Chem. Phys.</w:t>
      </w:r>
      <w:r w:rsidRPr="006B426D">
        <w:rPr>
          <w:rFonts w:ascii="Times" w:eastAsia="Times New Roman" w:hAnsi="Times" w:cs="Times New Roman"/>
          <w:noProof/>
          <w:sz w:val="24"/>
        </w:rPr>
        <w:t xml:space="preserve">, 1945, </w:t>
      </w:r>
      <w:r w:rsidRPr="006B426D">
        <w:rPr>
          <w:rFonts w:ascii="Times" w:eastAsia="Times New Roman" w:hAnsi="Times" w:cs="Times New Roman"/>
          <w:b/>
          <w:bCs/>
          <w:noProof/>
          <w:sz w:val="24"/>
        </w:rPr>
        <w:t>13</w:t>
      </w:r>
      <w:r w:rsidRPr="006B426D">
        <w:rPr>
          <w:rFonts w:ascii="Times" w:eastAsia="Times New Roman" w:hAnsi="Times" w:cs="Times New Roman"/>
          <w:noProof/>
          <w:sz w:val="24"/>
        </w:rPr>
        <w:t>, 507–532.</w:t>
      </w:r>
    </w:p>
    <w:p w14:paraId="6F115776"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65</w:t>
      </w:r>
      <w:r w:rsidRPr="006B426D">
        <w:rPr>
          <w:rFonts w:ascii="Times" w:eastAsia="Times New Roman" w:hAnsi="Times" w:cs="Times New Roman"/>
          <w:noProof/>
          <w:sz w:val="24"/>
        </w:rPr>
        <w:tab/>
        <w:t xml:space="preserve">F. Franks, </w:t>
      </w:r>
      <w:r w:rsidRPr="006B426D">
        <w:rPr>
          <w:rFonts w:ascii="Times" w:eastAsia="Times New Roman" w:hAnsi="Times" w:cs="Times New Roman"/>
          <w:i/>
          <w:iCs/>
          <w:noProof/>
          <w:sz w:val="24"/>
        </w:rPr>
        <w:t>Biophys. Chem.</w:t>
      </w:r>
      <w:r w:rsidRPr="006B426D">
        <w:rPr>
          <w:rFonts w:ascii="Times" w:eastAsia="Times New Roman" w:hAnsi="Times" w:cs="Times New Roman"/>
          <w:noProof/>
          <w:sz w:val="24"/>
        </w:rPr>
        <w:t xml:space="preserve">, 2002, </w:t>
      </w:r>
      <w:r w:rsidRPr="006B426D">
        <w:rPr>
          <w:rFonts w:ascii="Times" w:eastAsia="Times New Roman" w:hAnsi="Times" w:cs="Times New Roman"/>
          <w:b/>
          <w:bCs/>
          <w:noProof/>
          <w:sz w:val="24"/>
        </w:rPr>
        <w:t>96</w:t>
      </w:r>
      <w:r w:rsidRPr="006B426D">
        <w:rPr>
          <w:rFonts w:ascii="Times" w:eastAsia="Times New Roman" w:hAnsi="Times" w:cs="Times New Roman"/>
          <w:noProof/>
          <w:sz w:val="24"/>
        </w:rPr>
        <w:t>, 117–127.</w:t>
      </w:r>
    </w:p>
    <w:p w14:paraId="07553EFC"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66</w:t>
      </w:r>
      <w:r w:rsidRPr="006B426D">
        <w:rPr>
          <w:rFonts w:ascii="Times" w:eastAsia="Times New Roman" w:hAnsi="Times" w:cs="Times New Roman"/>
          <w:noProof/>
          <w:sz w:val="24"/>
        </w:rPr>
        <w:tab/>
        <w:t xml:space="preserve">H. S. Chan, S. Shimizu and H. Kaya, </w:t>
      </w:r>
      <w:r w:rsidRPr="006B426D">
        <w:rPr>
          <w:rFonts w:ascii="Times" w:eastAsia="Times New Roman" w:hAnsi="Times" w:cs="Times New Roman"/>
          <w:i/>
          <w:iCs/>
          <w:noProof/>
          <w:sz w:val="24"/>
        </w:rPr>
        <w:t>Methods Enzymol.</w:t>
      </w:r>
      <w:r w:rsidRPr="006B426D">
        <w:rPr>
          <w:rFonts w:ascii="Times" w:eastAsia="Times New Roman" w:hAnsi="Times" w:cs="Times New Roman"/>
          <w:noProof/>
          <w:sz w:val="24"/>
        </w:rPr>
        <w:t xml:space="preserve">, 2004, </w:t>
      </w:r>
      <w:r w:rsidRPr="006B426D">
        <w:rPr>
          <w:rFonts w:ascii="Times" w:eastAsia="Times New Roman" w:hAnsi="Times" w:cs="Times New Roman"/>
          <w:b/>
          <w:bCs/>
          <w:noProof/>
          <w:sz w:val="24"/>
        </w:rPr>
        <w:t>380</w:t>
      </w:r>
      <w:r w:rsidRPr="006B426D">
        <w:rPr>
          <w:rFonts w:ascii="Times" w:eastAsia="Times New Roman" w:hAnsi="Times" w:cs="Times New Roman"/>
          <w:noProof/>
          <w:sz w:val="24"/>
        </w:rPr>
        <w:t>, 350–379.</w:t>
      </w:r>
    </w:p>
    <w:p w14:paraId="6C5DF96C"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67</w:t>
      </w:r>
      <w:r w:rsidRPr="006B426D">
        <w:rPr>
          <w:rFonts w:ascii="Times" w:eastAsia="Times New Roman" w:hAnsi="Times" w:cs="Times New Roman"/>
          <w:noProof/>
          <w:sz w:val="24"/>
        </w:rPr>
        <w:tab/>
        <w:t xml:space="preserve">K. A. Dill, </w:t>
      </w:r>
      <w:r w:rsidRPr="006B426D">
        <w:rPr>
          <w:rFonts w:ascii="Times" w:eastAsia="Times New Roman" w:hAnsi="Times" w:cs="Times New Roman"/>
          <w:i/>
          <w:iCs/>
          <w:noProof/>
          <w:sz w:val="24"/>
        </w:rPr>
        <w:t>Biochemistry</w:t>
      </w:r>
      <w:r w:rsidRPr="006B426D">
        <w:rPr>
          <w:rFonts w:ascii="Times" w:eastAsia="Times New Roman" w:hAnsi="Times" w:cs="Times New Roman"/>
          <w:noProof/>
          <w:sz w:val="24"/>
        </w:rPr>
        <w:t xml:space="preserve">, 1990, </w:t>
      </w:r>
      <w:r w:rsidRPr="006B426D">
        <w:rPr>
          <w:rFonts w:ascii="Times" w:eastAsia="Times New Roman" w:hAnsi="Times" w:cs="Times New Roman"/>
          <w:b/>
          <w:bCs/>
          <w:noProof/>
          <w:sz w:val="24"/>
        </w:rPr>
        <w:t>29</w:t>
      </w:r>
      <w:r w:rsidRPr="006B426D">
        <w:rPr>
          <w:rFonts w:ascii="Times" w:eastAsia="Times New Roman" w:hAnsi="Times" w:cs="Times New Roman"/>
          <w:noProof/>
          <w:sz w:val="24"/>
        </w:rPr>
        <w:t>, 7133–7155.</w:t>
      </w:r>
    </w:p>
    <w:p w14:paraId="6C36A70F" w14:textId="0EC32DDB"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68</w:t>
      </w:r>
      <w:r w:rsidRPr="006B426D">
        <w:rPr>
          <w:rFonts w:ascii="Times" w:eastAsia="Times New Roman" w:hAnsi="Times" w:cs="Times New Roman"/>
          <w:noProof/>
          <w:sz w:val="24"/>
        </w:rPr>
        <w:tab/>
        <w:t xml:space="preserve">A. W. Omta, M. F. Kropman, S. Woutersen and H. J. Bakker, </w:t>
      </w:r>
      <w:r w:rsidR="00C17D7A" w:rsidRPr="006B426D">
        <w:rPr>
          <w:rFonts w:ascii="Times" w:eastAsia="Times New Roman" w:hAnsi="Times" w:cs="Times New Roman"/>
          <w:i/>
          <w:iCs/>
          <w:noProof/>
          <w:sz w:val="24"/>
        </w:rPr>
        <w:t>Science</w:t>
      </w:r>
      <w:r w:rsidRPr="006B426D">
        <w:rPr>
          <w:rFonts w:ascii="Times" w:eastAsia="Times New Roman" w:hAnsi="Times" w:cs="Times New Roman"/>
          <w:noProof/>
          <w:sz w:val="24"/>
        </w:rPr>
        <w:t xml:space="preserve">, 2003, </w:t>
      </w:r>
      <w:r w:rsidRPr="006B426D">
        <w:rPr>
          <w:rFonts w:ascii="Times" w:eastAsia="Times New Roman" w:hAnsi="Times" w:cs="Times New Roman"/>
          <w:b/>
          <w:bCs/>
          <w:noProof/>
          <w:sz w:val="24"/>
        </w:rPr>
        <w:t>301</w:t>
      </w:r>
      <w:r w:rsidRPr="006B426D">
        <w:rPr>
          <w:rFonts w:ascii="Times" w:eastAsia="Times New Roman" w:hAnsi="Times" w:cs="Times New Roman"/>
          <w:noProof/>
          <w:sz w:val="24"/>
        </w:rPr>
        <w:t>, 347–349.</w:t>
      </w:r>
    </w:p>
    <w:p w14:paraId="07B3C9FD"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69</w:t>
      </w:r>
      <w:r w:rsidRPr="006B426D">
        <w:rPr>
          <w:rFonts w:ascii="Times" w:eastAsia="Times New Roman" w:hAnsi="Times" w:cs="Times New Roman"/>
          <w:noProof/>
          <w:sz w:val="24"/>
        </w:rPr>
        <w:tab/>
        <w:t xml:space="preserve">Y. L. A. Rezus and H. J. Bakker, </w:t>
      </w:r>
      <w:r w:rsidRPr="006B426D">
        <w:rPr>
          <w:rFonts w:ascii="Times" w:eastAsia="Times New Roman" w:hAnsi="Times" w:cs="Times New Roman"/>
          <w:i/>
          <w:iCs/>
          <w:noProof/>
          <w:sz w:val="24"/>
        </w:rPr>
        <w:t>Phys. Rev. Lett.</w:t>
      </w:r>
      <w:r w:rsidRPr="006B426D">
        <w:rPr>
          <w:rFonts w:ascii="Times" w:eastAsia="Times New Roman" w:hAnsi="Times" w:cs="Times New Roman"/>
          <w:noProof/>
          <w:sz w:val="24"/>
        </w:rPr>
        <w:t xml:space="preserve">, 2007, </w:t>
      </w:r>
      <w:r w:rsidRPr="006B426D">
        <w:rPr>
          <w:rFonts w:ascii="Times" w:eastAsia="Times New Roman" w:hAnsi="Times" w:cs="Times New Roman"/>
          <w:b/>
          <w:bCs/>
          <w:noProof/>
          <w:sz w:val="24"/>
        </w:rPr>
        <w:t>99</w:t>
      </w:r>
      <w:r w:rsidRPr="006B426D">
        <w:rPr>
          <w:rFonts w:ascii="Times" w:eastAsia="Times New Roman" w:hAnsi="Times" w:cs="Times New Roman"/>
          <w:noProof/>
          <w:sz w:val="24"/>
        </w:rPr>
        <w:t>, 148301.</w:t>
      </w:r>
    </w:p>
    <w:p w14:paraId="175892CE"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70</w:t>
      </w:r>
      <w:r w:rsidRPr="006B426D">
        <w:rPr>
          <w:rFonts w:ascii="Times" w:eastAsia="Times New Roman" w:hAnsi="Times" w:cs="Times New Roman"/>
          <w:noProof/>
          <w:sz w:val="24"/>
        </w:rPr>
        <w:tab/>
        <w:t xml:space="preserve">K. D. Collins and M. W. Washabaugh, </w:t>
      </w:r>
      <w:r w:rsidRPr="006B426D">
        <w:rPr>
          <w:rFonts w:ascii="Times" w:eastAsia="Times New Roman" w:hAnsi="Times" w:cs="Times New Roman"/>
          <w:i/>
          <w:iCs/>
          <w:noProof/>
          <w:sz w:val="24"/>
        </w:rPr>
        <w:t>Q. Rev. Biophys.</w:t>
      </w:r>
      <w:r w:rsidRPr="006B426D">
        <w:rPr>
          <w:rFonts w:ascii="Times" w:eastAsia="Times New Roman" w:hAnsi="Times" w:cs="Times New Roman"/>
          <w:noProof/>
          <w:sz w:val="24"/>
        </w:rPr>
        <w:t xml:space="preserve">, 1985, </w:t>
      </w:r>
      <w:r w:rsidRPr="006B426D">
        <w:rPr>
          <w:rFonts w:ascii="Times" w:eastAsia="Times New Roman" w:hAnsi="Times" w:cs="Times New Roman"/>
          <w:b/>
          <w:bCs/>
          <w:noProof/>
          <w:sz w:val="24"/>
        </w:rPr>
        <w:t>18</w:t>
      </w:r>
      <w:r w:rsidRPr="006B426D">
        <w:rPr>
          <w:rFonts w:ascii="Times" w:eastAsia="Times New Roman" w:hAnsi="Times" w:cs="Times New Roman"/>
          <w:noProof/>
          <w:sz w:val="24"/>
        </w:rPr>
        <w:t>, 323–422.</w:t>
      </w:r>
    </w:p>
    <w:p w14:paraId="3C049C89"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71</w:t>
      </w:r>
      <w:r w:rsidRPr="006B426D">
        <w:rPr>
          <w:rFonts w:ascii="Times" w:eastAsia="Times New Roman" w:hAnsi="Times" w:cs="Times New Roman"/>
          <w:noProof/>
          <w:sz w:val="24"/>
        </w:rPr>
        <w:tab/>
        <w:t xml:space="preserve">P. Jungwirth and P. S. Cremer, </w:t>
      </w:r>
      <w:r w:rsidRPr="006B426D">
        <w:rPr>
          <w:rFonts w:ascii="Times" w:eastAsia="Times New Roman" w:hAnsi="Times" w:cs="Times New Roman"/>
          <w:i/>
          <w:iCs/>
          <w:noProof/>
          <w:sz w:val="24"/>
        </w:rPr>
        <w:t>Nat. Chem.</w:t>
      </w:r>
      <w:r w:rsidRPr="006B426D">
        <w:rPr>
          <w:rFonts w:ascii="Times" w:eastAsia="Times New Roman" w:hAnsi="Times" w:cs="Times New Roman"/>
          <w:noProof/>
          <w:sz w:val="24"/>
        </w:rPr>
        <w:t xml:space="preserve">, 2014, </w:t>
      </w:r>
      <w:r w:rsidRPr="006B426D">
        <w:rPr>
          <w:rFonts w:ascii="Times" w:eastAsia="Times New Roman" w:hAnsi="Times" w:cs="Times New Roman"/>
          <w:b/>
          <w:bCs/>
          <w:noProof/>
          <w:sz w:val="24"/>
        </w:rPr>
        <w:t>6</w:t>
      </w:r>
      <w:r w:rsidRPr="006B426D">
        <w:rPr>
          <w:rFonts w:ascii="Times" w:eastAsia="Times New Roman" w:hAnsi="Times" w:cs="Times New Roman"/>
          <w:noProof/>
          <w:sz w:val="24"/>
        </w:rPr>
        <w:t>, 261–263.</w:t>
      </w:r>
    </w:p>
    <w:p w14:paraId="17F61A59"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72</w:t>
      </w:r>
      <w:r w:rsidRPr="006B426D">
        <w:rPr>
          <w:rFonts w:ascii="Times" w:eastAsia="Times New Roman" w:hAnsi="Times" w:cs="Times New Roman"/>
          <w:noProof/>
          <w:sz w:val="24"/>
        </w:rPr>
        <w:tab/>
        <w:t xml:space="preserve">S. Shimizu, W. M. McLaren and N. Matubayasi, </w:t>
      </w:r>
      <w:r w:rsidRPr="006B426D">
        <w:rPr>
          <w:rFonts w:ascii="Times" w:eastAsia="Times New Roman" w:hAnsi="Times" w:cs="Times New Roman"/>
          <w:i/>
          <w:iCs/>
          <w:noProof/>
          <w:sz w:val="24"/>
        </w:rPr>
        <w:t>J. Chem. Phys.</w:t>
      </w:r>
      <w:r w:rsidRPr="006B426D">
        <w:rPr>
          <w:rFonts w:ascii="Times" w:eastAsia="Times New Roman" w:hAnsi="Times" w:cs="Times New Roman"/>
          <w:noProof/>
          <w:sz w:val="24"/>
        </w:rPr>
        <w:t xml:space="preserve">, 2006, </w:t>
      </w:r>
      <w:r w:rsidRPr="006B426D">
        <w:rPr>
          <w:rFonts w:ascii="Times" w:eastAsia="Times New Roman" w:hAnsi="Times" w:cs="Times New Roman"/>
          <w:b/>
          <w:bCs/>
          <w:noProof/>
          <w:sz w:val="24"/>
        </w:rPr>
        <w:t>124</w:t>
      </w:r>
      <w:r w:rsidRPr="006B426D">
        <w:rPr>
          <w:rFonts w:ascii="Times" w:eastAsia="Times New Roman" w:hAnsi="Times" w:cs="Times New Roman"/>
          <w:noProof/>
          <w:sz w:val="24"/>
        </w:rPr>
        <w:t>, 234905.</w:t>
      </w:r>
    </w:p>
    <w:p w14:paraId="575D955B"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73</w:t>
      </w:r>
      <w:r w:rsidRPr="006B426D">
        <w:rPr>
          <w:rFonts w:ascii="Times" w:eastAsia="Times New Roman" w:hAnsi="Times" w:cs="Times New Roman"/>
          <w:noProof/>
          <w:sz w:val="24"/>
        </w:rPr>
        <w:tab/>
        <w:t xml:space="preserve">S. Murakami, T. Hayashi and M. Kinoshita, </w:t>
      </w:r>
      <w:r w:rsidRPr="006B426D">
        <w:rPr>
          <w:rFonts w:ascii="Times" w:eastAsia="Times New Roman" w:hAnsi="Times" w:cs="Times New Roman"/>
          <w:i/>
          <w:iCs/>
          <w:noProof/>
          <w:sz w:val="24"/>
        </w:rPr>
        <w:t>J. Chem. Phys.</w:t>
      </w:r>
      <w:r w:rsidRPr="006B426D">
        <w:rPr>
          <w:rFonts w:ascii="Times" w:eastAsia="Times New Roman" w:hAnsi="Times" w:cs="Times New Roman"/>
          <w:noProof/>
          <w:sz w:val="24"/>
        </w:rPr>
        <w:t xml:space="preserve">, 2017, </w:t>
      </w:r>
      <w:r w:rsidRPr="006B426D">
        <w:rPr>
          <w:rFonts w:ascii="Times" w:eastAsia="Times New Roman" w:hAnsi="Times" w:cs="Times New Roman"/>
          <w:b/>
          <w:bCs/>
          <w:noProof/>
          <w:sz w:val="24"/>
        </w:rPr>
        <w:t>146</w:t>
      </w:r>
      <w:r w:rsidRPr="006B426D">
        <w:rPr>
          <w:rFonts w:ascii="Times" w:eastAsia="Times New Roman" w:hAnsi="Times" w:cs="Times New Roman"/>
          <w:noProof/>
          <w:sz w:val="24"/>
        </w:rPr>
        <w:t>, 55102.</w:t>
      </w:r>
    </w:p>
    <w:p w14:paraId="3C37B9C6"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74</w:t>
      </w:r>
      <w:r w:rsidRPr="006B426D">
        <w:rPr>
          <w:rFonts w:ascii="Times" w:eastAsia="Times New Roman" w:hAnsi="Times" w:cs="Times New Roman"/>
          <w:noProof/>
          <w:sz w:val="24"/>
        </w:rPr>
        <w:tab/>
        <w:t xml:space="preserve">M. Kinoshita and Y. Harano, </w:t>
      </w:r>
      <w:r w:rsidRPr="006B426D">
        <w:rPr>
          <w:rFonts w:ascii="Times" w:eastAsia="Times New Roman" w:hAnsi="Times" w:cs="Times New Roman"/>
          <w:i/>
          <w:iCs/>
          <w:noProof/>
          <w:sz w:val="24"/>
        </w:rPr>
        <w:t>Bull. Chem. Soc. Jpn.</w:t>
      </w:r>
      <w:r w:rsidRPr="006B426D">
        <w:rPr>
          <w:rFonts w:ascii="Times" w:eastAsia="Times New Roman" w:hAnsi="Times" w:cs="Times New Roman"/>
          <w:noProof/>
          <w:sz w:val="24"/>
        </w:rPr>
        <w:t xml:space="preserve">, 2005, </w:t>
      </w:r>
      <w:r w:rsidRPr="006B426D">
        <w:rPr>
          <w:rFonts w:ascii="Times" w:eastAsia="Times New Roman" w:hAnsi="Times" w:cs="Times New Roman"/>
          <w:b/>
          <w:bCs/>
          <w:noProof/>
          <w:sz w:val="24"/>
        </w:rPr>
        <w:t>78</w:t>
      </w:r>
      <w:r w:rsidRPr="006B426D">
        <w:rPr>
          <w:rFonts w:ascii="Times" w:eastAsia="Times New Roman" w:hAnsi="Times" w:cs="Times New Roman"/>
          <w:noProof/>
          <w:sz w:val="24"/>
        </w:rPr>
        <w:t>, 1431–1441.</w:t>
      </w:r>
    </w:p>
    <w:p w14:paraId="40DEA21E" w14:textId="77777777" w:rsidR="00C8325F" w:rsidRPr="006B426D" w:rsidRDefault="00C8325F" w:rsidP="00C8325F">
      <w:pPr>
        <w:autoSpaceDE w:val="0"/>
        <w:autoSpaceDN w:val="0"/>
        <w:adjustRightInd w:val="0"/>
        <w:spacing w:after="0" w:line="480" w:lineRule="auto"/>
        <w:ind w:left="640" w:hanging="640"/>
        <w:rPr>
          <w:rFonts w:ascii="Times" w:eastAsia="Times New Roman" w:hAnsi="Times" w:cs="Times New Roman"/>
          <w:noProof/>
          <w:sz w:val="24"/>
        </w:rPr>
      </w:pPr>
      <w:r w:rsidRPr="006B426D">
        <w:rPr>
          <w:rFonts w:ascii="Times" w:eastAsia="Times New Roman" w:hAnsi="Times" w:cs="Times New Roman"/>
          <w:noProof/>
          <w:sz w:val="24"/>
        </w:rPr>
        <w:t>75</w:t>
      </w:r>
      <w:r w:rsidRPr="006B426D">
        <w:rPr>
          <w:rFonts w:ascii="Times" w:eastAsia="Times New Roman" w:hAnsi="Times" w:cs="Times New Roman"/>
          <w:noProof/>
          <w:sz w:val="24"/>
        </w:rPr>
        <w:tab/>
        <w:t xml:space="preserve">J. Smiatek, </w:t>
      </w:r>
      <w:r w:rsidRPr="006B426D">
        <w:rPr>
          <w:rFonts w:ascii="Times" w:eastAsia="Times New Roman" w:hAnsi="Times" w:cs="Times New Roman"/>
          <w:i/>
          <w:iCs/>
          <w:noProof/>
          <w:sz w:val="24"/>
        </w:rPr>
        <w:t>J. Phys. Condens. Matter</w:t>
      </w:r>
      <w:r w:rsidRPr="006B426D">
        <w:rPr>
          <w:rFonts w:ascii="Times" w:eastAsia="Times New Roman" w:hAnsi="Times" w:cs="Times New Roman"/>
          <w:noProof/>
          <w:sz w:val="24"/>
        </w:rPr>
        <w:t xml:space="preserve">, 2017, </w:t>
      </w:r>
      <w:r w:rsidRPr="006B426D">
        <w:rPr>
          <w:rFonts w:ascii="Times" w:eastAsia="Times New Roman" w:hAnsi="Times" w:cs="Times New Roman"/>
          <w:b/>
          <w:bCs/>
          <w:noProof/>
          <w:sz w:val="24"/>
        </w:rPr>
        <w:t>29</w:t>
      </w:r>
      <w:r w:rsidRPr="006B426D">
        <w:rPr>
          <w:rFonts w:ascii="Times" w:eastAsia="Times New Roman" w:hAnsi="Times" w:cs="Times New Roman"/>
          <w:noProof/>
          <w:sz w:val="24"/>
        </w:rPr>
        <w:t>, 233001.</w:t>
      </w:r>
    </w:p>
    <w:p w14:paraId="77C9C3BC" w14:textId="212DB02B" w:rsidR="00622870" w:rsidRPr="004F2746" w:rsidRDefault="00C8325F" w:rsidP="00C8325F">
      <w:pPr>
        <w:autoSpaceDE w:val="0"/>
        <w:autoSpaceDN w:val="0"/>
        <w:adjustRightInd w:val="0"/>
        <w:spacing w:after="0" w:line="480" w:lineRule="auto"/>
        <w:ind w:left="640" w:hanging="640"/>
      </w:pPr>
      <w:r w:rsidRPr="006B426D">
        <w:rPr>
          <w:rFonts w:ascii="Times" w:eastAsia="Times New Roman" w:hAnsi="Times" w:cs="Times New Roman"/>
          <w:noProof/>
          <w:sz w:val="24"/>
        </w:rPr>
        <w:t>76</w:t>
      </w:r>
      <w:r w:rsidRPr="006B426D">
        <w:rPr>
          <w:rFonts w:ascii="Times" w:eastAsia="Times New Roman" w:hAnsi="Times" w:cs="Times New Roman"/>
          <w:noProof/>
          <w:sz w:val="24"/>
        </w:rPr>
        <w:tab/>
        <w:t xml:space="preserve">D. Diddens, V. Lesch, A. Heuer and J. Smiatek, </w:t>
      </w:r>
      <w:r w:rsidRPr="006B426D">
        <w:rPr>
          <w:rFonts w:ascii="Times" w:eastAsia="Times New Roman" w:hAnsi="Times" w:cs="Times New Roman"/>
          <w:i/>
          <w:iCs/>
          <w:noProof/>
          <w:sz w:val="24"/>
        </w:rPr>
        <w:t>Phys. Chem. Chem. Phys.</w:t>
      </w:r>
      <w:r w:rsidRPr="006B426D">
        <w:rPr>
          <w:rFonts w:ascii="Times" w:eastAsia="Times New Roman" w:hAnsi="Times" w:cs="Times New Roman"/>
          <w:noProof/>
          <w:sz w:val="24"/>
        </w:rPr>
        <w:t>, , DOI:10.1039/C7CP02897K.</w:t>
      </w:r>
      <w:bookmarkStart w:id="0" w:name="_GoBack"/>
      <w:bookmarkEnd w:id="0"/>
    </w:p>
    <w:sectPr w:rsidR="00622870" w:rsidRPr="004F2746">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86A95" w14:textId="77777777" w:rsidR="00A44FDD" w:rsidRDefault="00A44FDD" w:rsidP="00C61409">
      <w:pPr>
        <w:spacing w:after="0" w:line="240" w:lineRule="auto"/>
      </w:pPr>
      <w:r>
        <w:separator/>
      </w:r>
    </w:p>
  </w:endnote>
  <w:endnote w:type="continuationSeparator" w:id="0">
    <w:p w14:paraId="508976DB" w14:textId="77777777" w:rsidR="00A44FDD" w:rsidRDefault="00A44FDD" w:rsidP="00C6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ourier New"/>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Gulim">
    <w:altName w:val="굴림"/>
    <w:panose1 w:val="020B0600000101010101"/>
    <w:charset w:val="81"/>
    <w:family w:val="auto"/>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288F0" w14:textId="77777777" w:rsidR="00A44FDD" w:rsidRDefault="00A44FDD" w:rsidP="00C61409">
      <w:pPr>
        <w:spacing w:after="0" w:line="240" w:lineRule="auto"/>
      </w:pPr>
      <w:r>
        <w:separator/>
      </w:r>
    </w:p>
  </w:footnote>
  <w:footnote w:type="continuationSeparator" w:id="0">
    <w:p w14:paraId="4F81FFF6" w14:textId="77777777" w:rsidR="00A44FDD" w:rsidRDefault="00A44FDD" w:rsidP="00C61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418A"/>
    <w:multiLevelType w:val="multilevel"/>
    <w:tmpl w:val="D3CA731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191D8D"/>
    <w:multiLevelType w:val="hybridMultilevel"/>
    <w:tmpl w:val="DF904CFE"/>
    <w:lvl w:ilvl="0" w:tplc="5298E17C">
      <w:start w:val="3"/>
      <w:numFmt w:val="bullet"/>
      <w:lvlText w:val="-"/>
      <w:lvlJc w:val="left"/>
      <w:pPr>
        <w:ind w:left="720" w:hanging="360"/>
      </w:pPr>
      <w:rPr>
        <w:rFonts w:ascii="Times" w:eastAsiaTheme="minorEastAsia"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6D4114"/>
    <w:multiLevelType w:val="hybridMultilevel"/>
    <w:tmpl w:val="49D4D0D8"/>
    <w:lvl w:ilvl="0" w:tplc="1862C5B6">
      <w:start w:val="1"/>
      <w:numFmt w:val="decimal"/>
      <w:lvlText w:val="%1."/>
      <w:lvlJc w:val="left"/>
      <w:pPr>
        <w:ind w:left="804" w:hanging="4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B83344"/>
    <w:multiLevelType w:val="hybridMultilevel"/>
    <w:tmpl w:val="3D6819D4"/>
    <w:lvl w:ilvl="0" w:tplc="0B3C589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43513157"/>
    <w:multiLevelType w:val="hybridMultilevel"/>
    <w:tmpl w:val="0ED0A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4D7BE3"/>
    <w:multiLevelType w:val="hybridMultilevel"/>
    <w:tmpl w:val="4D58851A"/>
    <w:lvl w:ilvl="0" w:tplc="5048416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57564907"/>
    <w:multiLevelType w:val="multilevel"/>
    <w:tmpl w:val="D098D18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59A724E6"/>
    <w:multiLevelType w:val="hybridMultilevel"/>
    <w:tmpl w:val="C59208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41638C"/>
    <w:multiLevelType w:val="hybridMultilevel"/>
    <w:tmpl w:val="B672C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0"/>
  </w:num>
  <w:num w:numId="5">
    <w:abstractNumId w:val="1"/>
  </w:num>
  <w:num w:numId="6">
    <w:abstractNumId w:val="5"/>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4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870"/>
    <w:rsid w:val="0002403A"/>
    <w:rsid w:val="00030FCB"/>
    <w:rsid w:val="00032748"/>
    <w:rsid w:val="0004094F"/>
    <w:rsid w:val="0004228B"/>
    <w:rsid w:val="000473BB"/>
    <w:rsid w:val="00054845"/>
    <w:rsid w:val="000711B3"/>
    <w:rsid w:val="00080946"/>
    <w:rsid w:val="00081793"/>
    <w:rsid w:val="00090C1E"/>
    <w:rsid w:val="00094AD1"/>
    <w:rsid w:val="000A435A"/>
    <w:rsid w:val="000C4BCB"/>
    <w:rsid w:val="000C7586"/>
    <w:rsid w:val="000D08CC"/>
    <w:rsid w:val="000D52A5"/>
    <w:rsid w:val="000E005A"/>
    <w:rsid w:val="000E7FDC"/>
    <w:rsid w:val="000F2F7A"/>
    <w:rsid w:val="000F4184"/>
    <w:rsid w:val="00100184"/>
    <w:rsid w:val="001162EF"/>
    <w:rsid w:val="0014446B"/>
    <w:rsid w:val="00151267"/>
    <w:rsid w:val="00155BDE"/>
    <w:rsid w:val="001641B6"/>
    <w:rsid w:val="00175066"/>
    <w:rsid w:val="0018081A"/>
    <w:rsid w:val="00193DF5"/>
    <w:rsid w:val="001A7018"/>
    <w:rsid w:val="001B21D2"/>
    <w:rsid w:val="001E06B0"/>
    <w:rsid w:val="001E2C9B"/>
    <w:rsid w:val="001E3F24"/>
    <w:rsid w:val="001E5FF0"/>
    <w:rsid w:val="001E68FC"/>
    <w:rsid w:val="001F607B"/>
    <w:rsid w:val="001F7876"/>
    <w:rsid w:val="00203AA1"/>
    <w:rsid w:val="00210EC2"/>
    <w:rsid w:val="00213133"/>
    <w:rsid w:val="002135D5"/>
    <w:rsid w:val="00220713"/>
    <w:rsid w:val="00234E56"/>
    <w:rsid w:val="00235A38"/>
    <w:rsid w:val="00235CC4"/>
    <w:rsid w:val="00257168"/>
    <w:rsid w:val="00264FA8"/>
    <w:rsid w:val="00266587"/>
    <w:rsid w:val="00271FF9"/>
    <w:rsid w:val="00282C19"/>
    <w:rsid w:val="00282C28"/>
    <w:rsid w:val="00282EED"/>
    <w:rsid w:val="00292E2E"/>
    <w:rsid w:val="002B056B"/>
    <w:rsid w:val="002B37A0"/>
    <w:rsid w:val="002B7930"/>
    <w:rsid w:val="002C0BD2"/>
    <w:rsid w:val="002D38E1"/>
    <w:rsid w:val="002E378A"/>
    <w:rsid w:val="002F164F"/>
    <w:rsid w:val="002F497A"/>
    <w:rsid w:val="002F5F01"/>
    <w:rsid w:val="00302F70"/>
    <w:rsid w:val="00312539"/>
    <w:rsid w:val="00314675"/>
    <w:rsid w:val="00327B74"/>
    <w:rsid w:val="00346860"/>
    <w:rsid w:val="003469C7"/>
    <w:rsid w:val="00347182"/>
    <w:rsid w:val="003516A1"/>
    <w:rsid w:val="00351DC7"/>
    <w:rsid w:val="00364F78"/>
    <w:rsid w:val="00375761"/>
    <w:rsid w:val="003759EE"/>
    <w:rsid w:val="00382563"/>
    <w:rsid w:val="00391749"/>
    <w:rsid w:val="003921B5"/>
    <w:rsid w:val="003A1A32"/>
    <w:rsid w:val="003D42F2"/>
    <w:rsid w:val="003E6523"/>
    <w:rsid w:val="003E770C"/>
    <w:rsid w:val="003F7C30"/>
    <w:rsid w:val="004113A3"/>
    <w:rsid w:val="00411632"/>
    <w:rsid w:val="004409E8"/>
    <w:rsid w:val="00440D12"/>
    <w:rsid w:val="004423F2"/>
    <w:rsid w:val="00455108"/>
    <w:rsid w:val="004562C4"/>
    <w:rsid w:val="004570AC"/>
    <w:rsid w:val="00462141"/>
    <w:rsid w:val="00466A2A"/>
    <w:rsid w:val="004675F2"/>
    <w:rsid w:val="0047437D"/>
    <w:rsid w:val="00485B95"/>
    <w:rsid w:val="00487182"/>
    <w:rsid w:val="00491696"/>
    <w:rsid w:val="004A1394"/>
    <w:rsid w:val="004A25DC"/>
    <w:rsid w:val="004A3B17"/>
    <w:rsid w:val="004A5235"/>
    <w:rsid w:val="004B0725"/>
    <w:rsid w:val="004B3C3D"/>
    <w:rsid w:val="004B7B65"/>
    <w:rsid w:val="004C5742"/>
    <w:rsid w:val="004D7A47"/>
    <w:rsid w:val="004E3195"/>
    <w:rsid w:val="004E7373"/>
    <w:rsid w:val="004F0B25"/>
    <w:rsid w:val="004F0D6D"/>
    <w:rsid w:val="004F2746"/>
    <w:rsid w:val="004F5995"/>
    <w:rsid w:val="004F7B02"/>
    <w:rsid w:val="00527C5A"/>
    <w:rsid w:val="00534F59"/>
    <w:rsid w:val="00543741"/>
    <w:rsid w:val="00546DC0"/>
    <w:rsid w:val="00550BA3"/>
    <w:rsid w:val="00557849"/>
    <w:rsid w:val="00563F56"/>
    <w:rsid w:val="0056556B"/>
    <w:rsid w:val="00567725"/>
    <w:rsid w:val="00576A75"/>
    <w:rsid w:val="0057767E"/>
    <w:rsid w:val="00590FAD"/>
    <w:rsid w:val="005A132C"/>
    <w:rsid w:val="005A65CF"/>
    <w:rsid w:val="005A7F18"/>
    <w:rsid w:val="005B472C"/>
    <w:rsid w:val="005C2D5A"/>
    <w:rsid w:val="005C50A0"/>
    <w:rsid w:val="005C6CA9"/>
    <w:rsid w:val="005D6C8C"/>
    <w:rsid w:val="005D781F"/>
    <w:rsid w:val="005E30ED"/>
    <w:rsid w:val="005E7D91"/>
    <w:rsid w:val="005F0055"/>
    <w:rsid w:val="005F4562"/>
    <w:rsid w:val="0060745F"/>
    <w:rsid w:val="006109CE"/>
    <w:rsid w:val="00612A24"/>
    <w:rsid w:val="0061387E"/>
    <w:rsid w:val="006146B2"/>
    <w:rsid w:val="0062036B"/>
    <w:rsid w:val="0062085A"/>
    <w:rsid w:val="00622870"/>
    <w:rsid w:val="0062361B"/>
    <w:rsid w:val="0062465B"/>
    <w:rsid w:val="00624968"/>
    <w:rsid w:val="00626330"/>
    <w:rsid w:val="00630B15"/>
    <w:rsid w:val="006408BF"/>
    <w:rsid w:val="00642CD2"/>
    <w:rsid w:val="00646290"/>
    <w:rsid w:val="00650003"/>
    <w:rsid w:val="006521C5"/>
    <w:rsid w:val="00691572"/>
    <w:rsid w:val="006A168C"/>
    <w:rsid w:val="006B36AF"/>
    <w:rsid w:val="006B3F3E"/>
    <w:rsid w:val="006B426D"/>
    <w:rsid w:val="006B468C"/>
    <w:rsid w:val="006B6E99"/>
    <w:rsid w:val="006C0619"/>
    <w:rsid w:val="006C3C39"/>
    <w:rsid w:val="006D10BF"/>
    <w:rsid w:val="006D3057"/>
    <w:rsid w:val="006D7D25"/>
    <w:rsid w:val="006E7BCB"/>
    <w:rsid w:val="006F1F6D"/>
    <w:rsid w:val="006F4BCE"/>
    <w:rsid w:val="00711980"/>
    <w:rsid w:val="00711FBC"/>
    <w:rsid w:val="00715F52"/>
    <w:rsid w:val="00731DFF"/>
    <w:rsid w:val="00744795"/>
    <w:rsid w:val="007448BB"/>
    <w:rsid w:val="00750944"/>
    <w:rsid w:val="00751976"/>
    <w:rsid w:val="007602BA"/>
    <w:rsid w:val="00762AB3"/>
    <w:rsid w:val="007634C1"/>
    <w:rsid w:val="0076503B"/>
    <w:rsid w:val="007663C8"/>
    <w:rsid w:val="00767480"/>
    <w:rsid w:val="007700E9"/>
    <w:rsid w:val="007926EC"/>
    <w:rsid w:val="007954E8"/>
    <w:rsid w:val="007A7154"/>
    <w:rsid w:val="007C7DB1"/>
    <w:rsid w:val="007D4211"/>
    <w:rsid w:val="007E2423"/>
    <w:rsid w:val="007F3BC0"/>
    <w:rsid w:val="00800FC8"/>
    <w:rsid w:val="008013B1"/>
    <w:rsid w:val="0081199B"/>
    <w:rsid w:val="0081320A"/>
    <w:rsid w:val="00837292"/>
    <w:rsid w:val="00842885"/>
    <w:rsid w:val="00846E5F"/>
    <w:rsid w:val="00856130"/>
    <w:rsid w:val="008579FA"/>
    <w:rsid w:val="008626A5"/>
    <w:rsid w:val="00865038"/>
    <w:rsid w:val="00865809"/>
    <w:rsid w:val="008704BA"/>
    <w:rsid w:val="00872020"/>
    <w:rsid w:val="00873CAF"/>
    <w:rsid w:val="00881FA4"/>
    <w:rsid w:val="008854F5"/>
    <w:rsid w:val="00886433"/>
    <w:rsid w:val="008958DC"/>
    <w:rsid w:val="008B4910"/>
    <w:rsid w:val="008B57EC"/>
    <w:rsid w:val="008C5B28"/>
    <w:rsid w:val="008C6635"/>
    <w:rsid w:val="008D5C11"/>
    <w:rsid w:val="008E00CD"/>
    <w:rsid w:val="008E5E43"/>
    <w:rsid w:val="008F56A7"/>
    <w:rsid w:val="008F5A91"/>
    <w:rsid w:val="008F68E2"/>
    <w:rsid w:val="0090290A"/>
    <w:rsid w:val="00907570"/>
    <w:rsid w:val="0092434E"/>
    <w:rsid w:val="009254FD"/>
    <w:rsid w:val="009306C5"/>
    <w:rsid w:val="00935203"/>
    <w:rsid w:val="009629E6"/>
    <w:rsid w:val="00980F93"/>
    <w:rsid w:val="00984018"/>
    <w:rsid w:val="00992002"/>
    <w:rsid w:val="009A0EEA"/>
    <w:rsid w:val="009B2CF5"/>
    <w:rsid w:val="009C1F8C"/>
    <w:rsid w:val="009C655F"/>
    <w:rsid w:val="009E03C3"/>
    <w:rsid w:val="009E0493"/>
    <w:rsid w:val="009E2E70"/>
    <w:rsid w:val="009E6D36"/>
    <w:rsid w:val="009E7E76"/>
    <w:rsid w:val="009F7A25"/>
    <w:rsid w:val="009F7A90"/>
    <w:rsid w:val="00A05455"/>
    <w:rsid w:val="00A07586"/>
    <w:rsid w:val="00A12A6D"/>
    <w:rsid w:val="00A13CD8"/>
    <w:rsid w:val="00A24A7A"/>
    <w:rsid w:val="00A25622"/>
    <w:rsid w:val="00A31BB4"/>
    <w:rsid w:val="00A43E6F"/>
    <w:rsid w:val="00A44FDD"/>
    <w:rsid w:val="00A50633"/>
    <w:rsid w:val="00A566D8"/>
    <w:rsid w:val="00A56A2D"/>
    <w:rsid w:val="00A7096B"/>
    <w:rsid w:val="00A77DA2"/>
    <w:rsid w:val="00A81D2B"/>
    <w:rsid w:val="00A86746"/>
    <w:rsid w:val="00A90F00"/>
    <w:rsid w:val="00A965C5"/>
    <w:rsid w:val="00AA294E"/>
    <w:rsid w:val="00AA5067"/>
    <w:rsid w:val="00AB19EA"/>
    <w:rsid w:val="00AC3C13"/>
    <w:rsid w:val="00AE50FA"/>
    <w:rsid w:val="00B03E1F"/>
    <w:rsid w:val="00B12114"/>
    <w:rsid w:val="00B17B6C"/>
    <w:rsid w:val="00B366DD"/>
    <w:rsid w:val="00B42473"/>
    <w:rsid w:val="00B7396B"/>
    <w:rsid w:val="00B76243"/>
    <w:rsid w:val="00B77CF9"/>
    <w:rsid w:val="00B80D6C"/>
    <w:rsid w:val="00B90C17"/>
    <w:rsid w:val="00B93ACF"/>
    <w:rsid w:val="00B96787"/>
    <w:rsid w:val="00BA3C0E"/>
    <w:rsid w:val="00BA465D"/>
    <w:rsid w:val="00BB376D"/>
    <w:rsid w:val="00BD4EB5"/>
    <w:rsid w:val="00BD783C"/>
    <w:rsid w:val="00BE597D"/>
    <w:rsid w:val="00C15534"/>
    <w:rsid w:val="00C17D7A"/>
    <w:rsid w:val="00C24905"/>
    <w:rsid w:val="00C34227"/>
    <w:rsid w:val="00C351F9"/>
    <w:rsid w:val="00C4489E"/>
    <w:rsid w:val="00C47929"/>
    <w:rsid w:val="00C51321"/>
    <w:rsid w:val="00C54B9A"/>
    <w:rsid w:val="00C55CDA"/>
    <w:rsid w:val="00C61409"/>
    <w:rsid w:val="00C661BA"/>
    <w:rsid w:val="00C67FDD"/>
    <w:rsid w:val="00C76FAC"/>
    <w:rsid w:val="00C8325F"/>
    <w:rsid w:val="00CB3D13"/>
    <w:rsid w:val="00CC0078"/>
    <w:rsid w:val="00CC1B6A"/>
    <w:rsid w:val="00CC5B26"/>
    <w:rsid w:val="00CE12EE"/>
    <w:rsid w:val="00CE4F69"/>
    <w:rsid w:val="00CF1FAC"/>
    <w:rsid w:val="00D00F2F"/>
    <w:rsid w:val="00D00FA8"/>
    <w:rsid w:val="00D0223C"/>
    <w:rsid w:val="00D06DC2"/>
    <w:rsid w:val="00D15B08"/>
    <w:rsid w:val="00D1736B"/>
    <w:rsid w:val="00D20B01"/>
    <w:rsid w:val="00D23F1B"/>
    <w:rsid w:val="00D47A0D"/>
    <w:rsid w:val="00D52814"/>
    <w:rsid w:val="00D55932"/>
    <w:rsid w:val="00D62C29"/>
    <w:rsid w:val="00D634A5"/>
    <w:rsid w:val="00D70C5E"/>
    <w:rsid w:val="00D72927"/>
    <w:rsid w:val="00D73D33"/>
    <w:rsid w:val="00D75C7B"/>
    <w:rsid w:val="00D7689B"/>
    <w:rsid w:val="00D8016B"/>
    <w:rsid w:val="00D82A65"/>
    <w:rsid w:val="00D86153"/>
    <w:rsid w:val="00D9191C"/>
    <w:rsid w:val="00D96830"/>
    <w:rsid w:val="00D972CA"/>
    <w:rsid w:val="00DA06C7"/>
    <w:rsid w:val="00DA0AB5"/>
    <w:rsid w:val="00DA5050"/>
    <w:rsid w:val="00DC2874"/>
    <w:rsid w:val="00DE090B"/>
    <w:rsid w:val="00DE251E"/>
    <w:rsid w:val="00E10403"/>
    <w:rsid w:val="00E134A6"/>
    <w:rsid w:val="00E226D8"/>
    <w:rsid w:val="00E232EA"/>
    <w:rsid w:val="00E276DA"/>
    <w:rsid w:val="00E3182E"/>
    <w:rsid w:val="00E35E41"/>
    <w:rsid w:val="00E40D45"/>
    <w:rsid w:val="00E4401E"/>
    <w:rsid w:val="00E50B7F"/>
    <w:rsid w:val="00E52739"/>
    <w:rsid w:val="00E52C83"/>
    <w:rsid w:val="00E541FD"/>
    <w:rsid w:val="00E55BC8"/>
    <w:rsid w:val="00E62ED1"/>
    <w:rsid w:val="00E64312"/>
    <w:rsid w:val="00E67293"/>
    <w:rsid w:val="00E67561"/>
    <w:rsid w:val="00E72100"/>
    <w:rsid w:val="00E72ED8"/>
    <w:rsid w:val="00E809FC"/>
    <w:rsid w:val="00E8321E"/>
    <w:rsid w:val="00E93D5E"/>
    <w:rsid w:val="00EB1D79"/>
    <w:rsid w:val="00EB62DD"/>
    <w:rsid w:val="00EB787B"/>
    <w:rsid w:val="00EC601B"/>
    <w:rsid w:val="00EC7EE6"/>
    <w:rsid w:val="00ED20CB"/>
    <w:rsid w:val="00ED5867"/>
    <w:rsid w:val="00ED73B9"/>
    <w:rsid w:val="00EE025A"/>
    <w:rsid w:val="00EE72F4"/>
    <w:rsid w:val="00EF61BD"/>
    <w:rsid w:val="00EF7AE7"/>
    <w:rsid w:val="00F10C26"/>
    <w:rsid w:val="00F152E6"/>
    <w:rsid w:val="00F244C3"/>
    <w:rsid w:val="00F30860"/>
    <w:rsid w:val="00F32A19"/>
    <w:rsid w:val="00F343AD"/>
    <w:rsid w:val="00F40543"/>
    <w:rsid w:val="00F42ABC"/>
    <w:rsid w:val="00F47033"/>
    <w:rsid w:val="00F52223"/>
    <w:rsid w:val="00F56A4F"/>
    <w:rsid w:val="00F6538A"/>
    <w:rsid w:val="00F72FBF"/>
    <w:rsid w:val="00F73786"/>
    <w:rsid w:val="00F8206F"/>
    <w:rsid w:val="00F8210C"/>
    <w:rsid w:val="00F86666"/>
    <w:rsid w:val="00F910DD"/>
    <w:rsid w:val="00FA7D2A"/>
    <w:rsid w:val="00FB2F28"/>
    <w:rsid w:val="00FC2CD3"/>
    <w:rsid w:val="00FC4194"/>
    <w:rsid w:val="00FD289D"/>
    <w:rsid w:val="00FD7D03"/>
    <w:rsid w:val="00FE6B74"/>
    <w:rsid w:val="00FF6329"/>
    <w:rsid w:val="00FF72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DA83BCA"/>
  <w15:docId w15:val="{54CEBE89-E79E-4310-A196-227A8173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622870"/>
    <w:pPr>
      <w:widowControl w:val="0"/>
    </w:pPr>
    <w:rPr>
      <w:rFonts w:ascii="Calibri" w:hAnsi="Calibri" w:cs="Calibri"/>
      <w:color w:val="000000"/>
      <w:lang w:eastAsia="ja-JP"/>
    </w:rPr>
  </w:style>
  <w:style w:type="paragraph" w:styleId="Heading1">
    <w:name w:val="heading 1"/>
    <w:basedOn w:val="Normal"/>
    <w:next w:val="Normal"/>
    <w:link w:val="Heading1Char"/>
    <w:rsid w:val="00622870"/>
    <w:pPr>
      <w:keepNext/>
      <w:keepLines/>
      <w:spacing w:before="240" w:after="0"/>
      <w:outlineLvl w:val="0"/>
    </w:pPr>
    <w:rPr>
      <w:color w:val="2E75B5"/>
      <w:sz w:val="32"/>
      <w:szCs w:val="32"/>
    </w:rPr>
  </w:style>
  <w:style w:type="paragraph" w:styleId="Heading2">
    <w:name w:val="heading 2"/>
    <w:basedOn w:val="Normal"/>
    <w:next w:val="Normal"/>
    <w:link w:val="Heading2Char"/>
    <w:rsid w:val="00622870"/>
    <w:pPr>
      <w:keepNext/>
      <w:keepLines/>
      <w:spacing w:before="40" w:after="0"/>
      <w:outlineLvl w:val="1"/>
    </w:pPr>
    <w:rPr>
      <w:color w:val="2E75B5"/>
      <w:sz w:val="26"/>
      <w:szCs w:val="26"/>
    </w:rPr>
  </w:style>
  <w:style w:type="paragraph" w:styleId="Heading3">
    <w:name w:val="heading 3"/>
    <w:basedOn w:val="Normal"/>
    <w:next w:val="Normal"/>
    <w:link w:val="Heading3Char"/>
    <w:rsid w:val="00622870"/>
    <w:pPr>
      <w:keepNext/>
      <w:keepLines/>
      <w:spacing w:before="280" w:after="80"/>
      <w:contextualSpacing/>
      <w:outlineLvl w:val="2"/>
    </w:pPr>
    <w:rPr>
      <w:b/>
      <w:sz w:val="28"/>
      <w:szCs w:val="28"/>
    </w:rPr>
  </w:style>
  <w:style w:type="paragraph" w:styleId="Heading4">
    <w:name w:val="heading 4"/>
    <w:basedOn w:val="Normal"/>
    <w:next w:val="Normal"/>
    <w:link w:val="Heading4Char"/>
    <w:rsid w:val="00622870"/>
    <w:pPr>
      <w:keepNext/>
      <w:keepLines/>
      <w:spacing w:before="240" w:after="40"/>
      <w:contextualSpacing/>
      <w:outlineLvl w:val="3"/>
    </w:pPr>
    <w:rPr>
      <w:b/>
      <w:sz w:val="24"/>
      <w:szCs w:val="24"/>
    </w:rPr>
  </w:style>
  <w:style w:type="paragraph" w:styleId="Heading5">
    <w:name w:val="heading 5"/>
    <w:basedOn w:val="Normal"/>
    <w:next w:val="Normal"/>
    <w:link w:val="Heading5Char"/>
    <w:rsid w:val="00622870"/>
    <w:pPr>
      <w:keepNext/>
      <w:keepLines/>
      <w:spacing w:before="220" w:after="40"/>
      <w:contextualSpacing/>
      <w:outlineLvl w:val="4"/>
    </w:pPr>
    <w:rPr>
      <w:b/>
    </w:rPr>
  </w:style>
  <w:style w:type="paragraph" w:styleId="Heading6">
    <w:name w:val="heading 6"/>
    <w:basedOn w:val="Normal"/>
    <w:next w:val="Normal"/>
    <w:link w:val="Heading6Char"/>
    <w:rsid w:val="0062287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870"/>
    <w:rPr>
      <w:rFonts w:ascii="Calibri" w:eastAsiaTheme="minorEastAsia" w:hAnsi="Calibri" w:cs="Calibri"/>
      <w:color w:val="2E75B5"/>
      <w:sz w:val="32"/>
      <w:szCs w:val="32"/>
      <w:lang w:eastAsia="ja-JP"/>
    </w:rPr>
  </w:style>
  <w:style w:type="character" w:customStyle="1" w:styleId="Heading2Char">
    <w:name w:val="Heading 2 Char"/>
    <w:basedOn w:val="DefaultParagraphFont"/>
    <w:link w:val="Heading2"/>
    <w:rsid w:val="00622870"/>
    <w:rPr>
      <w:rFonts w:ascii="Calibri" w:eastAsiaTheme="minorEastAsia" w:hAnsi="Calibri" w:cs="Calibri"/>
      <w:color w:val="2E75B5"/>
      <w:sz w:val="26"/>
      <w:szCs w:val="26"/>
      <w:lang w:eastAsia="ja-JP"/>
    </w:rPr>
  </w:style>
  <w:style w:type="character" w:customStyle="1" w:styleId="Heading3Char">
    <w:name w:val="Heading 3 Char"/>
    <w:basedOn w:val="DefaultParagraphFont"/>
    <w:link w:val="Heading3"/>
    <w:rsid w:val="00622870"/>
    <w:rPr>
      <w:rFonts w:ascii="Calibri" w:eastAsiaTheme="minorEastAsia" w:hAnsi="Calibri" w:cs="Calibri"/>
      <w:b/>
      <w:color w:val="000000"/>
      <w:sz w:val="28"/>
      <w:szCs w:val="28"/>
      <w:lang w:eastAsia="ja-JP"/>
    </w:rPr>
  </w:style>
  <w:style w:type="character" w:customStyle="1" w:styleId="Heading4Char">
    <w:name w:val="Heading 4 Char"/>
    <w:basedOn w:val="DefaultParagraphFont"/>
    <w:link w:val="Heading4"/>
    <w:rsid w:val="00622870"/>
    <w:rPr>
      <w:rFonts w:ascii="Calibri" w:eastAsiaTheme="minorEastAsia" w:hAnsi="Calibri" w:cs="Calibri"/>
      <w:b/>
      <w:color w:val="000000"/>
      <w:sz w:val="24"/>
      <w:szCs w:val="24"/>
      <w:lang w:eastAsia="ja-JP"/>
    </w:rPr>
  </w:style>
  <w:style w:type="character" w:customStyle="1" w:styleId="Heading5Char">
    <w:name w:val="Heading 5 Char"/>
    <w:basedOn w:val="DefaultParagraphFont"/>
    <w:link w:val="Heading5"/>
    <w:rsid w:val="00622870"/>
    <w:rPr>
      <w:rFonts w:ascii="Calibri" w:eastAsiaTheme="minorEastAsia" w:hAnsi="Calibri" w:cs="Calibri"/>
      <w:b/>
      <w:color w:val="000000"/>
      <w:lang w:eastAsia="ja-JP"/>
    </w:rPr>
  </w:style>
  <w:style w:type="character" w:customStyle="1" w:styleId="Heading6Char">
    <w:name w:val="Heading 6 Char"/>
    <w:basedOn w:val="DefaultParagraphFont"/>
    <w:link w:val="Heading6"/>
    <w:rsid w:val="00622870"/>
    <w:rPr>
      <w:rFonts w:ascii="Calibri" w:eastAsiaTheme="minorEastAsia" w:hAnsi="Calibri" w:cs="Calibri"/>
      <w:b/>
      <w:color w:val="000000"/>
      <w:sz w:val="20"/>
      <w:szCs w:val="20"/>
      <w:lang w:eastAsia="ja-JP"/>
    </w:rPr>
  </w:style>
  <w:style w:type="paragraph" w:styleId="Title">
    <w:name w:val="Title"/>
    <w:basedOn w:val="Normal"/>
    <w:next w:val="Normal"/>
    <w:link w:val="TitleChar"/>
    <w:rsid w:val="00622870"/>
    <w:pPr>
      <w:keepNext/>
      <w:keepLines/>
      <w:spacing w:before="480" w:after="120"/>
      <w:contextualSpacing/>
    </w:pPr>
    <w:rPr>
      <w:b/>
      <w:sz w:val="72"/>
      <w:szCs w:val="72"/>
    </w:rPr>
  </w:style>
  <w:style w:type="character" w:customStyle="1" w:styleId="TitleChar">
    <w:name w:val="Title Char"/>
    <w:basedOn w:val="DefaultParagraphFont"/>
    <w:link w:val="Title"/>
    <w:rsid w:val="00622870"/>
    <w:rPr>
      <w:rFonts w:ascii="Calibri" w:eastAsiaTheme="minorEastAsia" w:hAnsi="Calibri" w:cs="Calibri"/>
      <w:b/>
      <w:color w:val="000000"/>
      <w:sz w:val="72"/>
      <w:szCs w:val="72"/>
      <w:lang w:eastAsia="ja-JP"/>
    </w:rPr>
  </w:style>
  <w:style w:type="paragraph" w:styleId="Subtitle">
    <w:name w:val="Subtitle"/>
    <w:basedOn w:val="Normal"/>
    <w:next w:val="Normal"/>
    <w:link w:val="SubtitleChar"/>
    <w:rsid w:val="00622870"/>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622870"/>
    <w:rPr>
      <w:rFonts w:ascii="Georgia" w:eastAsia="Georgia" w:hAnsi="Georgia" w:cs="Georgia"/>
      <w:i/>
      <w:color w:val="666666"/>
      <w:sz w:val="48"/>
      <w:szCs w:val="48"/>
      <w:lang w:eastAsia="ja-JP"/>
    </w:rPr>
  </w:style>
  <w:style w:type="table" w:customStyle="1" w:styleId="1">
    <w:name w:val="1"/>
    <w:basedOn w:val="TableNormal"/>
    <w:rsid w:val="00622870"/>
    <w:pPr>
      <w:widowControl w:val="0"/>
    </w:pPr>
    <w:rPr>
      <w:rFonts w:ascii="Calibri" w:hAnsi="Calibri" w:cs="Calibri"/>
      <w:color w:val="000000"/>
      <w:lang w:eastAsia="ja-JP"/>
    </w:rPr>
    <w:tblPr>
      <w:tblStyleRowBandSize w:val="1"/>
      <w:tblStyleColBandSize w:val="1"/>
      <w:tblCellMar>
        <w:left w:w="115" w:type="dxa"/>
        <w:right w:w="115" w:type="dxa"/>
      </w:tblCellMar>
    </w:tblPr>
  </w:style>
  <w:style w:type="paragraph" w:customStyle="1" w:styleId="TAMainText">
    <w:name w:val="TA_Main_Text"/>
    <w:basedOn w:val="Normal"/>
    <w:rsid w:val="00622870"/>
    <w:pPr>
      <w:widowControl/>
      <w:spacing w:after="0" w:line="480" w:lineRule="auto"/>
      <w:ind w:firstLine="202"/>
      <w:jc w:val="both"/>
    </w:pPr>
    <w:rPr>
      <w:rFonts w:ascii="Times" w:hAnsi="Times" w:cs="Times New Roman"/>
      <w:color w:val="auto"/>
      <w:sz w:val="24"/>
      <w:szCs w:val="20"/>
      <w:lang w:val="en-US" w:eastAsia="en-US"/>
    </w:rPr>
  </w:style>
  <w:style w:type="character" w:styleId="PlaceholderText">
    <w:name w:val="Placeholder Text"/>
    <w:basedOn w:val="DefaultParagraphFont"/>
    <w:uiPriority w:val="99"/>
    <w:semiHidden/>
    <w:rsid w:val="00622870"/>
    <w:rPr>
      <w:color w:val="808080"/>
    </w:rPr>
  </w:style>
  <w:style w:type="paragraph" w:styleId="BalloonText">
    <w:name w:val="Balloon Text"/>
    <w:basedOn w:val="Normal"/>
    <w:link w:val="BalloonTextChar"/>
    <w:uiPriority w:val="99"/>
    <w:semiHidden/>
    <w:unhideWhenUsed/>
    <w:rsid w:val="006228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870"/>
    <w:rPr>
      <w:rFonts w:ascii="Segoe UI" w:eastAsiaTheme="minorEastAsia" w:hAnsi="Segoe UI" w:cs="Segoe UI"/>
      <w:color w:val="000000"/>
      <w:sz w:val="18"/>
      <w:szCs w:val="18"/>
      <w:lang w:eastAsia="ja-JP"/>
    </w:rPr>
  </w:style>
  <w:style w:type="paragraph" w:styleId="Revision">
    <w:name w:val="Revision"/>
    <w:hidden/>
    <w:uiPriority w:val="99"/>
    <w:semiHidden/>
    <w:rsid w:val="00622870"/>
    <w:pPr>
      <w:spacing w:after="0" w:line="240" w:lineRule="auto"/>
    </w:pPr>
    <w:rPr>
      <w:rFonts w:ascii="Calibri" w:hAnsi="Calibri" w:cs="Calibri"/>
      <w:color w:val="000000"/>
      <w:lang w:eastAsia="ja-JP"/>
    </w:rPr>
  </w:style>
  <w:style w:type="character" w:styleId="CommentReference">
    <w:name w:val="annotation reference"/>
    <w:basedOn w:val="DefaultParagraphFont"/>
    <w:uiPriority w:val="99"/>
    <w:semiHidden/>
    <w:unhideWhenUsed/>
    <w:rsid w:val="00622870"/>
    <w:rPr>
      <w:sz w:val="16"/>
      <w:szCs w:val="16"/>
    </w:rPr>
  </w:style>
  <w:style w:type="paragraph" w:styleId="CommentText">
    <w:name w:val="annotation text"/>
    <w:basedOn w:val="Normal"/>
    <w:link w:val="CommentTextChar"/>
    <w:uiPriority w:val="99"/>
    <w:semiHidden/>
    <w:unhideWhenUsed/>
    <w:rsid w:val="00622870"/>
    <w:pPr>
      <w:spacing w:line="240" w:lineRule="auto"/>
    </w:pPr>
    <w:rPr>
      <w:sz w:val="20"/>
      <w:szCs w:val="20"/>
    </w:rPr>
  </w:style>
  <w:style w:type="character" w:customStyle="1" w:styleId="CommentTextChar">
    <w:name w:val="Comment Text Char"/>
    <w:basedOn w:val="DefaultParagraphFont"/>
    <w:link w:val="CommentText"/>
    <w:uiPriority w:val="99"/>
    <w:semiHidden/>
    <w:rsid w:val="00622870"/>
    <w:rPr>
      <w:rFonts w:ascii="Calibri" w:eastAsiaTheme="minorEastAsia" w:hAnsi="Calibri" w:cs="Calibri"/>
      <w:color w:val="000000"/>
      <w:sz w:val="20"/>
      <w:szCs w:val="20"/>
      <w:lang w:eastAsia="ja-JP"/>
    </w:rPr>
  </w:style>
  <w:style w:type="paragraph" w:styleId="CommentSubject">
    <w:name w:val="annotation subject"/>
    <w:basedOn w:val="CommentText"/>
    <w:next w:val="CommentText"/>
    <w:link w:val="CommentSubjectChar"/>
    <w:uiPriority w:val="99"/>
    <w:semiHidden/>
    <w:unhideWhenUsed/>
    <w:rsid w:val="00622870"/>
    <w:rPr>
      <w:b/>
      <w:bCs/>
    </w:rPr>
  </w:style>
  <w:style w:type="character" w:customStyle="1" w:styleId="CommentSubjectChar">
    <w:name w:val="Comment Subject Char"/>
    <w:basedOn w:val="CommentTextChar"/>
    <w:link w:val="CommentSubject"/>
    <w:uiPriority w:val="99"/>
    <w:semiHidden/>
    <w:rsid w:val="00622870"/>
    <w:rPr>
      <w:rFonts w:ascii="Calibri" w:eastAsiaTheme="minorEastAsia" w:hAnsi="Calibri" w:cs="Calibri"/>
      <w:b/>
      <w:bCs/>
      <w:color w:val="000000"/>
      <w:sz w:val="20"/>
      <w:szCs w:val="20"/>
      <w:lang w:eastAsia="ja-JP"/>
    </w:rPr>
  </w:style>
  <w:style w:type="paragraph" w:styleId="ListParagraph">
    <w:name w:val="List Paragraph"/>
    <w:basedOn w:val="Normal"/>
    <w:uiPriority w:val="34"/>
    <w:qFormat/>
    <w:rsid w:val="00B90C17"/>
    <w:pPr>
      <w:ind w:left="720"/>
      <w:contextualSpacing/>
    </w:pPr>
  </w:style>
  <w:style w:type="character" w:styleId="Hyperlink">
    <w:name w:val="Hyperlink"/>
    <w:basedOn w:val="DefaultParagraphFont"/>
    <w:uiPriority w:val="99"/>
    <w:unhideWhenUsed/>
    <w:rsid w:val="00D73D33"/>
    <w:rPr>
      <w:color w:val="0563C1" w:themeColor="hyperlink"/>
      <w:u w:val="single"/>
    </w:rPr>
  </w:style>
  <w:style w:type="paragraph" w:styleId="Header">
    <w:name w:val="header"/>
    <w:basedOn w:val="Normal"/>
    <w:link w:val="HeaderChar"/>
    <w:uiPriority w:val="99"/>
    <w:unhideWhenUsed/>
    <w:rsid w:val="00C61409"/>
    <w:pPr>
      <w:tabs>
        <w:tab w:val="center" w:pos="4252"/>
        <w:tab w:val="right" w:pos="8504"/>
      </w:tabs>
      <w:snapToGrid w:val="0"/>
    </w:pPr>
  </w:style>
  <w:style w:type="character" w:customStyle="1" w:styleId="HeaderChar">
    <w:name w:val="Header Char"/>
    <w:basedOn w:val="DefaultParagraphFont"/>
    <w:link w:val="Header"/>
    <w:uiPriority w:val="99"/>
    <w:rsid w:val="00C61409"/>
    <w:rPr>
      <w:rFonts w:ascii="Calibri" w:hAnsi="Calibri" w:cs="Calibri"/>
      <w:color w:val="000000"/>
      <w:lang w:eastAsia="ja-JP"/>
    </w:rPr>
  </w:style>
  <w:style w:type="paragraph" w:styleId="Footer">
    <w:name w:val="footer"/>
    <w:basedOn w:val="Normal"/>
    <w:link w:val="FooterChar"/>
    <w:uiPriority w:val="99"/>
    <w:unhideWhenUsed/>
    <w:rsid w:val="00C61409"/>
    <w:pPr>
      <w:tabs>
        <w:tab w:val="center" w:pos="4252"/>
        <w:tab w:val="right" w:pos="8504"/>
      </w:tabs>
      <w:snapToGrid w:val="0"/>
    </w:pPr>
  </w:style>
  <w:style w:type="character" w:customStyle="1" w:styleId="FooterChar">
    <w:name w:val="Footer Char"/>
    <w:basedOn w:val="DefaultParagraphFont"/>
    <w:link w:val="Footer"/>
    <w:uiPriority w:val="99"/>
    <w:rsid w:val="00C61409"/>
    <w:rPr>
      <w:rFonts w:ascii="Calibri" w:hAnsi="Calibri" w:cs="Calibri"/>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2376">
      <w:bodyDiv w:val="1"/>
      <w:marLeft w:val="0"/>
      <w:marRight w:val="0"/>
      <w:marTop w:val="0"/>
      <w:marBottom w:val="0"/>
      <w:divBdr>
        <w:top w:val="none" w:sz="0" w:space="0" w:color="auto"/>
        <w:left w:val="none" w:sz="0" w:space="0" w:color="auto"/>
        <w:bottom w:val="none" w:sz="0" w:space="0" w:color="auto"/>
        <w:right w:val="none" w:sz="0" w:space="0" w:color="auto"/>
      </w:divBdr>
    </w:div>
    <w:div w:id="190201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om\Google%20Drive\Y1%20PHD\Hofmeister%20study\Calculations\Figure%20production\Preferential%20interaction%20Figure%202.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om\Google%20Drive\Y1%20PHD\Hofmeister%20study\Calculations\Figure%20production\Figure%205%20Aggregation%20parameter.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320747750567901"/>
          <c:y val="5.6847545219638203E-2"/>
          <c:w val="0.55704078274619295"/>
          <c:h val="0.67701153634865396"/>
        </c:manualLayout>
      </c:layout>
      <c:scatterChart>
        <c:scatterStyle val="lineMarker"/>
        <c:varyColors val="0"/>
        <c:ser>
          <c:idx val="0"/>
          <c:order val="0"/>
          <c:tx>
            <c:v>KCl</c:v>
          </c:tx>
          <c:spPr>
            <a:ln w="25400" cap="rnd">
              <a:noFill/>
              <a:round/>
            </a:ln>
            <a:effectLst/>
          </c:spPr>
          <c:marker>
            <c:symbol val="square"/>
            <c:size val="6"/>
            <c:spPr>
              <a:solidFill>
                <a:schemeClr val="accent1"/>
              </a:solidFill>
              <a:ln w="9525">
                <a:solidFill>
                  <a:schemeClr val="accent1"/>
                </a:solidFill>
              </a:ln>
              <a:effectLst/>
            </c:spPr>
          </c:marker>
          <c:xVal>
            <c:numRef>
              <c:f>'[Chart in Microsoft Word]KCL'!$B$2:$B$11</c:f>
              <c:numCache>
                <c:formatCode>0.00</c:formatCode>
                <c:ptCount val="10"/>
                <c:pt idx="0">
                  <c:v>0</c:v>
                </c:pt>
                <c:pt idx="1">
                  <c:v>0.54683093454495602</c:v>
                </c:pt>
                <c:pt idx="2">
                  <c:v>1.0836046080782671</c:v>
                </c:pt>
                <c:pt idx="3">
                  <c:v>1.610904710049148</c:v>
                </c:pt>
                <c:pt idx="4">
                  <c:v>2.1292706199553759</c:v>
                </c:pt>
                <c:pt idx="5">
                  <c:v>2.6392015336902261</c:v>
                </c:pt>
                <c:pt idx="6">
                  <c:v>3.1411601372033799</c:v>
                </c:pt>
                <c:pt idx="7">
                  <c:v>3.6355758843748731</c:v>
                </c:pt>
                <c:pt idx="8">
                  <c:v>4.1228479279721064</c:v>
                </c:pt>
                <c:pt idx="9">
                  <c:v>5.0774214982813231</c:v>
                </c:pt>
              </c:numCache>
            </c:numRef>
          </c:xVal>
          <c:yVal>
            <c:numRef>
              <c:f>'[Chart in Microsoft Word]KCL'!$C$2:$C$11</c:f>
              <c:numCache>
                <c:formatCode>0.000</c:formatCode>
                <c:ptCount val="10"/>
                <c:pt idx="0">
                  <c:v>0.39439999999999997</c:v>
                </c:pt>
                <c:pt idx="1">
                  <c:v>0.3911</c:v>
                </c:pt>
                <c:pt idx="2">
                  <c:v>0.38829999999999998</c:v>
                </c:pt>
                <c:pt idx="3">
                  <c:v>0.38169999999999998</c:v>
                </c:pt>
                <c:pt idx="4">
                  <c:v>0.37559999999999999</c:v>
                </c:pt>
                <c:pt idx="5">
                  <c:v>0.3695</c:v>
                </c:pt>
                <c:pt idx="6">
                  <c:v>0.3629</c:v>
                </c:pt>
                <c:pt idx="7">
                  <c:v>0.35460000000000003</c:v>
                </c:pt>
                <c:pt idx="8">
                  <c:v>0.34639999999999999</c:v>
                </c:pt>
                <c:pt idx="9">
                  <c:v>0.32540000000000002</c:v>
                </c:pt>
              </c:numCache>
            </c:numRef>
          </c:yVal>
          <c:smooth val="0"/>
          <c:extLst>
            <c:ext xmlns:c16="http://schemas.microsoft.com/office/drawing/2014/chart" uri="{C3380CC4-5D6E-409C-BE32-E72D297353CC}">
              <c16:uniqueId val="{00000000-5E38-442C-9AF5-76DB9C105D9C}"/>
            </c:ext>
          </c:extLst>
        </c:ser>
        <c:ser>
          <c:idx val="1"/>
          <c:order val="1"/>
          <c:tx>
            <c:v>LiCl</c:v>
          </c:tx>
          <c:spPr>
            <a:ln w="25400" cap="rnd">
              <a:noFill/>
              <a:round/>
            </a:ln>
            <a:effectLst/>
          </c:spPr>
          <c:marker>
            <c:symbol val="diamond"/>
            <c:size val="6"/>
            <c:spPr>
              <a:solidFill>
                <a:schemeClr val="accent4"/>
              </a:solidFill>
              <a:ln w="9525">
                <a:solidFill>
                  <a:schemeClr val="accent4"/>
                </a:solidFill>
              </a:ln>
              <a:effectLst/>
            </c:spPr>
          </c:marker>
          <c:xVal>
            <c:numRef>
              <c:f>'[Chart in Microsoft Word]LiCl'!$B$2:$B$11</c:f>
              <c:numCache>
                <c:formatCode>0.00</c:formatCode>
                <c:ptCount val="10"/>
                <c:pt idx="0">
                  <c:v>0</c:v>
                </c:pt>
                <c:pt idx="1">
                  <c:v>0.54812069497857596</c:v>
                </c:pt>
                <c:pt idx="2">
                  <c:v>1.0899304633428899</c:v>
                </c:pt>
                <c:pt idx="3">
                  <c:v>1.6256429322924371</c:v>
                </c:pt>
                <c:pt idx="4">
                  <c:v>2.155462194792896</c:v>
                </c:pt>
                <c:pt idx="5">
                  <c:v>2.6795833356009511</c:v>
                </c:pt>
                <c:pt idx="6">
                  <c:v>3.1981929228428272</c:v>
                </c:pt>
                <c:pt idx="7">
                  <c:v>3.7114694677498381</c:v>
                </c:pt>
                <c:pt idx="8">
                  <c:v>4.219583854931658</c:v>
                </c:pt>
                <c:pt idx="9">
                  <c:v>5.2209739541076461</c:v>
                </c:pt>
              </c:numCache>
            </c:numRef>
          </c:xVal>
          <c:yVal>
            <c:numRef>
              <c:f>'[Chart in Microsoft Word]LiCl'!$C$2:$C$11</c:f>
              <c:numCache>
                <c:formatCode>0.000</c:formatCode>
                <c:ptCount val="10"/>
                <c:pt idx="0">
                  <c:v>0.39379999999999998</c:v>
                </c:pt>
                <c:pt idx="1">
                  <c:v>0.39729999999999999</c:v>
                </c:pt>
                <c:pt idx="2">
                  <c:v>0.39939999999999998</c:v>
                </c:pt>
                <c:pt idx="3">
                  <c:v>0.40239999999999998</c:v>
                </c:pt>
                <c:pt idx="4">
                  <c:v>0.4083</c:v>
                </c:pt>
                <c:pt idx="5">
                  <c:v>0.4148</c:v>
                </c:pt>
                <c:pt idx="6">
                  <c:v>0.4204</c:v>
                </c:pt>
                <c:pt idx="7">
                  <c:v>0.42659999999999998</c:v>
                </c:pt>
                <c:pt idx="8">
                  <c:v>0.42870000000000003</c:v>
                </c:pt>
                <c:pt idx="9">
                  <c:v>0.43759999999999999</c:v>
                </c:pt>
              </c:numCache>
            </c:numRef>
          </c:yVal>
          <c:smooth val="0"/>
          <c:extLst>
            <c:ext xmlns:c16="http://schemas.microsoft.com/office/drawing/2014/chart" uri="{C3380CC4-5D6E-409C-BE32-E72D297353CC}">
              <c16:uniqueId val="{00000001-5E38-442C-9AF5-76DB9C105D9C}"/>
            </c:ext>
          </c:extLst>
        </c:ser>
        <c:ser>
          <c:idx val="2"/>
          <c:order val="2"/>
          <c:tx>
            <c:v>NaCl</c:v>
          </c:tx>
          <c:spPr>
            <a:ln w="25400" cap="rnd">
              <a:noFill/>
              <a:round/>
            </a:ln>
            <a:effectLst/>
          </c:spPr>
          <c:marker>
            <c:symbol val="circle"/>
            <c:size val="6"/>
            <c:spPr>
              <a:solidFill>
                <a:schemeClr val="accent6"/>
              </a:solidFill>
              <a:ln w="9525">
                <a:solidFill>
                  <a:schemeClr val="accent6"/>
                </a:solidFill>
              </a:ln>
              <a:effectLst/>
            </c:spPr>
          </c:marker>
          <c:xVal>
            <c:numRef>
              <c:f>'[Chart in Microsoft Word]NaCl'!$B$2:$B$11</c:f>
              <c:numCache>
                <c:formatCode>0.00</c:formatCode>
                <c:ptCount val="10"/>
                <c:pt idx="0">
                  <c:v>0</c:v>
                </c:pt>
                <c:pt idx="1">
                  <c:v>0.54820312247694702</c:v>
                </c:pt>
                <c:pt idx="2">
                  <c:v>1.0897753064617719</c:v>
                </c:pt>
                <c:pt idx="3">
                  <c:v>1.619699941185982</c:v>
                </c:pt>
                <c:pt idx="4">
                  <c:v>2.1510726007078702</c:v>
                </c:pt>
                <c:pt idx="5">
                  <c:v>2.664131673478547</c:v>
                </c:pt>
                <c:pt idx="6">
                  <c:v>3.185289570682869</c:v>
                </c:pt>
                <c:pt idx="7">
                  <c:v>3.7000838476156259</c:v>
                </c:pt>
                <c:pt idx="8">
                  <c:v>4.2107951303479618</c:v>
                </c:pt>
                <c:pt idx="9">
                  <c:v>5.2167408188323501</c:v>
                </c:pt>
              </c:numCache>
            </c:numRef>
          </c:xVal>
          <c:yVal>
            <c:numRef>
              <c:f>'[Chart in Microsoft Word]NaCl'!$C$2:$C$11</c:f>
              <c:numCache>
                <c:formatCode>0.0000</c:formatCode>
                <c:ptCount val="10"/>
                <c:pt idx="0">
                  <c:v>0.39439999999999997</c:v>
                </c:pt>
                <c:pt idx="1">
                  <c:v>0.39500000000000002</c:v>
                </c:pt>
                <c:pt idx="2">
                  <c:v>0.39729999999999999</c:v>
                </c:pt>
                <c:pt idx="3">
                  <c:v>0.4</c:v>
                </c:pt>
                <c:pt idx="4">
                  <c:v>0.40029999999999999</c:v>
                </c:pt>
                <c:pt idx="5">
                  <c:v>0.40329999999999999</c:v>
                </c:pt>
                <c:pt idx="6">
                  <c:v>0.40360000000000001</c:v>
                </c:pt>
                <c:pt idx="7">
                  <c:v>0.40620000000000001</c:v>
                </c:pt>
                <c:pt idx="8">
                  <c:v>0.40920000000000001</c:v>
                </c:pt>
                <c:pt idx="9">
                  <c:v>0.41270000000000001</c:v>
                </c:pt>
              </c:numCache>
            </c:numRef>
          </c:yVal>
          <c:smooth val="0"/>
          <c:extLst>
            <c:ext xmlns:c16="http://schemas.microsoft.com/office/drawing/2014/chart" uri="{C3380CC4-5D6E-409C-BE32-E72D297353CC}">
              <c16:uniqueId val="{00000002-5E38-442C-9AF5-76DB9C105D9C}"/>
            </c:ext>
          </c:extLst>
        </c:ser>
        <c:ser>
          <c:idx val="3"/>
          <c:order val="3"/>
          <c:tx>
            <c:v>ZnCl2</c:v>
          </c:tx>
          <c:spPr>
            <a:ln w="25400" cap="rnd">
              <a:noFill/>
              <a:round/>
            </a:ln>
            <a:effectLst/>
          </c:spPr>
          <c:marker>
            <c:symbol val="triangle"/>
            <c:size val="6"/>
            <c:spPr>
              <a:solidFill>
                <a:schemeClr val="accent2"/>
              </a:solidFill>
              <a:ln w="9525">
                <a:solidFill>
                  <a:schemeClr val="accent2"/>
                </a:solidFill>
              </a:ln>
              <a:effectLst/>
            </c:spPr>
          </c:marker>
          <c:xVal>
            <c:numRef>
              <c:f>'[Chart in Microsoft Word]ZnCl2'!$C$2:$C$11</c:f>
              <c:numCache>
                <c:formatCode>0.000</c:formatCode>
                <c:ptCount val="10"/>
                <c:pt idx="0">
                  <c:v>0</c:v>
                </c:pt>
                <c:pt idx="1">
                  <c:v>0.40910990459777902</c:v>
                </c:pt>
                <c:pt idx="2">
                  <c:v>0.84549313210691601</c:v>
                </c:pt>
                <c:pt idx="3">
                  <c:v>1.2539638968578151</c:v>
                </c:pt>
                <c:pt idx="4">
                  <c:v>1.689746723926802</c:v>
                </c:pt>
                <c:pt idx="5">
                  <c:v>2.119208611071814</c:v>
                </c:pt>
                <c:pt idx="6">
                  <c:v>2.575654255155829</c:v>
                </c:pt>
                <c:pt idx="7">
                  <c:v>3.0147488435651701</c:v>
                </c:pt>
                <c:pt idx="8">
                  <c:v>3.4701956583666531</c:v>
                </c:pt>
                <c:pt idx="9">
                  <c:v>4.39504648403347</c:v>
                </c:pt>
              </c:numCache>
            </c:numRef>
          </c:xVal>
          <c:yVal>
            <c:numRef>
              <c:f>'[Chart in Microsoft Word]ZnCl2'!$D$2:$D$11</c:f>
              <c:numCache>
                <c:formatCode>0.000</c:formatCode>
                <c:ptCount val="10"/>
                <c:pt idx="0">
                  <c:v>0.39400000000000002</c:v>
                </c:pt>
                <c:pt idx="1">
                  <c:v>0.40050000000000002</c:v>
                </c:pt>
                <c:pt idx="2">
                  <c:v>0.40820000000000001</c:v>
                </c:pt>
                <c:pt idx="3">
                  <c:v>0.41760000000000003</c:v>
                </c:pt>
                <c:pt idx="4">
                  <c:v>0.42799999999999999</c:v>
                </c:pt>
                <c:pt idx="5">
                  <c:v>0.43680000000000002</c:v>
                </c:pt>
                <c:pt idx="6">
                  <c:v>0.44669999999999999</c:v>
                </c:pt>
                <c:pt idx="7">
                  <c:v>0.4582</c:v>
                </c:pt>
                <c:pt idx="8">
                  <c:v>0.4703</c:v>
                </c:pt>
                <c:pt idx="9">
                  <c:v>0.49070000000000003</c:v>
                </c:pt>
              </c:numCache>
            </c:numRef>
          </c:yVal>
          <c:smooth val="0"/>
          <c:extLst>
            <c:ext xmlns:c16="http://schemas.microsoft.com/office/drawing/2014/chart" uri="{C3380CC4-5D6E-409C-BE32-E72D297353CC}">
              <c16:uniqueId val="{00000003-5E38-442C-9AF5-76DB9C105D9C}"/>
            </c:ext>
          </c:extLst>
        </c:ser>
        <c:dLbls>
          <c:showLegendKey val="0"/>
          <c:showVal val="0"/>
          <c:showCatName val="0"/>
          <c:showSerName val="0"/>
          <c:showPercent val="0"/>
          <c:showBubbleSize val="0"/>
        </c:dLbls>
        <c:axId val="-66456784"/>
        <c:axId val="-29492032"/>
      </c:scatterChart>
      <c:valAx>
        <c:axId val="-66456784"/>
        <c:scaling>
          <c:orientation val="minMax"/>
          <c:max val="6"/>
          <c:min val="0"/>
        </c:scaling>
        <c:delete val="0"/>
        <c:axPos val="b"/>
        <c:title>
          <c:tx>
            <c:rich>
              <a:bodyPr rot="0" spcFirstLastPara="1" vertOverflow="ellipsis" vert="horz" wrap="square" anchor="ctr" anchorCtr="1"/>
              <a:lstStyle/>
              <a:p>
                <a:pPr>
                  <a:defRPr lang="ja-JP" sz="1200" b="0" i="0" u="none" strike="noStrike" kern="1200" baseline="0">
                    <a:solidFill>
                      <a:schemeClr val="tx1">
                        <a:lumMod val="65000"/>
                        <a:lumOff val="35000"/>
                      </a:schemeClr>
                    </a:solidFill>
                    <a:latin typeface="+mn-lt"/>
                    <a:ea typeface="+mn-ea"/>
                    <a:cs typeface="+mn-cs"/>
                  </a:defRPr>
                </a:pPr>
                <a:r>
                  <a:rPr lang="en-GB" sz="1200" b="0" i="0" baseline="0">
                    <a:effectLst/>
                  </a:rPr>
                  <a:t>Ion concentration c</a:t>
                </a:r>
                <a:r>
                  <a:rPr lang="en-GB" sz="1200" b="0" i="0" baseline="-25000">
                    <a:effectLst/>
                  </a:rPr>
                  <a:t>s</a:t>
                </a:r>
                <a:r>
                  <a:rPr lang="en-GB" sz="1200" b="0" i="0" baseline="0">
                    <a:effectLst/>
                  </a:rPr>
                  <a:t> </a:t>
                </a:r>
                <a:endParaRPr lang="en-GB" sz="1200">
                  <a:effectLst/>
                </a:endParaRPr>
              </a:p>
              <a:p>
                <a:pPr>
                  <a:defRPr lang="ja-JP" sz="1200"/>
                </a:pPr>
                <a:r>
                  <a:rPr lang="en-GB" sz="1200" b="0" i="0" baseline="0">
                    <a:effectLst/>
                  </a:rPr>
                  <a:t>(mol dm</a:t>
                </a:r>
                <a:r>
                  <a:rPr lang="en-GB" sz="1200" b="0" i="0" baseline="30000">
                    <a:effectLst/>
                  </a:rPr>
                  <a:t>-3</a:t>
                </a:r>
                <a:r>
                  <a:rPr lang="en-GB" sz="1200" b="0" i="0" baseline="0">
                    <a:effectLst/>
                  </a:rPr>
                  <a:t>)</a:t>
                </a:r>
                <a:endParaRPr lang="en-GB" sz="1200">
                  <a:effectLst/>
                </a:endParaRPr>
              </a:p>
            </c:rich>
          </c:tx>
          <c:layout>
            <c:manualLayout>
              <c:xMode val="edge"/>
              <c:yMode val="edge"/>
              <c:x val="0.27656978657484299"/>
              <c:y val="0.81240310077519395"/>
            </c:manualLayout>
          </c:layout>
          <c:overlay val="0"/>
          <c:spPr>
            <a:noFill/>
            <a:ln>
              <a:noFill/>
            </a:ln>
            <a:effectLst/>
          </c:spPr>
          <c:txPr>
            <a:bodyPr rot="0" spcFirstLastPara="1" vertOverflow="ellipsis" vert="horz" wrap="square" anchor="ctr" anchorCtr="1"/>
            <a:lstStyle/>
            <a:p>
              <a:pPr>
                <a:defRPr lang="ja-JP"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29492032"/>
        <c:crosses val="autoZero"/>
        <c:crossBetween val="midCat"/>
        <c:majorUnit val="5"/>
        <c:minorUnit val="1"/>
      </c:valAx>
      <c:valAx>
        <c:axId val="-29492032"/>
        <c:scaling>
          <c:orientation val="minMax"/>
          <c:max val="0.5"/>
          <c:min val="0.3"/>
        </c:scaling>
        <c:delete val="0"/>
        <c:axPos val="l"/>
        <c:title>
          <c:tx>
            <c:rich>
              <a:bodyPr rot="-5400000" spcFirstLastPara="1" vertOverflow="ellipsis" vert="horz" wrap="square" anchor="ctr" anchorCtr="1"/>
              <a:lstStyle/>
              <a:p>
                <a:pPr>
                  <a:defRPr lang="ja-JP" sz="1100" b="0" i="0" u="none" strike="noStrike" kern="1200" baseline="0">
                    <a:solidFill>
                      <a:schemeClr val="tx1">
                        <a:lumMod val="65000"/>
                        <a:lumOff val="35000"/>
                      </a:schemeClr>
                    </a:solidFill>
                    <a:latin typeface="+mn-lt"/>
                    <a:ea typeface="+mn-ea"/>
                    <a:cs typeface="+mn-cs"/>
                  </a:defRPr>
                </a:pPr>
                <a:r>
                  <a:rPr lang="en-GB" sz="1100" b="0" i="0" baseline="0">
                    <a:effectLst/>
                  </a:rPr>
                  <a:t>Solubility of cellobiose (c</a:t>
                </a:r>
                <a:r>
                  <a:rPr lang="en-GB" sz="1100" b="0" i="0" baseline="-25000">
                    <a:effectLst/>
                  </a:rPr>
                  <a:t>c</a:t>
                </a:r>
                <a:r>
                  <a:rPr lang="en-GB" sz="1100" b="0" i="0" baseline="0">
                    <a:effectLst/>
                  </a:rPr>
                  <a:t>)  </a:t>
                </a:r>
              </a:p>
              <a:p>
                <a:pPr>
                  <a:defRPr lang="ja-JP" sz="1100"/>
                </a:pPr>
                <a:r>
                  <a:rPr lang="en-GB" sz="1100" b="0" i="0" baseline="0">
                    <a:effectLst/>
                  </a:rPr>
                  <a:t>(mol dm</a:t>
                </a:r>
                <a:r>
                  <a:rPr lang="en-GB" sz="1100" b="0" i="0" baseline="30000">
                    <a:effectLst/>
                  </a:rPr>
                  <a:t>-3</a:t>
                </a:r>
                <a:r>
                  <a:rPr lang="en-GB" sz="1100" b="0" i="0" baseline="0">
                    <a:effectLst/>
                  </a:rPr>
                  <a:t>)</a:t>
                </a:r>
                <a:endParaRPr lang="en-GB" sz="1100">
                  <a:effectLst/>
                </a:endParaRPr>
              </a:p>
            </c:rich>
          </c:tx>
          <c:overlay val="0"/>
          <c:spPr>
            <a:noFill/>
            <a:ln>
              <a:noFill/>
            </a:ln>
            <a:effectLst/>
          </c:spPr>
          <c:txPr>
            <a:bodyPr rot="-5400000" spcFirstLastPara="1" vertOverflow="ellipsis" vert="horz" wrap="square" anchor="ctr" anchorCtr="1"/>
            <a:lstStyle/>
            <a:p>
              <a:pPr>
                <a:defRPr lang="ja-JP" sz="11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out"/>
        <c:minorTickMark val="out"/>
        <c:tickLblPos val="nextTo"/>
        <c:spPr>
          <a:noFill/>
          <a:ln>
            <a:solidFill>
              <a:schemeClr val="tx1"/>
            </a:solidFill>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66456784"/>
        <c:crosses val="autoZero"/>
        <c:crossBetween val="midCat"/>
        <c:majorUnit val="0.1"/>
      </c:valAx>
      <c:spPr>
        <a:noFill/>
        <a:ln>
          <a:solidFill>
            <a:sysClr val="windowText" lastClr="000000"/>
          </a:solidFill>
        </a:ln>
        <a:effectLst/>
      </c:spPr>
    </c:plotArea>
    <c:legend>
      <c:legendPos val="r"/>
      <c:layout>
        <c:manualLayout>
          <c:xMode val="edge"/>
          <c:yMode val="edge"/>
          <c:x val="0.85216467207654101"/>
          <c:y val="0.16020549756861799"/>
          <c:w val="0.14783532792345899"/>
          <c:h val="0.348839650857596"/>
        </c:manualLayout>
      </c:layout>
      <c:overlay val="0"/>
      <c:spPr>
        <a:noFill/>
        <a:ln>
          <a:noFill/>
        </a:ln>
        <a:effectLst/>
      </c:spPr>
      <c:txPr>
        <a:bodyPr rot="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5633449044676"/>
          <c:y val="8.6821363937465798E-2"/>
          <c:w val="0.54603928541190405"/>
          <c:h val="0.60241940911232195"/>
        </c:manualLayout>
      </c:layout>
      <c:scatterChart>
        <c:scatterStyle val="lineMarker"/>
        <c:varyColors val="0"/>
        <c:ser>
          <c:idx val="0"/>
          <c:order val="0"/>
          <c:tx>
            <c:v>NaCl</c:v>
          </c:tx>
          <c:spPr>
            <a:ln w="25400" cap="rnd">
              <a:solidFill>
                <a:schemeClr val="accent6"/>
              </a:solidFill>
              <a:round/>
            </a:ln>
            <a:effectLst/>
          </c:spPr>
          <c:marker>
            <c:symbol val="none"/>
          </c:marker>
          <c:xVal>
            <c:numRef>
              <c:f>NaCl!$K$2:$K$11</c:f>
              <c:numCache>
                <c:formatCode>0.000</c:formatCode>
                <c:ptCount val="10"/>
                <c:pt idx="0">
                  <c:v>0</c:v>
                </c:pt>
                <c:pt idx="1">
                  <c:v>0.550516884422109</c:v>
                </c:pt>
                <c:pt idx="2">
                  <c:v>1.0947585508459949</c:v>
                </c:pt>
                <c:pt idx="3">
                  <c:v>1.6195471819124101</c:v>
                </c:pt>
                <c:pt idx="4">
                  <c:v>2.1512065754615581</c:v>
                </c:pt>
                <c:pt idx="5">
                  <c:v>2.664403175445003</c:v>
                </c:pt>
                <c:pt idx="6">
                  <c:v>3.1853886096980371</c:v>
                </c:pt>
                <c:pt idx="7">
                  <c:v>3.699538029716237</c:v>
                </c:pt>
                <c:pt idx="8">
                  <c:v>4.2089841148920613</c:v>
                </c:pt>
                <c:pt idx="9">
                  <c:v>5.2100209523809564</c:v>
                </c:pt>
              </c:numCache>
            </c:numRef>
          </c:xVal>
          <c:yVal>
            <c:numRef>
              <c:f>NaCl!$Q$2:$Q$11</c:f>
              <c:numCache>
                <c:formatCode>General</c:formatCode>
                <c:ptCount val="10"/>
                <c:pt idx="0">
                  <c:v>13.577683226115621</c:v>
                </c:pt>
                <c:pt idx="1">
                  <c:v>14.575382148854899</c:v>
                </c:pt>
                <c:pt idx="2">
                  <c:v>15.57443520379797</c:v>
                </c:pt>
                <c:pt idx="3">
                  <c:v>16.550015460980919</c:v>
                </c:pt>
                <c:pt idx="4">
                  <c:v>17.55087779896272</c:v>
                </c:pt>
                <c:pt idx="5">
                  <c:v>18.529175047677189</c:v>
                </c:pt>
                <c:pt idx="6">
                  <c:v>19.534827448198339</c:v>
                </c:pt>
                <c:pt idx="7">
                  <c:v>20.539897942837811</c:v>
                </c:pt>
                <c:pt idx="8">
                  <c:v>21.548393808200821</c:v>
                </c:pt>
                <c:pt idx="9">
                  <c:v>23.5676595396198</c:v>
                </c:pt>
              </c:numCache>
            </c:numRef>
          </c:yVal>
          <c:smooth val="0"/>
          <c:extLst>
            <c:ext xmlns:c16="http://schemas.microsoft.com/office/drawing/2014/chart" uri="{C3380CC4-5D6E-409C-BE32-E72D297353CC}">
              <c16:uniqueId val="{00000001-E088-4C48-99E7-94B207B43909}"/>
            </c:ext>
          </c:extLst>
        </c:ser>
        <c:ser>
          <c:idx val="1"/>
          <c:order val="1"/>
          <c:tx>
            <c:v>KCl</c:v>
          </c:tx>
          <c:spPr>
            <a:ln w="25400" cap="rnd">
              <a:solidFill>
                <a:schemeClr val="tx2"/>
              </a:solidFill>
              <a:round/>
            </a:ln>
            <a:effectLst/>
          </c:spPr>
          <c:marker>
            <c:symbol val="none"/>
          </c:marker>
          <c:xVal>
            <c:numRef>
              <c:f>KCl!$K$2:$K$11</c:f>
              <c:numCache>
                <c:formatCode>0.000</c:formatCode>
                <c:ptCount val="10"/>
                <c:pt idx="0">
                  <c:v>0</c:v>
                </c:pt>
                <c:pt idx="1">
                  <c:v>0.54783796019900399</c:v>
                </c:pt>
                <c:pt idx="2">
                  <c:v>1.1019646464646511</c:v>
                </c:pt>
                <c:pt idx="3">
                  <c:v>1.629669310344823</c:v>
                </c:pt>
                <c:pt idx="4">
                  <c:v>2.1637984313725558</c:v>
                </c:pt>
                <c:pt idx="5">
                  <c:v>2.693491463414631</c:v>
                </c:pt>
                <c:pt idx="6">
                  <c:v>3.2188130097087391</c:v>
                </c:pt>
                <c:pt idx="7">
                  <c:v>3.7398264251207771</c:v>
                </c:pt>
                <c:pt idx="8">
                  <c:v>4.2565938461538479</c:v>
                </c:pt>
                <c:pt idx="9">
                  <c:v>5.2776333333333421</c:v>
                </c:pt>
              </c:numCache>
            </c:numRef>
          </c:xVal>
          <c:yVal>
            <c:numRef>
              <c:f>KCl!$Q$2:$Q$11</c:f>
              <c:numCache>
                <c:formatCode>General</c:formatCode>
                <c:ptCount val="10"/>
                <c:pt idx="0">
                  <c:v>-18.303100803373429</c:v>
                </c:pt>
                <c:pt idx="1">
                  <c:v>-28.08467986729924</c:v>
                </c:pt>
                <c:pt idx="2">
                  <c:v>-38.04933520938269</c:v>
                </c:pt>
                <c:pt idx="3">
                  <c:v>-47.60556427069254</c:v>
                </c:pt>
                <c:pt idx="4">
                  <c:v>-57.344930465415942</c:v>
                </c:pt>
                <c:pt idx="5">
                  <c:v>-67.070286413092447</c:v>
                </c:pt>
                <c:pt idx="6">
                  <c:v>-76.781662322968117</c:v>
                </c:pt>
                <c:pt idx="7">
                  <c:v>-86.479088317501024</c:v>
                </c:pt>
                <c:pt idx="8">
                  <c:v>-96.1625944326737</c:v>
                </c:pt>
                <c:pt idx="9">
                  <c:v>-115.4879667383378</c:v>
                </c:pt>
              </c:numCache>
            </c:numRef>
          </c:yVal>
          <c:smooth val="0"/>
          <c:extLst>
            <c:ext xmlns:c16="http://schemas.microsoft.com/office/drawing/2014/chart" uri="{C3380CC4-5D6E-409C-BE32-E72D297353CC}">
              <c16:uniqueId val="{00000003-E088-4C48-99E7-94B207B43909}"/>
            </c:ext>
          </c:extLst>
        </c:ser>
        <c:ser>
          <c:idx val="2"/>
          <c:order val="2"/>
          <c:tx>
            <c:v>LiCl</c:v>
          </c:tx>
          <c:spPr>
            <a:ln w="25400" cap="rnd">
              <a:solidFill>
                <a:schemeClr val="accent4"/>
              </a:solidFill>
              <a:round/>
            </a:ln>
            <a:effectLst/>
          </c:spPr>
          <c:marker>
            <c:symbol val="none"/>
          </c:marker>
          <c:xVal>
            <c:numRef>
              <c:f>LiCl!$N$2:$N$11</c:f>
              <c:numCache>
                <c:formatCode>0.000</c:formatCode>
                <c:ptCount val="10"/>
                <c:pt idx="0">
                  <c:v>0</c:v>
                </c:pt>
                <c:pt idx="1">
                  <c:v>0.54816289289577502</c:v>
                </c:pt>
                <c:pt idx="2">
                  <c:v>1.0853858329539461</c:v>
                </c:pt>
                <c:pt idx="3">
                  <c:v>1.599434658946606</c:v>
                </c:pt>
                <c:pt idx="4">
                  <c:v>2.1163268655886469</c:v>
                </c:pt>
                <c:pt idx="5">
                  <c:v>2.6247567221891761</c:v>
                </c:pt>
                <c:pt idx="6">
                  <c:v>3.111283691808266</c:v>
                </c:pt>
                <c:pt idx="7">
                  <c:v>3.6011278841839252</c:v>
                </c:pt>
                <c:pt idx="8">
                  <c:v>4.0835842006469338</c:v>
                </c:pt>
                <c:pt idx="9">
                  <c:v>5.0238732426303869</c:v>
                </c:pt>
              </c:numCache>
            </c:numRef>
          </c:xVal>
          <c:yVal>
            <c:numRef>
              <c:f>LiCl!$T$2:$T$11</c:f>
              <c:numCache>
                <c:formatCode>General</c:formatCode>
                <c:ptCount val="10"/>
                <c:pt idx="0">
                  <c:v>39.627094642435679</c:v>
                </c:pt>
                <c:pt idx="1">
                  <c:v>42.196374729397817</c:v>
                </c:pt>
                <c:pt idx="2">
                  <c:v>43.91933840873272</c:v>
                </c:pt>
                <c:pt idx="3">
                  <c:v>46.206784541493143</c:v>
                </c:pt>
                <c:pt idx="4">
                  <c:v>50.322433866765152</c:v>
                </c:pt>
                <c:pt idx="5">
                  <c:v>54.819891210588082</c:v>
                </c:pt>
                <c:pt idx="6">
                  <c:v>58.760311829844383</c:v>
                </c:pt>
                <c:pt idx="7">
                  <c:v>63.089594094512897</c:v>
                </c:pt>
                <c:pt idx="8">
                  <c:v>64.935294648893304</c:v>
                </c:pt>
                <c:pt idx="9">
                  <c:v>71.531771065315354</c:v>
                </c:pt>
              </c:numCache>
            </c:numRef>
          </c:yVal>
          <c:smooth val="0"/>
          <c:extLst>
            <c:ext xmlns:c16="http://schemas.microsoft.com/office/drawing/2014/chart" uri="{C3380CC4-5D6E-409C-BE32-E72D297353CC}">
              <c16:uniqueId val="{00000005-E088-4C48-99E7-94B207B43909}"/>
            </c:ext>
          </c:extLst>
        </c:ser>
        <c:ser>
          <c:idx val="3"/>
          <c:order val="3"/>
          <c:tx>
            <c:v>ZnCl2</c:v>
          </c:tx>
          <c:spPr>
            <a:ln w="25400" cap="rnd">
              <a:solidFill>
                <a:schemeClr val="accent2"/>
              </a:solidFill>
              <a:round/>
            </a:ln>
            <a:effectLst/>
          </c:spPr>
          <c:marker>
            <c:symbol val="none"/>
          </c:marker>
          <c:xVal>
            <c:numRef>
              <c:f>ZnCL2!$N$2:$N$11</c:f>
              <c:numCache>
                <c:formatCode>0.000</c:formatCode>
                <c:ptCount val="10"/>
                <c:pt idx="0">
                  <c:v>0</c:v>
                </c:pt>
                <c:pt idx="1">
                  <c:v>0.40471168159187199</c:v>
                </c:pt>
                <c:pt idx="2">
                  <c:v>0.82718150191806605</c:v>
                </c:pt>
                <c:pt idx="3">
                  <c:v>1.2146075579133779</c:v>
                </c:pt>
                <c:pt idx="4">
                  <c:v>1.619976382353469</c:v>
                </c:pt>
                <c:pt idx="5">
                  <c:v>2.011955361204484</c:v>
                </c:pt>
                <c:pt idx="6">
                  <c:v>2.420931182185281</c:v>
                </c:pt>
                <c:pt idx="7">
                  <c:v>2.8074145360103722</c:v>
                </c:pt>
                <c:pt idx="8">
                  <c:v>3.2015487456154519</c:v>
                </c:pt>
                <c:pt idx="9">
                  <c:v>3.9824670930929078</c:v>
                </c:pt>
              </c:numCache>
            </c:numRef>
          </c:xVal>
          <c:yVal>
            <c:numRef>
              <c:f>ZnCL2!$T$2:$T$11</c:f>
              <c:numCache>
                <c:formatCode>General</c:formatCode>
                <c:ptCount val="10"/>
                <c:pt idx="0">
                  <c:v>236.70520762485981</c:v>
                </c:pt>
                <c:pt idx="1">
                  <c:v>238.2883490147336</c:v>
                </c:pt>
                <c:pt idx="2">
                  <c:v>239.92866845115651</c:v>
                </c:pt>
                <c:pt idx="3">
                  <c:v>241.41987945505571</c:v>
                </c:pt>
                <c:pt idx="4">
                  <c:v>242.96464049001179</c:v>
                </c:pt>
                <c:pt idx="5">
                  <c:v>244.44115748315869</c:v>
                </c:pt>
                <c:pt idx="6">
                  <c:v>245.96126922319041</c:v>
                </c:pt>
                <c:pt idx="7">
                  <c:v>247.3762968689943</c:v>
                </c:pt>
                <c:pt idx="8">
                  <c:v>248.79540538361931</c:v>
                </c:pt>
                <c:pt idx="9">
                  <c:v>251.52562318537699</c:v>
                </c:pt>
              </c:numCache>
            </c:numRef>
          </c:yVal>
          <c:smooth val="0"/>
          <c:extLst>
            <c:ext xmlns:c16="http://schemas.microsoft.com/office/drawing/2014/chart" uri="{C3380CC4-5D6E-409C-BE32-E72D297353CC}">
              <c16:uniqueId val="{00000007-E088-4C48-99E7-94B207B43909}"/>
            </c:ext>
          </c:extLst>
        </c:ser>
        <c:dLbls>
          <c:showLegendKey val="0"/>
          <c:showVal val="0"/>
          <c:showCatName val="0"/>
          <c:showSerName val="0"/>
          <c:showPercent val="0"/>
          <c:showBubbleSize val="0"/>
        </c:dLbls>
        <c:axId val="26767344"/>
        <c:axId val="26552752"/>
      </c:scatterChart>
      <c:valAx>
        <c:axId val="26767344"/>
        <c:scaling>
          <c:orientation val="minMax"/>
          <c:max val="7"/>
          <c:min val="0"/>
        </c:scaling>
        <c:delete val="0"/>
        <c:axPos val="b"/>
        <c:title>
          <c:tx>
            <c:rich>
              <a:bodyPr rot="0" spcFirstLastPara="1" vertOverflow="ellipsis" vert="horz" wrap="square" anchor="ctr" anchorCtr="1"/>
              <a:lstStyle/>
              <a:p>
                <a:pPr>
                  <a:defRPr lang="ja-JP" sz="1400" b="0" i="0" u="none" strike="noStrike" kern="1200" baseline="0">
                    <a:solidFill>
                      <a:schemeClr val="tx1">
                        <a:lumMod val="65000"/>
                        <a:lumOff val="35000"/>
                      </a:schemeClr>
                    </a:solidFill>
                    <a:latin typeface="+mn-lt"/>
                    <a:ea typeface="+mn-ea"/>
                    <a:cs typeface="+mn-cs"/>
                  </a:defRPr>
                </a:pPr>
                <a:r>
                  <a:rPr lang="en-GB" sz="1400" b="0" i="0" baseline="0">
                    <a:effectLst/>
                  </a:rPr>
                  <a:t>Ion concentration c</a:t>
                </a:r>
                <a:r>
                  <a:rPr lang="en-GB" sz="1400" b="0" i="0" baseline="-25000">
                    <a:effectLst/>
                  </a:rPr>
                  <a:t>s</a:t>
                </a:r>
                <a:r>
                  <a:rPr lang="en-GB" sz="1400" b="0" i="0" baseline="0">
                    <a:effectLst/>
                  </a:rPr>
                  <a:t> </a:t>
                </a:r>
                <a:endParaRPr lang="en-GB" sz="1400">
                  <a:effectLst/>
                </a:endParaRPr>
              </a:p>
              <a:p>
                <a:pPr>
                  <a:defRPr lang="ja-JP" sz="1400"/>
                </a:pPr>
                <a:r>
                  <a:rPr lang="en-GB" sz="1400" b="0" i="0" baseline="0">
                    <a:effectLst/>
                  </a:rPr>
                  <a:t>(mol dm</a:t>
                </a:r>
                <a:r>
                  <a:rPr lang="en-GB" sz="1400" b="0" i="0" baseline="30000">
                    <a:effectLst/>
                  </a:rPr>
                  <a:t>-3</a:t>
                </a:r>
                <a:r>
                  <a:rPr lang="en-GB" sz="1400" b="0" i="0" baseline="0">
                    <a:effectLst/>
                  </a:rPr>
                  <a:t>)</a:t>
                </a:r>
                <a:endParaRPr lang="en-GB" sz="1400">
                  <a:effectLst/>
                </a:endParaRPr>
              </a:p>
            </c:rich>
          </c:tx>
          <c:layout>
            <c:manualLayout>
              <c:xMode val="edge"/>
              <c:yMode val="edge"/>
              <c:x val="0.337138825388762"/>
              <c:y val="0.82829059829059803"/>
            </c:manualLayout>
          </c:layout>
          <c:overlay val="0"/>
          <c:spPr>
            <a:noFill/>
            <a:ln>
              <a:noFill/>
            </a:ln>
            <a:effectLst/>
          </c:spPr>
          <c:txPr>
            <a:bodyPr rot="0" spcFirstLastPara="1" vertOverflow="ellipsis" vert="horz" wrap="square" anchor="ctr" anchorCtr="1"/>
            <a:lstStyle/>
            <a:p>
              <a:pPr>
                <a:defRPr lang="ja-JP"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out"/>
        <c:minorTickMark val="out"/>
        <c:tickLblPos val="low"/>
        <c:spPr>
          <a:noFill/>
          <a:ln w="9525" cap="flat" cmpd="sng" algn="ctr">
            <a:solidFill>
              <a:schemeClr val="tx1"/>
            </a:solidFill>
            <a:round/>
          </a:ln>
          <a:effectLst/>
        </c:spPr>
        <c:txPr>
          <a:bodyPr rot="-60000000" spcFirstLastPara="1" vertOverflow="ellipsis" vert="horz" wrap="square" anchor="ctr" anchorCtr="1"/>
          <a:lstStyle/>
          <a:p>
            <a:pPr>
              <a:defRPr lang="ja-JP" sz="2000" b="0" i="0" u="none" strike="noStrike" kern="1200" baseline="0">
                <a:solidFill>
                  <a:schemeClr val="tx1">
                    <a:lumMod val="65000"/>
                    <a:lumOff val="35000"/>
                  </a:schemeClr>
                </a:solidFill>
                <a:latin typeface="+mn-lt"/>
                <a:ea typeface="+mn-ea"/>
                <a:cs typeface="+mn-cs"/>
              </a:defRPr>
            </a:pPr>
            <a:endParaRPr lang="en-US"/>
          </a:p>
        </c:txPr>
        <c:crossAx val="26552752"/>
        <c:crossesAt val="-200"/>
        <c:crossBetween val="midCat"/>
      </c:valAx>
      <c:valAx>
        <c:axId val="26552752"/>
        <c:scaling>
          <c:orientation val="minMax"/>
        </c:scaling>
        <c:delete val="0"/>
        <c:axPos val="l"/>
        <c:title>
          <c:tx>
            <c:rich>
              <a:bodyPr rot="-5400000" spcFirstLastPara="1" vertOverflow="ellipsis" vert="horz" wrap="square" anchor="ctr" anchorCtr="1"/>
              <a:lstStyle/>
              <a:p>
                <a:pPr>
                  <a:defRPr lang="ja-JP" sz="1400" b="0" i="0" u="none" strike="noStrike" kern="1200" baseline="0">
                    <a:solidFill>
                      <a:schemeClr val="tx1">
                        <a:lumMod val="65000"/>
                        <a:lumOff val="35000"/>
                      </a:schemeClr>
                    </a:solidFill>
                    <a:latin typeface="+mn-lt"/>
                    <a:ea typeface="+mn-ea"/>
                    <a:cs typeface="+mn-cs"/>
                  </a:defRPr>
                </a:pPr>
                <a:r>
                  <a:rPr lang="en-GB" sz="1400" b="0" i="0" baseline="0">
                    <a:effectLst/>
                  </a:rPr>
                  <a:t>G</a:t>
                </a:r>
                <a:r>
                  <a:rPr lang="en-GB" sz="1400" b="0" i="0" baseline="-25000">
                    <a:effectLst/>
                  </a:rPr>
                  <a:t>cs</a:t>
                </a:r>
                <a:r>
                  <a:rPr lang="en-GB" sz="1400" b="0" i="0" baseline="0">
                    <a:effectLst/>
                  </a:rPr>
                  <a:t> − G</a:t>
                </a:r>
                <a:r>
                  <a:rPr lang="en-GB" sz="1400" b="0" i="0" baseline="-25000">
                    <a:effectLst/>
                  </a:rPr>
                  <a:t>cw</a:t>
                </a:r>
                <a:endParaRPr lang="en-GB" sz="1400">
                  <a:effectLst/>
                </a:endParaRPr>
              </a:p>
              <a:p>
                <a:pPr>
                  <a:defRPr lang="ja-JP" sz="1400"/>
                </a:pPr>
                <a:r>
                  <a:rPr lang="en-GB" sz="1400" b="0" i="0" baseline="-25000">
                    <a:effectLst/>
                  </a:rPr>
                  <a:t> </a:t>
                </a:r>
                <a:r>
                  <a:rPr lang="en-GB" sz="1400" b="0" i="0" baseline="0">
                    <a:effectLst/>
                  </a:rPr>
                  <a:t>(cm</a:t>
                </a:r>
                <a:r>
                  <a:rPr lang="en-GB" sz="1400" b="0" i="0" baseline="30000">
                    <a:effectLst/>
                  </a:rPr>
                  <a:t>3 </a:t>
                </a:r>
                <a:r>
                  <a:rPr lang="en-GB" sz="1400" b="0" i="0" baseline="0">
                    <a:effectLst/>
                  </a:rPr>
                  <a:t>mol</a:t>
                </a:r>
                <a:r>
                  <a:rPr lang="en-GB" sz="1400" b="0" i="0" baseline="30000">
                    <a:effectLst/>
                  </a:rPr>
                  <a:t>-1</a:t>
                </a:r>
                <a:r>
                  <a:rPr lang="en-GB" sz="1400" b="0" i="0" baseline="0">
                    <a:effectLst/>
                  </a:rPr>
                  <a:t>)</a:t>
                </a:r>
                <a:endParaRPr lang="en-GB" sz="1400">
                  <a:effectLst/>
                </a:endParaRPr>
              </a:p>
            </c:rich>
          </c:tx>
          <c:overlay val="0"/>
          <c:spPr>
            <a:noFill/>
            <a:ln>
              <a:noFill/>
            </a:ln>
            <a:effectLst/>
          </c:spPr>
          <c:txPr>
            <a:bodyPr rot="-5400000" spcFirstLastPara="1" vertOverflow="ellipsis" vert="horz" wrap="square" anchor="ctr" anchorCtr="1"/>
            <a:lstStyle/>
            <a:p>
              <a:pPr>
                <a:defRPr lang="ja-JP"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1600" b="0" i="0" u="none" strike="noStrike" kern="1200" baseline="0">
                <a:solidFill>
                  <a:schemeClr val="tx1">
                    <a:lumMod val="65000"/>
                    <a:lumOff val="35000"/>
                  </a:schemeClr>
                </a:solidFill>
                <a:latin typeface="+mn-lt"/>
                <a:ea typeface="+mn-ea"/>
                <a:cs typeface="+mn-cs"/>
              </a:defRPr>
            </a:pPr>
            <a:endParaRPr lang="en-US"/>
          </a:p>
        </c:txPr>
        <c:crossAx val="26767344"/>
        <c:crosses val="autoZero"/>
        <c:crossBetween val="midCat"/>
      </c:valAx>
      <c:spPr>
        <a:noFill/>
        <a:ln>
          <a:solidFill>
            <a:sysClr val="windowText" lastClr="000000"/>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827869584340599"/>
          <c:y val="4.66853278346991E-2"/>
          <c:w val="0.71384715612774396"/>
          <c:h val="0.71063114653665904"/>
        </c:manualLayout>
      </c:layout>
      <c:scatterChart>
        <c:scatterStyle val="lineMarker"/>
        <c:varyColors val="0"/>
        <c:ser>
          <c:idx val="0"/>
          <c:order val="0"/>
          <c:tx>
            <c:v>NaCl</c:v>
          </c:tx>
          <c:spPr>
            <a:ln w="19050" cap="rnd">
              <a:solidFill>
                <a:schemeClr val="accent6"/>
              </a:solidFill>
              <a:round/>
            </a:ln>
            <a:effectLst/>
          </c:spPr>
          <c:marker>
            <c:symbol val="none"/>
          </c:marker>
          <c:xVal>
            <c:numRef>
              <c:f>NaCl!$E$3:$E$32</c:f>
              <c:numCache>
                <c:formatCode>0.000</c:formatCode>
                <c:ptCount val="30"/>
                <c:pt idx="0">
                  <c:v>0.19933418207985101</c:v>
                </c:pt>
                <c:pt idx="1">
                  <c:v>0.39689810978565099</c:v>
                </c:pt>
                <c:pt idx="2">
                  <c:v>0.59275175254863499</c:v>
                </c:pt>
                <c:pt idx="3">
                  <c:v>0.78695240133288502</c:v>
                </c:pt>
                <c:pt idx="4">
                  <c:v>0.97955481652242904</c:v>
                </c:pt>
                <c:pt idx="5">
                  <c:v>1.170611366116951</c:v>
                </c:pt>
                <c:pt idx="6">
                  <c:v>1.360172154969052</c:v>
                </c:pt>
                <c:pt idx="7">
                  <c:v>1.54828514573335</c:v>
                </c:pt>
                <c:pt idx="8">
                  <c:v>1.7349962721409491</c:v>
                </c:pt>
                <c:pt idx="9">
                  <c:v>1.9203495451615209</c:v>
                </c:pt>
                <c:pt idx="10">
                  <c:v>2.1043871525685649</c:v>
                </c:pt>
                <c:pt idx="11">
                  <c:v>2.2871495523812202</c:v>
                </c:pt>
                <c:pt idx="12">
                  <c:v>2.4686755606175299</c:v>
                </c:pt>
                <c:pt idx="13">
                  <c:v>2.6490024337591072</c:v>
                </c:pt>
                <c:pt idx="14">
                  <c:v>2.8281659462954778</c:v>
                </c:pt>
                <c:pt idx="15">
                  <c:v>3.00620046368685</c:v>
                </c:pt>
                <c:pt idx="16">
                  <c:v>3.1831390110586839</c:v>
                </c:pt>
                <c:pt idx="17">
                  <c:v>3.359013337915902</c:v>
                </c:pt>
                <c:pt idx="18">
                  <c:v>3.533853979143617</c:v>
                </c:pt>
                <c:pt idx="19">
                  <c:v>3.7076903125405272</c:v>
                </c:pt>
                <c:pt idx="20">
                  <c:v>3.8805506131127121</c:v>
                </c:pt>
                <c:pt idx="21">
                  <c:v>4.0524621043387521</c:v>
                </c:pt>
                <c:pt idx="22">
                  <c:v>4.2234510066013877</c:v>
                </c:pt>
                <c:pt idx="23">
                  <c:v>4.3935425829668127</c:v>
                </c:pt>
                <c:pt idx="24">
                  <c:v>4.562761182479492</c:v>
                </c:pt>
                <c:pt idx="25">
                  <c:v>4.7311302811284408</c:v>
                </c:pt>
                <c:pt idx="26">
                  <c:v>4.8986725206297468</c:v>
                </c:pt>
                <c:pt idx="27">
                  <c:v>5.0654097451599682</c:v>
                </c:pt>
                <c:pt idx="28">
                  <c:v>5.2313630361656003</c:v>
                </c:pt>
                <c:pt idx="29">
                  <c:v>5.3965527453651614</c:v>
                </c:pt>
              </c:numCache>
            </c:numRef>
          </c:xVal>
          <c:yVal>
            <c:numRef>
              <c:f>NaCl!$J$3:$J$32</c:f>
              <c:numCache>
                <c:formatCode>General</c:formatCode>
                <c:ptCount val="30"/>
                <c:pt idx="0">
                  <c:v>1.0787666974615799</c:v>
                </c:pt>
                <c:pt idx="1">
                  <c:v>1.08060475476325</c:v>
                </c:pt>
                <c:pt idx="2">
                  <c:v>1.0737131137108711</c:v>
                </c:pt>
                <c:pt idx="3">
                  <c:v>1.063395002883148</c:v>
                </c:pt>
                <c:pt idx="4">
                  <c:v>1.051444061007222</c:v>
                </c:pt>
                <c:pt idx="5">
                  <c:v>1.0386668057670341</c:v>
                </c:pt>
                <c:pt idx="6">
                  <c:v>1.0254828606278941</c:v>
                </c:pt>
                <c:pt idx="7">
                  <c:v>1.0121307466560781</c:v>
                </c:pt>
                <c:pt idx="8">
                  <c:v>0.99875405962125796</c:v>
                </c:pt>
                <c:pt idx="9">
                  <c:v>0.98544256551007603</c:v>
                </c:pt>
                <c:pt idx="10">
                  <c:v>0.97225369018994401</c:v>
                </c:pt>
                <c:pt idx="11">
                  <c:v>0.95922456003071699</c:v>
                </c:pt>
                <c:pt idx="12">
                  <c:v>0.94637912020942005</c:v>
                </c:pt>
                <c:pt idx="13">
                  <c:v>0.93373252723005495</c:v>
                </c:pt>
                <c:pt idx="14">
                  <c:v>0.921293955672008</c:v>
                </c:pt>
                <c:pt idx="15">
                  <c:v>0.90906844409815901</c:v>
                </c:pt>
                <c:pt idx="16">
                  <c:v>0.89705813860017503</c:v>
                </c:pt>
                <c:pt idx="17">
                  <c:v>0.88526314763737302</c:v>
                </c:pt>
                <c:pt idx="18">
                  <c:v>0.87368213974651199</c:v>
                </c:pt>
                <c:pt idx="19">
                  <c:v>0.86231276747695695</c:v>
                </c:pt>
                <c:pt idx="20">
                  <c:v>0.85115197167513301</c:v>
                </c:pt>
                <c:pt idx="21">
                  <c:v>0.84019620203221301</c:v>
                </c:pt>
                <c:pt idx="22">
                  <c:v>0.82944157818716302</c:v>
                </c:pt>
                <c:pt idx="23">
                  <c:v>0.81888400809865303</c:v>
                </c:pt>
                <c:pt idx="24">
                  <c:v>0.80851927536154</c:v>
                </c:pt>
                <c:pt idx="25">
                  <c:v>0.79834310373624195</c:v>
                </c:pt>
                <c:pt idx="26">
                  <c:v>0.78835120481851695</c:v>
                </c:pt>
                <c:pt idx="27">
                  <c:v>0.77853931314608804</c:v>
                </c:pt>
                <c:pt idx="28">
                  <c:v>0.76890321188736899</c:v>
                </c:pt>
                <c:pt idx="29">
                  <c:v>0.75943875143539097</c:v>
                </c:pt>
              </c:numCache>
            </c:numRef>
          </c:yVal>
          <c:smooth val="0"/>
          <c:extLst>
            <c:ext xmlns:c16="http://schemas.microsoft.com/office/drawing/2014/chart" uri="{C3380CC4-5D6E-409C-BE32-E72D297353CC}">
              <c16:uniqueId val="{00000000-BD27-4221-8D67-D74CCC0D969B}"/>
            </c:ext>
          </c:extLst>
        </c:ser>
        <c:ser>
          <c:idx val="1"/>
          <c:order val="1"/>
          <c:tx>
            <c:v>KCl</c:v>
          </c:tx>
          <c:spPr>
            <a:ln w="19050" cap="rnd">
              <a:solidFill>
                <a:schemeClr val="accent5"/>
              </a:solidFill>
              <a:round/>
            </a:ln>
            <a:effectLst/>
          </c:spPr>
          <c:marker>
            <c:symbol val="none"/>
          </c:marker>
          <c:xVal>
            <c:numRef>
              <c:f>KCl!$E$3:$E$32</c:f>
              <c:numCache>
                <c:formatCode>0.000</c:formatCode>
                <c:ptCount val="30"/>
                <c:pt idx="0">
                  <c:v>0.19901272033973499</c:v>
                </c:pt>
                <c:pt idx="1">
                  <c:v>0.395331222932163</c:v>
                </c:pt>
                <c:pt idx="2">
                  <c:v>0.58907086041369605</c:v>
                </c:pt>
                <c:pt idx="3">
                  <c:v>0.78034049299762198</c:v>
                </c:pt>
                <c:pt idx="4">
                  <c:v>0.96924293890465796</c:v>
                </c:pt>
                <c:pt idx="5">
                  <c:v>1.1558753878068031</c:v>
                </c:pt>
                <c:pt idx="6">
                  <c:v>1.3403297807799921</c:v>
                </c:pt>
                <c:pt idx="7">
                  <c:v>1.5226931598885001</c:v>
                </c:pt>
                <c:pt idx="8">
                  <c:v>1.7030479901956459</c:v>
                </c:pt>
                <c:pt idx="9">
                  <c:v>1.8814724567052481</c:v>
                </c:pt>
                <c:pt idx="10">
                  <c:v>2.0580407384816279</c:v>
                </c:pt>
                <c:pt idx="11">
                  <c:v>2.2328232619685808</c:v>
                </c:pt>
                <c:pt idx="12">
                  <c:v>2.405886935325797</c:v>
                </c:pt>
                <c:pt idx="13">
                  <c:v>2.5772953654218438</c:v>
                </c:pt>
                <c:pt idx="14">
                  <c:v>2.7471090589629399</c:v>
                </c:pt>
                <c:pt idx="15">
                  <c:v>2.915385609094431</c:v>
                </c:pt>
                <c:pt idx="16">
                  <c:v>3.0821798686845319</c:v>
                </c:pt>
                <c:pt idx="17">
                  <c:v>3.247544111386178</c:v>
                </c:pt>
                <c:pt idx="18">
                  <c:v>3.4115281814710601</c:v>
                </c:pt>
                <c:pt idx="19">
                  <c:v>3.574179633338467</c:v>
                </c:pt>
                <c:pt idx="20">
                  <c:v>3.7355438615195982</c:v>
                </c:pt>
                <c:pt idx="21">
                  <c:v>3.8956642219243691</c:v>
                </c:pt>
                <c:pt idx="22">
                  <c:v>4.0545821450112776</c:v>
                </c:pt>
                <c:pt idx="23">
                  <c:v>4.2123372415012046</c:v>
                </c:pt>
                <c:pt idx="24">
                  <c:v>4.3689674012019672</c:v>
                </c:pt>
                <c:pt idx="25">
                  <c:v>4.5245088854618567</c:v>
                </c:pt>
                <c:pt idx="26">
                  <c:v>4.6789964137262317</c:v>
                </c:pt>
                <c:pt idx="27">
                  <c:v>4.8324632446313176</c:v>
                </c:pt>
                <c:pt idx="28">
                  <c:v>4.9849412520333152</c:v>
                </c:pt>
                <c:pt idx="29">
                  <c:v>5.1364609963380081</c:v>
                </c:pt>
              </c:numCache>
            </c:numRef>
          </c:xVal>
          <c:yVal>
            <c:numRef>
              <c:f>KCl!$J$3:$J$32</c:f>
              <c:numCache>
                <c:formatCode>General</c:formatCode>
                <c:ptCount val="30"/>
                <c:pt idx="0">
                  <c:v>1.0858994332624381</c:v>
                </c:pt>
                <c:pt idx="1">
                  <c:v>1.0945647522951021</c:v>
                </c:pt>
                <c:pt idx="2">
                  <c:v>1.094631987133555</c:v>
                </c:pt>
                <c:pt idx="3">
                  <c:v>1.091278751418588</c:v>
                </c:pt>
                <c:pt idx="4">
                  <c:v>1.086233054108767</c:v>
                </c:pt>
                <c:pt idx="5">
                  <c:v>1.080265135008126</c:v>
                </c:pt>
                <c:pt idx="6">
                  <c:v>1.073773701445677</c:v>
                </c:pt>
                <c:pt idx="7">
                  <c:v>1.066985031206614</c:v>
                </c:pt>
                <c:pt idx="8">
                  <c:v>1.0600356642183839</c:v>
                </c:pt>
                <c:pt idx="9">
                  <c:v>1.0530115494624399</c:v>
                </c:pt>
                <c:pt idx="10">
                  <c:v>1.0459683833482569</c:v>
                </c:pt>
                <c:pt idx="11">
                  <c:v>1.0389429397233401</c:v>
                </c:pt>
                <c:pt idx="12">
                  <c:v>1.031959733915131</c:v>
                </c:pt>
                <c:pt idx="13">
                  <c:v>1.025035116485451</c:v>
                </c:pt>
                <c:pt idx="14">
                  <c:v>1.0181798788685441</c:v>
                </c:pt>
                <c:pt idx="15">
                  <c:v>1.01140096131123</c:v>
                </c:pt>
                <c:pt idx="16">
                  <c:v>1.004702600297767</c:v>
                </c:pt>
                <c:pt idx="17">
                  <c:v>0.99808711559335195</c:v>
                </c:pt>
                <c:pt idx="18">
                  <c:v>0.99155545968051195</c:v>
                </c:pt>
                <c:pt idx="19">
                  <c:v>0.98510760708655298</c:v>
                </c:pt>
                <c:pt idx="20">
                  <c:v>0.97874283375531301</c:v>
                </c:pt>
                <c:pt idx="21">
                  <c:v>0.97245991963957501</c:v>
                </c:pt>
                <c:pt idx="22">
                  <c:v>0.96625729689066797</c:v>
                </c:pt>
                <c:pt idx="23">
                  <c:v>0.96013315900064899</c:v>
                </c:pt>
                <c:pt idx="24">
                  <c:v>0.95408554159863601</c:v>
                </c:pt>
                <c:pt idx="25">
                  <c:v>0.94811238246361196</c:v>
                </c:pt>
                <c:pt idx="26">
                  <c:v>0.94221156616489299</c:v>
                </c:pt>
                <c:pt idx="27">
                  <c:v>0.93638095724598003</c:v>
                </c:pt>
                <c:pt idx="28">
                  <c:v>0.93061842481440704</c:v>
                </c:pt>
                <c:pt idx="29">
                  <c:v>0.92492186064950399</c:v>
                </c:pt>
              </c:numCache>
            </c:numRef>
          </c:yVal>
          <c:smooth val="0"/>
          <c:extLst>
            <c:ext xmlns:c16="http://schemas.microsoft.com/office/drawing/2014/chart" uri="{C3380CC4-5D6E-409C-BE32-E72D297353CC}">
              <c16:uniqueId val="{00000001-BD27-4221-8D67-D74CCC0D969B}"/>
            </c:ext>
          </c:extLst>
        </c:ser>
        <c:ser>
          <c:idx val="2"/>
          <c:order val="2"/>
          <c:tx>
            <c:v>LiCl</c:v>
          </c:tx>
          <c:spPr>
            <a:ln w="19050" cap="rnd">
              <a:solidFill>
                <a:schemeClr val="accent4"/>
              </a:solidFill>
              <a:round/>
            </a:ln>
            <a:effectLst/>
          </c:spPr>
          <c:marker>
            <c:symbol val="none"/>
          </c:marker>
          <c:xVal>
            <c:numRef>
              <c:f>LiCl!$E$3:$E$32</c:f>
              <c:numCache>
                <c:formatCode>0.000</c:formatCode>
                <c:ptCount val="30"/>
                <c:pt idx="0">
                  <c:v>0.19928644948129801</c:v>
                </c:pt>
                <c:pt idx="1">
                  <c:v>0.39689426091197699</c:v>
                </c:pt>
                <c:pt idx="2">
                  <c:v>0.59286506981434195</c:v>
                </c:pt>
                <c:pt idx="3">
                  <c:v>0.78723914607819601</c:v>
                </c:pt>
                <c:pt idx="4">
                  <c:v>0.98005544949586998</c:v>
                </c:pt>
                <c:pt idx="5">
                  <c:v>1.1713516826090431</c:v>
                </c:pt>
                <c:pt idx="6">
                  <c:v>1.361164341017949</c:v>
                </c:pt>
                <c:pt idx="7">
                  <c:v>1.5495287612939961</c:v>
                </c:pt>
                <c:pt idx="8">
                  <c:v>1.736479166627954</c:v>
                </c:pt>
                <c:pt idx="9">
                  <c:v>1.9220487103375801</c:v>
                </c:pt>
                <c:pt idx="10">
                  <c:v>2.106269517350889</c:v>
                </c:pt>
                <c:pt idx="11">
                  <c:v>2.2891727237741168</c:v>
                </c:pt>
                <c:pt idx="12">
                  <c:v>2.470788514646725</c:v>
                </c:pt>
                <c:pt idx="13">
                  <c:v>2.6511461599796871</c:v>
                </c:pt>
                <c:pt idx="14">
                  <c:v>2.8302740491673841</c:v>
                </c:pt>
                <c:pt idx="15">
                  <c:v>3.0081997238580969</c:v>
                </c:pt>
                <c:pt idx="16">
                  <c:v>3.1849499093631271</c:v>
                </c:pt>
                <c:pt idx="17">
                  <c:v>3.360550544679699</c:v>
                </c:pt>
                <c:pt idx="18">
                  <c:v>3.5350268111985201</c:v>
                </c:pt>
                <c:pt idx="19">
                  <c:v>3.708403160162796</c:v>
                </c:pt>
                <c:pt idx="20">
                  <c:v>3.8807033389415282</c:v>
                </c:pt>
                <c:pt idx="21">
                  <c:v>4.0519504161764246</c:v>
                </c:pt>
                <c:pt idx="22">
                  <c:v>4.2221668058584356</c:v>
                </c:pt>
                <c:pt idx="23">
                  <c:v>4.3913742903864756</c:v>
                </c:pt>
                <c:pt idx="24">
                  <c:v>4.5595940426585262</c:v>
                </c:pt>
                <c:pt idx="25">
                  <c:v>4.7268466472417856</c:v>
                </c:pt>
                <c:pt idx="26">
                  <c:v>4.8931521206666737</c:v>
                </c:pt>
                <c:pt idx="27">
                  <c:v>5.0585299308864444</c:v>
                </c:pt>
                <c:pt idx="28">
                  <c:v>5.222999015942376</c:v>
                </c:pt>
                <c:pt idx="29">
                  <c:v>5.3865778018718986</c:v>
                </c:pt>
              </c:numCache>
            </c:numRef>
          </c:xVal>
          <c:yVal>
            <c:numRef>
              <c:f>LiCl!$J$3:$J$32</c:f>
              <c:numCache>
                <c:formatCode>General</c:formatCode>
                <c:ptCount val="30"/>
                <c:pt idx="0">
                  <c:v>1.0600348815648271</c:v>
                </c:pt>
                <c:pt idx="1">
                  <c:v>1.043386898197433</c:v>
                </c:pt>
                <c:pt idx="2">
                  <c:v>1.0208696237385899</c:v>
                </c:pt>
                <c:pt idx="3">
                  <c:v>0.99701096595942695</c:v>
                </c:pt>
                <c:pt idx="4">
                  <c:v>0.97313911318770896</c:v>
                </c:pt>
                <c:pt idx="5">
                  <c:v>0.94975722181927902</c:v>
                </c:pt>
                <c:pt idx="6">
                  <c:v>0.92707202257231802</c:v>
                </c:pt>
                <c:pt idx="7">
                  <c:v>0.90516412796926005</c:v>
                </c:pt>
                <c:pt idx="8">
                  <c:v>0.88405502430018401</c:v>
                </c:pt>
                <c:pt idx="9">
                  <c:v>0.86373698095299001</c:v>
                </c:pt>
                <c:pt idx="10">
                  <c:v>0.84418760470236698</c:v>
                </c:pt>
                <c:pt idx="11">
                  <c:v>0.82537735891832298</c:v>
                </c:pt>
                <c:pt idx="12">
                  <c:v>0.80727360869131604</c:v>
                </c:pt>
                <c:pt idx="13">
                  <c:v>0.78984284987448194</c:v>
                </c:pt>
                <c:pt idx="14">
                  <c:v>0.77305194648419095</c:v>
                </c:pt>
                <c:pt idx="15">
                  <c:v>0.75686880849622196</c:v>
                </c:pt>
                <c:pt idx="16">
                  <c:v>0.74126274624182997</c:v>
                </c:pt>
                <c:pt idx="17">
                  <c:v>0.72620463505773303</c:v>
                </c:pt>
                <c:pt idx="18">
                  <c:v>0.71166696794329098</c:v>
                </c:pt>
                <c:pt idx="19">
                  <c:v>0.697623842460949</c:v>
                </c:pt>
                <c:pt idx="20">
                  <c:v>0.68405090983407801</c:v>
                </c:pt>
                <c:pt idx="21">
                  <c:v>0.67092530333521605</c:v>
                </c:pt>
                <c:pt idx="22">
                  <c:v>0.65822555647535597</c:v>
                </c:pt>
                <c:pt idx="23">
                  <c:v>0.64593151745038502</c:v>
                </c:pt>
                <c:pt idx="24">
                  <c:v>0.63402426377114995</c:v>
                </c:pt>
                <c:pt idx="25">
                  <c:v>0.62248601941084403</c:v>
                </c:pt>
                <c:pt idx="26">
                  <c:v>0.61130007579486401</c:v>
                </c:pt>
                <c:pt idx="27">
                  <c:v>0.60045071731920097</c:v>
                </c:pt>
                <c:pt idx="28">
                  <c:v>0.58992315167996501</c:v>
                </c:pt>
                <c:pt idx="29">
                  <c:v>0.57970344504510396</c:v>
                </c:pt>
              </c:numCache>
            </c:numRef>
          </c:yVal>
          <c:smooth val="0"/>
          <c:extLst>
            <c:ext xmlns:c16="http://schemas.microsoft.com/office/drawing/2014/chart" uri="{C3380CC4-5D6E-409C-BE32-E72D297353CC}">
              <c16:uniqueId val="{00000002-BD27-4221-8D67-D74CCC0D969B}"/>
            </c:ext>
          </c:extLst>
        </c:ser>
        <c:ser>
          <c:idx val="3"/>
          <c:order val="3"/>
          <c:tx>
            <c:v>ZnCl2</c:v>
          </c:tx>
          <c:spPr>
            <a:ln w="19050" cap="rnd">
              <a:solidFill>
                <a:schemeClr val="accent2"/>
              </a:solidFill>
              <a:round/>
            </a:ln>
            <a:effectLst/>
          </c:spPr>
          <c:marker>
            <c:symbol val="none"/>
          </c:marker>
          <c:xVal>
            <c:numRef>
              <c:f>ZnCl2!$E$3:$E$32</c:f>
              <c:numCache>
                <c:formatCode>0.000</c:formatCode>
                <c:ptCount val="30"/>
                <c:pt idx="0">
                  <c:v>0.29768107125680798</c:v>
                </c:pt>
                <c:pt idx="1">
                  <c:v>0.59013196500998899</c:v>
                </c:pt>
                <c:pt idx="2">
                  <c:v>0.87792411113132096</c:v>
                </c:pt>
                <c:pt idx="3">
                  <c:v>1.1615486214865081</c:v>
                </c:pt>
                <c:pt idx="4">
                  <c:v>1.4414299223947611</c:v>
                </c:pt>
                <c:pt idx="5">
                  <c:v>1.7179367016275731</c:v>
                </c:pt>
                <c:pt idx="6">
                  <c:v>1.9913907675054721</c:v>
                </c:pt>
                <c:pt idx="7">
                  <c:v>2.2620742703715448</c:v>
                </c:pt>
                <c:pt idx="8">
                  <c:v>2.530235629057374</c:v>
                </c:pt>
                <c:pt idx="9">
                  <c:v>2.7960944254140592</c:v>
                </c:pt>
                <c:pt idx="10">
                  <c:v>3.059845470627276</c:v>
                </c:pt>
                <c:pt idx="11">
                  <c:v>3.3216622023338331</c:v>
                </c:pt>
                <c:pt idx="12">
                  <c:v>3.581699537595247</c:v>
                </c:pt>
                <c:pt idx="13">
                  <c:v>3.8400962807710921</c:v>
                </c:pt>
                <c:pt idx="14">
                  <c:v>4.0969771652532998</c:v>
                </c:pt>
                <c:pt idx="15">
                  <c:v>4.3524545924101758</c:v>
                </c:pt>
                <c:pt idx="16">
                  <c:v>4.6066301188643282</c:v>
                </c:pt>
                <c:pt idx="17">
                  <c:v>4.859595733596076</c:v>
                </c:pt>
                <c:pt idx="18">
                  <c:v>5.111434958725896</c:v>
                </c:pt>
                <c:pt idx="19">
                  <c:v>5.3622238017380059</c:v>
                </c:pt>
                <c:pt idx="20">
                  <c:v>5.6120315820203981</c:v>
                </c:pt>
                <c:pt idx="21">
                  <c:v>5.8609216506598836</c:v>
                </c:pt>
                <c:pt idx="22">
                  <c:v>6.1089520192350379</c:v>
                </c:pt>
                <c:pt idx="23">
                  <c:v>6.3561759107541311</c:v>
                </c:pt>
                <c:pt idx="24">
                  <c:v>6.6026422437560086</c:v>
                </c:pt>
                <c:pt idx="25">
                  <c:v>6.8483960588470056</c:v>
                </c:pt>
                <c:pt idx="26">
                  <c:v>7.0934788955037504</c:v>
                </c:pt>
                <c:pt idx="27">
                  <c:v>7.3379291257786781</c:v>
                </c:pt>
                <c:pt idx="28">
                  <c:v>7.5817822505515666</c:v>
                </c:pt>
                <c:pt idx="29">
                  <c:v>7.8250711631412218</c:v>
                </c:pt>
              </c:numCache>
            </c:numRef>
          </c:xVal>
          <c:yVal>
            <c:numRef>
              <c:f>ZnCl2!$J$3:$J$32</c:f>
              <c:numCache>
                <c:formatCode>General</c:formatCode>
                <c:ptCount val="30"/>
                <c:pt idx="0">
                  <c:v>1.1134995304510811</c:v>
                </c:pt>
                <c:pt idx="1">
                  <c:v>1.1138095912718651</c:v>
                </c:pt>
                <c:pt idx="2">
                  <c:v>1.106873463507263</c:v>
                </c:pt>
                <c:pt idx="3">
                  <c:v>1.098009189735655</c:v>
                </c:pt>
                <c:pt idx="4">
                  <c:v>1.0886079148333361</c:v>
                </c:pt>
                <c:pt idx="5">
                  <c:v>1.0791544496141441</c:v>
                </c:pt>
                <c:pt idx="6">
                  <c:v>1.069837688555102</c:v>
                </c:pt>
                <c:pt idx="7">
                  <c:v>1.060731325497938</c:v>
                </c:pt>
                <c:pt idx="8">
                  <c:v>1.0518595137980651</c:v>
                </c:pt>
                <c:pt idx="9">
                  <c:v>1.043223992996932</c:v>
                </c:pt>
                <c:pt idx="10">
                  <c:v>1.0348162944055721</c:v>
                </c:pt>
                <c:pt idx="11">
                  <c:v>1.026623551016925</c:v>
                </c:pt>
                <c:pt idx="12">
                  <c:v>1.0186313559562861</c:v>
                </c:pt>
                <c:pt idx="13">
                  <c:v>1.0108251831054571</c:v>
                </c:pt>
                <c:pt idx="14">
                  <c:v>1.003191079614852</c:v>
                </c:pt>
                <c:pt idx="15">
                  <c:v>0.99571598028995301</c:v>
                </c:pt>
                <c:pt idx="16">
                  <c:v>0.98838782333225195</c:v>
                </c:pt>
                <c:pt idx="17">
                  <c:v>0.98119556223942905</c:v>
                </c:pt>
                <c:pt idx="18">
                  <c:v>0.97412912499558102</c:v>
                </c:pt>
                <c:pt idx="19">
                  <c:v>0.96717934845769804</c:v>
                </c:pt>
                <c:pt idx="20">
                  <c:v>0.96033790319356105</c:v>
                </c:pt>
                <c:pt idx="21">
                  <c:v>0.953597217010139</c:v>
                </c:pt>
                <c:pt idx="22">
                  <c:v>0.94695040147444198</c:v>
                </c:pt>
                <c:pt idx="23">
                  <c:v>0.94039118350872997</c:v>
                </c:pt>
                <c:pt idx="24">
                  <c:v>0.93391384289486901</c:v>
                </c:pt>
                <c:pt idx="25">
                  <c:v>0.92751315583307203</c:v>
                </c:pt>
                <c:pt idx="26">
                  <c:v>0.92118434433235497</c:v>
                </c:pt>
                <c:pt idx="27">
                  <c:v>0.91492303102777195</c:v>
                </c:pt>
                <c:pt idx="28">
                  <c:v>0.908725198943652</c:v>
                </c:pt>
                <c:pt idx="29">
                  <c:v>0.90258715570611503</c:v>
                </c:pt>
              </c:numCache>
            </c:numRef>
          </c:yVal>
          <c:smooth val="0"/>
          <c:extLst>
            <c:ext xmlns:c16="http://schemas.microsoft.com/office/drawing/2014/chart" uri="{C3380CC4-5D6E-409C-BE32-E72D297353CC}">
              <c16:uniqueId val="{00000003-BD27-4221-8D67-D74CCC0D969B}"/>
            </c:ext>
          </c:extLst>
        </c:ser>
        <c:dLbls>
          <c:showLegendKey val="0"/>
          <c:showVal val="0"/>
          <c:showCatName val="0"/>
          <c:showSerName val="0"/>
          <c:showPercent val="0"/>
          <c:showBubbleSize val="0"/>
        </c:dLbls>
        <c:axId val="25765696"/>
        <c:axId val="32108736"/>
      </c:scatterChart>
      <c:valAx>
        <c:axId val="25765696"/>
        <c:scaling>
          <c:orientation val="minMax"/>
        </c:scaling>
        <c:delete val="0"/>
        <c:axPos val="b"/>
        <c:title>
          <c:tx>
            <c:rich>
              <a:bodyPr rot="0" spcFirstLastPara="1" vertOverflow="ellipsis" vert="horz" wrap="square" anchor="ctr" anchorCtr="1"/>
              <a:lstStyle/>
              <a:p>
                <a:pPr>
                  <a:defRPr lang="ja-JP" sz="1200" b="0" i="0" u="none" strike="noStrike" kern="1200" baseline="0">
                    <a:solidFill>
                      <a:schemeClr val="tx1">
                        <a:lumMod val="65000"/>
                        <a:lumOff val="35000"/>
                      </a:schemeClr>
                    </a:solidFill>
                    <a:latin typeface="+mn-lt"/>
                    <a:ea typeface="+mn-ea"/>
                    <a:cs typeface="+mn-cs"/>
                  </a:defRPr>
                </a:pPr>
                <a:r>
                  <a:rPr lang="en-GB" sz="1200" baseline="0"/>
                  <a:t>ion concentration </a:t>
                </a:r>
                <a:r>
                  <a:rPr lang="en-GB" sz="1200" b="0" i="0" u="none" strike="noStrike" baseline="0">
                    <a:effectLst/>
                  </a:rPr>
                  <a:t>c</a:t>
                </a:r>
                <a:r>
                  <a:rPr lang="en-GB" sz="1200" b="0" i="0" u="none" strike="noStrike" baseline="-25000">
                    <a:effectLst/>
                  </a:rPr>
                  <a:t>s</a:t>
                </a:r>
                <a:r>
                  <a:rPr lang="en-GB" sz="1200" b="0" i="0" u="none" strike="noStrike" baseline="0">
                    <a:effectLst/>
                  </a:rPr>
                  <a:t> </a:t>
                </a:r>
              </a:p>
              <a:p>
                <a:pPr>
                  <a:defRPr lang="ja-JP" sz="1200"/>
                </a:pPr>
                <a:r>
                  <a:rPr lang="en-GB" sz="1200" baseline="0"/>
                  <a:t> (mol dm</a:t>
                </a:r>
                <a:r>
                  <a:rPr lang="en-GB" sz="1200" baseline="30000"/>
                  <a:t>-3</a:t>
                </a:r>
                <a:r>
                  <a:rPr lang="en-GB" sz="1200" baseline="0"/>
                  <a:t>)</a:t>
                </a:r>
                <a:endParaRPr lang="en-GB" sz="1200"/>
              </a:p>
            </c:rich>
          </c:tx>
          <c:layout>
            <c:manualLayout>
              <c:xMode val="edge"/>
              <c:yMode val="edge"/>
              <c:x val="0.33706442406584902"/>
              <c:y val="0.85391225689733097"/>
            </c:manualLayout>
          </c:layout>
          <c:overlay val="0"/>
          <c:spPr>
            <a:noFill/>
            <a:ln>
              <a:noFill/>
            </a:ln>
            <a:effectLst/>
          </c:spPr>
          <c:txPr>
            <a:bodyPr rot="0" spcFirstLastPara="1" vertOverflow="ellipsis" vert="horz" wrap="square" anchor="ctr" anchorCtr="1"/>
            <a:lstStyle/>
            <a:p>
              <a:pPr>
                <a:defRPr lang="ja-JP"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out"/>
        <c:minorTickMark val="out"/>
        <c:tickLblPos val="low"/>
        <c:spPr>
          <a:noFill/>
          <a:ln w="9525" cap="flat" cmpd="sng" algn="ctr">
            <a:solidFill>
              <a:schemeClr val="tx1"/>
            </a:solidFill>
            <a:round/>
          </a:ln>
          <a:effectLst/>
        </c:spPr>
        <c:txPr>
          <a:bodyPr rot="-60000000" spcFirstLastPara="1" vertOverflow="ellipsis" vert="horz" wrap="square" anchor="ctr" anchorCtr="1"/>
          <a:lstStyle/>
          <a:p>
            <a:pPr>
              <a:defRPr lang="ja-JP" sz="1600" b="0" i="0" u="none" strike="noStrike" kern="1200" baseline="0">
                <a:solidFill>
                  <a:schemeClr val="tx1">
                    <a:lumMod val="65000"/>
                    <a:lumOff val="35000"/>
                  </a:schemeClr>
                </a:solidFill>
                <a:latin typeface="+mn-lt"/>
                <a:ea typeface="+mn-ea"/>
                <a:cs typeface="+mn-cs"/>
              </a:defRPr>
            </a:pPr>
            <a:endParaRPr lang="en-US"/>
          </a:p>
        </c:txPr>
        <c:crossAx val="32108736"/>
        <c:crossesAt val="0.4"/>
        <c:crossBetween val="midCat"/>
      </c:valAx>
      <c:valAx>
        <c:axId val="32108736"/>
        <c:scaling>
          <c:orientation val="minMax"/>
          <c:max val="1.2"/>
          <c:min val="0.5"/>
        </c:scaling>
        <c:delete val="0"/>
        <c:axPos val="l"/>
        <c:title>
          <c:tx>
            <c:rich>
              <a:bodyPr rot="-5400000" spcFirstLastPara="1" vertOverflow="ellipsis" vert="horz" wrap="square" anchor="ctr" anchorCtr="1"/>
              <a:lstStyle/>
              <a:p>
                <a:pPr>
                  <a:defRPr lang="ja-JP" sz="1400" b="0" i="0" u="none" strike="noStrike" kern="1200" baseline="0">
                    <a:solidFill>
                      <a:schemeClr val="tx1">
                        <a:lumMod val="65000"/>
                        <a:lumOff val="35000"/>
                      </a:schemeClr>
                    </a:solidFill>
                    <a:latin typeface="+mn-lt"/>
                    <a:ea typeface="+mn-ea"/>
                    <a:cs typeface="+mn-cs"/>
                  </a:defRPr>
                </a:pPr>
                <a:r>
                  <a:rPr lang="en-GB" sz="1400"/>
                  <a:t>(1+c</a:t>
                </a:r>
                <a:r>
                  <a:rPr lang="en-GB" sz="1400" baseline="-25000"/>
                  <a:t>s</a:t>
                </a:r>
                <a:r>
                  <a:rPr lang="en-GB" sz="1400"/>
                  <a:t>(G</a:t>
                </a:r>
                <a:r>
                  <a:rPr lang="en-GB" sz="1400" baseline="-25000"/>
                  <a:t>ss</a:t>
                </a:r>
                <a:r>
                  <a:rPr lang="en-GB" sz="1400"/>
                  <a:t>-G</a:t>
                </a:r>
                <a:r>
                  <a:rPr lang="en-GB" sz="1400" baseline="-25000"/>
                  <a:t>sw</a:t>
                </a:r>
                <a:r>
                  <a:rPr lang="en-GB" sz="1400"/>
                  <a:t>)</a:t>
                </a:r>
              </a:p>
            </c:rich>
          </c:tx>
          <c:layout>
            <c:manualLayout>
              <c:xMode val="edge"/>
              <c:yMode val="edge"/>
              <c:x val="2.91183152714898E-3"/>
              <c:y val="0.20067344024330699"/>
            </c:manualLayout>
          </c:layout>
          <c:overlay val="0"/>
          <c:spPr>
            <a:noFill/>
            <a:ln>
              <a:noFill/>
            </a:ln>
            <a:effectLst/>
          </c:spPr>
          <c:txPr>
            <a:bodyPr rot="-5400000" spcFirstLastPara="1" vertOverflow="ellipsis" vert="horz" wrap="square" anchor="ctr" anchorCtr="1"/>
            <a:lstStyle/>
            <a:p>
              <a:pPr>
                <a:defRPr lang="ja-JP"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low"/>
        <c:spPr>
          <a:noFill/>
          <a:ln w="9525" cap="flat" cmpd="sng" algn="ctr">
            <a:solidFill>
              <a:schemeClr val="tx1"/>
            </a:solidFill>
            <a:round/>
          </a:ln>
          <a:effectLst/>
        </c:spPr>
        <c:txPr>
          <a:bodyPr rot="-60000000" spcFirstLastPara="1" vertOverflow="ellipsis" vert="horz" wrap="square" anchor="ctr" anchorCtr="1"/>
          <a:lstStyle/>
          <a:p>
            <a:pPr>
              <a:defRPr lang="ja-JP" sz="1600" b="0" i="0" u="none" strike="noStrike" kern="1200" baseline="0">
                <a:solidFill>
                  <a:schemeClr val="tx1">
                    <a:lumMod val="65000"/>
                    <a:lumOff val="35000"/>
                  </a:schemeClr>
                </a:solidFill>
                <a:latin typeface="+mn-lt"/>
                <a:ea typeface="+mn-ea"/>
                <a:cs typeface="+mn-cs"/>
              </a:defRPr>
            </a:pPr>
            <a:endParaRPr lang="en-US"/>
          </a:p>
        </c:txPr>
        <c:crossAx val="25765696"/>
        <c:crosses val="autoZero"/>
        <c:crossBetween val="midCat"/>
        <c:majorUnit val="0.5"/>
      </c:valAx>
      <c:spPr>
        <a:noFill/>
        <a:ln>
          <a:solidFill>
            <a:schemeClr val="tx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0.62378</cdr:x>
      <cdr:y>0.09017</cdr:y>
    </cdr:from>
    <cdr:to>
      <cdr:x>0.7957</cdr:x>
      <cdr:y>0.22115</cdr:y>
    </cdr:to>
    <cdr:sp macro="" textlink="">
      <cdr:nvSpPr>
        <cdr:cNvPr id="2" name="Text Box 1"/>
        <cdr:cNvSpPr txBox="1"/>
      </cdr:nvSpPr>
      <cdr:spPr>
        <a:xfrm xmlns:a="http://schemas.openxmlformats.org/drawingml/2006/main">
          <a:off x="2210233" y="267962"/>
          <a:ext cx="609167" cy="3892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200">
              <a:solidFill>
                <a:schemeClr val="tx1">
                  <a:lumMod val="65000"/>
                  <a:lumOff val="35000"/>
                </a:schemeClr>
              </a:solidFill>
            </a:rPr>
            <a:t>ZnCl</a:t>
          </a:r>
          <a:r>
            <a:rPr lang="en-GB" sz="1200" baseline="-25000">
              <a:solidFill>
                <a:schemeClr val="tx1">
                  <a:lumMod val="65000"/>
                  <a:lumOff val="35000"/>
                </a:schemeClr>
              </a:solidFill>
            </a:rPr>
            <a:t>2</a:t>
          </a:r>
          <a:endParaRPr lang="en-GB" sz="1200">
            <a:solidFill>
              <a:schemeClr val="tx1">
                <a:lumMod val="65000"/>
                <a:lumOff val="35000"/>
              </a:schemeClr>
            </a:solidFill>
          </a:endParaRPr>
        </a:p>
      </cdr:txBody>
    </cdr:sp>
  </cdr:relSizeAnchor>
  <cdr:relSizeAnchor xmlns:cdr="http://schemas.openxmlformats.org/drawingml/2006/chartDrawing">
    <cdr:from>
      <cdr:x>0.7103</cdr:x>
      <cdr:y>0.30221</cdr:y>
    </cdr:from>
    <cdr:to>
      <cdr:x>0.8298</cdr:x>
      <cdr:y>0.41198</cdr:y>
    </cdr:to>
    <cdr:sp macro="" textlink="">
      <cdr:nvSpPr>
        <cdr:cNvPr id="3" name="Text Box 1"/>
        <cdr:cNvSpPr txBox="1"/>
      </cdr:nvSpPr>
      <cdr:spPr>
        <a:xfrm xmlns:a="http://schemas.openxmlformats.org/drawingml/2006/main">
          <a:off x="2516793" y="898116"/>
          <a:ext cx="423420" cy="3262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200">
              <a:solidFill>
                <a:schemeClr val="tx1">
                  <a:lumMod val="65000"/>
                  <a:lumOff val="35000"/>
                </a:schemeClr>
              </a:solidFill>
            </a:rPr>
            <a:t>LiCl</a:t>
          </a:r>
        </a:p>
      </cdr:txBody>
    </cdr:sp>
  </cdr:relSizeAnchor>
  <cdr:relSizeAnchor xmlns:cdr="http://schemas.openxmlformats.org/drawingml/2006/chartDrawing">
    <cdr:from>
      <cdr:x>0.71941</cdr:x>
      <cdr:y>0.37489</cdr:y>
    </cdr:from>
    <cdr:to>
      <cdr:x>0.85983</cdr:x>
      <cdr:y>0.50154</cdr:y>
    </cdr:to>
    <cdr:sp macro="" textlink="">
      <cdr:nvSpPr>
        <cdr:cNvPr id="4" name="Text Box 1"/>
        <cdr:cNvSpPr txBox="1"/>
      </cdr:nvSpPr>
      <cdr:spPr>
        <a:xfrm xmlns:a="http://schemas.openxmlformats.org/drawingml/2006/main">
          <a:off x="2549093" y="1114111"/>
          <a:ext cx="497548" cy="37637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200">
              <a:solidFill>
                <a:schemeClr val="tx1">
                  <a:lumMod val="65000"/>
                  <a:lumOff val="35000"/>
                </a:schemeClr>
              </a:solidFill>
            </a:rPr>
            <a:t>NaCl</a:t>
          </a:r>
        </a:p>
      </cdr:txBody>
    </cdr:sp>
  </cdr:relSizeAnchor>
  <cdr:relSizeAnchor xmlns:cdr="http://schemas.openxmlformats.org/drawingml/2006/chartDrawing">
    <cdr:from>
      <cdr:x>0.72828</cdr:x>
      <cdr:y>0.53984</cdr:y>
    </cdr:from>
    <cdr:to>
      <cdr:x>0.85753</cdr:x>
      <cdr:y>0.6876</cdr:y>
    </cdr:to>
    <cdr:sp macro="" textlink="">
      <cdr:nvSpPr>
        <cdr:cNvPr id="5" name="Text Box 1"/>
        <cdr:cNvSpPr txBox="1"/>
      </cdr:nvSpPr>
      <cdr:spPr>
        <a:xfrm xmlns:a="http://schemas.openxmlformats.org/drawingml/2006/main">
          <a:off x="2580507" y="1604290"/>
          <a:ext cx="457974" cy="43910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200">
              <a:solidFill>
                <a:schemeClr val="tx1">
                  <a:lumMod val="65000"/>
                  <a:lumOff val="35000"/>
                </a:schemeClr>
              </a:solidFill>
            </a:rPr>
            <a:t>KCl</a:t>
          </a:r>
        </a:p>
      </cdr:txBody>
    </cdr:sp>
  </cdr:relSizeAnchor>
</c:userShapes>
</file>

<file path=word/drawings/drawing2.xml><?xml version="1.0" encoding="utf-8"?>
<c:userShapes xmlns:c="http://schemas.openxmlformats.org/drawingml/2006/chart">
  <cdr:relSizeAnchor xmlns:cdr="http://schemas.openxmlformats.org/drawingml/2006/chartDrawing">
    <cdr:from>
      <cdr:x>0.76019</cdr:x>
      <cdr:y>0.31955</cdr:y>
    </cdr:from>
    <cdr:to>
      <cdr:x>0.931</cdr:x>
      <cdr:y>0.43071</cdr:y>
    </cdr:to>
    <cdr:sp macro="" textlink="">
      <cdr:nvSpPr>
        <cdr:cNvPr id="2" name="Text Box 1"/>
        <cdr:cNvSpPr txBox="1"/>
      </cdr:nvSpPr>
      <cdr:spPr>
        <a:xfrm xmlns:a="http://schemas.openxmlformats.org/drawingml/2006/main">
          <a:off x="2298715" y="897285"/>
          <a:ext cx="516508" cy="31214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200">
              <a:solidFill>
                <a:schemeClr val="tx1">
                  <a:lumMod val="65000"/>
                  <a:lumOff val="35000"/>
                </a:schemeClr>
              </a:solidFill>
            </a:rPr>
            <a:t>ZnCl</a:t>
          </a:r>
          <a:r>
            <a:rPr lang="en-GB" sz="1200" baseline="-25000">
              <a:solidFill>
                <a:schemeClr val="tx1">
                  <a:lumMod val="65000"/>
                  <a:lumOff val="35000"/>
                </a:schemeClr>
              </a:solidFill>
            </a:rPr>
            <a:t>2</a:t>
          </a:r>
          <a:endParaRPr lang="en-GB" sz="1200">
            <a:solidFill>
              <a:schemeClr val="tx1">
                <a:lumMod val="65000"/>
                <a:lumOff val="35000"/>
              </a:schemeClr>
            </a:solidFill>
          </a:endParaRPr>
        </a:p>
      </cdr:txBody>
    </cdr:sp>
  </cdr:relSizeAnchor>
  <cdr:relSizeAnchor xmlns:cdr="http://schemas.openxmlformats.org/drawingml/2006/chartDrawing">
    <cdr:from>
      <cdr:x>0.56363</cdr:x>
      <cdr:y>0.32503</cdr:y>
    </cdr:from>
    <cdr:to>
      <cdr:x>0.73451</cdr:x>
      <cdr:y>0.44662</cdr:y>
    </cdr:to>
    <cdr:sp macro="" textlink="">
      <cdr:nvSpPr>
        <cdr:cNvPr id="3" name="Text Box 1"/>
        <cdr:cNvSpPr txBox="1"/>
      </cdr:nvSpPr>
      <cdr:spPr>
        <a:xfrm xmlns:a="http://schemas.openxmlformats.org/drawingml/2006/main">
          <a:off x="1704344" y="912664"/>
          <a:ext cx="516719" cy="34142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200">
              <a:solidFill>
                <a:schemeClr val="tx1">
                  <a:lumMod val="65000"/>
                  <a:lumOff val="35000"/>
                </a:schemeClr>
              </a:solidFill>
            </a:rPr>
            <a:t>KCl</a:t>
          </a:r>
        </a:p>
      </cdr:txBody>
    </cdr:sp>
  </cdr:relSizeAnchor>
  <cdr:relSizeAnchor xmlns:cdr="http://schemas.openxmlformats.org/drawingml/2006/chartDrawing">
    <cdr:from>
      <cdr:x>0.59121</cdr:x>
      <cdr:y>0.4738</cdr:y>
    </cdr:from>
    <cdr:to>
      <cdr:x>0.77687</cdr:x>
      <cdr:y>0.57802</cdr:y>
    </cdr:to>
    <cdr:sp macro="" textlink="">
      <cdr:nvSpPr>
        <cdr:cNvPr id="4" name="Text Box 1"/>
        <cdr:cNvSpPr txBox="1"/>
      </cdr:nvSpPr>
      <cdr:spPr>
        <a:xfrm xmlns:a="http://schemas.openxmlformats.org/drawingml/2006/main">
          <a:off x="1787742" y="1330412"/>
          <a:ext cx="561412" cy="2926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200">
              <a:solidFill>
                <a:schemeClr val="tx1">
                  <a:lumMod val="65000"/>
                  <a:lumOff val="35000"/>
                </a:schemeClr>
              </a:solidFill>
            </a:rPr>
            <a:t>NaCl</a:t>
          </a:r>
        </a:p>
      </cdr:txBody>
    </cdr:sp>
  </cdr:relSizeAnchor>
  <cdr:relSizeAnchor xmlns:cdr="http://schemas.openxmlformats.org/drawingml/2006/chartDrawing">
    <cdr:from>
      <cdr:x>0.5886</cdr:x>
      <cdr:y>0.65521</cdr:y>
    </cdr:from>
    <cdr:to>
      <cdr:x>0.7466</cdr:x>
      <cdr:y>0.74554</cdr:y>
    </cdr:to>
    <cdr:sp macro="" textlink="">
      <cdr:nvSpPr>
        <cdr:cNvPr id="5" name="Text Box 1"/>
        <cdr:cNvSpPr txBox="1"/>
      </cdr:nvSpPr>
      <cdr:spPr>
        <a:xfrm xmlns:a="http://schemas.openxmlformats.org/drawingml/2006/main">
          <a:off x="1779860" y="1839807"/>
          <a:ext cx="477772" cy="25364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200">
              <a:solidFill>
                <a:schemeClr val="tx1">
                  <a:lumMod val="65000"/>
                  <a:lumOff val="35000"/>
                </a:schemeClr>
              </a:solidFill>
            </a:rPr>
            <a:t>LiCl</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358D8-EF7C-4742-985D-70F156D12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4962</Words>
  <Characters>28290</Characters>
  <Application>Microsoft Office Word</Application>
  <DocSecurity>0</DocSecurity>
  <Lines>235</Lines>
  <Paragraphs>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Nicol</dc:creator>
  <cp:keywords/>
  <dc:description/>
  <cp:lastModifiedBy>Seishi Shimizu</cp:lastModifiedBy>
  <cp:revision>3</cp:revision>
  <dcterms:created xsi:type="dcterms:W3CDTF">2017-08-09T13:23:00Z</dcterms:created>
  <dcterms:modified xsi:type="dcterms:W3CDTF">2017-08-09T13:23:00Z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f3fd5202-d68b-3220-b7af-87ac3b3e213f</vt:lpwstr>
  </property>
  <property fmtid="{D5CDD505-2E9C-101B-9397-08002B2CF9AE}" pid="4" name="Mendeley Citation Style_1">
    <vt:lpwstr>http://www.zotero.org/styles/chemical-science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http://www.zotero.org/styles/chemical-science</vt:lpwstr>
  </property>
  <property fmtid="{D5CDD505-2E9C-101B-9397-08002B2CF9AE}" pid="12" name="Mendeley Recent Style Name 3_1">
    <vt:lpwstr>Chemical Science</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9th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http://www.zotero.org/styles/physical-chemistry-chemical-physics</vt:lpwstr>
  </property>
  <property fmtid="{D5CDD505-2E9C-101B-9397-08002B2CF9AE}" pid="24" name="Mendeley Recent Style Name 9_1">
    <vt:lpwstr>Physical Chemistry Chemical Physics</vt:lpwstr>
  </property>
</Properties>
</file>