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2"/>
    <w:p w:rsidR="00BB78F4" w:rsidRPr="002437D8" w:rsidRDefault="0098778E" w:rsidP="00BB78F4">
      <w:pPr>
        <w:spacing w:line="240" w:lineRule="auto"/>
        <w:jc w:val="right"/>
        <w:rPr>
          <w:color w:val="000000"/>
          <w:sz w:val="16"/>
          <w:szCs w:val="16"/>
          <w:lang w:eastAsia="en-GB"/>
        </w:rPr>
      </w:pPr>
      <w:r w:rsidRPr="002437D8">
        <w:rPr>
          <w:sz w:val="16"/>
          <w:szCs w:val="16"/>
        </w:rPr>
        <w:fldChar w:fldCharType="begin"/>
      </w:r>
      <w:r w:rsidR="00BB78F4" w:rsidRPr="002437D8">
        <w:rPr>
          <w:sz w:val="16"/>
          <w:szCs w:val="16"/>
        </w:rPr>
        <w:instrText xml:space="preserve"> FILENAME   \* MERGEFORMAT </w:instrText>
      </w:r>
      <w:r w:rsidRPr="002437D8">
        <w:rPr>
          <w:sz w:val="16"/>
          <w:szCs w:val="16"/>
        </w:rPr>
        <w:fldChar w:fldCharType="separate"/>
      </w:r>
      <w:r w:rsidR="00A623EF" w:rsidRPr="00A623EF">
        <w:rPr>
          <w:noProof/>
          <w:color w:val="000000"/>
          <w:sz w:val="16"/>
          <w:szCs w:val="16"/>
          <w:lang w:eastAsia="en-GB"/>
        </w:rPr>
        <w:t>DNA C&amp;B 02 02 17</w:t>
      </w:r>
      <w:r w:rsidR="00A623EF">
        <w:rPr>
          <w:noProof/>
          <w:sz w:val="16"/>
          <w:szCs w:val="16"/>
        </w:rPr>
        <w:t xml:space="preserve"> Final.docx</w:t>
      </w:r>
      <w:r w:rsidRPr="002437D8">
        <w:rPr>
          <w:noProof/>
          <w:color w:val="000000"/>
          <w:sz w:val="16"/>
          <w:szCs w:val="16"/>
          <w:lang w:eastAsia="en-GB"/>
        </w:rPr>
        <w:fldChar w:fldCharType="end"/>
      </w:r>
      <w:r w:rsidR="00BB78F4" w:rsidRPr="002437D8">
        <w:rPr>
          <w:color w:val="000000"/>
          <w:sz w:val="16"/>
          <w:szCs w:val="16"/>
          <w:lang w:eastAsia="en-GB"/>
        </w:rPr>
        <w:t xml:space="preserve">    </w:t>
      </w:r>
      <w:r w:rsidRPr="002437D8">
        <w:rPr>
          <w:color w:val="000000"/>
          <w:sz w:val="16"/>
          <w:szCs w:val="16"/>
          <w:lang w:eastAsia="en-GB"/>
        </w:rPr>
        <w:fldChar w:fldCharType="begin"/>
      </w:r>
      <w:r w:rsidR="00BB78F4" w:rsidRPr="002437D8">
        <w:rPr>
          <w:color w:val="000000"/>
          <w:sz w:val="16"/>
          <w:szCs w:val="16"/>
          <w:lang w:eastAsia="en-GB"/>
        </w:rPr>
        <w:instrText xml:space="preserve"> SAVEDATE  \@ "dd/MM/yyyy HH:mm"  \* MERGEFORMAT </w:instrText>
      </w:r>
      <w:r w:rsidRPr="002437D8">
        <w:rPr>
          <w:color w:val="000000"/>
          <w:sz w:val="16"/>
          <w:szCs w:val="16"/>
          <w:lang w:eastAsia="en-GB"/>
        </w:rPr>
        <w:fldChar w:fldCharType="separate"/>
      </w:r>
      <w:r w:rsidR="009D1DC7">
        <w:rPr>
          <w:noProof/>
          <w:color w:val="000000"/>
          <w:sz w:val="16"/>
          <w:szCs w:val="16"/>
          <w:lang w:eastAsia="en-GB"/>
        </w:rPr>
        <w:t>07/06/2017 12:17</w:t>
      </w:r>
      <w:r w:rsidRPr="002437D8">
        <w:rPr>
          <w:color w:val="000000"/>
          <w:sz w:val="16"/>
          <w:szCs w:val="16"/>
          <w:lang w:eastAsia="en-GB"/>
        </w:rPr>
        <w:fldChar w:fldCharType="end"/>
      </w:r>
    </w:p>
    <w:p w:rsidR="00BB78F4" w:rsidRPr="00BB78F4" w:rsidRDefault="00BB78F4" w:rsidP="00BB78F4">
      <w:pPr>
        <w:jc w:val="right"/>
        <w:rPr>
          <w:b/>
          <w:sz w:val="16"/>
          <w:szCs w:val="16"/>
        </w:rPr>
      </w:pPr>
    </w:p>
    <w:p w:rsidR="00446A64" w:rsidRPr="00410EE7" w:rsidRDefault="00CF66EA" w:rsidP="0015631E">
      <w:pPr>
        <w:jc w:val="center"/>
      </w:pPr>
      <w:r w:rsidRPr="00410EE7">
        <w:rPr>
          <w:rFonts w:ascii="Arial" w:hAnsi="Arial" w:cs="Arial"/>
          <w:b/>
          <w:sz w:val="32"/>
          <w:szCs w:val="32"/>
        </w:rPr>
        <w:t xml:space="preserve">Choosing and </w:t>
      </w:r>
      <w:r w:rsidR="00C05E48" w:rsidRPr="00410EE7">
        <w:rPr>
          <w:rFonts w:ascii="Arial" w:hAnsi="Arial" w:cs="Arial"/>
          <w:b/>
          <w:sz w:val="32"/>
          <w:szCs w:val="32"/>
        </w:rPr>
        <w:t>Book</w:t>
      </w:r>
      <w:r w:rsidRPr="00410EE7">
        <w:rPr>
          <w:rFonts w:ascii="Arial" w:hAnsi="Arial" w:cs="Arial"/>
          <w:b/>
          <w:sz w:val="32"/>
          <w:szCs w:val="32"/>
        </w:rPr>
        <w:t>ing – and A</w:t>
      </w:r>
      <w:r w:rsidR="00C05E48" w:rsidRPr="00410EE7">
        <w:rPr>
          <w:rFonts w:ascii="Arial" w:hAnsi="Arial" w:cs="Arial"/>
          <w:b/>
          <w:sz w:val="32"/>
          <w:szCs w:val="32"/>
        </w:rPr>
        <w:t>ttend</w:t>
      </w:r>
      <w:r w:rsidRPr="00410EE7">
        <w:rPr>
          <w:rFonts w:ascii="Arial" w:hAnsi="Arial" w:cs="Arial"/>
          <w:b/>
          <w:sz w:val="32"/>
          <w:szCs w:val="32"/>
        </w:rPr>
        <w:t>ing</w:t>
      </w:r>
      <w:r w:rsidR="00C05E48" w:rsidRPr="00410EE7">
        <w:rPr>
          <w:rFonts w:ascii="Arial" w:hAnsi="Arial" w:cs="Arial"/>
          <w:b/>
          <w:sz w:val="32"/>
          <w:szCs w:val="32"/>
        </w:rPr>
        <w:t xml:space="preserve">? </w:t>
      </w:r>
      <w:r w:rsidR="00516FAE" w:rsidRPr="00410EE7">
        <w:rPr>
          <w:rFonts w:ascii="Arial" w:hAnsi="Arial" w:cs="Arial"/>
          <w:b/>
          <w:sz w:val="32"/>
          <w:szCs w:val="32"/>
        </w:rPr>
        <w:t xml:space="preserve">Impact </w:t>
      </w:r>
      <w:r w:rsidRPr="00410EE7">
        <w:rPr>
          <w:rFonts w:ascii="Arial" w:hAnsi="Arial" w:cs="Arial"/>
          <w:b/>
          <w:sz w:val="32"/>
          <w:szCs w:val="32"/>
        </w:rPr>
        <w:t xml:space="preserve">of </w:t>
      </w:r>
      <w:r w:rsidR="00BC6F6D" w:rsidRPr="00410EE7">
        <w:rPr>
          <w:rFonts w:ascii="Arial" w:hAnsi="Arial" w:cs="Arial"/>
          <w:b/>
          <w:sz w:val="32"/>
          <w:szCs w:val="32"/>
        </w:rPr>
        <w:t xml:space="preserve">an </w:t>
      </w:r>
      <w:r w:rsidR="00742D3E" w:rsidRPr="00410EE7">
        <w:rPr>
          <w:rFonts w:ascii="Arial" w:hAnsi="Arial" w:cs="Arial"/>
          <w:b/>
          <w:sz w:val="32"/>
          <w:szCs w:val="32"/>
        </w:rPr>
        <w:t>E</w:t>
      </w:r>
      <w:r w:rsidR="00BC6F6D" w:rsidRPr="00410EE7">
        <w:rPr>
          <w:rFonts w:ascii="Arial" w:hAnsi="Arial" w:cs="Arial"/>
          <w:b/>
          <w:sz w:val="32"/>
          <w:szCs w:val="32"/>
        </w:rPr>
        <w:t xml:space="preserve">lectronic </w:t>
      </w:r>
      <w:r w:rsidR="00742D3E" w:rsidRPr="00410EE7">
        <w:rPr>
          <w:rFonts w:ascii="Arial" w:hAnsi="Arial" w:cs="Arial"/>
          <w:b/>
          <w:sz w:val="32"/>
          <w:szCs w:val="32"/>
        </w:rPr>
        <w:t>B</w:t>
      </w:r>
      <w:r w:rsidR="00BC6F6D" w:rsidRPr="00410EE7">
        <w:rPr>
          <w:rFonts w:ascii="Arial" w:hAnsi="Arial" w:cs="Arial"/>
          <w:b/>
          <w:sz w:val="32"/>
          <w:szCs w:val="32"/>
        </w:rPr>
        <w:t xml:space="preserve">ooking </w:t>
      </w:r>
      <w:r w:rsidR="00742D3E" w:rsidRPr="00410EE7">
        <w:rPr>
          <w:rFonts w:ascii="Arial" w:hAnsi="Arial" w:cs="Arial"/>
          <w:b/>
          <w:sz w:val="32"/>
          <w:szCs w:val="32"/>
        </w:rPr>
        <w:t>S</w:t>
      </w:r>
      <w:r w:rsidR="00BC6F6D" w:rsidRPr="00410EE7">
        <w:rPr>
          <w:rFonts w:ascii="Arial" w:hAnsi="Arial" w:cs="Arial"/>
          <w:b/>
          <w:sz w:val="32"/>
          <w:szCs w:val="32"/>
        </w:rPr>
        <w:t xml:space="preserve">ystem </w:t>
      </w:r>
      <w:r w:rsidR="00516FAE" w:rsidRPr="00410EE7">
        <w:rPr>
          <w:rFonts w:ascii="Arial" w:hAnsi="Arial" w:cs="Arial"/>
          <w:b/>
          <w:sz w:val="32"/>
          <w:szCs w:val="32"/>
        </w:rPr>
        <w:t xml:space="preserve">on </w:t>
      </w:r>
      <w:r w:rsidR="00742D3E" w:rsidRPr="00410EE7">
        <w:rPr>
          <w:rFonts w:ascii="Arial" w:hAnsi="Arial" w:cs="Arial"/>
          <w:b/>
          <w:sz w:val="32"/>
          <w:szCs w:val="32"/>
        </w:rPr>
        <w:t>O</w:t>
      </w:r>
      <w:r w:rsidR="00A40C63" w:rsidRPr="00410EE7">
        <w:rPr>
          <w:rFonts w:ascii="Arial" w:hAnsi="Arial" w:cs="Arial"/>
          <w:b/>
          <w:sz w:val="32"/>
          <w:szCs w:val="32"/>
        </w:rPr>
        <w:t xml:space="preserve">utpatient </w:t>
      </w:r>
      <w:r w:rsidR="00742D3E" w:rsidRPr="00410EE7">
        <w:rPr>
          <w:rFonts w:ascii="Arial" w:hAnsi="Arial" w:cs="Arial"/>
          <w:b/>
          <w:sz w:val="32"/>
          <w:szCs w:val="32"/>
        </w:rPr>
        <w:t>R</w:t>
      </w:r>
      <w:r w:rsidR="00A40C63" w:rsidRPr="00410EE7">
        <w:rPr>
          <w:rFonts w:ascii="Arial" w:hAnsi="Arial" w:cs="Arial"/>
          <w:b/>
          <w:sz w:val="32"/>
          <w:szCs w:val="32"/>
        </w:rPr>
        <w:t xml:space="preserve">eferrals and </w:t>
      </w:r>
      <w:r w:rsidR="00742D3E" w:rsidRPr="00410EE7">
        <w:rPr>
          <w:rFonts w:ascii="Arial" w:hAnsi="Arial" w:cs="Arial"/>
          <w:b/>
          <w:sz w:val="32"/>
          <w:szCs w:val="32"/>
        </w:rPr>
        <w:t>N</w:t>
      </w:r>
      <w:r w:rsidR="00BC6F6D" w:rsidRPr="00410EE7">
        <w:rPr>
          <w:rFonts w:ascii="Arial" w:hAnsi="Arial" w:cs="Arial"/>
          <w:b/>
          <w:sz w:val="32"/>
          <w:szCs w:val="32"/>
        </w:rPr>
        <w:t>on-attendances</w:t>
      </w:r>
      <w:bookmarkEnd w:id="0"/>
    </w:p>
    <w:p w:rsidR="006A5FDC" w:rsidRDefault="006A5FDC" w:rsidP="006A5FDC">
      <w:pPr>
        <w:autoSpaceDE w:val="0"/>
        <w:autoSpaceDN w:val="0"/>
        <w:adjustRightInd w:val="0"/>
        <w:spacing w:line="240" w:lineRule="auto"/>
        <w:jc w:val="center"/>
        <w:rPr>
          <w:rFonts w:ascii="Arial" w:hAnsi="Arial" w:cs="Arial"/>
          <w:b/>
          <w:bCs/>
          <w:sz w:val="32"/>
          <w:szCs w:val="32"/>
        </w:rPr>
      </w:pPr>
    </w:p>
    <w:p w:rsidR="009D1DC7" w:rsidRPr="009D1DC7" w:rsidRDefault="009D1DC7" w:rsidP="006A5FDC">
      <w:pPr>
        <w:autoSpaceDE w:val="0"/>
        <w:autoSpaceDN w:val="0"/>
        <w:adjustRightInd w:val="0"/>
        <w:spacing w:line="240" w:lineRule="auto"/>
        <w:jc w:val="center"/>
        <w:rPr>
          <w:rFonts w:ascii="Arial" w:hAnsi="Arial" w:cs="Arial"/>
          <w:b/>
          <w:bCs/>
          <w:vertAlign w:val="superscript"/>
        </w:rPr>
      </w:pPr>
      <w:r>
        <w:rPr>
          <w:rFonts w:ascii="Arial" w:hAnsi="Arial" w:cs="Arial"/>
          <w:b/>
          <w:bCs/>
        </w:rPr>
        <w:t xml:space="preserve">Mark </w:t>
      </w:r>
      <w:proofErr w:type="spellStart"/>
      <w:r>
        <w:rPr>
          <w:rFonts w:ascii="Arial" w:hAnsi="Arial" w:cs="Arial"/>
          <w:b/>
          <w:bCs/>
        </w:rPr>
        <w:t>Dusheiko</w:t>
      </w:r>
      <w:r w:rsidRPr="009D1DC7">
        <w:rPr>
          <w:rFonts w:ascii="Arial" w:hAnsi="Arial" w:cs="Arial"/>
          <w:bCs/>
          <w:vertAlign w:val="superscript"/>
        </w:rPr>
        <w:t>a</w:t>
      </w:r>
      <w:proofErr w:type="spellEnd"/>
      <w:r>
        <w:rPr>
          <w:rFonts w:ascii="Arial" w:hAnsi="Arial" w:cs="Arial"/>
          <w:b/>
          <w:bCs/>
        </w:rPr>
        <w:tab/>
      </w:r>
      <w:r>
        <w:rPr>
          <w:rFonts w:ascii="Arial" w:hAnsi="Arial" w:cs="Arial"/>
          <w:b/>
          <w:bCs/>
        </w:rPr>
        <w:tab/>
      </w:r>
      <w:r>
        <w:rPr>
          <w:rFonts w:ascii="Arial" w:hAnsi="Arial" w:cs="Arial"/>
          <w:b/>
          <w:bCs/>
        </w:rPr>
        <w:tab/>
        <w:t xml:space="preserve">Hugh </w:t>
      </w:r>
      <w:proofErr w:type="spellStart"/>
      <w:r>
        <w:rPr>
          <w:rFonts w:ascii="Arial" w:hAnsi="Arial" w:cs="Arial"/>
          <w:b/>
          <w:bCs/>
        </w:rPr>
        <w:t>Gravelle</w:t>
      </w:r>
      <w:r w:rsidRPr="009D1DC7">
        <w:rPr>
          <w:rFonts w:ascii="Arial" w:hAnsi="Arial" w:cs="Arial"/>
          <w:bCs/>
          <w:vertAlign w:val="superscript"/>
        </w:rPr>
        <w:t>b</w:t>
      </w:r>
      <w:proofErr w:type="spellEnd"/>
    </w:p>
    <w:p w:rsidR="009D1DC7" w:rsidRDefault="009D1DC7" w:rsidP="006A5FDC">
      <w:pPr>
        <w:autoSpaceDE w:val="0"/>
        <w:autoSpaceDN w:val="0"/>
        <w:adjustRightInd w:val="0"/>
        <w:spacing w:line="240" w:lineRule="auto"/>
        <w:jc w:val="center"/>
        <w:rPr>
          <w:rFonts w:ascii="Arial" w:hAnsi="Arial" w:cs="Arial"/>
          <w:b/>
          <w:bCs/>
          <w:sz w:val="32"/>
          <w:szCs w:val="32"/>
        </w:rPr>
      </w:pPr>
    </w:p>
    <w:p w:rsidR="009D1DC7" w:rsidRPr="00410EE7" w:rsidRDefault="009D1DC7" w:rsidP="006A5FDC">
      <w:pPr>
        <w:autoSpaceDE w:val="0"/>
        <w:autoSpaceDN w:val="0"/>
        <w:adjustRightInd w:val="0"/>
        <w:spacing w:line="240" w:lineRule="auto"/>
        <w:jc w:val="center"/>
        <w:rPr>
          <w:rFonts w:ascii="Arial" w:hAnsi="Arial" w:cs="Arial"/>
          <w:b/>
          <w:bCs/>
          <w:sz w:val="32"/>
          <w:szCs w:val="32"/>
        </w:rPr>
      </w:pPr>
    </w:p>
    <w:p w:rsidR="001B4264" w:rsidRDefault="006A5FDC" w:rsidP="006A5FDC">
      <w:pPr>
        <w:spacing w:line="240" w:lineRule="auto"/>
      </w:pPr>
      <w:r w:rsidRPr="00410EE7">
        <w:t xml:space="preserve">Keywords: </w:t>
      </w:r>
      <w:r w:rsidR="00D41C6C" w:rsidRPr="00410EE7">
        <w:t xml:space="preserve">referrals; </w:t>
      </w:r>
      <w:r w:rsidRPr="00410EE7">
        <w:t xml:space="preserve">non-attendance; </w:t>
      </w:r>
      <w:r w:rsidR="00946CF1" w:rsidRPr="00410EE7">
        <w:t xml:space="preserve">outpatients; </w:t>
      </w:r>
      <w:r w:rsidRPr="00410EE7">
        <w:t>general practice</w:t>
      </w:r>
      <w:r w:rsidR="009F61E3" w:rsidRPr="00410EE7">
        <w:t>; gatekeeping</w:t>
      </w:r>
    </w:p>
    <w:p w:rsidR="008647E8" w:rsidRDefault="008647E8" w:rsidP="006A5FDC">
      <w:pPr>
        <w:spacing w:line="240" w:lineRule="auto"/>
      </w:pPr>
    </w:p>
    <w:p w:rsidR="00487694" w:rsidRDefault="00487694" w:rsidP="00487694">
      <w:pPr>
        <w:rPr>
          <w:b/>
          <w:bCs/>
        </w:rPr>
      </w:pPr>
    </w:p>
    <w:p w:rsidR="00487694" w:rsidRPr="008C5656" w:rsidRDefault="00487694" w:rsidP="00487694">
      <w:pPr>
        <w:rPr>
          <w:highlight w:val="cyan"/>
        </w:rPr>
      </w:pPr>
      <w:r w:rsidRPr="00410EE7">
        <w:rPr>
          <w:b/>
          <w:bCs/>
        </w:rPr>
        <w:t xml:space="preserve">Abstract. </w:t>
      </w:r>
      <w:r w:rsidRPr="00410EE7">
        <w:rPr>
          <w:bCs/>
        </w:rPr>
        <w:t xml:space="preserve"> </w:t>
      </w:r>
      <w:r>
        <w:rPr>
          <w:bCs/>
        </w:rPr>
        <w:t xml:space="preserve">Patient non-attendance can lead to </w:t>
      </w:r>
      <w:r w:rsidRPr="00921EC5">
        <w:rPr>
          <w:bCs/>
        </w:rPr>
        <w:t>worse health outcomes and longer waiting times</w:t>
      </w:r>
      <w:r>
        <w:rPr>
          <w:bCs/>
        </w:rPr>
        <w:t>. In the English National Health Service (NHS) a</w:t>
      </w:r>
      <w:r w:rsidRPr="00EF6C43">
        <w:rPr>
          <w:bCs/>
        </w:rPr>
        <w:t xml:space="preserve">round 7% of patients who are referred by their general practice for </w:t>
      </w:r>
      <w:r>
        <w:rPr>
          <w:bCs/>
        </w:rPr>
        <w:t xml:space="preserve">a </w:t>
      </w:r>
      <w:r w:rsidRPr="00EF6C43">
        <w:rPr>
          <w:bCs/>
        </w:rPr>
        <w:t>hospital outpatient appointment fail to attend</w:t>
      </w:r>
      <w:r w:rsidRPr="00921EC5">
        <w:rPr>
          <w:bCs/>
        </w:rPr>
        <w:t xml:space="preserve">. An electronic booking system (Choose and Book – C&amp;B) for general practices making hospital outpatient appointments was introduced in England in 2005 and by 2009 accounted for 50% of appointments.  It was intended, inter alia, to reduce the rate of non-attendance.  Using </w:t>
      </w:r>
      <w:proofErr w:type="gramStart"/>
      <w:r w:rsidRPr="00921EC5">
        <w:rPr>
          <w:bCs/>
        </w:rPr>
        <w:t xml:space="preserve">a 2004-2009 panel with 7900 English general practices, </w:t>
      </w:r>
      <w:r>
        <w:rPr>
          <w:bCs/>
        </w:rPr>
        <w:t>allowing for the relaxation of constraints on patient of hospital, and for the potential endogeneity of use of C</w:t>
      </w:r>
      <w:bookmarkStart w:id="1" w:name="_GoBack"/>
      <w:bookmarkEnd w:id="1"/>
      <w:r>
        <w:rPr>
          <w:bCs/>
        </w:rPr>
        <w:t>&amp;B,</w:t>
      </w:r>
      <w:proofErr w:type="gramEnd"/>
      <w:r>
        <w:rPr>
          <w:bCs/>
        </w:rPr>
        <w:t xml:space="preserve"> we </w:t>
      </w:r>
      <w:r w:rsidRPr="00921EC5">
        <w:rPr>
          <w:bCs/>
        </w:rPr>
        <w:t xml:space="preserve">estimate that the </w:t>
      </w:r>
      <w:r>
        <w:rPr>
          <w:bCs/>
        </w:rPr>
        <w:t xml:space="preserve">introduction of </w:t>
      </w:r>
      <w:r w:rsidRPr="00921EC5">
        <w:rPr>
          <w:bCs/>
        </w:rPr>
        <w:t xml:space="preserve">C&amp;B </w:t>
      </w:r>
      <w:r>
        <w:rPr>
          <w:bCs/>
        </w:rPr>
        <w:t xml:space="preserve">reduced non-attendance by referred patients in 2009 by </w:t>
      </w:r>
      <w:r w:rsidRPr="003528FD">
        <w:rPr>
          <w:bCs/>
        </w:rPr>
        <w:t>72</w:t>
      </w:r>
      <w:r>
        <w:rPr>
          <w:bCs/>
        </w:rPr>
        <w:t>,</w:t>
      </w:r>
      <w:r w:rsidRPr="003528FD">
        <w:rPr>
          <w:bCs/>
        </w:rPr>
        <w:t>160</w:t>
      </w:r>
      <w:r>
        <w:rPr>
          <w:bCs/>
        </w:rPr>
        <w:t xml:space="preserve"> (8.7%).</w:t>
      </w:r>
    </w:p>
    <w:p w:rsidR="00487694" w:rsidRDefault="00487694" w:rsidP="006A5FDC">
      <w:pPr>
        <w:spacing w:line="240" w:lineRule="auto"/>
      </w:pPr>
    </w:p>
    <w:p w:rsidR="002344F4" w:rsidRPr="009D1DC7" w:rsidRDefault="009D1DC7" w:rsidP="009D1DC7">
      <w:pPr>
        <w:spacing w:line="240" w:lineRule="auto"/>
        <w:rPr>
          <w:bCs/>
          <w:sz w:val="20"/>
          <w:szCs w:val="20"/>
        </w:rPr>
      </w:pPr>
      <w:proofErr w:type="spellStart"/>
      <w:r w:rsidRPr="009D1DC7">
        <w:rPr>
          <w:bCs/>
          <w:sz w:val="20"/>
          <w:szCs w:val="20"/>
          <w:vertAlign w:val="superscript"/>
        </w:rPr>
        <w:t>a</w:t>
      </w:r>
      <w:r w:rsidRPr="009D1DC7">
        <w:rPr>
          <w:bCs/>
          <w:sz w:val="20"/>
          <w:szCs w:val="20"/>
        </w:rPr>
        <w:t>Institut</w:t>
      </w:r>
      <w:proofErr w:type="spellEnd"/>
      <w:r w:rsidRPr="009D1DC7">
        <w:rPr>
          <w:bCs/>
          <w:sz w:val="20"/>
          <w:szCs w:val="20"/>
        </w:rPr>
        <w:t xml:space="preserve">  </w:t>
      </w:r>
      <w:proofErr w:type="spellStart"/>
      <w:r w:rsidRPr="009D1DC7">
        <w:rPr>
          <w:bCs/>
          <w:sz w:val="20"/>
          <w:szCs w:val="20"/>
        </w:rPr>
        <w:t>Univesitaire</w:t>
      </w:r>
      <w:proofErr w:type="spellEnd"/>
      <w:r w:rsidRPr="009D1DC7">
        <w:rPr>
          <w:bCs/>
          <w:sz w:val="20"/>
          <w:szCs w:val="20"/>
        </w:rPr>
        <w:t xml:space="preserve">  de  Medicine  Preventive  et  Social,  </w:t>
      </w:r>
      <w:proofErr w:type="spellStart"/>
      <w:r w:rsidRPr="009D1DC7">
        <w:rPr>
          <w:bCs/>
          <w:sz w:val="20"/>
          <w:szCs w:val="20"/>
        </w:rPr>
        <w:t>Université</w:t>
      </w:r>
      <w:proofErr w:type="spellEnd"/>
      <w:r w:rsidRPr="009D1DC7">
        <w:rPr>
          <w:bCs/>
          <w:sz w:val="20"/>
          <w:szCs w:val="20"/>
        </w:rPr>
        <w:t xml:space="preserve">  de  Lausanne,  Lausanne, Switzerland</w:t>
      </w:r>
      <w:r w:rsidRPr="009D1DC7">
        <w:rPr>
          <w:bCs/>
          <w:sz w:val="20"/>
          <w:szCs w:val="20"/>
        </w:rPr>
        <w:t xml:space="preserve">. </w:t>
      </w:r>
      <w:r>
        <w:rPr>
          <w:bCs/>
          <w:sz w:val="20"/>
          <w:szCs w:val="20"/>
        </w:rPr>
        <w:t xml:space="preserve">Email: </w:t>
      </w:r>
      <w:r w:rsidRPr="009D1DC7">
        <w:rPr>
          <w:bCs/>
          <w:sz w:val="20"/>
          <w:szCs w:val="20"/>
        </w:rPr>
        <w:t>Mark.Dusheiko.1@unil.ch</w:t>
      </w:r>
    </w:p>
    <w:p w:rsidR="009D1DC7" w:rsidRPr="009D1DC7" w:rsidRDefault="009D1DC7" w:rsidP="009D1DC7">
      <w:pPr>
        <w:spacing w:line="240" w:lineRule="auto"/>
        <w:rPr>
          <w:bCs/>
          <w:sz w:val="20"/>
          <w:szCs w:val="20"/>
        </w:rPr>
      </w:pPr>
      <w:proofErr w:type="spellStart"/>
      <w:proofErr w:type="gramStart"/>
      <w:r w:rsidRPr="009D1DC7">
        <w:rPr>
          <w:bCs/>
          <w:sz w:val="20"/>
          <w:szCs w:val="20"/>
          <w:vertAlign w:val="superscript"/>
        </w:rPr>
        <w:t>b</w:t>
      </w:r>
      <w:r w:rsidRPr="009D1DC7">
        <w:rPr>
          <w:bCs/>
          <w:sz w:val="20"/>
          <w:szCs w:val="20"/>
        </w:rPr>
        <w:t>Centre</w:t>
      </w:r>
      <w:proofErr w:type="spellEnd"/>
      <w:proofErr w:type="gramEnd"/>
      <w:r w:rsidRPr="009D1DC7">
        <w:rPr>
          <w:bCs/>
          <w:sz w:val="20"/>
          <w:szCs w:val="20"/>
        </w:rPr>
        <w:t xml:space="preserve"> for Health Economics, University of York, UK.  </w:t>
      </w:r>
      <w:r>
        <w:rPr>
          <w:bCs/>
          <w:sz w:val="20"/>
          <w:szCs w:val="20"/>
        </w:rPr>
        <w:t xml:space="preserve">Email: </w:t>
      </w:r>
      <w:r w:rsidRPr="009D1DC7">
        <w:rPr>
          <w:bCs/>
          <w:sz w:val="20"/>
          <w:szCs w:val="20"/>
        </w:rPr>
        <w:t>hugh.gravelle@york.ac.uk</w:t>
      </w:r>
    </w:p>
    <w:p w:rsidR="00D57405" w:rsidRPr="009D1DC7" w:rsidRDefault="00D57405">
      <w:pPr>
        <w:spacing w:line="240" w:lineRule="auto"/>
        <w:jc w:val="left"/>
        <w:rPr>
          <w:sz w:val="20"/>
          <w:szCs w:val="20"/>
        </w:rPr>
      </w:pPr>
    </w:p>
    <w:p w:rsidR="00D57405" w:rsidRDefault="00D57405">
      <w:pPr>
        <w:spacing w:line="240" w:lineRule="auto"/>
        <w:jc w:val="left"/>
        <w:rPr>
          <w:sz w:val="16"/>
          <w:szCs w:val="16"/>
        </w:rPr>
      </w:pPr>
    </w:p>
    <w:p w:rsidR="008647E8" w:rsidRPr="001862A0" w:rsidRDefault="00DA5BB0">
      <w:pPr>
        <w:spacing w:line="240" w:lineRule="auto"/>
        <w:jc w:val="left"/>
        <w:rPr>
          <w:sz w:val="16"/>
          <w:szCs w:val="16"/>
        </w:rPr>
      </w:pPr>
      <w:r w:rsidRPr="001862A0">
        <w:rPr>
          <w:sz w:val="16"/>
          <w:szCs w:val="16"/>
        </w:rPr>
        <w:br w:type="page"/>
      </w:r>
    </w:p>
    <w:p w:rsidR="00197B92" w:rsidRPr="00410EE7" w:rsidRDefault="00197B92" w:rsidP="001B4264">
      <w:pPr>
        <w:pStyle w:val="Heading1"/>
        <w:spacing w:line="360" w:lineRule="auto"/>
      </w:pPr>
      <w:r w:rsidRPr="00410EE7">
        <w:lastRenderedPageBreak/>
        <w:t>Introduction</w:t>
      </w:r>
    </w:p>
    <w:p w:rsidR="006A5FDC" w:rsidRPr="00410EE7" w:rsidRDefault="006A5FDC" w:rsidP="001B4264"/>
    <w:p w:rsidR="0086261A" w:rsidRPr="00410EE7" w:rsidRDefault="006E524B" w:rsidP="001B4264">
      <w:r w:rsidRPr="00410EE7">
        <w:t xml:space="preserve">In the </w:t>
      </w:r>
      <w:r w:rsidR="009F61E3" w:rsidRPr="00410EE7">
        <w:t xml:space="preserve">English </w:t>
      </w:r>
      <w:r w:rsidRPr="00410EE7">
        <w:t>National Health Service (</w:t>
      </w:r>
      <w:r w:rsidR="009F61E3" w:rsidRPr="00410EE7">
        <w:t>NHS</w:t>
      </w:r>
      <w:r w:rsidRPr="00410EE7">
        <w:t>)</w:t>
      </w:r>
      <w:r w:rsidR="009F61E3" w:rsidRPr="00410EE7">
        <w:t xml:space="preserve"> </w:t>
      </w:r>
      <w:r w:rsidRPr="00410EE7">
        <w:t xml:space="preserve">health care is funded from taxation and provided without charge to patients.  There is </w:t>
      </w:r>
      <w:r w:rsidR="009F61E3" w:rsidRPr="00410EE7">
        <w:t xml:space="preserve">a gatekeeping system for access to hospital for non-emergency care. Patients are registered with general practices and must be referred by their general practitioner </w:t>
      </w:r>
      <w:r w:rsidRPr="00410EE7">
        <w:t xml:space="preserve">(GP) </w:t>
      </w:r>
      <w:r w:rsidR="009F61E3" w:rsidRPr="00410EE7">
        <w:t xml:space="preserve">to a hospital outpatient department for diagnostic tests, treatment, or to be placed on a waiting list for elective inpatient care.  </w:t>
      </w:r>
      <w:r w:rsidR="001B4264" w:rsidRPr="00410EE7">
        <w:t xml:space="preserve">In 2009 there were </w:t>
      </w:r>
      <w:r w:rsidR="00D36AA4" w:rsidRPr="00410EE7">
        <w:t>11.87</w:t>
      </w:r>
      <w:r w:rsidR="00304500" w:rsidRPr="00410EE7">
        <w:t>M</w:t>
      </w:r>
      <w:r w:rsidR="009F61E3" w:rsidRPr="00410EE7">
        <w:t xml:space="preserve"> first referrals by </w:t>
      </w:r>
      <w:r w:rsidRPr="00410EE7">
        <w:t xml:space="preserve">GPs </w:t>
      </w:r>
      <w:r w:rsidR="00AD659C" w:rsidRPr="00410EE7">
        <w:t xml:space="preserve">to outpatient departments. Patients </w:t>
      </w:r>
      <w:r w:rsidR="006F0A91">
        <w:t>failed to</w:t>
      </w:r>
      <w:r w:rsidR="00AD659C" w:rsidRPr="00410EE7">
        <w:t xml:space="preserve"> </w:t>
      </w:r>
      <w:r w:rsidR="00D60E16">
        <w:t xml:space="preserve">attend </w:t>
      </w:r>
      <w:r w:rsidR="00AD659C" w:rsidRPr="00410EE7">
        <w:t xml:space="preserve">in </w:t>
      </w:r>
      <w:r w:rsidR="006C6058">
        <w:t xml:space="preserve">7% </w:t>
      </w:r>
      <w:r w:rsidR="00AD659C" w:rsidRPr="00410EE7">
        <w:t>of these appointments.</w:t>
      </w:r>
      <w:r w:rsidR="006C6058" w:rsidRPr="00410EE7">
        <w:rPr>
          <w:rStyle w:val="FootnoteReference"/>
        </w:rPr>
        <w:footnoteReference w:id="1"/>
      </w:r>
      <w:r w:rsidR="00AD659C" w:rsidRPr="00410EE7">
        <w:t xml:space="preserve"> </w:t>
      </w:r>
    </w:p>
    <w:p w:rsidR="0086261A" w:rsidRPr="00410EE7" w:rsidRDefault="0086261A" w:rsidP="001B4264"/>
    <w:p w:rsidR="00BB2E2C" w:rsidRPr="00410EE7" w:rsidRDefault="006A5FDC" w:rsidP="00BB2E2C">
      <w:r w:rsidRPr="00410EE7">
        <w:t xml:space="preserve">Non-attendance </w:t>
      </w:r>
      <w:r w:rsidR="001B4264" w:rsidRPr="00410EE7">
        <w:t xml:space="preserve">is associated with </w:t>
      </w:r>
      <w:r w:rsidRPr="00410EE7">
        <w:t xml:space="preserve">worse health outcomes </w:t>
      </w:r>
      <w:r w:rsidR="001B4264" w:rsidRPr="00410EE7">
        <w:t>for non-attenders</w:t>
      </w:r>
      <w:r w:rsidR="00007707" w:rsidRPr="00410EE7">
        <w:t xml:space="preserve"> </w:t>
      </w:r>
      <w:r w:rsidRPr="00410EE7">
        <w:t>(</w:t>
      </w:r>
      <w:r w:rsidR="001B4264" w:rsidRPr="00410EE7">
        <w:t xml:space="preserve">Hamilton </w:t>
      </w:r>
      <w:r w:rsidR="001B4264" w:rsidRPr="00410EE7">
        <w:rPr>
          <w:i/>
          <w:iCs/>
        </w:rPr>
        <w:t>et al</w:t>
      </w:r>
      <w:r w:rsidR="001B4264" w:rsidRPr="00410EE7">
        <w:t xml:space="preserve"> 2002; Karter </w:t>
      </w:r>
      <w:r w:rsidR="001B4264" w:rsidRPr="00410EE7">
        <w:rPr>
          <w:i/>
        </w:rPr>
        <w:t>et al</w:t>
      </w:r>
      <w:r w:rsidR="001B4264" w:rsidRPr="00410EE7">
        <w:t xml:space="preserve">, 2004; Nelson </w:t>
      </w:r>
      <w:r w:rsidR="001B4264" w:rsidRPr="00410EE7">
        <w:rPr>
          <w:i/>
        </w:rPr>
        <w:t>et al</w:t>
      </w:r>
      <w:r w:rsidR="001B4264" w:rsidRPr="00410EE7">
        <w:t xml:space="preserve">, 2000; </w:t>
      </w:r>
      <w:r w:rsidRPr="00410EE7">
        <w:t xml:space="preserve">Sharp </w:t>
      </w:r>
      <w:r w:rsidR="00DC2698" w:rsidRPr="00410EE7">
        <w:t xml:space="preserve">and Hamilton, </w:t>
      </w:r>
      <w:r w:rsidRPr="00410EE7">
        <w:t>2001;</w:t>
      </w:r>
      <w:r w:rsidR="001B4264" w:rsidRPr="00410EE7">
        <w:t xml:space="preserve"> </w:t>
      </w:r>
      <w:proofErr w:type="spellStart"/>
      <w:r w:rsidR="001B4264" w:rsidRPr="00410EE7">
        <w:t>Shectman</w:t>
      </w:r>
      <w:proofErr w:type="spellEnd"/>
      <w:r w:rsidR="001B4264" w:rsidRPr="00410EE7">
        <w:t xml:space="preserve"> et al, 2008</w:t>
      </w:r>
      <w:r w:rsidRPr="00410EE7">
        <w:t xml:space="preserve">). </w:t>
      </w:r>
      <w:r w:rsidR="000610E6" w:rsidRPr="00410EE7">
        <w:t xml:space="preserve"> </w:t>
      </w:r>
      <w:r w:rsidRPr="00410EE7">
        <w:t xml:space="preserve"> </w:t>
      </w:r>
      <w:r w:rsidR="000610E6" w:rsidRPr="00410EE7">
        <w:t xml:space="preserve"> </w:t>
      </w:r>
      <w:r w:rsidR="00007707" w:rsidRPr="00410EE7">
        <w:t>Although h</w:t>
      </w:r>
      <w:r w:rsidR="00AD659C" w:rsidRPr="00410EE7">
        <w:t xml:space="preserve">ospitals can </w:t>
      </w:r>
      <w:r w:rsidR="00007707" w:rsidRPr="00410EE7">
        <w:t>overbook</w:t>
      </w:r>
      <w:r w:rsidR="00D43799" w:rsidRPr="00410EE7">
        <w:t xml:space="preserve"> appointments</w:t>
      </w:r>
      <w:r w:rsidR="00007707" w:rsidRPr="00410EE7">
        <w:t xml:space="preserve"> non-attendance is also costly (</w:t>
      </w:r>
      <w:proofErr w:type="spellStart"/>
      <w:r w:rsidR="00007707" w:rsidRPr="00410EE7">
        <w:t>Bec</w:t>
      </w:r>
      <w:r w:rsidR="001F76D8" w:rsidRPr="00410EE7">
        <w:t>h</w:t>
      </w:r>
      <w:proofErr w:type="spellEnd"/>
      <w:r w:rsidR="00007707" w:rsidRPr="00410EE7">
        <w:t xml:space="preserve">, 2005). </w:t>
      </w:r>
      <w:r w:rsidR="002364F6">
        <w:t xml:space="preserve"> </w:t>
      </w:r>
      <w:r w:rsidR="000610E6" w:rsidRPr="00410EE7">
        <w:t xml:space="preserve">Over-booking increases uncertainty for patients about their waiting time at clinics when they attend.  </w:t>
      </w:r>
      <w:r w:rsidR="001B4264" w:rsidRPr="00410EE7">
        <w:t>To the extent that missed appointments are n</w:t>
      </w:r>
      <w:r w:rsidR="002D1FBE" w:rsidRPr="00410EE7">
        <w:t>ot filled by other patients, non-</w:t>
      </w:r>
      <w:r w:rsidR="001B4264" w:rsidRPr="002364F6">
        <w:t>attendance</w:t>
      </w:r>
      <w:r w:rsidR="00915F36" w:rsidRPr="002364F6">
        <w:t xml:space="preserve"> </w:t>
      </w:r>
      <w:r w:rsidR="004E3610" w:rsidRPr="002364F6">
        <w:t xml:space="preserve">by a patient </w:t>
      </w:r>
      <w:r w:rsidR="001B4264" w:rsidRPr="002364F6">
        <w:t>increases wait</w:t>
      </w:r>
      <w:r w:rsidR="001B4264" w:rsidRPr="00410EE7">
        <w:t>ing times for all patients</w:t>
      </w:r>
      <w:proofErr w:type="gramStart"/>
      <w:r w:rsidR="00E53DE5" w:rsidRPr="00410EE7">
        <w:t>.</w:t>
      </w:r>
      <w:r w:rsidR="00007707" w:rsidRPr="00410EE7">
        <w:rPr>
          <w:rStyle w:val="FootnoteReference"/>
        </w:rPr>
        <w:footnoteReference w:id="2"/>
      </w:r>
      <w:r w:rsidR="00C61F43">
        <w:rPr>
          <w:vertAlign w:val="superscript"/>
        </w:rPr>
        <w:t>,</w:t>
      </w:r>
      <w:proofErr w:type="gramEnd"/>
      <w:r w:rsidR="00C61F43">
        <w:rPr>
          <w:rStyle w:val="FootnoteReference"/>
        </w:rPr>
        <w:footnoteReference w:id="3"/>
      </w:r>
      <w:r w:rsidR="00BB2E2C">
        <w:t xml:space="preserve"> </w:t>
      </w:r>
    </w:p>
    <w:p w:rsidR="009E512F" w:rsidRPr="00410EE7" w:rsidRDefault="00915F36" w:rsidP="001B4264">
      <w:r>
        <w:t xml:space="preserve"> </w:t>
      </w:r>
    </w:p>
    <w:p w:rsidR="00C61F43" w:rsidRDefault="009E7DF3" w:rsidP="001B4264">
      <w:r w:rsidRPr="00410EE7">
        <w:t xml:space="preserve">In 2005 the NHS introduced an electronic booking system </w:t>
      </w:r>
      <w:r w:rsidRPr="00410EE7">
        <w:sym w:font="Symbol" w:char="F02D"/>
      </w:r>
      <w:r w:rsidRPr="00410EE7">
        <w:t xml:space="preserve"> Choose and Book (C&amp;B) – which enabled GPs and patients to book an outpatient appointment online from the GP surgery, or later online or by phone,  with a choice of location, date and time. </w:t>
      </w:r>
      <w:r w:rsidR="002364F6">
        <w:t xml:space="preserve"> </w:t>
      </w:r>
      <w:r w:rsidR="00FC208D">
        <w:t xml:space="preserve">The aims of the new system were to reduce non-attendance </w:t>
      </w:r>
      <w:r w:rsidR="00FC208D" w:rsidRPr="00410EE7">
        <w:t>(NAO, 2005)</w:t>
      </w:r>
      <w:r w:rsidR="00FC208D">
        <w:t xml:space="preserve"> and to help </w:t>
      </w:r>
      <w:r w:rsidR="006C6058">
        <w:t xml:space="preserve">patients exercise a new right to a wider choice of </w:t>
      </w:r>
      <w:r w:rsidR="00793E79" w:rsidRPr="00410EE7">
        <w:t>hospital implemented in 2006 (Department of Health, 2004)</w:t>
      </w:r>
      <w:r w:rsidR="002364F6">
        <w:t xml:space="preserve">.  </w:t>
      </w:r>
    </w:p>
    <w:p w:rsidR="00C61F43" w:rsidRDefault="00C61F43" w:rsidP="001B4264"/>
    <w:p w:rsidR="00C47C3F" w:rsidRPr="00410EE7" w:rsidRDefault="00C61F43" w:rsidP="001B4264">
      <w:r>
        <w:lastRenderedPageBreak/>
        <w:t>P</w:t>
      </w:r>
      <w:r w:rsidR="0055472D">
        <w:t xml:space="preserve">revious </w:t>
      </w:r>
      <w:r w:rsidR="00CD43A6" w:rsidRPr="00410EE7">
        <w:t xml:space="preserve">studies </w:t>
      </w:r>
      <w:r w:rsidR="00C47C3F" w:rsidRPr="00410EE7">
        <w:t xml:space="preserve">of </w:t>
      </w:r>
      <w:r w:rsidR="00CD43A6" w:rsidRPr="00410EE7">
        <w:t>the impact of C</w:t>
      </w:r>
      <w:r w:rsidR="00E234CC" w:rsidRPr="00410EE7">
        <w:t>&amp;B</w:t>
      </w:r>
      <w:r w:rsidR="00CD43A6" w:rsidRPr="00410EE7">
        <w:t xml:space="preserve"> on</w:t>
      </w:r>
      <w:r w:rsidR="00C47C3F" w:rsidRPr="00410EE7">
        <w:t xml:space="preserve"> patient non-attendance</w:t>
      </w:r>
      <w:r w:rsidR="00E234CC" w:rsidRPr="00410EE7">
        <w:t xml:space="preserve"> </w:t>
      </w:r>
      <w:r w:rsidR="0055472D">
        <w:t xml:space="preserve">have been small scale, </w:t>
      </w:r>
      <w:r w:rsidR="00E234CC" w:rsidRPr="00410EE7">
        <w:t>for particular specialities</w:t>
      </w:r>
      <w:r w:rsidR="0055472D">
        <w:t xml:space="preserve">, and </w:t>
      </w:r>
      <w:r w:rsidR="00757678">
        <w:t xml:space="preserve">have mixed results. </w:t>
      </w:r>
      <w:r w:rsidR="0055472D">
        <w:t>Some (</w:t>
      </w:r>
      <w:proofErr w:type="spellStart"/>
      <w:r w:rsidR="0055472D">
        <w:t>Modayil</w:t>
      </w:r>
      <w:proofErr w:type="spellEnd"/>
      <w:r w:rsidR="0055472D">
        <w:t xml:space="preserve"> et al, 2009; </w:t>
      </w:r>
      <w:proofErr w:type="spellStart"/>
      <w:r w:rsidR="0055472D" w:rsidRPr="00410EE7">
        <w:t>Beckingsale</w:t>
      </w:r>
      <w:proofErr w:type="spellEnd"/>
      <w:r w:rsidR="0055472D" w:rsidRPr="00410EE7">
        <w:t xml:space="preserve"> and Wallace</w:t>
      </w:r>
      <w:r w:rsidR="0055472D">
        <w:t xml:space="preserve">, </w:t>
      </w:r>
      <w:r w:rsidR="0055472D" w:rsidRPr="00410EE7">
        <w:t>2009)</w:t>
      </w:r>
      <w:r w:rsidR="0055472D">
        <w:t xml:space="preserve"> find higher rates of </w:t>
      </w:r>
      <w:r w:rsidR="00CD43A6" w:rsidRPr="00410EE7">
        <w:t xml:space="preserve">non-attendance rates </w:t>
      </w:r>
      <w:r w:rsidR="0055472D">
        <w:t>with C&amp;B whilst others (</w:t>
      </w:r>
      <w:proofErr w:type="spellStart"/>
      <w:r w:rsidR="0055472D">
        <w:t>Elloy</w:t>
      </w:r>
      <w:proofErr w:type="spellEnd"/>
      <w:r w:rsidR="0055472D">
        <w:t xml:space="preserve"> et al, 2011; </w:t>
      </w:r>
      <w:proofErr w:type="spellStart"/>
      <w:r w:rsidR="0055472D">
        <w:t>Parmar</w:t>
      </w:r>
      <w:proofErr w:type="spellEnd"/>
      <w:r w:rsidR="0055472D">
        <w:t xml:space="preserve"> et al, </w:t>
      </w:r>
      <w:r w:rsidR="0055472D" w:rsidRPr="00410EE7">
        <w:t>2009</w:t>
      </w:r>
      <w:r w:rsidR="0055472D">
        <w:t>) find lower non-attendance rates.</w:t>
      </w:r>
    </w:p>
    <w:p w:rsidR="006A5FDC" w:rsidRPr="00410EE7" w:rsidRDefault="006A5FDC" w:rsidP="001B4264"/>
    <w:p w:rsidR="009F5790" w:rsidRPr="00065824" w:rsidRDefault="00FC208D" w:rsidP="009F5790">
      <w:r>
        <w:t xml:space="preserve">In this paper we investigate the effect of the C&amp;B system on patient non-attendance. </w:t>
      </w:r>
      <w:r w:rsidR="00C821DA">
        <w:t xml:space="preserve">We make a number of contributions. </w:t>
      </w:r>
      <w:r>
        <w:t xml:space="preserve"> </w:t>
      </w:r>
      <w:r w:rsidR="00C821DA">
        <w:t>W</w:t>
      </w:r>
      <w:r w:rsidR="00C821DA" w:rsidRPr="00410EE7">
        <w:t xml:space="preserve">e allow for the possibility that C&amp;B may also have </w:t>
      </w:r>
      <w:r w:rsidR="00C821DA">
        <w:t xml:space="preserve">affected </w:t>
      </w:r>
      <w:r w:rsidR="00C821DA" w:rsidRPr="00410EE7">
        <w:t>the number of referrals</w:t>
      </w:r>
      <w:r w:rsidR="00C821DA">
        <w:t xml:space="preserve"> from practices, cancellations by patients, and cancellations by hospitals</w:t>
      </w:r>
      <w:r w:rsidR="00C61F43">
        <w:t>,</w:t>
      </w:r>
      <w:r w:rsidR="00C821DA" w:rsidRPr="00410EE7">
        <w:t xml:space="preserve"> as well as the probability of a referred patient failing to attend</w:t>
      </w:r>
      <w:r w:rsidR="00C821DA">
        <w:t xml:space="preserve">. We use </w:t>
      </w:r>
      <w:r>
        <w:t>a new panel data set on the use of C&amp;B for all practices in England between 2004 and 2009.</w:t>
      </w:r>
      <w:r w:rsidR="00C821DA">
        <w:t xml:space="preserve">  </w:t>
      </w:r>
      <w:r w:rsidR="00B53E6B" w:rsidRPr="00410EE7">
        <w:t xml:space="preserve">We </w:t>
      </w:r>
      <w:r w:rsidR="00181033">
        <w:t xml:space="preserve">allow for unobserved time invariant practice factors by using practice fixed effects and for unobserved time varying factors </w:t>
      </w:r>
      <w:r w:rsidR="00181033" w:rsidRPr="00181033">
        <w:t xml:space="preserve">by </w:t>
      </w:r>
      <w:r w:rsidR="00AA0F73" w:rsidRPr="00181033">
        <w:t>instrument</w:t>
      </w:r>
      <w:r w:rsidR="00181033" w:rsidRPr="00181033">
        <w:t>ing</w:t>
      </w:r>
      <w:r w:rsidR="00AA0F73" w:rsidRPr="00181033">
        <w:t xml:space="preserve"> practice </w:t>
      </w:r>
      <w:r w:rsidR="00EF1263" w:rsidRPr="00181033">
        <w:t xml:space="preserve">use of C&amp;B </w:t>
      </w:r>
      <w:r w:rsidR="00AA0F73" w:rsidRPr="00181033">
        <w:t xml:space="preserve">with the average C&amp;B rate of neighbouring practices. </w:t>
      </w:r>
      <w:r w:rsidR="00181033" w:rsidRPr="00181033">
        <w:t xml:space="preserve"> </w:t>
      </w:r>
      <w:r w:rsidR="008C5656">
        <w:t xml:space="preserve">We </w:t>
      </w:r>
      <w:r w:rsidR="00065824">
        <w:t xml:space="preserve">allow for </w:t>
      </w:r>
      <w:r w:rsidR="009F5790">
        <w:t xml:space="preserve">the </w:t>
      </w:r>
      <w:r w:rsidR="00AA0F73" w:rsidRPr="00181033">
        <w:t xml:space="preserve">relaxation of restrictions on patient choice of </w:t>
      </w:r>
      <w:r w:rsidR="00181033">
        <w:t xml:space="preserve">hospital </w:t>
      </w:r>
      <w:r w:rsidR="00C61F43">
        <w:t xml:space="preserve">in 2006 and 2008 </w:t>
      </w:r>
      <w:r w:rsidR="00AA0F73" w:rsidRPr="00181033">
        <w:t xml:space="preserve">by including </w:t>
      </w:r>
      <w:r w:rsidR="00065824">
        <w:t xml:space="preserve">a </w:t>
      </w:r>
      <w:r w:rsidR="00AA0F73" w:rsidRPr="00181033">
        <w:t xml:space="preserve">survey measure of the extent to which patients reported being </w:t>
      </w:r>
      <w:r w:rsidR="004F5599">
        <w:t xml:space="preserve">aware that they had a right to have a </w:t>
      </w:r>
      <w:r w:rsidR="00AA0F73" w:rsidRPr="00181033">
        <w:t>choice when referred.</w:t>
      </w:r>
      <w:r w:rsidR="009F5790">
        <w:t xml:space="preserve"> </w:t>
      </w:r>
      <w:r w:rsidR="009F5790" w:rsidRPr="00065824">
        <w:t xml:space="preserve">Our analysis </w:t>
      </w:r>
      <w:r w:rsidR="008C5656">
        <w:t xml:space="preserve">also </w:t>
      </w:r>
      <w:r w:rsidR="009F5790" w:rsidRPr="00065824">
        <w:t xml:space="preserve">contributes to the limited evidence </w:t>
      </w:r>
      <w:r w:rsidR="00065824" w:rsidRPr="00065824">
        <w:t xml:space="preserve">on </w:t>
      </w:r>
      <w:r w:rsidR="009F5790" w:rsidRPr="00065824">
        <w:t>examined the impact of a national</w:t>
      </w:r>
      <w:r w:rsidR="00D60E16">
        <w:t xml:space="preserve"> health information technology </w:t>
      </w:r>
      <w:r w:rsidR="009F5790" w:rsidRPr="00065824">
        <w:t>programme on the effectiveness of healthcare delivery</w:t>
      </w:r>
      <w:r w:rsidR="005F693E">
        <w:t xml:space="preserve"> </w:t>
      </w:r>
      <w:r w:rsidR="005F693E" w:rsidRPr="005F693E">
        <w:t>(</w:t>
      </w:r>
      <w:proofErr w:type="spellStart"/>
      <w:r w:rsidR="005F693E" w:rsidRPr="005F693E">
        <w:t>Encinosa</w:t>
      </w:r>
      <w:proofErr w:type="spellEnd"/>
      <w:r w:rsidR="005F693E" w:rsidRPr="005F693E">
        <w:t xml:space="preserve"> and Bae, 2011; </w:t>
      </w:r>
      <w:proofErr w:type="spellStart"/>
      <w:r w:rsidR="005F693E" w:rsidRPr="005F693E">
        <w:t>Lapointe</w:t>
      </w:r>
      <w:proofErr w:type="spellEnd"/>
      <w:r w:rsidR="005F693E" w:rsidRPr="005F693E">
        <w:t xml:space="preserve"> et al, 2011; </w:t>
      </w:r>
      <w:proofErr w:type="spellStart"/>
      <w:r w:rsidR="005F693E" w:rsidRPr="005F693E">
        <w:t>Bassi</w:t>
      </w:r>
      <w:proofErr w:type="spellEnd"/>
      <w:r w:rsidR="005F693E" w:rsidRPr="005F693E">
        <w:t xml:space="preserve"> and Lau, 2013)</w:t>
      </w:r>
      <w:r w:rsidR="009F5790" w:rsidRPr="005F693E">
        <w:t>.</w:t>
      </w:r>
      <w:r w:rsidR="00065824" w:rsidRPr="005F693E">
        <w:rPr>
          <w:rStyle w:val="FootnoteReference"/>
        </w:rPr>
        <w:footnoteReference w:id="4"/>
      </w:r>
      <w:r w:rsidR="009F5790" w:rsidRPr="005F693E">
        <w:t xml:space="preserve"> </w:t>
      </w:r>
    </w:p>
    <w:p w:rsidR="00B53E6B" w:rsidRPr="00410EE7" w:rsidRDefault="009F5790" w:rsidP="001B4264">
      <w:r>
        <w:t xml:space="preserve"> </w:t>
      </w:r>
    </w:p>
    <w:p w:rsidR="00B53E6B" w:rsidRPr="00410EE7" w:rsidRDefault="007D2890" w:rsidP="001B4264">
      <w:r w:rsidRPr="00410EE7">
        <w:t xml:space="preserve">In </w:t>
      </w:r>
      <w:r w:rsidR="001F772C" w:rsidRPr="00410EE7">
        <w:t>2009 C&amp;B was used to make 50% of GP first appoint</w:t>
      </w:r>
      <w:r w:rsidR="00065824">
        <w:t>ments at hospital outpatient dep</w:t>
      </w:r>
      <w:r w:rsidR="001F772C" w:rsidRPr="00410EE7">
        <w:t>artments</w:t>
      </w:r>
      <w:r w:rsidR="004E3610">
        <w:t>.</w:t>
      </w:r>
      <w:r w:rsidR="001F772C" w:rsidRPr="00410EE7">
        <w:t xml:space="preserve"> </w:t>
      </w:r>
      <w:r w:rsidR="00D057E6">
        <w:t xml:space="preserve"> </w:t>
      </w:r>
      <w:r w:rsidR="00985E6C">
        <w:t xml:space="preserve">We find that C&amp;B reduced non-attendances and GP referrals while also reducing patient cancellations. </w:t>
      </w:r>
      <w:r w:rsidR="004E3610">
        <w:t xml:space="preserve">We </w:t>
      </w:r>
      <w:r w:rsidR="005F693E">
        <w:t>estimate that</w:t>
      </w:r>
      <w:r w:rsidR="001F772C" w:rsidRPr="00410EE7">
        <w:t xml:space="preserve"> in the absence of C&amp;B there would have </w:t>
      </w:r>
      <w:r w:rsidR="001F772C" w:rsidRPr="00D60E16">
        <w:t>been</w:t>
      </w:r>
      <w:r w:rsidR="00253323" w:rsidRPr="00D60E16">
        <w:t xml:space="preserve"> </w:t>
      </w:r>
      <w:r w:rsidR="008D1420" w:rsidRPr="00D60E16">
        <w:t>71,</w:t>
      </w:r>
      <w:r w:rsidR="00D60E16" w:rsidRPr="00D60E16">
        <w:t>160</w:t>
      </w:r>
      <w:r w:rsidR="00B03666" w:rsidRPr="00D60E16">
        <w:t xml:space="preserve"> (</w:t>
      </w:r>
      <w:r w:rsidR="00D60E16" w:rsidRPr="00D60E16">
        <w:t>8.7</w:t>
      </w:r>
      <w:r w:rsidR="001F772C" w:rsidRPr="00D60E16">
        <w:t>%) more non-attended appointments</w:t>
      </w:r>
      <w:r w:rsidR="005F693E" w:rsidRPr="00D60E16">
        <w:t>.</w:t>
      </w:r>
      <w:r w:rsidR="005F693E">
        <w:t xml:space="preserve">  </w:t>
      </w:r>
      <w:r w:rsidR="004F5599">
        <w:t>P</w:t>
      </w:r>
      <w:r w:rsidR="005F693E">
        <w:t xml:space="preserve">ractices where more patients reported being </w:t>
      </w:r>
      <w:r w:rsidR="004F5599">
        <w:t xml:space="preserve">aware of their right to </w:t>
      </w:r>
      <w:r w:rsidR="005F693E">
        <w:t xml:space="preserve">a choice of provider </w:t>
      </w:r>
      <w:r w:rsidR="00BD5EB3">
        <w:t xml:space="preserve">had higher referral rates, lower non-attendance, </w:t>
      </w:r>
      <w:r w:rsidR="00BD5EB3" w:rsidRPr="004F5599">
        <w:t>patient cancellation</w:t>
      </w:r>
      <w:r w:rsidR="00D60E16">
        <w:t>, and hospital cancellation rate</w:t>
      </w:r>
      <w:r w:rsidR="00BD5EB3" w:rsidRPr="004F5599">
        <w:t>s.</w:t>
      </w:r>
      <w:r w:rsidR="00BD5EB3">
        <w:t xml:space="preserve"> </w:t>
      </w:r>
    </w:p>
    <w:p w:rsidR="001F772C" w:rsidRPr="00410EE7" w:rsidRDefault="001F772C" w:rsidP="001B4264"/>
    <w:p w:rsidR="0056699F" w:rsidRDefault="00D40C8D" w:rsidP="001B4264">
      <w:r>
        <w:lastRenderedPageBreak/>
        <w:t>In the next section we first briefly describe the booking process with and without C&amp;B and discuss how C&amp;B could have affected referrals, non-attendance, patient cancellations, and hospital cancellations</w:t>
      </w:r>
      <w:r w:rsidR="00A829DD">
        <w:rPr>
          <w:rStyle w:val="FootnoteReference"/>
        </w:rPr>
        <w:footnoteReference w:id="5"/>
      </w:r>
      <w:r>
        <w:t xml:space="preserve"> and then present our estimation strategy. </w:t>
      </w:r>
      <w:r w:rsidR="0056699F" w:rsidRPr="00410EE7">
        <w:t>Section 3 describes the data</w:t>
      </w:r>
      <w:r>
        <w:t>,</w:t>
      </w:r>
      <w:r w:rsidR="0056699F" w:rsidRPr="00410EE7">
        <w:t xml:space="preserve"> </w:t>
      </w:r>
      <w:r>
        <w:t>Section 4</w:t>
      </w:r>
      <w:r w:rsidR="00591232">
        <w:t xml:space="preserve"> has results</w:t>
      </w:r>
      <w:r>
        <w:t xml:space="preserve">, </w:t>
      </w:r>
      <w:r w:rsidR="00591232">
        <w:t>and S</w:t>
      </w:r>
      <w:r w:rsidR="00BD5EB3">
        <w:t>ection 5</w:t>
      </w:r>
      <w:r w:rsidR="0056699F" w:rsidRPr="00410EE7">
        <w:t xml:space="preserve"> discusses their interpretation</w:t>
      </w:r>
      <w:r w:rsidR="00AA0F73">
        <w:t>.</w:t>
      </w:r>
      <w:r w:rsidR="0056699F" w:rsidRPr="00410EE7">
        <w:t xml:space="preserve"> </w:t>
      </w:r>
    </w:p>
    <w:p w:rsidR="00E9657B" w:rsidRPr="00410EE7" w:rsidRDefault="00E9657B" w:rsidP="001B4264"/>
    <w:p w:rsidR="004E72A9" w:rsidRDefault="004E72A9" w:rsidP="001B4264">
      <w:pPr>
        <w:pStyle w:val="Heading1"/>
        <w:spacing w:line="360" w:lineRule="auto"/>
      </w:pPr>
      <w:bookmarkStart w:id="2" w:name="_Toc487341096"/>
      <w:bookmarkStart w:id="3" w:name="_Toc15958940"/>
      <w:r>
        <w:t>Methods</w:t>
      </w:r>
    </w:p>
    <w:p w:rsidR="00002EA7" w:rsidRPr="00002EA7" w:rsidRDefault="00002EA7" w:rsidP="00002EA7"/>
    <w:p w:rsidR="00774160" w:rsidRPr="00410EE7" w:rsidRDefault="00774160" w:rsidP="00774160">
      <w:pPr>
        <w:pStyle w:val="Heading2"/>
      </w:pPr>
      <w:r w:rsidRPr="00410EE7">
        <w:t>Choose and Book</w:t>
      </w:r>
      <w:r w:rsidR="00AA0F73">
        <w:t xml:space="preserve"> and the referral process</w:t>
      </w:r>
    </w:p>
    <w:p w:rsidR="00AA0F73" w:rsidRDefault="00AA0F73" w:rsidP="004E72A9"/>
    <w:p w:rsidR="00997932" w:rsidRDefault="00AA0F73" w:rsidP="004E72A9">
      <w:r>
        <w:t xml:space="preserve">Two features of the referral process </w:t>
      </w:r>
      <w:r w:rsidR="008C5656">
        <w:t xml:space="preserve">help to </w:t>
      </w:r>
      <w:r w:rsidR="00FD11DD">
        <w:t>explain</w:t>
      </w:r>
      <w:r>
        <w:t xml:space="preserve"> why patients who have been referred to </w:t>
      </w:r>
      <w:r w:rsidR="00FD11DD">
        <w:t xml:space="preserve">a </w:t>
      </w:r>
      <w:r>
        <w:t xml:space="preserve">hospital outpatient department fail to attend.   </w:t>
      </w:r>
      <w:r w:rsidR="00E57EBA">
        <w:t>F</w:t>
      </w:r>
      <w:r>
        <w:t>irst</w:t>
      </w:r>
      <w:r w:rsidR="00E57EBA">
        <w:t>,</w:t>
      </w:r>
      <w:r>
        <w:t xml:space="preserve"> </w:t>
      </w:r>
      <w:r w:rsidR="00711A7C">
        <w:t>there is a non-trivial waiting time between referral and appointment dates</w:t>
      </w:r>
      <w:r w:rsidR="00BD5EB3">
        <w:t>.</w:t>
      </w:r>
      <w:r w:rsidR="00BD5EB3">
        <w:rPr>
          <w:rStyle w:val="FootnoteReference"/>
        </w:rPr>
        <w:footnoteReference w:id="6"/>
      </w:r>
      <w:r w:rsidR="00711A7C">
        <w:t xml:space="preserve"> The referral decision depends on the benefits and opportunity costs of attending as </w:t>
      </w:r>
      <w:r w:rsidR="00BD5EB3" w:rsidRPr="00BD5EB3">
        <w:t xml:space="preserve">estimated </w:t>
      </w:r>
      <w:r w:rsidR="00FD11DD" w:rsidRPr="00BD5EB3">
        <w:t xml:space="preserve">at the referral date </w:t>
      </w:r>
      <w:r w:rsidR="00BD5EB3" w:rsidRPr="00BD5EB3">
        <w:t xml:space="preserve">and patients may subsequently revise their estimates and </w:t>
      </w:r>
      <w:r w:rsidR="001B52DF" w:rsidRPr="00BD5EB3">
        <w:t xml:space="preserve">decide not </w:t>
      </w:r>
      <w:r w:rsidR="00F51D69" w:rsidRPr="00BD5EB3">
        <w:t>to</w:t>
      </w:r>
      <w:r w:rsidR="00F51D69">
        <w:t xml:space="preserve"> </w:t>
      </w:r>
      <w:r w:rsidR="001B52DF">
        <w:t>attend.</w:t>
      </w:r>
      <w:r w:rsidR="001B52DF">
        <w:rPr>
          <w:rStyle w:val="FootnoteReference"/>
        </w:rPr>
        <w:footnoteReference w:id="7"/>
      </w:r>
      <w:r w:rsidR="001B52DF">
        <w:t xml:space="preserve">  </w:t>
      </w:r>
      <w:r w:rsidR="004E72A9" w:rsidRPr="00410EE7">
        <w:t xml:space="preserve">Second, the referral decision </w:t>
      </w:r>
      <w:r w:rsidR="00997932">
        <w:t xml:space="preserve">is made jointly </w:t>
      </w:r>
      <w:r w:rsidR="006C713A">
        <w:t xml:space="preserve">during a consultation </w:t>
      </w:r>
      <w:r w:rsidR="006C713A" w:rsidRPr="00BD5EB3">
        <w:t>between the</w:t>
      </w:r>
      <w:r w:rsidR="00997932" w:rsidRPr="00BD5EB3">
        <w:t xml:space="preserve"> patient</w:t>
      </w:r>
      <w:r w:rsidR="00997932">
        <w:t xml:space="preserve"> </w:t>
      </w:r>
      <w:r w:rsidR="00997932" w:rsidRPr="00997932">
        <w:t>and</w:t>
      </w:r>
      <w:r w:rsidR="00997932">
        <w:t xml:space="preserve"> </w:t>
      </w:r>
      <w:r w:rsidR="004E72A9" w:rsidRPr="00410EE7">
        <w:t>GP whereas the attendance decision is made by the patient</w:t>
      </w:r>
      <w:r w:rsidR="00997932">
        <w:t xml:space="preserve">.  </w:t>
      </w:r>
      <w:r w:rsidR="008C5656">
        <w:t xml:space="preserve">If the </w:t>
      </w:r>
      <w:r w:rsidR="00997932">
        <w:t xml:space="preserve">patient’s </w:t>
      </w:r>
      <w:r w:rsidR="00D60E16">
        <w:t xml:space="preserve">appointment </w:t>
      </w:r>
      <w:r w:rsidR="00997932">
        <w:t xml:space="preserve">cost being </w:t>
      </w:r>
      <w:r w:rsidR="008C5656">
        <w:t xml:space="preserve">is </w:t>
      </w:r>
      <w:r w:rsidR="00997932">
        <w:t>weighted more heavily in the attendance decision than in the referral decision</w:t>
      </w:r>
      <w:r w:rsidR="00570868">
        <w:t xml:space="preserve"> </w:t>
      </w:r>
      <w:r w:rsidR="008C5656">
        <w:t xml:space="preserve">this may lead to </w:t>
      </w:r>
      <w:r w:rsidR="00570868">
        <w:t>non-attendance</w:t>
      </w:r>
      <w:r w:rsidR="00322540">
        <w:t>.</w:t>
      </w:r>
      <w:r w:rsidR="00997932">
        <w:t xml:space="preserve"> </w:t>
      </w:r>
    </w:p>
    <w:p w:rsidR="00997932" w:rsidRDefault="00997932" w:rsidP="004E72A9"/>
    <w:p w:rsidR="004E72A9" w:rsidRDefault="004E72A9" w:rsidP="004E72A9">
      <w:r w:rsidRPr="00410EE7">
        <w:t xml:space="preserve">If the GP does not use C&amp;B she will write to the </w:t>
      </w:r>
      <w:r w:rsidR="00570868">
        <w:t xml:space="preserve">hospital </w:t>
      </w:r>
      <w:r w:rsidRPr="00410EE7">
        <w:t>outpatient department to request an appointment for the patient.  The hospital would then write to the patient with the details of the appointment slot whose timing would be decided by the hospital on receipt of the request letter from the GP.  The patient could attempt to change the appointment directly with the hospital by phone or letter, but would not be able to do so over the internet</w:t>
      </w:r>
      <w:r w:rsidR="00E57EBA">
        <w:t xml:space="preserve">.  </w:t>
      </w:r>
    </w:p>
    <w:p w:rsidR="000F354A" w:rsidRPr="00410EE7" w:rsidRDefault="000F354A" w:rsidP="004E72A9"/>
    <w:p w:rsidR="004E72A9" w:rsidRPr="00410EE7" w:rsidRDefault="004E72A9" w:rsidP="004E72A9">
      <w:r w:rsidRPr="00410EE7">
        <w:t>When the GP uses C&amp;B she</w:t>
      </w:r>
      <w:r w:rsidR="008C5656">
        <w:t xml:space="preserve"> will register the patient</w:t>
      </w:r>
      <w:r w:rsidRPr="00410EE7">
        <w:t xml:space="preserve"> on the C&amp;B system, and </w:t>
      </w:r>
      <w:r w:rsidR="00B7468B">
        <w:t xml:space="preserve">either </w:t>
      </w:r>
      <w:r w:rsidRPr="000F354A">
        <w:t xml:space="preserve">book </w:t>
      </w:r>
      <w:r w:rsidR="00E57EBA" w:rsidRPr="000F354A">
        <w:t xml:space="preserve">the </w:t>
      </w:r>
      <w:r w:rsidRPr="000F354A">
        <w:t xml:space="preserve">appointment </w:t>
      </w:r>
      <w:r w:rsidR="00E57EBA">
        <w:t>during the consu</w:t>
      </w:r>
      <w:r w:rsidR="000F354A">
        <w:t>lt</w:t>
      </w:r>
      <w:r w:rsidR="00E57EBA">
        <w:t>ation</w:t>
      </w:r>
      <w:r w:rsidR="00B7468B">
        <w:t xml:space="preserve"> or leave the choice of hospital for the patient to make later</w:t>
      </w:r>
      <w:r w:rsidRPr="00410EE7">
        <w:t xml:space="preserve">. The patient </w:t>
      </w:r>
      <w:r w:rsidR="00B7468B">
        <w:t xml:space="preserve">would be given </w:t>
      </w:r>
      <w:r w:rsidRPr="00410EE7">
        <w:t xml:space="preserve">a C&amp;B booking reference and </w:t>
      </w:r>
      <w:r w:rsidR="00570868">
        <w:t>could</w:t>
      </w:r>
      <w:r>
        <w:t xml:space="preserve"> </w:t>
      </w:r>
      <w:r w:rsidR="00B7468B">
        <w:t xml:space="preserve">make the booking or change it </w:t>
      </w:r>
      <w:r w:rsidRPr="00410EE7">
        <w:t>at a later date (either on the internet, by telephone</w:t>
      </w:r>
      <w:r>
        <w:t>,</w:t>
      </w:r>
      <w:r w:rsidRPr="00410EE7">
        <w:t xml:space="preserve"> or in the practice).  </w:t>
      </w:r>
    </w:p>
    <w:p w:rsidR="004E72A9" w:rsidRPr="00410EE7" w:rsidRDefault="004E72A9" w:rsidP="004E72A9"/>
    <w:p w:rsidR="004E72A9" w:rsidRPr="00410EE7" w:rsidRDefault="001D79E5" w:rsidP="0085225D">
      <w:r>
        <w:t xml:space="preserve">The effects of </w:t>
      </w:r>
      <w:r w:rsidR="004E72A9" w:rsidRPr="00410EE7">
        <w:t xml:space="preserve">C&amp;B </w:t>
      </w:r>
      <w:r>
        <w:t xml:space="preserve">are a priori ambiguous.  C&amp;B </w:t>
      </w:r>
      <w:r w:rsidR="004E72A9" w:rsidRPr="00410EE7">
        <w:t>could have increased the information available to patients about alternative outpatient departments</w:t>
      </w:r>
      <w:r w:rsidR="0085225D">
        <w:t xml:space="preserve">, including their waiting times. </w:t>
      </w:r>
      <w:r w:rsidR="00570868">
        <w:t>This could increase or decrease referral</w:t>
      </w:r>
      <w:r w:rsidR="008C5656">
        <w:t>s</w:t>
      </w:r>
      <w:r w:rsidR="00570868">
        <w:t xml:space="preserve"> and if patients </w:t>
      </w:r>
      <w:r w:rsidR="008C5656">
        <w:t xml:space="preserve">with better information </w:t>
      </w:r>
      <w:r w:rsidR="00570868">
        <w:t>are less likely to revise their estimates of benefits and costs it could reduce the non-attendance rate.</w:t>
      </w:r>
      <w:r w:rsidR="0085225D">
        <w:t xml:space="preserve"> </w:t>
      </w:r>
      <w:r w:rsidR="004E72A9" w:rsidRPr="00410EE7">
        <w:t>With an appointment made via C&amp;B patients had the opportunity to defer the booking of an appointment until later at home when they could log into the C&amp;B system and make the booking themselves.  This may change the nature of the consultation between the GP and patient, leading to a more shared decision making process with more weight on patient preferences.</w:t>
      </w:r>
      <w:r w:rsidR="004E72A9" w:rsidRPr="00410EE7">
        <w:rPr>
          <w:rStyle w:val="FootnoteReference"/>
        </w:rPr>
        <w:footnoteReference w:id="8"/>
      </w:r>
      <w:r w:rsidR="004E72A9" w:rsidRPr="00410EE7">
        <w:t xml:space="preserve"> </w:t>
      </w:r>
      <w:r w:rsidR="0085225D">
        <w:t>If patient attendance costs were given more weight under C&amp;B this could lead to a reduction in referrals</w:t>
      </w:r>
      <w:r w:rsidR="00570868">
        <w:t>, patient cancellations,</w:t>
      </w:r>
      <w:r w:rsidR="0085225D">
        <w:t xml:space="preserve"> and in non-attendance.  The ability of patients to more easily cancel appointments could have increased patient cancellations. </w:t>
      </w:r>
    </w:p>
    <w:p w:rsidR="004E72A9" w:rsidRPr="00410EE7" w:rsidRDefault="004E72A9" w:rsidP="004E72A9"/>
    <w:p w:rsidR="004E72A9" w:rsidRPr="00410EE7" w:rsidRDefault="00E57EBA" w:rsidP="004E72A9">
      <w:r>
        <w:t>Booking costs f</w:t>
      </w:r>
      <w:r w:rsidR="004E72A9" w:rsidRPr="00410EE7">
        <w:t>or general practices probably increased</w:t>
      </w:r>
      <w:r w:rsidR="0085225D">
        <w:t xml:space="preserve"> with C&amp;B</w:t>
      </w:r>
      <w:r w:rsidR="004E72A9" w:rsidRPr="00410EE7">
        <w:t xml:space="preserve">, especially in its early phase when the software was considered cumbersome and unreliable by many </w:t>
      </w:r>
      <w:r w:rsidR="004E72A9">
        <w:t xml:space="preserve">GPs. </w:t>
      </w:r>
      <w:r w:rsidR="004E72A9" w:rsidRPr="00410EE7">
        <w:t xml:space="preserve">GPs were financially incentivised to use the C&amp;B system. </w:t>
      </w:r>
      <w:r w:rsidR="004E72A9">
        <w:t xml:space="preserve"> </w:t>
      </w:r>
      <w:r w:rsidR="007503BD">
        <w:t>Between April 2006 and March</w:t>
      </w:r>
      <w:r w:rsidR="004E72A9" w:rsidRPr="00410EE7">
        <w:t xml:space="preserve"> 2008 they were paid 49p per patient on the list if they agreed to use C&amp;B, and a further 49p per referral if at least 50% were made via C&amp;B. After 2008 payments continued in some Primary Care Trusts (PCTs)</w:t>
      </w:r>
      <w:r w:rsidR="00DA217D">
        <w:t>.</w:t>
      </w:r>
      <w:r w:rsidR="00DA217D">
        <w:rPr>
          <w:rStyle w:val="FootnoteReference"/>
        </w:rPr>
        <w:footnoteReference w:id="9"/>
      </w:r>
      <w:r w:rsidR="004E72A9">
        <w:t xml:space="preserve"> These </w:t>
      </w:r>
      <w:r w:rsidR="004E72A9" w:rsidRPr="00410EE7">
        <w:t>incentive payment</w:t>
      </w:r>
      <w:r w:rsidR="004E72A9">
        <w:t>s</w:t>
      </w:r>
      <w:r w:rsidR="004E72A9" w:rsidRPr="00410EE7">
        <w:t xml:space="preserve"> may not have </w:t>
      </w:r>
      <w:r w:rsidR="004E72A9">
        <w:t xml:space="preserve">offset the additional GP costs of using C&amp;B.  </w:t>
      </w:r>
      <w:r w:rsidR="004E72A9" w:rsidRPr="00410EE7">
        <w:t xml:space="preserve">  </w:t>
      </w:r>
      <w:r w:rsidR="007503BD">
        <w:t xml:space="preserve">This may have </w:t>
      </w:r>
      <w:r w:rsidR="004E72A9" w:rsidRPr="00410EE7">
        <w:t>led, ceteris paribus</w:t>
      </w:r>
      <w:r w:rsidR="007503BD">
        <w:t>,</w:t>
      </w:r>
      <w:r w:rsidR="004E72A9" w:rsidRPr="00410EE7">
        <w:t xml:space="preserve"> to a reduction in the referral rate for practices which perceived a higher cost of using the new system.  Some patients would have had lower booking costs, especially those with better internet access, as the system made it possible for them to confirm or change appointments from home, after their GP had registered their provisional booking.  Ceteris paribus this would have lowered t</w:t>
      </w:r>
      <w:r w:rsidR="004E72A9">
        <w:t xml:space="preserve">he referral </w:t>
      </w:r>
      <w:r w:rsidR="004E72A9">
        <w:lastRenderedPageBreak/>
        <w:t>threshold, increasing</w:t>
      </w:r>
      <w:r w:rsidR="004E72A9" w:rsidRPr="00410EE7">
        <w:t xml:space="preserve"> referrals and the non-attendance rate.  But some patients may have found it more difficult to access and use the C&amp;B system compared with the previous system in which the GP made the appointment and so faced higher booking costs. </w:t>
      </w:r>
    </w:p>
    <w:p w:rsidR="004E72A9" w:rsidRPr="00410EE7" w:rsidRDefault="004E72A9" w:rsidP="004E72A9"/>
    <w:p w:rsidR="007503BD" w:rsidRDefault="0085225D" w:rsidP="001D79E5">
      <w:r w:rsidRPr="001D79E5">
        <w:t xml:space="preserve">C&amp;B </w:t>
      </w:r>
      <w:r w:rsidR="001D79E5">
        <w:t>is likely to have increased hospital</w:t>
      </w:r>
      <w:r w:rsidR="00224F57" w:rsidRPr="001D79E5">
        <w:t xml:space="preserve"> propensity to cancel outpatient appointments.  Hospitals had to make immediate offers of outpatient appointment slots when receiving a request via C&amp;B whereas without C&amp;B they had longer to plan scheduled appointments upon receipt of the request letter from the GP</w:t>
      </w:r>
      <w:r w:rsidR="00224F57" w:rsidRPr="00570868">
        <w:t>.</w:t>
      </w:r>
      <w:r w:rsidR="006C713A" w:rsidRPr="00570868">
        <w:t xml:space="preserve"> This would have reduced flexibility in appointment booking and placed greater demands on planning and managing appointment slots.</w:t>
      </w:r>
      <w:r w:rsidR="006C713A">
        <w:t xml:space="preserve"> </w:t>
      </w:r>
      <w:r w:rsidR="00224F57" w:rsidRPr="001D79E5">
        <w:t>The introduction of C&amp;B also coincided with other c</w:t>
      </w:r>
      <w:r w:rsidR="001D79E5">
        <w:t>hanges to hospital IT systems.</w:t>
      </w:r>
    </w:p>
    <w:p w:rsidR="006C713A" w:rsidRPr="00410EE7" w:rsidRDefault="006C713A" w:rsidP="001D79E5"/>
    <w:p w:rsidR="002536F7" w:rsidRPr="00410EE7" w:rsidRDefault="004E72A9" w:rsidP="004E72A9">
      <w:pPr>
        <w:pStyle w:val="FootnoteText"/>
        <w:rPr>
          <w:sz w:val="24"/>
        </w:rPr>
      </w:pPr>
      <w:r w:rsidRPr="00410EE7">
        <w:rPr>
          <w:sz w:val="24"/>
        </w:rPr>
        <w:t xml:space="preserve">The introduction of C&amp;B was part of a package of measures to develop the new internal market in the NHS. </w:t>
      </w:r>
      <w:r>
        <w:rPr>
          <w:sz w:val="24"/>
        </w:rPr>
        <w:t xml:space="preserve"> </w:t>
      </w:r>
      <w:r w:rsidRPr="00410EE7">
        <w:rPr>
          <w:sz w:val="24"/>
        </w:rPr>
        <w:t>In particular, from January 2006 patients had to be given the choice of at least four providers for elective care and in April 2008 patients had the right to choose any willing provider (Dixon et al, 2010).</w:t>
      </w:r>
      <w:r w:rsidRPr="00410EE7">
        <w:t xml:space="preserve"> </w:t>
      </w:r>
      <w:r w:rsidRPr="00410EE7">
        <w:rPr>
          <w:sz w:val="24"/>
        </w:rPr>
        <w:t xml:space="preserve">  By widenin</w:t>
      </w:r>
      <w:r w:rsidR="00E75F71">
        <w:rPr>
          <w:sz w:val="24"/>
        </w:rPr>
        <w:t>g the available choice set the c</w:t>
      </w:r>
      <w:r w:rsidRPr="00410EE7">
        <w:rPr>
          <w:sz w:val="24"/>
        </w:rPr>
        <w:t xml:space="preserve">hoice reforms of 2006 and 2008 are likely to have increased </w:t>
      </w:r>
      <w:r w:rsidR="00E75F71">
        <w:rPr>
          <w:sz w:val="24"/>
        </w:rPr>
        <w:t>referrals, and reduced patient cancellations, and t</w:t>
      </w:r>
      <w:r w:rsidR="001D79E5">
        <w:rPr>
          <w:sz w:val="24"/>
        </w:rPr>
        <w:t>he probability of non-attendance</w:t>
      </w:r>
      <w:r w:rsidR="00E75F71">
        <w:rPr>
          <w:sz w:val="24"/>
        </w:rPr>
        <w:t>.</w:t>
      </w:r>
      <w:r w:rsidRPr="00410EE7">
        <w:rPr>
          <w:sz w:val="24"/>
        </w:rPr>
        <w:t xml:space="preserve"> </w:t>
      </w:r>
    </w:p>
    <w:p w:rsidR="004E72A9" w:rsidRPr="00410EE7" w:rsidRDefault="004E72A9" w:rsidP="004E72A9"/>
    <w:p w:rsidR="004E72A9" w:rsidRPr="00410EE7" w:rsidRDefault="00101F05" w:rsidP="00871096">
      <w:pPr>
        <w:pStyle w:val="Heading2"/>
        <w:spacing w:line="360" w:lineRule="auto"/>
      </w:pPr>
      <w:r>
        <w:t xml:space="preserve">Estimation </w:t>
      </w:r>
    </w:p>
    <w:p w:rsidR="00101F05" w:rsidRDefault="00101F05" w:rsidP="00871096"/>
    <w:p w:rsidR="004E72A9" w:rsidRPr="00410EE7" w:rsidRDefault="004E72A9" w:rsidP="00871096">
      <w:r w:rsidRPr="00410EE7">
        <w:t xml:space="preserve">We estimate </w:t>
      </w:r>
      <w:r w:rsidRPr="00E75F71">
        <w:t xml:space="preserve">Poisson </w:t>
      </w:r>
      <w:r w:rsidR="00E20268" w:rsidRPr="00E75F71">
        <w:t xml:space="preserve">conditional fixed effects </w:t>
      </w:r>
      <w:r w:rsidRPr="00E75F71">
        <w:t xml:space="preserve">count data models for GP practice patient non-attendance </w:t>
      </w:r>
      <w:r w:rsidR="00101F05" w:rsidRPr="00E75F71">
        <w:t>(</w:t>
      </w:r>
      <w:r w:rsidRPr="00E75F71">
        <w:rPr>
          <w:i/>
        </w:rPr>
        <w:t>N</w:t>
      </w:r>
      <w:r w:rsidRPr="00E75F71">
        <w:rPr>
          <w:i/>
          <w:vertAlign w:val="subscript"/>
        </w:rPr>
        <w:t>it</w:t>
      </w:r>
      <w:r w:rsidR="00101F05" w:rsidRPr="00E75F71">
        <w:t>)</w:t>
      </w:r>
      <w:r w:rsidRPr="00E75F71">
        <w:t>, patient cancellation (</w:t>
      </w:r>
      <w:proofErr w:type="spellStart"/>
      <w:r w:rsidRPr="00E75F71">
        <w:rPr>
          <w:i/>
        </w:rPr>
        <w:t>C</w:t>
      </w:r>
      <w:r w:rsidRPr="00E75F71">
        <w:rPr>
          <w:i/>
          <w:vertAlign w:val="subscript"/>
        </w:rPr>
        <w:t>it</w:t>
      </w:r>
      <w:proofErr w:type="spellEnd"/>
      <w:r w:rsidRPr="00E75F71">
        <w:t>), hospital cancellation (</w:t>
      </w:r>
      <w:r w:rsidRPr="00E75F71">
        <w:rPr>
          <w:i/>
        </w:rPr>
        <w:t>H</w:t>
      </w:r>
      <w:r w:rsidRPr="00E75F71">
        <w:rPr>
          <w:i/>
          <w:vertAlign w:val="subscript"/>
        </w:rPr>
        <w:t>it</w:t>
      </w:r>
      <w:r w:rsidRPr="00E75F71">
        <w:t>), and practice referrals (</w:t>
      </w:r>
      <w:proofErr w:type="spellStart"/>
      <w:r w:rsidRPr="00E75F71">
        <w:rPr>
          <w:i/>
        </w:rPr>
        <w:t>R</w:t>
      </w:r>
      <w:r w:rsidRPr="00E75F71">
        <w:rPr>
          <w:i/>
          <w:vertAlign w:val="subscript"/>
        </w:rPr>
        <w:t>it</w:t>
      </w:r>
      <w:proofErr w:type="spellEnd"/>
      <w:r w:rsidR="00E431B4">
        <w:t xml:space="preserve">).  </w:t>
      </w:r>
      <w:r w:rsidRPr="00410EE7">
        <w:t>For example</w:t>
      </w:r>
      <w:r w:rsidR="0082379D">
        <w:t>,</w:t>
      </w:r>
      <w:r w:rsidR="00E431B4">
        <w:t xml:space="preserve"> in our baseline model for</w:t>
      </w:r>
      <w:r w:rsidRPr="00410EE7">
        <w:t xml:space="preserve"> patient non-attendance</w:t>
      </w:r>
      <w:r w:rsidR="0082379D">
        <w:t>,</w:t>
      </w:r>
      <w:r w:rsidR="00E431B4">
        <w:t xml:space="preserve"> </w:t>
      </w:r>
      <w:r w:rsidRPr="00410EE7">
        <w:t xml:space="preserve">the expected number of patients not attending and failing to cancel in practice </w:t>
      </w:r>
      <w:r w:rsidRPr="00410EE7">
        <w:rPr>
          <w:i/>
        </w:rPr>
        <w:t xml:space="preserve">i </w:t>
      </w:r>
      <w:r w:rsidRPr="00410EE7">
        <w:t xml:space="preserve">in year </w:t>
      </w:r>
      <w:r w:rsidRPr="00410EE7">
        <w:rPr>
          <w:i/>
        </w:rPr>
        <w:t xml:space="preserve">t </w:t>
      </w:r>
      <w:r w:rsidRPr="00410EE7">
        <w:t xml:space="preserve">is </w:t>
      </w:r>
    </w:p>
    <w:p w:rsidR="004E72A9" w:rsidRPr="00410EE7" w:rsidRDefault="004E72A9" w:rsidP="00871096">
      <w:r w:rsidRPr="00410EE7">
        <w:t xml:space="preserve">       </w:t>
      </w:r>
      <w:r w:rsidR="0082379D" w:rsidRPr="00410EE7">
        <w:rPr>
          <w:position w:val="-34"/>
        </w:rPr>
        <w:object w:dxaOrig="7119"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85pt;height:40.7pt" o:ole="">
            <v:imagedata r:id="rId10" o:title=""/>
          </v:shape>
          <o:OLEObject Type="Embed" ProgID="Equation.DSMT4" ShapeID="_x0000_i1025" DrawAspect="Content" ObjectID="_1559744612" r:id="rId11"/>
        </w:object>
      </w:r>
      <w:r w:rsidRPr="00410EE7">
        <w:t xml:space="preserve">   </w:t>
      </w:r>
      <w:r w:rsidR="0082379D">
        <w:t xml:space="preserve">     </w:t>
      </w:r>
      <w:r w:rsidRPr="00410EE7">
        <w:t xml:space="preserve">  </w:t>
      </w:r>
      <w:r w:rsidR="0098778E" w:rsidRPr="00410EE7">
        <w:fldChar w:fldCharType="begin"/>
      </w:r>
      <w:r w:rsidRPr="00410EE7">
        <w:instrText xml:space="preserve"> MACROBUTTON MTPlaceRef \* MERGEFORMAT </w:instrText>
      </w:r>
      <w:r w:rsidR="0098778E" w:rsidRPr="00410EE7">
        <w:fldChar w:fldCharType="begin"/>
      </w:r>
      <w:r w:rsidRPr="00410EE7">
        <w:instrText xml:space="preserve"> SEQ MTEqn \h \* MERGEFORMAT </w:instrText>
      </w:r>
      <w:r w:rsidR="0098778E" w:rsidRPr="00410EE7">
        <w:fldChar w:fldCharType="end"/>
      </w:r>
      <w:bookmarkStart w:id="4" w:name="ZEqnNum407957"/>
      <w:r w:rsidRPr="00410EE7">
        <w:instrText>(</w:instrText>
      </w:r>
      <w:fldSimple w:instr=" SEQ MTEqn \c \* Arabic \* MERGEFORMAT ">
        <w:r w:rsidR="00335D7A">
          <w:rPr>
            <w:noProof/>
          </w:rPr>
          <w:instrText>1</w:instrText>
        </w:r>
      </w:fldSimple>
      <w:r w:rsidRPr="00410EE7">
        <w:instrText>)</w:instrText>
      </w:r>
      <w:bookmarkEnd w:id="4"/>
      <w:r w:rsidR="0098778E" w:rsidRPr="00410EE7">
        <w:fldChar w:fldCharType="end"/>
      </w:r>
    </w:p>
    <w:p w:rsidR="00E431B4" w:rsidRDefault="004E72A9" w:rsidP="003D4DFA">
      <w:pPr>
        <w:rPr>
          <w:rFonts w:eastAsiaTheme="minorEastAsia"/>
        </w:rPr>
      </w:pPr>
      <w:proofErr w:type="gramStart"/>
      <w:r w:rsidRPr="00410EE7">
        <w:rPr>
          <w:rFonts w:eastAsiaTheme="minorEastAsia"/>
          <w:i/>
        </w:rPr>
        <w:t>N</w:t>
      </w:r>
      <w:r w:rsidRPr="00410EE7">
        <w:rPr>
          <w:rFonts w:eastAsiaTheme="minorEastAsia"/>
          <w:i/>
          <w:vertAlign w:val="subscript"/>
        </w:rPr>
        <w:t xml:space="preserve">it  </w:t>
      </w:r>
      <w:r w:rsidRPr="00410EE7">
        <w:rPr>
          <w:rFonts w:eastAsiaTheme="minorEastAsia"/>
        </w:rPr>
        <w:t>is</w:t>
      </w:r>
      <w:proofErr w:type="gramEnd"/>
      <w:r w:rsidRPr="00410EE7">
        <w:rPr>
          <w:rFonts w:eastAsiaTheme="minorEastAsia"/>
        </w:rPr>
        <w:t xml:space="preserve"> the number of first scheduled appointments that were non-attended in practice </w:t>
      </w:r>
      <w:r w:rsidRPr="00410EE7">
        <w:rPr>
          <w:rFonts w:eastAsiaTheme="minorEastAsia"/>
          <w:i/>
        </w:rPr>
        <w:t xml:space="preserve">i </w:t>
      </w:r>
      <w:r w:rsidRPr="00410EE7">
        <w:rPr>
          <w:rFonts w:eastAsiaTheme="minorEastAsia"/>
        </w:rPr>
        <w:t>(</w:t>
      </w:r>
      <w:r w:rsidRPr="00410EE7">
        <w:rPr>
          <w:rFonts w:eastAsiaTheme="minorEastAsia"/>
          <w:i/>
        </w:rPr>
        <w:t>i</w:t>
      </w:r>
      <w:r w:rsidRPr="00410EE7">
        <w:rPr>
          <w:rFonts w:eastAsiaTheme="minorEastAsia"/>
        </w:rPr>
        <w:t xml:space="preserve"> = 1, 2, 3,........, 8449) in year </w:t>
      </w:r>
      <w:r w:rsidRPr="00410EE7">
        <w:rPr>
          <w:rFonts w:eastAsiaTheme="minorEastAsia"/>
          <w:i/>
        </w:rPr>
        <w:t>t</w:t>
      </w:r>
      <w:r w:rsidRPr="00410EE7">
        <w:rPr>
          <w:rFonts w:eastAsiaTheme="minorEastAsia"/>
        </w:rPr>
        <w:t xml:space="preserve"> (</w:t>
      </w:r>
      <w:r w:rsidRPr="00410EE7">
        <w:rPr>
          <w:rFonts w:eastAsiaTheme="minorEastAsia"/>
          <w:i/>
        </w:rPr>
        <w:t>t</w:t>
      </w:r>
      <w:r w:rsidRPr="00410EE7">
        <w:rPr>
          <w:rFonts w:eastAsiaTheme="minorEastAsia"/>
        </w:rPr>
        <w:t xml:space="preserve"> = 2004, 2005, ......,2009).  </w:t>
      </w:r>
      <w:r w:rsidR="009B0395" w:rsidRPr="00410EE7">
        <w:rPr>
          <w:i/>
        </w:rPr>
        <w:t>A</w:t>
      </w:r>
      <w:r w:rsidR="009B0395" w:rsidRPr="00410EE7">
        <w:rPr>
          <w:i/>
          <w:vertAlign w:val="subscript"/>
        </w:rPr>
        <w:t>it</w:t>
      </w:r>
      <w:r w:rsidR="009B0395" w:rsidRPr="00410EE7">
        <w:rPr>
          <w:rFonts w:eastAsiaTheme="minorEastAsia"/>
        </w:rPr>
        <w:t xml:space="preserve"> </w:t>
      </w:r>
      <w:r w:rsidR="009B0395">
        <w:rPr>
          <w:rFonts w:eastAsiaTheme="minorEastAsia"/>
        </w:rPr>
        <w:t xml:space="preserve">is the number who were referred and attended so that </w:t>
      </w:r>
      <w:r w:rsidRPr="00410EE7">
        <w:rPr>
          <w:i/>
        </w:rPr>
        <w:t>N</w:t>
      </w:r>
      <w:r w:rsidRPr="00410EE7">
        <w:rPr>
          <w:i/>
          <w:vertAlign w:val="subscript"/>
        </w:rPr>
        <w:t xml:space="preserve">it </w:t>
      </w:r>
      <w:r w:rsidRPr="00410EE7">
        <w:t xml:space="preserve">+ </w:t>
      </w:r>
      <w:proofErr w:type="spellStart"/>
      <w:r w:rsidRPr="00410EE7">
        <w:rPr>
          <w:i/>
        </w:rPr>
        <w:t>C</w:t>
      </w:r>
      <w:r w:rsidRPr="00410EE7">
        <w:rPr>
          <w:i/>
          <w:vertAlign w:val="subscript"/>
        </w:rPr>
        <w:t>it</w:t>
      </w:r>
      <w:proofErr w:type="spellEnd"/>
      <w:r w:rsidRPr="00410EE7">
        <w:rPr>
          <w:i/>
          <w:vertAlign w:val="subscript"/>
        </w:rPr>
        <w:t xml:space="preserve"> </w:t>
      </w:r>
      <w:r w:rsidRPr="00410EE7">
        <w:t xml:space="preserve">+ </w:t>
      </w:r>
      <w:r w:rsidRPr="00410EE7">
        <w:rPr>
          <w:i/>
        </w:rPr>
        <w:t>A</w:t>
      </w:r>
      <w:r w:rsidRPr="00410EE7">
        <w:rPr>
          <w:i/>
          <w:vertAlign w:val="subscript"/>
        </w:rPr>
        <w:t>it</w:t>
      </w:r>
      <w:r w:rsidRPr="00410EE7">
        <w:rPr>
          <w:rFonts w:eastAsiaTheme="minorEastAsia"/>
        </w:rPr>
        <w:t xml:space="preserve"> </w:t>
      </w:r>
      <w:proofErr w:type="gramStart"/>
      <w:r w:rsidRPr="00410EE7">
        <w:rPr>
          <w:rFonts w:eastAsiaTheme="minorEastAsia"/>
        </w:rPr>
        <w:t>is</w:t>
      </w:r>
      <w:proofErr w:type="gramEnd"/>
      <w:r w:rsidRPr="00410EE7">
        <w:rPr>
          <w:rFonts w:eastAsiaTheme="minorEastAsia"/>
        </w:rPr>
        <w:t xml:space="preserve"> the exposure term – the population at risk of </w:t>
      </w:r>
      <w:r w:rsidR="0082379D">
        <w:rPr>
          <w:rFonts w:eastAsiaTheme="minorEastAsia"/>
        </w:rPr>
        <w:t>deciding not to attend without cancelling</w:t>
      </w:r>
      <w:r w:rsidR="009B0395">
        <w:rPr>
          <w:rFonts w:eastAsiaTheme="minorEastAsia"/>
        </w:rPr>
        <w:t>. T</w:t>
      </w:r>
      <w:r w:rsidR="0082379D">
        <w:rPr>
          <w:rFonts w:eastAsiaTheme="minorEastAsia"/>
        </w:rPr>
        <w:t xml:space="preserve">he </w:t>
      </w:r>
      <w:r w:rsidR="004F5599">
        <w:rPr>
          <w:rFonts w:eastAsiaTheme="minorEastAsia"/>
        </w:rPr>
        <w:t>coefficient on</w:t>
      </w:r>
      <w:r>
        <w:rPr>
          <w:rFonts w:eastAsiaTheme="minorEastAsia"/>
        </w:rPr>
        <w:t xml:space="preserve"> </w:t>
      </w:r>
      <w:r w:rsidRPr="00410EE7">
        <w:rPr>
          <w:rFonts w:eastAsiaTheme="minorEastAsia"/>
          <w:i/>
        </w:rPr>
        <w:t xml:space="preserve">ln </w:t>
      </w:r>
      <w:r w:rsidRPr="00410EE7">
        <w:rPr>
          <w:rFonts w:eastAsiaTheme="minorEastAsia"/>
        </w:rPr>
        <w:t>(</w:t>
      </w:r>
      <w:r w:rsidRPr="00410EE7">
        <w:rPr>
          <w:i/>
        </w:rPr>
        <w:t>N</w:t>
      </w:r>
      <w:r w:rsidRPr="00410EE7">
        <w:rPr>
          <w:i/>
          <w:vertAlign w:val="subscript"/>
        </w:rPr>
        <w:t xml:space="preserve">it </w:t>
      </w:r>
      <w:r w:rsidRPr="00410EE7">
        <w:t xml:space="preserve">+ </w:t>
      </w:r>
      <w:proofErr w:type="spellStart"/>
      <w:r w:rsidRPr="00410EE7">
        <w:rPr>
          <w:i/>
        </w:rPr>
        <w:t>C</w:t>
      </w:r>
      <w:r w:rsidRPr="00410EE7">
        <w:rPr>
          <w:i/>
          <w:vertAlign w:val="subscript"/>
        </w:rPr>
        <w:t>it</w:t>
      </w:r>
      <w:proofErr w:type="spellEnd"/>
      <w:r w:rsidRPr="00410EE7">
        <w:rPr>
          <w:i/>
          <w:vertAlign w:val="subscript"/>
        </w:rPr>
        <w:t xml:space="preserve"> </w:t>
      </w:r>
      <w:r w:rsidRPr="00410EE7">
        <w:t xml:space="preserve">+ </w:t>
      </w:r>
      <w:r w:rsidRPr="00410EE7">
        <w:rPr>
          <w:i/>
        </w:rPr>
        <w:t>A</w:t>
      </w:r>
      <w:r w:rsidRPr="00410EE7">
        <w:rPr>
          <w:i/>
          <w:vertAlign w:val="subscript"/>
        </w:rPr>
        <w:t>it</w:t>
      </w:r>
      <w:r w:rsidR="0082379D">
        <w:rPr>
          <w:rFonts w:eastAsiaTheme="minorEastAsia"/>
        </w:rPr>
        <w:t xml:space="preserve">) </w:t>
      </w:r>
      <w:r w:rsidR="004F5599">
        <w:rPr>
          <w:rFonts w:eastAsiaTheme="minorEastAsia"/>
        </w:rPr>
        <w:t xml:space="preserve">is </w:t>
      </w:r>
      <w:r w:rsidRPr="00410EE7">
        <w:rPr>
          <w:rFonts w:eastAsiaTheme="minorEastAsia"/>
        </w:rPr>
        <w:t xml:space="preserve">constrained to be equal to </w:t>
      </w:r>
      <w:r w:rsidRPr="00410EE7">
        <w:rPr>
          <w:rFonts w:eastAsiaTheme="minorEastAsia"/>
        </w:rPr>
        <w:lastRenderedPageBreak/>
        <w:t>1.</w:t>
      </w:r>
      <w:r w:rsidRPr="00410EE7">
        <w:rPr>
          <w:rStyle w:val="FootnoteReference"/>
          <w:rFonts w:eastAsiaTheme="minorEastAsia"/>
        </w:rPr>
        <w:footnoteReference w:id="10"/>
      </w:r>
      <w:r w:rsidRPr="00410EE7">
        <w:rPr>
          <w:rFonts w:eastAsiaTheme="minorEastAsia"/>
        </w:rPr>
        <w:t xml:space="preserve">   </w:t>
      </w:r>
      <w:proofErr w:type="spellStart"/>
      <w:r w:rsidRPr="00410EE7">
        <w:rPr>
          <w:rFonts w:eastAsiaTheme="minorEastAsia"/>
          <w:i/>
        </w:rPr>
        <w:t>X</w:t>
      </w:r>
      <w:r w:rsidRPr="00410EE7">
        <w:rPr>
          <w:rFonts w:eastAsiaTheme="minorEastAsia"/>
          <w:i/>
          <w:vertAlign w:val="subscript"/>
        </w:rPr>
        <w:t>it</w:t>
      </w:r>
      <w:proofErr w:type="spellEnd"/>
      <w:r w:rsidRPr="00410EE7">
        <w:rPr>
          <w:rFonts w:eastAsiaTheme="minorEastAsia"/>
          <w:vertAlign w:val="subscript"/>
        </w:rPr>
        <w:t xml:space="preserve"> </w:t>
      </w:r>
      <w:r w:rsidRPr="00410EE7">
        <w:rPr>
          <w:rFonts w:eastAsiaTheme="minorEastAsia"/>
        </w:rPr>
        <w:t xml:space="preserve">is a vector of GP practice covariates; </w:t>
      </w:r>
      <w:r w:rsidR="005B56FB" w:rsidRPr="00410EE7">
        <w:rPr>
          <w:rFonts w:eastAsiaTheme="minorEastAsia"/>
          <w:position w:val="-12"/>
        </w:rPr>
        <w:object w:dxaOrig="320" w:dyaOrig="360">
          <v:shape id="_x0000_i1026" type="#_x0000_t75" style="width:15.65pt;height:18.8pt" o:ole="">
            <v:imagedata r:id="rId12" o:title=""/>
          </v:shape>
          <o:OLEObject Type="Embed" ProgID="Equation.DSMT4" ShapeID="_x0000_i1026" DrawAspect="Content" ObjectID="_1559744613" r:id="rId13"/>
        </w:object>
      </w:r>
      <w:r w:rsidRPr="00410EE7">
        <w:rPr>
          <w:rFonts w:eastAsiaTheme="minorEastAsia"/>
        </w:rPr>
        <w:t xml:space="preserve"> is a year indicator for year </w:t>
      </w:r>
      <w:r w:rsidRPr="00410EE7">
        <w:rPr>
          <w:rFonts w:eastAsiaTheme="minorEastAsia"/>
          <w:i/>
        </w:rPr>
        <w:t>t</w:t>
      </w:r>
      <w:r w:rsidRPr="00410EE7">
        <w:rPr>
          <w:rFonts w:eastAsiaTheme="minorEastAsia"/>
        </w:rPr>
        <w:sym w:font="Symbol" w:char="F0A2"/>
      </w:r>
      <w:r w:rsidR="005B56FB">
        <w:rPr>
          <w:rFonts w:eastAsiaTheme="minorEastAsia"/>
        </w:rPr>
        <w:t>, with</w:t>
      </w:r>
      <w:r w:rsidRPr="00410EE7">
        <w:rPr>
          <w:rFonts w:eastAsiaTheme="minorEastAsia"/>
        </w:rPr>
        <w:t xml:space="preserve"> 2004 as the omitted year.  </w:t>
      </w:r>
      <w:proofErr w:type="spellStart"/>
      <w:r w:rsidRPr="00410EE7">
        <w:rPr>
          <w:rFonts w:eastAsiaTheme="minorEastAsia"/>
          <w:i/>
        </w:rPr>
        <w:t>S</w:t>
      </w:r>
      <w:r w:rsidRPr="00410EE7">
        <w:rPr>
          <w:rFonts w:eastAsiaTheme="minorEastAsia"/>
          <w:i/>
          <w:vertAlign w:val="subscript"/>
        </w:rPr>
        <w:t>j</w:t>
      </w:r>
      <w:proofErr w:type="spellEnd"/>
      <w:r w:rsidRPr="00410EE7">
        <w:rPr>
          <w:rFonts w:eastAsiaTheme="minorEastAsia"/>
          <w:i/>
          <w:vertAlign w:val="subscript"/>
        </w:rPr>
        <w:t xml:space="preserve"> </w:t>
      </w:r>
      <w:r w:rsidRPr="00410EE7">
        <w:rPr>
          <w:rFonts w:eastAsiaTheme="minorEastAsia"/>
        </w:rPr>
        <w:t>(</w:t>
      </w:r>
      <w:r w:rsidRPr="00410EE7">
        <w:rPr>
          <w:rFonts w:eastAsiaTheme="minorEastAsia"/>
          <w:i/>
        </w:rPr>
        <w:t xml:space="preserve">j = </w:t>
      </w:r>
      <w:r w:rsidRPr="00410EE7">
        <w:rPr>
          <w:rFonts w:eastAsiaTheme="minorEastAsia"/>
        </w:rPr>
        <w:t>1, 2,...</w:t>
      </w:r>
      <w:proofErr w:type="gramStart"/>
      <w:r w:rsidRPr="00410EE7">
        <w:rPr>
          <w:rFonts w:eastAsiaTheme="minorEastAsia"/>
        </w:rPr>
        <w:t>,10</w:t>
      </w:r>
      <w:proofErr w:type="gramEnd"/>
      <w:r w:rsidRPr="00410EE7">
        <w:rPr>
          <w:rFonts w:eastAsiaTheme="minorEastAsia"/>
        </w:rPr>
        <w:t xml:space="preserve">) </w:t>
      </w:r>
      <w:r w:rsidR="00404D29">
        <w:rPr>
          <w:rFonts w:eastAsiaTheme="minorEastAsia"/>
        </w:rPr>
        <w:t>is a regional (</w:t>
      </w:r>
      <w:r w:rsidRPr="00410EE7">
        <w:rPr>
          <w:rFonts w:eastAsiaTheme="minorEastAsia"/>
        </w:rPr>
        <w:t>S</w:t>
      </w:r>
      <w:r w:rsidR="00404D29">
        <w:rPr>
          <w:rFonts w:eastAsiaTheme="minorEastAsia"/>
        </w:rPr>
        <w:t>trategic Health Authority) indicator.</w:t>
      </w:r>
      <w:r w:rsidRPr="00410EE7">
        <w:rPr>
          <w:rFonts w:eastAsiaTheme="minorEastAsia"/>
        </w:rPr>
        <w:t xml:space="preserve"> </w:t>
      </w:r>
      <w:r w:rsidR="00404D29">
        <w:rPr>
          <w:rFonts w:eastAsiaTheme="minorEastAsia"/>
        </w:rPr>
        <w:t xml:space="preserve"> </w:t>
      </w:r>
      <w:r w:rsidR="009B0395" w:rsidRPr="009B0395">
        <w:rPr>
          <w:rFonts w:eastAsiaTheme="minorEastAsia"/>
          <w:i/>
        </w:rPr>
        <w:t>B</w:t>
      </w:r>
      <w:r w:rsidR="009B0395" w:rsidRPr="009B0395">
        <w:rPr>
          <w:rFonts w:eastAsiaTheme="minorEastAsia"/>
          <w:i/>
          <w:vertAlign w:val="subscript"/>
        </w:rPr>
        <w:t>it</w:t>
      </w:r>
      <w:r w:rsidR="009B0395">
        <w:rPr>
          <w:rFonts w:eastAsiaTheme="minorEastAsia"/>
        </w:rPr>
        <w:t xml:space="preserve"> is the number of referrals made via C&amp;B and </w:t>
      </w:r>
      <w:r w:rsidR="00404D29" w:rsidRPr="00E75F71">
        <w:rPr>
          <w:i/>
        </w:rPr>
        <w:t>B</w:t>
      </w:r>
      <w:r w:rsidR="00404D29" w:rsidRPr="00E75F71">
        <w:rPr>
          <w:i/>
          <w:vertAlign w:val="subscript"/>
        </w:rPr>
        <w:t>it</w:t>
      </w:r>
      <w:r w:rsidR="00404D29" w:rsidRPr="00E75F71">
        <w:t>/</w:t>
      </w:r>
      <w:proofErr w:type="spellStart"/>
      <w:r w:rsidR="00404D29" w:rsidRPr="00E75F71">
        <w:rPr>
          <w:i/>
        </w:rPr>
        <w:t>R</w:t>
      </w:r>
      <w:r w:rsidR="00404D29" w:rsidRPr="00E75F71">
        <w:rPr>
          <w:i/>
          <w:vertAlign w:val="subscript"/>
        </w:rPr>
        <w:t>it</w:t>
      </w:r>
      <w:proofErr w:type="spellEnd"/>
      <w:r w:rsidR="00404D29">
        <w:t xml:space="preserve"> is t</w:t>
      </w:r>
      <w:r w:rsidR="00A328A7">
        <w:t>he practice C&amp;B</w:t>
      </w:r>
      <w:r w:rsidR="00A328A7" w:rsidRPr="00E75F71">
        <w:t xml:space="preserve"> utilisation rate</w:t>
      </w:r>
      <w:r w:rsidR="00404D29">
        <w:t>.</w:t>
      </w:r>
      <w:r w:rsidR="00A328A7" w:rsidRPr="00E75F71">
        <w:t xml:space="preserve"> </w:t>
      </w:r>
    </w:p>
    <w:p w:rsidR="00E431B4" w:rsidRDefault="00E431B4" w:rsidP="003D4DFA">
      <w:pPr>
        <w:rPr>
          <w:rFonts w:eastAsiaTheme="minorEastAsia"/>
        </w:rPr>
      </w:pPr>
    </w:p>
    <w:p w:rsidR="004E72A9" w:rsidRPr="00410EE7" w:rsidRDefault="004E72A9" w:rsidP="003D4DFA">
      <w:r w:rsidRPr="00410EE7">
        <w:rPr>
          <w:rFonts w:eastAsiaTheme="minorEastAsia"/>
          <w:i/>
        </w:rPr>
        <w:sym w:font="Symbol" w:char="F071"/>
      </w:r>
      <w:r w:rsidRPr="00410EE7">
        <w:rPr>
          <w:rFonts w:eastAsiaTheme="minorEastAsia"/>
          <w:i/>
          <w:vertAlign w:val="subscript"/>
        </w:rPr>
        <w:t>i</w:t>
      </w:r>
      <w:r w:rsidRPr="00410EE7">
        <w:rPr>
          <w:rFonts w:eastAsiaTheme="minorEastAsia"/>
        </w:rPr>
        <w:t xml:space="preserve"> is a time invariant unob</w:t>
      </w:r>
      <w:r w:rsidR="00E20268">
        <w:rPr>
          <w:rFonts w:eastAsiaTheme="minorEastAsia"/>
        </w:rPr>
        <w:t xml:space="preserve">served GP practice fixed effect </w:t>
      </w:r>
      <w:r w:rsidR="00AD28F7">
        <w:rPr>
          <w:rFonts w:eastAsiaTheme="minorEastAsia"/>
        </w:rPr>
        <w:t xml:space="preserve">but, as in the linear and logit specifications, there is no incidental </w:t>
      </w:r>
      <w:r w:rsidR="00AD28F7" w:rsidRPr="00D60E16">
        <w:rPr>
          <w:rFonts w:eastAsiaTheme="minorEastAsia"/>
        </w:rPr>
        <w:t xml:space="preserve">parameter problem and maximum likelihood estimates of </w:t>
      </w:r>
      <w:r w:rsidR="00AD28F7" w:rsidRPr="00D60E16">
        <w:rPr>
          <w:rFonts w:eastAsiaTheme="minorEastAsia"/>
          <w:b/>
        </w:rPr>
        <w:sym w:font="Symbol" w:char="F062"/>
      </w:r>
      <w:r w:rsidR="00AD28F7" w:rsidRPr="00D60E16">
        <w:rPr>
          <w:rFonts w:eastAsiaTheme="minorEastAsia"/>
        </w:rPr>
        <w:t xml:space="preserve"> are consistent even in short panels (Blundell</w:t>
      </w:r>
      <w:r w:rsidR="00995FDA" w:rsidRPr="00D60E16">
        <w:rPr>
          <w:rFonts w:eastAsiaTheme="minorEastAsia"/>
        </w:rPr>
        <w:t xml:space="preserve"> et al,</w:t>
      </w:r>
      <w:r w:rsidR="00AD28F7" w:rsidRPr="00D60E16">
        <w:rPr>
          <w:rFonts w:eastAsiaTheme="minorEastAsia"/>
        </w:rPr>
        <w:t xml:space="preserve"> 2002</w:t>
      </w:r>
      <w:r w:rsidR="00D60E16" w:rsidRPr="00D60E16">
        <w:rPr>
          <w:rFonts w:eastAsiaTheme="minorEastAsia"/>
        </w:rPr>
        <w:t xml:space="preserve">; </w:t>
      </w:r>
      <w:r w:rsidR="00D60E16" w:rsidRPr="00D60E16">
        <w:t>Cameron and Trivedi, 2015</w:t>
      </w:r>
      <w:r w:rsidR="00AD28F7" w:rsidRPr="00D60E16">
        <w:rPr>
          <w:rFonts w:eastAsiaTheme="minorEastAsia"/>
        </w:rPr>
        <w:t>).</w:t>
      </w:r>
      <w:r w:rsidR="00AD28F7" w:rsidRPr="00AD28F7">
        <w:rPr>
          <w:rFonts w:eastAsiaTheme="minorEastAsia"/>
        </w:rPr>
        <w:t xml:space="preserve"> </w:t>
      </w:r>
      <w:r w:rsidRPr="00AD28F7">
        <w:t>We</w:t>
      </w:r>
      <w:r w:rsidRPr="007A39AB">
        <w:t xml:space="preserve"> use cluster robust standard errors </w:t>
      </w:r>
      <w:r w:rsidR="00533414">
        <w:t xml:space="preserve">which are valid even if the Poisson property of </w:t>
      </w:r>
      <w:proofErr w:type="spellStart"/>
      <w:r w:rsidR="00533414">
        <w:t>equidispersion</w:t>
      </w:r>
      <w:proofErr w:type="spellEnd"/>
      <w:r w:rsidR="00533414">
        <w:t xml:space="preserve"> does not hold </w:t>
      </w:r>
      <w:r w:rsidRPr="007A39AB">
        <w:t>(Cameron</w:t>
      </w:r>
      <w:r w:rsidRPr="00410EE7">
        <w:t xml:space="preserve"> and Trivedi, 2015) </w:t>
      </w:r>
      <w:r w:rsidR="007A39AB">
        <w:t xml:space="preserve">and </w:t>
      </w:r>
      <w:r w:rsidR="00980604">
        <w:t xml:space="preserve">also </w:t>
      </w:r>
      <w:r w:rsidRPr="00410EE7">
        <w:t>allow for within practice autocorrelation (Bertrand et al., 2004</w:t>
      </w:r>
      <w:r w:rsidRPr="002C4B9D">
        <w:t>). Models wer</w:t>
      </w:r>
      <w:r w:rsidR="003A7B52">
        <w:t xml:space="preserve">e estimated using Stata </w:t>
      </w:r>
      <w:r w:rsidRPr="003A7B52">
        <w:t>13.</w:t>
      </w:r>
      <w:r w:rsidR="00E20268" w:rsidRPr="003A7B52">
        <w:t>2</w:t>
      </w:r>
      <w:r w:rsidRPr="003A7B52">
        <w:t>.</w:t>
      </w:r>
    </w:p>
    <w:p w:rsidR="004E72A9" w:rsidRPr="00410EE7" w:rsidRDefault="004E72A9" w:rsidP="001B4264"/>
    <w:p w:rsidR="004E72A9" w:rsidRPr="00410EE7" w:rsidRDefault="004E72A9" w:rsidP="001B4264">
      <w:pPr>
        <w:pStyle w:val="Heading2"/>
        <w:spacing w:line="360" w:lineRule="auto"/>
      </w:pPr>
      <w:r w:rsidRPr="00410EE7">
        <w:t xml:space="preserve">Identification </w:t>
      </w:r>
    </w:p>
    <w:p w:rsidR="00BD71B4" w:rsidRDefault="004E72A9" w:rsidP="009B0395">
      <w:pPr>
        <w:tabs>
          <w:tab w:val="left" w:pos="7513"/>
        </w:tabs>
      </w:pPr>
      <w:r w:rsidRPr="00410EE7">
        <w:t xml:space="preserve">There are two </w:t>
      </w:r>
      <w:r>
        <w:t xml:space="preserve">potential </w:t>
      </w:r>
      <w:r w:rsidR="00BD71B4">
        <w:t xml:space="preserve">endogeneity </w:t>
      </w:r>
      <w:r w:rsidRPr="00410EE7">
        <w:t xml:space="preserve">problems in </w:t>
      </w:r>
      <w:r w:rsidR="007A39AB">
        <w:t>identifying</w:t>
      </w:r>
      <w:r w:rsidRPr="00410EE7">
        <w:t xml:space="preserve"> the effect of the C&amp;B rate on </w:t>
      </w:r>
      <w:r w:rsidR="009B0395">
        <w:t xml:space="preserve">referral outcomes and the referral rate. </w:t>
      </w:r>
      <w:r w:rsidRPr="00410EE7">
        <w:t>The first is that there may be unobserved practice charac</w:t>
      </w:r>
      <w:r w:rsidR="009B0395">
        <w:t xml:space="preserve">teristics influencing both </w:t>
      </w:r>
      <w:r w:rsidRPr="00410EE7">
        <w:t>C&amp;B rate</w:t>
      </w:r>
      <w:r w:rsidR="009B0395">
        <w:t>s</w:t>
      </w:r>
      <w:r w:rsidRPr="00410EE7">
        <w:t xml:space="preserve"> and </w:t>
      </w:r>
      <w:r w:rsidR="00BE1903">
        <w:t xml:space="preserve">referral outcomes or referral </w:t>
      </w:r>
      <w:r w:rsidRPr="00410EE7">
        <w:t xml:space="preserve">rates.  </w:t>
      </w:r>
      <w:r w:rsidR="009F1D72">
        <w:t>For example,</w:t>
      </w:r>
      <w:r w:rsidRPr="00410EE7">
        <w:t xml:space="preserve"> practices with historically high non-attendance rates might have felt they had more to gain by referring patients using the C&amp;B system. </w:t>
      </w:r>
    </w:p>
    <w:p w:rsidR="00BD71B4" w:rsidRDefault="00BD71B4" w:rsidP="009B0395">
      <w:pPr>
        <w:tabs>
          <w:tab w:val="left" w:pos="7513"/>
        </w:tabs>
      </w:pPr>
    </w:p>
    <w:p w:rsidR="00BB0224" w:rsidRDefault="004E72A9" w:rsidP="00E6195A">
      <w:pPr>
        <w:tabs>
          <w:tab w:val="left" w:pos="7513"/>
        </w:tabs>
      </w:pPr>
      <w:r w:rsidRPr="00410EE7">
        <w:t xml:space="preserve">The second potential problem is </w:t>
      </w:r>
      <w:r w:rsidR="00BD71B4">
        <w:t xml:space="preserve">time varying endogeneity.  In particular, there </w:t>
      </w:r>
      <w:r w:rsidR="009F1D72">
        <w:t xml:space="preserve">were </w:t>
      </w:r>
      <w:r>
        <w:t>other policy changes between 2004 and 2009</w:t>
      </w:r>
      <w:r w:rsidRPr="00410EE7">
        <w:t xml:space="preserve"> which might have affected outcomes</w:t>
      </w:r>
      <w:r>
        <w:t>.</w:t>
      </w:r>
      <w:r w:rsidRPr="00410EE7">
        <w:t xml:space="preserve"> A system of prospective pricing for hospital inpatient stays and outpatient appointments, Payment by Results (</w:t>
      </w:r>
      <w:proofErr w:type="spellStart"/>
      <w:r w:rsidRPr="00410EE7">
        <w:t>PbR</w:t>
      </w:r>
      <w:proofErr w:type="spellEnd"/>
      <w:r w:rsidRPr="00410EE7">
        <w:t xml:space="preserve">), was rolled out from 2004/5 (Department of Health, 2012).    There were major changes to the contract between the NHS and general practices in April 2004 (Quality and Outcomes Framework – QOF) which incentivised care for particular patient groups and could have influenced referrals for outpatient diagnosis and testing (Roland, 2004; Gillam et al, 2012).  </w:t>
      </w:r>
    </w:p>
    <w:p w:rsidR="00BB0224" w:rsidRDefault="00BB0224" w:rsidP="00E6195A">
      <w:pPr>
        <w:tabs>
          <w:tab w:val="left" w:pos="7513"/>
        </w:tabs>
      </w:pPr>
    </w:p>
    <w:p w:rsidR="00BD71B4" w:rsidRDefault="004E72A9" w:rsidP="00E6195A">
      <w:pPr>
        <w:tabs>
          <w:tab w:val="left" w:pos="7513"/>
        </w:tabs>
      </w:pPr>
      <w:r w:rsidRPr="00410EE7">
        <w:t xml:space="preserve">Most saliently, from January 2006 all patients had to be offered a choice of at least 4 local hospitals when making an outpatient appointment and from April 2008 patients had a right to be referred to any hospital providing services to NHS patients (Dixon et al, 2010).  </w:t>
      </w:r>
      <w:r>
        <w:t xml:space="preserve">To help </w:t>
      </w:r>
      <w:r>
        <w:lastRenderedPageBreak/>
        <w:t xml:space="preserve">patients make choices the NHS Choices website was </w:t>
      </w:r>
      <w:r w:rsidRPr="00394857">
        <w:t>introduced in 2007</w:t>
      </w:r>
      <w:r w:rsidRPr="00394857">
        <w:rPr>
          <w:rStyle w:val="FootnoteReference"/>
        </w:rPr>
        <w:t xml:space="preserve"> </w:t>
      </w:r>
      <w:r w:rsidRPr="00394857">
        <w:rPr>
          <w:rStyle w:val="FootnoteReference"/>
          <w:vertAlign w:val="baseline"/>
        </w:rPr>
        <w:t>to provide</w:t>
      </w:r>
      <w:r>
        <w:rPr>
          <w:rStyle w:val="FootnoteReference"/>
          <w:vertAlign w:val="baseline"/>
        </w:rPr>
        <w:t xml:space="preserve"> </w:t>
      </w:r>
      <w:r>
        <w:t>information on hospitals.</w:t>
      </w:r>
      <w:r w:rsidR="00BB0224">
        <w:rPr>
          <w:rStyle w:val="FootnoteReference"/>
        </w:rPr>
        <w:footnoteReference w:id="11"/>
      </w:r>
      <w:r>
        <w:t xml:space="preserve"> </w:t>
      </w:r>
      <w:r w:rsidR="00E6195A">
        <w:t xml:space="preserve">The widening of </w:t>
      </w:r>
      <w:r w:rsidR="009F1D72">
        <w:t>patients’ hospital choice sets</w:t>
      </w:r>
      <w:r w:rsidR="00E6195A">
        <w:t xml:space="preserve"> is likely to have increased referrals and reduced non-attendance once referred.</w:t>
      </w:r>
      <w:r w:rsidR="00AF2C89">
        <w:t xml:space="preserve"> </w:t>
      </w:r>
      <w:r w:rsidR="00E6195A">
        <w:t xml:space="preserve"> </w:t>
      </w:r>
      <w:r w:rsidR="00AF2C89">
        <w:t xml:space="preserve">GPs’ use of C&amp;B was </w:t>
      </w:r>
      <w:r w:rsidR="00E6195A">
        <w:t xml:space="preserve">probably </w:t>
      </w:r>
      <w:r w:rsidR="00AF2C89">
        <w:t>correlated with their propensity to offer a wider choice o</w:t>
      </w:r>
      <w:r w:rsidR="00995FDA">
        <w:t>f hospital (Dixon et al, 2010</w:t>
      </w:r>
      <w:r w:rsidR="00995FDA" w:rsidRPr="00AA1821">
        <w:t>).</w:t>
      </w:r>
      <w:r w:rsidR="00E6195A">
        <w:rPr>
          <w:rStyle w:val="FootnoteReference"/>
        </w:rPr>
        <w:footnoteReference w:id="12"/>
      </w:r>
      <w:r w:rsidR="00E6195A">
        <w:t xml:space="preserve"> </w:t>
      </w:r>
      <w:r w:rsidR="00995FDA" w:rsidRPr="00AA1821">
        <w:t xml:space="preserve">  </w:t>
      </w:r>
    </w:p>
    <w:p w:rsidR="00BD71B4" w:rsidRDefault="00BD71B4" w:rsidP="00E6195A">
      <w:pPr>
        <w:tabs>
          <w:tab w:val="left" w:pos="7513"/>
        </w:tabs>
      </w:pPr>
    </w:p>
    <w:p w:rsidR="009B0395" w:rsidRDefault="00AF2C89" w:rsidP="00AF2C89">
      <w:pPr>
        <w:tabs>
          <w:tab w:val="left" w:pos="7513"/>
        </w:tabs>
      </w:pPr>
      <w:r w:rsidRPr="00AA1821">
        <w:t xml:space="preserve">The use of year by region fixed effects will also control for common time varying changes in </w:t>
      </w:r>
      <w:r w:rsidR="00BB0224">
        <w:t xml:space="preserve">the offer of </w:t>
      </w:r>
      <w:r w:rsidRPr="00AA1821">
        <w:t xml:space="preserve">choice as well as absorbing the effects of policies which varied by year, either nationally or regionally as well as allowing for differential trends in unobserved factors influencing outcomes across practices. We </w:t>
      </w:r>
      <w:r w:rsidR="00BB0224">
        <w:t xml:space="preserve">also </w:t>
      </w:r>
      <w:r w:rsidRPr="00AA1821">
        <w:t>include time varying GP practice characteristics that may have influenced C&amp;B uptake as well as patient non-attendance. For example, the number of GP practices fell between 2004 and 2009, with a declining proportion of small single handed practices and an increasing proportion of large multi-GP practices.  To control for any possible effect of practice size and staffing we include both the practice list size and the number of GPs per patient in the model. We also include time varying indicators of organisational quality of GP practices</w:t>
      </w:r>
      <w:r w:rsidR="00995FDA" w:rsidRPr="00AA1821">
        <w:t xml:space="preserve">. </w:t>
      </w:r>
      <w:r w:rsidRPr="00AA1821">
        <w:t>We further include the proportion of practice referrals to ove</w:t>
      </w:r>
      <w:r w:rsidR="00E6195A">
        <w:t xml:space="preserve">r 50 specialities in each year to </w:t>
      </w:r>
      <w:r w:rsidRPr="00AA1821">
        <w:t xml:space="preserve">control for policies like prospective pricing and the new practice contract whose effects could vary by speciality. </w:t>
      </w:r>
    </w:p>
    <w:p w:rsidR="00BD71B4" w:rsidRDefault="00BD71B4" w:rsidP="00AF2C89">
      <w:pPr>
        <w:tabs>
          <w:tab w:val="left" w:pos="7513"/>
        </w:tabs>
      </w:pPr>
    </w:p>
    <w:p w:rsidR="00BD71B4" w:rsidRDefault="00BD71B4" w:rsidP="00BD71B4">
      <w:pPr>
        <w:tabs>
          <w:tab w:val="left" w:pos="7513"/>
        </w:tabs>
      </w:pPr>
      <w:r w:rsidRPr="00AA1821">
        <w:t xml:space="preserve">We allow for </w:t>
      </w:r>
      <w:r w:rsidR="00BB0224">
        <w:t>any remaining endo</w:t>
      </w:r>
      <w:r w:rsidR="0083482E">
        <w:t>g</w:t>
      </w:r>
      <w:r w:rsidR="00BB0224">
        <w:t xml:space="preserve">eneity in </w:t>
      </w:r>
      <w:r>
        <w:t>t</w:t>
      </w:r>
      <w:r w:rsidR="00E46836">
        <w:t>wo</w:t>
      </w:r>
      <w:r>
        <w:t xml:space="preserve"> ways</w:t>
      </w:r>
      <w:r w:rsidRPr="00AA1821">
        <w:t xml:space="preserve">.  </w:t>
      </w:r>
      <w:r w:rsidR="00BB0224">
        <w:t xml:space="preserve">First, all specifications </w:t>
      </w:r>
      <w:r w:rsidR="00D60E16">
        <w:t xml:space="preserve">condition out </w:t>
      </w:r>
      <w:r w:rsidR="00BB0224">
        <w:t xml:space="preserve">practice effects so that </w:t>
      </w:r>
      <w:r>
        <w:t>we use</w:t>
      </w:r>
      <w:r w:rsidRPr="00995FDA">
        <w:t xml:space="preserve"> only the variation in C&amp;B uptake within GP practices over time, </w:t>
      </w:r>
      <w:r>
        <w:t xml:space="preserve">thereby removing the effects of time invariant factors. </w:t>
      </w:r>
      <w:r w:rsidRPr="00410EE7">
        <w:t xml:space="preserve">The identification strategy </w:t>
      </w:r>
      <w:r>
        <w:t xml:space="preserve">in our baseline specification </w:t>
      </w:r>
      <w:r>
        <w:fldChar w:fldCharType="begin"/>
      </w:r>
      <w:r>
        <w:instrText xml:space="preserve"> GOTOBUTTON ZEqnNum407957  \* MERGEFORMAT </w:instrText>
      </w:r>
      <w:r>
        <w:fldChar w:fldCharType="begin"/>
      </w:r>
      <w:r>
        <w:instrText xml:space="preserve"> REF ZEqnNum407957 \* Charformat \! \* MERGEFORMAT </w:instrText>
      </w:r>
      <w:r>
        <w:fldChar w:fldCharType="separate"/>
      </w:r>
      <w:r w:rsidR="00335D7A" w:rsidRPr="00410EE7">
        <w:instrText>(</w:instrText>
      </w:r>
      <w:r w:rsidR="00335D7A">
        <w:instrText>1</w:instrText>
      </w:r>
      <w:r w:rsidR="00335D7A" w:rsidRPr="00410EE7">
        <w:instrText>)</w:instrText>
      </w:r>
      <w:r>
        <w:fldChar w:fldCharType="end"/>
      </w:r>
      <w:r>
        <w:fldChar w:fldCharType="end"/>
      </w:r>
      <w:r>
        <w:t xml:space="preserve"> </w:t>
      </w:r>
      <w:r w:rsidRPr="00410EE7">
        <w:t>is analogous to a difference in differences estimation, but with a continuous level of treatment i.e. C&amp;B uptake (</w:t>
      </w:r>
      <w:r>
        <w:t>Gaynor, 2013)</w:t>
      </w:r>
      <w:r w:rsidRPr="00410EE7">
        <w:t xml:space="preserve">. </w:t>
      </w:r>
    </w:p>
    <w:p w:rsidR="00BD71B4" w:rsidRDefault="00BD71B4" w:rsidP="00BD71B4">
      <w:pPr>
        <w:tabs>
          <w:tab w:val="left" w:pos="7513"/>
        </w:tabs>
      </w:pPr>
    </w:p>
    <w:p w:rsidR="00BD71B4" w:rsidRDefault="00BB0224" w:rsidP="00BD71B4">
      <w:pPr>
        <w:tabs>
          <w:tab w:val="left" w:pos="7513"/>
        </w:tabs>
      </w:pPr>
      <w:r>
        <w:t>Second, t</w:t>
      </w:r>
      <w:r w:rsidR="00BD71B4" w:rsidRPr="00995FDA">
        <w:t>o allow for any time varying unobserved heterogeneity we</w:t>
      </w:r>
      <w:r>
        <w:t xml:space="preserve"> instrument practice use of C&amp;B</w:t>
      </w:r>
      <w:r w:rsidR="00BD71B4" w:rsidRPr="00995FDA">
        <w:t xml:space="preserve"> with the average annual C&amp;B use in the PCT to which the practice belongs</w:t>
      </w:r>
      <w:r>
        <w:t xml:space="preserve">.  We use </w:t>
      </w:r>
      <w:r>
        <w:lastRenderedPageBreak/>
        <w:t>two stage residual inclusion (2SRI) (</w:t>
      </w:r>
      <w:proofErr w:type="spellStart"/>
      <w:r w:rsidRPr="00995FDA">
        <w:t>Te</w:t>
      </w:r>
      <w:r w:rsidR="00FD4519">
        <w:t>rza</w:t>
      </w:r>
      <w:proofErr w:type="spellEnd"/>
      <w:r w:rsidR="00FD4519">
        <w:t xml:space="preserve"> et al 2008</w:t>
      </w:r>
      <w:r>
        <w:t xml:space="preserve">) </w:t>
      </w:r>
      <w:r w:rsidR="00BD71B4" w:rsidRPr="00995FDA">
        <w:t xml:space="preserve">adding the residual from </w:t>
      </w:r>
      <w:r>
        <w:t>the</w:t>
      </w:r>
      <w:r w:rsidR="00BD71B4" w:rsidRPr="00995FDA">
        <w:t xml:space="preserve"> linear first stage model of C&amp;B to the second stage Poisson regression</w:t>
      </w:r>
      <w:r>
        <w:t>s</w:t>
      </w:r>
      <w:r w:rsidR="00BD71B4">
        <w:t xml:space="preserve">. </w:t>
      </w:r>
    </w:p>
    <w:p w:rsidR="00BD71B4" w:rsidRDefault="00BD71B4" w:rsidP="00BD71B4">
      <w:pPr>
        <w:tabs>
          <w:tab w:val="left" w:pos="7513"/>
        </w:tabs>
      </w:pPr>
    </w:p>
    <w:p w:rsidR="00BD71B4" w:rsidRDefault="00E46836" w:rsidP="00AF2C89">
      <w:pPr>
        <w:tabs>
          <w:tab w:val="left" w:pos="7513"/>
        </w:tabs>
      </w:pPr>
      <w:r>
        <w:t>Our use of an IV for C&amp;B use will remove any bias in the estimated effects of C&amp;B arising from the omissi</w:t>
      </w:r>
      <w:r w:rsidR="00D60E16">
        <w:t xml:space="preserve">on of correlated factors, such </w:t>
      </w:r>
      <w:r>
        <w:t xml:space="preserve">as </w:t>
      </w:r>
      <w:r w:rsidR="00D60E16">
        <w:t xml:space="preserve">an increase in </w:t>
      </w:r>
      <w:r>
        <w:t xml:space="preserve">choice.  But the effect of choice policy is of interest in own right and so in some specifications, we </w:t>
      </w:r>
      <w:r w:rsidRPr="00AA1821">
        <w:t>also</w:t>
      </w:r>
      <w:r>
        <w:t xml:space="preserve"> include a direct measure of the effect of choice policy:</w:t>
      </w:r>
      <w:r w:rsidRPr="00AA1821">
        <w:t xml:space="preserve"> the proportion of patients in the practice’s PCT who report that they were </w:t>
      </w:r>
      <w:r>
        <w:t xml:space="preserve">aware that they had a right to be </w:t>
      </w:r>
      <w:r w:rsidRPr="00AA1821">
        <w:t xml:space="preserve">offered a choice of hospital when referred. </w:t>
      </w:r>
      <w:r>
        <w:t xml:space="preserve"> </w:t>
      </w:r>
    </w:p>
    <w:p w:rsidR="009B0395" w:rsidRDefault="009B0395" w:rsidP="00AF2C89">
      <w:pPr>
        <w:tabs>
          <w:tab w:val="left" w:pos="7513"/>
        </w:tabs>
      </w:pPr>
    </w:p>
    <w:p w:rsidR="009B0395" w:rsidRDefault="009B0395" w:rsidP="009B0395">
      <w:pPr>
        <w:pStyle w:val="Heading2"/>
      </w:pPr>
      <w:r>
        <w:t>Robustness checks</w:t>
      </w:r>
    </w:p>
    <w:p w:rsidR="005F3A56" w:rsidRDefault="005F3A56" w:rsidP="009B0395"/>
    <w:p w:rsidR="005F3A56" w:rsidRDefault="00D60E16" w:rsidP="009B0395">
      <w:r>
        <w:t>W</w:t>
      </w:r>
      <w:r w:rsidR="00AC3D5D" w:rsidRPr="005F3A56">
        <w:t>e also</w:t>
      </w:r>
      <w:r w:rsidR="00E46836">
        <w:t xml:space="preserve"> </w:t>
      </w:r>
      <w:r>
        <w:t xml:space="preserve">undertook </w:t>
      </w:r>
      <w:r w:rsidR="00AC3D5D" w:rsidRPr="005F3A56">
        <w:t xml:space="preserve">robustness checks.  </w:t>
      </w:r>
      <w:r w:rsidR="005F3A56">
        <w:t xml:space="preserve">We allow the effects of C&amp;B uptake to vary by year, thereby allowing an estimate of its effect in 2005 before the relaxation of constraints on patient choice.  </w:t>
      </w:r>
      <w:r w:rsidR="007D1236">
        <w:t xml:space="preserve">We also allow for heterogeneous trends </w:t>
      </w:r>
      <w:r w:rsidR="00A615D7">
        <w:t xml:space="preserve">in the outcomes which may be correlated with use of C&amp;B by </w:t>
      </w:r>
      <w:r w:rsidR="007D1236">
        <w:t>add</w:t>
      </w:r>
      <w:r w:rsidR="00A615D7">
        <w:t>ing</w:t>
      </w:r>
      <w:r w:rsidR="007D1236">
        <w:t xml:space="preserve"> interaction</w:t>
      </w:r>
      <w:r w:rsidR="00A615D7">
        <w:t>s</w:t>
      </w:r>
      <w:r w:rsidR="007D1236">
        <w:t xml:space="preserve"> of year dummies and the average </w:t>
      </w:r>
      <w:r w:rsidR="00A615D7">
        <w:t xml:space="preserve">2005-2009 use of C&amp;B by the practice.  </w:t>
      </w:r>
      <w:r w:rsidR="005F3A56">
        <w:t xml:space="preserve">We </w:t>
      </w:r>
      <w:r w:rsidR="007D1236">
        <w:t xml:space="preserve">investigate </w:t>
      </w:r>
      <w:r w:rsidR="005F3A56">
        <w:t xml:space="preserve">the possibility that the effects of C&amp;B might vary depending on </w:t>
      </w:r>
      <w:r w:rsidR="007D1236">
        <w:t xml:space="preserve">the availability of hospitals by estimating models in which we interact the C&amp;B rate with the average distance from the practice to hospitals.   </w:t>
      </w:r>
    </w:p>
    <w:p w:rsidR="005F3A56" w:rsidRDefault="005F3A56" w:rsidP="009B0395"/>
    <w:p w:rsidR="009B0395" w:rsidRPr="00410EE7" w:rsidRDefault="00A615D7" w:rsidP="009B0395">
      <w:pPr>
        <w:rPr>
          <w:rFonts w:eastAsiaTheme="minorEastAsia"/>
        </w:rPr>
      </w:pPr>
      <w:r>
        <w:t xml:space="preserve">We also used alternative estimation methods: random effects Poisson and </w:t>
      </w:r>
      <w:r w:rsidR="009B0395" w:rsidRPr="005F3A56">
        <w:t>population averaged negative binomial</w:t>
      </w:r>
      <w:r w:rsidR="005F3A56">
        <w:t>.</w:t>
      </w:r>
      <w:r w:rsidR="00AC3D5D" w:rsidRPr="005F3A56">
        <w:t xml:space="preserve"> </w:t>
      </w:r>
      <w:r>
        <w:t xml:space="preserve">These specifications </w:t>
      </w:r>
      <w:r w:rsidR="009B0395" w:rsidRPr="005F3A56">
        <w:t>allow</w:t>
      </w:r>
      <w:r>
        <w:t>ed</w:t>
      </w:r>
      <w:r w:rsidR="009B0395" w:rsidRPr="005F3A56">
        <w:t xml:space="preserve"> for unobserved time invariant practice factors by including</w:t>
      </w:r>
      <w:r w:rsidR="009B0395" w:rsidRPr="005F3A56">
        <w:rPr>
          <w:rFonts w:eastAsiaTheme="minorEastAsia"/>
        </w:rPr>
        <w:t xml:space="preserve"> pre-sample (2003) values of the dependent count variable divided by its corresponding exposure term as an explanatory variabl</w:t>
      </w:r>
      <w:r w:rsidR="005F3A56" w:rsidRPr="005F3A56">
        <w:rPr>
          <w:rFonts w:eastAsiaTheme="minorEastAsia"/>
        </w:rPr>
        <w:t xml:space="preserve">e </w:t>
      </w:r>
      <w:r w:rsidR="009B0395" w:rsidRPr="005F3A56">
        <w:rPr>
          <w:rFonts w:eastAsiaTheme="minorEastAsia"/>
        </w:rPr>
        <w:t>(Blundell et al., 2002).</w:t>
      </w:r>
      <w:r w:rsidR="005F3A56" w:rsidRPr="005F3A56">
        <w:rPr>
          <w:rStyle w:val="FootnoteReference"/>
          <w:rFonts w:eastAsiaTheme="minorEastAsia"/>
        </w:rPr>
        <w:footnoteReference w:id="13"/>
      </w:r>
      <w:r w:rsidR="009B0395" w:rsidRPr="00410EE7">
        <w:rPr>
          <w:rFonts w:eastAsiaTheme="minorEastAsia"/>
        </w:rPr>
        <w:t xml:space="preserve"> </w:t>
      </w:r>
      <w:r w:rsidR="009B0395" w:rsidRPr="00410EE7">
        <w:t xml:space="preserve">  </w:t>
      </w:r>
    </w:p>
    <w:p w:rsidR="007E5FE8" w:rsidRPr="00410EE7" w:rsidRDefault="007E5FE8" w:rsidP="001B4264">
      <w:pPr>
        <w:pStyle w:val="Heading1"/>
        <w:spacing w:line="360" w:lineRule="auto"/>
      </w:pPr>
      <w:r w:rsidRPr="00410EE7">
        <w:t>Data</w:t>
      </w:r>
    </w:p>
    <w:p w:rsidR="0034075F" w:rsidRPr="00410EE7" w:rsidRDefault="0034075F" w:rsidP="001B4264">
      <w:pPr>
        <w:pStyle w:val="Heading2"/>
        <w:spacing w:line="360" w:lineRule="auto"/>
      </w:pPr>
      <w:r w:rsidRPr="00410EE7">
        <w:t xml:space="preserve">Choose and Book </w:t>
      </w:r>
    </w:p>
    <w:p w:rsidR="00D32652" w:rsidRDefault="0034075F" w:rsidP="001B4264">
      <w:r w:rsidRPr="00410EE7">
        <w:t xml:space="preserve">Data on the number of all first GP practice referrals made using the </w:t>
      </w:r>
      <w:r w:rsidR="006571BB" w:rsidRPr="00410EE7">
        <w:t>C&amp;B</w:t>
      </w:r>
      <w:r w:rsidRPr="00410EE7">
        <w:t xml:space="preserve"> system to all hospital providers treating NHS patients by month of referral, specialty of referral, hospital of treatment and referring GP practice was obtained from NHS Connecting for Health and the </w:t>
      </w:r>
      <w:r w:rsidRPr="00410EE7">
        <w:lastRenderedPageBreak/>
        <w:t xml:space="preserve">Department of Health’s </w:t>
      </w:r>
      <w:r w:rsidR="006571BB" w:rsidRPr="00410EE7">
        <w:t>C&amp;B</w:t>
      </w:r>
      <w:r w:rsidRPr="00410EE7">
        <w:t xml:space="preserve"> Service Utilisation </w:t>
      </w:r>
      <w:r w:rsidRPr="002C4B9D">
        <w:t>Database</w:t>
      </w:r>
      <w:r w:rsidR="00E2482D" w:rsidRPr="002C4B9D">
        <w:t xml:space="preserve"> (HSCIC, 2015)</w:t>
      </w:r>
      <w:r w:rsidRPr="002C4B9D">
        <w:t>.</w:t>
      </w:r>
      <w:r w:rsidRPr="00410EE7">
        <w:t xml:space="preserve">   The </w:t>
      </w:r>
      <w:r w:rsidR="006571BB" w:rsidRPr="00410EE7">
        <w:t>C&amp;B</w:t>
      </w:r>
      <w:r w:rsidR="00463274" w:rsidRPr="00410EE7">
        <w:t xml:space="preserve"> data cover</w:t>
      </w:r>
      <w:r w:rsidRPr="00410EE7">
        <w:t xml:space="preserve"> the period 1</w:t>
      </w:r>
      <w:r w:rsidRPr="00410EE7">
        <w:rPr>
          <w:vertAlign w:val="superscript"/>
        </w:rPr>
        <w:t xml:space="preserve"> </w:t>
      </w:r>
      <w:r w:rsidRPr="00410EE7">
        <w:t xml:space="preserve">January 2005 </w:t>
      </w:r>
      <w:r w:rsidR="006571BB" w:rsidRPr="00410EE7">
        <w:t xml:space="preserve">to </w:t>
      </w:r>
      <w:r w:rsidRPr="00410EE7">
        <w:t xml:space="preserve">1 January 2010. The year 2005 was a pilot year with selected GP practices and hospitals participating. From 1 January 2006 </w:t>
      </w:r>
      <w:r w:rsidR="006571BB" w:rsidRPr="00410EE7">
        <w:t>C&amp;B</w:t>
      </w:r>
      <w:r w:rsidRPr="00410EE7">
        <w:t xml:space="preserve"> was launched nationally and available to all GP practices, but the system was not </w:t>
      </w:r>
      <w:r w:rsidR="00194960">
        <w:t xml:space="preserve">initially </w:t>
      </w:r>
      <w:r w:rsidRPr="00410EE7">
        <w:t xml:space="preserve">in place across all hospitals and specialties. </w:t>
      </w:r>
      <w:r w:rsidR="00042918" w:rsidRPr="00410EE7">
        <w:t xml:space="preserve">Over </w:t>
      </w:r>
      <w:r w:rsidRPr="00410EE7">
        <w:t>time the</w:t>
      </w:r>
      <w:r w:rsidR="001448CE" w:rsidRPr="00410EE7">
        <w:t xml:space="preserve"> system was rolled out to most hospital departments and</w:t>
      </w:r>
      <w:r w:rsidRPr="00410EE7">
        <w:t xml:space="preserve"> </w:t>
      </w:r>
      <w:r w:rsidR="00043584" w:rsidRPr="00410EE7">
        <w:t xml:space="preserve">use of C&amp;B </w:t>
      </w:r>
      <w:r w:rsidRPr="00410EE7">
        <w:t xml:space="preserve">by GP practices </w:t>
      </w:r>
      <w:r w:rsidR="006571BB" w:rsidRPr="00410EE7">
        <w:t xml:space="preserve">increased </w:t>
      </w:r>
      <w:r w:rsidR="009657AC" w:rsidRPr="00410EE7">
        <w:t xml:space="preserve">so that by 2009 </w:t>
      </w:r>
      <w:r w:rsidR="000A20B0" w:rsidRPr="00410EE7">
        <w:t xml:space="preserve">50% of first GP outpatient appointments </w:t>
      </w:r>
      <w:r w:rsidR="009657AC" w:rsidRPr="00410EE7">
        <w:t xml:space="preserve">were </w:t>
      </w:r>
      <w:r w:rsidR="000A20B0" w:rsidRPr="00410EE7">
        <w:t>booked with C&amp;B</w:t>
      </w:r>
      <w:r w:rsidR="002744EE">
        <w:t xml:space="preserve"> (see Table 1</w:t>
      </w:r>
      <w:r w:rsidR="009657AC" w:rsidRPr="00410EE7">
        <w:t xml:space="preserve"> and</w:t>
      </w:r>
      <w:r w:rsidR="00406283">
        <w:t xml:space="preserve"> Figure 1</w:t>
      </w:r>
      <w:r w:rsidR="006571BB" w:rsidRPr="00410EE7">
        <w:t>).</w:t>
      </w:r>
      <w:r w:rsidR="00A80442" w:rsidRPr="00410EE7">
        <w:t xml:space="preserve"> </w:t>
      </w:r>
    </w:p>
    <w:p w:rsidR="00A80442" w:rsidRPr="00410EE7" w:rsidRDefault="00A80442" w:rsidP="001B4264"/>
    <w:p w:rsidR="0034075F" w:rsidRPr="00410EE7" w:rsidRDefault="0034075F" w:rsidP="001B4264">
      <w:pPr>
        <w:pStyle w:val="Heading2"/>
        <w:spacing w:line="360" w:lineRule="auto"/>
      </w:pPr>
      <w:r w:rsidRPr="00410EE7">
        <w:t>Hospital Episode Statistics</w:t>
      </w:r>
    </w:p>
    <w:p w:rsidR="0034075F" w:rsidRPr="00410EE7" w:rsidRDefault="006571BB" w:rsidP="001B4264">
      <w:r w:rsidRPr="00410EE7">
        <w:t>W</w:t>
      </w:r>
      <w:r w:rsidR="0034075F" w:rsidRPr="00410EE7">
        <w:t xml:space="preserve">e linked the </w:t>
      </w:r>
      <w:r w:rsidR="009C1ECA" w:rsidRPr="00410EE7">
        <w:t xml:space="preserve">database on practice use of </w:t>
      </w:r>
      <w:r w:rsidR="0034075F" w:rsidRPr="00410EE7">
        <w:t xml:space="preserve">C&amp;B to the English Hospital Episode Statistics </w:t>
      </w:r>
      <w:r w:rsidR="009657AC" w:rsidRPr="00410EE7">
        <w:t xml:space="preserve">(HES) </w:t>
      </w:r>
      <w:r w:rsidR="0034075F" w:rsidRPr="00410EE7">
        <w:t xml:space="preserve">Outpatient database </w:t>
      </w:r>
      <w:r w:rsidRPr="00410EE7">
        <w:t xml:space="preserve">of </w:t>
      </w:r>
      <w:r w:rsidR="0034075F" w:rsidRPr="00410EE7">
        <w:t>all outpatient appointments in English hospitals treating NHS patients</w:t>
      </w:r>
      <w:r w:rsidRPr="00410EE7">
        <w:t xml:space="preserve">. </w:t>
      </w:r>
      <w:r w:rsidR="00DB5D3A" w:rsidRPr="00410EE7">
        <w:t xml:space="preserve"> The HES </w:t>
      </w:r>
      <w:r w:rsidR="0034075F" w:rsidRPr="00410EE7">
        <w:t xml:space="preserve">data </w:t>
      </w:r>
      <w:r w:rsidR="00DB5D3A" w:rsidRPr="00410EE7">
        <w:t xml:space="preserve">is for financial years (1 April to 31 March) and </w:t>
      </w:r>
      <w:r w:rsidR="0034075F" w:rsidRPr="00410EE7">
        <w:t xml:space="preserve">records all </w:t>
      </w:r>
      <w:r w:rsidR="00042918" w:rsidRPr="00410EE7">
        <w:t xml:space="preserve">outpatient referrals with an appointment date </w:t>
      </w:r>
      <w:r w:rsidR="001448CE" w:rsidRPr="00410EE7">
        <w:t xml:space="preserve">from </w:t>
      </w:r>
      <w:r w:rsidR="0034075F" w:rsidRPr="00410EE7">
        <w:t>1</w:t>
      </w:r>
      <w:r w:rsidRPr="00410EE7">
        <w:t xml:space="preserve"> </w:t>
      </w:r>
      <w:r w:rsidR="0034075F" w:rsidRPr="00410EE7">
        <w:t xml:space="preserve">April 2003 </w:t>
      </w:r>
      <w:r w:rsidRPr="00410EE7">
        <w:t xml:space="preserve">to </w:t>
      </w:r>
      <w:r w:rsidR="005646F3" w:rsidRPr="00410EE7">
        <w:t xml:space="preserve">31 March 2010.  </w:t>
      </w:r>
      <w:r w:rsidR="00042918" w:rsidRPr="00410EE7">
        <w:t xml:space="preserve"> It is possible that some </w:t>
      </w:r>
      <w:r w:rsidR="009C1ECA" w:rsidRPr="00410EE7">
        <w:t xml:space="preserve">GP practice </w:t>
      </w:r>
      <w:r w:rsidR="00042918" w:rsidRPr="00410EE7">
        <w:t xml:space="preserve">referrals made via C&amp;B at the </w:t>
      </w:r>
      <w:r w:rsidR="009C1ECA" w:rsidRPr="00410EE7">
        <w:t>end of the 2009 calenda</w:t>
      </w:r>
      <w:r w:rsidR="00042918" w:rsidRPr="00410EE7">
        <w:t>r year are not recorded in our HES</w:t>
      </w:r>
      <w:r w:rsidR="009C1ECA" w:rsidRPr="00410EE7">
        <w:t xml:space="preserve"> data because the appointment date was after 31 March 2010.  </w:t>
      </w:r>
      <w:r w:rsidRPr="00410EE7">
        <w:t>However, i</w:t>
      </w:r>
      <w:r w:rsidR="0034075F" w:rsidRPr="00410EE7">
        <w:t xml:space="preserve">n 2010 an 18 week total waiting time target from date of referral to treatment </w:t>
      </w:r>
      <w:r w:rsidRPr="00410EE7">
        <w:t xml:space="preserve">was in place </w:t>
      </w:r>
      <w:r w:rsidR="009C1ECA" w:rsidRPr="00410EE7">
        <w:t xml:space="preserve">and </w:t>
      </w:r>
      <w:r w:rsidR="0034075F" w:rsidRPr="00410EE7">
        <w:t xml:space="preserve">would help to ensure that the majority of patients referred </w:t>
      </w:r>
      <w:r w:rsidR="00016E68" w:rsidRPr="00410EE7">
        <w:t xml:space="preserve">before 31 December 2009 </w:t>
      </w:r>
      <w:r w:rsidR="0034075F" w:rsidRPr="00410EE7">
        <w:t>would have be</w:t>
      </w:r>
      <w:r w:rsidR="009C1ECA" w:rsidRPr="00410EE7">
        <w:t>en scheduled to be seen before 1</w:t>
      </w:r>
      <w:r w:rsidRPr="00410EE7">
        <w:rPr>
          <w:vertAlign w:val="superscript"/>
        </w:rPr>
        <w:t xml:space="preserve"> </w:t>
      </w:r>
      <w:r w:rsidR="0034075F" w:rsidRPr="00410EE7">
        <w:t>April 2010</w:t>
      </w:r>
      <w:r w:rsidRPr="00410EE7">
        <w:t>.</w:t>
      </w:r>
      <w:r w:rsidR="0034075F" w:rsidRPr="00410EE7">
        <w:t xml:space="preserve"> </w:t>
      </w:r>
      <w:r w:rsidR="00016E68" w:rsidRPr="00410EE7">
        <w:t xml:space="preserve"> We use year </w:t>
      </w:r>
      <w:r w:rsidR="00B817C1">
        <w:t xml:space="preserve">by region effects </w:t>
      </w:r>
      <w:r w:rsidR="00016E68" w:rsidRPr="00410EE7">
        <w:t xml:space="preserve">in the empirical analysis and </w:t>
      </w:r>
      <w:r w:rsidR="0065791E" w:rsidRPr="00410EE7">
        <w:t xml:space="preserve">this will allow for </w:t>
      </w:r>
      <w:r w:rsidR="005646F3" w:rsidRPr="00410EE7">
        <w:t xml:space="preserve">under recording of </w:t>
      </w:r>
      <w:r w:rsidR="009C1ECA" w:rsidRPr="00410EE7">
        <w:t xml:space="preserve">referrals </w:t>
      </w:r>
      <w:r w:rsidR="005646F3" w:rsidRPr="00410EE7">
        <w:t xml:space="preserve">made at the end of 2009.  </w:t>
      </w:r>
    </w:p>
    <w:p w:rsidR="009038B6" w:rsidRPr="00410EE7" w:rsidRDefault="009038B6" w:rsidP="001B4264"/>
    <w:p w:rsidR="00871096" w:rsidRPr="00410EE7" w:rsidRDefault="009038B6" w:rsidP="00871096">
      <w:r w:rsidRPr="00410EE7">
        <w:t xml:space="preserve">We use the HES data to derive total annual first referrals </w:t>
      </w:r>
      <w:r w:rsidR="00E11928">
        <w:t xml:space="preserve">made during each of the calendar years </w:t>
      </w:r>
      <w:r w:rsidR="00E11928" w:rsidRPr="00410EE7">
        <w:t xml:space="preserve">2004 to 2009 </w:t>
      </w:r>
      <w:r w:rsidRPr="00410EE7">
        <w:t xml:space="preserve">for </w:t>
      </w:r>
      <w:r w:rsidR="00E11928">
        <w:t xml:space="preserve">all </w:t>
      </w:r>
      <w:r w:rsidR="009657AC" w:rsidRPr="00410EE7">
        <w:t>English general practice</w:t>
      </w:r>
      <w:r w:rsidR="00E11928">
        <w:t>s</w:t>
      </w:r>
      <w:r w:rsidR="009657AC" w:rsidRPr="00410EE7">
        <w:t xml:space="preserve"> </w:t>
      </w:r>
      <w:r w:rsidR="00E11928">
        <w:t xml:space="preserve">which had at least </w:t>
      </w:r>
      <w:r w:rsidR="000D79C2" w:rsidRPr="00410EE7">
        <w:t xml:space="preserve">500 </w:t>
      </w:r>
      <w:r w:rsidR="00EB028A" w:rsidRPr="00410EE7">
        <w:t xml:space="preserve">registered </w:t>
      </w:r>
      <w:r w:rsidR="000D79C2" w:rsidRPr="00410EE7">
        <w:t>patients</w:t>
      </w:r>
      <w:r w:rsidR="00E11928">
        <w:t xml:space="preserve"> during the year</w:t>
      </w:r>
      <w:r w:rsidR="000D79C2" w:rsidRPr="00410EE7">
        <w:t>.</w:t>
      </w:r>
      <w:r w:rsidR="00B817C1">
        <w:t xml:space="preserve">  </w:t>
      </w:r>
      <w:r w:rsidR="00E80456" w:rsidRPr="00410EE7">
        <w:t xml:space="preserve">We </w:t>
      </w:r>
      <w:r w:rsidR="00871096" w:rsidRPr="00410EE7">
        <w:t xml:space="preserve">dropped </w:t>
      </w:r>
      <w:r w:rsidR="006F159E" w:rsidRPr="00410EE7">
        <w:t>110</w:t>
      </w:r>
      <w:r w:rsidR="00871096" w:rsidRPr="00410EE7">
        <w:t xml:space="preserve"> (</w:t>
      </w:r>
      <w:r w:rsidR="00B07AA9" w:rsidRPr="00410EE7">
        <w:t>0.20</w:t>
      </w:r>
      <w:r w:rsidR="00871096" w:rsidRPr="00410EE7">
        <w:t>%</w:t>
      </w:r>
      <w:r w:rsidR="006F159E" w:rsidRPr="00410EE7">
        <w:t xml:space="preserve">) practice-year observations </w:t>
      </w:r>
      <w:r w:rsidR="00871096" w:rsidRPr="00410EE7">
        <w:t xml:space="preserve">with a record of C&amp;B utilisation but with no referrals recorded in HES.  </w:t>
      </w:r>
      <w:r w:rsidR="005C7C40" w:rsidRPr="00410EE7">
        <w:t>There were</w:t>
      </w:r>
      <w:r w:rsidR="00871096" w:rsidRPr="00410EE7">
        <w:t xml:space="preserve"> also </w:t>
      </w:r>
      <w:r w:rsidR="00E80456" w:rsidRPr="00410EE7">
        <w:t>2,316</w:t>
      </w:r>
      <w:r w:rsidR="00871096" w:rsidRPr="00410EE7">
        <w:t xml:space="preserve"> (</w:t>
      </w:r>
      <w:r w:rsidR="00E80456" w:rsidRPr="00410EE7">
        <w:t>4.13</w:t>
      </w:r>
      <w:r w:rsidR="00871096" w:rsidRPr="00410EE7">
        <w:t>%) practice-year observations where the total recorded C&amp;B first referrals exceeded first referrals recorded in HES.</w:t>
      </w:r>
      <w:r w:rsidR="00871096" w:rsidRPr="00410EE7">
        <w:rPr>
          <w:rStyle w:val="FootnoteReference"/>
        </w:rPr>
        <w:footnoteReference w:id="14"/>
      </w:r>
      <w:r w:rsidR="00871096" w:rsidRPr="00410EE7">
        <w:t xml:space="preserve"> </w:t>
      </w:r>
    </w:p>
    <w:p w:rsidR="00871096" w:rsidRPr="00410EE7" w:rsidRDefault="00871096" w:rsidP="009038B6"/>
    <w:p w:rsidR="001E71F3" w:rsidRPr="00410EE7" w:rsidRDefault="00871096" w:rsidP="001B4264">
      <w:pPr>
        <w:pStyle w:val="Heading2"/>
        <w:spacing w:line="360" w:lineRule="auto"/>
      </w:pPr>
      <w:r w:rsidRPr="00410EE7">
        <w:lastRenderedPageBreak/>
        <w:t>Referral o</w:t>
      </w:r>
      <w:r w:rsidR="001E71F3" w:rsidRPr="00410EE7">
        <w:t>utcome measures</w:t>
      </w:r>
    </w:p>
    <w:p w:rsidR="004C2EA1" w:rsidRPr="00410EE7" w:rsidRDefault="00B817C1" w:rsidP="001B4264">
      <w:pPr>
        <w:rPr>
          <w:shd w:val="clear" w:color="auto" w:fill="FFFFFF" w:themeFill="background1"/>
        </w:rPr>
      </w:pPr>
      <w:r>
        <w:rPr>
          <w:shd w:val="clear" w:color="auto" w:fill="FFFFFF" w:themeFill="background1"/>
        </w:rPr>
        <w:t>W</w:t>
      </w:r>
      <w:r w:rsidR="001E71F3" w:rsidRPr="00410EE7">
        <w:rPr>
          <w:shd w:val="clear" w:color="auto" w:fill="FFFFFF" w:themeFill="background1"/>
        </w:rPr>
        <w:t xml:space="preserve">e </w:t>
      </w:r>
      <w:r w:rsidR="000A20B0" w:rsidRPr="00410EE7">
        <w:rPr>
          <w:shd w:val="clear" w:color="auto" w:fill="FFFFFF" w:themeFill="background1"/>
        </w:rPr>
        <w:t>classify</w:t>
      </w:r>
      <w:r w:rsidR="00E11928">
        <w:rPr>
          <w:shd w:val="clear" w:color="auto" w:fill="FFFFFF" w:themeFill="background1"/>
        </w:rPr>
        <w:t xml:space="preserve"> attendance outcomes for referrals made during a calendar year into </w:t>
      </w:r>
      <w:r w:rsidR="00524EB0" w:rsidRPr="00410EE7">
        <w:rPr>
          <w:shd w:val="clear" w:color="auto" w:fill="FFFFFF" w:themeFill="background1"/>
        </w:rPr>
        <w:t>four</w:t>
      </w:r>
      <w:r w:rsidR="004C2EA1" w:rsidRPr="00410EE7">
        <w:rPr>
          <w:shd w:val="clear" w:color="auto" w:fill="FFFFFF" w:themeFill="background1"/>
        </w:rPr>
        <w:t xml:space="preserve"> categories</w:t>
      </w:r>
      <w:r w:rsidR="00194960">
        <w:rPr>
          <w:shd w:val="clear" w:color="auto" w:fill="FFFFFF" w:themeFill="background1"/>
        </w:rPr>
        <w:t>:</w:t>
      </w:r>
      <w:r w:rsidR="000E09EB" w:rsidRPr="00410EE7">
        <w:rPr>
          <w:rStyle w:val="FootnoteReference"/>
          <w:shd w:val="clear" w:color="auto" w:fill="FFFFFF" w:themeFill="background1"/>
        </w:rPr>
        <w:footnoteReference w:id="15"/>
      </w:r>
      <w:r w:rsidR="00524EB0" w:rsidRPr="00410EE7">
        <w:rPr>
          <w:shd w:val="clear" w:color="auto" w:fill="FFFFFF" w:themeFill="background1"/>
        </w:rPr>
        <w:t xml:space="preserve"> </w:t>
      </w:r>
    </w:p>
    <w:p w:rsidR="004C2EA1" w:rsidRPr="00410EE7" w:rsidRDefault="004C2EA1" w:rsidP="004C2EA1">
      <w:pPr>
        <w:ind w:left="1287" w:hanging="720"/>
      </w:pPr>
      <w:r w:rsidRPr="00410EE7">
        <w:rPr>
          <w:i/>
        </w:rPr>
        <w:t>N</w:t>
      </w:r>
      <w:r w:rsidRPr="00410EE7">
        <w:rPr>
          <w:i/>
          <w:vertAlign w:val="subscript"/>
        </w:rPr>
        <w:t>it</w:t>
      </w:r>
      <w:r w:rsidRPr="00410EE7">
        <w:t xml:space="preserve"> = number of appointments recorded as not attended with no prior warning</w:t>
      </w:r>
      <w:r w:rsidR="008C08EE" w:rsidRPr="00410EE7">
        <w:t>;</w:t>
      </w:r>
      <w:r w:rsidRPr="00410EE7">
        <w:t xml:space="preserve"> </w:t>
      </w:r>
    </w:p>
    <w:p w:rsidR="004C2EA1" w:rsidRPr="00410EE7" w:rsidRDefault="004C2EA1" w:rsidP="004C2EA1">
      <w:pPr>
        <w:ind w:left="1287" w:hanging="720"/>
      </w:pPr>
      <w:r w:rsidRPr="00410EE7">
        <w:rPr>
          <w:i/>
        </w:rPr>
        <w:t>C</w:t>
      </w:r>
      <w:r w:rsidRPr="00410EE7">
        <w:rPr>
          <w:i/>
          <w:vertAlign w:val="subscript"/>
        </w:rPr>
        <w:t>it</w:t>
      </w:r>
      <w:r w:rsidRPr="00410EE7">
        <w:t xml:space="preserve"> = number of first scheduled GP referred appointments cancelled by patients</w:t>
      </w:r>
      <w:r w:rsidR="008C08EE" w:rsidRPr="00410EE7">
        <w:t>;</w:t>
      </w:r>
      <w:r w:rsidRPr="00410EE7">
        <w:t xml:space="preserve"> </w:t>
      </w:r>
    </w:p>
    <w:p w:rsidR="004C2EA1" w:rsidRPr="00410EE7" w:rsidRDefault="004C2EA1" w:rsidP="004C2EA1">
      <w:pPr>
        <w:ind w:left="1287" w:hanging="720"/>
      </w:pPr>
      <w:r w:rsidRPr="00410EE7">
        <w:rPr>
          <w:i/>
        </w:rPr>
        <w:t>H</w:t>
      </w:r>
      <w:r w:rsidRPr="00410EE7">
        <w:rPr>
          <w:i/>
          <w:vertAlign w:val="subscript"/>
        </w:rPr>
        <w:t>it</w:t>
      </w:r>
      <w:r w:rsidRPr="00410EE7">
        <w:t xml:space="preserve"> = number of first scheduled GP practice referred appointments cancelled by the hospital</w:t>
      </w:r>
      <w:r w:rsidR="008C08EE" w:rsidRPr="00410EE7">
        <w:t>;</w:t>
      </w:r>
      <w:r w:rsidRPr="00410EE7">
        <w:t xml:space="preserve"> </w:t>
      </w:r>
    </w:p>
    <w:p w:rsidR="004C2EA1" w:rsidRPr="00410EE7" w:rsidRDefault="004C2EA1" w:rsidP="004C2EA1">
      <w:pPr>
        <w:ind w:left="1287" w:hanging="720"/>
      </w:pPr>
      <w:r w:rsidRPr="00410EE7">
        <w:rPr>
          <w:i/>
        </w:rPr>
        <w:t>A</w:t>
      </w:r>
      <w:r w:rsidRPr="00410EE7">
        <w:rPr>
          <w:i/>
          <w:vertAlign w:val="subscript"/>
        </w:rPr>
        <w:t>it</w:t>
      </w:r>
      <w:r w:rsidRPr="00410EE7">
        <w:rPr>
          <w:i/>
        </w:rPr>
        <w:t xml:space="preserve"> = </w:t>
      </w:r>
      <w:r w:rsidRPr="00410EE7">
        <w:t>number of first scheduled GP practice referred appointments attended</w:t>
      </w:r>
      <w:r w:rsidR="008C08EE" w:rsidRPr="00410EE7">
        <w:t>.</w:t>
      </w:r>
    </w:p>
    <w:p w:rsidR="004C2EA1" w:rsidRPr="00410EE7" w:rsidRDefault="004C2EA1" w:rsidP="001B4264">
      <w:pPr>
        <w:rPr>
          <w:shd w:val="clear" w:color="auto" w:fill="FFFFFF" w:themeFill="background1"/>
        </w:rPr>
      </w:pPr>
    </w:p>
    <w:p w:rsidR="0034075F" w:rsidRPr="00410EE7" w:rsidRDefault="00C83895" w:rsidP="00871096">
      <w:r w:rsidRPr="00410EE7">
        <w:t>In some hospitals the only referral outcomes recorded were that the patient attended or that the outcome was unknown</w:t>
      </w:r>
      <w:r w:rsidR="009E0A44" w:rsidRPr="00410EE7">
        <w:t xml:space="preserve">: the hospital recorded </w:t>
      </w:r>
      <w:r w:rsidRPr="00410EE7">
        <w:t xml:space="preserve">no referrals in which the patient failed to attend, or the patient cancelled, or the hospital cancelled.   In 2004 </w:t>
      </w:r>
      <w:r w:rsidR="006E5D9C" w:rsidRPr="00410EE7">
        <w:t>8.7</w:t>
      </w:r>
      <w:r w:rsidR="0034075F" w:rsidRPr="00410EE7">
        <w:t xml:space="preserve">% of appointments were </w:t>
      </w:r>
      <w:r w:rsidR="004520AD" w:rsidRPr="00410EE7">
        <w:t>in 29</w:t>
      </w:r>
      <w:r w:rsidR="009E0A44" w:rsidRPr="00410EE7">
        <w:t xml:space="preserve"> </w:t>
      </w:r>
      <w:r w:rsidR="00E11928">
        <w:t xml:space="preserve">providers </w:t>
      </w:r>
      <w:r w:rsidR="0034075F" w:rsidRPr="00410EE7">
        <w:t>that did not record outcomes other than attended or unknown</w:t>
      </w:r>
      <w:r w:rsidR="009E0A44" w:rsidRPr="00410EE7">
        <w:t>.  This mis</w:t>
      </w:r>
      <w:r w:rsidR="005A6E08" w:rsidRPr="00410EE7">
        <w:t>-</w:t>
      </w:r>
      <w:r w:rsidR="009E0A44" w:rsidRPr="00410EE7">
        <w:t>recording decreased year on year, until in 2009</w:t>
      </w:r>
      <w:r w:rsidR="006E5D9C" w:rsidRPr="00410EE7">
        <w:t xml:space="preserve"> 1</w:t>
      </w:r>
      <w:r w:rsidR="00D60941" w:rsidRPr="00410EE7">
        <w:t>.9</w:t>
      </w:r>
      <w:r w:rsidR="009E0A44" w:rsidRPr="00410EE7">
        <w:t xml:space="preserve">% of appointments were at </w:t>
      </w:r>
      <w:r w:rsidR="00E55481" w:rsidRPr="00410EE7">
        <w:t>15</w:t>
      </w:r>
      <w:r w:rsidR="009E0A44" w:rsidRPr="00410EE7">
        <w:t xml:space="preserve"> hospitals that only reported attendance or unknown outcomes.  When computing practice referral outcomes w</w:t>
      </w:r>
      <w:r w:rsidR="00871096" w:rsidRPr="00410EE7">
        <w:t>e exclude</w:t>
      </w:r>
      <w:r w:rsidR="009E0A44" w:rsidRPr="00410EE7">
        <w:t xml:space="preserve"> referrals to these hospitals </w:t>
      </w:r>
      <w:r w:rsidR="00871096" w:rsidRPr="00410EE7">
        <w:t>from the denominator of the practice non-attendance, patient cancellation and hospital cancellation rates</w:t>
      </w:r>
      <w:r w:rsidR="004D2C7F" w:rsidRPr="00410EE7">
        <w:t>.</w:t>
      </w:r>
      <w:r w:rsidR="00871096" w:rsidRPr="00410EE7">
        <w:t xml:space="preserve"> </w:t>
      </w:r>
    </w:p>
    <w:p w:rsidR="006542CD" w:rsidRPr="00410EE7" w:rsidRDefault="006542CD" w:rsidP="00463274"/>
    <w:p w:rsidR="006542CD" w:rsidRPr="00410EE7" w:rsidRDefault="00F94962" w:rsidP="00463274">
      <w:pPr>
        <w:pStyle w:val="Heading2"/>
      </w:pPr>
      <w:r w:rsidRPr="00410EE7">
        <w:t xml:space="preserve"> </w:t>
      </w:r>
      <w:r w:rsidR="00391BF2">
        <w:t>P</w:t>
      </w:r>
      <w:r w:rsidR="006C7E73" w:rsidRPr="00410EE7">
        <w:t>ractice c</w:t>
      </w:r>
      <w:r w:rsidR="006542CD" w:rsidRPr="00410EE7">
        <w:t>ovariates</w:t>
      </w:r>
    </w:p>
    <w:p w:rsidR="006542CD" w:rsidRPr="00410EE7" w:rsidRDefault="006542CD" w:rsidP="00463274"/>
    <w:p w:rsidR="00390FF9" w:rsidRPr="00410EE7" w:rsidRDefault="006C7E73" w:rsidP="006542CD">
      <w:r w:rsidRPr="00410EE7">
        <w:t xml:space="preserve">We include a large set of </w:t>
      </w:r>
      <w:r w:rsidR="0008571E" w:rsidRPr="00410EE7">
        <w:t xml:space="preserve">time varying </w:t>
      </w:r>
      <w:r w:rsidRPr="00410EE7">
        <w:t xml:space="preserve">practice characteristics in the models (see the summary statistics in </w:t>
      </w:r>
      <w:r w:rsidR="007B5E02" w:rsidRPr="00410EE7">
        <w:t>Appendix Table A1</w:t>
      </w:r>
      <w:r w:rsidRPr="00410EE7">
        <w:t xml:space="preserve">).  These include the </w:t>
      </w:r>
      <w:r w:rsidR="000A2226" w:rsidRPr="00410EE7">
        <w:t xml:space="preserve">number of patients on the </w:t>
      </w:r>
      <w:r w:rsidR="00194960">
        <w:t xml:space="preserve">practice list, </w:t>
      </w:r>
      <w:r w:rsidR="000A2226" w:rsidRPr="00410EE7">
        <w:t xml:space="preserve">the </w:t>
      </w:r>
      <w:r w:rsidRPr="00410EE7">
        <w:t xml:space="preserve">proportion of patients in 14 </w:t>
      </w:r>
      <w:proofErr w:type="gramStart"/>
      <w:r w:rsidRPr="00410EE7">
        <w:t>age</w:t>
      </w:r>
      <w:proofErr w:type="gramEnd"/>
      <w:r w:rsidRPr="00410EE7">
        <w:t xml:space="preserve"> by gender groups, the number of whole time equivalent GPs per patient, the mean age of GPs, the proportion of GPs who are not GP principals, the proportion who qualified in the UK, and the proportion of female GPs.  We attribute socio-economic characteristics in small areas (Lower Super Output Areas - LSOAs)</w:t>
      </w:r>
      <w:r w:rsidRPr="00410EE7">
        <w:rPr>
          <w:rStyle w:val="FootnoteReference"/>
        </w:rPr>
        <w:footnoteReference w:id="16"/>
      </w:r>
      <w:r w:rsidRPr="00410EE7">
        <w:t xml:space="preserve"> to practices using the proportion of practice patients</w:t>
      </w:r>
      <w:r w:rsidR="00274B1E">
        <w:t xml:space="preserve"> resident</w:t>
      </w:r>
      <w:r w:rsidRPr="00410EE7">
        <w:t xml:space="preserve"> in each LSOA. From the Quali</w:t>
      </w:r>
      <w:r w:rsidR="00391BF2">
        <w:t>ty and Outcomes Framework we have</w:t>
      </w:r>
      <w:r w:rsidRPr="00410EE7">
        <w:t xml:space="preserve"> data on practice</w:t>
      </w:r>
      <w:r w:rsidR="0008571E" w:rsidRPr="00410EE7">
        <w:t xml:space="preserve"> disease</w:t>
      </w:r>
      <w:r w:rsidRPr="00410EE7">
        <w:t xml:space="preserve"> prevalence of 11 conditions and on smoking prevalence</w:t>
      </w:r>
      <w:r w:rsidR="00390FF9" w:rsidRPr="00410EE7">
        <w:t>, and 14 measures of practice</w:t>
      </w:r>
      <w:r w:rsidR="00F54F0C" w:rsidRPr="00410EE7">
        <w:t xml:space="preserve"> organisational </w:t>
      </w:r>
      <w:r w:rsidR="00390FF9" w:rsidRPr="00410EE7">
        <w:t xml:space="preserve">quality.  </w:t>
      </w:r>
      <w:r w:rsidR="00390FF9" w:rsidRPr="00410EE7">
        <w:lastRenderedPageBreak/>
        <w:t xml:space="preserve">To allow for differences in the participation of different hospital specialities in C&amp;B we also include the proportions of each practice’s first referrals to 53 specialities. </w:t>
      </w:r>
      <w:r w:rsidR="00391BF2">
        <w:t xml:space="preserve"> </w:t>
      </w:r>
      <w:r w:rsidR="00194960">
        <w:t xml:space="preserve">We also measure </w:t>
      </w:r>
      <w:r w:rsidR="00391BF2" w:rsidRPr="00391BF2">
        <w:t xml:space="preserve">the mean </w:t>
      </w:r>
      <w:r w:rsidR="00D32652" w:rsidRPr="00391BF2">
        <w:t>straight line distances from each GP practice to all NHS and independent sector hospitals</w:t>
      </w:r>
      <w:r w:rsidR="00391BF2" w:rsidRPr="00391BF2">
        <w:t xml:space="preserve">. </w:t>
      </w:r>
      <w:r w:rsidR="00D32652" w:rsidRPr="00391BF2">
        <w:t xml:space="preserve"> </w:t>
      </w:r>
    </w:p>
    <w:p w:rsidR="00871096" w:rsidRDefault="00871096" w:rsidP="006542CD"/>
    <w:p w:rsidR="00194960" w:rsidRPr="00B817C1" w:rsidRDefault="00194960" w:rsidP="00194960">
      <w:pPr>
        <w:pStyle w:val="Heading2"/>
        <w:spacing w:line="360" w:lineRule="auto"/>
        <w:ind w:left="0" w:firstLine="0"/>
      </w:pPr>
      <w:r w:rsidRPr="00B817C1">
        <w:t xml:space="preserve">Patient choice  </w:t>
      </w:r>
    </w:p>
    <w:p w:rsidR="00194960" w:rsidRPr="00410EE7" w:rsidRDefault="00194960" w:rsidP="00D20EE2">
      <w:r w:rsidRPr="00B817C1">
        <w:t xml:space="preserve">Following the introduction of patient choice in England, the Department of Health commissioned IPSOS/MORI to undertake a quarterly survey of randomly </w:t>
      </w:r>
      <w:r w:rsidRPr="00D20EE2">
        <w:t xml:space="preserve">selected first referral patients in each </w:t>
      </w:r>
      <w:proofErr w:type="gramStart"/>
      <w:r w:rsidRPr="00D20EE2">
        <w:t>PCTs</w:t>
      </w:r>
      <w:proofErr w:type="gramEnd"/>
      <w:r w:rsidRPr="00D20EE2">
        <w:t xml:space="preserve"> (Dixon, 2010). </w:t>
      </w:r>
      <w:r w:rsidR="000C05B6" w:rsidRPr="00D20EE2">
        <w:t xml:space="preserve"> We use responses to a question about</w:t>
      </w:r>
      <w:r w:rsidR="000C05B6">
        <w:t xml:space="preserve"> whether </w:t>
      </w:r>
      <w:proofErr w:type="gramStart"/>
      <w:r w:rsidR="00970B15">
        <w:t xml:space="preserve">patients </w:t>
      </w:r>
      <w:r w:rsidR="000C05B6">
        <w:t xml:space="preserve"> were</w:t>
      </w:r>
      <w:proofErr w:type="gramEnd"/>
      <w:r w:rsidR="000C05B6">
        <w:t xml:space="preserve"> aware that they had a right to a choice of hospital.</w:t>
      </w:r>
      <w:r w:rsidR="000C05B6">
        <w:rPr>
          <w:rStyle w:val="FootnoteReference"/>
        </w:rPr>
        <w:footnoteReference w:id="17"/>
      </w:r>
      <w:r w:rsidR="000C05B6">
        <w:t xml:space="preserve">   </w:t>
      </w:r>
      <w:r w:rsidRPr="00B817C1">
        <w:t>We aggregated quarterly response rates to calendar years to coincide with our time period</w:t>
      </w:r>
      <w:r>
        <w:t>s</w:t>
      </w:r>
      <w:r w:rsidRPr="00B817C1">
        <w:t xml:space="preserve"> for C&amp;B utilisation. </w:t>
      </w:r>
      <w:r w:rsidR="000C05B6">
        <w:t xml:space="preserve"> The survey was not undertaken before the change in choice policy in </w:t>
      </w:r>
      <w:r w:rsidR="00D60E16">
        <w:t xml:space="preserve">January </w:t>
      </w:r>
      <w:r w:rsidR="000C05B6">
        <w:t>2006.  Since patients could not have been aware of their, non-existent right to a choice</w:t>
      </w:r>
      <w:r w:rsidR="00D20EE2">
        <w:t xml:space="preserve"> before 2006 </w:t>
      </w:r>
      <w:r w:rsidR="000C05B6">
        <w:t>we replace</w:t>
      </w:r>
      <w:r w:rsidR="00D20EE2">
        <w:t xml:space="preserve"> the</w:t>
      </w:r>
      <w:r w:rsidR="000C05B6">
        <w:t xml:space="preserve"> missing values </w:t>
      </w:r>
      <w:r w:rsidR="00D20EE2">
        <w:t xml:space="preserve">for </w:t>
      </w:r>
      <w:r w:rsidR="000C05B6">
        <w:t>2004 and 2005</w:t>
      </w:r>
      <w:r w:rsidR="00D20EE2">
        <w:t xml:space="preserve"> with zero</w:t>
      </w:r>
      <w:r w:rsidR="000C05B6">
        <w:t xml:space="preserve">.  In some specifications we also add the interactions of 2006-2009 mean awareness of a right to a choice with year dummies for 2005 to 2009 to pick up potentially time varying effects </w:t>
      </w:r>
      <w:r w:rsidR="005F64BA">
        <w:t xml:space="preserve">associated with </w:t>
      </w:r>
      <w:r w:rsidR="000C05B6">
        <w:t>the mean choice awareness of p</w:t>
      </w:r>
      <w:r w:rsidR="00D20EE2">
        <w:t>atients</w:t>
      </w:r>
      <w:r w:rsidR="000C05B6">
        <w:t xml:space="preserve">.  </w:t>
      </w:r>
    </w:p>
    <w:p w:rsidR="00194960" w:rsidRDefault="00194960" w:rsidP="00D20EE2"/>
    <w:p w:rsidR="00274B1E" w:rsidRDefault="00274B1E" w:rsidP="00D20EE2">
      <w:pPr>
        <w:pStyle w:val="Heading2"/>
        <w:spacing w:line="360" w:lineRule="auto"/>
      </w:pPr>
      <w:r>
        <w:t>Estimation sample</w:t>
      </w:r>
    </w:p>
    <w:p w:rsidR="00E11928" w:rsidRPr="00410EE7" w:rsidRDefault="00A80795" w:rsidP="00D20EE2">
      <w:r>
        <w:t xml:space="preserve">We were able to match </w:t>
      </w:r>
      <w:r w:rsidR="00E11928" w:rsidRPr="00410EE7">
        <w:t>49,987 practice-y</w:t>
      </w:r>
      <w:r w:rsidR="000F1CB1">
        <w:t xml:space="preserve">ears between 2004 and 2009 </w:t>
      </w:r>
      <w:r w:rsidR="00E11928" w:rsidRPr="00410EE7">
        <w:t xml:space="preserve">to 97.8% of HES records for first GP referrals. </w:t>
      </w:r>
      <w:r>
        <w:t xml:space="preserve"> </w:t>
      </w:r>
      <w:r w:rsidR="00E11928" w:rsidRPr="00410EE7">
        <w:t xml:space="preserve">Excluding practices with populations less than 500 resulted in a loss of 361 (0.72%) observations, and a further 586 practice-years (1.2%) were lost </w:t>
      </w:r>
      <w:r w:rsidR="00194960">
        <w:t xml:space="preserve">where first referrals recorded in the C&amp;B system </w:t>
      </w:r>
      <w:r w:rsidR="00E11928" w:rsidRPr="00410EE7">
        <w:t>exceeded first referrals recorded in HES</w:t>
      </w:r>
      <w:r w:rsidR="00194960">
        <w:t xml:space="preserve"> </w:t>
      </w:r>
      <w:r w:rsidR="00E11928" w:rsidRPr="00410EE7">
        <w:t xml:space="preserve">or where all referrals were to hospitals that did not record non-attendance. </w:t>
      </w:r>
      <w:r w:rsidR="00274B1E">
        <w:t xml:space="preserve">We </w:t>
      </w:r>
      <w:r w:rsidR="00E11928" w:rsidRPr="00410EE7">
        <w:t xml:space="preserve">also excluded outlier practices with referral rates of over 50%, annual changes in referral rates of more than 100%, or registered population changes of greater than 25% compared to the subsequent year. In total we excluded 2,531 (5.1%) practice-year observations. </w:t>
      </w:r>
    </w:p>
    <w:p w:rsidR="007E5FE8" w:rsidRPr="00410EE7" w:rsidRDefault="007E5FE8" w:rsidP="001B4264">
      <w:pPr>
        <w:pStyle w:val="Heading1"/>
        <w:spacing w:line="360" w:lineRule="auto"/>
      </w:pPr>
      <w:r w:rsidRPr="00410EE7">
        <w:t>Results</w:t>
      </w:r>
    </w:p>
    <w:p w:rsidR="007755B7" w:rsidRPr="00410EE7" w:rsidRDefault="007755B7" w:rsidP="001B4264">
      <w:pPr>
        <w:pStyle w:val="Heading2"/>
        <w:spacing w:line="360" w:lineRule="auto"/>
      </w:pPr>
      <w:r w:rsidRPr="00410EE7">
        <w:t>Descriptive statistics</w:t>
      </w:r>
    </w:p>
    <w:p w:rsidR="00941772" w:rsidRPr="00410EE7" w:rsidRDefault="00941772" w:rsidP="001B4264"/>
    <w:p w:rsidR="0034075F" w:rsidRDefault="00B41274" w:rsidP="001B4264">
      <w:r w:rsidRPr="00DE2DBD">
        <w:rPr>
          <w:b/>
        </w:rPr>
        <w:lastRenderedPageBreak/>
        <w:t>Table 1</w:t>
      </w:r>
      <w:r w:rsidR="0034075F" w:rsidRPr="00410EE7">
        <w:t xml:space="preserve"> </w:t>
      </w:r>
      <w:r w:rsidR="00501A0E" w:rsidRPr="00410EE7">
        <w:t xml:space="preserve">shows that </w:t>
      </w:r>
      <w:proofErr w:type="gramStart"/>
      <w:r w:rsidR="00501A0E" w:rsidRPr="00410EE7">
        <w:t>under</w:t>
      </w:r>
      <w:proofErr w:type="gramEnd"/>
      <w:r w:rsidR="00501A0E" w:rsidRPr="00410EE7">
        <w:t xml:space="preserve"> </w:t>
      </w:r>
      <w:r w:rsidR="0034075F" w:rsidRPr="00410EE7">
        <w:t xml:space="preserve">1% of GP practice referrals were booked using C&amp;B </w:t>
      </w:r>
      <w:r w:rsidR="00501A0E" w:rsidRPr="00410EE7">
        <w:t xml:space="preserve">during the pilot year </w:t>
      </w:r>
      <w:r w:rsidR="0034075F" w:rsidRPr="00410EE7">
        <w:t>2005</w:t>
      </w:r>
      <w:r w:rsidR="00501A0E" w:rsidRPr="00410EE7">
        <w:t xml:space="preserve">.  This </w:t>
      </w:r>
      <w:r w:rsidR="0034075F" w:rsidRPr="00410EE7">
        <w:t>increased to 20% in the first year of the national system</w:t>
      </w:r>
      <w:r w:rsidR="00501A0E" w:rsidRPr="00410EE7">
        <w:t xml:space="preserve"> in 2006</w:t>
      </w:r>
      <w:r w:rsidR="0034075F" w:rsidRPr="00410EE7">
        <w:t xml:space="preserve"> and by 2009, 50% of GP practice first referrals</w:t>
      </w:r>
      <w:r w:rsidR="007755B7" w:rsidRPr="00410EE7">
        <w:t xml:space="preserve"> were booked using C&amp;B. </w:t>
      </w:r>
      <w:r w:rsidR="00501A0E" w:rsidRPr="00410EE7">
        <w:t xml:space="preserve"> There was wide dispersion in </w:t>
      </w:r>
      <w:r w:rsidR="0034075F" w:rsidRPr="00410EE7">
        <w:t xml:space="preserve">utilisation of </w:t>
      </w:r>
      <w:r w:rsidR="006571BB" w:rsidRPr="00410EE7">
        <w:t>C&amp;B</w:t>
      </w:r>
      <w:r w:rsidR="00501A0E" w:rsidRPr="00410EE7">
        <w:t xml:space="preserve"> ac</w:t>
      </w:r>
      <w:r w:rsidR="00406283">
        <w:t>ross practices in 2009 (</w:t>
      </w:r>
      <w:r w:rsidR="00406283" w:rsidRPr="00DE2DBD">
        <w:rPr>
          <w:b/>
        </w:rPr>
        <w:t>Figure 1</w:t>
      </w:r>
      <w:r w:rsidR="00501A0E" w:rsidRPr="00410EE7">
        <w:t xml:space="preserve">) </w:t>
      </w:r>
      <w:r w:rsidR="007755B7" w:rsidRPr="00410EE7">
        <w:t xml:space="preserve">with a near normal distribution apart from </w:t>
      </w:r>
      <w:r w:rsidR="00EC2757" w:rsidRPr="00410EE7">
        <w:t xml:space="preserve">the lower tail with </w:t>
      </w:r>
      <w:r w:rsidR="007755B7" w:rsidRPr="00410EE7">
        <w:t xml:space="preserve">a </w:t>
      </w:r>
      <w:r w:rsidR="0034075F" w:rsidRPr="00410EE7">
        <w:t xml:space="preserve">concentration of practices </w:t>
      </w:r>
      <w:r w:rsidR="00501A0E" w:rsidRPr="00410EE7">
        <w:t>with usage rates below 20% and</w:t>
      </w:r>
      <w:r w:rsidR="00EC2757" w:rsidRPr="00410EE7">
        <w:t xml:space="preserve"> with</w:t>
      </w:r>
      <w:r w:rsidR="00501A0E" w:rsidRPr="00410EE7">
        <w:t xml:space="preserve"> 5% </w:t>
      </w:r>
      <w:r w:rsidR="0034075F" w:rsidRPr="00410EE7">
        <w:t>of practices with rates of utilisation</w:t>
      </w:r>
      <w:r w:rsidR="007755B7" w:rsidRPr="00410EE7">
        <w:t xml:space="preserve"> at or near zero</w:t>
      </w:r>
      <w:r w:rsidR="0034075F" w:rsidRPr="00410EE7">
        <w:t xml:space="preserve">. </w:t>
      </w:r>
    </w:p>
    <w:p w:rsidR="00A80795" w:rsidRDefault="00A80795" w:rsidP="001B4264"/>
    <w:p w:rsidR="003F71E2" w:rsidRPr="00410EE7" w:rsidRDefault="00756C6A" w:rsidP="003F71E2">
      <w:r w:rsidRPr="00756C6A">
        <w:t>In 2006 t</w:t>
      </w:r>
      <w:r w:rsidR="003F71E2" w:rsidRPr="00756C6A">
        <w:t xml:space="preserve">he proportion of patients reporting being </w:t>
      </w:r>
      <w:r w:rsidR="00D20EE2">
        <w:t xml:space="preserve">aware of their right to a choice </w:t>
      </w:r>
      <w:r w:rsidR="005F64BA">
        <w:t>was higher (34</w:t>
      </w:r>
      <w:r w:rsidR="003F71E2" w:rsidRPr="00756C6A">
        <w:t>%) than the proportion of referrals made using C&amp;B (19%)</w:t>
      </w:r>
      <w:r w:rsidRPr="00756C6A">
        <w:t xml:space="preserve">.  Both increased over time and in 2009 the proportion </w:t>
      </w:r>
      <w:r w:rsidR="00D20EE2">
        <w:t xml:space="preserve">aware of their right to a </w:t>
      </w:r>
      <w:r w:rsidRPr="00756C6A">
        <w:t xml:space="preserve">choice was 48% and the C&amp;B rate was </w:t>
      </w:r>
      <w:r w:rsidR="003F71E2" w:rsidRPr="00756C6A">
        <w:t>49%</w:t>
      </w:r>
      <w:r w:rsidR="00D20EE2">
        <w:t>.</w:t>
      </w:r>
      <w:r w:rsidR="003F71E2" w:rsidRPr="00756C6A">
        <w:t xml:space="preserve"> At PCT level </w:t>
      </w:r>
      <w:r w:rsidR="00D20EE2">
        <w:t xml:space="preserve">awareness and the C&amp;B rate </w:t>
      </w:r>
      <w:r w:rsidR="003F71E2" w:rsidRPr="00756C6A">
        <w:t>were positively and quite highly correlated</w:t>
      </w:r>
      <w:r w:rsidR="005F64BA">
        <w:t>,</w:t>
      </w:r>
      <w:r w:rsidR="003F71E2" w:rsidRPr="00756C6A">
        <w:t xml:space="preserve"> with correlations </w:t>
      </w:r>
      <w:r w:rsidR="003F71E2" w:rsidRPr="005F64BA">
        <w:t xml:space="preserve">between </w:t>
      </w:r>
      <w:r w:rsidR="005F64BA" w:rsidRPr="005F64BA">
        <w:t>0.48</w:t>
      </w:r>
      <w:r w:rsidR="003F71E2" w:rsidRPr="005F64BA">
        <w:t xml:space="preserve"> i</w:t>
      </w:r>
      <w:r w:rsidR="005F64BA" w:rsidRPr="005F64BA">
        <w:t>n 2007 and 0.</w:t>
      </w:r>
      <w:r w:rsidR="003F71E2" w:rsidRPr="005F64BA">
        <w:t>3</w:t>
      </w:r>
      <w:r w:rsidR="005F64BA" w:rsidRPr="005F64BA">
        <w:t>2</w:t>
      </w:r>
      <w:r w:rsidR="003F71E2" w:rsidRPr="005F64BA">
        <w:t xml:space="preserve"> in 2009</w:t>
      </w:r>
      <w:r w:rsidR="00D20EE2" w:rsidRPr="005F64BA">
        <w:t>.</w:t>
      </w:r>
      <w:r w:rsidR="003F71E2" w:rsidRPr="005F64BA">
        <w:rPr>
          <w:rStyle w:val="FootnoteReference"/>
        </w:rPr>
        <w:footnoteReference w:id="18"/>
      </w:r>
    </w:p>
    <w:p w:rsidR="007755B7" w:rsidRPr="00410EE7" w:rsidRDefault="007755B7" w:rsidP="001B4264"/>
    <w:p w:rsidR="007755B7" w:rsidRPr="00410EE7" w:rsidRDefault="007755B7" w:rsidP="001B4264">
      <w:r w:rsidRPr="00DE2DBD">
        <w:rPr>
          <w:b/>
        </w:rPr>
        <w:t>Figu</w:t>
      </w:r>
      <w:r w:rsidR="00406283" w:rsidRPr="00DE2DBD">
        <w:rPr>
          <w:b/>
        </w:rPr>
        <w:t>re 2</w:t>
      </w:r>
      <w:r w:rsidR="0034075F" w:rsidRPr="00410EE7">
        <w:t xml:space="preserve"> shows the frequency distribution of </w:t>
      </w:r>
      <w:r w:rsidR="00591ED6" w:rsidRPr="00410EE7">
        <w:t>patient non-attendance rates</w:t>
      </w:r>
      <w:r w:rsidR="00EC2757" w:rsidRPr="00410EE7">
        <w:t xml:space="preserve"> across practices for </w:t>
      </w:r>
      <w:r w:rsidR="00EE43D3" w:rsidRPr="00410EE7">
        <w:t>2009</w:t>
      </w:r>
      <w:r w:rsidR="00591ED6" w:rsidRPr="00410EE7">
        <w:t xml:space="preserve">.  It is </w:t>
      </w:r>
      <w:r w:rsidR="0034075F" w:rsidRPr="00410EE7">
        <w:t xml:space="preserve">heavily skewed to the </w:t>
      </w:r>
      <w:r w:rsidR="00591ED6" w:rsidRPr="00410EE7">
        <w:t xml:space="preserve">right </w:t>
      </w:r>
      <w:r w:rsidR="00EE43D3" w:rsidRPr="00410EE7">
        <w:t>and over 85% of practices had non-attendance rates below 10%</w:t>
      </w:r>
      <w:r w:rsidR="00447A1B" w:rsidRPr="00410EE7">
        <w:t>.</w:t>
      </w:r>
      <w:r w:rsidR="0034075F" w:rsidRPr="00410EE7">
        <w:t xml:space="preserve"> </w:t>
      </w:r>
    </w:p>
    <w:p w:rsidR="00EE43D3" w:rsidRPr="00410EE7" w:rsidRDefault="00EE43D3" w:rsidP="001B4264"/>
    <w:p w:rsidR="0034075F" w:rsidRPr="00410EE7" w:rsidRDefault="0034075F" w:rsidP="001B4264">
      <w:r w:rsidRPr="00410EE7">
        <w:t>In 2004 patient non-attendance with no prior warning was the second most likely attendance outcome with around 7% of first scheduled appointments failing to attend. The rate of no</w:t>
      </w:r>
      <w:r w:rsidR="00501A0E" w:rsidRPr="00410EE7">
        <w:t>n-attendance remained fairly</w:t>
      </w:r>
      <w:r w:rsidR="00EC2757" w:rsidRPr="00410EE7">
        <w:t xml:space="preserve"> constant, apart from a dip to 6.5% in </w:t>
      </w:r>
      <w:r w:rsidRPr="00410EE7">
        <w:t>2008</w:t>
      </w:r>
      <w:r w:rsidR="00EC2757" w:rsidRPr="00410EE7">
        <w:t>.</w:t>
      </w:r>
      <w:r w:rsidRPr="00410EE7">
        <w:t xml:space="preserve"> By contrast </w:t>
      </w:r>
      <w:r w:rsidR="000F7B06" w:rsidRPr="00410EE7">
        <w:t>the rate</w:t>
      </w:r>
      <w:r w:rsidRPr="00410EE7">
        <w:t xml:space="preserve"> of patient cancellations </w:t>
      </w:r>
      <w:r w:rsidR="00A80795">
        <w:t xml:space="preserve">increased </w:t>
      </w:r>
      <w:r w:rsidR="000F7B06" w:rsidRPr="00410EE7">
        <w:t xml:space="preserve">from </w:t>
      </w:r>
      <w:r w:rsidRPr="00410EE7">
        <w:t>3</w:t>
      </w:r>
      <w:r w:rsidR="00EC2757" w:rsidRPr="00410EE7">
        <w:t>.4</w:t>
      </w:r>
      <w:r w:rsidRPr="00410EE7">
        <w:t>% in 2004 to 5</w:t>
      </w:r>
      <w:r w:rsidR="000F7B06" w:rsidRPr="00410EE7">
        <w:t>.4</w:t>
      </w:r>
      <w:r w:rsidRPr="00410EE7">
        <w:t>% in 2009</w:t>
      </w:r>
      <w:r w:rsidR="000F7B06" w:rsidRPr="00410EE7">
        <w:t xml:space="preserve">. </w:t>
      </w:r>
      <w:r w:rsidRPr="00410EE7">
        <w:t xml:space="preserve"> </w:t>
      </w:r>
      <w:r w:rsidR="00591ED6" w:rsidRPr="00410EE7">
        <w:t>The</w:t>
      </w:r>
      <w:r w:rsidRPr="00410EE7">
        <w:t xml:space="preserve"> </w:t>
      </w:r>
      <w:r w:rsidR="000F7B06" w:rsidRPr="00410EE7">
        <w:t>2% decline in attendance rates over the period is accounted for by the increase in patient cancellations. Hospital cancellations nearly doubled from 1.7% in 2004 to over 3.3% in 2009.</w:t>
      </w:r>
    </w:p>
    <w:p w:rsidR="007755B7" w:rsidRPr="00410EE7" w:rsidRDefault="007755B7" w:rsidP="001B4264"/>
    <w:p w:rsidR="00533606" w:rsidRDefault="007755B7" w:rsidP="001B4264">
      <w:r w:rsidRPr="00410EE7">
        <w:t xml:space="preserve">There </w:t>
      </w:r>
      <w:r w:rsidR="00591ED6" w:rsidRPr="00410EE7">
        <w:t xml:space="preserve">was an </w:t>
      </w:r>
      <w:r w:rsidR="0034075F" w:rsidRPr="00410EE7">
        <w:t>increase</w:t>
      </w:r>
      <w:r w:rsidR="004D5C57" w:rsidRPr="00410EE7">
        <w:t xml:space="preserve"> in GP practice referral rates from </w:t>
      </w:r>
      <w:r w:rsidR="0034075F" w:rsidRPr="00410EE7">
        <w:t>1</w:t>
      </w:r>
      <w:r w:rsidR="004D5C57" w:rsidRPr="00410EE7">
        <w:t>58</w:t>
      </w:r>
      <w:r w:rsidR="0034075F" w:rsidRPr="00410EE7">
        <w:t xml:space="preserve"> per 1000 patients in 2004 </w:t>
      </w:r>
      <w:r w:rsidR="004D5C57" w:rsidRPr="00410EE7">
        <w:t>to 2</w:t>
      </w:r>
      <w:r w:rsidR="00591ED6" w:rsidRPr="00410EE7">
        <w:t>0</w:t>
      </w:r>
      <w:r w:rsidR="004D5C57" w:rsidRPr="00410EE7">
        <w:t xml:space="preserve">7 per 1000 by 2009, with particularly large increases in 2008 and 2009.  In </w:t>
      </w:r>
      <w:r w:rsidRPr="00410EE7">
        <w:t>addition to any effect of C&amp;B, t</w:t>
      </w:r>
      <w:r w:rsidR="0034075F" w:rsidRPr="00410EE7">
        <w:t xml:space="preserve">his increase in the numbers of scheduled first GP appointments may </w:t>
      </w:r>
      <w:r w:rsidR="00F25185" w:rsidRPr="00410EE7">
        <w:t xml:space="preserve">have been due to </w:t>
      </w:r>
      <w:r w:rsidR="004478D9" w:rsidRPr="00410EE7">
        <w:t xml:space="preserve">the </w:t>
      </w:r>
      <w:r w:rsidR="00957C39" w:rsidRPr="00410EE7">
        <w:t>PbR system (Imison and Naylor, 2010).  There was a rapid rise in the number of consultant to consultant referrals</w:t>
      </w:r>
      <w:r w:rsidR="00F25185" w:rsidRPr="00410EE7">
        <w:t xml:space="preserve"> after 2005 as the PbR system was rolled out</w:t>
      </w:r>
      <w:r w:rsidR="00957C39" w:rsidRPr="00410EE7">
        <w:t xml:space="preserve">, probably because </w:t>
      </w:r>
      <w:r w:rsidR="00F25185" w:rsidRPr="00410EE7">
        <w:t xml:space="preserve">hospitals now had a financial incentive to record them.  Some PCTs, which bore the cost of additional referrals, reacted by requiring that the referral had to be routed via the </w:t>
      </w:r>
      <w:r w:rsidR="00F25185" w:rsidRPr="00410EE7">
        <w:lastRenderedPageBreak/>
        <w:t xml:space="preserve">patient’s GP. </w:t>
      </w:r>
      <w:r w:rsidR="00EE43D3" w:rsidRPr="00410EE7">
        <w:t xml:space="preserve">The introduction </w:t>
      </w:r>
      <w:r w:rsidR="00C62F0B" w:rsidRPr="00410EE7">
        <w:t>of 18 week waiting time targets</w:t>
      </w:r>
      <w:r w:rsidR="00EE43D3" w:rsidRPr="00410EE7">
        <w:t xml:space="preserve"> in 2008 measured from date of referral to admission may </w:t>
      </w:r>
      <w:r w:rsidR="00C62F0B" w:rsidRPr="00410EE7">
        <w:t xml:space="preserve">also have increased </w:t>
      </w:r>
      <w:r w:rsidR="00EE43D3" w:rsidRPr="00410EE7">
        <w:t>referrals</w:t>
      </w:r>
      <w:r w:rsidR="00B73C26">
        <w:t>.</w:t>
      </w:r>
      <w:r w:rsidR="00EE43D3" w:rsidRPr="00410EE7">
        <w:t xml:space="preserve"> </w:t>
      </w:r>
    </w:p>
    <w:p w:rsidR="00F02621" w:rsidRPr="00410EE7" w:rsidRDefault="00F02621" w:rsidP="001B4264"/>
    <w:p w:rsidR="003D5469" w:rsidRPr="00410EE7" w:rsidRDefault="003F792B" w:rsidP="001B4264">
      <w:pPr>
        <w:pStyle w:val="Heading2"/>
        <w:spacing w:line="360" w:lineRule="auto"/>
      </w:pPr>
      <w:r w:rsidRPr="00410EE7">
        <w:t>Estimated effects of C&amp;B</w:t>
      </w:r>
      <w:r w:rsidR="00584132">
        <w:t xml:space="preserve"> and patient choice policies</w:t>
      </w:r>
      <w:r w:rsidR="003D5469" w:rsidRPr="00410EE7">
        <w:t xml:space="preserve"> </w:t>
      </w:r>
    </w:p>
    <w:p w:rsidR="00023FDF" w:rsidRPr="00410EE7" w:rsidRDefault="0034075F" w:rsidP="001B4264">
      <w:pPr>
        <w:rPr>
          <w:noProof/>
          <w:lang w:eastAsia="en-GB"/>
        </w:rPr>
      </w:pPr>
      <w:r w:rsidRPr="00DE2DBD">
        <w:rPr>
          <w:b/>
          <w:shd w:val="clear" w:color="auto" w:fill="FFFFFF" w:themeFill="background1"/>
        </w:rPr>
        <w:t xml:space="preserve">Table </w:t>
      </w:r>
      <w:r w:rsidR="002744EE" w:rsidRPr="00DE2DBD">
        <w:rPr>
          <w:b/>
          <w:shd w:val="clear" w:color="auto" w:fill="FFFFFF" w:themeFill="background1"/>
        </w:rPr>
        <w:t>2</w:t>
      </w:r>
      <w:r w:rsidR="00DF25AF" w:rsidRPr="00410EE7">
        <w:rPr>
          <w:shd w:val="clear" w:color="auto" w:fill="FFFFFF" w:themeFill="background1"/>
        </w:rPr>
        <w:t xml:space="preserve"> </w:t>
      </w:r>
      <w:r w:rsidR="00970B15">
        <w:t xml:space="preserve">presents results from the </w:t>
      </w:r>
      <w:r w:rsidR="00552624">
        <w:t>conditional</w:t>
      </w:r>
      <w:r w:rsidRPr="00410EE7">
        <w:t xml:space="preserve"> </w:t>
      </w:r>
      <w:r w:rsidR="00BF11E8" w:rsidRPr="00410EE7">
        <w:t xml:space="preserve">fixed effects Poisson </w:t>
      </w:r>
      <w:proofErr w:type="gramStart"/>
      <w:r w:rsidR="00525044" w:rsidRPr="00410EE7">
        <w:t>model</w:t>
      </w:r>
      <w:r w:rsidR="00525044">
        <w:t xml:space="preserve"> </w:t>
      </w:r>
      <w:proofErr w:type="gramEnd"/>
      <w:r w:rsidR="0098778E" w:rsidRPr="00410EE7">
        <w:fldChar w:fldCharType="begin"/>
      </w:r>
      <w:r w:rsidR="00BF11E8" w:rsidRPr="00410EE7">
        <w:instrText xml:space="preserve"> GOTOBUTTON ZEqnNum407957  \* MERGEFORMAT </w:instrText>
      </w:r>
      <w:r w:rsidR="0098778E" w:rsidRPr="00410EE7">
        <w:fldChar w:fldCharType="begin"/>
      </w:r>
      <w:r w:rsidR="00BF11E8" w:rsidRPr="00410EE7">
        <w:instrText xml:space="preserve"> REF ZEqnNum407957 \* Charformat \! \* MERGEFORMAT </w:instrText>
      </w:r>
      <w:r w:rsidR="0098778E" w:rsidRPr="00410EE7">
        <w:fldChar w:fldCharType="separate"/>
      </w:r>
      <w:r w:rsidR="00335D7A" w:rsidRPr="00410EE7">
        <w:instrText>(</w:instrText>
      </w:r>
      <w:r w:rsidR="00335D7A">
        <w:instrText>1</w:instrText>
      </w:r>
      <w:r w:rsidR="00335D7A" w:rsidRPr="00410EE7">
        <w:instrText>)</w:instrText>
      </w:r>
      <w:r w:rsidR="0098778E" w:rsidRPr="00410EE7">
        <w:fldChar w:fldCharType="end"/>
      </w:r>
      <w:r w:rsidR="0098778E" w:rsidRPr="00410EE7">
        <w:fldChar w:fldCharType="end"/>
      </w:r>
      <w:r w:rsidR="003F792B" w:rsidRPr="00410EE7">
        <w:t>.  The reported coefficients are the estimated</w:t>
      </w:r>
      <w:r w:rsidR="00552700" w:rsidRPr="00410EE7">
        <w:t xml:space="preserve"> </w:t>
      </w:r>
      <w:r w:rsidR="003F792B" w:rsidRPr="00410EE7">
        <w:t xml:space="preserve">proportionate change in the outcomes from a </w:t>
      </w:r>
      <w:r w:rsidR="000D2152" w:rsidRPr="00410EE7">
        <w:t>one unit (i</w:t>
      </w:r>
      <w:r w:rsidR="00EE43D3" w:rsidRPr="00410EE7">
        <w:t>.</w:t>
      </w:r>
      <w:r w:rsidR="000D2152" w:rsidRPr="00410EE7">
        <w:t>e</w:t>
      </w:r>
      <w:r w:rsidR="009370B9">
        <w:t>.</w:t>
      </w:r>
      <w:r w:rsidR="000D2152" w:rsidRPr="00410EE7">
        <w:t xml:space="preserve"> </w:t>
      </w:r>
      <w:r w:rsidR="003F792B" w:rsidRPr="00410EE7">
        <w:t>1%</w:t>
      </w:r>
      <w:r w:rsidR="000D2152" w:rsidRPr="00410EE7">
        <w:t>)</w:t>
      </w:r>
      <w:r w:rsidR="003F792B" w:rsidRPr="00410EE7">
        <w:t xml:space="preserve"> increase in the C&amp;B rate. </w:t>
      </w:r>
      <w:r w:rsidR="00934249" w:rsidRPr="00410EE7">
        <w:t xml:space="preserve"> Since the n</w:t>
      </w:r>
      <w:r w:rsidR="00B73C26">
        <w:t xml:space="preserve">ational average C&amp;B rate </w:t>
      </w:r>
      <w:r w:rsidR="00934249" w:rsidRPr="00410EE7">
        <w:t>increased from zero in 2004 to nearly 50% in 2009 w</w:t>
      </w:r>
      <w:r w:rsidRPr="00410EE7">
        <w:rPr>
          <w:rFonts w:eastAsiaTheme="minorEastAsia"/>
        </w:rPr>
        <w:t xml:space="preserve">e also report the </w:t>
      </w:r>
      <w:r w:rsidR="00576799" w:rsidRPr="00410EE7">
        <w:rPr>
          <w:rFonts w:eastAsiaTheme="minorEastAsia"/>
        </w:rPr>
        <w:t xml:space="preserve">percentage </w:t>
      </w:r>
      <w:r w:rsidR="00B71A08" w:rsidRPr="00410EE7">
        <w:rPr>
          <w:rFonts w:eastAsiaTheme="minorEastAsia"/>
        </w:rPr>
        <w:t xml:space="preserve">change in </w:t>
      </w:r>
      <w:r w:rsidR="00576799" w:rsidRPr="00410EE7">
        <w:rPr>
          <w:rFonts w:eastAsiaTheme="minorEastAsia"/>
        </w:rPr>
        <w:t xml:space="preserve">the outcome rates from a 50% increase in the C&amp;B rate: </w:t>
      </w:r>
      <w:r w:rsidR="00531294" w:rsidRPr="00410EE7">
        <w:rPr>
          <w:rFonts w:eastAsiaTheme="minorEastAsia"/>
        </w:rPr>
        <w:sym w:font="Symbol" w:char="F044"/>
      </w:r>
      <w:r w:rsidR="00576799" w:rsidRPr="00410EE7">
        <w:rPr>
          <w:noProof/>
          <w:lang w:eastAsia="en-GB"/>
        </w:rPr>
        <w:t>%</w:t>
      </w:r>
      <w:r w:rsidR="00576799" w:rsidRPr="00410EE7">
        <w:rPr>
          <w:noProof/>
          <w:vertAlign w:val="subscript"/>
          <w:lang w:eastAsia="en-GB"/>
        </w:rPr>
        <w:t>50</w:t>
      </w:r>
      <w:r w:rsidR="00023FDF" w:rsidRPr="00410EE7">
        <w:rPr>
          <w:noProof/>
          <w:lang w:eastAsia="en-GB"/>
        </w:rPr>
        <w:t>C&amp;B =</w:t>
      </w:r>
      <w:r w:rsidR="00576799" w:rsidRPr="00410EE7">
        <w:rPr>
          <w:noProof/>
          <w:lang w:eastAsia="en-GB"/>
        </w:rPr>
        <w:t xml:space="preserve"> 100[exp(50</w:t>
      </w:r>
      <w:r w:rsidR="00576799" w:rsidRPr="00410EE7">
        <w:rPr>
          <w:i/>
          <w:noProof/>
          <w:lang w:eastAsia="en-GB"/>
        </w:rPr>
        <w:sym w:font="Symbol" w:char="F062"/>
      </w:r>
      <w:r w:rsidR="00576799" w:rsidRPr="00410EE7">
        <w:rPr>
          <w:noProof/>
          <w:vertAlign w:val="subscript"/>
          <w:lang w:eastAsia="en-GB"/>
        </w:rPr>
        <w:t>1</w:t>
      </w:r>
      <w:r w:rsidR="00576799" w:rsidRPr="00410EE7">
        <w:rPr>
          <w:noProof/>
          <w:lang w:eastAsia="en-GB"/>
        </w:rPr>
        <w:t xml:space="preserve">) </w:t>
      </w:r>
      <w:r w:rsidR="00576799" w:rsidRPr="00410EE7">
        <w:rPr>
          <w:noProof/>
          <w:lang w:eastAsia="en-GB"/>
        </w:rPr>
        <w:sym w:font="Symbol" w:char="F02D"/>
      </w:r>
      <w:r w:rsidR="00576799" w:rsidRPr="00410EE7">
        <w:rPr>
          <w:noProof/>
          <w:lang w:eastAsia="en-GB"/>
        </w:rPr>
        <w:t xml:space="preserve"> 1]</w:t>
      </w:r>
      <w:r w:rsidR="00E04169" w:rsidRPr="00410EE7">
        <w:rPr>
          <w:noProof/>
          <w:lang w:eastAsia="en-GB"/>
        </w:rPr>
        <w:t xml:space="preserve">.  </w:t>
      </w:r>
    </w:p>
    <w:p w:rsidR="00023FDF" w:rsidRPr="00410EE7" w:rsidRDefault="00023FDF" w:rsidP="001B4264">
      <w:pPr>
        <w:rPr>
          <w:noProof/>
          <w:lang w:eastAsia="en-GB"/>
        </w:rPr>
      </w:pPr>
    </w:p>
    <w:p w:rsidR="00576799" w:rsidRPr="00410EE7" w:rsidRDefault="0034075F" w:rsidP="001B4264">
      <w:pPr>
        <w:rPr>
          <w:rFonts w:eastAsiaTheme="minorEastAsia"/>
        </w:rPr>
      </w:pPr>
      <w:r w:rsidRPr="00410EE7">
        <w:rPr>
          <w:rFonts w:eastAsiaTheme="minorEastAsia"/>
        </w:rPr>
        <w:t xml:space="preserve">An increase in use of </w:t>
      </w:r>
      <w:r w:rsidR="006571BB" w:rsidRPr="00410EE7">
        <w:rPr>
          <w:rFonts w:eastAsiaTheme="minorEastAsia"/>
        </w:rPr>
        <w:t>C&amp;B</w:t>
      </w:r>
      <w:r w:rsidRPr="00410EE7">
        <w:rPr>
          <w:rFonts w:eastAsiaTheme="minorEastAsia"/>
        </w:rPr>
        <w:t xml:space="preserve"> is associated with a decrease in patient non-attendance at first </w:t>
      </w:r>
      <w:r w:rsidRPr="00A615D7">
        <w:rPr>
          <w:rFonts w:eastAsiaTheme="minorEastAsia"/>
        </w:rPr>
        <w:t xml:space="preserve">scheduled outpatient appointment. A 50 percentage point increase in C&amp;B utilisation is associated with a </w:t>
      </w:r>
      <w:r w:rsidR="00576799" w:rsidRPr="00A615D7">
        <w:rPr>
          <w:rFonts w:eastAsiaTheme="minorEastAsia"/>
        </w:rPr>
        <w:sym w:font="Symbol" w:char="F02D"/>
      </w:r>
      <w:r w:rsidR="00023FDF" w:rsidRPr="00A615D7">
        <w:rPr>
          <w:rFonts w:eastAsiaTheme="minorEastAsia"/>
        </w:rPr>
        <w:t xml:space="preserve">10.9% </w:t>
      </w:r>
      <w:r w:rsidRPr="00A615D7">
        <w:rPr>
          <w:rFonts w:eastAsiaTheme="minorEastAsia"/>
        </w:rPr>
        <w:t>(</w:t>
      </w:r>
      <w:r w:rsidR="003127D2" w:rsidRPr="00A615D7">
        <w:t xml:space="preserve">95% CI: </w:t>
      </w:r>
      <w:r w:rsidR="00576799" w:rsidRPr="00A615D7">
        <w:sym w:font="Symbol" w:char="F02D"/>
      </w:r>
      <w:r w:rsidR="00023FDF" w:rsidRPr="00A615D7">
        <w:t>9.8</w:t>
      </w:r>
      <w:r w:rsidR="003127D2" w:rsidRPr="00A615D7">
        <w:t>%</w:t>
      </w:r>
      <w:r w:rsidR="00576799" w:rsidRPr="00A615D7">
        <w:t>,</w:t>
      </w:r>
      <w:r w:rsidR="003127D2" w:rsidRPr="00A615D7">
        <w:t xml:space="preserve"> </w:t>
      </w:r>
      <w:r w:rsidR="00E400B8" w:rsidRPr="00A615D7">
        <w:t xml:space="preserve">– </w:t>
      </w:r>
      <w:r w:rsidR="00EE43D3" w:rsidRPr="00A615D7">
        <w:t>12.0</w:t>
      </w:r>
      <w:r w:rsidR="00576799" w:rsidRPr="00A615D7">
        <w:t>%</w:t>
      </w:r>
      <w:r w:rsidRPr="00A615D7">
        <w:rPr>
          <w:rFonts w:eastAsiaTheme="minorEastAsia"/>
        </w:rPr>
        <w:t>)</w:t>
      </w:r>
      <w:r w:rsidRPr="00410EE7">
        <w:rPr>
          <w:rFonts w:eastAsiaTheme="minorEastAsia"/>
        </w:rPr>
        <w:t xml:space="preserve"> </w:t>
      </w:r>
      <w:r w:rsidR="00023FDF" w:rsidRPr="00410EE7">
        <w:rPr>
          <w:rFonts w:eastAsiaTheme="minorEastAsia"/>
        </w:rPr>
        <w:t xml:space="preserve">proportionate </w:t>
      </w:r>
      <w:r w:rsidR="00E04169" w:rsidRPr="00410EE7">
        <w:rPr>
          <w:rFonts w:eastAsiaTheme="minorEastAsia"/>
        </w:rPr>
        <w:t xml:space="preserve">reduction </w:t>
      </w:r>
      <w:r w:rsidRPr="00410EE7">
        <w:rPr>
          <w:rFonts w:eastAsiaTheme="minorEastAsia"/>
        </w:rPr>
        <w:t xml:space="preserve">in the rate of non-attendance. </w:t>
      </w:r>
      <w:r w:rsidR="00023FDF" w:rsidRPr="00410EE7">
        <w:rPr>
          <w:rFonts w:eastAsiaTheme="minorEastAsia"/>
        </w:rPr>
        <w:t xml:space="preserve">  Increased use of C&amp;B is also associated with a reduction in the practice referral rate, though the proportionate reduction (</w:t>
      </w:r>
      <w:r w:rsidR="004C063B">
        <w:rPr>
          <w:rFonts w:eastAsiaTheme="minorEastAsia"/>
        </w:rPr>
        <w:t>–</w:t>
      </w:r>
      <w:r w:rsidR="00023FDF" w:rsidRPr="00410EE7">
        <w:rPr>
          <w:rFonts w:eastAsiaTheme="minorEastAsia"/>
        </w:rPr>
        <w:t>3%) with a 50% increase in the C&amp;B rate is smaller</w:t>
      </w:r>
      <w:r w:rsidR="007C0117">
        <w:rPr>
          <w:rFonts w:eastAsiaTheme="minorEastAsia"/>
        </w:rPr>
        <w:t xml:space="preserve"> than for non-attendance</w:t>
      </w:r>
      <w:r w:rsidR="004C063B">
        <w:rPr>
          <w:rFonts w:eastAsiaTheme="minorEastAsia"/>
        </w:rPr>
        <w:t>.</w:t>
      </w:r>
      <w:r w:rsidR="00023FDF" w:rsidRPr="00410EE7">
        <w:rPr>
          <w:rFonts w:eastAsiaTheme="minorEastAsia"/>
        </w:rPr>
        <w:t xml:space="preserve">  Patien</w:t>
      </w:r>
      <w:r w:rsidR="00B73C26">
        <w:rPr>
          <w:rFonts w:eastAsiaTheme="minorEastAsia"/>
        </w:rPr>
        <w:t>t cancellations were</w:t>
      </w:r>
      <w:r w:rsidR="00EE43D3" w:rsidRPr="00410EE7">
        <w:rPr>
          <w:rFonts w:eastAsiaTheme="minorEastAsia"/>
        </w:rPr>
        <w:t xml:space="preserve"> also reduced</w:t>
      </w:r>
      <w:r w:rsidR="00023FDF" w:rsidRPr="00410EE7">
        <w:rPr>
          <w:rFonts w:eastAsiaTheme="minorEastAsia"/>
        </w:rPr>
        <w:t xml:space="preserve"> </w:t>
      </w:r>
      <w:r w:rsidR="004C063B">
        <w:rPr>
          <w:rFonts w:eastAsiaTheme="minorEastAsia"/>
        </w:rPr>
        <w:t>when the practice</w:t>
      </w:r>
      <w:r w:rsidR="00023FDF" w:rsidRPr="00410EE7">
        <w:rPr>
          <w:rFonts w:eastAsiaTheme="minorEastAsia"/>
        </w:rPr>
        <w:t xml:space="preserve"> C&amp;B </w:t>
      </w:r>
      <w:r w:rsidR="00EE43D3" w:rsidRPr="00410EE7">
        <w:rPr>
          <w:rFonts w:eastAsiaTheme="minorEastAsia"/>
        </w:rPr>
        <w:t xml:space="preserve">uptake </w:t>
      </w:r>
      <w:r w:rsidR="004C063B">
        <w:rPr>
          <w:rFonts w:eastAsiaTheme="minorEastAsia"/>
        </w:rPr>
        <w:t xml:space="preserve">was increased. </w:t>
      </w:r>
      <w:r w:rsidR="00A145B4" w:rsidRPr="00410EE7">
        <w:rPr>
          <w:rFonts w:eastAsiaTheme="minorEastAsia"/>
        </w:rPr>
        <w:t xml:space="preserve">Finally, hospital cancellations </w:t>
      </w:r>
      <w:r w:rsidR="004C063B">
        <w:rPr>
          <w:rFonts w:eastAsiaTheme="minorEastAsia"/>
        </w:rPr>
        <w:t xml:space="preserve">were </w:t>
      </w:r>
      <w:r w:rsidR="00A145B4" w:rsidRPr="00410EE7">
        <w:rPr>
          <w:rFonts w:eastAsiaTheme="minorEastAsia"/>
        </w:rPr>
        <w:t xml:space="preserve">much higher when the practice C&amp;B rate is higher: a 50% increase in the </w:t>
      </w:r>
      <w:r w:rsidR="00A91C10">
        <w:rPr>
          <w:rFonts w:eastAsiaTheme="minorEastAsia"/>
        </w:rPr>
        <w:t>C&amp;B rate is associated with a 40</w:t>
      </w:r>
      <w:r w:rsidR="00A145B4" w:rsidRPr="00410EE7">
        <w:rPr>
          <w:rFonts w:eastAsiaTheme="minorEastAsia"/>
        </w:rPr>
        <w:t>% proportionate increase in the hospital cancellation rate.</w:t>
      </w:r>
      <w:r w:rsidR="00B37CD5">
        <w:rPr>
          <w:rStyle w:val="FootnoteReference"/>
          <w:rFonts w:eastAsiaTheme="minorEastAsia"/>
        </w:rPr>
        <w:footnoteReference w:id="19"/>
      </w:r>
      <w:r w:rsidR="00A145B4" w:rsidRPr="00410EE7">
        <w:rPr>
          <w:rFonts w:eastAsiaTheme="minorEastAsia"/>
        </w:rPr>
        <w:t xml:space="preserve"> </w:t>
      </w:r>
    </w:p>
    <w:p w:rsidR="00576799" w:rsidRPr="00410EE7" w:rsidRDefault="00576799" w:rsidP="001B4264">
      <w:pPr>
        <w:rPr>
          <w:rFonts w:eastAsiaTheme="minorEastAsia"/>
        </w:rPr>
      </w:pPr>
    </w:p>
    <w:p w:rsidR="00AC3D5D" w:rsidRDefault="002744EE" w:rsidP="00B51DCF">
      <w:r w:rsidRPr="007C0117">
        <w:rPr>
          <w:rFonts w:eastAsiaTheme="minorEastAsia"/>
          <w:b/>
        </w:rPr>
        <w:t>Table 3</w:t>
      </w:r>
      <w:r w:rsidR="004C063B">
        <w:rPr>
          <w:rFonts w:eastAsiaTheme="minorEastAsia"/>
        </w:rPr>
        <w:t xml:space="preserve"> has the results </w:t>
      </w:r>
      <w:r w:rsidR="004C063B" w:rsidRPr="004C063B">
        <w:rPr>
          <w:rFonts w:eastAsiaTheme="minorEastAsia"/>
        </w:rPr>
        <w:t>from a</w:t>
      </w:r>
      <w:r w:rsidR="0097398A" w:rsidRPr="004C063B">
        <w:rPr>
          <w:rFonts w:eastAsiaTheme="minorEastAsia"/>
        </w:rPr>
        <w:t xml:space="preserve"> specification in</w:t>
      </w:r>
      <w:r w:rsidR="0097398A" w:rsidRPr="00410EE7">
        <w:rPr>
          <w:rFonts w:eastAsiaTheme="minorEastAsia"/>
        </w:rPr>
        <w:t xml:space="preserve"> which the effect of C&amp;B </w:t>
      </w:r>
      <w:r w:rsidR="007C0117">
        <w:rPr>
          <w:rFonts w:eastAsiaTheme="minorEastAsia"/>
        </w:rPr>
        <w:t>varies</w:t>
      </w:r>
      <w:r w:rsidR="0097398A" w:rsidRPr="00410EE7">
        <w:rPr>
          <w:rFonts w:eastAsiaTheme="minorEastAsia"/>
        </w:rPr>
        <w:t xml:space="preserve"> across years. </w:t>
      </w:r>
      <w:r w:rsidR="00CD1DA3" w:rsidRPr="00410EE7">
        <w:rPr>
          <w:rFonts w:eastAsiaTheme="minorEastAsia"/>
        </w:rPr>
        <w:t xml:space="preserve"> </w:t>
      </w:r>
      <w:r w:rsidR="00552700" w:rsidRPr="00410EE7">
        <w:rPr>
          <w:noProof/>
          <w:lang w:eastAsia="en-GB"/>
        </w:rPr>
        <w:t>Th</w:t>
      </w:r>
      <w:r w:rsidR="00B51DCF">
        <w:rPr>
          <w:noProof/>
          <w:lang w:eastAsia="en-GB"/>
        </w:rPr>
        <w:t xml:space="preserve">e marginal proportional effect </w:t>
      </w:r>
      <w:r w:rsidR="00552700" w:rsidRPr="00410EE7">
        <w:rPr>
          <w:noProof/>
          <w:lang w:eastAsia="en-GB"/>
        </w:rPr>
        <w:t xml:space="preserve">on non-attendance </w:t>
      </w:r>
      <w:r w:rsidR="002F6AD6" w:rsidRPr="00410EE7">
        <w:rPr>
          <w:noProof/>
          <w:lang w:eastAsia="en-GB"/>
        </w:rPr>
        <w:t xml:space="preserve">in participating practices </w:t>
      </w:r>
      <w:r w:rsidR="00552700" w:rsidRPr="00410EE7">
        <w:rPr>
          <w:noProof/>
          <w:lang w:eastAsia="en-GB"/>
        </w:rPr>
        <w:t>is largest in 2005</w:t>
      </w:r>
      <w:r w:rsidR="00552624">
        <w:rPr>
          <w:noProof/>
          <w:lang w:eastAsia="en-GB"/>
        </w:rPr>
        <w:t xml:space="preserve"> (prior to </w:t>
      </w:r>
      <w:r w:rsidR="004C063B">
        <w:rPr>
          <w:noProof/>
          <w:lang w:eastAsia="en-GB"/>
        </w:rPr>
        <w:t xml:space="preserve">introduction of the patient choice policy) </w:t>
      </w:r>
      <w:r w:rsidR="00552700" w:rsidRPr="00410EE7">
        <w:rPr>
          <w:noProof/>
          <w:lang w:eastAsia="en-GB"/>
        </w:rPr>
        <w:t>but less precisely estimated than in subsequent years, probably because of the small</w:t>
      </w:r>
      <w:r w:rsidR="00EE43D3" w:rsidRPr="00410EE7">
        <w:rPr>
          <w:noProof/>
          <w:lang w:eastAsia="en-GB"/>
        </w:rPr>
        <w:t>er</w:t>
      </w:r>
      <w:r w:rsidR="00552700" w:rsidRPr="00410EE7">
        <w:rPr>
          <w:noProof/>
          <w:lang w:eastAsia="en-GB"/>
        </w:rPr>
        <w:t xml:space="preserve"> </w:t>
      </w:r>
      <w:r w:rsidR="00EE43D3" w:rsidRPr="00410EE7">
        <w:rPr>
          <w:rFonts w:eastAsiaTheme="minorEastAsia"/>
        </w:rPr>
        <w:t>number (2,228)</w:t>
      </w:r>
      <w:r w:rsidR="00552700" w:rsidRPr="00410EE7">
        <w:rPr>
          <w:rFonts w:eastAsiaTheme="minorEastAsia"/>
        </w:rPr>
        <w:t xml:space="preserve"> of practices using C&amp;B </w:t>
      </w:r>
      <w:r w:rsidR="007C0117">
        <w:rPr>
          <w:rFonts w:eastAsiaTheme="minorEastAsia"/>
        </w:rPr>
        <w:t>i</w:t>
      </w:r>
      <w:r w:rsidR="00552700" w:rsidRPr="00410EE7">
        <w:rPr>
          <w:rFonts w:eastAsiaTheme="minorEastAsia"/>
        </w:rPr>
        <w:t>n this pilot year</w:t>
      </w:r>
      <w:r w:rsidR="00B51DCF">
        <w:rPr>
          <w:rFonts w:eastAsiaTheme="minorEastAsia"/>
        </w:rPr>
        <w:t>.</w:t>
      </w:r>
    </w:p>
    <w:p w:rsidR="00584B00" w:rsidRPr="00410EE7" w:rsidRDefault="00584B00" w:rsidP="00552700">
      <w:pPr>
        <w:rPr>
          <w:rFonts w:eastAsiaTheme="minorEastAsia"/>
        </w:rPr>
      </w:pPr>
    </w:p>
    <w:p w:rsidR="0068249E" w:rsidRPr="00410EE7" w:rsidRDefault="00A43B20" w:rsidP="0068249E">
      <w:pPr>
        <w:rPr>
          <w:rFonts w:eastAsiaTheme="minorEastAsia"/>
        </w:rPr>
      </w:pPr>
      <w:r w:rsidRPr="004C063B">
        <w:rPr>
          <w:rFonts w:eastAsiaTheme="minorEastAsia"/>
        </w:rPr>
        <w:t xml:space="preserve">The changes in the </w:t>
      </w:r>
      <w:r w:rsidR="00584B00" w:rsidRPr="004C063B">
        <w:rPr>
          <w:rFonts w:eastAsiaTheme="minorEastAsia"/>
        </w:rPr>
        <w:t xml:space="preserve">coefficient on the C&amp;B rate </w:t>
      </w:r>
      <w:r w:rsidRPr="004C063B">
        <w:rPr>
          <w:rFonts w:eastAsiaTheme="minorEastAsia"/>
        </w:rPr>
        <w:t xml:space="preserve">over time do not </w:t>
      </w:r>
      <w:r w:rsidR="004C063B" w:rsidRPr="004C063B">
        <w:rPr>
          <w:rFonts w:eastAsiaTheme="minorEastAsia"/>
        </w:rPr>
        <w:t>suggest that the changes in c</w:t>
      </w:r>
      <w:r w:rsidRPr="004C063B">
        <w:rPr>
          <w:rFonts w:eastAsiaTheme="minorEastAsia"/>
        </w:rPr>
        <w:t>hoice policy in 200</w:t>
      </w:r>
      <w:r w:rsidR="004C063B">
        <w:rPr>
          <w:rFonts w:eastAsiaTheme="minorEastAsia"/>
        </w:rPr>
        <w:t xml:space="preserve">6 and 2008 </w:t>
      </w:r>
      <w:r w:rsidR="005F64BA">
        <w:rPr>
          <w:rFonts w:eastAsiaTheme="minorEastAsia"/>
        </w:rPr>
        <w:t xml:space="preserve">which </w:t>
      </w:r>
      <w:r w:rsidR="002E1360">
        <w:rPr>
          <w:rFonts w:eastAsiaTheme="minorEastAsia"/>
        </w:rPr>
        <w:t>widened</w:t>
      </w:r>
      <w:r w:rsidR="004C063B">
        <w:rPr>
          <w:rFonts w:eastAsiaTheme="minorEastAsia"/>
        </w:rPr>
        <w:t xml:space="preserve"> choice sets </w:t>
      </w:r>
      <w:r w:rsidRPr="004C063B">
        <w:rPr>
          <w:rFonts w:eastAsiaTheme="minorEastAsia"/>
        </w:rPr>
        <w:t>changed the effect of C&amp;B uptake.</w:t>
      </w:r>
      <w:r w:rsidR="0068249E" w:rsidRPr="004C063B">
        <w:rPr>
          <w:rFonts w:eastAsiaTheme="minorEastAsia"/>
        </w:rPr>
        <w:t xml:space="preserve"> The proportional reduction in the GP referral rate </w:t>
      </w:r>
      <w:r w:rsidR="0083482E">
        <w:rPr>
          <w:rFonts w:eastAsiaTheme="minorEastAsia"/>
        </w:rPr>
        <w:t xml:space="preserve">due to C&amp;B </w:t>
      </w:r>
      <w:r w:rsidR="0068249E" w:rsidRPr="004C063B">
        <w:rPr>
          <w:rFonts w:eastAsiaTheme="minorEastAsia"/>
        </w:rPr>
        <w:t>for participating practices declined over time, suggesting the expansion of patient choice may have increased referrals, but nationally this was more than offset by increasing use of C&amp;B, so that by 2009 we estimate that</w:t>
      </w:r>
      <w:r w:rsidR="004C063B" w:rsidRPr="004C063B">
        <w:rPr>
          <w:rFonts w:eastAsiaTheme="minorEastAsia"/>
        </w:rPr>
        <w:t xml:space="preserve"> C&amp;B reduced referral rates by –1.4% (95% CI: –2.5%, –</w:t>
      </w:r>
      <w:r w:rsidR="0068249E" w:rsidRPr="004C063B">
        <w:rPr>
          <w:rFonts w:eastAsiaTheme="minorEastAsia"/>
        </w:rPr>
        <w:t>0.4%).</w:t>
      </w:r>
      <w:r w:rsidR="00B51DCF">
        <w:rPr>
          <w:rStyle w:val="FootnoteReference"/>
          <w:rFonts w:eastAsiaTheme="minorEastAsia"/>
        </w:rPr>
        <w:footnoteReference w:id="20"/>
      </w:r>
      <w:r w:rsidR="0068249E" w:rsidRPr="004C063B">
        <w:rPr>
          <w:rFonts w:eastAsiaTheme="minorEastAsia"/>
        </w:rPr>
        <w:t xml:space="preserve">  </w:t>
      </w:r>
      <w:r w:rsidR="003E29C6" w:rsidRPr="004C063B">
        <w:rPr>
          <w:rFonts w:eastAsiaTheme="minorEastAsia"/>
        </w:rPr>
        <w:t xml:space="preserve">The effects of C&amp;B on patient cancellations </w:t>
      </w:r>
      <w:r w:rsidR="006056C0">
        <w:rPr>
          <w:rFonts w:eastAsiaTheme="minorEastAsia"/>
        </w:rPr>
        <w:t xml:space="preserve">varied across the years, being positive in some years and </w:t>
      </w:r>
      <w:r w:rsidR="003E29C6" w:rsidRPr="004C063B">
        <w:rPr>
          <w:rFonts w:eastAsiaTheme="minorEastAsia"/>
        </w:rPr>
        <w:t>negative in</w:t>
      </w:r>
      <w:r w:rsidR="006056C0">
        <w:rPr>
          <w:rFonts w:eastAsiaTheme="minorEastAsia"/>
        </w:rPr>
        <w:t xml:space="preserve"> others.</w:t>
      </w:r>
      <w:r w:rsidR="0068249E" w:rsidRPr="004C063B">
        <w:rPr>
          <w:rFonts w:eastAsiaTheme="minorEastAsia"/>
        </w:rPr>
        <w:t xml:space="preserve"> T</w:t>
      </w:r>
      <w:r w:rsidR="003E29C6" w:rsidRPr="004C063B">
        <w:rPr>
          <w:rFonts w:eastAsiaTheme="minorEastAsia"/>
        </w:rPr>
        <w:t xml:space="preserve">he effect </w:t>
      </w:r>
      <w:r w:rsidR="006056C0">
        <w:rPr>
          <w:rFonts w:eastAsiaTheme="minorEastAsia"/>
        </w:rPr>
        <w:t xml:space="preserve">of C&amp;B </w:t>
      </w:r>
      <w:r w:rsidR="003E29C6" w:rsidRPr="004C063B">
        <w:rPr>
          <w:rFonts w:eastAsiaTheme="minorEastAsia"/>
        </w:rPr>
        <w:t>on hospital cancellations</w:t>
      </w:r>
      <w:r w:rsidR="0068249E" w:rsidRPr="004C063B">
        <w:rPr>
          <w:rFonts w:eastAsiaTheme="minorEastAsia"/>
        </w:rPr>
        <w:t xml:space="preserve"> </w:t>
      </w:r>
      <w:r w:rsidR="006056C0">
        <w:rPr>
          <w:rFonts w:eastAsiaTheme="minorEastAsia"/>
        </w:rPr>
        <w:t xml:space="preserve">was always </w:t>
      </w:r>
      <w:r w:rsidR="0068249E" w:rsidRPr="004C063B">
        <w:rPr>
          <w:rFonts w:eastAsiaTheme="minorEastAsia"/>
        </w:rPr>
        <w:t>positive, but it</w:t>
      </w:r>
      <w:r w:rsidR="006056C0">
        <w:rPr>
          <w:rFonts w:eastAsiaTheme="minorEastAsia"/>
        </w:rPr>
        <w:t>s magnitude</w:t>
      </w:r>
      <w:r w:rsidR="0068249E" w:rsidRPr="004C063B">
        <w:rPr>
          <w:rFonts w:eastAsiaTheme="minorEastAsia"/>
        </w:rPr>
        <w:t xml:space="preserve"> declined sharply over time, suggesting that initially hospitals found it more difficult to handle referrals made by the C&amp;B system.</w:t>
      </w:r>
      <w:r w:rsidR="002E1360" w:rsidRPr="002E1360">
        <w:rPr>
          <w:rStyle w:val="FootnoteReference"/>
          <w:rFonts w:eastAsiaTheme="minorEastAsia"/>
        </w:rPr>
        <w:t xml:space="preserve"> </w:t>
      </w:r>
      <w:r w:rsidR="002E1360" w:rsidRPr="004C063B">
        <w:rPr>
          <w:rStyle w:val="FootnoteReference"/>
          <w:rFonts w:eastAsiaTheme="minorEastAsia"/>
        </w:rPr>
        <w:footnoteReference w:id="21"/>
      </w:r>
      <w:r w:rsidR="0068249E" w:rsidRPr="00410EE7">
        <w:rPr>
          <w:rFonts w:eastAsiaTheme="minorEastAsia"/>
        </w:rPr>
        <w:t xml:space="preserve"> </w:t>
      </w:r>
    </w:p>
    <w:p w:rsidR="0068249E" w:rsidRPr="00410EE7" w:rsidRDefault="002F6AD6" w:rsidP="0068249E">
      <w:pPr>
        <w:rPr>
          <w:rFonts w:eastAsiaTheme="minorEastAsia"/>
        </w:rPr>
      </w:pPr>
      <w:r w:rsidRPr="00410EE7">
        <w:rPr>
          <w:rFonts w:eastAsiaTheme="minorEastAsia"/>
        </w:rPr>
        <w:t xml:space="preserve"> </w:t>
      </w:r>
    </w:p>
    <w:p w:rsidR="006637E8" w:rsidRPr="00901A89" w:rsidRDefault="003D7336" w:rsidP="001B4264">
      <w:r w:rsidRPr="002608A2">
        <w:rPr>
          <w:b/>
        </w:rPr>
        <w:t>Table 4</w:t>
      </w:r>
      <w:r w:rsidRPr="002608A2">
        <w:t xml:space="preserve"> tests the robustness of our results to </w:t>
      </w:r>
      <w:r w:rsidR="00B07F18" w:rsidRPr="002608A2">
        <w:t xml:space="preserve">different </w:t>
      </w:r>
      <w:r w:rsidRPr="002608A2">
        <w:t xml:space="preserve">underlying </w:t>
      </w:r>
      <w:r w:rsidR="00B07F18" w:rsidRPr="002608A2">
        <w:t xml:space="preserve">practice </w:t>
      </w:r>
      <w:r w:rsidRPr="002608A2">
        <w:t xml:space="preserve">trends </w:t>
      </w:r>
      <w:r w:rsidR="00B07F18" w:rsidRPr="002608A2">
        <w:t xml:space="preserve">in their propensities to use </w:t>
      </w:r>
      <w:r w:rsidRPr="002608A2">
        <w:t xml:space="preserve">C&amp;B. We </w:t>
      </w:r>
      <w:r w:rsidR="00B07F18" w:rsidRPr="002608A2">
        <w:t xml:space="preserve">add </w:t>
      </w:r>
      <w:r w:rsidRPr="002608A2">
        <w:t xml:space="preserve">an interaction between </w:t>
      </w:r>
      <w:r w:rsidR="00B07F18" w:rsidRPr="002608A2">
        <w:t xml:space="preserve">year dummies </w:t>
      </w:r>
      <w:r w:rsidRPr="002608A2">
        <w:t>and mean practice</w:t>
      </w:r>
      <w:r w:rsidRPr="00901A89">
        <w:t xml:space="preserve"> C&amp;B utilisation over the period 2005 to 2009. Our results are qualitatively unchanged with C&amp;B associated with reductions in non-attendance and referrals. The magnitude of the effects are slightly less negative, and in some years there was evidence that a greater propensity to use C&amp;B on average was </w:t>
      </w:r>
      <w:r w:rsidR="006637E8" w:rsidRPr="00901A89">
        <w:t xml:space="preserve">associated with significantly  </w:t>
      </w:r>
      <w:r w:rsidRPr="00901A89">
        <w:t>higher</w:t>
      </w:r>
      <w:r w:rsidR="006637E8" w:rsidRPr="00901A89">
        <w:t xml:space="preserve"> underlying trends in non-attendance and referrals. Patient cancellations were negatively associated with C&amp;B utilisation</w:t>
      </w:r>
      <w:r w:rsidR="00F55633" w:rsidRPr="00901A89">
        <w:t>,</w:t>
      </w:r>
      <w:r w:rsidR="006637E8" w:rsidRPr="00901A89">
        <w:t xml:space="preserve"> but no longer s</w:t>
      </w:r>
      <w:r w:rsidR="006056C0">
        <w:t xml:space="preserve">tatistically significant at </w:t>
      </w:r>
      <w:r w:rsidR="006637E8" w:rsidRPr="00901A89">
        <w:t xml:space="preserve">5% and hospital cancellations remained positive and </w:t>
      </w:r>
      <w:r w:rsidR="00B07F18">
        <w:t xml:space="preserve">statistically </w:t>
      </w:r>
      <w:r w:rsidR="006637E8" w:rsidRPr="00901A89">
        <w:t>significantly associated with C&amp;B uptake.</w:t>
      </w:r>
      <w:r w:rsidR="00F55633" w:rsidRPr="00901A89">
        <w:rPr>
          <w:rStyle w:val="FootnoteReference"/>
        </w:rPr>
        <w:footnoteReference w:id="22"/>
      </w:r>
      <w:r w:rsidR="006637E8" w:rsidRPr="00901A89">
        <w:t xml:space="preserve">   </w:t>
      </w:r>
      <w:r w:rsidRPr="00901A89">
        <w:t xml:space="preserve">  </w:t>
      </w:r>
    </w:p>
    <w:p w:rsidR="007F3C18" w:rsidRPr="00901A89" w:rsidRDefault="007F3C18" w:rsidP="001B4264"/>
    <w:p w:rsidR="00B41274" w:rsidRPr="00901A89" w:rsidRDefault="009A7DF3" w:rsidP="00B41274">
      <w:r w:rsidRPr="00901A89">
        <w:t xml:space="preserve">We </w:t>
      </w:r>
      <w:r w:rsidR="0034102B">
        <w:t xml:space="preserve">examined </w:t>
      </w:r>
      <w:r w:rsidR="009401BF" w:rsidRPr="00901A89">
        <w:t xml:space="preserve">whether the effects of C&amp;B were </w:t>
      </w:r>
      <w:r w:rsidR="0034102B">
        <w:t xml:space="preserve">affected by the </w:t>
      </w:r>
      <w:r w:rsidR="009401BF" w:rsidRPr="00901A89">
        <w:t xml:space="preserve">average distance </w:t>
      </w:r>
      <w:r w:rsidR="0034102B">
        <w:t xml:space="preserve">from the practice </w:t>
      </w:r>
      <w:r w:rsidR="009401BF" w:rsidRPr="00901A89">
        <w:t xml:space="preserve">to </w:t>
      </w:r>
      <w:r w:rsidR="00C33BFC" w:rsidRPr="00901A89">
        <w:t xml:space="preserve">all possible </w:t>
      </w:r>
      <w:r w:rsidR="009401BF" w:rsidRPr="00901A89">
        <w:t>referral hospital</w:t>
      </w:r>
      <w:r w:rsidR="00C33BFC" w:rsidRPr="00901A89">
        <w:t>s</w:t>
      </w:r>
      <w:r w:rsidR="009401BF" w:rsidRPr="00901A89">
        <w:t xml:space="preserve">. </w:t>
      </w:r>
      <w:r w:rsidR="007F3C18" w:rsidRPr="00901A89">
        <w:t>Average distance to hospital is a proxy for the cost of travel and the extent of effective choice for patients</w:t>
      </w:r>
      <w:r w:rsidR="0034102B">
        <w:t xml:space="preserve">. </w:t>
      </w:r>
      <w:r w:rsidR="009401BF" w:rsidRPr="007C0117">
        <w:rPr>
          <w:b/>
        </w:rPr>
        <w:t>Table 5</w:t>
      </w:r>
      <w:r w:rsidR="009401BF" w:rsidRPr="00901A89">
        <w:t xml:space="preserve"> re</w:t>
      </w:r>
      <w:r w:rsidR="00C33BFC" w:rsidRPr="00901A89">
        <w:t xml:space="preserve">ports results </w:t>
      </w:r>
      <w:r w:rsidR="0034102B">
        <w:t xml:space="preserve">from a model with </w:t>
      </w:r>
      <w:r w:rsidR="00C33BFC" w:rsidRPr="00901A89">
        <w:t xml:space="preserve">C&amp;B uptake </w:t>
      </w:r>
      <w:r w:rsidR="0034102B">
        <w:t xml:space="preserve">interacted with indicators for the </w:t>
      </w:r>
      <w:r w:rsidR="00C33BFC" w:rsidRPr="00901A89">
        <w:t>quintiles of average distance</w:t>
      </w:r>
      <w:r w:rsidR="009F54A7">
        <w:t>.</w:t>
      </w:r>
      <w:r w:rsidR="00C33BFC" w:rsidRPr="00901A89">
        <w:t xml:space="preserve"> </w:t>
      </w:r>
      <w:r w:rsidR="009401BF" w:rsidRPr="00901A89">
        <w:t xml:space="preserve">The effects of C&amp;B </w:t>
      </w:r>
      <w:r w:rsidR="00C33BFC" w:rsidRPr="00901A89">
        <w:t>on non-attendance</w:t>
      </w:r>
      <w:r w:rsidR="009F54A7">
        <w:t>, patient cancellations, and hospital cancellations</w:t>
      </w:r>
      <w:r w:rsidR="00C33BFC" w:rsidRPr="00901A89">
        <w:t xml:space="preserve"> </w:t>
      </w:r>
      <w:r w:rsidR="009401BF" w:rsidRPr="00901A89">
        <w:t>did not</w:t>
      </w:r>
      <w:r w:rsidR="00C33BFC" w:rsidRPr="00901A89">
        <w:t xml:space="preserve"> differ by distance to hospitals. </w:t>
      </w:r>
      <w:r w:rsidR="00B41274">
        <w:t xml:space="preserve">For referrals, the effect of distance on the effect of C&amp;B is mixed but generally the negative effect of C&amp;B is smaller at higher distance quintiles. </w:t>
      </w:r>
    </w:p>
    <w:p w:rsidR="008E628B" w:rsidRDefault="008E628B" w:rsidP="001B4264"/>
    <w:p w:rsidR="0068232E" w:rsidRDefault="006056C0" w:rsidP="001B4264">
      <w:r w:rsidRPr="006056C0">
        <w:t xml:space="preserve">In </w:t>
      </w:r>
      <w:r w:rsidR="007C0117" w:rsidRPr="006056C0">
        <w:rPr>
          <w:b/>
        </w:rPr>
        <w:t>Table 6</w:t>
      </w:r>
      <w:r w:rsidR="00DD0793" w:rsidRPr="00FD13C2">
        <w:t xml:space="preserve"> </w:t>
      </w:r>
      <w:r>
        <w:t>we examine the implications of potential endogeneity of C&amp;B</w:t>
      </w:r>
      <w:r w:rsidR="00BF5CBD">
        <w:t xml:space="preserve">, instrumenting practice use of C&amp;B </w:t>
      </w:r>
      <w:r w:rsidR="00BF5CBD" w:rsidRPr="00FD13C2">
        <w:t xml:space="preserve">with the mean C&amp;B uptake </w:t>
      </w:r>
      <w:r w:rsidR="00BF5CBD">
        <w:t xml:space="preserve">in the PCT.  We also allow directly for choice policy in some specifications by adding a measure of the extent to which patients were aware of their right to a choice of hospital. In </w:t>
      </w:r>
      <w:r w:rsidR="00BF5CBD" w:rsidRPr="00BF5CBD">
        <w:rPr>
          <w:i/>
        </w:rPr>
        <w:t xml:space="preserve">panel </w:t>
      </w:r>
      <w:proofErr w:type="gramStart"/>
      <w:r w:rsidR="00BF5CBD" w:rsidRPr="00BF5CBD">
        <w:rPr>
          <w:i/>
        </w:rPr>
        <w:t>a</w:t>
      </w:r>
      <w:r w:rsidR="00BF5CBD">
        <w:t xml:space="preserve"> we</w:t>
      </w:r>
      <w:proofErr w:type="gramEnd"/>
      <w:r w:rsidR="00BF5CBD">
        <w:t xml:space="preserve"> repeat the results from the baseline specification in Table 2 with </w:t>
      </w:r>
      <w:proofErr w:type="spellStart"/>
      <w:r w:rsidR="00BF5CBD">
        <w:t>uninstrumented</w:t>
      </w:r>
      <w:proofErr w:type="spellEnd"/>
      <w:r w:rsidR="00BF5CBD">
        <w:t xml:space="preserve"> C&amp;B and with no measure of choice policy.  </w:t>
      </w:r>
      <w:r w:rsidR="00BF5CBD">
        <w:rPr>
          <w:i/>
        </w:rPr>
        <w:t>P</w:t>
      </w:r>
      <w:r w:rsidR="00BF5CBD" w:rsidRPr="00BF5CBD">
        <w:rPr>
          <w:i/>
        </w:rPr>
        <w:t>anel b</w:t>
      </w:r>
      <w:r w:rsidR="00BF5CBD">
        <w:t xml:space="preserve"> has the results when add the residuals from the first stage C&amp;B model to second stage model.  The estimated effect of C&amp;B on non-attendance and on hospital cancellations are similar to those in the </w:t>
      </w:r>
      <w:proofErr w:type="spellStart"/>
      <w:r w:rsidR="00BF5CBD">
        <w:t>unin</w:t>
      </w:r>
      <w:r w:rsidR="0068232E">
        <w:t>s</w:t>
      </w:r>
      <w:r w:rsidR="00BF5CBD">
        <w:t>trumented</w:t>
      </w:r>
      <w:proofErr w:type="spellEnd"/>
      <w:r w:rsidR="00BF5CBD">
        <w:t xml:space="preserve"> model in </w:t>
      </w:r>
      <w:r w:rsidR="00BF5CBD" w:rsidRPr="005F64BA">
        <w:rPr>
          <w:i/>
        </w:rPr>
        <w:t>panel a</w:t>
      </w:r>
      <w:r w:rsidR="00BF5CBD">
        <w:t xml:space="preserve"> and </w:t>
      </w:r>
      <w:r w:rsidR="0068232E">
        <w:t>t</w:t>
      </w:r>
      <w:r w:rsidR="00BF5CBD">
        <w:t>he first stage residual is statistically insignificant</w:t>
      </w:r>
      <w:r w:rsidR="0068232E">
        <w:t>,</w:t>
      </w:r>
      <w:r w:rsidR="00BF5CBD">
        <w:t xml:space="preserve"> suggesting that C&amp;B was not endogenous for these outcomes.  </w:t>
      </w:r>
      <w:r w:rsidR="0068232E">
        <w:t xml:space="preserve">C&amp;B is endogenous for referrals and for patient cancellations and the negative effect of C&amp;B is three to four times larger than in the </w:t>
      </w:r>
      <w:proofErr w:type="spellStart"/>
      <w:r w:rsidR="0068232E">
        <w:t>uninstrumented</w:t>
      </w:r>
      <w:proofErr w:type="spellEnd"/>
      <w:r w:rsidR="0068232E">
        <w:t xml:space="preserve"> model in </w:t>
      </w:r>
      <w:r w:rsidR="0068232E" w:rsidRPr="005F64BA">
        <w:rPr>
          <w:i/>
        </w:rPr>
        <w:t>panel a</w:t>
      </w:r>
      <w:r w:rsidR="0068232E">
        <w:t xml:space="preserve">.  </w:t>
      </w:r>
    </w:p>
    <w:p w:rsidR="00BF5CBD" w:rsidRDefault="00BF5CBD" w:rsidP="001B4264"/>
    <w:p w:rsidR="007D4CA5" w:rsidRDefault="0068232E" w:rsidP="001B4264">
      <w:r>
        <w:t xml:space="preserve">In </w:t>
      </w:r>
      <w:r w:rsidRPr="0068232E">
        <w:rPr>
          <w:i/>
        </w:rPr>
        <w:t>panel</w:t>
      </w:r>
      <w:r>
        <w:rPr>
          <w:i/>
        </w:rPr>
        <w:t>s</w:t>
      </w:r>
      <w:r w:rsidRPr="0068232E">
        <w:rPr>
          <w:i/>
        </w:rPr>
        <w:t xml:space="preserve"> c</w:t>
      </w:r>
      <w:r>
        <w:t xml:space="preserve"> and </w:t>
      </w:r>
      <w:r>
        <w:rPr>
          <w:i/>
        </w:rPr>
        <w:t xml:space="preserve">d </w:t>
      </w:r>
      <w:r>
        <w:t xml:space="preserve">we add a measure of awareness of choice to the </w:t>
      </w:r>
      <w:proofErr w:type="spellStart"/>
      <w:r>
        <w:t>uninstrumented</w:t>
      </w:r>
      <w:proofErr w:type="spellEnd"/>
      <w:r>
        <w:t xml:space="preserve"> and instrumented models in </w:t>
      </w:r>
      <w:r w:rsidRPr="005F64BA">
        <w:rPr>
          <w:i/>
        </w:rPr>
        <w:t xml:space="preserve">panels </w:t>
      </w:r>
      <w:proofErr w:type="gramStart"/>
      <w:r w:rsidRPr="005F64BA">
        <w:rPr>
          <w:i/>
        </w:rPr>
        <w:t>a</w:t>
      </w:r>
      <w:r>
        <w:t xml:space="preserve"> and</w:t>
      </w:r>
      <w:proofErr w:type="gramEnd"/>
      <w:r>
        <w:t xml:space="preserve"> </w:t>
      </w:r>
      <w:r w:rsidRPr="005F64BA">
        <w:rPr>
          <w:i/>
        </w:rPr>
        <w:t>b</w:t>
      </w:r>
      <w:r>
        <w:t xml:space="preserve">.  </w:t>
      </w:r>
      <w:r w:rsidR="007D4CA5">
        <w:t xml:space="preserve">The </w:t>
      </w:r>
      <w:r w:rsidR="00F11153">
        <w:t xml:space="preserve">C&amp;B residual is again statistically insignificant in the non-attendance and hospital cancellation models in </w:t>
      </w:r>
      <w:r w:rsidR="00F11153" w:rsidRPr="005F64BA">
        <w:rPr>
          <w:i/>
        </w:rPr>
        <w:t>panel d</w:t>
      </w:r>
      <w:r w:rsidR="00F11153">
        <w:t xml:space="preserve"> implyin</w:t>
      </w:r>
      <w:r w:rsidR="007D4CA5">
        <w:t xml:space="preserve">g that the appropriate model </w:t>
      </w:r>
      <w:r w:rsidR="005F64BA">
        <w:t xml:space="preserve">for these outcomes </w:t>
      </w:r>
      <w:r w:rsidR="007D4CA5">
        <w:t xml:space="preserve">measure is the </w:t>
      </w:r>
      <w:proofErr w:type="spellStart"/>
      <w:r w:rsidR="007D4CA5">
        <w:t>uninstrumented</w:t>
      </w:r>
      <w:proofErr w:type="spellEnd"/>
      <w:r w:rsidR="007D4CA5">
        <w:t xml:space="preserve"> model in </w:t>
      </w:r>
      <w:r w:rsidR="007D4CA5" w:rsidRPr="005F64BA">
        <w:rPr>
          <w:i/>
        </w:rPr>
        <w:t>panel c</w:t>
      </w:r>
      <w:r w:rsidR="007D4CA5">
        <w:t xml:space="preserve">.   Comparing </w:t>
      </w:r>
      <w:r w:rsidR="007D4CA5" w:rsidRPr="005F64BA">
        <w:rPr>
          <w:i/>
        </w:rPr>
        <w:t>panel c</w:t>
      </w:r>
      <w:r w:rsidR="007D4CA5">
        <w:t xml:space="preserve"> and </w:t>
      </w:r>
      <w:r w:rsidR="007D4CA5" w:rsidRPr="005F64BA">
        <w:rPr>
          <w:i/>
        </w:rPr>
        <w:t>panel a</w:t>
      </w:r>
      <w:r w:rsidR="007D4CA5">
        <w:t xml:space="preserve"> we see that the inclusion of the choice awareness measure does not change the effect of C&amp;B.  </w:t>
      </w:r>
      <w:r w:rsidR="007D4CA5" w:rsidRPr="005F64BA">
        <w:rPr>
          <w:i/>
        </w:rPr>
        <w:t>Panel c</w:t>
      </w:r>
      <w:r w:rsidR="007D4CA5">
        <w:t xml:space="preserve"> suggests that greater awareness of choice reduced non-attendance and hospital cancellations.  </w:t>
      </w:r>
    </w:p>
    <w:p w:rsidR="007D4CA5" w:rsidRDefault="007D4CA5" w:rsidP="001B4264"/>
    <w:p w:rsidR="008E5DA5" w:rsidRDefault="007D4CA5" w:rsidP="001B4264">
      <w:r>
        <w:lastRenderedPageBreak/>
        <w:t xml:space="preserve">The C&amp;B residual is statistically significant for referrals and patient cancellation in </w:t>
      </w:r>
      <w:r w:rsidRPr="005F64BA">
        <w:rPr>
          <w:i/>
        </w:rPr>
        <w:t>panel d</w:t>
      </w:r>
      <w:r>
        <w:t xml:space="preserve">. Increases in C&amp;B reduce referrals and patient cancellations (as in the model without the choice measure in </w:t>
      </w:r>
      <w:r w:rsidRPr="005F64BA">
        <w:rPr>
          <w:i/>
        </w:rPr>
        <w:t>panel b</w:t>
      </w:r>
      <w:r>
        <w:t xml:space="preserve">).  </w:t>
      </w:r>
      <w:r w:rsidR="008E5DA5">
        <w:t xml:space="preserve">Increases in awareness of choice </w:t>
      </w:r>
      <w:r>
        <w:t>increase referrals</w:t>
      </w:r>
      <w:r w:rsidR="00FF075C">
        <w:t xml:space="preserve"> and reduce patient cancellations</w:t>
      </w:r>
      <w:r w:rsidR="008E5DA5">
        <w:t xml:space="preserve">, presumably because with greater choice the expected </w:t>
      </w:r>
      <w:r w:rsidR="00FF075C">
        <w:t xml:space="preserve">net benefit </w:t>
      </w:r>
      <w:r w:rsidR="008E5DA5">
        <w:t xml:space="preserve">from a referral </w:t>
      </w:r>
      <w:r w:rsidR="00FF075C">
        <w:t xml:space="preserve">is </w:t>
      </w:r>
      <w:r w:rsidR="008E5DA5">
        <w:t>increased</w:t>
      </w:r>
      <w:r w:rsidR="00FF075C">
        <w:t>.</w:t>
      </w:r>
      <w:r w:rsidR="008E5DA5">
        <w:t xml:space="preserve"> </w:t>
      </w:r>
    </w:p>
    <w:p w:rsidR="008E5DA5" w:rsidRDefault="008E5DA5" w:rsidP="001B4264"/>
    <w:p w:rsidR="00FC6487" w:rsidRDefault="00FF075C" w:rsidP="001B4264">
      <w:r>
        <w:t xml:space="preserve">When corrected for endogeneity </w:t>
      </w:r>
      <w:r w:rsidR="0080091A" w:rsidRPr="00901A89">
        <w:t xml:space="preserve">the </w:t>
      </w:r>
      <w:r w:rsidR="00FC6487">
        <w:t xml:space="preserve">negative </w:t>
      </w:r>
      <w:r w:rsidR="0080091A" w:rsidRPr="00901A89">
        <w:t xml:space="preserve">C&amp;B effect on referrals </w:t>
      </w:r>
      <w:r w:rsidR="00FC6487">
        <w:t>becomes several times larger. This</w:t>
      </w:r>
      <w:r w:rsidR="008675BF" w:rsidRPr="00901A89">
        <w:t xml:space="preserve"> may be due to </w:t>
      </w:r>
      <w:r w:rsidR="00886DAF" w:rsidRPr="00901A89">
        <w:t xml:space="preserve">the </w:t>
      </w:r>
      <w:r w:rsidR="008675BF" w:rsidRPr="00901A89">
        <w:t>correlation induced from having the number of referrals as the denominator for the practice C&amp;B utilisation rate</w:t>
      </w:r>
      <w:r w:rsidR="00FC6487">
        <w:t xml:space="preserve"> which would reduce the estimated magnitude of the C&amp;B coefficient if we do not control for endogeneity.</w:t>
      </w:r>
      <w:r w:rsidR="008675BF" w:rsidRPr="00901A89">
        <w:rPr>
          <w:rStyle w:val="FootnoteReference"/>
        </w:rPr>
        <w:footnoteReference w:id="23"/>
      </w:r>
      <w:r w:rsidR="00EA0BD0" w:rsidRPr="00901A89">
        <w:t xml:space="preserve"> </w:t>
      </w:r>
    </w:p>
    <w:p w:rsidR="00FC6487" w:rsidRDefault="00FC6487" w:rsidP="001B4264"/>
    <w:p w:rsidR="007C0117" w:rsidRPr="00410EE7" w:rsidRDefault="007C0117" w:rsidP="007C0117">
      <w:r w:rsidRPr="005F64BA">
        <w:rPr>
          <w:rFonts w:eastAsiaTheme="minorEastAsia"/>
          <w:b/>
        </w:rPr>
        <w:t>Figure 3</w:t>
      </w:r>
      <w:r w:rsidRPr="00901A89">
        <w:rPr>
          <w:rFonts w:eastAsiaTheme="minorEastAsia"/>
        </w:rPr>
        <w:t xml:space="preserve"> shows</w:t>
      </w:r>
      <w:r w:rsidRPr="00410EE7">
        <w:rPr>
          <w:rFonts w:eastAsiaTheme="minorEastAsia"/>
        </w:rPr>
        <w:t xml:space="preserve"> the national impact of the introduction of C&amp;B on non-attendance rates from 2005 to 2009 estimated from </w:t>
      </w:r>
      <w:r>
        <w:rPr>
          <w:rFonts w:eastAsiaTheme="minorEastAsia"/>
        </w:rPr>
        <w:t xml:space="preserve">specification </w:t>
      </w:r>
      <w:r w:rsidR="00FC6487">
        <w:rPr>
          <w:rFonts w:eastAsiaTheme="minorEastAsia"/>
        </w:rPr>
        <w:t xml:space="preserve">(Table 3) </w:t>
      </w:r>
      <w:r>
        <w:rPr>
          <w:rFonts w:eastAsiaTheme="minorEastAsia"/>
        </w:rPr>
        <w:t xml:space="preserve">with time varying effects of C&amp;B. </w:t>
      </w:r>
      <w:r w:rsidRPr="00410EE7">
        <w:rPr>
          <w:rFonts w:eastAsiaTheme="minorEastAsia"/>
        </w:rPr>
        <w:t xml:space="preserve">The red line plots the percentage difference between the average non-attendance rate in year </w:t>
      </w:r>
      <w:r w:rsidRPr="00410EE7">
        <w:rPr>
          <w:rFonts w:eastAsiaTheme="minorEastAsia"/>
          <w:i/>
        </w:rPr>
        <w:t xml:space="preserve">t </w:t>
      </w:r>
      <w:r w:rsidRPr="00410EE7">
        <w:rPr>
          <w:rFonts w:eastAsiaTheme="minorEastAsia"/>
        </w:rPr>
        <w:t>and the average non-attendance rate in 2004 before the introduction of C&amp;B.  The black dashed line plots the equivalent counterfactual difference with a zero C&amp;B rate in all years. By 2007 the reduction in the national non-attendance rate due to C&amp;B was over 7% and this had increased</w:t>
      </w:r>
      <w:r>
        <w:rPr>
          <w:rFonts w:eastAsiaTheme="minorEastAsia"/>
        </w:rPr>
        <w:t xml:space="preserve"> to</w:t>
      </w:r>
      <w:r w:rsidRPr="00410EE7">
        <w:rPr>
          <w:rFonts w:eastAsiaTheme="minorEastAsia"/>
        </w:rPr>
        <w:t xml:space="preserve"> over 12% by 2009.</w:t>
      </w:r>
    </w:p>
    <w:p w:rsidR="007C0117" w:rsidRDefault="007C0117" w:rsidP="001B4264"/>
    <w:p w:rsidR="002E1360" w:rsidRDefault="002E1360" w:rsidP="002E1360">
      <w:pPr>
        <w:rPr>
          <w:rFonts w:eastAsiaTheme="minorEastAsia"/>
        </w:rPr>
      </w:pPr>
      <w:r w:rsidRPr="00D1573A">
        <w:rPr>
          <w:rFonts w:eastAsiaTheme="minorEastAsia"/>
          <w:b/>
        </w:rPr>
        <w:t>Figure</w:t>
      </w:r>
      <w:r w:rsidRPr="00DB6ABD">
        <w:rPr>
          <w:rFonts w:eastAsiaTheme="minorEastAsia"/>
        </w:rPr>
        <w:t xml:space="preserve"> </w:t>
      </w:r>
      <w:r w:rsidRPr="00D1573A">
        <w:rPr>
          <w:rFonts w:eastAsiaTheme="minorEastAsia"/>
          <w:b/>
        </w:rPr>
        <w:t>4</w:t>
      </w:r>
      <w:r w:rsidRPr="00DB6ABD">
        <w:rPr>
          <w:rFonts w:eastAsiaTheme="minorEastAsia"/>
        </w:rPr>
        <w:t xml:space="preserve"> shows the national impacts of the introduction of C&amp;B and choice policy on GP referrals, independently of each other from 2005 to 2009. The graph used estimated coefficients from the 2SRI IV model in Table 6 </w:t>
      </w:r>
      <w:r w:rsidRPr="00DB6ABD">
        <w:rPr>
          <w:rFonts w:eastAsiaTheme="minorEastAsia"/>
          <w:i/>
        </w:rPr>
        <w:t>panel d</w:t>
      </w:r>
      <w:r w:rsidRPr="00DB6ABD">
        <w:rPr>
          <w:rFonts w:eastAsiaTheme="minorEastAsia"/>
        </w:rPr>
        <w:t xml:space="preserve">, which allows for the effect of the patient awareness of choice policy </w:t>
      </w:r>
      <w:r>
        <w:rPr>
          <w:rFonts w:eastAsiaTheme="minorEastAsia"/>
        </w:rPr>
        <w:t xml:space="preserve">and endogeneity of </w:t>
      </w:r>
      <w:r w:rsidRPr="00DB6ABD">
        <w:rPr>
          <w:rFonts w:eastAsiaTheme="minorEastAsia"/>
        </w:rPr>
        <w:t>C&amp;B</w:t>
      </w:r>
      <w:r>
        <w:rPr>
          <w:rFonts w:eastAsiaTheme="minorEastAsia"/>
        </w:rPr>
        <w:t>.</w:t>
      </w:r>
      <w:r w:rsidRPr="00DB6ABD">
        <w:rPr>
          <w:rFonts w:eastAsiaTheme="minorEastAsia"/>
        </w:rPr>
        <w:t xml:space="preserve"> The solid red line plots the percentage difference between the average referral rate in year </w:t>
      </w:r>
      <w:r w:rsidRPr="00DB6ABD">
        <w:rPr>
          <w:rFonts w:eastAsiaTheme="minorEastAsia"/>
          <w:i/>
        </w:rPr>
        <w:t xml:space="preserve">t </w:t>
      </w:r>
      <w:r w:rsidRPr="00DB6ABD">
        <w:rPr>
          <w:rFonts w:eastAsiaTheme="minorEastAsia"/>
        </w:rPr>
        <w:t xml:space="preserve">relative to the baseline year 2004 due to the uptake of C&amp;B, assuming the associated patient choice policy had not been implemented (that is awareness of choice remained zero from 2006 onwards); the dotted </w:t>
      </w:r>
      <w:r w:rsidRPr="00DB6ABD">
        <w:rPr>
          <w:rFonts w:eastAsiaTheme="minorEastAsia"/>
        </w:rPr>
        <w:lastRenderedPageBreak/>
        <w:t xml:space="preserve">brown line shows the percentage change in referrals attributed to the effect of the introduction of the patient choice policy in 2006, assuming that C&amp;B had not been implemented; and the black dashed line plots the equivalent counterfactual had C&amp;B and patient choice not been introduced  i.e. a zero C&amp;B and choice awareness in all years. By 2007 the reduction in national referrals due to the uptake </w:t>
      </w:r>
      <w:r>
        <w:rPr>
          <w:rFonts w:eastAsiaTheme="minorEastAsia"/>
        </w:rPr>
        <w:t xml:space="preserve">of </w:t>
      </w:r>
      <w:r w:rsidR="00DE2DBD">
        <w:rPr>
          <w:rFonts w:eastAsiaTheme="minorEastAsia"/>
        </w:rPr>
        <w:t>C&amp;B was nearly -7.6%.  T</w:t>
      </w:r>
      <w:r w:rsidRPr="00DB6ABD">
        <w:rPr>
          <w:rFonts w:eastAsiaTheme="minorEastAsia"/>
        </w:rPr>
        <w:t xml:space="preserve">his reduction was offset by a 6% </w:t>
      </w:r>
      <w:r w:rsidR="00DE2DBD">
        <w:rPr>
          <w:rFonts w:eastAsiaTheme="minorEastAsia"/>
        </w:rPr>
        <w:t xml:space="preserve">referral increase </w:t>
      </w:r>
      <w:r w:rsidRPr="00DB6ABD">
        <w:rPr>
          <w:rFonts w:eastAsiaTheme="minorEastAsia"/>
        </w:rPr>
        <w:t xml:space="preserve">due to an increased awareness of choice of hospital. By 2009 with an uptake of C&amp;B and awareness of choice of around 50%, C&amp;B had decreased referrals by 11.4% while choice policy </w:t>
      </w:r>
      <w:r w:rsidR="00DE2DBD">
        <w:rPr>
          <w:rFonts w:eastAsiaTheme="minorEastAsia"/>
        </w:rPr>
        <w:t xml:space="preserve">had </w:t>
      </w:r>
      <w:r w:rsidRPr="00DB6ABD">
        <w:rPr>
          <w:rFonts w:eastAsiaTheme="minorEastAsia"/>
        </w:rPr>
        <w:t>increase</w:t>
      </w:r>
      <w:r w:rsidR="00DE2DBD">
        <w:rPr>
          <w:rFonts w:eastAsiaTheme="minorEastAsia"/>
        </w:rPr>
        <w:t>d</w:t>
      </w:r>
      <w:r w:rsidRPr="00DB6ABD">
        <w:rPr>
          <w:rFonts w:eastAsiaTheme="minorEastAsia"/>
        </w:rPr>
        <w:t xml:space="preserve"> referrals by 7.7%. </w:t>
      </w:r>
    </w:p>
    <w:p w:rsidR="002E1360" w:rsidRPr="00410EE7" w:rsidRDefault="002E1360" w:rsidP="002E1360"/>
    <w:p w:rsidR="00BC3D5E" w:rsidRPr="00410EE7" w:rsidRDefault="00215BC9" w:rsidP="001B4264">
      <w:pPr>
        <w:pStyle w:val="Heading1"/>
        <w:spacing w:line="360" w:lineRule="auto"/>
      </w:pPr>
      <w:r w:rsidRPr="00410EE7">
        <w:t xml:space="preserve">Discussion </w:t>
      </w:r>
    </w:p>
    <w:bookmarkEnd w:id="2"/>
    <w:bookmarkEnd w:id="3"/>
    <w:p w:rsidR="006E44A9" w:rsidRPr="00447906" w:rsidRDefault="00D4644D" w:rsidP="00D4644D">
      <w:r w:rsidRPr="00410EE7">
        <w:t>The electronic Choose and Book system</w:t>
      </w:r>
      <w:r w:rsidR="002A7990" w:rsidRPr="00410EE7">
        <w:t xml:space="preserve"> for</w:t>
      </w:r>
      <w:r w:rsidRPr="00410EE7">
        <w:t xml:space="preserve"> general practice referrals to hospital outpatient departments was introduced in 2005.   </w:t>
      </w:r>
      <w:r w:rsidR="00CE375B" w:rsidRPr="00410EE7">
        <w:t xml:space="preserve">We investigated its effects using </w:t>
      </w:r>
      <w:r w:rsidRPr="00410EE7">
        <w:t xml:space="preserve">models </w:t>
      </w:r>
      <w:r w:rsidR="00A43B20" w:rsidRPr="00410EE7">
        <w:t xml:space="preserve">with </w:t>
      </w:r>
      <w:r w:rsidRPr="00410EE7">
        <w:t>practice fixed effects</w:t>
      </w:r>
      <w:r w:rsidR="0030409B">
        <w:t>, year by region effects,</w:t>
      </w:r>
      <w:r w:rsidRPr="00410EE7">
        <w:t xml:space="preserve"> and a large set of time varying covariates, including practice and patient characteristics and the mix of outp</w:t>
      </w:r>
      <w:r w:rsidR="002A7990" w:rsidRPr="00410EE7">
        <w:t>atient specialities, for over 77</w:t>
      </w:r>
      <w:r w:rsidRPr="00410EE7">
        <w:t>00 English practices from 2004 to 2009</w:t>
      </w:r>
      <w:r w:rsidRPr="00447906">
        <w:t>.  We find that p</w:t>
      </w:r>
      <w:r w:rsidR="00C71760" w:rsidRPr="00447906">
        <w:t xml:space="preserve">ractices which increased their use of the </w:t>
      </w:r>
      <w:r w:rsidR="0034075F" w:rsidRPr="00447906">
        <w:t xml:space="preserve">C&amp;B </w:t>
      </w:r>
      <w:r w:rsidR="00C71760" w:rsidRPr="00447906">
        <w:t xml:space="preserve">system </w:t>
      </w:r>
      <w:r w:rsidR="004E2ACC" w:rsidRPr="00447906">
        <w:t xml:space="preserve">had </w:t>
      </w:r>
      <w:r w:rsidR="00C71760" w:rsidRPr="00447906">
        <w:t>a reduction in the proportion of referred patients failing to attend. They also reduced their referral rates.</w:t>
      </w:r>
      <w:r w:rsidR="002D2571" w:rsidRPr="00447906">
        <w:t xml:space="preserve"> </w:t>
      </w:r>
      <w:r w:rsidRPr="00447906">
        <w:t xml:space="preserve">The results are </w:t>
      </w:r>
      <w:r w:rsidR="002D2571" w:rsidRPr="00447906">
        <w:t xml:space="preserve">qualitatively </w:t>
      </w:r>
      <w:r w:rsidRPr="00447906">
        <w:t xml:space="preserve">robust to alternative </w:t>
      </w:r>
      <w:r w:rsidR="004E2ACC" w:rsidRPr="00447906">
        <w:t xml:space="preserve">specifications </w:t>
      </w:r>
      <w:r w:rsidRPr="00447906">
        <w:t>which allow</w:t>
      </w:r>
      <w:r w:rsidR="00820187" w:rsidRPr="00447906">
        <w:t xml:space="preserve">ed </w:t>
      </w:r>
      <w:r w:rsidR="0006418D" w:rsidRPr="00447906">
        <w:t xml:space="preserve">for differential trends for practices with </w:t>
      </w:r>
      <w:r w:rsidR="002D2571" w:rsidRPr="00447906">
        <w:t xml:space="preserve">a </w:t>
      </w:r>
      <w:r w:rsidR="0006418D" w:rsidRPr="00447906">
        <w:t>higher</w:t>
      </w:r>
      <w:r w:rsidR="002D2571" w:rsidRPr="00447906">
        <w:t xml:space="preserve"> propensity to utilise </w:t>
      </w:r>
      <w:r w:rsidR="0006418D" w:rsidRPr="00447906">
        <w:t xml:space="preserve">C&amp;B and </w:t>
      </w:r>
      <w:r w:rsidR="00820187" w:rsidRPr="00447906">
        <w:t xml:space="preserve">for endogeneity from </w:t>
      </w:r>
      <w:r w:rsidR="002D2571" w:rsidRPr="00447906">
        <w:t>unobserved year specific GP practice shocks affecting</w:t>
      </w:r>
      <w:r w:rsidR="00820187" w:rsidRPr="00447906">
        <w:t xml:space="preserve"> C&amp;B utilisation and non-attendance. </w:t>
      </w:r>
      <w:r w:rsidR="002D2571" w:rsidRPr="00447906">
        <w:t>There was e</w:t>
      </w:r>
      <w:r w:rsidR="00820187" w:rsidRPr="00447906">
        <w:t xml:space="preserve">vidence of </w:t>
      </w:r>
      <w:r w:rsidR="0006418D" w:rsidRPr="00447906">
        <w:t xml:space="preserve">significant </w:t>
      </w:r>
      <w:r w:rsidR="007379EE">
        <w:t xml:space="preserve">C&amp;B </w:t>
      </w:r>
      <w:r w:rsidR="00820187" w:rsidRPr="00447906">
        <w:t>endogeneity bias for referrals</w:t>
      </w:r>
      <w:r w:rsidR="002D2571" w:rsidRPr="00447906">
        <w:t xml:space="preserve">, </w:t>
      </w:r>
      <w:r w:rsidR="007379EE">
        <w:t xml:space="preserve">probably induced by </w:t>
      </w:r>
      <w:r w:rsidR="00820187" w:rsidRPr="00447906">
        <w:t>referral</w:t>
      </w:r>
      <w:r w:rsidR="007379EE">
        <w:t>s</w:t>
      </w:r>
      <w:r w:rsidR="002D2571" w:rsidRPr="00447906">
        <w:t xml:space="preserve"> being </w:t>
      </w:r>
      <w:r w:rsidR="00820187" w:rsidRPr="00447906">
        <w:t xml:space="preserve">the denominator of the C&amp;B rate. </w:t>
      </w:r>
      <w:r w:rsidR="007379EE">
        <w:t xml:space="preserve"> Using the PCT mean C&amp;B rate as an instrument, we find that increased use of C&amp;B reduced referrals. </w:t>
      </w:r>
    </w:p>
    <w:p w:rsidR="00936F54" w:rsidRDefault="00936F54" w:rsidP="005732D9">
      <w:pPr>
        <w:rPr>
          <w:highlight w:val="cyan"/>
        </w:rPr>
      </w:pPr>
    </w:p>
    <w:p w:rsidR="00447906" w:rsidRDefault="00447906" w:rsidP="00447906">
      <w:r w:rsidRPr="003B2333">
        <w:t xml:space="preserve">We also included a time and PCT varying patient choice policy variable, which enables us to separate out the contribution of the effects of the increased patient awareness of their right to be offered a choice of hospital from use of C&amp;B. We find that patient awareness of choice reduced patient non-attendance, but did not </w:t>
      </w:r>
      <w:r>
        <w:t xml:space="preserve">change the </w:t>
      </w:r>
      <w:r w:rsidRPr="003B2333">
        <w:t>effect of C&amp;B. This suggests the electronic booking system’s facility to schedule more convenient appointments, to actively involve patients in the referral decision, location and timing and the reduction in referral thresholds were as or more important than awareness of choice in reducing non-attendances.</w:t>
      </w:r>
      <w:r w:rsidR="007379EE">
        <w:t xml:space="preserve">  </w:t>
      </w:r>
      <w:r w:rsidRPr="003B2333">
        <w:t>By contrast, a greater awareness of choice lead to a sig</w:t>
      </w:r>
      <w:r w:rsidR="00DE2DBD">
        <w:t xml:space="preserve">nificant increase in referrals, </w:t>
      </w:r>
      <w:r w:rsidR="009613F4">
        <w:t xml:space="preserve">suggesting that patients were offered larger choice sets and so could choose providers better suited to them. </w:t>
      </w:r>
    </w:p>
    <w:p w:rsidR="00447906" w:rsidRDefault="00447906" w:rsidP="00447906"/>
    <w:p w:rsidR="00447906" w:rsidRPr="003B2333" w:rsidRDefault="00997D92" w:rsidP="00447906">
      <w:r>
        <w:t xml:space="preserve">An increase in </w:t>
      </w:r>
      <w:r w:rsidR="007379EE">
        <w:t xml:space="preserve">use of </w:t>
      </w:r>
      <w:r w:rsidR="00447906" w:rsidRPr="003B2333">
        <w:t xml:space="preserve">C&amp;B </w:t>
      </w:r>
      <w:r>
        <w:t xml:space="preserve">and, to a greater extent, an increase in awareness of choice were both </w:t>
      </w:r>
      <w:r w:rsidR="00447906" w:rsidRPr="003B2333">
        <w:t xml:space="preserve">associated with fewer </w:t>
      </w:r>
      <w:r>
        <w:t xml:space="preserve">patient cancellations, perhaps because they enabled patients to make a better initial choice of hospital.  </w:t>
      </w:r>
      <w:r w:rsidR="00447906" w:rsidRPr="003B2333">
        <w:t xml:space="preserve">C&amp;B increased hospital cancellations while patient choice awareness reduced them. This is consistent with </w:t>
      </w:r>
      <w:r w:rsidR="009613F4">
        <w:t>hospital administrators finding appointment scheduling harder when an increasing proportion of appointments were made further in advance via the C&amp;B system.</w:t>
      </w:r>
      <w:r w:rsidR="00FA29B0">
        <w:rPr>
          <w:rStyle w:val="FootnoteReference"/>
        </w:rPr>
        <w:footnoteReference w:id="24"/>
      </w:r>
      <w:r w:rsidR="009613F4">
        <w:t xml:space="preserve"> </w:t>
      </w:r>
      <w:r w:rsidR="00447906" w:rsidRPr="003B2333">
        <w:t xml:space="preserve">Hospitals operating in areas with greater choice awareness would face competitive pressures to attract patients and hence improve appointment scheduling. </w:t>
      </w:r>
      <w:r>
        <w:t xml:space="preserve"> </w:t>
      </w:r>
    </w:p>
    <w:p w:rsidR="00891E34" w:rsidRDefault="00891E34" w:rsidP="003F1056"/>
    <w:p w:rsidR="00D57405" w:rsidRPr="00410EE7" w:rsidRDefault="00D57405" w:rsidP="00D57405">
      <w:r w:rsidRPr="00410EE7">
        <w:t xml:space="preserve">The estimated magnitudes of the C&amp;B effects on non-attendance are similar to the effects of other policies designed to reduce patient non-attendance. A meta-analysis of randomised controlled trials of Short Messaging Service (SMS) text message reminders in the days prior to scheduled first appointments found an estimated improvement in the odds ratio of attending of 1.48 (Guy et al, 2011). </w:t>
      </w:r>
      <w:r w:rsidRPr="00D57405">
        <w:t xml:space="preserve">Given the 2009 attendance rate of 87.6% this implies an increase in the attendance rate of 4.45 percentage points to 92.05%. The non-attendance and cancellation rates in 2009 were 7% and 5.4% respectively. From Table 6, </w:t>
      </w:r>
      <w:r w:rsidRPr="00D57405">
        <w:rPr>
          <w:i/>
        </w:rPr>
        <w:t xml:space="preserve">panel d </w:t>
      </w:r>
      <w:r w:rsidRPr="00D57405">
        <w:t xml:space="preserve">a 50% increase in C&amp;B utilisation was associated with a -8.92% decrease in non-attendance to 6.38%, and a -8.38% reduction in cancellations to 4.95%, which is equivalent to a 1.07 percentage point increase in the attendance rate. This is smaller than the effect found for SMS interventions in a randomised controlled trial </w:t>
      </w:r>
      <w:proofErr w:type="gramStart"/>
      <w:r w:rsidRPr="00D57405">
        <w:t>setting,</w:t>
      </w:r>
      <w:proofErr w:type="gramEnd"/>
      <w:r w:rsidRPr="00D57405">
        <w:t xml:space="preserve"> where compliance with the intervention was likely to be close to 100% (C&amp;B with 100% compliance would increase attendance by 2.06 percentage points).</w:t>
      </w:r>
      <w:r w:rsidRPr="00410EE7">
        <w:t xml:space="preserve"> </w:t>
      </w:r>
    </w:p>
    <w:p w:rsidR="00D57405" w:rsidRPr="00410EE7" w:rsidRDefault="00D57405" w:rsidP="00D57405"/>
    <w:p w:rsidR="00D57405" w:rsidRPr="00410EE7" w:rsidRDefault="00D57405" w:rsidP="00D57405">
      <w:r w:rsidRPr="00410EE7">
        <w:t xml:space="preserve">We do not have the data to attempt a cost-benefit analysis of C&amp;B but the magnitudes of the </w:t>
      </w:r>
      <w:r w:rsidRPr="00D57405">
        <w:t xml:space="preserve">estimated effects of the introduction of C&amp;B are likely to be economically significant.  Patients failed to attend 7% or 832,263 of the 11,870,043 first referrals recorded in 2009. C&amp;B was used to make 50% of the appointments in this year and we estimate that in the absence of C&amp;B there would have been 72,160 (8.7%) more non-attended appointments and </w:t>
      </w:r>
      <w:r w:rsidRPr="00D57405">
        <w:lastRenderedPageBreak/>
        <w:t>1,081,747 (9.11%) fewer referrals, independently of the introduction of patient choice. The introduction of the patient choice policy was associated with an increase in referrals of 752,093 assuming that the policy was responsible for a 50% increase in awareness of choice of provider to patients in 2009.</w:t>
      </w:r>
      <w:r>
        <w:t xml:space="preserve"> </w:t>
      </w:r>
      <w:r w:rsidRPr="00410EE7">
        <w:t xml:space="preserve"> About 30% of first GP referrals do not result in hospital admissions, tests or onward referral to another consultant. This suggests that some of the referrals not made as a result of C&amp;B may have been medically unnecessary, especially as these marginal referrals would have been those perceived by the patient and GP to be of low net </w:t>
      </w:r>
      <w:r w:rsidRPr="002C4B9D">
        <w:t>benefit. The increase in hospital cancellations would have increased the administrative costs. Over 90% of hospital cancelled appointments are rescheduled so that hospital cancellations are less likely to result in patients not being seen, but patients could be delayed as a result or their appointment cancellations or could have made unnecessary visits to the hospital.</w:t>
      </w:r>
      <w:r>
        <w:t xml:space="preserve"> </w:t>
      </w:r>
    </w:p>
    <w:p w:rsidR="00D57405" w:rsidRDefault="00D57405" w:rsidP="00D57405"/>
    <w:p w:rsidR="00D57405" w:rsidRPr="00410EE7" w:rsidRDefault="00D57405" w:rsidP="00D57405">
      <w:r w:rsidRPr="00D57405">
        <w:t xml:space="preserve">Our results demonstrate that there was a marked change in referral rates and in the rates of patient non-attendance once referred associated with changes in use of C&amp;B within practices over time. We also find </w:t>
      </w:r>
      <w:r w:rsidR="00FA29B0">
        <w:t>effects of choice policy on non-</w:t>
      </w:r>
      <w:r w:rsidRPr="00D57405">
        <w:t>attendance, patient cancellations</w:t>
      </w:r>
      <w:r w:rsidR="00FA29B0">
        <w:t xml:space="preserve">, hospital cancellations, and </w:t>
      </w:r>
      <w:r w:rsidRPr="00D57405">
        <w:t>referrals</w:t>
      </w:r>
      <w:r w:rsidR="00FA29B0">
        <w:t>.</w:t>
      </w:r>
      <w:r w:rsidRPr="00D57405">
        <w:t xml:space="preserve">  Changes the decision making process over referrals and attendance have an economically important effects on attendance and referrals. Given the concern about welfare loss from non-attended appointments and recent proposals to introduce patient charges for missed appointments (Watt, 2015), </w:t>
      </w:r>
      <w:r>
        <w:t>our</w:t>
      </w:r>
      <w:r w:rsidRPr="00D57405">
        <w:t xml:space="preserve"> study suggests there is scope for further reducing non-attendance and hospital referrals by expanding the use of electronic booking systems and facilitating patient choice in referral decisions to improve the appropriateness of referrals. Widening provider choice reinforced the reductions in patient non-atten</w:t>
      </w:r>
      <w:r w:rsidR="00FA29B0">
        <w:t xml:space="preserve">dance and cancellations, while </w:t>
      </w:r>
      <w:r w:rsidRPr="00D57405">
        <w:t>increasing referrals suggesting choice improved access to specialist care.</w:t>
      </w:r>
      <w:r w:rsidRPr="00410EE7">
        <w:t xml:space="preserve">   </w:t>
      </w:r>
    </w:p>
    <w:p w:rsidR="00D57405" w:rsidRDefault="00D57405" w:rsidP="003F1056"/>
    <w:p w:rsidR="00F86471" w:rsidRPr="00410EE7" w:rsidRDefault="00430714" w:rsidP="00CF17E9">
      <w:r w:rsidRPr="00410EE7">
        <w:t xml:space="preserve"> </w:t>
      </w:r>
      <w:r w:rsidR="00F86471" w:rsidRPr="00410EE7">
        <w:t xml:space="preserve"> </w:t>
      </w:r>
    </w:p>
    <w:p w:rsidR="004A2155" w:rsidRDefault="004A2155" w:rsidP="007B3CE5">
      <w:pPr>
        <w:spacing w:line="240" w:lineRule="auto"/>
        <w:rPr>
          <w:bCs/>
        </w:rPr>
      </w:pPr>
    </w:p>
    <w:p w:rsidR="00E42474" w:rsidRPr="00410EE7" w:rsidRDefault="00E42474" w:rsidP="007B3CE5">
      <w:pPr>
        <w:spacing w:line="240" w:lineRule="auto"/>
        <w:rPr>
          <w:bCs/>
        </w:rPr>
      </w:pPr>
    </w:p>
    <w:p w:rsidR="00564FC3" w:rsidRDefault="00564FC3">
      <w:pPr>
        <w:spacing w:line="240" w:lineRule="auto"/>
        <w:jc w:val="left"/>
        <w:rPr>
          <w:b/>
          <w:bCs/>
        </w:rPr>
      </w:pPr>
      <w:r>
        <w:rPr>
          <w:b/>
          <w:bCs/>
        </w:rPr>
        <w:br w:type="page"/>
      </w:r>
    </w:p>
    <w:p w:rsidR="00B33B52" w:rsidRPr="00410EE7" w:rsidRDefault="00925425" w:rsidP="007B3CE5">
      <w:pPr>
        <w:spacing w:line="240" w:lineRule="auto"/>
      </w:pPr>
      <w:proofErr w:type="gramStart"/>
      <w:r w:rsidRPr="00410EE7">
        <w:rPr>
          <w:b/>
          <w:bCs/>
        </w:rPr>
        <w:lastRenderedPageBreak/>
        <w:t>Acknowledgements</w:t>
      </w:r>
      <w:r w:rsidRPr="00410EE7">
        <w:t>.</w:t>
      </w:r>
      <w:proofErr w:type="gramEnd"/>
      <w:r w:rsidRPr="00410EE7">
        <w:t xml:space="preserve"> </w:t>
      </w:r>
    </w:p>
    <w:p w:rsidR="007B3CE5" w:rsidRPr="00410EE7" w:rsidRDefault="00681BBD" w:rsidP="007B3CE5">
      <w:pPr>
        <w:spacing w:line="240" w:lineRule="auto"/>
      </w:pPr>
      <w:r w:rsidRPr="00410EE7">
        <w:t xml:space="preserve">The work was </w:t>
      </w:r>
      <w:r w:rsidR="00E7377E" w:rsidRPr="00410EE7">
        <w:t xml:space="preserve">funded by a grant G0902067 from the </w:t>
      </w:r>
      <w:r w:rsidRPr="00410EE7">
        <w:t>MRC</w:t>
      </w:r>
      <w:r w:rsidR="00E7377E" w:rsidRPr="00410EE7">
        <w:t>/NIHR/ESRC</w:t>
      </w:r>
      <w:r w:rsidRPr="00410EE7">
        <w:t xml:space="preserve"> programme to M</w:t>
      </w:r>
      <w:r w:rsidR="009B4609">
        <w:t xml:space="preserve">D. MD also acknowledges financial support from the Swiss School of Public Health.  </w:t>
      </w:r>
      <w:r w:rsidR="001B4264" w:rsidRPr="00410EE7">
        <w:t xml:space="preserve">The views expressed are those of the authors and not necessarily those of the funders.  </w:t>
      </w:r>
      <w:r w:rsidR="001A5E95" w:rsidRPr="00410EE7">
        <w:t>We thank Clive Pickles, Stephen Miller</w:t>
      </w:r>
      <w:r w:rsidR="00C80C3D" w:rsidRPr="00410EE7">
        <w:t xml:space="preserve">, </w:t>
      </w:r>
      <w:r w:rsidR="001A5E95" w:rsidRPr="00410EE7">
        <w:t>Elaine</w:t>
      </w:r>
      <w:r w:rsidR="00C80C3D" w:rsidRPr="00410EE7">
        <w:t xml:space="preserve"> Carstens and Liz Barfield</w:t>
      </w:r>
      <w:r w:rsidR="001A5E95" w:rsidRPr="00410EE7">
        <w:t xml:space="preserve"> at NHS Connecting for Health </w:t>
      </w:r>
      <w:r w:rsidR="00E30074" w:rsidRPr="00410EE7">
        <w:t xml:space="preserve">and </w:t>
      </w:r>
      <w:r w:rsidR="001A5E95" w:rsidRPr="00410EE7">
        <w:t xml:space="preserve">Sheila Dixon </w:t>
      </w:r>
      <w:r w:rsidR="00B75615" w:rsidRPr="00410EE7">
        <w:t>and Richard</w:t>
      </w:r>
      <w:r w:rsidR="00B170B3" w:rsidRPr="00410EE7">
        <w:t xml:space="preserve"> Daly</w:t>
      </w:r>
      <w:r w:rsidR="00B75615" w:rsidRPr="00410EE7">
        <w:t xml:space="preserve"> </w:t>
      </w:r>
      <w:r w:rsidR="001A5E95" w:rsidRPr="00410EE7">
        <w:t>at the Department of Health for their advice.</w:t>
      </w:r>
      <w:r w:rsidR="00C80C3D" w:rsidRPr="00410EE7">
        <w:t xml:space="preserve"> </w:t>
      </w:r>
      <w:r w:rsidR="00941772" w:rsidRPr="00410EE7">
        <w:t xml:space="preserve">Hospital Episode Statistics are Copyright </w:t>
      </w:r>
      <w:r w:rsidR="00447A1B" w:rsidRPr="00410EE7">
        <w:t xml:space="preserve">2003/4 to 2009/10 and </w:t>
      </w:r>
      <w:r w:rsidR="00941772" w:rsidRPr="00410EE7">
        <w:t xml:space="preserve">used with the permission of The Health &amp; Social Care Information Centre. All rights reserved. </w:t>
      </w:r>
      <w:r w:rsidR="00C80C3D" w:rsidRPr="00410EE7">
        <w:t xml:space="preserve">We received helpful comments </w:t>
      </w:r>
      <w:r w:rsidR="00EF1263">
        <w:t xml:space="preserve">three referees, </w:t>
      </w:r>
      <w:r w:rsidR="00C80C3D" w:rsidRPr="00410EE7">
        <w:t>from</w:t>
      </w:r>
      <w:r w:rsidR="005C1FA3">
        <w:t xml:space="preserve"> </w:t>
      </w:r>
      <w:proofErr w:type="spellStart"/>
      <w:r w:rsidR="005C1FA3">
        <w:t>Gerone</w:t>
      </w:r>
      <w:proofErr w:type="spellEnd"/>
      <w:r w:rsidR="005C1FA3">
        <w:t xml:space="preserve"> </w:t>
      </w:r>
      <w:proofErr w:type="spellStart"/>
      <w:r w:rsidR="002E076F" w:rsidRPr="00410EE7">
        <w:t>Wittwer</w:t>
      </w:r>
      <w:proofErr w:type="spellEnd"/>
      <w:r w:rsidR="00EF1263">
        <w:t>,</w:t>
      </w:r>
      <w:r w:rsidR="002E076F" w:rsidRPr="00410EE7">
        <w:t xml:space="preserve"> and </w:t>
      </w:r>
      <w:r w:rsidR="00447A1B" w:rsidRPr="00410EE7">
        <w:t xml:space="preserve">from </w:t>
      </w:r>
      <w:r w:rsidR="002E076F" w:rsidRPr="00410EE7">
        <w:t>participants at the joint CES/HESG conference in Aix-en-Provence</w:t>
      </w:r>
      <w:r w:rsidR="00C80C3D" w:rsidRPr="00410EE7">
        <w:t xml:space="preserve"> </w:t>
      </w:r>
      <w:r w:rsidR="00447A1B" w:rsidRPr="00410EE7">
        <w:t>and in s</w:t>
      </w:r>
      <w:r w:rsidR="001B4264" w:rsidRPr="00410EE7">
        <w:t xml:space="preserve">eminars at </w:t>
      </w:r>
      <w:r w:rsidR="00530002" w:rsidRPr="00410EE7">
        <w:t>the Institute of Health Economics and Management</w:t>
      </w:r>
      <w:r w:rsidR="001B4264" w:rsidRPr="00410EE7">
        <w:t>,</w:t>
      </w:r>
      <w:r w:rsidR="00530002" w:rsidRPr="00410EE7">
        <w:t xml:space="preserve"> University of Lausanne</w:t>
      </w:r>
      <w:r w:rsidR="001B4264" w:rsidRPr="00410EE7">
        <w:t>; Health Econometrics and Data Group, University of York; Centre for Health Economics, University of Monash</w:t>
      </w:r>
      <w:r w:rsidR="002E2F54" w:rsidRPr="00410EE7">
        <w:t xml:space="preserve">; SSPH+ Phd Seminars in Health Economics, Grindelwald; and </w:t>
      </w:r>
      <w:r w:rsidR="005C416C" w:rsidRPr="00410EE7">
        <w:t>Department of Economics and Management, University of Brescia.</w:t>
      </w:r>
      <w:r w:rsidR="001B4264" w:rsidRPr="00410EE7">
        <w:t xml:space="preserve"> </w:t>
      </w:r>
    </w:p>
    <w:p w:rsidR="00E87D8A" w:rsidRPr="00410EE7" w:rsidRDefault="00E87D8A" w:rsidP="00446A64">
      <w:pPr>
        <w:spacing w:line="240" w:lineRule="auto"/>
      </w:pPr>
    </w:p>
    <w:p w:rsidR="00CC5087" w:rsidRPr="00410EE7" w:rsidRDefault="00CC5087" w:rsidP="00A251BC">
      <w:pPr>
        <w:spacing w:line="276" w:lineRule="auto"/>
        <w:ind w:left="720" w:hanging="720"/>
        <w:rPr>
          <w:b/>
          <w:bCs/>
        </w:rPr>
      </w:pPr>
      <w:r w:rsidRPr="00410EE7">
        <w:rPr>
          <w:b/>
          <w:bCs/>
        </w:rPr>
        <w:t>Referenc</w:t>
      </w:r>
      <w:bookmarkStart w:id="5" w:name="_Ref426259559"/>
      <w:r w:rsidRPr="00410EE7">
        <w:rPr>
          <w:b/>
          <w:bCs/>
        </w:rPr>
        <w:t>es</w:t>
      </w:r>
    </w:p>
    <w:p w:rsidR="005F6860" w:rsidRPr="00410EE7" w:rsidRDefault="005F6860" w:rsidP="00A251BC">
      <w:pPr>
        <w:autoSpaceDE w:val="0"/>
        <w:autoSpaceDN w:val="0"/>
        <w:adjustRightInd w:val="0"/>
        <w:spacing w:line="276" w:lineRule="auto"/>
        <w:ind w:left="720" w:hanging="720"/>
      </w:pPr>
      <w:proofErr w:type="spellStart"/>
      <w:proofErr w:type="gramStart"/>
      <w:r w:rsidRPr="00410EE7">
        <w:t>Bassi</w:t>
      </w:r>
      <w:proofErr w:type="spellEnd"/>
      <w:r w:rsidR="00ED59C1" w:rsidRPr="00410EE7">
        <w:t>,</w:t>
      </w:r>
      <w:r w:rsidRPr="00410EE7">
        <w:t xml:space="preserve"> J</w:t>
      </w:r>
      <w:r w:rsidR="00ED59C1" w:rsidRPr="00410EE7">
        <w:t>.</w:t>
      </w:r>
      <w:r w:rsidRPr="00410EE7">
        <w:t>, Lau</w:t>
      </w:r>
      <w:r w:rsidR="00ED59C1" w:rsidRPr="00410EE7">
        <w:t>,</w:t>
      </w:r>
      <w:r w:rsidRPr="00410EE7">
        <w:t xml:space="preserve"> F. 2013.</w:t>
      </w:r>
      <w:proofErr w:type="gramEnd"/>
      <w:r w:rsidRPr="00410EE7">
        <w:t xml:space="preserve"> Measuring value for money: a scoping review on economic evaluation of health information systems Measuring value for money: a scoping review on economic evaluation of health information systems. </w:t>
      </w:r>
      <w:r w:rsidRPr="00410EE7">
        <w:rPr>
          <w:i/>
        </w:rPr>
        <w:t xml:space="preserve">Journal of </w:t>
      </w:r>
      <w:proofErr w:type="gramStart"/>
      <w:r w:rsidRPr="00410EE7">
        <w:rPr>
          <w:i/>
        </w:rPr>
        <w:t>the  American</w:t>
      </w:r>
      <w:proofErr w:type="gramEnd"/>
      <w:r w:rsidRPr="00410EE7">
        <w:rPr>
          <w:i/>
        </w:rPr>
        <w:t xml:space="preserve"> Medical Informatics Association</w:t>
      </w:r>
      <w:r w:rsidRPr="00410EE7">
        <w:t>. 20:792–801</w:t>
      </w:r>
    </w:p>
    <w:p w:rsidR="006427DC" w:rsidRPr="00410EE7" w:rsidRDefault="006427DC" w:rsidP="00A251BC">
      <w:pPr>
        <w:autoSpaceDE w:val="0"/>
        <w:autoSpaceDN w:val="0"/>
        <w:adjustRightInd w:val="0"/>
        <w:spacing w:line="276" w:lineRule="auto"/>
        <w:ind w:left="720" w:hanging="720"/>
        <w:rPr>
          <w:b/>
          <w:bCs/>
        </w:rPr>
      </w:pPr>
      <w:r w:rsidRPr="00410EE7">
        <w:t xml:space="preserve">Bech, M. 2005. </w:t>
      </w:r>
      <w:proofErr w:type="gramStart"/>
      <w:r w:rsidRPr="00410EE7">
        <w:t>The economics of non-attendance and the expected effects of charging a fine on non-attendees.</w:t>
      </w:r>
      <w:proofErr w:type="gramEnd"/>
      <w:r w:rsidRPr="00410EE7">
        <w:t xml:space="preserve">  </w:t>
      </w:r>
      <w:r w:rsidRPr="00410EE7">
        <w:rPr>
          <w:i/>
        </w:rPr>
        <w:t>Health Policy</w:t>
      </w:r>
      <w:r w:rsidRPr="00410EE7">
        <w:t>, 74, 181-191</w:t>
      </w:r>
    </w:p>
    <w:bookmarkEnd w:id="5"/>
    <w:p w:rsidR="00FC0D2E" w:rsidRPr="00410EE7" w:rsidRDefault="00FC0D2E" w:rsidP="00A251BC">
      <w:pPr>
        <w:autoSpaceDE w:val="0"/>
        <w:autoSpaceDN w:val="0"/>
        <w:adjustRightInd w:val="0"/>
        <w:spacing w:line="276" w:lineRule="auto"/>
        <w:ind w:left="720" w:hanging="720"/>
        <w:rPr>
          <w:rFonts w:eastAsia="GillSans-Italic--Identity-H"/>
          <w:iCs/>
        </w:rPr>
      </w:pPr>
      <w:proofErr w:type="gramStart"/>
      <w:r w:rsidRPr="00410EE7">
        <w:rPr>
          <w:rFonts w:eastAsia="GillSans-Italic--Identity-H"/>
          <w:iCs/>
        </w:rPr>
        <w:t>Beckingsale</w:t>
      </w:r>
      <w:r w:rsidR="008A0C2D" w:rsidRPr="00410EE7">
        <w:rPr>
          <w:rFonts w:eastAsia="GillSans-Italic--Identity-H"/>
          <w:iCs/>
        </w:rPr>
        <w:t>,</w:t>
      </w:r>
      <w:r w:rsidRPr="00410EE7">
        <w:rPr>
          <w:rFonts w:eastAsia="GillSans-Italic--Identity-H"/>
          <w:iCs/>
        </w:rPr>
        <w:t xml:space="preserve"> T</w:t>
      </w:r>
      <w:r w:rsidR="008A0C2D" w:rsidRPr="00410EE7">
        <w:rPr>
          <w:rFonts w:eastAsia="GillSans-Italic--Identity-H"/>
          <w:iCs/>
        </w:rPr>
        <w:t>.,</w:t>
      </w:r>
      <w:r w:rsidRPr="00410EE7">
        <w:rPr>
          <w:rFonts w:eastAsia="GillSans-Italic--Identity-H"/>
          <w:iCs/>
        </w:rPr>
        <w:t xml:space="preserve"> Wallace</w:t>
      </w:r>
      <w:r w:rsidR="008A0C2D" w:rsidRPr="00410EE7">
        <w:rPr>
          <w:rFonts w:eastAsia="GillSans-Italic--Identity-H"/>
          <w:iCs/>
        </w:rPr>
        <w:t>,</w:t>
      </w:r>
      <w:r w:rsidRPr="00410EE7">
        <w:rPr>
          <w:rFonts w:eastAsia="GillSans-Italic--Identity-H"/>
          <w:iCs/>
        </w:rPr>
        <w:t xml:space="preserve"> I</w:t>
      </w:r>
      <w:r w:rsidR="008A0C2D" w:rsidRPr="00410EE7">
        <w:rPr>
          <w:rFonts w:eastAsia="GillSans-Italic--Identity-H"/>
          <w:iCs/>
        </w:rPr>
        <w:t>.</w:t>
      </w:r>
      <w:r w:rsidRPr="00410EE7">
        <w:rPr>
          <w:rFonts w:eastAsia="GillSans-Italic--Identity-H"/>
          <w:iCs/>
        </w:rPr>
        <w:t xml:space="preserve"> </w:t>
      </w:r>
      <w:r w:rsidR="0039786D" w:rsidRPr="00410EE7">
        <w:rPr>
          <w:rFonts w:eastAsia="GillSans-Italic--Identity-H"/>
          <w:iCs/>
        </w:rPr>
        <w:t>2009.</w:t>
      </w:r>
      <w:proofErr w:type="gramEnd"/>
      <w:r w:rsidR="0039786D" w:rsidRPr="00410EE7">
        <w:rPr>
          <w:rFonts w:eastAsia="GillSans-Italic--Identity-H"/>
          <w:iCs/>
        </w:rPr>
        <w:t xml:space="preserve"> </w:t>
      </w:r>
      <w:proofErr w:type="gramStart"/>
      <w:r w:rsidRPr="00410EE7">
        <w:rPr>
          <w:rFonts w:eastAsia="GillSans-Italic--Identity-H"/>
          <w:iCs/>
        </w:rPr>
        <w:t>Orthopaedic attendance also worse with ‘Choose and Book’.</w:t>
      </w:r>
      <w:proofErr w:type="gramEnd"/>
      <w:r w:rsidRPr="00410EE7">
        <w:rPr>
          <w:rFonts w:eastAsia="GillSans-Italic--Identity-H"/>
          <w:iCs/>
        </w:rPr>
        <w:t xml:space="preserve"> </w:t>
      </w:r>
      <w:r w:rsidRPr="00410EE7">
        <w:rPr>
          <w:rFonts w:eastAsia="GillSans-Italic--Identity-H"/>
          <w:i/>
          <w:iCs/>
        </w:rPr>
        <w:t>British Medical Journal</w:t>
      </w:r>
      <w:proofErr w:type="gramStart"/>
      <w:r w:rsidR="006427DC" w:rsidRPr="00410EE7">
        <w:rPr>
          <w:rFonts w:eastAsia="GillSans-Italic--Identity-H"/>
          <w:iCs/>
        </w:rPr>
        <w:t xml:space="preserve">, </w:t>
      </w:r>
      <w:r w:rsidR="008A0C2D" w:rsidRPr="00410EE7">
        <w:rPr>
          <w:rFonts w:eastAsia="GillSans-Italic--Identity-H"/>
          <w:iCs/>
        </w:rPr>
        <w:t xml:space="preserve"> </w:t>
      </w:r>
      <w:r w:rsidRPr="00410EE7">
        <w:rPr>
          <w:rFonts w:eastAsia="GillSans-Italic--Identity-H"/>
          <w:iCs/>
        </w:rPr>
        <w:t>338:</w:t>
      </w:r>
      <w:r w:rsidR="001C5FE0" w:rsidRPr="00410EE7">
        <w:rPr>
          <w:rFonts w:eastAsia="GillSans-Italic--Identity-H"/>
          <w:iCs/>
        </w:rPr>
        <w:t>b1060</w:t>
      </w:r>
      <w:proofErr w:type="gramEnd"/>
      <w:r w:rsidR="001C5FE0" w:rsidRPr="00410EE7">
        <w:rPr>
          <w:rFonts w:eastAsia="GillSans-Italic--Identity-H"/>
          <w:iCs/>
        </w:rPr>
        <w:t>, 21 March.</w:t>
      </w:r>
    </w:p>
    <w:p w:rsidR="00A251BC" w:rsidRDefault="00894BBD" w:rsidP="00A251BC">
      <w:pPr>
        <w:spacing w:line="276" w:lineRule="auto"/>
        <w:ind w:left="720" w:hanging="720"/>
        <w:rPr>
          <w:rFonts w:eastAsia="GillSans-Italic--Identity-H"/>
          <w:iCs/>
        </w:rPr>
      </w:pPr>
      <w:proofErr w:type="gramStart"/>
      <w:r w:rsidRPr="00410EE7">
        <w:rPr>
          <w:rFonts w:eastAsia="GillSans-Italic--Identity-H"/>
          <w:iCs/>
        </w:rPr>
        <w:t>Bertrand, M., Duflo, E.</w:t>
      </w:r>
      <w:r w:rsidR="00A251BC">
        <w:rPr>
          <w:rFonts w:eastAsia="GillSans-Italic--Identity-H"/>
          <w:iCs/>
        </w:rPr>
        <w:t>, Mullainathan, S. 2004.</w:t>
      </w:r>
      <w:proofErr w:type="gramEnd"/>
      <w:r w:rsidR="00A251BC">
        <w:rPr>
          <w:rFonts w:eastAsia="GillSans-Italic--Identity-H"/>
          <w:iCs/>
        </w:rPr>
        <w:t xml:space="preserve"> How much should we trust differences-in-differences estimates? </w:t>
      </w:r>
      <w:r w:rsidRPr="00A251BC">
        <w:rPr>
          <w:rFonts w:eastAsia="GillSans-Italic--Identity-H"/>
          <w:i/>
          <w:iCs/>
        </w:rPr>
        <w:t>Quarterly Journal of Economics</w:t>
      </w:r>
      <w:r w:rsidRPr="00410EE7">
        <w:rPr>
          <w:rFonts w:eastAsia="GillSans-Italic--Identity-H"/>
          <w:iCs/>
        </w:rPr>
        <w:t>, 119(1), 249-275.</w:t>
      </w:r>
    </w:p>
    <w:p w:rsidR="00AE4FD2" w:rsidRPr="00410EE7" w:rsidRDefault="00EC0B85" w:rsidP="00A251BC">
      <w:pPr>
        <w:spacing w:line="276" w:lineRule="auto"/>
        <w:ind w:left="720" w:hanging="720"/>
      </w:pPr>
      <w:proofErr w:type="gramStart"/>
      <w:r w:rsidRPr="00410EE7">
        <w:t>Blundell, R., Grifith, R., Windmeijer, F., 2002.</w:t>
      </w:r>
      <w:proofErr w:type="gramEnd"/>
      <w:r w:rsidRPr="00410EE7">
        <w:t xml:space="preserve"> Individual effects and dynamics in</w:t>
      </w:r>
      <w:r w:rsidR="00A251BC">
        <w:t xml:space="preserve"> </w:t>
      </w:r>
      <w:r w:rsidRPr="00410EE7">
        <w:t xml:space="preserve">count data models. </w:t>
      </w:r>
      <w:r w:rsidRPr="00410EE7">
        <w:rPr>
          <w:i/>
        </w:rPr>
        <w:t>Journal of Econometrics</w:t>
      </w:r>
      <w:r w:rsidR="00B33B52" w:rsidRPr="00410EE7">
        <w:t>,</w:t>
      </w:r>
      <w:r w:rsidRPr="00410EE7">
        <w:t xml:space="preserve"> 108, 113–131.</w:t>
      </w:r>
    </w:p>
    <w:p w:rsidR="00AE4FD2" w:rsidRPr="00410EE7" w:rsidRDefault="00A251BC" w:rsidP="00A251BC">
      <w:pPr>
        <w:autoSpaceDE w:val="0"/>
        <w:autoSpaceDN w:val="0"/>
        <w:adjustRightInd w:val="0"/>
        <w:spacing w:line="276" w:lineRule="auto"/>
        <w:ind w:left="720" w:hanging="720"/>
      </w:pPr>
      <w:r>
        <w:t xml:space="preserve">Blumenthal, D., </w:t>
      </w:r>
      <w:r w:rsidR="00B03666" w:rsidRPr="00410EE7">
        <w:t xml:space="preserve">Tavenner, M. 2010. </w:t>
      </w:r>
      <w:proofErr w:type="gramStart"/>
      <w:r w:rsidR="00B03666" w:rsidRPr="00410EE7">
        <w:t>The “meaningful use” regulation for electronic health records.</w:t>
      </w:r>
      <w:proofErr w:type="gramEnd"/>
      <w:r w:rsidR="00B03666" w:rsidRPr="00410EE7">
        <w:t xml:space="preserve"> New England Journal of Medicine, 363(6), 501-504.</w:t>
      </w:r>
    </w:p>
    <w:p w:rsidR="003B0D46" w:rsidRPr="00410EE7" w:rsidRDefault="003B0D46" w:rsidP="00A251BC">
      <w:pPr>
        <w:autoSpaceDE w:val="0"/>
        <w:autoSpaceDN w:val="0"/>
        <w:adjustRightInd w:val="0"/>
        <w:spacing w:line="276" w:lineRule="auto"/>
        <w:ind w:left="720" w:hanging="720"/>
      </w:pPr>
      <w:r w:rsidRPr="00410EE7">
        <w:t xml:space="preserve">Cameron, C., Trivedi, P. 2015.  Count panel data.  In B. Baltagi (ed.), </w:t>
      </w:r>
      <w:proofErr w:type="gramStart"/>
      <w:r w:rsidRPr="00410EE7">
        <w:rPr>
          <w:i/>
        </w:rPr>
        <w:t>The</w:t>
      </w:r>
      <w:proofErr w:type="gramEnd"/>
      <w:r w:rsidRPr="00410EE7">
        <w:rPr>
          <w:i/>
        </w:rPr>
        <w:t xml:space="preserve"> Oxford Handbook of Panel Data</w:t>
      </w:r>
      <w:r w:rsidRPr="00410EE7">
        <w:t>, Oxford University Press, Oxford.</w:t>
      </w:r>
    </w:p>
    <w:p w:rsidR="00E96FB2" w:rsidRPr="00410EE7" w:rsidRDefault="00E96FB2" w:rsidP="00A251BC">
      <w:pPr>
        <w:autoSpaceDE w:val="0"/>
        <w:autoSpaceDN w:val="0"/>
        <w:adjustRightInd w:val="0"/>
        <w:spacing w:line="276" w:lineRule="auto"/>
        <w:ind w:left="720" w:hanging="720"/>
      </w:pPr>
      <w:r w:rsidRPr="00410EE7">
        <w:t>Corfield, L</w:t>
      </w:r>
      <w:r w:rsidR="00A251BC">
        <w:t xml:space="preserve">., Schizas, A., Williams, A., </w:t>
      </w:r>
      <w:r w:rsidRPr="00410EE7">
        <w:t xml:space="preserve">Noorani, A. 2008. Non-attendance at the colorectal clinic: a prospective audit. </w:t>
      </w:r>
      <w:proofErr w:type="gramStart"/>
      <w:r w:rsidRPr="00A251BC">
        <w:rPr>
          <w:i/>
        </w:rPr>
        <w:t>Annals of the Royal College of Surgeons of England</w:t>
      </w:r>
      <w:r w:rsidRPr="00410EE7">
        <w:t>, 90(5), 377.</w:t>
      </w:r>
      <w:proofErr w:type="gramEnd"/>
    </w:p>
    <w:p w:rsidR="00B177C3" w:rsidRPr="00410EE7" w:rsidRDefault="00B177C3" w:rsidP="00A251BC">
      <w:pPr>
        <w:pStyle w:val="EndnoteText"/>
        <w:spacing w:line="276" w:lineRule="auto"/>
        <w:ind w:left="720" w:hanging="720"/>
        <w:rPr>
          <w:sz w:val="24"/>
        </w:rPr>
      </w:pPr>
      <w:proofErr w:type="gramStart"/>
      <w:r w:rsidRPr="00410EE7">
        <w:rPr>
          <w:sz w:val="24"/>
        </w:rPr>
        <w:t>Department of Health.</w:t>
      </w:r>
      <w:proofErr w:type="gramEnd"/>
      <w:r w:rsidRPr="00410EE7">
        <w:rPr>
          <w:sz w:val="24"/>
        </w:rPr>
        <w:t xml:space="preserve"> 2004. “Choose &amp; Book” – Patient’s Choice of Hospital and Booked Appointment. Gateway ref: 3467.</w:t>
      </w:r>
    </w:p>
    <w:p w:rsidR="00893559" w:rsidRPr="00410EE7" w:rsidRDefault="00893559" w:rsidP="00A251BC">
      <w:pPr>
        <w:spacing w:line="276" w:lineRule="auto"/>
        <w:ind w:left="720" w:hanging="720"/>
      </w:pPr>
      <w:proofErr w:type="gramStart"/>
      <w:r w:rsidRPr="00410EE7">
        <w:t>Department of Health.</w:t>
      </w:r>
      <w:proofErr w:type="gramEnd"/>
      <w:r w:rsidRPr="00410EE7">
        <w:t xml:space="preserve"> 2012. </w:t>
      </w:r>
      <w:r w:rsidRPr="00410EE7">
        <w:rPr>
          <w:i/>
        </w:rPr>
        <w:t>A Simple Guide to Payment by Results</w:t>
      </w:r>
      <w:r w:rsidRPr="00410EE7">
        <w:t>. https://www.gov.uk/government/publications/simple-guide-to-payment-by-results. Last accessed 24 April 2015.</w:t>
      </w:r>
    </w:p>
    <w:p w:rsidR="00E101B4" w:rsidRPr="00410EE7" w:rsidRDefault="00A251BC" w:rsidP="00A251BC">
      <w:pPr>
        <w:spacing w:line="276" w:lineRule="auto"/>
        <w:ind w:left="720" w:hanging="720"/>
      </w:pPr>
      <w:proofErr w:type="gramStart"/>
      <w:r>
        <w:t>Department of Health.</w:t>
      </w:r>
      <w:proofErr w:type="gramEnd"/>
      <w:r>
        <w:t xml:space="preserve"> 2013</w:t>
      </w:r>
      <w:r w:rsidR="00E760AD" w:rsidRPr="00410EE7">
        <w:t xml:space="preserve">. </w:t>
      </w:r>
      <w:r w:rsidR="00E760AD" w:rsidRPr="00410EE7">
        <w:rPr>
          <w:i/>
        </w:rPr>
        <w:t>NHS Informatics: Final benefits statement for programmes previously managed under the National Programme for IT</w:t>
      </w:r>
      <w:r w:rsidR="002E2F54" w:rsidRPr="00410EE7">
        <w:rPr>
          <w:i/>
        </w:rPr>
        <w:t xml:space="preserve">. </w:t>
      </w:r>
      <w:hyperlink r:id="rId14" w:history="1">
        <w:r w:rsidR="002E2F54" w:rsidRPr="00410EE7">
          <w:rPr>
            <w:rStyle w:val="Hyperlink"/>
            <w:i/>
          </w:rPr>
          <w:t>https://www.gov.uk/government/uploads/system/uploads/attachment_data/file/205687/Benefits_statement.pdf</w:t>
        </w:r>
      </w:hyperlink>
      <w:r w:rsidR="002E2F54" w:rsidRPr="00410EE7">
        <w:rPr>
          <w:i/>
        </w:rPr>
        <w:t>. Last accessed 7 August 2015.</w:t>
      </w:r>
    </w:p>
    <w:p w:rsidR="00FD4519" w:rsidRPr="00410EE7" w:rsidRDefault="00FD4519" w:rsidP="00FD4519">
      <w:pPr>
        <w:spacing w:line="276" w:lineRule="auto"/>
        <w:ind w:left="720" w:hanging="720"/>
      </w:pPr>
      <w:r w:rsidRPr="00410EE7">
        <w:t xml:space="preserve">Dixon, A., Robertson, R., Appleby, J., Burge, P., Devlin, N., Magee, H.  2010.  </w:t>
      </w:r>
      <w:r w:rsidRPr="00410EE7">
        <w:rPr>
          <w:i/>
        </w:rPr>
        <w:t>Patient Choice. How patient choose and providers respond</w:t>
      </w:r>
      <w:r w:rsidRPr="00410EE7">
        <w:t>.  Kings Fund, London.</w:t>
      </w:r>
    </w:p>
    <w:p w:rsidR="00FD4519" w:rsidRPr="00410EE7" w:rsidRDefault="00FD4519" w:rsidP="00FD4519">
      <w:pPr>
        <w:pStyle w:val="EndnoteText"/>
        <w:spacing w:line="276" w:lineRule="auto"/>
        <w:ind w:left="720" w:hanging="720"/>
        <w:rPr>
          <w:sz w:val="24"/>
        </w:rPr>
      </w:pPr>
      <w:r w:rsidRPr="00410EE7">
        <w:rPr>
          <w:sz w:val="24"/>
        </w:rPr>
        <w:lastRenderedPageBreak/>
        <w:t xml:space="preserve">Dixon, S. 2010. </w:t>
      </w:r>
      <w:r w:rsidRPr="00410EE7">
        <w:rPr>
          <w:i/>
          <w:sz w:val="24"/>
        </w:rPr>
        <w:t xml:space="preserve">Report on the National Patient Choice </w:t>
      </w:r>
      <w:proofErr w:type="gramStart"/>
      <w:r w:rsidRPr="00410EE7">
        <w:rPr>
          <w:i/>
          <w:sz w:val="24"/>
        </w:rPr>
        <w:t>Survey</w:t>
      </w:r>
      <w:r w:rsidRPr="00410EE7">
        <w:rPr>
          <w:sz w:val="24"/>
        </w:rPr>
        <w:t xml:space="preserve"> .</w:t>
      </w:r>
      <w:proofErr w:type="gramEnd"/>
      <w:r w:rsidRPr="00410EE7">
        <w:rPr>
          <w:sz w:val="24"/>
        </w:rPr>
        <w:t xml:space="preserve"> </w:t>
      </w:r>
      <w:proofErr w:type="gramStart"/>
      <w:r w:rsidRPr="00410EE7">
        <w:rPr>
          <w:sz w:val="24"/>
        </w:rPr>
        <w:t>Department of Health.</w:t>
      </w:r>
      <w:proofErr w:type="gramEnd"/>
      <w:r w:rsidRPr="00410EE7">
        <w:rPr>
          <w:sz w:val="24"/>
        </w:rPr>
        <w:t xml:space="preserve"> https://www.gov.uk/government/uploads/system/uploads/attachment_data/file/216073/dh_117096.pdf. Last accessed 12 June 2015.</w:t>
      </w:r>
    </w:p>
    <w:p w:rsidR="002A4FB0" w:rsidRPr="00410EE7" w:rsidRDefault="00142C25" w:rsidP="00A251BC">
      <w:pPr>
        <w:autoSpaceDE w:val="0"/>
        <w:autoSpaceDN w:val="0"/>
        <w:adjustRightInd w:val="0"/>
        <w:spacing w:line="276" w:lineRule="auto"/>
        <w:ind w:left="720" w:hanging="720"/>
        <w:rPr>
          <w:rFonts w:eastAsia="SimSun"/>
          <w:lang w:eastAsia="zh-CN" w:bidi="he-IL"/>
        </w:rPr>
      </w:pPr>
      <w:proofErr w:type="spellStart"/>
      <w:r w:rsidRPr="00410EE7">
        <w:t>Elloy</w:t>
      </w:r>
      <w:proofErr w:type="spellEnd"/>
      <w:r w:rsidR="00ED59C1" w:rsidRPr="00410EE7">
        <w:t>,</w:t>
      </w:r>
      <w:r w:rsidRPr="00410EE7">
        <w:t xml:space="preserve"> M</w:t>
      </w:r>
      <w:r w:rsidR="00ED59C1" w:rsidRPr="00410EE7">
        <w:t>.</w:t>
      </w:r>
      <w:r w:rsidRPr="00410EE7">
        <w:t>D</w:t>
      </w:r>
      <w:r w:rsidR="00E96FB2" w:rsidRPr="00410EE7">
        <w:t>.</w:t>
      </w:r>
      <w:r w:rsidRPr="00410EE7">
        <w:t xml:space="preserve">, </w:t>
      </w:r>
      <w:proofErr w:type="spellStart"/>
      <w:r w:rsidRPr="00410EE7">
        <w:t>Nogueira</w:t>
      </w:r>
      <w:proofErr w:type="spellEnd"/>
      <w:r w:rsidR="00ED59C1" w:rsidRPr="00410EE7">
        <w:t>,</w:t>
      </w:r>
      <w:r w:rsidRPr="00410EE7">
        <w:t xml:space="preserve"> C</w:t>
      </w:r>
      <w:r w:rsidR="00E96FB2" w:rsidRPr="00410EE7">
        <w:t>.</w:t>
      </w:r>
      <w:r w:rsidRPr="00410EE7">
        <w:t>, Sama</w:t>
      </w:r>
      <w:r w:rsidR="00ED59C1" w:rsidRPr="00410EE7">
        <w:t>,</w:t>
      </w:r>
      <w:r w:rsidRPr="00410EE7">
        <w:t xml:space="preserve"> A. 201</w:t>
      </w:r>
      <w:r w:rsidR="0039786D" w:rsidRPr="00410EE7">
        <w:t>1. Non-attendance rates in ENT clinics following the i</w:t>
      </w:r>
      <w:r w:rsidRPr="00410EE7">
        <w:t>mplementati</w:t>
      </w:r>
      <w:r w:rsidR="0039786D" w:rsidRPr="00410EE7">
        <w:t xml:space="preserve">on of ‘Choose and Book’. </w:t>
      </w:r>
      <w:r w:rsidR="0039786D" w:rsidRPr="00410EE7">
        <w:rPr>
          <w:i/>
        </w:rPr>
        <w:t>A</w:t>
      </w:r>
      <w:r w:rsidRPr="00410EE7">
        <w:rPr>
          <w:rFonts w:eastAsia="GillSans-Italic--Identity-H"/>
          <w:i/>
          <w:iCs/>
        </w:rPr>
        <w:t>nnals of the Royal College of Surgery England</w:t>
      </w:r>
      <w:r w:rsidR="00B6054A" w:rsidRPr="00410EE7">
        <w:rPr>
          <w:rFonts w:eastAsia="GillSans-Italic--Identity-H"/>
          <w:iCs/>
        </w:rPr>
        <w:t>,</w:t>
      </w:r>
      <w:r w:rsidR="0039786D" w:rsidRPr="00410EE7">
        <w:rPr>
          <w:rFonts w:eastAsia="GillSans--Identity-H"/>
        </w:rPr>
        <w:t xml:space="preserve"> </w:t>
      </w:r>
      <w:r w:rsidRPr="00410EE7">
        <w:rPr>
          <w:rFonts w:eastAsia="GillSans-Italic--Identity-H"/>
          <w:iCs/>
        </w:rPr>
        <w:t>Suppl</w:t>
      </w:r>
      <w:r w:rsidR="0039786D" w:rsidRPr="00410EE7">
        <w:rPr>
          <w:rFonts w:eastAsia="GillSans--Identity-H"/>
        </w:rPr>
        <w:t>.,</w:t>
      </w:r>
      <w:r w:rsidRPr="00410EE7">
        <w:rPr>
          <w:rFonts w:eastAsia="GillSans--Identity-H"/>
        </w:rPr>
        <w:t xml:space="preserve"> </w:t>
      </w:r>
      <w:r w:rsidRPr="00410EE7">
        <w:rPr>
          <w:rFonts w:eastAsia="GillSans-Bold--Identity-H"/>
          <w:bCs/>
        </w:rPr>
        <w:t>93</w:t>
      </w:r>
      <w:r w:rsidRPr="00410EE7">
        <w:rPr>
          <w:rFonts w:eastAsia="GillSans-Bold--Identity-H"/>
          <w:b/>
          <w:bCs/>
        </w:rPr>
        <w:t>:</w:t>
      </w:r>
      <w:r w:rsidRPr="00410EE7">
        <w:rPr>
          <w:rFonts w:eastAsia="GillSans--Identity-H"/>
        </w:rPr>
        <w:t>314–316</w:t>
      </w:r>
      <w:r w:rsidR="003D6647" w:rsidRPr="00410EE7">
        <w:rPr>
          <w:rFonts w:eastAsia="SimSun"/>
          <w:lang w:eastAsia="zh-CN" w:bidi="he-IL"/>
        </w:rPr>
        <w:t xml:space="preserve">  </w:t>
      </w:r>
      <w:r w:rsidR="00CC5087" w:rsidRPr="00410EE7">
        <w:rPr>
          <w:rFonts w:eastAsia="SimSun"/>
          <w:lang w:eastAsia="zh-CN" w:bidi="he-IL"/>
        </w:rPr>
        <w:t xml:space="preserve"> </w:t>
      </w:r>
    </w:p>
    <w:p w:rsidR="00096372" w:rsidRPr="00410EE7" w:rsidRDefault="00B33B52" w:rsidP="00A251BC">
      <w:pPr>
        <w:autoSpaceDE w:val="0"/>
        <w:autoSpaceDN w:val="0"/>
        <w:adjustRightInd w:val="0"/>
        <w:spacing w:line="276" w:lineRule="auto"/>
        <w:ind w:left="720" w:hanging="720"/>
        <w:rPr>
          <w:rFonts w:eastAsia="SimSun"/>
          <w:lang w:eastAsia="zh-CN" w:bidi="he-IL"/>
        </w:rPr>
      </w:pPr>
      <w:proofErr w:type="gramStart"/>
      <w:r w:rsidRPr="00410EE7">
        <w:t>Encinosa</w:t>
      </w:r>
      <w:r w:rsidR="00ED59C1" w:rsidRPr="00410EE7">
        <w:t>,</w:t>
      </w:r>
      <w:r w:rsidRPr="00410EE7">
        <w:t xml:space="preserve"> W</w:t>
      </w:r>
      <w:r w:rsidR="00ED59C1" w:rsidRPr="00410EE7">
        <w:t>.</w:t>
      </w:r>
      <w:r w:rsidRPr="00410EE7">
        <w:t>, Bae</w:t>
      </w:r>
      <w:r w:rsidR="00ED59C1" w:rsidRPr="00410EE7">
        <w:t>,</w:t>
      </w:r>
      <w:r w:rsidRPr="00410EE7">
        <w:t xml:space="preserve"> J. 2011.</w:t>
      </w:r>
      <w:proofErr w:type="gramEnd"/>
      <w:r w:rsidRPr="00410EE7">
        <w:t xml:space="preserve"> How can we bend the cost curve? </w:t>
      </w:r>
      <w:proofErr w:type="gramStart"/>
      <w:r w:rsidRPr="00410EE7">
        <w:t>Health i</w:t>
      </w:r>
      <w:r w:rsidR="00096372" w:rsidRPr="00410EE7">
        <w:t>nfo</w:t>
      </w:r>
      <w:r w:rsidRPr="00410EE7">
        <w:t>rmation technology and its effects on hospital costs, outcomes, and patient s</w:t>
      </w:r>
      <w:r w:rsidR="00096372" w:rsidRPr="00410EE7">
        <w:t>afety.</w:t>
      </w:r>
      <w:proofErr w:type="gramEnd"/>
      <w:r w:rsidR="00096372" w:rsidRPr="00410EE7">
        <w:t xml:space="preserve"> </w:t>
      </w:r>
      <w:proofErr w:type="gramStart"/>
      <w:r w:rsidR="00096372" w:rsidRPr="00410EE7">
        <w:rPr>
          <w:i/>
        </w:rPr>
        <w:t>Inquiry</w:t>
      </w:r>
      <w:r w:rsidR="006B5244" w:rsidRPr="00410EE7">
        <w:rPr>
          <w:i/>
        </w:rPr>
        <w:t>.,</w:t>
      </w:r>
      <w:proofErr w:type="gramEnd"/>
      <w:r w:rsidR="006B5244" w:rsidRPr="00410EE7">
        <w:rPr>
          <w:i/>
        </w:rPr>
        <w:t xml:space="preserve"> </w:t>
      </w:r>
      <w:r w:rsidR="006B5244" w:rsidRPr="00410EE7">
        <w:t>48: 288–303.</w:t>
      </w:r>
    </w:p>
    <w:p w:rsidR="00E4425F" w:rsidRPr="00410EE7" w:rsidRDefault="00A251BC" w:rsidP="00A251BC">
      <w:pPr>
        <w:autoSpaceDE w:val="0"/>
        <w:autoSpaceDN w:val="0"/>
        <w:adjustRightInd w:val="0"/>
        <w:spacing w:line="276" w:lineRule="auto"/>
        <w:ind w:left="720" w:hanging="720"/>
      </w:pPr>
      <w:proofErr w:type="gramStart"/>
      <w:r>
        <w:t xml:space="preserve">Gaynor, M., Moreno-Serra, R., </w:t>
      </w:r>
      <w:r w:rsidR="00E4425F" w:rsidRPr="00410EE7">
        <w:t>Propper, C. 2013.</w:t>
      </w:r>
      <w:proofErr w:type="gramEnd"/>
      <w:r w:rsidR="00E4425F" w:rsidRPr="00410EE7">
        <w:t xml:space="preserve"> Death by Market Power: Reform, Competition, and Patient Outcomes in the National Health Service. </w:t>
      </w:r>
      <w:r w:rsidR="00E4425F" w:rsidRPr="00A251BC">
        <w:rPr>
          <w:i/>
        </w:rPr>
        <w:t>American Economic Journal: Economic Policy</w:t>
      </w:r>
      <w:r w:rsidR="00E4425F" w:rsidRPr="00410EE7">
        <w:t>, 5(4), 134-166.</w:t>
      </w:r>
    </w:p>
    <w:p w:rsidR="00893559" w:rsidRPr="00410EE7" w:rsidRDefault="00893559" w:rsidP="00A251BC">
      <w:pPr>
        <w:autoSpaceDE w:val="0"/>
        <w:autoSpaceDN w:val="0"/>
        <w:adjustRightInd w:val="0"/>
        <w:spacing w:line="276" w:lineRule="auto"/>
        <w:ind w:left="720" w:hanging="720"/>
        <w:rPr>
          <w:i/>
        </w:rPr>
      </w:pPr>
      <w:r w:rsidRPr="00410EE7">
        <w:t xml:space="preserve">Gillam, S., Siriwardena, N., Steel, N. 2012. Pay-for-performance in the United Kingdom: impact of the Quality and Outcomes Framework – a systematic review.  </w:t>
      </w:r>
      <w:r w:rsidRPr="00410EE7">
        <w:rPr>
          <w:i/>
        </w:rPr>
        <w:t>Annals of Family Medicine</w:t>
      </w:r>
      <w:r w:rsidRPr="00410EE7">
        <w:t>, 10</w:t>
      </w:r>
      <w:r w:rsidR="00E90F1B" w:rsidRPr="00410EE7">
        <w:t>(5), 461-468.</w:t>
      </w:r>
    </w:p>
    <w:p w:rsidR="00A54257" w:rsidRPr="00410EE7" w:rsidRDefault="00A54257" w:rsidP="00A251BC">
      <w:pPr>
        <w:autoSpaceDE w:val="0"/>
        <w:autoSpaceDN w:val="0"/>
        <w:adjustRightInd w:val="0"/>
        <w:spacing w:line="276" w:lineRule="auto"/>
        <w:ind w:left="720" w:hanging="720"/>
      </w:pPr>
      <w:proofErr w:type="spellStart"/>
      <w:proofErr w:type="gramStart"/>
      <w:r w:rsidRPr="00410EE7">
        <w:t>Gurol-Urganci</w:t>
      </w:r>
      <w:proofErr w:type="spellEnd"/>
      <w:r w:rsidR="00ED59C1" w:rsidRPr="00410EE7">
        <w:t>,</w:t>
      </w:r>
      <w:r w:rsidRPr="00410EE7">
        <w:t xml:space="preserve"> I</w:t>
      </w:r>
      <w:r w:rsidR="00ED59C1" w:rsidRPr="00410EE7">
        <w:t>.</w:t>
      </w:r>
      <w:r w:rsidRPr="00410EE7">
        <w:t>, de Jongh</w:t>
      </w:r>
      <w:r w:rsidR="00ED59C1" w:rsidRPr="00410EE7">
        <w:t>,</w:t>
      </w:r>
      <w:r w:rsidRPr="00410EE7">
        <w:t xml:space="preserve"> T</w:t>
      </w:r>
      <w:r w:rsidR="00ED59C1" w:rsidRPr="00410EE7">
        <w:t>.</w:t>
      </w:r>
      <w:r w:rsidRPr="00410EE7">
        <w:t>, Vodopivec-Jamsek</w:t>
      </w:r>
      <w:r w:rsidR="00ED59C1" w:rsidRPr="00410EE7">
        <w:t>,</w:t>
      </w:r>
      <w:r w:rsidRPr="00410EE7">
        <w:t xml:space="preserve"> V</w:t>
      </w:r>
      <w:r w:rsidR="00ED59C1" w:rsidRPr="00410EE7">
        <w:t>.</w:t>
      </w:r>
      <w:r w:rsidRPr="00410EE7">
        <w:t>, Autun R, Car J. 2013.</w:t>
      </w:r>
      <w:proofErr w:type="gramEnd"/>
      <w:r w:rsidRPr="00410EE7">
        <w:t xml:space="preserve"> </w:t>
      </w:r>
      <w:proofErr w:type="gramStart"/>
      <w:r w:rsidRPr="00410EE7">
        <w:t>Mobile phone messaging reminders for attenda</w:t>
      </w:r>
      <w:r w:rsidR="00B33B52" w:rsidRPr="00410EE7">
        <w:t>nce at healthcare appointments.</w:t>
      </w:r>
      <w:proofErr w:type="gramEnd"/>
      <w:r w:rsidR="00B33B52" w:rsidRPr="00410EE7">
        <w:t xml:space="preserve"> </w:t>
      </w:r>
      <w:r w:rsidRPr="00410EE7">
        <w:rPr>
          <w:i/>
        </w:rPr>
        <w:t>Cochrane Library</w:t>
      </w:r>
      <w:r w:rsidRPr="00410EE7">
        <w:t>, Issue 12</w:t>
      </w:r>
      <w:r w:rsidR="00DC2698" w:rsidRPr="00410EE7">
        <w:t xml:space="preserve">. http://thecochranelibrary.com.   Last accessed 07 04 15. </w:t>
      </w:r>
    </w:p>
    <w:p w:rsidR="00FC0D2E" w:rsidRPr="00410EE7" w:rsidRDefault="003B29DF" w:rsidP="00A251BC">
      <w:pPr>
        <w:autoSpaceDE w:val="0"/>
        <w:autoSpaceDN w:val="0"/>
        <w:adjustRightInd w:val="0"/>
        <w:spacing w:line="276" w:lineRule="auto"/>
        <w:ind w:left="720" w:hanging="720"/>
      </w:pPr>
      <w:proofErr w:type="gramStart"/>
      <w:r w:rsidRPr="00410EE7">
        <w:t>Guy</w:t>
      </w:r>
      <w:r w:rsidR="00ED59C1" w:rsidRPr="00410EE7">
        <w:t>,</w:t>
      </w:r>
      <w:r w:rsidRPr="00410EE7">
        <w:t xml:space="preserve"> R</w:t>
      </w:r>
      <w:r w:rsidR="00ED59C1" w:rsidRPr="00410EE7">
        <w:t>.</w:t>
      </w:r>
      <w:r w:rsidRPr="00410EE7">
        <w:t>, Hocking</w:t>
      </w:r>
      <w:r w:rsidR="00ED59C1" w:rsidRPr="00410EE7">
        <w:t>,</w:t>
      </w:r>
      <w:r w:rsidRPr="00410EE7">
        <w:t xml:space="preserve"> J</w:t>
      </w:r>
      <w:r w:rsidR="00ED59C1" w:rsidRPr="00410EE7">
        <w:t>.</w:t>
      </w:r>
      <w:r w:rsidRPr="00410EE7">
        <w:t>, Wand</w:t>
      </w:r>
      <w:r w:rsidR="00ED59C1" w:rsidRPr="00410EE7">
        <w:t>,</w:t>
      </w:r>
      <w:r w:rsidRPr="00410EE7">
        <w:t xml:space="preserve"> H</w:t>
      </w:r>
      <w:r w:rsidR="00ED59C1" w:rsidRPr="00410EE7">
        <w:t>.</w:t>
      </w:r>
      <w:r w:rsidRPr="00410EE7">
        <w:t>, Stott</w:t>
      </w:r>
      <w:r w:rsidR="00ED59C1" w:rsidRPr="00410EE7">
        <w:t>,</w:t>
      </w:r>
      <w:r w:rsidRPr="00410EE7">
        <w:t xml:space="preserve"> S</w:t>
      </w:r>
      <w:r w:rsidR="00ED59C1" w:rsidRPr="00410EE7">
        <w:t>.</w:t>
      </w:r>
      <w:r w:rsidRPr="00410EE7">
        <w:t>, Ali</w:t>
      </w:r>
      <w:r w:rsidR="00ED59C1" w:rsidRPr="00410EE7">
        <w:t>,</w:t>
      </w:r>
      <w:r w:rsidRPr="00410EE7">
        <w:t xml:space="preserve"> H</w:t>
      </w:r>
      <w:r w:rsidR="00ED59C1" w:rsidRPr="00410EE7">
        <w:t>.</w:t>
      </w:r>
      <w:r w:rsidRPr="00410EE7">
        <w:t>, and Kaldor</w:t>
      </w:r>
      <w:r w:rsidR="00ED59C1" w:rsidRPr="00410EE7">
        <w:t>, J</w:t>
      </w:r>
      <w:r w:rsidRPr="00410EE7">
        <w:rPr>
          <w:rFonts w:eastAsia="GillSans-Italic--Identity-H"/>
          <w:iCs/>
        </w:rPr>
        <w:t>.</w:t>
      </w:r>
      <w:proofErr w:type="gramEnd"/>
      <w:r w:rsidRPr="00410EE7">
        <w:rPr>
          <w:rFonts w:eastAsia="GillSans-Italic--Identity-H"/>
          <w:iCs/>
        </w:rPr>
        <w:t xml:space="preserve"> </w:t>
      </w:r>
      <w:r w:rsidR="0039786D" w:rsidRPr="00410EE7">
        <w:t>How effective are s</w:t>
      </w:r>
      <w:r w:rsidRPr="00410EE7">
        <w:t>hort</w:t>
      </w:r>
      <w:r w:rsidR="0031752B" w:rsidRPr="00410EE7">
        <w:t xml:space="preserve"> </w:t>
      </w:r>
      <w:r w:rsidR="0039786D" w:rsidRPr="00410EE7">
        <w:t>m</w:t>
      </w:r>
      <w:r w:rsidRPr="00410EE7">
        <w:t>essage</w:t>
      </w:r>
      <w:r w:rsidRPr="00410EE7">
        <w:rPr>
          <w:rFonts w:eastAsia="GillSans-Italic--Identity-H"/>
          <w:iCs/>
        </w:rPr>
        <w:t xml:space="preserve"> </w:t>
      </w:r>
      <w:r w:rsidR="0039786D" w:rsidRPr="00410EE7">
        <w:t xml:space="preserve">service reminders at increasing clinic attendance? </w:t>
      </w:r>
      <w:proofErr w:type="gramStart"/>
      <w:r w:rsidR="0039786D" w:rsidRPr="00410EE7">
        <w:t>A meta-a</w:t>
      </w:r>
      <w:r w:rsidRPr="00410EE7">
        <w:t>nalysis and</w:t>
      </w:r>
      <w:r w:rsidRPr="00410EE7">
        <w:rPr>
          <w:rFonts w:eastAsia="GillSans-Italic--Identity-H"/>
          <w:iCs/>
        </w:rPr>
        <w:t xml:space="preserve"> </w:t>
      </w:r>
      <w:r w:rsidR="0039786D" w:rsidRPr="00410EE7">
        <w:t>systematic r</w:t>
      </w:r>
      <w:r w:rsidRPr="00410EE7">
        <w:t>eview.</w:t>
      </w:r>
      <w:proofErr w:type="gramEnd"/>
      <w:r w:rsidRPr="00410EE7">
        <w:t xml:space="preserve"> </w:t>
      </w:r>
      <w:proofErr w:type="gramStart"/>
      <w:r w:rsidRPr="00410EE7">
        <w:rPr>
          <w:i/>
        </w:rPr>
        <w:t>Health Services Research</w:t>
      </w:r>
      <w:r w:rsidR="00EE55D1" w:rsidRPr="00410EE7">
        <w:t>.</w:t>
      </w:r>
      <w:proofErr w:type="gramEnd"/>
      <w:r w:rsidR="00EE55D1" w:rsidRPr="00410EE7">
        <w:t xml:space="preserve"> 2012, 47(2), 614-632. </w:t>
      </w:r>
      <w:r w:rsidRPr="00410EE7">
        <w:t xml:space="preserve"> DOI: 10.1111/j.1475-6773.2011.01342.x</w:t>
      </w:r>
    </w:p>
    <w:p w:rsidR="009F61E3" w:rsidRPr="00410EE7" w:rsidRDefault="00DC2698" w:rsidP="00A251BC">
      <w:pPr>
        <w:autoSpaceDE w:val="0"/>
        <w:autoSpaceDN w:val="0"/>
        <w:adjustRightInd w:val="0"/>
        <w:spacing w:line="276" w:lineRule="auto"/>
        <w:ind w:left="720" w:hanging="720"/>
      </w:pPr>
      <w:proofErr w:type="gramStart"/>
      <w:r w:rsidRPr="00410EE7">
        <w:t>Hamilton</w:t>
      </w:r>
      <w:r w:rsidR="00ED59C1" w:rsidRPr="00410EE7">
        <w:t>,</w:t>
      </w:r>
      <w:r w:rsidRPr="00410EE7">
        <w:t xml:space="preserve"> W</w:t>
      </w:r>
      <w:r w:rsidR="00ED59C1" w:rsidRPr="00410EE7">
        <w:t>.</w:t>
      </w:r>
      <w:r w:rsidRPr="00410EE7">
        <w:t>, Round</w:t>
      </w:r>
      <w:r w:rsidR="00ED59C1" w:rsidRPr="00410EE7">
        <w:t>,</w:t>
      </w:r>
      <w:r w:rsidRPr="00410EE7">
        <w:t xml:space="preserve"> A</w:t>
      </w:r>
      <w:r w:rsidR="00ED59C1" w:rsidRPr="00410EE7">
        <w:t>.</w:t>
      </w:r>
      <w:r w:rsidRPr="00410EE7">
        <w:t xml:space="preserve">, </w:t>
      </w:r>
      <w:r w:rsidR="001C5FE0" w:rsidRPr="00410EE7">
        <w:t>Sharp</w:t>
      </w:r>
      <w:r w:rsidR="00ED59C1" w:rsidRPr="00410EE7">
        <w:t>,</w:t>
      </w:r>
      <w:r w:rsidR="001C5FE0" w:rsidRPr="00410EE7">
        <w:t xml:space="preserve"> D.</w:t>
      </w:r>
      <w:proofErr w:type="gramEnd"/>
      <w:r w:rsidR="001C5FE0" w:rsidRPr="00410EE7">
        <w:t xml:space="preserve">   2002</w:t>
      </w:r>
      <w:r w:rsidR="00B33B52" w:rsidRPr="00410EE7">
        <w:t xml:space="preserve">. </w:t>
      </w:r>
      <w:r w:rsidR="009F61E3" w:rsidRPr="00410EE7">
        <w:t xml:space="preserve"> Patient, hospital, and general practitioner characteristics associated with non-attendanc</w:t>
      </w:r>
      <w:r w:rsidR="0039786D" w:rsidRPr="00410EE7">
        <w:t xml:space="preserve">e: A cohort study. </w:t>
      </w:r>
      <w:r w:rsidR="001C5FE0" w:rsidRPr="00410EE7">
        <w:t xml:space="preserve"> </w:t>
      </w:r>
      <w:proofErr w:type="gramStart"/>
      <w:r w:rsidR="0039786D" w:rsidRPr="00410EE7">
        <w:rPr>
          <w:i/>
        </w:rPr>
        <w:t>British Journal of General P</w:t>
      </w:r>
      <w:r w:rsidR="009F61E3" w:rsidRPr="00410EE7">
        <w:rPr>
          <w:i/>
        </w:rPr>
        <w:t>ractice</w:t>
      </w:r>
      <w:r w:rsidR="0039786D" w:rsidRPr="00410EE7">
        <w:t>.</w:t>
      </w:r>
      <w:proofErr w:type="gramEnd"/>
      <w:r w:rsidR="009F61E3" w:rsidRPr="00410EE7">
        <w:t xml:space="preserve"> 52(477)</w:t>
      </w:r>
      <w:r w:rsidR="0039786D" w:rsidRPr="00410EE7">
        <w:t>;</w:t>
      </w:r>
      <w:r w:rsidR="009F61E3" w:rsidRPr="00410EE7">
        <w:t xml:space="preserve"> 317-319.</w:t>
      </w:r>
    </w:p>
    <w:p w:rsidR="009370B9" w:rsidRPr="00410EE7" w:rsidRDefault="009370B9" w:rsidP="00E2482D">
      <w:pPr>
        <w:pStyle w:val="EndnoteText"/>
        <w:spacing w:line="276" w:lineRule="auto"/>
        <w:ind w:left="720" w:hanging="720"/>
        <w:jc w:val="left"/>
        <w:rPr>
          <w:sz w:val="24"/>
        </w:rPr>
      </w:pPr>
      <w:r>
        <w:rPr>
          <w:sz w:val="24"/>
        </w:rPr>
        <w:t xml:space="preserve">Health and Social Care Information Centre (HSCIC). </w:t>
      </w:r>
      <w:proofErr w:type="gramStart"/>
      <w:r w:rsidRPr="009370B9">
        <w:rPr>
          <w:i/>
          <w:sz w:val="24"/>
        </w:rPr>
        <w:t>Hospital Episode Statistics</w:t>
      </w:r>
      <w:r>
        <w:rPr>
          <w:sz w:val="24"/>
        </w:rPr>
        <w:t>.</w:t>
      </w:r>
      <w:proofErr w:type="gramEnd"/>
      <w:r>
        <w:rPr>
          <w:sz w:val="24"/>
        </w:rPr>
        <w:t xml:space="preserve"> </w:t>
      </w:r>
      <w:hyperlink r:id="rId15" w:history="1">
        <w:r w:rsidRPr="008F4C70">
          <w:rPr>
            <w:rStyle w:val="Hyperlink"/>
            <w:sz w:val="24"/>
          </w:rPr>
          <w:t>http://www.hscic.gov.uk/hes</w:t>
        </w:r>
      </w:hyperlink>
      <w:r>
        <w:rPr>
          <w:sz w:val="24"/>
        </w:rPr>
        <w:t xml:space="preserve">. </w:t>
      </w:r>
      <w:r>
        <w:rPr>
          <w:i/>
        </w:rPr>
        <w:t>Last accessed 20</w:t>
      </w:r>
      <w:r w:rsidRPr="00410EE7">
        <w:rPr>
          <w:i/>
        </w:rPr>
        <w:t xml:space="preserve"> August 2015</w:t>
      </w:r>
    </w:p>
    <w:p w:rsidR="00957C39" w:rsidRPr="00410EE7" w:rsidRDefault="00957C39" w:rsidP="00A251BC">
      <w:pPr>
        <w:shd w:val="clear" w:color="auto" w:fill="FFFFFF"/>
        <w:spacing w:line="276" w:lineRule="auto"/>
        <w:ind w:left="720" w:hanging="720"/>
        <w:textAlignment w:val="baseline"/>
        <w:rPr>
          <w:rStyle w:val="highwire-cite-article-type"/>
          <w:rFonts w:ascii="inherit" w:hAnsi="inherit"/>
          <w:color w:val="000000" w:themeColor="text1"/>
          <w:bdr w:val="none" w:sz="0" w:space="0" w:color="auto" w:frame="1"/>
        </w:rPr>
      </w:pPr>
      <w:proofErr w:type="spellStart"/>
      <w:r w:rsidRPr="00410EE7">
        <w:t>Imison</w:t>
      </w:r>
      <w:proofErr w:type="spellEnd"/>
      <w:r w:rsidRPr="00410EE7">
        <w:t xml:space="preserve">, C., Naylor, C. 2010. </w:t>
      </w:r>
      <w:proofErr w:type="gramStart"/>
      <w:r w:rsidRPr="00410EE7">
        <w:rPr>
          <w:i/>
        </w:rPr>
        <w:t>Referral Management.</w:t>
      </w:r>
      <w:proofErr w:type="gramEnd"/>
      <w:r w:rsidRPr="00410EE7">
        <w:rPr>
          <w:i/>
        </w:rPr>
        <w:t xml:space="preserve"> </w:t>
      </w:r>
      <w:proofErr w:type="gramStart"/>
      <w:r w:rsidRPr="00410EE7">
        <w:rPr>
          <w:i/>
        </w:rPr>
        <w:t>Lessons for Success</w:t>
      </w:r>
      <w:r w:rsidRPr="00410EE7">
        <w:t>.</w:t>
      </w:r>
      <w:proofErr w:type="gramEnd"/>
      <w:r w:rsidRPr="00410EE7">
        <w:t xml:space="preserve"> </w:t>
      </w:r>
      <w:proofErr w:type="gramStart"/>
      <w:r w:rsidRPr="00410EE7">
        <w:t>Kings Fund.</w:t>
      </w:r>
      <w:proofErr w:type="gramEnd"/>
      <w:r w:rsidRPr="00410EE7">
        <w:t xml:space="preserve"> </w:t>
      </w:r>
      <w:r w:rsidRPr="00410EE7">
        <w:rPr>
          <w:rStyle w:val="highwire-cite-article-type"/>
          <w:rFonts w:ascii="inherit" w:hAnsi="inherit"/>
          <w:color w:val="000000" w:themeColor="text1"/>
          <w:bdr w:val="none" w:sz="0" w:space="0" w:color="auto" w:frame="1"/>
        </w:rPr>
        <w:t>http://www.kingsfund.org.uk/sites/files/kf/Referral-management-lessons-for-success-Candace-Imison-Chris-Naylor-Kings-Fund-August2010.pdf.  Last accessed 27 04 15.</w:t>
      </w:r>
    </w:p>
    <w:p w:rsidR="005F6860" w:rsidRPr="00410EE7" w:rsidRDefault="0039786D" w:rsidP="00A251BC">
      <w:pPr>
        <w:autoSpaceDE w:val="0"/>
        <w:autoSpaceDN w:val="0"/>
        <w:adjustRightInd w:val="0"/>
        <w:spacing w:line="276" w:lineRule="auto"/>
        <w:ind w:left="720" w:hanging="720"/>
      </w:pPr>
      <w:r w:rsidRPr="00410EE7">
        <w:t xml:space="preserve">Karter, A. J., M. M. Parker, H. H. Moffet, A. T. Ahmed, A. Ferrara, J. Y. Liu et al. 2004. </w:t>
      </w:r>
      <w:proofErr w:type="gramStart"/>
      <w:r w:rsidRPr="00410EE7">
        <w:t>Missed appointments and poor glycemic control: an opportunity to identify high-risk diabetic patients.</w:t>
      </w:r>
      <w:proofErr w:type="gramEnd"/>
      <w:r w:rsidRPr="00410EE7">
        <w:t xml:space="preserve">  </w:t>
      </w:r>
      <w:r w:rsidRPr="00410EE7">
        <w:rPr>
          <w:i/>
        </w:rPr>
        <w:t>Medical Care</w:t>
      </w:r>
      <w:r w:rsidRPr="00410EE7">
        <w:t xml:space="preserve"> 42 (2): 110–5.</w:t>
      </w:r>
    </w:p>
    <w:p w:rsidR="007F2C48" w:rsidRPr="00D74691" w:rsidRDefault="007F2C48" w:rsidP="00A251BC">
      <w:pPr>
        <w:pStyle w:val="EndnoteText"/>
        <w:spacing w:line="276" w:lineRule="auto"/>
        <w:ind w:left="720" w:hanging="720"/>
        <w:rPr>
          <w:sz w:val="24"/>
        </w:rPr>
      </w:pPr>
      <w:r w:rsidRPr="00410EE7">
        <w:rPr>
          <w:sz w:val="24"/>
        </w:rPr>
        <w:t>Kjerstad, E</w:t>
      </w:r>
      <w:r w:rsidR="00ED59C1" w:rsidRPr="00410EE7">
        <w:rPr>
          <w:sz w:val="24"/>
        </w:rPr>
        <w:t>.,</w:t>
      </w:r>
      <w:r w:rsidRPr="00410EE7">
        <w:rPr>
          <w:sz w:val="24"/>
        </w:rPr>
        <w:t xml:space="preserve"> Kristiansen, F. 2005. </w:t>
      </w:r>
      <w:proofErr w:type="gramStart"/>
      <w:r w:rsidRPr="00410EE7">
        <w:rPr>
          <w:sz w:val="24"/>
        </w:rPr>
        <w:t>Free choice, waiting time and length of stay in Norwegian hospitals.</w:t>
      </w:r>
      <w:proofErr w:type="gramEnd"/>
      <w:r w:rsidRPr="00410EE7">
        <w:rPr>
          <w:sz w:val="24"/>
        </w:rPr>
        <w:t xml:space="preserve"> Institute for Research in Economics and Business Administration. Working </w:t>
      </w:r>
      <w:proofErr w:type="gramStart"/>
      <w:r w:rsidRPr="00D74691">
        <w:rPr>
          <w:sz w:val="24"/>
        </w:rPr>
        <w:t>paper  21</w:t>
      </w:r>
      <w:proofErr w:type="gramEnd"/>
      <w:r w:rsidRPr="00D74691">
        <w:rPr>
          <w:sz w:val="24"/>
        </w:rPr>
        <w:t xml:space="preserve">/05. Bergen. http://idtjeneste.nb.no/URN:NBN:no-bibsys_brage_21901. </w:t>
      </w:r>
    </w:p>
    <w:p w:rsidR="00D74691" w:rsidRPr="00D74691" w:rsidRDefault="00D74691" w:rsidP="00D74691">
      <w:pPr>
        <w:spacing w:line="240" w:lineRule="auto"/>
        <w:ind w:left="720" w:hanging="720"/>
        <w:jc w:val="left"/>
      </w:pPr>
      <w:proofErr w:type="spellStart"/>
      <w:proofErr w:type="gramStart"/>
      <w:r w:rsidRPr="00D74691">
        <w:t>Laibson</w:t>
      </w:r>
      <w:proofErr w:type="spellEnd"/>
      <w:r w:rsidRPr="00D74691">
        <w:t xml:space="preserve"> D. 1997.</w:t>
      </w:r>
      <w:proofErr w:type="gramEnd"/>
      <w:r w:rsidRPr="00D74691">
        <w:t xml:space="preserve"> </w:t>
      </w:r>
      <w:proofErr w:type="gramStart"/>
      <w:r w:rsidRPr="00D74691">
        <w:t>Golden eggs and hyperbolic discounting.</w:t>
      </w:r>
      <w:proofErr w:type="gramEnd"/>
      <w:r w:rsidRPr="00D74691">
        <w:t xml:space="preserve"> </w:t>
      </w:r>
      <w:r w:rsidRPr="00D74691">
        <w:rPr>
          <w:i/>
          <w:iCs/>
        </w:rPr>
        <w:t xml:space="preserve">Quarterly Journal of Economics </w:t>
      </w:r>
      <w:r w:rsidRPr="00D74691">
        <w:t>112, 443–477.</w:t>
      </w:r>
    </w:p>
    <w:p w:rsidR="0039786D" w:rsidRPr="00410EE7" w:rsidRDefault="005F6860" w:rsidP="00A251BC">
      <w:pPr>
        <w:autoSpaceDE w:val="0"/>
        <w:autoSpaceDN w:val="0"/>
        <w:adjustRightInd w:val="0"/>
        <w:spacing w:line="276" w:lineRule="auto"/>
        <w:ind w:left="720" w:hanging="720"/>
      </w:pPr>
      <w:proofErr w:type="spellStart"/>
      <w:proofErr w:type="gramStart"/>
      <w:r w:rsidRPr="00410EE7">
        <w:t>Lapointe</w:t>
      </w:r>
      <w:proofErr w:type="spellEnd"/>
      <w:r w:rsidR="00ED59C1" w:rsidRPr="00410EE7">
        <w:t>,</w:t>
      </w:r>
      <w:r w:rsidRPr="00410EE7">
        <w:t xml:space="preserve"> L</w:t>
      </w:r>
      <w:r w:rsidR="00ED59C1" w:rsidRPr="00410EE7">
        <w:t>.</w:t>
      </w:r>
      <w:r w:rsidRPr="00410EE7">
        <w:t>, Mignerat</w:t>
      </w:r>
      <w:r w:rsidR="00ED59C1" w:rsidRPr="00410EE7">
        <w:t>,</w:t>
      </w:r>
      <w:r w:rsidRPr="00410EE7">
        <w:t xml:space="preserve"> M</w:t>
      </w:r>
      <w:r w:rsidR="00ED59C1" w:rsidRPr="00410EE7">
        <w:t>.</w:t>
      </w:r>
      <w:r w:rsidRPr="00410EE7">
        <w:t>, Vedelc</w:t>
      </w:r>
      <w:r w:rsidR="00ED59C1" w:rsidRPr="00410EE7">
        <w:t>,</w:t>
      </w:r>
      <w:r w:rsidRPr="00410EE7">
        <w:t xml:space="preserve"> I., 2011.</w:t>
      </w:r>
      <w:proofErr w:type="gramEnd"/>
      <w:r w:rsidRPr="00410EE7">
        <w:t xml:space="preserve"> The IT productivity paradox in health: A stakeholder’s perspective. </w:t>
      </w:r>
      <w:proofErr w:type="gramStart"/>
      <w:r w:rsidRPr="00410EE7">
        <w:rPr>
          <w:i/>
        </w:rPr>
        <w:t>International Journal of Medical Informatics</w:t>
      </w:r>
      <w:r w:rsidRPr="00410EE7">
        <w:t>.</w:t>
      </w:r>
      <w:proofErr w:type="gramEnd"/>
      <w:r w:rsidRPr="00410EE7">
        <w:t xml:space="preserve"> 80: 102–115.</w:t>
      </w:r>
      <w:r w:rsidR="0039786D" w:rsidRPr="00410EE7">
        <w:t xml:space="preserve"> </w:t>
      </w:r>
    </w:p>
    <w:p w:rsidR="00663477" w:rsidRPr="00410EE7" w:rsidRDefault="00663477" w:rsidP="00A251BC">
      <w:pPr>
        <w:autoSpaceDE w:val="0"/>
        <w:autoSpaceDN w:val="0"/>
        <w:adjustRightInd w:val="0"/>
        <w:spacing w:line="276" w:lineRule="auto"/>
        <w:ind w:left="720" w:hanging="720"/>
      </w:pPr>
      <w:proofErr w:type="spellStart"/>
      <w:r w:rsidRPr="00663477">
        <w:t>Lotherington</w:t>
      </w:r>
      <w:proofErr w:type="spellEnd"/>
      <w:r w:rsidRPr="00663477">
        <w:t xml:space="preserve">, A.T., </w:t>
      </w:r>
      <w:proofErr w:type="spellStart"/>
      <w:r w:rsidRPr="00663477">
        <w:t>Obstfelder</w:t>
      </w:r>
      <w:proofErr w:type="spellEnd"/>
      <w:r w:rsidRPr="00663477">
        <w:t xml:space="preserve">, A. 2006. Contests in virtual space: Power and resistance in electronic booking. </w:t>
      </w:r>
      <w:r w:rsidRPr="00936F54">
        <w:rPr>
          <w:i/>
        </w:rPr>
        <w:t>Conference proceeding:</w:t>
      </w:r>
      <w:r w:rsidR="00936F54">
        <w:rPr>
          <w:i/>
        </w:rPr>
        <w:t xml:space="preserve"> </w:t>
      </w:r>
      <w:r w:rsidRPr="00936F54">
        <w:rPr>
          <w:i/>
        </w:rPr>
        <w:t>The 2006 Meeting of The AA</w:t>
      </w:r>
      <w:r w:rsidR="00936F54">
        <w:rPr>
          <w:i/>
        </w:rPr>
        <w:t>G</w:t>
      </w:r>
      <w:r>
        <w:t>. Chicago.</w:t>
      </w:r>
    </w:p>
    <w:p w:rsidR="00890A6C" w:rsidRDefault="00890A6C" w:rsidP="00A251BC">
      <w:pPr>
        <w:autoSpaceDE w:val="0"/>
        <w:autoSpaceDN w:val="0"/>
        <w:adjustRightInd w:val="0"/>
        <w:spacing w:line="276" w:lineRule="auto"/>
        <w:ind w:left="720" w:hanging="720"/>
        <w:rPr>
          <w:rFonts w:eastAsia="GillSans-Italic--Identity-H"/>
          <w:iCs/>
        </w:rPr>
      </w:pPr>
      <w:r w:rsidRPr="00410EE7">
        <w:rPr>
          <w:rFonts w:eastAsia="GillSans-Italic--Identity-H"/>
          <w:iCs/>
        </w:rPr>
        <w:t>Modayil</w:t>
      </w:r>
      <w:r w:rsidR="00ED59C1" w:rsidRPr="00410EE7">
        <w:rPr>
          <w:rFonts w:eastAsia="GillSans-Italic--Identity-H"/>
          <w:iCs/>
        </w:rPr>
        <w:t>,</w:t>
      </w:r>
      <w:r w:rsidRPr="00410EE7">
        <w:rPr>
          <w:rFonts w:eastAsia="GillSans-Italic--Identity-H"/>
          <w:iCs/>
        </w:rPr>
        <w:t xml:space="preserve"> P</w:t>
      </w:r>
      <w:r w:rsidR="00ED59C1" w:rsidRPr="00410EE7">
        <w:rPr>
          <w:rFonts w:eastAsia="GillSans-Italic--Identity-H"/>
          <w:iCs/>
        </w:rPr>
        <w:t>.</w:t>
      </w:r>
      <w:r w:rsidRPr="00410EE7">
        <w:rPr>
          <w:rFonts w:eastAsia="GillSans-Italic--Identity-H"/>
          <w:iCs/>
        </w:rPr>
        <w:t>C</w:t>
      </w:r>
      <w:r w:rsidR="00ED59C1" w:rsidRPr="00410EE7">
        <w:rPr>
          <w:rFonts w:eastAsia="GillSans-Italic--Identity-H"/>
          <w:iCs/>
        </w:rPr>
        <w:t>.</w:t>
      </w:r>
      <w:r w:rsidRPr="00410EE7">
        <w:rPr>
          <w:rFonts w:eastAsia="GillSans-Italic--Identity-H"/>
          <w:iCs/>
        </w:rPr>
        <w:t>, Hornigold</w:t>
      </w:r>
      <w:r w:rsidR="00ED59C1" w:rsidRPr="00410EE7">
        <w:rPr>
          <w:rFonts w:eastAsia="GillSans-Italic--Identity-H"/>
          <w:iCs/>
        </w:rPr>
        <w:t>,</w:t>
      </w:r>
      <w:r w:rsidRPr="00410EE7">
        <w:rPr>
          <w:rFonts w:eastAsia="GillSans-Italic--Identity-H"/>
          <w:iCs/>
        </w:rPr>
        <w:t xml:space="preserve"> R</w:t>
      </w:r>
      <w:r w:rsidR="00ED59C1" w:rsidRPr="00410EE7">
        <w:rPr>
          <w:rFonts w:eastAsia="GillSans-Italic--Identity-H"/>
          <w:iCs/>
        </w:rPr>
        <w:t>.</w:t>
      </w:r>
      <w:r w:rsidRPr="00410EE7">
        <w:rPr>
          <w:rFonts w:eastAsia="GillSans-Italic--Identity-H"/>
          <w:iCs/>
        </w:rPr>
        <w:t>, Glore</w:t>
      </w:r>
      <w:r w:rsidR="00ED59C1" w:rsidRPr="00410EE7">
        <w:rPr>
          <w:rFonts w:eastAsia="GillSans-Italic--Identity-H"/>
          <w:iCs/>
        </w:rPr>
        <w:t>,</w:t>
      </w:r>
      <w:r w:rsidRPr="00410EE7">
        <w:rPr>
          <w:rFonts w:eastAsia="GillSans-Italic--Identity-H"/>
          <w:iCs/>
        </w:rPr>
        <w:t xml:space="preserve"> R</w:t>
      </w:r>
      <w:r w:rsidR="00ED59C1" w:rsidRPr="00410EE7">
        <w:rPr>
          <w:rFonts w:eastAsia="GillSans-Italic--Identity-H"/>
          <w:iCs/>
        </w:rPr>
        <w:t>.</w:t>
      </w:r>
      <w:r w:rsidRPr="00410EE7">
        <w:rPr>
          <w:rFonts w:eastAsia="GillSans-Italic--Identity-H"/>
          <w:iCs/>
        </w:rPr>
        <w:t>J</w:t>
      </w:r>
      <w:r w:rsidR="00ED59C1" w:rsidRPr="00410EE7">
        <w:rPr>
          <w:rFonts w:eastAsia="GillSans-Italic--Identity-H"/>
          <w:iCs/>
        </w:rPr>
        <w:t>.</w:t>
      </w:r>
      <w:r w:rsidR="001C5FE0" w:rsidRPr="00410EE7">
        <w:rPr>
          <w:rFonts w:eastAsia="GillSans-Italic--Identity-H"/>
          <w:iCs/>
        </w:rPr>
        <w:t>, Bowdler, D.</w:t>
      </w:r>
      <w:r w:rsidRPr="00410EE7">
        <w:rPr>
          <w:rFonts w:eastAsia="GillSans-Italic--Identity-H"/>
          <w:iCs/>
        </w:rPr>
        <w:t xml:space="preserve"> </w:t>
      </w:r>
      <w:r w:rsidR="0039786D" w:rsidRPr="00410EE7">
        <w:rPr>
          <w:rFonts w:eastAsia="GillSans-Italic--Identity-H"/>
          <w:iCs/>
        </w:rPr>
        <w:t xml:space="preserve">2009. </w:t>
      </w:r>
      <w:r w:rsidRPr="00410EE7">
        <w:rPr>
          <w:rFonts w:eastAsia="GillSans-Italic--Identity-H"/>
          <w:iCs/>
        </w:rPr>
        <w:t xml:space="preserve">Patients’ attendance at clinics is worse with ‘Choose and Book’. </w:t>
      </w:r>
      <w:r w:rsidRPr="00410EE7">
        <w:rPr>
          <w:rFonts w:eastAsia="GillSans-Italic--Identity-H"/>
          <w:i/>
          <w:iCs/>
        </w:rPr>
        <w:t>British Medical Journal</w:t>
      </w:r>
      <w:r w:rsidR="0039786D" w:rsidRPr="00410EE7">
        <w:rPr>
          <w:rFonts w:eastAsia="GillSans-Italic--Identity-H"/>
          <w:iCs/>
        </w:rPr>
        <w:t>,</w:t>
      </w:r>
      <w:r w:rsidR="001B4264" w:rsidRPr="00410EE7">
        <w:rPr>
          <w:rFonts w:eastAsia="GillSans-Italic--Identity-H"/>
          <w:iCs/>
        </w:rPr>
        <w:t xml:space="preserve"> 338-</w:t>
      </w:r>
      <w:r w:rsidRPr="00410EE7">
        <w:rPr>
          <w:rFonts w:eastAsia="GillSans-Italic--Identity-H"/>
          <w:iCs/>
        </w:rPr>
        <w:t>396.</w:t>
      </w:r>
      <w:r w:rsidR="001C5FE0" w:rsidRPr="00410EE7">
        <w:rPr>
          <w:rFonts w:eastAsia="GillSans-Italic--Identity-H"/>
          <w:iCs/>
        </w:rPr>
        <w:t xml:space="preserve"> 2 February.</w:t>
      </w:r>
    </w:p>
    <w:p w:rsidR="009F7C75" w:rsidRPr="00410EE7" w:rsidRDefault="009F7C75" w:rsidP="00A251BC">
      <w:pPr>
        <w:autoSpaceDE w:val="0"/>
        <w:autoSpaceDN w:val="0"/>
        <w:adjustRightInd w:val="0"/>
        <w:spacing w:line="276" w:lineRule="auto"/>
        <w:ind w:left="720" w:hanging="720"/>
        <w:rPr>
          <w:rFonts w:eastAsia="GillSans-Italic--Identity-H"/>
          <w:iCs/>
        </w:rPr>
      </w:pPr>
      <w:proofErr w:type="spellStart"/>
      <w:r w:rsidRPr="00BE0989">
        <w:rPr>
          <w:rFonts w:eastAsia="GillSans-Italic--Identity-H"/>
          <w:iCs/>
        </w:rPr>
        <w:lastRenderedPageBreak/>
        <w:t>Naserias</w:t>
      </w:r>
      <w:proofErr w:type="spellEnd"/>
      <w:r w:rsidRPr="00BE0989">
        <w:rPr>
          <w:rFonts w:eastAsia="GillSans-Italic--Identity-H"/>
          <w:iCs/>
        </w:rPr>
        <w:t xml:space="preserve">, M., </w:t>
      </w:r>
      <w:proofErr w:type="spellStart"/>
      <w:r w:rsidRPr="00BE0989">
        <w:rPr>
          <w:rFonts w:eastAsia="GillSans-Italic--Identity-H"/>
          <w:iCs/>
        </w:rPr>
        <w:t>Adham</w:t>
      </w:r>
      <w:proofErr w:type="spellEnd"/>
      <w:r w:rsidRPr="00BE0989">
        <w:rPr>
          <w:rFonts w:eastAsia="GillSans-Italic--Identity-H"/>
          <w:iCs/>
        </w:rPr>
        <w:t>, D.</w:t>
      </w:r>
      <w:proofErr w:type="gramStart"/>
      <w:r w:rsidRPr="00BE0989">
        <w:rPr>
          <w:rFonts w:eastAsia="GillSans-Italic--Identity-H"/>
          <w:iCs/>
        </w:rPr>
        <w:t xml:space="preserve">,  </w:t>
      </w:r>
      <w:proofErr w:type="spellStart"/>
      <w:r w:rsidRPr="00BE0989">
        <w:rPr>
          <w:rFonts w:eastAsia="GillSans-Italic--Identity-H"/>
          <w:iCs/>
        </w:rPr>
        <w:t>Janati</w:t>
      </w:r>
      <w:proofErr w:type="spellEnd"/>
      <w:proofErr w:type="gramEnd"/>
      <w:r w:rsidRPr="00BE0989">
        <w:rPr>
          <w:rFonts w:eastAsia="GillSans-Italic--Identity-H"/>
          <w:iCs/>
        </w:rPr>
        <w:t xml:space="preserve">, A. 2015. E-referral Solutions: Successful Experiences, Key Features and Challenges-a Systematic Review. </w:t>
      </w:r>
      <w:proofErr w:type="gramStart"/>
      <w:r w:rsidRPr="00BE0989">
        <w:rPr>
          <w:rFonts w:eastAsia="GillSans-Italic--Identity-H"/>
          <w:i/>
          <w:iCs/>
        </w:rPr>
        <w:t xml:space="preserve">Mater </w:t>
      </w:r>
      <w:proofErr w:type="spellStart"/>
      <w:r w:rsidRPr="00BE0989">
        <w:rPr>
          <w:rFonts w:eastAsia="GillSans-Italic--Identity-H"/>
          <w:i/>
          <w:iCs/>
        </w:rPr>
        <w:t>Sociomed</w:t>
      </w:r>
      <w:proofErr w:type="spellEnd"/>
      <w:r w:rsidRPr="00BE0989">
        <w:rPr>
          <w:rFonts w:eastAsia="GillSans-Italic--Identity-H"/>
          <w:iCs/>
        </w:rPr>
        <w:t>.</w:t>
      </w:r>
      <w:proofErr w:type="gramEnd"/>
      <w:r w:rsidRPr="00BE0989">
        <w:rPr>
          <w:rFonts w:eastAsia="GillSans-Italic--Identity-H"/>
          <w:iCs/>
        </w:rPr>
        <w:t xml:space="preserve"> 2015 Jun; 27(3): 195-199.</w:t>
      </w:r>
    </w:p>
    <w:p w:rsidR="00E234CC" w:rsidRPr="00410EE7" w:rsidRDefault="00E234CC" w:rsidP="00A251BC">
      <w:pPr>
        <w:autoSpaceDE w:val="0"/>
        <w:autoSpaceDN w:val="0"/>
        <w:adjustRightInd w:val="0"/>
        <w:spacing w:line="276" w:lineRule="auto"/>
        <w:ind w:left="720" w:hanging="720"/>
      </w:pPr>
      <w:proofErr w:type="gramStart"/>
      <w:r w:rsidRPr="00410EE7">
        <w:t>National Audit Office, 2005.</w:t>
      </w:r>
      <w:proofErr w:type="gramEnd"/>
      <w:r w:rsidRPr="00410EE7">
        <w:t xml:space="preserve">  </w:t>
      </w:r>
      <w:proofErr w:type="gramStart"/>
      <w:r w:rsidRPr="00410EE7">
        <w:rPr>
          <w:i/>
        </w:rPr>
        <w:t>Patient Choice at Point of GP Referral</w:t>
      </w:r>
      <w:r w:rsidRPr="00410EE7">
        <w:t>.</w:t>
      </w:r>
      <w:proofErr w:type="gramEnd"/>
      <w:r w:rsidRPr="00410EE7">
        <w:t xml:space="preserve">  Report by the Comptroller and Auditor General, HC 180 Session 2004/2005, 19 January.</w:t>
      </w:r>
    </w:p>
    <w:p w:rsidR="009F7C75" w:rsidRDefault="00463274" w:rsidP="00A251BC">
      <w:pPr>
        <w:autoSpaceDE w:val="0"/>
        <w:autoSpaceDN w:val="0"/>
        <w:adjustRightInd w:val="0"/>
        <w:spacing w:line="276" w:lineRule="auto"/>
        <w:ind w:left="720" w:hanging="720"/>
      </w:pPr>
      <w:proofErr w:type="gramStart"/>
      <w:r w:rsidRPr="00410EE7">
        <w:t>Nelson, E</w:t>
      </w:r>
      <w:r w:rsidR="00E234CC" w:rsidRPr="00410EE7">
        <w:t xml:space="preserve">., Maruish, </w:t>
      </w:r>
      <w:r w:rsidRPr="00410EE7">
        <w:t>M., Axler, J.</w:t>
      </w:r>
      <w:r w:rsidR="00E234CC" w:rsidRPr="00410EE7">
        <w:t xml:space="preserve"> 2000.</w:t>
      </w:r>
      <w:proofErr w:type="gramEnd"/>
      <w:r w:rsidR="00E234CC" w:rsidRPr="00410EE7">
        <w:t xml:space="preserve"> </w:t>
      </w:r>
      <w:proofErr w:type="gramStart"/>
      <w:r w:rsidR="00E234CC" w:rsidRPr="00410EE7">
        <w:t>Effects of discharge planning and compliance with outpatient appointments on readmission rates.</w:t>
      </w:r>
      <w:proofErr w:type="gramEnd"/>
      <w:r w:rsidR="00E234CC" w:rsidRPr="00410EE7">
        <w:t xml:space="preserve"> </w:t>
      </w:r>
      <w:r w:rsidR="00E234CC" w:rsidRPr="00410EE7">
        <w:rPr>
          <w:i/>
        </w:rPr>
        <w:t>Psychiatric Services</w:t>
      </w:r>
      <w:r w:rsidR="00E234CC" w:rsidRPr="00410EE7">
        <w:t xml:space="preserve">, 51 (7): 885–9. </w:t>
      </w:r>
    </w:p>
    <w:p w:rsidR="00456B76" w:rsidRPr="00410EE7" w:rsidRDefault="00CD43A6" w:rsidP="00A251BC">
      <w:pPr>
        <w:spacing w:line="276" w:lineRule="auto"/>
        <w:ind w:left="720" w:hanging="720"/>
      </w:pPr>
      <w:proofErr w:type="gramStart"/>
      <w:r w:rsidRPr="00410EE7">
        <w:rPr>
          <w:rFonts w:eastAsiaTheme="minorHAnsi"/>
        </w:rPr>
        <w:t>O'Connor</w:t>
      </w:r>
      <w:r w:rsidR="00ED59C1" w:rsidRPr="00410EE7">
        <w:rPr>
          <w:rFonts w:eastAsiaTheme="minorHAnsi"/>
        </w:rPr>
        <w:t>,</w:t>
      </w:r>
      <w:r w:rsidRPr="00410EE7">
        <w:rPr>
          <w:rFonts w:eastAsiaTheme="minorHAnsi"/>
          <w:bCs/>
        </w:rPr>
        <w:t xml:space="preserve"> A</w:t>
      </w:r>
      <w:r w:rsidR="00ED59C1" w:rsidRPr="00410EE7">
        <w:rPr>
          <w:rFonts w:eastAsiaTheme="minorHAnsi"/>
          <w:bCs/>
        </w:rPr>
        <w:t>.</w:t>
      </w:r>
      <w:r w:rsidRPr="00410EE7">
        <w:rPr>
          <w:rFonts w:eastAsiaTheme="minorHAnsi"/>
        </w:rPr>
        <w:t>, Llewellyn-Thomas</w:t>
      </w:r>
      <w:r w:rsidR="00ED59C1" w:rsidRPr="00410EE7">
        <w:rPr>
          <w:rFonts w:eastAsiaTheme="minorHAnsi"/>
        </w:rPr>
        <w:t>,</w:t>
      </w:r>
      <w:r w:rsidRPr="00410EE7">
        <w:rPr>
          <w:rFonts w:eastAsiaTheme="minorHAnsi"/>
          <w:bCs/>
        </w:rPr>
        <w:t xml:space="preserve"> H</w:t>
      </w:r>
      <w:r w:rsidR="00ED59C1" w:rsidRPr="00410EE7">
        <w:rPr>
          <w:rFonts w:eastAsiaTheme="minorHAnsi"/>
          <w:bCs/>
        </w:rPr>
        <w:t>.</w:t>
      </w:r>
      <w:r w:rsidR="00463274" w:rsidRPr="00410EE7">
        <w:rPr>
          <w:rFonts w:eastAsiaTheme="minorHAnsi"/>
          <w:bCs/>
        </w:rPr>
        <w:t xml:space="preserve">, </w:t>
      </w:r>
      <w:r w:rsidRPr="00410EE7">
        <w:rPr>
          <w:rFonts w:eastAsiaTheme="minorHAnsi"/>
        </w:rPr>
        <w:t>Flood</w:t>
      </w:r>
      <w:r w:rsidR="00463274" w:rsidRPr="00410EE7">
        <w:rPr>
          <w:rFonts w:eastAsiaTheme="minorHAnsi"/>
        </w:rPr>
        <w:t>,</w:t>
      </w:r>
      <w:r w:rsidRPr="00410EE7">
        <w:rPr>
          <w:rFonts w:eastAsiaTheme="minorHAnsi"/>
          <w:bCs/>
        </w:rPr>
        <w:t xml:space="preserve"> A</w:t>
      </w:r>
      <w:r w:rsidR="00463274" w:rsidRPr="00410EE7">
        <w:rPr>
          <w:rFonts w:eastAsiaTheme="minorHAnsi"/>
          <w:bCs/>
        </w:rPr>
        <w:t>.</w:t>
      </w:r>
      <w:r w:rsidRPr="00410EE7">
        <w:rPr>
          <w:rFonts w:eastAsiaTheme="minorHAnsi"/>
          <w:bCs/>
        </w:rPr>
        <w:t xml:space="preserve"> 2004.</w:t>
      </w:r>
      <w:proofErr w:type="gramEnd"/>
      <w:r w:rsidRPr="00410EE7">
        <w:rPr>
          <w:rFonts w:eastAsiaTheme="minorHAnsi"/>
          <w:bCs/>
        </w:rPr>
        <w:t xml:space="preserve">  </w:t>
      </w:r>
      <w:r w:rsidRPr="00410EE7">
        <w:rPr>
          <w:rFonts w:eastAsiaTheme="minorHAnsi"/>
        </w:rPr>
        <w:t>M</w:t>
      </w:r>
      <w:r w:rsidR="001B4264" w:rsidRPr="00410EE7">
        <w:rPr>
          <w:rFonts w:eastAsiaTheme="minorHAnsi"/>
        </w:rPr>
        <w:t>odifying unwarranted variations in health care: shared decision making u</w:t>
      </w:r>
      <w:r w:rsidRPr="00410EE7">
        <w:rPr>
          <w:rFonts w:eastAsiaTheme="minorHAnsi"/>
        </w:rPr>
        <w:t>sing</w:t>
      </w:r>
      <w:r w:rsidRPr="00410EE7">
        <w:rPr>
          <w:rFonts w:eastAsiaTheme="minorHAnsi"/>
          <w:bCs/>
        </w:rPr>
        <w:t xml:space="preserve"> </w:t>
      </w:r>
      <w:r w:rsidR="001B4264" w:rsidRPr="00410EE7">
        <w:rPr>
          <w:rFonts w:eastAsiaTheme="minorHAnsi"/>
        </w:rPr>
        <w:t>patient decision a</w:t>
      </w:r>
      <w:r w:rsidRPr="00410EE7">
        <w:rPr>
          <w:rFonts w:eastAsiaTheme="minorHAnsi"/>
        </w:rPr>
        <w:t>ids</w:t>
      </w:r>
      <w:r w:rsidRPr="00410EE7">
        <w:rPr>
          <w:rFonts w:eastAsiaTheme="minorHAnsi"/>
          <w:bCs/>
        </w:rPr>
        <w:t xml:space="preserve">. </w:t>
      </w:r>
      <w:r w:rsidRPr="00410EE7">
        <w:rPr>
          <w:rFonts w:eastAsiaTheme="minorHAnsi"/>
          <w:bCs/>
          <w:i/>
        </w:rPr>
        <w:t>Health Affairs</w:t>
      </w:r>
      <w:r w:rsidRPr="00410EE7">
        <w:rPr>
          <w:rFonts w:eastAsiaTheme="minorHAnsi"/>
          <w:bCs/>
        </w:rPr>
        <w:t xml:space="preserve">, </w:t>
      </w:r>
      <w:r w:rsidRPr="00410EE7">
        <w:t>doi: 10.1377/hlthaff.var.63.</w:t>
      </w:r>
    </w:p>
    <w:p w:rsidR="00456B76" w:rsidRPr="00410EE7" w:rsidRDefault="00456B76" w:rsidP="00A251BC">
      <w:pPr>
        <w:spacing w:line="276" w:lineRule="auto"/>
        <w:ind w:left="720" w:hanging="720"/>
        <w:rPr>
          <w:rFonts w:eastAsia="GillSans-Italic--Identity-H"/>
          <w:iCs/>
        </w:rPr>
      </w:pPr>
      <w:r w:rsidRPr="00410EE7">
        <w:rPr>
          <w:rFonts w:eastAsia="GillSans-Italic--Identity-H"/>
          <w:iCs/>
        </w:rPr>
        <w:t>Parmar</w:t>
      </w:r>
      <w:r w:rsidR="00ED59C1" w:rsidRPr="00410EE7">
        <w:rPr>
          <w:rFonts w:eastAsia="GillSans-Italic--Identity-H"/>
          <w:iCs/>
        </w:rPr>
        <w:t>,</w:t>
      </w:r>
      <w:r w:rsidRPr="00410EE7">
        <w:rPr>
          <w:rFonts w:eastAsia="GillSans-Italic--Identity-H"/>
          <w:iCs/>
        </w:rPr>
        <w:t xml:space="preserve"> V</w:t>
      </w:r>
      <w:r w:rsidR="00ED59C1" w:rsidRPr="00410EE7">
        <w:rPr>
          <w:rFonts w:eastAsia="GillSans-Italic--Identity-H"/>
          <w:iCs/>
        </w:rPr>
        <w:t>.</w:t>
      </w:r>
      <w:r w:rsidRPr="00410EE7">
        <w:rPr>
          <w:rFonts w:eastAsia="GillSans-Italic--Identity-H"/>
          <w:iCs/>
        </w:rPr>
        <w:t>, Large</w:t>
      </w:r>
      <w:r w:rsidR="00ED59C1" w:rsidRPr="00410EE7">
        <w:rPr>
          <w:rFonts w:eastAsia="GillSans-Italic--Identity-H"/>
          <w:iCs/>
        </w:rPr>
        <w:t>,</w:t>
      </w:r>
      <w:r w:rsidRPr="00410EE7">
        <w:rPr>
          <w:rFonts w:eastAsia="GillSans-Italic--Identity-H"/>
          <w:iCs/>
        </w:rPr>
        <w:t xml:space="preserve"> A</w:t>
      </w:r>
      <w:r w:rsidR="00ED59C1" w:rsidRPr="00410EE7">
        <w:rPr>
          <w:rFonts w:eastAsia="GillSans-Italic--Identity-H"/>
          <w:iCs/>
        </w:rPr>
        <w:t>.</w:t>
      </w:r>
      <w:r w:rsidRPr="00410EE7">
        <w:rPr>
          <w:rFonts w:eastAsia="GillSans-Italic--Identity-H"/>
          <w:iCs/>
        </w:rPr>
        <w:t>, Madden</w:t>
      </w:r>
      <w:r w:rsidR="00ED59C1" w:rsidRPr="00410EE7">
        <w:rPr>
          <w:rFonts w:eastAsia="GillSans-Italic--Identity-H"/>
          <w:iCs/>
        </w:rPr>
        <w:t>,</w:t>
      </w:r>
      <w:r w:rsidRPr="00410EE7">
        <w:rPr>
          <w:rFonts w:eastAsia="GillSans-Italic--Identity-H"/>
          <w:iCs/>
        </w:rPr>
        <w:t xml:space="preserve"> C</w:t>
      </w:r>
      <w:r w:rsidR="00ED59C1" w:rsidRPr="00410EE7">
        <w:rPr>
          <w:rFonts w:eastAsia="GillSans-Italic--Identity-H"/>
          <w:iCs/>
        </w:rPr>
        <w:t>.</w:t>
      </w:r>
      <w:r w:rsidRPr="00410EE7">
        <w:rPr>
          <w:rFonts w:eastAsia="GillSans-Italic--Identity-H"/>
          <w:iCs/>
        </w:rPr>
        <w:t>, Das</w:t>
      </w:r>
      <w:r w:rsidR="00ED59C1" w:rsidRPr="00410EE7">
        <w:rPr>
          <w:rFonts w:eastAsia="GillSans-Italic--Identity-H"/>
          <w:iCs/>
        </w:rPr>
        <w:t>,</w:t>
      </w:r>
      <w:r w:rsidRPr="00410EE7">
        <w:rPr>
          <w:rFonts w:eastAsia="GillSans-Italic--Identity-H"/>
          <w:iCs/>
        </w:rPr>
        <w:t xml:space="preserve"> V. 2009. The online outpatient booking system ‘Choose and Book’ improves attendance rates at an audiology clinic: a comparative audit. </w:t>
      </w:r>
      <w:r w:rsidRPr="00410EE7">
        <w:rPr>
          <w:rFonts w:eastAsia="GillSans-Italic--Identity-H"/>
          <w:i/>
          <w:iCs/>
        </w:rPr>
        <w:t>Informatics in Primary Care</w:t>
      </w:r>
      <w:r w:rsidR="001B4264" w:rsidRPr="00410EE7">
        <w:rPr>
          <w:rFonts w:eastAsia="GillSans-Italic--Identity-H"/>
          <w:iCs/>
        </w:rPr>
        <w:t xml:space="preserve">, </w:t>
      </w:r>
      <w:r w:rsidR="00253212" w:rsidRPr="00410EE7">
        <w:rPr>
          <w:rFonts w:eastAsia="GillSans-Italic--Identity-H"/>
          <w:iCs/>
        </w:rPr>
        <w:t>17:183-18</w:t>
      </w:r>
      <w:r w:rsidRPr="00410EE7">
        <w:rPr>
          <w:rFonts w:eastAsia="GillSans-Italic--Identity-H"/>
          <w:iCs/>
        </w:rPr>
        <w:t xml:space="preserve">6. </w:t>
      </w:r>
    </w:p>
    <w:p w:rsidR="000E2E40" w:rsidRPr="00410EE7" w:rsidRDefault="000E2E40" w:rsidP="00A251BC">
      <w:pPr>
        <w:spacing w:line="276" w:lineRule="auto"/>
        <w:ind w:left="720" w:hanging="720"/>
        <w:rPr>
          <w:rFonts w:eastAsia="GillSans-Italic--Identity-H"/>
          <w:iCs/>
        </w:rPr>
      </w:pPr>
      <w:proofErr w:type="gramStart"/>
      <w:r w:rsidRPr="00410EE7">
        <w:rPr>
          <w:rFonts w:eastAsia="GillSans-Italic--Identity-H"/>
          <w:iCs/>
        </w:rPr>
        <w:t>Ranerup, A. 2008.</w:t>
      </w:r>
      <w:proofErr w:type="gramEnd"/>
      <w:r w:rsidRPr="00410EE7">
        <w:rPr>
          <w:rFonts w:eastAsia="GillSans-Italic--Identity-H"/>
          <w:iCs/>
        </w:rPr>
        <w:t xml:space="preserve">  </w:t>
      </w:r>
      <w:proofErr w:type="gramStart"/>
      <w:r w:rsidRPr="00410EE7">
        <w:rPr>
          <w:rFonts w:eastAsia="GillSans-Italic--Identity-H"/>
          <w:iCs/>
        </w:rPr>
        <w:t>Constructing Consumers in Healthcare: A Comparative Study of National Public Portals in Scandinavia and the UK.</w:t>
      </w:r>
      <w:proofErr w:type="gramEnd"/>
      <w:r w:rsidRPr="00410EE7">
        <w:rPr>
          <w:rFonts w:eastAsia="GillSans-Italic--Identity-H"/>
          <w:iCs/>
        </w:rPr>
        <w:t xml:space="preserve"> </w:t>
      </w:r>
      <w:proofErr w:type="gramStart"/>
      <w:r w:rsidRPr="00410EE7">
        <w:rPr>
          <w:rFonts w:eastAsia="GillSans-Italic--Identity-H"/>
          <w:iCs/>
        </w:rPr>
        <w:t>ECIS 2008 Proceedings.</w:t>
      </w:r>
      <w:proofErr w:type="gramEnd"/>
      <w:r w:rsidRPr="00410EE7">
        <w:rPr>
          <w:rFonts w:eastAsia="GillSans-Italic--Identity-H"/>
          <w:iCs/>
        </w:rPr>
        <w:t xml:space="preserve"> </w:t>
      </w:r>
      <w:proofErr w:type="gramStart"/>
      <w:r w:rsidRPr="00410EE7">
        <w:rPr>
          <w:rFonts w:eastAsia="GillSans-Italic--Identity-H"/>
          <w:iCs/>
        </w:rPr>
        <w:t>Paper 214.</w:t>
      </w:r>
      <w:proofErr w:type="gramEnd"/>
      <w:r w:rsidRPr="00410EE7">
        <w:rPr>
          <w:rFonts w:eastAsia="GillSans-Italic--Identity-H"/>
          <w:iCs/>
        </w:rPr>
        <w:t xml:space="preserve"> http://aisel.aisnet.org/ecis2008/214</w:t>
      </w:r>
    </w:p>
    <w:p w:rsidR="00E90F1B" w:rsidRPr="00410EE7" w:rsidRDefault="00E90F1B" w:rsidP="00A251BC">
      <w:pPr>
        <w:spacing w:line="276" w:lineRule="auto"/>
        <w:ind w:left="720" w:hanging="720"/>
        <w:rPr>
          <w:rFonts w:eastAsia="GillSans-Italic--Identity-H"/>
          <w:iCs/>
        </w:rPr>
      </w:pPr>
      <w:r w:rsidRPr="00410EE7">
        <w:rPr>
          <w:rFonts w:eastAsia="GillSans-Italic--Identity-H"/>
          <w:iCs/>
        </w:rPr>
        <w:t xml:space="preserve">Roland, M. 2004. Linking physicians’ pay to the quality of care </w:t>
      </w:r>
      <w:r w:rsidRPr="00410EE7">
        <w:rPr>
          <w:rFonts w:eastAsia="GillSans-Italic--Identity-H"/>
          <w:iCs/>
        </w:rPr>
        <w:sym w:font="Symbol" w:char="F02D"/>
      </w:r>
      <w:r w:rsidRPr="00410EE7">
        <w:rPr>
          <w:rFonts w:eastAsia="GillSans-Italic--Identity-H"/>
          <w:iCs/>
        </w:rPr>
        <w:t xml:space="preserve"> a major experiment in the United </w:t>
      </w:r>
      <w:proofErr w:type="gramStart"/>
      <w:r w:rsidRPr="00410EE7">
        <w:rPr>
          <w:rFonts w:eastAsia="GillSans-Italic--Identity-H"/>
          <w:iCs/>
        </w:rPr>
        <w:t>kingdom</w:t>
      </w:r>
      <w:proofErr w:type="gramEnd"/>
      <w:r w:rsidRPr="00410EE7">
        <w:rPr>
          <w:rFonts w:eastAsia="GillSans-Italic--Identity-H"/>
          <w:iCs/>
        </w:rPr>
        <w:t xml:space="preserve">. </w:t>
      </w:r>
      <w:r w:rsidRPr="00410EE7">
        <w:rPr>
          <w:rFonts w:eastAsia="GillSans-Italic--Identity-H"/>
          <w:i/>
          <w:iCs/>
        </w:rPr>
        <w:t>New England Journal of Medicine</w:t>
      </w:r>
      <w:r w:rsidRPr="00410EE7">
        <w:rPr>
          <w:rFonts w:eastAsia="GillSans-Italic--Identity-H"/>
          <w:iCs/>
        </w:rPr>
        <w:t>, 351(14), 1448-1454.</w:t>
      </w:r>
    </w:p>
    <w:p w:rsidR="0039786D" w:rsidRPr="00410EE7" w:rsidRDefault="0039786D" w:rsidP="00A251BC">
      <w:pPr>
        <w:autoSpaceDE w:val="0"/>
        <w:autoSpaceDN w:val="0"/>
        <w:adjustRightInd w:val="0"/>
        <w:spacing w:line="276" w:lineRule="auto"/>
        <w:ind w:left="720" w:hanging="720"/>
      </w:pPr>
      <w:proofErr w:type="gramStart"/>
      <w:r w:rsidRPr="00410EE7">
        <w:t>Schectman, J. M., J. B. Schorling, and J. D. Voss.</w:t>
      </w:r>
      <w:proofErr w:type="gramEnd"/>
      <w:r w:rsidRPr="00410EE7">
        <w:t xml:space="preserve"> 2008. Appointment adherence and disparities in outcomes among patients with diabetes. </w:t>
      </w:r>
      <w:r w:rsidRPr="00410EE7">
        <w:rPr>
          <w:i/>
        </w:rPr>
        <w:t>Journal of General Internal Medicine</w:t>
      </w:r>
      <w:r w:rsidR="00253212" w:rsidRPr="00410EE7">
        <w:t xml:space="preserve"> 23 (10): 1685-1687</w:t>
      </w:r>
    </w:p>
    <w:p w:rsidR="00E33A76" w:rsidRPr="00410EE7" w:rsidRDefault="009F61E3" w:rsidP="00A251BC">
      <w:pPr>
        <w:pStyle w:val="EndnoteText"/>
        <w:spacing w:line="276" w:lineRule="auto"/>
        <w:ind w:left="720" w:hanging="720"/>
        <w:rPr>
          <w:sz w:val="24"/>
        </w:rPr>
      </w:pPr>
      <w:proofErr w:type="gramStart"/>
      <w:r w:rsidRPr="00410EE7">
        <w:rPr>
          <w:sz w:val="24"/>
        </w:rPr>
        <w:t>Sharp</w:t>
      </w:r>
      <w:r w:rsidR="001B4264" w:rsidRPr="00410EE7">
        <w:rPr>
          <w:sz w:val="24"/>
        </w:rPr>
        <w:t>,</w:t>
      </w:r>
      <w:r w:rsidRPr="00410EE7">
        <w:rPr>
          <w:sz w:val="24"/>
        </w:rPr>
        <w:t xml:space="preserve"> D</w:t>
      </w:r>
      <w:r w:rsidR="001B4264" w:rsidRPr="00410EE7">
        <w:rPr>
          <w:sz w:val="24"/>
        </w:rPr>
        <w:t>.,</w:t>
      </w:r>
      <w:r w:rsidRPr="00410EE7">
        <w:rPr>
          <w:sz w:val="24"/>
        </w:rPr>
        <w:t xml:space="preserve"> Hamilton</w:t>
      </w:r>
      <w:r w:rsidR="001B4264" w:rsidRPr="00410EE7">
        <w:rPr>
          <w:sz w:val="24"/>
        </w:rPr>
        <w:t>,</w:t>
      </w:r>
      <w:r w:rsidRPr="00410EE7">
        <w:rPr>
          <w:sz w:val="24"/>
        </w:rPr>
        <w:t xml:space="preserve"> W</w:t>
      </w:r>
      <w:r w:rsidR="001B4264" w:rsidRPr="00410EE7">
        <w:rPr>
          <w:sz w:val="24"/>
        </w:rPr>
        <w:t>.</w:t>
      </w:r>
      <w:r w:rsidRPr="00410EE7">
        <w:rPr>
          <w:sz w:val="24"/>
        </w:rPr>
        <w:t xml:space="preserve"> </w:t>
      </w:r>
      <w:r w:rsidRPr="00410EE7">
        <w:rPr>
          <w:iCs/>
          <w:sz w:val="24"/>
        </w:rPr>
        <w:t>2</w:t>
      </w:r>
      <w:r w:rsidR="001B4264" w:rsidRPr="00410EE7">
        <w:rPr>
          <w:iCs/>
          <w:sz w:val="24"/>
        </w:rPr>
        <w:t>001</w:t>
      </w:r>
      <w:r w:rsidRPr="00410EE7">
        <w:rPr>
          <w:iCs/>
          <w:sz w:val="24"/>
        </w:rPr>
        <w:t xml:space="preserve"> </w:t>
      </w:r>
      <w:r w:rsidRPr="00410EE7">
        <w:rPr>
          <w:sz w:val="24"/>
        </w:rPr>
        <w:t xml:space="preserve">Non-attendance at general practices and outpatient clinics </w:t>
      </w:r>
      <w:r w:rsidRPr="00410EE7">
        <w:rPr>
          <w:i/>
          <w:sz w:val="24"/>
        </w:rPr>
        <w:t>B</w:t>
      </w:r>
      <w:r w:rsidR="001B4264" w:rsidRPr="00410EE7">
        <w:rPr>
          <w:i/>
          <w:sz w:val="24"/>
        </w:rPr>
        <w:t>ritish Medical Journal</w:t>
      </w:r>
      <w:r w:rsidR="001B4264" w:rsidRPr="00410EE7">
        <w:rPr>
          <w:sz w:val="24"/>
        </w:rPr>
        <w:t xml:space="preserve">, </w:t>
      </w:r>
      <w:r w:rsidRPr="00410EE7">
        <w:rPr>
          <w:bCs/>
          <w:sz w:val="24"/>
        </w:rPr>
        <w:t>323</w:t>
      </w:r>
      <w:r w:rsidR="001B4264" w:rsidRPr="00410EE7">
        <w:rPr>
          <w:bCs/>
          <w:sz w:val="24"/>
        </w:rPr>
        <w:t>;</w:t>
      </w:r>
      <w:r w:rsidR="001B4264" w:rsidRPr="00410EE7">
        <w:rPr>
          <w:sz w:val="24"/>
        </w:rPr>
        <w:t xml:space="preserve"> </w:t>
      </w:r>
      <w:r w:rsidRPr="00410EE7">
        <w:rPr>
          <w:sz w:val="24"/>
        </w:rPr>
        <w:t>1081 -1082.</w:t>
      </w:r>
      <w:proofErr w:type="gramEnd"/>
    </w:p>
    <w:p w:rsidR="00A7719D" w:rsidRPr="00410EE7" w:rsidRDefault="00A7719D" w:rsidP="00A251BC">
      <w:pPr>
        <w:pStyle w:val="EndnoteText"/>
        <w:spacing w:line="276" w:lineRule="auto"/>
        <w:ind w:left="720" w:hanging="720"/>
        <w:rPr>
          <w:sz w:val="24"/>
        </w:rPr>
      </w:pPr>
      <w:proofErr w:type="spellStart"/>
      <w:proofErr w:type="gramStart"/>
      <w:r w:rsidRPr="00BE0989">
        <w:rPr>
          <w:sz w:val="24"/>
        </w:rPr>
        <w:t>Terza</w:t>
      </w:r>
      <w:proofErr w:type="spellEnd"/>
      <w:r w:rsidRPr="00BE0989">
        <w:rPr>
          <w:sz w:val="24"/>
        </w:rPr>
        <w:t xml:space="preserve">, J.V., </w:t>
      </w:r>
      <w:proofErr w:type="spellStart"/>
      <w:r w:rsidRPr="00BE0989">
        <w:rPr>
          <w:sz w:val="24"/>
        </w:rPr>
        <w:t>Basu</w:t>
      </w:r>
      <w:proofErr w:type="spellEnd"/>
      <w:r w:rsidRPr="00BE0989">
        <w:rPr>
          <w:sz w:val="24"/>
        </w:rPr>
        <w:t xml:space="preserve">, A., </w:t>
      </w:r>
      <w:proofErr w:type="spellStart"/>
      <w:r w:rsidRPr="00BE0989">
        <w:rPr>
          <w:sz w:val="24"/>
        </w:rPr>
        <w:t>Rathouz</w:t>
      </w:r>
      <w:proofErr w:type="spellEnd"/>
      <w:r w:rsidRPr="00BE0989">
        <w:rPr>
          <w:sz w:val="24"/>
        </w:rPr>
        <w:t>, P.J. 2008.</w:t>
      </w:r>
      <w:proofErr w:type="gramEnd"/>
      <w:r w:rsidRPr="00BE0989">
        <w:rPr>
          <w:sz w:val="24"/>
        </w:rPr>
        <w:t xml:space="preserve"> Two-stage residual inclusion estimation: Addressing endogeneity in health econometric modelling. </w:t>
      </w:r>
      <w:r w:rsidRPr="00BE0989">
        <w:rPr>
          <w:i/>
          <w:sz w:val="24"/>
        </w:rPr>
        <w:t>Journal of Health Economics</w:t>
      </w:r>
      <w:r w:rsidRPr="00BE0989">
        <w:rPr>
          <w:sz w:val="24"/>
        </w:rPr>
        <w:t xml:space="preserve"> 27, 531–543.</w:t>
      </w:r>
    </w:p>
    <w:p w:rsidR="00A7719D" w:rsidRPr="00410EE7" w:rsidRDefault="00ED59C1" w:rsidP="00256E74">
      <w:pPr>
        <w:pStyle w:val="EndnoteText"/>
        <w:spacing w:line="276" w:lineRule="auto"/>
        <w:ind w:left="720" w:hanging="720"/>
      </w:pPr>
      <w:proofErr w:type="gramStart"/>
      <w:r w:rsidRPr="00410EE7">
        <w:rPr>
          <w:sz w:val="24"/>
        </w:rPr>
        <w:t>Watt, W. 2015.</w:t>
      </w:r>
      <w:proofErr w:type="gramEnd"/>
      <w:r w:rsidRPr="00410EE7">
        <w:rPr>
          <w:sz w:val="24"/>
        </w:rPr>
        <w:t xml:space="preserve"> Patients could be charged for missed NHS appointments, says Jeremy Hunt</w:t>
      </w:r>
      <w:r w:rsidR="002A62A4">
        <w:rPr>
          <w:i/>
          <w:sz w:val="24"/>
        </w:rPr>
        <w:t xml:space="preserve">. </w:t>
      </w:r>
      <w:proofErr w:type="gramStart"/>
      <w:r w:rsidR="002A62A4">
        <w:rPr>
          <w:i/>
          <w:sz w:val="24"/>
        </w:rPr>
        <w:t>The G</w:t>
      </w:r>
      <w:r w:rsidRPr="00410EE7">
        <w:rPr>
          <w:i/>
          <w:sz w:val="24"/>
        </w:rPr>
        <w:t>u</w:t>
      </w:r>
      <w:r w:rsidR="002A62A4">
        <w:rPr>
          <w:i/>
          <w:sz w:val="24"/>
        </w:rPr>
        <w:t>a</w:t>
      </w:r>
      <w:r w:rsidRPr="00410EE7">
        <w:rPr>
          <w:i/>
          <w:sz w:val="24"/>
        </w:rPr>
        <w:t>rdian.</w:t>
      </w:r>
      <w:proofErr w:type="gramEnd"/>
      <w:r w:rsidRPr="00410EE7">
        <w:rPr>
          <w:i/>
          <w:sz w:val="24"/>
        </w:rPr>
        <w:t xml:space="preserve"> </w:t>
      </w:r>
      <w:r w:rsidRPr="00410EE7">
        <w:rPr>
          <w:sz w:val="24"/>
        </w:rPr>
        <w:t>http://www.theguardian.com/society/2015/jul/03/patients-charged-missed-nhs-appointments-jeremy-hunt</w:t>
      </w:r>
      <w:r w:rsidR="002A62A4">
        <w:rPr>
          <w:sz w:val="24"/>
        </w:rPr>
        <w:t>.  Last accessed 17 August 2015.</w:t>
      </w:r>
      <w:r w:rsidR="00A7719D">
        <w:rPr>
          <w:sz w:val="24"/>
        </w:rPr>
        <w:t xml:space="preserve"> </w:t>
      </w:r>
    </w:p>
    <w:p w:rsidR="007B5E02" w:rsidRPr="00410EE7" w:rsidRDefault="007B5E02" w:rsidP="00EC0B85">
      <w:pPr>
        <w:spacing w:line="240" w:lineRule="auto"/>
        <w:jc w:val="left"/>
      </w:pPr>
      <w:r w:rsidRPr="00410EE7">
        <w:br w:type="page"/>
      </w:r>
    </w:p>
    <w:p w:rsidR="007A5755" w:rsidRPr="00410EE7" w:rsidRDefault="006724C0" w:rsidP="009D5894">
      <w:pPr>
        <w:spacing w:line="240" w:lineRule="auto"/>
        <w:rPr>
          <w:b/>
        </w:rPr>
      </w:pPr>
      <w:r>
        <w:rPr>
          <w:b/>
        </w:rPr>
        <w:lastRenderedPageBreak/>
        <w:t>Figure 1</w:t>
      </w:r>
      <w:r w:rsidR="007A5755" w:rsidRPr="00410EE7">
        <w:rPr>
          <w:b/>
        </w:rPr>
        <w:t xml:space="preserve">: </w:t>
      </w:r>
      <w:r w:rsidR="009D5894" w:rsidRPr="00410EE7">
        <w:rPr>
          <w:b/>
        </w:rPr>
        <w:t>D</w:t>
      </w:r>
      <w:r w:rsidR="007A5755" w:rsidRPr="00410EE7">
        <w:rPr>
          <w:b/>
        </w:rPr>
        <w:t>istribution of GP practice Choose and Book utilisation rates for first outpatient referrals in 2009</w:t>
      </w:r>
    </w:p>
    <w:p w:rsidR="007A5755" w:rsidRPr="00410EE7" w:rsidRDefault="000B0D08" w:rsidP="009D5894">
      <w:pPr>
        <w:spacing w:line="240" w:lineRule="auto"/>
      </w:pPr>
      <w:r w:rsidRPr="00410EE7">
        <w:rPr>
          <w:noProof/>
          <w:lang w:eastAsia="en-GB"/>
        </w:rPr>
        <w:drawing>
          <wp:inline distT="0" distB="0" distL="0" distR="0">
            <wp:extent cx="5731510" cy="4168140"/>
            <wp:effectExtent l="19050" t="0" r="2540" b="0"/>
            <wp:docPr id="10" name="Picture 9" descr="dnacab-graph10-cabrate-hist-2009.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acab-graph10-cabrate-hist-2009.wmf"/>
                    <pic:cNvPicPr/>
                  </pic:nvPicPr>
                  <pic:blipFill>
                    <a:blip r:embed="rId16" cstate="print"/>
                    <a:stretch>
                      <a:fillRect/>
                    </a:stretch>
                  </pic:blipFill>
                  <pic:spPr>
                    <a:xfrm>
                      <a:off x="0" y="0"/>
                      <a:ext cx="5731510" cy="4168140"/>
                    </a:xfrm>
                    <a:prstGeom prst="rect">
                      <a:avLst/>
                    </a:prstGeom>
                  </pic:spPr>
                </pic:pic>
              </a:graphicData>
            </a:graphic>
          </wp:inline>
        </w:drawing>
      </w:r>
    </w:p>
    <w:p w:rsidR="004A2155" w:rsidRPr="00410EE7" w:rsidRDefault="004A2155" w:rsidP="009D5894">
      <w:pPr>
        <w:spacing w:line="240" w:lineRule="auto"/>
        <w:rPr>
          <w:b/>
        </w:rPr>
      </w:pPr>
    </w:p>
    <w:p w:rsidR="00086103" w:rsidRPr="00410EE7" w:rsidRDefault="00086103" w:rsidP="009D5894">
      <w:pPr>
        <w:spacing w:line="240" w:lineRule="auto"/>
        <w:jc w:val="left"/>
        <w:rPr>
          <w:b/>
        </w:rPr>
      </w:pPr>
      <w:r w:rsidRPr="00410EE7">
        <w:rPr>
          <w:b/>
        </w:rPr>
        <w:br w:type="page"/>
      </w:r>
    </w:p>
    <w:p w:rsidR="00086103" w:rsidRPr="00410EE7" w:rsidRDefault="006724C0" w:rsidP="009D5894">
      <w:pPr>
        <w:spacing w:line="240" w:lineRule="auto"/>
        <w:rPr>
          <w:b/>
        </w:rPr>
      </w:pPr>
      <w:r>
        <w:rPr>
          <w:b/>
        </w:rPr>
        <w:lastRenderedPageBreak/>
        <w:t>Figure 2</w:t>
      </w:r>
      <w:r w:rsidR="007A5755" w:rsidRPr="00410EE7">
        <w:rPr>
          <w:b/>
        </w:rPr>
        <w:t xml:space="preserve">: Frequency distribution of GP practice </w:t>
      </w:r>
      <w:r w:rsidR="00086103" w:rsidRPr="00410EE7">
        <w:rPr>
          <w:b/>
        </w:rPr>
        <w:t>non-</w:t>
      </w:r>
      <w:r w:rsidR="007A5755" w:rsidRPr="00410EE7">
        <w:rPr>
          <w:b/>
        </w:rPr>
        <w:t>attendance rates for first scheduled outpatient appointments in 2009</w:t>
      </w:r>
      <w:r w:rsidR="00086103" w:rsidRPr="00410EE7">
        <w:rPr>
          <w:b/>
        </w:rPr>
        <w:t>.</w:t>
      </w:r>
    </w:p>
    <w:p w:rsidR="00086103" w:rsidRPr="00410EE7" w:rsidRDefault="00086103" w:rsidP="009D5894">
      <w:pPr>
        <w:spacing w:line="240" w:lineRule="auto"/>
      </w:pPr>
    </w:p>
    <w:p w:rsidR="009D5894" w:rsidRPr="00410EE7" w:rsidRDefault="00827303" w:rsidP="009D5894">
      <w:pPr>
        <w:spacing w:line="240" w:lineRule="auto"/>
      </w:pPr>
      <w:r w:rsidRPr="00410EE7">
        <w:rPr>
          <w:noProof/>
          <w:lang w:eastAsia="en-GB"/>
        </w:rPr>
        <w:drawing>
          <wp:inline distT="0" distB="0" distL="0" distR="0">
            <wp:extent cx="5731510" cy="4168140"/>
            <wp:effectExtent l="19050" t="0" r="2540" b="0"/>
            <wp:docPr id="9" name="Picture 8" descr="dnacab-dnarate-2009.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acab-dnarate-2009.wmf"/>
                    <pic:cNvPicPr/>
                  </pic:nvPicPr>
                  <pic:blipFill>
                    <a:blip r:embed="rId17" cstate="print"/>
                    <a:stretch>
                      <a:fillRect/>
                    </a:stretch>
                  </pic:blipFill>
                  <pic:spPr>
                    <a:xfrm>
                      <a:off x="0" y="0"/>
                      <a:ext cx="5731510" cy="4168140"/>
                    </a:xfrm>
                    <a:prstGeom prst="rect">
                      <a:avLst/>
                    </a:prstGeom>
                  </pic:spPr>
                </pic:pic>
              </a:graphicData>
            </a:graphic>
          </wp:inline>
        </w:drawing>
      </w:r>
    </w:p>
    <w:p w:rsidR="00086103" w:rsidRPr="00410EE7" w:rsidRDefault="00086103" w:rsidP="009D5894">
      <w:pPr>
        <w:spacing w:line="240" w:lineRule="auto"/>
        <w:rPr>
          <w:sz w:val="20"/>
          <w:szCs w:val="20"/>
        </w:rPr>
      </w:pPr>
      <w:proofErr w:type="gramStart"/>
      <w:r w:rsidRPr="00410EE7">
        <w:rPr>
          <w:i/>
          <w:sz w:val="20"/>
          <w:szCs w:val="20"/>
        </w:rPr>
        <w:t>Notes</w:t>
      </w:r>
      <w:r w:rsidRPr="00410EE7">
        <w:rPr>
          <w:sz w:val="20"/>
          <w:szCs w:val="20"/>
        </w:rPr>
        <w:t>.</w:t>
      </w:r>
      <w:proofErr w:type="gramEnd"/>
      <w:r w:rsidRPr="00410EE7">
        <w:rPr>
          <w:sz w:val="20"/>
          <w:szCs w:val="20"/>
        </w:rPr>
        <w:t xml:space="preserve"> Denominator for non-attendance rate is total referrals minus hospital cancellations. </w:t>
      </w:r>
    </w:p>
    <w:p w:rsidR="00086103" w:rsidRPr="00410EE7" w:rsidRDefault="00086103" w:rsidP="009D5894">
      <w:pPr>
        <w:spacing w:line="240" w:lineRule="auto"/>
      </w:pPr>
    </w:p>
    <w:p w:rsidR="007A5755" w:rsidRPr="00410EE7" w:rsidRDefault="00086103" w:rsidP="009D5894">
      <w:pPr>
        <w:spacing w:line="240" w:lineRule="auto"/>
      </w:pPr>
      <w:r w:rsidRPr="00410EE7">
        <w:rPr>
          <w:noProof/>
          <w:lang w:val="en-US" w:eastAsia="en-US"/>
        </w:rPr>
        <w:t xml:space="preserve"> </w:t>
      </w:r>
    </w:p>
    <w:p w:rsidR="00F02621" w:rsidRPr="00410EE7" w:rsidRDefault="00F02621">
      <w:pPr>
        <w:spacing w:line="240" w:lineRule="auto"/>
        <w:jc w:val="left"/>
        <w:rPr>
          <w:b/>
        </w:rPr>
      </w:pPr>
      <w:r w:rsidRPr="00410EE7">
        <w:rPr>
          <w:b/>
        </w:rPr>
        <w:br w:type="page"/>
      </w:r>
    </w:p>
    <w:p w:rsidR="007F7FCA" w:rsidRDefault="007F7FCA">
      <w:pPr>
        <w:spacing w:line="240" w:lineRule="auto"/>
        <w:jc w:val="left"/>
        <w:rPr>
          <w:b/>
        </w:rPr>
      </w:pPr>
    </w:p>
    <w:p w:rsidR="00086103" w:rsidRPr="00410EE7" w:rsidRDefault="00406283" w:rsidP="007A5755">
      <w:pPr>
        <w:spacing w:line="240" w:lineRule="auto"/>
        <w:rPr>
          <w:b/>
        </w:rPr>
      </w:pPr>
      <w:r>
        <w:rPr>
          <w:b/>
        </w:rPr>
        <w:t>Figure 3</w:t>
      </w:r>
      <w:r w:rsidR="007A5755" w:rsidRPr="00410EE7">
        <w:rPr>
          <w:b/>
        </w:rPr>
        <w:t>:</w:t>
      </w:r>
      <w:r w:rsidR="00086103" w:rsidRPr="00410EE7">
        <w:rPr>
          <w:b/>
        </w:rPr>
        <w:t xml:space="preserve"> Relative trends in </w:t>
      </w:r>
      <w:r w:rsidR="002E1360">
        <w:rPr>
          <w:b/>
        </w:rPr>
        <w:t xml:space="preserve">national </w:t>
      </w:r>
      <w:r w:rsidR="00086103" w:rsidRPr="00410EE7">
        <w:rPr>
          <w:b/>
        </w:rPr>
        <w:t>non-attendance rates across GP practices with and without the introduction of C&amp;B</w:t>
      </w:r>
      <w:r w:rsidR="002E1360">
        <w:rPr>
          <w:b/>
        </w:rPr>
        <w:t xml:space="preserve"> in 2005.</w:t>
      </w:r>
      <w:r w:rsidR="00086103" w:rsidRPr="00410EE7">
        <w:rPr>
          <w:b/>
        </w:rPr>
        <w:t xml:space="preserve">  </w:t>
      </w:r>
    </w:p>
    <w:p w:rsidR="00332834" w:rsidRPr="00410EE7" w:rsidRDefault="005436A9" w:rsidP="00332834">
      <w:r w:rsidRPr="00410EE7">
        <w:rPr>
          <w:noProof/>
          <w:lang w:eastAsia="en-GB"/>
        </w:rPr>
        <w:drawing>
          <wp:inline distT="0" distB="0" distL="0" distR="0">
            <wp:extent cx="5731510" cy="4168140"/>
            <wp:effectExtent l="19050" t="0" r="2540" b="0"/>
            <wp:docPr id="7" name="Picture 6" descr="dnacab-graph07-dna-het-poisson-cov-0409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acab-graph07-dna-het-poisson-cov-0409V2.wmf"/>
                    <pic:cNvPicPr/>
                  </pic:nvPicPr>
                  <pic:blipFill>
                    <a:blip r:embed="rId18" cstate="print"/>
                    <a:stretch>
                      <a:fillRect/>
                    </a:stretch>
                  </pic:blipFill>
                  <pic:spPr>
                    <a:xfrm>
                      <a:off x="0" y="0"/>
                      <a:ext cx="5731510" cy="4168140"/>
                    </a:xfrm>
                    <a:prstGeom prst="rect">
                      <a:avLst/>
                    </a:prstGeom>
                  </pic:spPr>
                </pic:pic>
              </a:graphicData>
            </a:graphic>
          </wp:inline>
        </w:drawing>
      </w:r>
    </w:p>
    <w:p w:rsidR="00332834" w:rsidRPr="00410EE7" w:rsidRDefault="00086103" w:rsidP="00A16170">
      <w:pPr>
        <w:spacing w:line="240" w:lineRule="auto"/>
        <w:rPr>
          <w:sz w:val="20"/>
          <w:szCs w:val="20"/>
        </w:rPr>
      </w:pPr>
      <w:proofErr w:type="gramStart"/>
      <w:r w:rsidRPr="00410EE7">
        <w:rPr>
          <w:i/>
          <w:sz w:val="20"/>
          <w:szCs w:val="20"/>
        </w:rPr>
        <w:t>Notes</w:t>
      </w:r>
      <w:r w:rsidRPr="00410EE7">
        <w:rPr>
          <w:sz w:val="20"/>
          <w:szCs w:val="20"/>
        </w:rPr>
        <w:t>.</w:t>
      </w:r>
      <w:proofErr w:type="gramEnd"/>
      <w:r w:rsidRPr="00410EE7">
        <w:rPr>
          <w:sz w:val="20"/>
          <w:szCs w:val="20"/>
        </w:rPr>
        <w:t xml:space="preserve"> </w:t>
      </w:r>
      <w:r w:rsidR="00A16170" w:rsidRPr="00410EE7">
        <w:rPr>
          <w:sz w:val="20"/>
          <w:szCs w:val="20"/>
        </w:rPr>
        <w:t>The d</w:t>
      </w:r>
      <w:r w:rsidRPr="00410EE7">
        <w:rPr>
          <w:sz w:val="20"/>
          <w:szCs w:val="20"/>
        </w:rPr>
        <w:t xml:space="preserve">enominator for </w:t>
      </w:r>
      <w:r w:rsidR="00A16170" w:rsidRPr="00410EE7">
        <w:rPr>
          <w:sz w:val="20"/>
          <w:szCs w:val="20"/>
        </w:rPr>
        <w:t xml:space="preserve">the </w:t>
      </w:r>
      <w:r w:rsidRPr="00410EE7">
        <w:rPr>
          <w:sz w:val="20"/>
          <w:szCs w:val="20"/>
        </w:rPr>
        <w:t>non-attendance rate is total referrals minus hospital cancellations.  Non-attendance is non-attendance without notice</w:t>
      </w:r>
      <w:r w:rsidRPr="002E1360">
        <w:rPr>
          <w:sz w:val="20"/>
          <w:szCs w:val="20"/>
        </w:rPr>
        <w:t>.</w:t>
      </w:r>
      <w:r w:rsidR="001F3D11" w:rsidRPr="002E1360">
        <w:rPr>
          <w:sz w:val="20"/>
          <w:szCs w:val="20"/>
        </w:rPr>
        <w:t xml:space="preserve"> </w:t>
      </w:r>
      <w:r w:rsidR="00A16170" w:rsidRPr="002E1360">
        <w:rPr>
          <w:sz w:val="20"/>
          <w:szCs w:val="20"/>
        </w:rPr>
        <w:t>The solid red line uses r</w:t>
      </w:r>
      <w:r w:rsidR="006724C0" w:rsidRPr="002E1360">
        <w:rPr>
          <w:sz w:val="20"/>
          <w:szCs w:val="20"/>
        </w:rPr>
        <w:t xml:space="preserve">esults </w:t>
      </w:r>
      <w:r w:rsidR="002E1360" w:rsidRPr="002E1360">
        <w:rPr>
          <w:sz w:val="20"/>
          <w:szCs w:val="20"/>
        </w:rPr>
        <w:t xml:space="preserve">the non-attendance model in </w:t>
      </w:r>
      <w:r w:rsidR="006724C0" w:rsidRPr="002E1360">
        <w:rPr>
          <w:sz w:val="20"/>
          <w:szCs w:val="20"/>
        </w:rPr>
        <w:t xml:space="preserve">Table </w:t>
      </w:r>
      <w:r w:rsidR="00E42474" w:rsidRPr="002E1360">
        <w:rPr>
          <w:sz w:val="20"/>
          <w:szCs w:val="20"/>
        </w:rPr>
        <w:t>3</w:t>
      </w:r>
      <w:r w:rsidR="00A16170" w:rsidRPr="002E1360">
        <w:rPr>
          <w:sz w:val="20"/>
          <w:szCs w:val="20"/>
        </w:rPr>
        <w:t xml:space="preserve"> and plots the estimated percentage difference between the non-attendance rate in year </w:t>
      </w:r>
      <w:r w:rsidR="00A16170" w:rsidRPr="002E1360">
        <w:rPr>
          <w:i/>
          <w:sz w:val="20"/>
          <w:szCs w:val="20"/>
        </w:rPr>
        <w:t>t</w:t>
      </w:r>
      <w:r w:rsidR="00A16170" w:rsidRPr="002E1360">
        <w:rPr>
          <w:sz w:val="20"/>
          <w:szCs w:val="20"/>
        </w:rPr>
        <w:t xml:space="preserve"> and 2004 as </w:t>
      </w:r>
      <w:r w:rsidR="007F7FCA" w:rsidRPr="002E1360">
        <w:rPr>
          <w:rFonts w:eastAsiaTheme="minorEastAsia"/>
          <w:position w:val="-18"/>
          <w:sz w:val="20"/>
          <w:szCs w:val="20"/>
        </w:rPr>
        <w:object w:dxaOrig="2460" w:dyaOrig="460">
          <v:shape id="_x0000_i1027" type="#_x0000_t75" style="width:123.95pt;height:23.8pt" o:ole="">
            <v:imagedata r:id="rId19" o:title=""/>
          </v:shape>
          <o:OLEObject Type="Embed" ProgID="Equation.DSMT4" ShapeID="_x0000_i1027" DrawAspect="Content" ObjectID="_1559744614" r:id="rId20"/>
        </w:object>
      </w:r>
      <w:r w:rsidR="00A16170" w:rsidRPr="002E1360">
        <w:rPr>
          <w:rFonts w:eastAsiaTheme="minorEastAsia"/>
          <w:sz w:val="20"/>
          <w:szCs w:val="20"/>
        </w:rPr>
        <w:sym w:font="Symbol" w:char="F02D"/>
      </w:r>
      <w:r w:rsidR="00A16170" w:rsidRPr="002E1360">
        <w:rPr>
          <w:rFonts w:eastAsiaTheme="minorEastAsia"/>
          <w:sz w:val="20"/>
          <w:szCs w:val="20"/>
        </w:rPr>
        <w:t xml:space="preserve">1 where </w:t>
      </w:r>
      <w:proofErr w:type="spellStart"/>
      <w:r w:rsidR="00A16170" w:rsidRPr="002E1360">
        <w:rPr>
          <w:rFonts w:eastAsiaTheme="minorEastAsia"/>
          <w:i/>
          <w:sz w:val="20"/>
          <w:szCs w:val="20"/>
        </w:rPr>
        <w:t>B</w:t>
      </w:r>
      <w:r w:rsidR="00A16170" w:rsidRPr="002E1360">
        <w:rPr>
          <w:rFonts w:eastAsiaTheme="minorEastAsia"/>
          <w:i/>
          <w:sz w:val="20"/>
          <w:szCs w:val="20"/>
          <w:vertAlign w:val="subscript"/>
        </w:rPr>
        <w:t>t</w:t>
      </w:r>
      <w:proofErr w:type="spellEnd"/>
      <w:r w:rsidR="00A16170" w:rsidRPr="002E1360">
        <w:rPr>
          <w:rFonts w:eastAsiaTheme="minorEastAsia"/>
          <w:sz w:val="20"/>
          <w:szCs w:val="20"/>
        </w:rPr>
        <w:t>/</w:t>
      </w:r>
      <w:proofErr w:type="spellStart"/>
      <w:r w:rsidR="00A16170" w:rsidRPr="002E1360">
        <w:rPr>
          <w:rFonts w:eastAsiaTheme="minorEastAsia"/>
          <w:i/>
          <w:sz w:val="20"/>
          <w:szCs w:val="20"/>
        </w:rPr>
        <w:t>R</w:t>
      </w:r>
      <w:r w:rsidR="00A16170" w:rsidRPr="002E1360">
        <w:rPr>
          <w:rFonts w:eastAsiaTheme="minorEastAsia"/>
          <w:i/>
          <w:sz w:val="20"/>
          <w:szCs w:val="20"/>
          <w:vertAlign w:val="subscript"/>
        </w:rPr>
        <w:t>t</w:t>
      </w:r>
      <w:proofErr w:type="spellEnd"/>
      <w:r w:rsidR="00A16170" w:rsidRPr="002E1360">
        <w:rPr>
          <w:rFonts w:eastAsiaTheme="minorEastAsia"/>
          <w:sz w:val="20"/>
          <w:szCs w:val="20"/>
        </w:rPr>
        <w:t xml:space="preserve"> is the national</w:t>
      </w:r>
      <w:r w:rsidR="00A16170" w:rsidRPr="00410EE7">
        <w:rPr>
          <w:rFonts w:eastAsiaTheme="minorEastAsia"/>
          <w:sz w:val="20"/>
          <w:szCs w:val="20"/>
        </w:rPr>
        <w:t xml:space="preserve"> average C&amp;B rate in year </w:t>
      </w:r>
      <w:r w:rsidR="00A16170" w:rsidRPr="00410EE7">
        <w:rPr>
          <w:rFonts w:eastAsiaTheme="minorEastAsia"/>
          <w:i/>
          <w:sz w:val="20"/>
          <w:szCs w:val="20"/>
        </w:rPr>
        <w:t>t</w:t>
      </w:r>
      <w:r w:rsidR="007F7FCA">
        <w:rPr>
          <w:rFonts w:eastAsiaTheme="minorEastAsia"/>
          <w:sz w:val="20"/>
          <w:szCs w:val="20"/>
        </w:rPr>
        <w:t>,</w:t>
      </w:r>
      <w:r w:rsidR="00A16170" w:rsidRPr="00410EE7">
        <w:rPr>
          <w:rFonts w:eastAsiaTheme="minorEastAsia"/>
          <w:sz w:val="20"/>
          <w:szCs w:val="20"/>
        </w:rPr>
        <w:t xml:space="preserve"> </w:t>
      </w:r>
      <w:r w:rsidR="00A16170" w:rsidRPr="00410EE7">
        <w:rPr>
          <w:rFonts w:eastAsiaTheme="minorEastAsia"/>
          <w:i/>
          <w:sz w:val="20"/>
          <w:szCs w:val="20"/>
        </w:rPr>
        <w:t>w</w:t>
      </w:r>
      <w:r w:rsidR="00A16170" w:rsidRPr="00410EE7">
        <w:rPr>
          <w:rFonts w:eastAsiaTheme="minorEastAsia"/>
          <w:i/>
          <w:sz w:val="20"/>
          <w:szCs w:val="20"/>
          <w:vertAlign w:val="subscript"/>
        </w:rPr>
        <w:t>jt</w:t>
      </w:r>
      <w:r w:rsidR="00A16170" w:rsidRPr="00410EE7">
        <w:rPr>
          <w:rFonts w:eastAsiaTheme="minorEastAsia"/>
          <w:sz w:val="20"/>
          <w:szCs w:val="20"/>
        </w:rPr>
        <w:t xml:space="preserve"> is the proportion of practices in SHA </w:t>
      </w:r>
      <w:r w:rsidR="00A16170" w:rsidRPr="00410EE7">
        <w:rPr>
          <w:rFonts w:eastAsiaTheme="minorEastAsia"/>
          <w:i/>
          <w:sz w:val="20"/>
          <w:szCs w:val="20"/>
        </w:rPr>
        <w:t>j</w:t>
      </w:r>
      <w:r w:rsidR="00A16170" w:rsidRPr="00410EE7">
        <w:rPr>
          <w:rFonts w:eastAsiaTheme="minorEastAsia"/>
          <w:sz w:val="20"/>
          <w:szCs w:val="20"/>
        </w:rPr>
        <w:t xml:space="preserve"> in year </w:t>
      </w:r>
      <w:r w:rsidR="00A16170" w:rsidRPr="00410EE7">
        <w:rPr>
          <w:rFonts w:eastAsiaTheme="minorEastAsia"/>
          <w:i/>
          <w:sz w:val="20"/>
          <w:szCs w:val="20"/>
        </w:rPr>
        <w:t>t</w:t>
      </w:r>
      <w:r w:rsidR="007F7FCA">
        <w:rPr>
          <w:rFonts w:eastAsiaTheme="minorEastAsia"/>
          <w:sz w:val="20"/>
          <w:szCs w:val="20"/>
        </w:rPr>
        <w:t xml:space="preserve">, and </w:t>
      </w:r>
      <w:r w:rsidR="007F7FCA" w:rsidRPr="007F7FCA">
        <w:rPr>
          <w:rFonts w:eastAsiaTheme="minorEastAsia"/>
          <w:position w:val="-12"/>
          <w:sz w:val="20"/>
          <w:szCs w:val="20"/>
        </w:rPr>
        <w:object w:dxaOrig="360" w:dyaOrig="360">
          <v:shape id="_x0000_i1028" type="#_x0000_t75" style="width:18.8pt;height:18.8pt" o:ole="">
            <v:imagedata r:id="rId21" o:title=""/>
          </v:shape>
          <o:OLEObject Type="Embed" ProgID="Equation.DSMT4" ShapeID="_x0000_i1028" DrawAspect="Content" ObjectID="_1559744615" r:id="rId22"/>
        </w:object>
      </w:r>
      <w:r w:rsidR="007F7FCA">
        <w:rPr>
          <w:rFonts w:eastAsiaTheme="minorEastAsia"/>
          <w:sz w:val="20"/>
          <w:szCs w:val="20"/>
        </w:rPr>
        <w:t xml:space="preserve"> is the estimated region </w:t>
      </w:r>
      <w:r w:rsidR="007F7FCA" w:rsidRPr="007F7FCA">
        <w:rPr>
          <w:rFonts w:eastAsiaTheme="minorEastAsia"/>
          <w:i/>
          <w:sz w:val="20"/>
          <w:szCs w:val="20"/>
        </w:rPr>
        <w:t>j</w:t>
      </w:r>
      <w:r w:rsidR="007F7FCA">
        <w:rPr>
          <w:rFonts w:eastAsiaTheme="minorEastAsia"/>
          <w:sz w:val="20"/>
          <w:szCs w:val="20"/>
        </w:rPr>
        <w:t xml:space="preserve"> effect in year </w:t>
      </w:r>
      <w:r w:rsidR="007F7FCA" w:rsidRPr="007F7FCA">
        <w:rPr>
          <w:rFonts w:eastAsiaTheme="minorEastAsia"/>
          <w:i/>
          <w:sz w:val="20"/>
          <w:szCs w:val="20"/>
        </w:rPr>
        <w:t>t</w:t>
      </w:r>
      <w:r w:rsidR="007F7FCA">
        <w:rPr>
          <w:rFonts w:eastAsiaTheme="minorEastAsia"/>
          <w:sz w:val="20"/>
          <w:szCs w:val="20"/>
        </w:rPr>
        <w:t>.</w:t>
      </w:r>
      <w:r w:rsidR="00A16170" w:rsidRPr="00410EE7">
        <w:rPr>
          <w:rFonts w:eastAsiaTheme="minorEastAsia"/>
          <w:sz w:val="20"/>
          <w:szCs w:val="20"/>
        </w:rPr>
        <w:t xml:space="preserve">     The dashed black line plots the counterfactual </w:t>
      </w:r>
      <w:r w:rsidR="00CD1DA3" w:rsidRPr="00410EE7">
        <w:rPr>
          <w:rFonts w:eastAsiaTheme="minorEastAsia"/>
          <w:sz w:val="20"/>
          <w:szCs w:val="20"/>
        </w:rPr>
        <w:t xml:space="preserve">percentage difference between year </w:t>
      </w:r>
      <w:r w:rsidR="00CD1DA3" w:rsidRPr="00410EE7">
        <w:rPr>
          <w:rFonts w:eastAsiaTheme="minorEastAsia"/>
          <w:i/>
          <w:sz w:val="20"/>
          <w:szCs w:val="20"/>
        </w:rPr>
        <w:t>t</w:t>
      </w:r>
      <w:r w:rsidR="00CD1DA3" w:rsidRPr="00410EE7">
        <w:rPr>
          <w:rFonts w:eastAsiaTheme="minorEastAsia"/>
          <w:sz w:val="20"/>
          <w:szCs w:val="20"/>
        </w:rPr>
        <w:t xml:space="preserve"> and 2004 </w:t>
      </w:r>
      <w:r w:rsidR="00A16170" w:rsidRPr="00410EE7">
        <w:rPr>
          <w:rFonts w:eastAsiaTheme="minorEastAsia"/>
          <w:sz w:val="20"/>
          <w:szCs w:val="20"/>
        </w:rPr>
        <w:t>with a zero C&amp;B rate in all years as</w:t>
      </w:r>
      <w:r w:rsidR="00A16170" w:rsidRPr="00410EE7">
        <w:rPr>
          <w:rFonts w:eastAsiaTheme="minorEastAsia"/>
          <w:position w:val="-18"/>
          <w:sz w:val="20"/>
          <w:szCs w:val="20"/>
        </w:rPr>
        <w:object w:dxaOrig="1400" w:dyaOrig="460">
          <v:shape id="_x0000_i1029" type="#_x0000_t75" style="width:70.75pt;height:23.8pt" o:ole="">
            <v:imagedata r:id="rId23" o:title=""/>
          </v:shape>
          <o:OLEObject Type="Embed" ProgID="Equation.DSMT4" ShapeID="_x0000_i1029" DrawAspect="Content" ObjectID="_1559744616" r:id="rId24"/>
        </w:object>
      </w:r>
      <w:r w:rsidR="00A16170" w:rsidRPr="00410EE7">
        <w:rPr>
          <w:rFonts w:eastAsiaTheme="minorEastAsia"/>
          <w:sz w:val="20"/>
          <w:szCs w:val="20"/>
        </w:rPr>
        <w:sym w:font="Symbol" w:char="F02D"/>
      </w:r>
      <w:r w:rsidR="00A16170" w:rsidRPr="00410EE7">
        <w:rPr>
          <w:rFonts w:eastAsiaTheme="minorEastAsia"/>
          <w:sz w:val="20"/>
          <w:szCs w:val="20"/>
        </w:rPr>
        <w:t>1.</w:t>
      </w:r>
    </w:p>
    <w:p w:rsidR="00332834" w:rsidRPr="00410EE7" w:rsidRDefault="00332834" w:rsidP="00A16170">
      <w:pPr>
        <w:spacing w:line="240" w:lineRule="auto"/>
        <w:rPr>
          <w:b/>
          <w:bCs/>
          <w:sz w:val="20"/>
          <w:szCs w:val="20"/>
        </w:rPr>
      </w:pPr>
    </w:p>
    <w:p w:rsidR="00086103" w:rsidRPr="00410EE7" w:rsidRDefault="00086103" w:rsidP="00A16170">
      <w:pPr>
        <w:spacing w:line="240" w:lineRule="auto"/>
        <w:jc w:val="left"/>
        <w:rPr>
          <w:b/>
          <w:sz w:val="20"/>
          <w:szCs w:val="20"/>
        </w:rPr>
      </w:pPr>
      <w:r w:rsidRPr="00410EE7">
        <w:rPr>
          <w:b/>
          <w:sz w:val="20"/>
          <w:szCs w:val="20"/>
        </w:rPr>
        <w:br w:type="page"/>
      </w:r>
    </w:p>
    <w:p w:rsidR="00B9556C" w:rsidRPr="00410EE7" w:rsidRDefault="00332834" w:rsidP="00086103">
      <w:pPr>
        <w:spacing w:line="240" w:lineRule="auto"/>
        <w:rPr>
          <w:b/>
          <w:bCs/>
        </w:rPr>
      </w:pPr>
      <w:r w:rsidRPr="00410EE7">
        <w:rPr>
          <w:b/>
        </w:rPr>
        <w:lastRenderedPageBreak/>
        <w:t xml:space="preserve">Figure </w:t>
      </w:r>
      <w:r w:rsidR="00406283">
        <w:rPr>
          <w:b/>
        </w:rPr>
        <w:t>4</w:t>
      </w:r>
      <w:r w:rsidRPr="00410EE7">
        <w:rPr>
          <w:b/>
        </w:rPr>
        <w:t xml:space="preserve">: </w:t>
      </w:r>
      <w:r w:rsidR="002E1360">
        <w:rPr>
          <w:b/>
        </w:rPr>
        <w:t xml:space="preserve">Relative trends in </w:t>
      </w:r>
      <w:r w:rsidR="00086103" w:rsidRPr="00410EE7">
        <w:rPr>
          <w:b/>
        </w:rPr>
        <w:t>referrals with and without the introduction of C&amp;B in 2005</w:t>
      </w:r>
      <w:r w:rsidR="00E858B0">
        <w:rPr>
          <w:b/>
        </w:rPr>
        <w:t xml:space="preserve"> and patient choice policy in 2006</w:t>
      </w:r>
      <w:r w:rsidR="00086103" w:rsidRPr="00410EE7">
        <w:rPr>
          <w:b/>
        </w:rPr>
        <w:t>.</w:t>
      </w:r>
      <w:r w:rsidRPr="00410EE7">
        <w:rPr>
          <w:b/>
        </w:rPr>
        <w:t xml:space="preserve"> </w:t>
      </w:r>
    </w:p>
    <w:p w:rsidR="00B9556C" w:rsidRPr="00410EE7" w:rsidRDefault="002E1360" w:rsidP="00086103">
      <w:pPr>
        <w:spacing w:line="240" w:lineRule="auto"/>
        <w:rPr>
          <w:b/>
          <w:bCs/>
          <w:noProof/>
          <w:lang w:val="en-US" w:eastAsia="en-US"/>
        </w:rPr>
      </w:pPr>
      <w:r>
        <w:rPr>
          <w:b/>
          <w:bCs/>
          <w:noProof/>
          <w:lang w:eastAsia="en-GB"/>
        </w:rPr>
        <w:drawing>
          <wp:inline distT="0" distB="0" distL="0" distR="0" wp14:anchorId="44EDA683" wp14:editId="6C19BCD7">
            <wp:extent cx="5731510" cy="4168140"/>
            <wp:effectExtent l="0" t="0" r="2540" b="3810"/>
            <wp:docPr id="2" name="Picture 1" descr="dnacab-graph12-ref-pois-apc-boot-0409.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acab-graph12-ref-pois-apc-boot-0409.wmf"/>
                    <pic:cNvPicPr/>
                  </pic:nvPicPr>
                  <pic:blipFill>
                    <a:blip r:embed="rId25" cstate="print"/>
                    <a:stretch>
                      <a:fillRect/>
                    </a:stretch>
                  </pic:blipFill>
                  <pic:spPr>
                    <a:xfrm>
                      <a:off x="0" y="0"/>
                      <a:ext cx="5731510" cy="4168140"/>
                    </a:xfrm>
                    <a:prstGeom prst="rect">
                      <a:avLst/>
                    </a:prstGeom>
                  </pic:spPr>
                </pic:pic>
              </a:graphicData>
            </a:graphic>
          </wp:inline>
        </w:drawing>
      </w:r>
    </w:p>
    <w:p w:rsidR="00086103" w:rsidRPr="00410EE7" w:rsidRDefault="00086103" w:rsidP="00086103">
      <w:pPr>
        <w:spacing w:line="240" w:lineRule="auto"/>
        <w:rPr>
          <w:b/>
          <w:bCs/>
          <w:noProof/>
          <w:lang w:val="en-US" w:eastAsia="en-US"/>
        </w:rPr>
      </w:pPr>
    </w:p>
    <w:p w:rsidR="002E1360" w:rsidRPr="00410EE7" w:rsidRDefault="00086103" w:rsidP="002E1360">
      <w:pPr>
        <w:spacing w:line="240" w:lineRule="auto"/>
        <w:rPr>
          <w:sz w:val="20"/>
          <w:szCs w:val="20"/>
        </w:rPr>
      </w:pPr>
      <w:proofErr w:type="gramStart"/>
      <w:r w:rsidRPr="002E1360">
        <w:rPr>
          <w:i/>
          <w:sz w:val="20"/>
          <w:szCs w:val="20"/>
        </w:rPr>
        <w:t>Notes</w:t>
      </w:r>
      <w:r w:rsidRPr="002E1360">
        <w:rPr>
          <w:sz w:val="20"/>
          <w:szCs w:val="20"/>
        </w:rPr>
        <w:t>.</w:t>
      </w:r>
      <w:proofErr w:type="gramEnd"/>
      <w:r w:rsidRPr="002E1360">
        <w:rPr>
          <w:sz w:val="20"/>
          <w:szCs w:val="20"/>
        </w:rPr>
        <w:t xml:space="preserve"> </w:t>
      </w:r>
      <w:r w:rsidR="002E1360" w:rsidRPr="002E1360">
        <w:rPr>
          <w:sz w:val="20"/>
          <w:szCs w:val="20"/>
        </w:rPr>
        <w:t xml:space="preserve">The denominator is the practice list. The solid red line uses results from the IV model in Table 6 </w:t>
      </w:r>
      <w:r w:rsidR="002E1360" w:rsidRPr="002E1360">
        <w:rPr>
          <w:i/>
          <w:sz w:val="20"/>
          <w:szCs w:val="20"/>
        </w:rPr>
        <w:t>panel d</w:t>
      </w:r>
      <w:r w:rsidR="002E1360" w:rsidRPr="002E1360">
        <w:rPr>
          <w:sz w:val="20"/>
          <w:szCs w:val="20"/>
        </w:rPr>
        <w:t xml:space="preserve"> and plots the estimated percentage difference between the referral rate in year </w:t>
      </w:r>
      <w:r w:rsidR="002E1360" w:rsidRPr="002E1360">
        <w:rPr>
          <w:i/>
          <w:sz w:val="20"/>
          <w:szCs w:val="20"/>
        </w:rPr>
        <w:t>t</w:t>
      </w:r>
      <w:r w:rsidR="002E1360" w:rsidRPr="002E1360">
        <w:rPr>
          <w:sz w:val="20"/>
          <w:szCs w:val="20"/>
        </w:rPr>
        <w:t xml:space="preserve"> and 2004 as </w:t>
      </w:r>
      <m:oMath>
        <m:r>
          <m:rPr>
            <m:sty m:val="p"/>
          </m:rPr>
          <w:rPr>
            <w:rFonts w:ascii="Cambria Math" w:hAnsi="Cambria Math"/>
            <w:sz w:val="20"/>
            <w:szCs w:val="20"/>
          </w:rPr>
          <m:t>exp</m:t>
        </m:r>
        <m:d>
          <m:dPr>
            <m:ctrlPr>
              <w:rPr>
                <w:rFonts w:ascii="Cambria Math" w:hAnsi="Cambria Math"/>
                <w:i/>
                <w:sz w:val="20"/>
                <w:szCs w:val="20"/>
              </w:rPr>
            </m:ctrlPr>
          </m:dPr>
          <m:e>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β</m:t>
                    </m:r>
                  </m:e>
                </m:acc>
              </m:e>
              <m:sub>
                <m:r>
                  <w:rPr>
                    <w:rFonts w:ascii="Cambria Math" w:hAnsi="Cambria Math"/>
                    <w:sz w:val="20"/>
                    <w:szCs w:val="20"/>
                  </w:rPr>
                  <m:t>1</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t</m:t>
                    </m:r>
                  </m:sub>
                </m:sSub>
              </m:e>
            </m:d>
            <m:r>
              <w:rPr>
                <w:rFonts w:ascii="Cambria Math" w:hAnsi="Cambria Math"/>
                <w:sz w:val="20"/>
                <w:szCs w:val="20"/>
              </w:rPr>
              <m:t>+</m:t>
            </m:r>
            <m:nary>
              <m:naryPr>
                <m:chr m:val="∑"/>
                <m:limLoc m:val="subSup"/>
                <m:supHide m:val="1"/>
                <m:ctrlPr>
                  <w:rPr>
                    <w:rFonts w:ascii="Cambria Math" w:hAnsi="Cambria Math"/>
                    <w:i/>
                    <w:sz w:val="20"/>
                    <w:szCs w:val="20"/>
                  </w:rPr>
                </m:ctrlPr>
              </m:naryPr>
              <m:sub>
                <m:r>
                  <w:rPr>
                    <w:rFonts w:ascii="Cambria Math" w:hAnsi="Cambria Math"/>
                    <w:sz w:val="20"/>
                    <w:szCs w:val="20"/>
                  </w:rPr>
                  <m:t>j</m:t>
                </m:r>
              </m:sub>
              <m:sup/>
              <m:e>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jt</m:t>
                    </m:r>
                  </m:sub>
                </m:sSub>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β</m:t>
                        </m:r>
                      </m:e>
                    </m:acc>
                  </m:e>
                  <m:sub>
                    <m:r>
                      <w:rPr>
                        <w:rFonts w:ascii="Cambria Math" w:hAnsi="Cambria Math"/>
                        <w:sz w:val="20"/>
                        <w:szCs w:val="20"/>
                      </w:rPr>
                      <m:t>3jt</m:t>
                    </m:r>
                  </m:sub>
                </m:sSub>
              </m:e>
            </m:nary>
          </m:e>
        </m:d>
        <m:r>
          <w:rPr>
            <w:rFonts w:ascii="Cambria Math" w:hAnsi="Cambria Math"/>
            <w:sz w:val="20"/>
            <w:szCs w:val="20"/>
          </w:rPr>
          <m:t>-1</m:t>
        </m:r>
      </m:oMath>
      <w:r w:rsidR="002E1360" w:rsidRPr="002E1360">
        <w:rPr>
          <w:rFonts w:eastAsiaTheme="minorEastAsia"/>
          <w:sz w:val="20"/>
          <w:szCs w:val="20"/>
        </w:rPr>
        <w:t xml:space="preserve"> where </w:t>
      </w:r>
      <w:r w:rsidR="002E1360" w:rsidRPr="002E1360">
        <w:rPr>
          <w:rFonts w:eastAsiaTheme="minorEastAsia"/>
          <w:position w:val="-10"/>
          <w:sz w:val="20"/>
          <w:szCs w:val="20"/>
        </w:rPr>
        <w:object w:dxaOrig="240" w:dyaOrig="340">
          <v:shape id="_x0000_i1030" type="#_x0000_t75" style="width:11.9pt;height:16.9pt" o:ole="">
            <v:imagedata r:id="rId26" o:title=""/>
          </v:shape>
          <o:OLEObject Type="Embed" ProgID="Equation.DSMT4" ShapeID="_x0000_i1030" DrawAspect="Content" ObjectID="_1559744617" r:id="rId27"/>
        </w:object>
      </w:r>
      <w:r w:rsidR="002E1360" w:rsidRPr="002E1360">
        <w:rPr>
          <w:rFonts w:eastAsiaTheme="minorEastAsia"/>
          <w:sz w:val="20"/>
          <w:szCs w:val="20"/>
        </w:rPr>
        <w:t xml:space="preserve"> is the instrumental variables estimate of the C&amp;B effect, </w:t>
      </w:r>
      <w:proofErr w:type="spellStart"/>
      <w:r w:rsidR="002E1360" w:rsidRPr="002E1360">
        <w:rPr>
          <w:rFonts w:eastAsiaTheme="minorEastAsia"/>
          <w:i/>
          <w:sz w:val="20"/>
          <w:szCs w:val="20"/>
        </w:rPr>
        <w:t>B</w:t>
      </w:r>
      <w:r w:rsidR="002E1360" w:rsidRPr="002E1360">
        <w:rPr>
          <w:rFonts w:eastAsiaTheme="minorEastAsia"/>
          <w:i/>
          <w:sz w:val="20"/>
          <w:szCs w:val="20"/>
          <w:vertAlign w:val="subscript"/>
        </w:rPr>
        <w:t>t</w:t>
      </w:r>
      <w:proofErr w:type="spellEnd"/>
      <w:r w:rsidR="002E1360" w:rsidRPr="002E1360">
        <w:rPr>
          <w:rFonts w:eastAsiaTheme="minorEastAsia"/>
          <w:sz w:val="20"/>
          <w:szCs w:val="20"/>
        </w:rPr>
        <w:t>/</w:t>
      </w:r>
      <w:proofErr w:type="spellStart"/>
      <w:r w:rsidR="002E1360" w:rsidRPr="002E1360">
        <w:rPr>
          <w:rFonts w:eastAsiaTheme="minorEastAsia"/>
          <w:i/>
          <w:sz w:val="20"/>
          <w:szCs w:val="20"/>
        </w:rPr>
        <w:t>R</w:t>
      </w:r>
      <w:r w:rsidR="002E1360" w:rsidRPr="002E1360">
        <w:rPr>
          <w:rFonts w:eastAsiaTheme="minorEastAsia"/>
          <w:i/>
          <w:sz w:val="20"/>
          <w:szCs w:val="20"/>
          <w:vertAlign w:val="subscript"/>
        </w:rPr>
        <w:t>t</w:t>
      </w:r>
      <w:proofErr w:type="spellEnd"/>
      <w:r w:rsidR="002E1360" w:rsidRPr="002E1360">
        <w:rPr>
          <w:rFonts w:eastAsiaTheme="minorEastAsia"/>
          <w:sz w:val="20"/>
          <w:szCs w:val="20"/>
        </w:rPr>
        <w:t xml:space="preserve"> is the national average C&amp;B rate in year </w:t>
      </w:r>
      <w:r w:rsidR="002E1360" w:rsidRPr="002E1360">
        <w:rPr>
          <w:rFonts w:eastAsiaTheme="minorEastAsia"/>
          <w:i/>
          <w:sz w:val="20"/>
          <w:szCs w:val="20"/>
        </w:rPr>
        <w:t>t</w:t>
      </w:r>
      <w:r w:rsidR="002E1360" w:rsidRPr="002E1360">
        <w:rPr>
          <w:rFonts w:eastAsiaTheme="minorEastAsia"/>
          <w:sz w:val="20"/>
          <w:szCs w:val="20"/>
        </w:rPr>
        <w:t xml:space="preserve">, </w:t>
      </w:r>
      <w:proofErr w:type="spellStart"/>
      <w:r w:rsidR="002E1360" w:rsidRPr="002E1360">
        <w:rPr>
          <w:rFonts w:eastAsiaTheme="minorEastAsia"/>
          <w:i/>
          <w:sz w:val="20"/>
          <w:szCs w:val="20"/>
        </w:rPr>
        <w:t>w</w:t>
      </w:r>
      <w:r w:rsidR="002E1360" w:rsidRPr="002E1360">
        <w:rPr>
          <w:rFonts w:eastAsiaTheme="minorEastAsia"/>
          <w:i/>
          <w:sz w:val="20"/>
          <w:szCs w:val="20"/>
          <w:vertAlign w:val="subscript"/>
        </w:rPr>
        <w:t>jt</w:t>
      </w:r>
      <w:proofErr w:type="spellEnd"/>
      <w:r w:rsidR="002E1360" w:rsidRPr="002E1360">
        <w:rPr>
          <w:rFonts w:eastAsiaTheme="minorEastAsia"/>
          <w:sz w:val="20"/>
          <w:szCs w:val="20"/>
        </w:rPr>
        <w:t xml:space="preserve"> is the proportion of practices in SHA </w:t>
      </w:r>
      <w:r w:rsidR="002E1360" w:rsidRPr="002E1360">
        <w:rPr>
          <w:rFonts w:eastAsiaTheme="minorEastAsia"/>
          <w:i/>
          <w:sz w:val="20"/>
          <w:szCs w:val="20"/>
        </w:rPr>
        <w:t>j</w:t>
      </w:r>
      <w:r w:rsidR="002E1360" w:rsidRPr="002E1360">
        <w:rPr>
          <w:rFonts w:eastAsiaTheme="minorEastAsia"/>
          <w:sz w:val="20"/>
          <w:szCs w:val="20"/>
        </w:rPr>
        <w:t xml:space="preserve"> in year </w:t>
      </w:r>
      <w:r w:rsidR="002E1360" w:rsidRPr="002E1360">
        <w:rPr>
          <w:rFonts w:eastAsiaTheme="minorEastAsia"/>
          <w:i/>
          <w:sz w:val="20"/>
          <w:szCs w:val="20"/>
        </w:rPr>
        <w:t>t</w:t>
      </w:r>
      <w:r w:rsidR="002E1360" w:rsidRPr="002E1360">
        <w:rPr>
          <w:rFonts w:eastAsiaTheme="minorEastAsia"/>
          <w:sz w:val="20"/>
          <w:szCs w:val="20"/>
        </w:rPr>
        <w:t xml:space="preserve">, and </w:t>
      </w:r>
      <w:r w:rsidR="002E1360" w:rsidRPr="002E1360">
        <w:rPr>
          <w:rFonts w:eastAsiaTheme="minorEastAsia"/>
          <w:position w:val="-12"/>
          <w:sz w:val="20"/>
          <w:szCs w:val="20"/>
        </w:rPr>
        <w:object w:dxaOrig="360" w:dyaOrig="360">
          <v:shape id="_x0000_i1031" type="#_x0000_t75" style="width:18.8pt;height:18.8pt" o:ole="">
            <v:imagedata r:id="rId21" o:title=""/>
          </v:shape>
          <o:OLEObject Type="Embed" ProgID="Equation.DSMT4" ShapeID="_x0000_i1031" DrawAspect="Content" ObjectID="_1559744618" r:id="rId28"/>
        </w:object>
      </w:r>
      <w:r w:rsidR="002E1360" w:rsidRPr="002E1360">
        <w:rPr>
          <w:rFonts w:eastAsiaTheme="minorEastAsia"/>
          <w:sz w:val="20"/>
          <w:szCs w:val="20"/>
        </w:rPr>
        <w:t xml:space="preserve"> is the estimated region </w:t>
      </w:r>
      <w:r w:rsidR="002E1360" w:rsidRPr="002E1360">
        <w:rPr>
          <w:rFonts w:eastAsiaTheme="minorEastAsia"/>
          <w:i/>
          <w:sz w:val="20"/>
          <w:szCs w:val="20"/>
        </w:rPr>
        <w:t>j</w:t>
      </w:r>
      <w:r w:rsidR="002E1360" w:rsidRPr="002E1360">
        <w:rPr>
          <w:rFonts w:eastAsiaTheme="minorEastAsia"/>
          <w:sz w:val="20"/>
          <w:szCs w:val="20"/>
        </w:rPr>
        <w:t xml:space="preserve"> effect in year </w:t>
      </w:r>
      <w:r w:rsidR="002E1360" w:rsidRPr="002E1360">
        <w:rPr>
          <w:rFonts w:eastAsiaTheme="minorEastAsia"/>
          <w:i/>
          <w:sz w:val="20"/>
          <w:szCs w:val="20"/>
        </w:rPr>
        <w:t>t</w:t>
      </w:r>
      <w:r w:rsidR="002E1360" w:rsidRPr="002E1360">
        <w:rPr>
          <w:rFonts w:eastAsiaTheme="minorEastAsia"/>
          <w:sz w:val="20"/>
          <w:szCs w:val="20"/>
        </w:rPr>
        <w:t xml:space="preserve">. Similarly for the patient choice effect the dotted brown line plots the estimated percentage change from 2004 baseline </w:t>
      </w:r>
      <w:r w:rsidR="002E1360" w:rsidRPr="002E1360">
        <w:rPr>
          <w:sz w:val="20"/>
          <w:szCs w:val="20"/>
        </w:rPr>
        <w:t xml:space="preserve">estimated as </w:t>
      </w:r>
      <m:oMath>
        <m:r>
          <m:rPr>
            <m:sty m:val="p"/>
          </m:rPr>
          <w:rPr>
            <w:rFonts w:ascii="Cambria Math" w:hAnsi="Cambria Math"/>
            <w:sz w:val="20"/>
            <w:szCs w:val="20"/>
          </w:rPr>
          <m:t>exp</m:t>
        </m:r>
        <m:d>
          <m:dPr>
            <m:ctrlPr>
              <w:rPr>
                <w:rFonts w:ascii="Cambria Math" w:hAnsi="Cambria Math"/>
                <w:i/>
                <w:sz w:val="20"/>
                <w:szCs w:val="20"/>
              </w:rPr>
            </m:ctrlPr>
          </m:dPr>
          <m:e>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β</m:t>
                    </m:r>
                  </m:e>
                </m:acc>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t</m:t>
                </m:r>
              </m:sub>
            </m:sSub>
            <m:r>
              <w:rPr>
                <w:rFonts w:ascii="Cambria Math" w:hAnsi="Cambria Math"/>
                <w:sz w:val="20"/>
                <w:szCs w:val="20"/>
              </w:rPr>
              <m:t>+</m:t>
            </m:r>
            <m:nary>
              <m:naryPr>
                <m:chr m:val="∑"/>
                <m:limLoc m:val="subSup"/>
                <m:supHide m:val="1"/>
                <m:ctrlPr>
                  <w:rPr>
                    <w:rFonts w:ascii="Cambria Math" w:hAnsi="Cambria Math"/>
                    <w:i/>
                    <w:sz w:val="20"/>
                    <w:szCs w:val="20"/>
                  </w:rPr>
                </m:ctrlPr>
              </m:naryPr>
              <m:sub>
                <m:r>
                  <w:rPr>
                    <w:rFonts w:ascii="Cambria Math" w:hAnsi="Cambria Math"/>
                    <w:sz w:val="20"/>
                    <w:szCs w:val="20"/>
                  </w:rPr>
                  <m:t>j</m:t>
                </m:r>
              </m:sub>
              <m:sup/>
              <m:e>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jt</m:t>
                    </m:r>
                  </m:sub>
                </m:sSub>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β</m:t>
                        </m:r>
                      </m:e>
                    </m:acc>
                  </m:e>
                  <m:sub>
                    <m:r>
                      <w:rPr>
                        <w:rFonts w:ascii="Cambria Math" w:hAnsi="Cambria Math"/>
                        <w:sz w:val="20"/>
                        <w:szCs w:val="20"/>
                      </w:rPr>
                      <m:t>3jt</m:t>
                    </m:r>
                  </m:sub>
                </m:sSub>
              </m:e>
            </m:nary>
          </m:e>
        </m:d>
        <m:r>
          <w:rPr>
            <w:rFonts w:ascii="Cambria Math" w:hAnsi="Cambria Math"/>
            <w:sz w:val="20"/>
            <w:szCs w:val="20"/>
          </w:rPr>
          <m:t>-1</m:t>
        </m:r>
      </m:oMath>
      <w:r w:rsidR="002E1360" w:rsidRPr="002E1360">
        <w:rPr>
          <w:sz w:val="20"/>
          <w:szCs w:val="20"/>
        </w:rPr>
        <w:t xml:space="preserve"> where </w:t>
      </w:r>
      <w:r w:rsidR="002E1360" w:rsidRPr="002E1360">
        <w:rPr>
          <w:rFonts w:eastAsiaTheme="minorEastAsia"/>
          <w:position w:val="-10"/>
          <w:sz w:val="20"/>
          <w:szCs w:val="20"/>
        </w:rPr>
        <w:object w:dxaOrig="260" w:dyaOrig="340">
          <v:shape id="_x0000_i1032" type="#_x0000_t75" style="width:13.15pt;height:16.9pt" o:ole="">
            <v:imagedata r:id="rId29" o:title=""/>
          </v:shape>
          <o:OLEObject Type="Embed" ProgID="Equation.DSMT4" ShapeID="_x0000_i1032" DrawAspect="Content" ObjectID="_1559744619" r:id="rId30"/>
        </w:object>
      </w:r>
      <w:r w:rsidR="002E1360" w:rsidRPr="002E1360">
        <w:rPr>
          <w:rFonts w:eastAsiaTheme="minorEastAsia"/>
          <w:sz w:val="20"/>
          <w:szCs w:val="20"/>
        </w:rPr>
        <w:t xml:space="preserve">is the estimated effect of the awareness of choice and </w:t>
      </w:r>
      <w:r w:rsidR="002E1360" w:rsidRPr="002E1360">
        <w:rPr>
          <w:rFonts w:eastAsiaTheme="minorEastAsia"/>
          <w:i/>
          <w:sz w:val="20"/>
          <w:szCs w:val="20"/>
        </w:rPr>
        <w:t>C</w:t>
      </w:r>
      <w:r w:rsidR="002E1360" w:rsidRPr="002E1360">
        <w:rPr>
          <w:rFonts w:eastAsiaTheme="minorEastAsia"/>
          <w:i/>
          <w:sz w:val="20"/>
          <w:szCs w:val="20"/>
          <w:vertAlign w:val="subscript"/>
        </w:rPr>
        <w:t>t</w:t>
      </w:r>
      <w:r w:rsidR="002E1360" w:rsidRPr="002E1360">
        <w:rPr>
          <w:rFonts w:eastAsiaTheme="minorEastAsia"/>
          <w:sz w:val="20"/>
          <w:szCs w:val="20"/>
        </w:rPr>
        <w:t xml:space="preserve"> is the national average reported awareness of choice in year </w:t>
      </w:r>
      <w:r w:rsidR="002E1360" w:rsidRPr="002E1360">
        <w:rPr>
          <w:rFonts w:eastAsiaTheme="minorEastAsia"/>
          <w:i/>
          <w:sz w:val="20"/>
          <w:szCs w:val="20"/>
        </w:rPr>
        <w:t>t.</w:t>
      </w:r>
      <w:r w:rsidR="002E1360" w:rsidRPr="002E1360">
        <w:rPr>
          <w:rFonts w:eastAsiaTheme="minorEastAsia"/>
          <w:sz w:val="20"/>
          <w:szCs w:val="20"/>
        </w:rPr>
        <w:t xml:space="preserve">  The dashed dark blue line plots the counterfactual percentage difference between year </w:t>
      </w:r>
      <w:r w:rsidR="002E1360" w:rsidRPr="002E1360">
        <w:rPr>
          <w:rFonts w:eastAsiaTheme="minorEastAsia"/>
          <w:i/>
          <w:sz w:val="20"/>
          <w:szCs w:val="20"/>
        </w:rPr>
        <w:t xml:space="preserve">t </w:t>
      </w:r>
      <w:r w:rsidR="002E1360" w:rsidRPr="002E1360">
        <w:rPr>
          <w:rFonts w:eastAsiaTheme="minorEastAsia"/>
          <w:sz w:val="20"/>
          <w:szCs w:val="20"/>
        </w:rPr>
        <w:t xml:space="preserve">and 2004 with a zero C&amp;B and zero awareness of choice as </w:t>
      </w:r>
      <w:r w:rsidR="002E1360" w:rsidRPr="002E1360">
        <w:rPr>
          <w:rFonts w:eastAsiaTheme="minorEastAsia"/>
          <w:position w:val="-18"/>
          <w:sz w:val="20"/>
          <w:szCs w:val="20"/>
        </w:rPr>
        <w:object w:dxaOrig="1400" w:dyaOrig="460">
          <v:shape id="_x0000_i1033" type="#_x0000_t75" style="width:70.75pt;height:23.8pt" o:ole="">
            <v:imagedata r:id="rId23" o:title=""/>
          </v:shape>
          <o:OLEObject Type="Embed" ProgID="Equation.DSMT4" ShapeID="_x0000_i1033" DrawAspect="Content" ObjectID="_1559744620" r:id="rId31"/>
        </w:object>
      </w:r>
      <w:r w:rsidR="002E1360" w:rsidRPr="002E1360">
        <w:rPr>
          <w:rFonts w:eastAsiaTheme="minorEastAsia"/>
          <w:sz w:val="20"/>
          <w:szCs w:val="20"/>
        </w:rPr>
        <w:sym w:font="Symbol" w:char="F02D"/>
      </w:r>
      <w:r w:rsidR="002E1360" w:rsidRPr="002E1360">
        <w:rPr>
          <w:rFonts w:eastAsiaTheme="minorEastAsia"/>
          <w:sz w:val="20"/>
          <w:szCs w:val="20"/>
        </w:rPr>
        <w:t>1.</w:t>
      </w:r>
    </w:p>
    <w:p w:rsidR="00086103" w:rsidRPr="00410EE7" w:rsidRDefault="00086103" w:rsidP="00086103">
      <w:pPr>
        <w:spacing w:line="240" w:lineRule="auto"/>
      </w:pPr>
    </w:p>
    <w:p w:rsidR="007B5E02" w:rsidRPr="00410EE7" w:rsidRDefault="007B5E02">
      <w:pPr>
        <w:spacing w:line="240" w:lineRule="auto"/>
        <w:jc w:val="left"/>
        <w:rPr>
          <w:b/>
          <w:bCs/>
        </w:rPr>
      </w:pPr>
      <w:r w:rsidRPr="00410EE7">
        <w:rPr>
          <w:b/>
          <w:bCs/>
        </w:rPr>
        <w:br w:type="page"/>
      </w:r>
    </w:p>
    <w:p w:rsidR="007B5E02" w:rsidRPr="00410EE7" w:rsidRDefault="007B5E02" w:rsidP="007B5E02">
      <w:pPr>
        <w:spacing w:line="240" w:lineRule="auto"/>
        <w:rPr>
          <w:b/>
        </w:rPr>
        <w:sectPr w:rsidR="007B5E02" w:rsidRPr="00410EE7" w:rsidSect="00681BBD">
          <w:footerReference w:type="even" r:id="rId32"/>
          <w:footerReference w:type="default" r:id="rId33"/>
          <w:footnotePr>
            <w:numRestart w:val="eachSect"/>
          </w:footnotePr>
          <w:pgSz w:w="11906" w:h="16838"/>
          <w:pgMar w:top="1440" w:right="1440" w:bottom="1440" w:left="1440" w:header="709" w:footer="709" w:gutter="0"/>
          <w:cols w:space="708"/>
          <w:docGrid w:linePitch="360"/>
        </w:sectPr>
      </w:pPr>
    </w:p>
    <w:p w:rsidR="007B5E02" w:rsidRPr="00410EE7" w:rsidRDefault="006724C0" w:rsidP="007B5E02">
      <w:pPr>
        <w:spacing w:line="240" w:lineRule="auto"/>
        <w:rPr>
          <w:b/>
        </w:rPr>
      </w:pPr>
      <w:proofErr w:type="gramStart"/>
      <w:r>
        <w:rPr>
          <w:b/>
        </w:rPr>
        <w:lastRenderedPageBreak/>
        <w:t>Table 1</w:t>
      </w:r>
      <w:r w:rsidR="007B5E02" w:rsidRPr="00410EE7">
        <w:rPr>
          <w:b/>
        </w:rPr>
        <w:t>.</w:t>
      </w:r>
      <w:proofErr w:type="gramEnd"/>
      <w:r w:rsidR="007B5E02" w:rsidRPr="00410EE7">
        <w:rPr>
          <w:b/>
        </w:rPr>
        <w:t xml:space="preserve"> Descriptive statistics 2004 – 2009 </w:t>
      </w:r>
    </w:p>
    <w:tbl>
      <w:tblPr>
        <w:tblStyle w:val="TableSimple1"/>
        <w:tblW w:w="0" w:type="auto"/>
        <w:tblInd w:w="-176" w:type="dxa"/>
        <w:tblLook w:val="04A0" w:firstRow="1" w:lastRow="0" w:firstColumn="1" w:lastColumn="0" w:noHBand="0" w:noVBand="1"/>
      </w:tblPr>
      <w:tblGrid>
        <w:gridCol w:w="2411"/>
        <w:gridCol w:w="1559"/>
        <w:gridCol w:w="1843"/>
        <w:gridCol w:w="1701"/>
        <w:gridCol w:w="1842"/>
        <w:gridCol w:w="2127"/>
        <w:gridCol w:w="2551"/>
      </w:tblGrid>
      <w:tr w:rsidR="007B5E02" w:rsidRPr="00410EE7" w:rsidTr="00B73C26">
        <w:trPr>
          <w:cnfStyle w:val="100000000000" w:firstRow="1" w:lastRow="0" w:firstColumn="0" w:lastColumn="0" w:oddVBand="0" w:evenVBand="0" w:oddHBand="0" w:evenHBand="0" w:firstRowFirstColumn="0" w:firstRowLastColumn="0" w:lastRowFirstColumn="0" w:lastRowLastColumn="0"/>
          <w:trHeight w:val="300"/>
        </w:trPr>
        <w:tc>
          <w:tcPr>
            <w:tcW w:w="2411" w:type="dxa"/>
            <w:tcBorders>
              <w:top w:val="single" w:sz="12" w:space="0" w:color="008000"/>
            </w:tcBorders>
            <w:noWrap/>
            <w:hideMark/>
          </w:tcPr>
          <w:p w:rsidR="007B5E02" w:rsidRPr="00410EE7" w:rsidRDefault="007B5E02" w:rsidP="003650AD">
            <w:pPr>
              <w:spacing w:line="240" w:lineRule="auto"/>
              <w:jc w:val="left"/>
              <w:rPr>
                <w:b/>
                <w:bCs/>
                <w:color w:val="000000"/>
                <w:sz w:val="20"/>
                <w:szCs w:val="20"/>
                <w:lang w:val="en-US"/>
              </w:rPr>
            </w:pPr>
            <w:r w:rsidRPr="00410EE7">
              <w:rPr>
                <w:b/>
                <w:bCs/>
                <w:color w:val="000000"/>
                <w:sz w:val="20"/>
                <w:szCs w:val="20"/>
                <w:lang w:val="en-US"/>
              </w:rPr>
              <w:t>Variable</w:t>
            </w:r>
          </w:p>
        </w:tc>
        <w:tc>
          <w:tcPr>
            <w:tcW w:w="1559" w:type="dxa"/>
            <w:tcBorders>
              <w:top w:val="single" w:sz="12" w:space="0" w:color="008000"/>
            </w:tcBorders>
            <w:noWrap/>
            <w:hideMark/>
          </w:tcPr>
          <w:p w:rsidR="007B5E02" w:rsidRPr="00410EE7" w:rsidRDefault="007B5E02" w:rsidP="006123F4">
            <w:pPr>
              <w:spacing w:line="240" w:lineRule="auto"/>
              <w:jc w:val="center"/>
              <w:rPr>
                <w:b/>
                <w:color w:val="000000"/>
                <w:sz w:val="20"/>
                <w:szCs w:val="20"/>
                <w:lang w:val="en-US"/>
              </w:rPr>
            </w:pPr>
            <w:r w:rsidRPr="00410EE7">
              <w:rPr>
                <w:b/>
                <w:color w:val="000000"/>
                <w:sz w:val="20"/>
                <w:szCs w:val="20"/>
                <w:lang w:val="en-US"/>
              </w:rPr>
              <w:t>2004</w:t>
            </w:r>
          </w:p>
          <w:p w:rsidR="007B5E02" w:rsidRPr="00410EE7" w:rsidRDefault="007B5E02" w:rsidP="006123F4">
            <w:pPr>
              <w:spacing w:line="240" w:lineRule="auto"/>
              <w:jc w:val="center"/>
              <w:rPr>
                <w:color w:val="000000"/>
                <w:sz w:val="20"/>
                <w:szCs w:val="20"/>
                <w:lang w:val="en-US"/>
              </w:rPr>
            </w:pPr>
            <w:r w:rsidRPr="00410EE7">
              <w:rPr>
                <w:color w:val="000000"/>
                <w:sz w:val="20"/>
                <w:szCs w:val="20"/>
                <w:lang w:val="en-US"/>
              </w:rPr>
              <w:t>Mean</w:t>
            </w:r>
          </w:p>
          <w:p w:rsidR="007B5E02" w:rsidRPr="00410EE7" w:rsidRDefault="007B5E02" w:rsidP="006123F4">
            <w:pPr>
              <w:spacing w:line="240" w:lineRule="auto"/>
              <w:jc w:val="center"/>
              <w:rPr>
                <w:color w:val="000000"/>
                <w:sz w:val="20"/>
                <w:szCs w:val="20"/>
                <w:lang w:val="en-US"/>
              </w:rPr>
            </w:pPr>
            <w:r w:rsidRPr="00410EE7">
              <w:rPr>
                <w:color w:val="000000"/>
                <w:sz w:val="20"/>
                <w:szCs w:val="20"/>
                <w:lang w:val="en-US"/>
              </w:rPr>
              <w:t>Std. Dev.</w:t>
            </w:r>
          </w:p>
          <w:p w:rsidR="007B5E02" w:rsidRPr="00410EE7" w:rsidRDefault="007B5E02" w:rsidP="006123F4">
            <w:pPr>
              <w:spacing w:line="240" w:lineRule="auto"/>
              <w:jc w:val="center"/>
              <w:rPr>
                <w:color w:val="000000"/>
                <w:sz w:val="20"/>
                <w:szCs w:val="20"/>
                <w:lang w:val="en-US"/>
              </w:rPr>
            </w:pPr>
            <w:r w:rsidRPr="00410EE7">
              <w:rPr>
                <w:color w:val="000000"/>
                <w:sz w:val="20"/>
                <w:szCs w:val="20"/>
                <w:lang w:val="en-US"/>
              </w:rPr>
              <w:t>[Min, Max]</w:t>
            </w:r>
          </w:p>
        </w:tc>
        <w:tc>
          <w:tcPr>
            <w:tcW w:w="1843" w:type="dxa"/>
            <w:tcBorders>
              <w:top w:val="single" w:sz="12" w:space="0" w:color="008000"/>
            </w:tcBorders>
            <w:noWrap/>
            <w:hideMark/>
          </w:tcPr>
          <w:p w:rsidR="007B5E02" w:rsidRPr="00410EE7" w:rsidRDefault="007B5E02" w:rsidP="006123F4">
            <w:pPr>
              <w:spacing w:line="240" w:lineRule="auto"/>
              <w:jc w:val="center"/>
              <w:rPr>
                <w:b/>
                <w:color w:val="000000"/>
                <w:sz w:val="20"/>
                <w:szCs w:val="20"/>
                <w:lang w:val="en-US"/>
              </w:rPr>
            </w:pPr>
            <w:r w:rsidRPr="00410EE7">
              <w:rPr>
                <w:b/>
                <w:color w:val="000000"/>
                <w:sz w:val="20"/>
                <w:szCs w:val="20"/>
                <w:lang w:val="en-US"/>
              </w:rPr>
              <w:t>2005</w:t>
            </w:r>
          </w:p>
          <w:p w:rsidR="007B5E02" w:rsidRPr="00410EE7" w:rsidRDefault="007B5E02" w:rsidP="006123F4">
            <w:pPr>
              <w:spacing w:line="240" w:lineRule="auto"/>
              <w:jc w:val="center"/>
              <w:rPr>
                <w:color w:val="000000"/>
                <w:sz w:val="20"/>
                <w:szCs w:val="20"/>
                <w:lang w:val="en-US"/>
              </w:rPr>
            </w:pPr>
            <w:r w:rsidRPr="00410EE7">
              <w:rPr>
                <w:color w:val="000000"/>
                <w:sz w:val="20"/>
                <w:szCs w:val="20"/>
                <w:lang w:val="en-US"/>
              </w:rPr>
              <w:t>Mean</w:t>
            </w:r>
          </w:p>
          <w:p w:rsidR="007B5E02" w:rsidRPr="00410EE7" w:rsidRDefault="007B5E02" w:rsidP="006123F4">
            <w:pPr>
              <w:spacing w:line="240" w:lineRule="auto"/>
              <w:jc w:val="center"/>
              <w:rPr>
                <w:color w:val="000000"/>
                <w:sz w:val="20"/>
                <w:szCs w:val="20"/>
                <w:lang w:val="en-US"/>
              </w:rPr>
            </w:pPr>
            <w:r w:rsidRPr="00410EE7">
              <w:rPr>
                <w:color w:val="000000"/>
                <w:sz w:val="20"/>
                <w:szCs w:val="20"/>
                <w:lang w:val="en-US"/>
              </w:rPr>
              <w:t>Std. Dev.</w:t>
            </w:r>
          </w:p>
          <w:p w:rsidR="007B5E02" w:rsidRPr="00410EE7" w:rsidRDefault="007B5E02" w:rsidP="006123F4">
            <w:pPr>
              <w:spacing w:line="240" w:lineRule="auto"/>
              <w:jc w:val="center"/>
              <w:rPr>
                <w:color w:val="000000"/>
                <w:sz w:val="20"/>
                <w:szCs w:val="20"/>
                <w:lang w:val="en-US"/>
              </w:rPr>
            </w:pPr>
            <w:r w:rsidRPr="00410EE7">
              <w:rPr>
                <w:color w:val="000000"/>
                <w:sz w:val="20"/>
                <w:szCs w:val="20"/>
                <w:lang w:val="en-US"/>
              </w:rPr>
              <w:t>[Min, Max]</w:t>
            </w:r>
          </w:p>
        </w:tc>
        <w:tc>
          <w:tcPr>
            <w:tcW w:w="1701" w:type="dxa"/>
            <w:tcBorders>
              <w:top w:val="single" w:sz="12" w:space="0" w:color="008000"/>
            </w:tcBorders>
            <w:noWrap/>
            <w:hideMark/>
          </w:tcPr>
          <w:p w:rsidR="007B5E02" w:rsidRPr="00410EE7" w:rsidRDefault="007B5E02" w:rsidP="006123F4">
            <w:pPr>
              <w:spacing w:line="240" w:lineRule="auto"/>
              <w:jc w:val="center"/>
              <w:rPr>
                <w:b/>
                <w:color w:val="000000"/>
                <w:sz w:val="20"/>
                <w:szCs w:val="20"/>
                <w:lang w:val="en-US"/>
              </w:rPr>
            </w:pPr>
            <w:r w:rsidRPr="00410EE7">
              <w:rPr>
                <w:b/>
                <w:color w:val="000000"/>
                <w:sz w:val="20"/>
                <w:szCs w:val="20"/>
                <w:lang w:val="en-US"/>
              </w:rPr>
              <w:t>2006</w:t>
            </w:r>
          </w:p>
          <w:p w:rsidR="007B5E02" w:rsidRPr="00410EE7" w:rsidRDefault="007B5E02" w:rsidP="006123F4">
            <w:pPr>
              <w:spacing w:line="240" w:lineRule="auto"/>
              <w:jc w:val="center"/>
              <w:rPr>
                <w:color w:val="000000"/>
                <w:sz w:val="20"/>
                <w:szCs w:val="20"/>
                <w:lang w:val="en-US"/>
              </w:rPr>
            </w:pPr>
            <w:r w:rsidRPr="00410EE7">
              <w:rPr>
                <w:color w:val="000000"/>
                <w:sz w:val="20"/>
                <w:szCs w:val="20"/>
                <w:lang w:val="en-US"/>
              </w:rPr>
              <w:t>Mean</w:t>
            </w:r>
          </w:p>
          <w:p w:rsidR="007B5E02" w:rsidRPr="00410EE7" w:rsidRDefault="007B5E02" w:rsidP="006123F4">
            <w:pPr>
              <w:spacing w:line="240" w:lineRule="auto"/>
              <w:jc w:val="center"/>
              <w:rPr>
                <w:color w:val="000000"/>
                <w:sz w:val="20"/>
                <w:szCs w:val="20"/>
                <w:lang w:val="en-US"/>
              </w:rPr>
            </w:pPr>
            <w:r w:rsidRPr="00410EE7">
              <w:rPr>
                <w:color w:val="000000"/>
                <w:sz w:val="20"/>
                <w:szCs w:val="20"/>
                <w:lang w:val="en-US"/>
              </w:rPr>
              <w:t>Std. Dev.</w:t>
            </w:r>
          </w:p>
          <w:p w:rsidR="007B5E02" w:rsidRPr="00410EE7" w:rsidRDefault="007B5E02" w:rsidP="006123F4">
            <w:pPr>
              <w:spacing w:line="240" w:lineRule="auto"/>
              <w:jc w:val="center"/>
              <w:rPr>
                <w:color w:val="000000"/>
                <w:sz w:val="20"/>
                <w:szCs w:val="20"/>
                <w:lang w:val="en-US"/>
              </w:rPr>
            </w:pPr>
            <w:r w:rsidRPr="00410EE7">
              <w:rPr>
                <w:color w:val="000000"/>
                <w:sz w:val="20"/>
                <w:szCs w:val="20"/>
                <w:lang w:val="en-US"/>
              </w:rPr>
              <w:t>[Min, Max]</w:t>
            </w:r>
          </w:p>
        </w:tc>
        <w:tc>
          <w:tcPr>
            <w:tcW w:w="1842" w:type="dxa"/>
            <w:tcBorders>
              <w:top w:val="single" w:sz="12" w:space="0" w:color="008000"/>
            </w:tcBorders>
            <w:noWrap/>
            <w:hideMark/>
          </w:tcPr>
          <w:p w:rsidR="007B5E02" w:rsidRPr="00410EE7" w:rsidRDefault="007B5E02" w:rsidP="006123F4">
            <w:pPr>
              <w:spacing w:line="240" w:lineRule="auto"/>
              <w:jc w:val="center"/>
              <w:rPr>
                <w:b/>
                <w:color w:val="000000"/>
                <w:sz w:val="20"/>
                <w:szCs w:val="20"/>
                <w:lang w:val="en-US"/>
              </w:rPr>
            </w:pPr>
            <w:r w:rsidRPr="00410EE7">
              <w:rPr>
                <w:b/>
                <w:color w:val="000000"/>
                <w:sz w:val="20"/>
                <w:szCs w:val="20"/>
                <w:lang w:val="en-US"/>
              </w:rPr>
              <w:t>2007</w:t>
            </w:r>
          </w:p>
          <w:p w:rsidR="007B5E02" w:rsidRPr="00410EE7" w:rsidRDefault="007B5E02" w:rsidP="006123F4">
            <w:pPr>
              <w:spacing w:line="240" w:lineRule="auto"/>
              <w:jc w:val="center"/>
              <w:rPr>
                <w:color w:val="000000"/>
                <w:sz w:val="20"/>
                <w:szCs w:val="20"/>
                <w:lang w:val="en-US"/>
              </w:rPr>
            </w:pPr>
            <w:r w:rsidRPr="00410EE7">
              <w:rPr>
                <w:color w:val="000000"/>
                <w:sz w:val="20"/>
                <w:szCs w:val="20"/>
                <w:lang w:val="en-US"/>
              </w:rPr>
              <w:t>Mean</w:t>
            </w:r>
          </w:p>
          <w:p w:rsidR="007B5E02" w:rsidRPr="00410EE7" w:rsidRDefault="007B5E02" w:rsidP="006123F4">
            <w:pPr>
              <w:spacing w:line="240" w:lineRule="auto"/>
              <w:jc w:val="center"/>
              <w:rPr>
                <w:color w:val="000000"/>
                <w:sz w:val="20"/>
                <w:szCs w:val="20"/>
                <w:lang w:val="en-US"/>
              </w:rPr>
            </w:pPr>
            <w:r w:rsidRPr="00410EE7">
              <w:rPr>
                <w:color w:val="000000"/>
                <w:sz w:val="20"/>
                <w:szCs w:val="20"/>
                <w:lang w:val="en-US"/>
              </w:rPr>
              <w:t>Std. Dev.</w:t>
            </w:r>
          </w:p>
          <w:p w:rsidR="007B5E02" w:rsidRPr="00410EE7" w:rsidRDefault="007B5E02" w:rsidP="006123F4">
            <w:pPr>
              <w:spacing w:line="240" w:lineRule="auto"/>
              <w:jc w:val="center"/>
              <w:rPr>
                <w:color w:val="000000"/>
                <w:sz w:val="20"/>
                <w:szCs w:val="20"/>
                <w:lang w:val="en-US"/>
              </w:rPr>
            </w:pPr>
            <w:r w:rsidRPr="00410EE7">
              <w:rPr>
                <w:color w:val="000000"/>
                <w:sz w:val="20"/>
                <w:szCs w:val="20"/>
                <w:lang w:val="en-US"/>
              </w:rPr>
              <w:t>[Min, Max]</w:t>
            </w:r>
          </w:p>
        </w:tc>
        <w:tc>
          <w:tcPr>
            <w:tcW w:w="2127" w:type="dxa"/>
            <w:tcBorders>
              <w:top w:val="single" w:sz="12" w:space="0" w:color="008000"/>
            </w:tcBorders>
            <w:noWrap/>
            <w:hideMark/>
          </w:tcPr>
          <w:p w:rsidR="007B5E02" w:rsidRPr="00410EE7" w:rsidRDefault="007B5E02" w:rsidP="006123F4">
            <w:pPr>
              <w:spacing w:line="240" w:lineRule="auto"/>
              <w:jc w:val="center"/>
              <w:rPr>
                <w:b/>
                <w:color w:val="000000"/>
                <w:sz w:val="20"/>
                <w:szCs w:val="20"/>
                <w:lang w:val="en-US"/>
              </w:rPr>
            </w:pPr>
            <w:r w:rsidRPr="00410EE7">
              <w:rPr>
                <w:b/>
                <w:color w:val="000000"/>
                <w:sz w:val="20"/>
                <w:szCs w:val="20"/>
                <w:lang w:val="en-US"/>
              </w:rPr>
              <w:t>2008</w:t>
            </w:r>
          </w:p>
          <w:p w:rsidR="007B5E02" w:rsidRPr="00410EE7" w:rsidRDefault="007B5E02" w:rsidP="006123F4">
            <w:pPr>
              <w:spacing w:line="240" w:lineRule="auto"/>
              <w:jc w:val="center"/>
              <w:rPr>
                <w:color w:val="000000"/>
                <w:sz w:val="20"/>
                <w:szCs w:val="20"/>
                <w:lang w:val="en-US"/>
              </w:rPr>
            </w:pPr>
            <w:r w:rsidRPr="00410EE7">
              <w:rPr>
                <w:color w:val="000000"/>
                <w:sz w:val="20"/>
                <w:szCs w:val="20"/>
                <w:lang w:val="en-US"/>
              </w:rPr>
              <w:t>Mean</w:t>
            </w:r>
          </w:p>
          <w:p w:rsidR="007B5E02" w:rsidRPr="00410EE7" w:rsidRDefault="007B5E02" w:rsidP="006123F4">
            <w:pPr>
              <w:spacing w:line="240" w:lineRule="auto"/>
              <w:jc w:val="center"/>
              <w:rPr>
                <w:color w:val="000000"/>
                <w:sz w:val="20"/>
                <w:szCs w:val="20"/>
                <w:lang w:val="en-US"/>
              </w:rPr>
            </w:pPr>
            <w:r w:rsidRPr="00410EE7">
              <w:rPr>
                <w:color w:val="000000"/>
                <w:sz w:val="20"/>
                <w:szCs w:val="20"/>
                <w:lang w:val="en-US"/>
              </w:rPr>
              <w:t>Std. Dev.</w:t>
            </w:r>
          </w:p>
          <w:p w:rsidR="007B5E02" w:rsidRPr="00410EE7" w:rsidRDefault="007B5E02" w:rsidP="006123F4">
            <w:pPr>
              <w:spacing w:line="240" w:lineRule="auto"/>
              <w:jc w:val="center"/>
              <w:rPr>
                <w:color w:val="000000"/>
                <w:sz w:val="20"/>
                <w:szCs w:val="20"/>
                <w:lang w:val="en-US"/>
              </w:rPr>
            </w:pPr>
            <w:r w:rsidRPr="00410EE7">
              <w:rPr>
                <w:color w:val="000000"/>
                <w:sz w:val="20"/>
                <w:szCs w:val="20"/>
                <w:lang w:val="en-US"/>
              </w:rPr>
              <w:t>[Min, Max]</w:t>
            </w:r>
          </w:p>
        </w:tc>
        <w:tc>
          <w:tcPr>
            <w:tcW w:w="2551" w:type="dxa"/>
            <w:tcBorders>
              <w:top w:val="single" w:sz="12" w:space="0" w:color="008000"/>
            </w:tcBorders>
            <w:noWrap/>
            <w:hideMark/>
          </w:tcPr>
          <w:p w:rsidR="007B5E02" w:rsidRPr="00410EE7" w:rsidRDefault="007B5E02" w:rsidP="006123F4">
            <w:pPr>
              <w:spacing w:line="240" w:lineRule="auto"/>
              <w:jc w:val="center"/>
              <w:rPr>
                <w:b/>
                <w:color w:val="000000"/>
                <w:sz w:val="20"/>
                <w:szCs w:val="20"/>
                <w:lang w:val="en-US"/>
              </w:rPr>
            </w:pPr>
            <w:r w:rsidRPr="00410EE7">
              <w:rPr>
                <w:b/>
                <w:color w:val="000000"/>
                <w:sz w:val="20"/>
                <w:szCs w:val="20"/>
                <w:lang w:val="en-US"/>
              </w:rPr>
              <w:t>2009</w:t>
            </w:r>
          </w:p>
          <w:p w:rsidR="007B5E02" w:rsidRPr="00410EE7" w:rsidRDefault="007B5E02" w:rsidP="006123F4">
            <w:pPr>
              <w:spacing w:line="240" w:lineRule="auto"/>
              <w:jc w:val="center"/>
              <w:rPr>
                <w:color w:val="000000"/>
                <w:sz w:val="20"/>
                <w:szCs w:val="20"/>
                <w:lang w:val="en-US"/>
              </w:rPr>
            </w:pPr>
            <w:r w:rsidRPr="00410EE7">
              <w:rPr>
                <w:color w:val="000000"/>
                <w:sz w:val="20"/>
                <w:szCs w:val="20"/>
                <w:lang w:val="en-US"/>
              </w:rPr>
              <w:t>Mean</w:t>
            </w:r>
          </w:p>
          <w:p w:rsidR="007B5E02" w:rsidRPr="00410EE7" w:rsidRDefault="007B5E02" w:rsidP="006123F4">
            <w:pPr>
              <w:spacing w:line="240" w:lineRule="auto"/>
              <w:jc w:val="center"/>
              <w:rPr>
                <w:color w:val="000000"/>
                <w:sz w:val="20"/>
                <w:szCs w:val="20"/>
                <w:lang w:val="en-US"/>
              </w:rPr>
            </w:pPr>
            <w:r w:rsidRPr="00410EE7">
              <w:rPr>
                <w:color w:val="000000"/>
                <w:sz w:val="20"/>
                <w:szCs w:val="20"/>
                <w:lang w:val="en-US"/>
              </w:rPr>
              <w:t>Std. Dev.</w:t>
            </w:r>
          </w:p>
          <w:p w:rsidR="007B5E02" w:rsidRPr="00410EE7" w:rsidRDefault="007B5E02" w:rsidP="006123F4">
            <w:pPr>
              <w:spacing w:line="240" w:lineRule="auto"/>
              <w:jc w:val="center"/>
              <w:rPr>
                <w:color w:val="000000"/>
                <w:sz w:val="20"/>
                <w:szCs w:val="20"/>
                <w:lang w:val="en-US"/>
              </w:rPr>
            </w:pPr>
            <w:r w:rsidRPr="00410EE7">
              <w:rPr>
                <w:color w:val="000000"/>
                <w:sz w:val="20"/>
                <w:szCs w:val="20"/>
                <w:lang w:val="en-US"/>
              </w:rPr>
              <w:t>[Min, Max]</w:t>
            </w:r>
          </w:p>
        </w:tc>
      </w:tr>
      <w:tr w:rsidR="00D62579" w:rsidRPr="00410EE7" w:rsidTr="00B73C26">
        <w:trPr>
          <w:trHeight w:val="227"/>
        </w:trPr>
        <w:tc>
          <w:tcPr>
            <w:tcW w:w="2411" w:type="dxa"/>
            <w:tcBorders>
              <w:top w:val="single" w:sz="6" w:space="0" w:color="008000"/>
              <w:bottom w:val="nil"/>
            </w:tcBorders>
            <w:noWrap/>
          </w:tcPr>
          <w:p w:rsidR="00D62579" w:rsidRPr="00410EE7" w:rsidRDefault="00D62579" w:rsidP="00B73C26">
            <w:pPr>
              <w:spacing w:line="240" w:lineRule="auto"/>
              <w:jc w:val="left"/>
              <w:rPr>
                <w:b/>
                <w:bCs/>
                <w:color w:val="000000"/>
                <w:sz w:val="20"/>
                <w:szCs w:val="20"/>
                <w:lang w:val="en-US"/>
              </w:rPr>
            </w:pPr>
            <w:proofErr w:type="spellStart"/>
            <w:r w:rsidRPr="00410EE7">
              <w:rPr>
                <w:b/>
                <w:color w:val="000000"/>
                <w:sz w:val="20"/>
                <w:szCs w:val="20"/>
                <w:lang w:eastAsia="en-GB"/>
              </w:rPr>
              <w:t>Non attendance</w:t>
            </w:r>
            <w:proofErr w:type="spellEnd"/>
            <w:r>
              <w:rPr>
                <w:b/>
                <w:color w:val="000000"/>
                <w:sz w:val="20"/>
                <w:szCs w:val="20"/>
                <w:lang w:eastAsia="en-GB"/>
              </w:rPr>
              <w:t xml:space="preserve"> rate</w:t>
            </w:r>
          </w:p>
        </w:tc>
        <w:tc>
          <w:tcPr>
            <w:tcW w:w="1559" w:type="dxa"/>
            <w:tcBorders>
              <w:top w:val="single" w:sz="6" w:space="0" w:color="008000"/>
              <w:bottom w:val="nil"/>
            </w:tcBorders>
            <w:noWrap/>
          </w:tcPr>
          <w:p w:rsidR="00D62579" w:rsidRPr="00410EE7" w:rsidRDefault="00D62579" w:rsidP="00427F11">
            <w:pPr>
              <w:spacing w:line="240" w:lineRule="auto"/>
              <w:jc w:val="center"/>
              <w:rPr>
                <w:color w:val="000000"/>
                <w:sz w:val="20"/>
                <w:szCs w:val="20"/>
                <w:lang w:val="en-US"/>
              </w:rPr>
            </w:pPr>
            <w:r w:rsidRPr="00410EE7">
              <w:rPr>
                <w:color w:val="000000"/>
                <w:sz w:val="20"/>
                <w:szCs w:val="20"/>
                <w:lang w:val="en-US"/>
              </w:rPr>
              <w:t>0.071</w:t>
            </w:r>
          </w:p>
        </w:tc>
        <w:tc>
          <w:tcPr>
            <w:tcW w:w="1843" w:type="dxa"/>
            <w:tcBorders>
              <w:top w:val="single" w:sz="6" w:space="0" w:color="008000"/>
              <w:bottom w:val="nil"/>
            </w:tcBorders>
            <w:noWrap/>
          </w:tcPr>
          <w:p w:rsidR="00D62579" w:rsidRPr="00410EE7" w:rsidRDefault="00D62579" w:rsidP="00427F11">
            <w:pPr>
              <w:spacing w:line="240" w:lineRule="auto"/>
              <w:jc w:val="center"/>
              <w:rPr>
                <w:color w:val="000000"/>
                <w:sz w:val="20"/>
                <w:szCs w:val="20"/>
                <w:lang w:val="en-US"/>
              </w:rPr>
            </w:pPr>
            <w:r w:rsidRPr="00410EE7">
              <w:rPr>
                <w:color w:val="000000"/>
                <w:sz w:val="20"/>
                <w:szCs w:val="20"/>
                <w:lang w:val="en-US"/>
              </w:rPr>
              <w:t>0.071</w:t>
            </w:r>
          </w:p>
        </w:tc>
        <w:tc>
          <w:tcPr>
            <w:tcW w:w="1701" w:type="dxa"/>
            <w:tcBorders>
              <w:top w:val="single" w:sz="6" w:space="0" w:color="008000"/>
              <w:bottom w:val="nil"/>
            </w:tcBorders>
            <w:noWrap/>
          </w:tcPr>
          <w:p w:rsidR="00D62579" w:rsidRPr="00410EE7" w:rsidRDefault="00D62579" w:rsidP="00427F11">
            <w:pPr>
              <w:spacing w:line="240" w:lineRule="auto"/>
              <w:jc w:val="center"/>
              <w:rPr>
                <w:color w:val="000000"/>
                <w:sz w:val="20"/>
                <w:szCs w:val="20"/>
                <w:lang w:val="en-US"/>
              </w:rPr>
            </w:pPr>
            <w:r w:rsidRPr="00410EE7">
              <w:rPr>
                <w:color w:val="000000"/>
                <w:sz w:val="20"/>
                <w:szCs w:val="20"/>
                <w:lang w:val="en-US"/>
              </w:rPr>
              <w:t>0.069</w:t>
            </w:r>
          </w:p>
        </w:tc>
        <w:tc>
          <w:tcPr>
            <w:tcW w:w="1842" w:type="dxa"/>
            <w:tcBorders>
              <w:top w:val="single" w:sz="6" w:space="0" w:color="008000"/>
              <w:bottom w:val="nil"/>
            </w:tcBorders>
            <w:noWrap/>
          </w:tcPr>
          <w:p w:rsidR="00D62579" w:rsidRPr="00410EE7" w:rsidRDefault="00D62579" w:rsidP="00427F11">
            <w:pPr>
              <w:spacing w:line="240" w:lineRule="auto"/>
              <w:jc w:val="center"/>
              <w:rPr>
                <w:color w:val="000000"/>
                <w:sz w:val="20"/>
                <w:szCs w:val="20"/>
                <w:lang w:val="en-US"/>
              </w:rPr>
            </w:pPr>
            <w:r w:rsidRPr="00410EE7">
              <w:rPr>
                <w:color w:val="000000"/>
                <w:sz w:val="20"/>
                <w:szCs w:val="20"/>
                <w:lang w:val="en-US"/>
              </w:rPr>
              <w:t>0.068</w:t>
            </w:r>
          </w:p>
        </w:tc>
        <w:tc>
          <w:tcPr>
            <w:tcW w:w="2127" w:type="dxa"/>
            <w:tcBorders>
              <w:top w:val="single" w:sz="6" w:space="0" w:color="008000"/>
              <w:bottom w:val="nil"/>
            </w:tcBorders>
            <w:noWrap/>
          </w:tcPr>
          <w:p w:rsidR="00D62579" w:rsidRPr="00410EE7" w:rsidRDefault="00D62579" w:rsidP="00427F11">
            <w:pPr>
              <w:spacing w:line="240" w:lineRule="auto"/>
              <w:jc w:val="center"/>
              <w:rPr>
                <w:color w:val="000000"/>
                <w:sz w:val="20"/>
                <w:szCs w:val="20"/>
                <w:lang w:val="en-US"/>
              </w:rPr>
            </w:pPr>
            <w:r w:rsidRPr="00410EE7">
              <w:rPr>
                <w:color w:val="000000"/>
                <w:sz w:val="20"/>
                <w:szCs w:val="20"/>
                <w:lang w:val="en-US"/>
              </w:rPr>
              <w:t>0.065</w:t>
            </w:r>
          </w:p>
        </w:tc>
        <w:tc>
          <w:tcPr>
            <w:tcW w:w="2551" w:type="dxa"/>
            <w:tcBorders>
              <w:top w:val="single" w:sz="6" w:space="0" w:color="008000"/>
              <w:bottom w:val="nil"/>
            </w:tcBorders>
            <w:noWrap/>
          </w:tcPr>
          <w:p w:rsidR="00D62579" w:rsidRPr="00410EE7" w:rsidRDefault="00D62579" w:rsidP="00427F11">
            <w:pPr>
              <w:spacing w:line="240" w:lineRule="auto"/>
              <w:jc w:val="center"/>
              <w:rPr>
                <w:color w:val="000000"/>
                <w:sz w:val="20"/>
                <w:szCs w:val="20"/>
                <w:lang w:val="en-US"/>
              </w:rPr>
            </w:pPr>
            <w:r w:rsidRPr="00410EE7">
              <w:rPr>
                <w:color w:val="000000"/>
                <w:sz w:val="20"/>
                <w:szCs w:val="20"/>
                <w:lang w:val="en-US"/>
              </w:rPr>
              <w:t>0.070</w:t>
            </w:r>
          </w:p>
        </w:tc>
      </w:tr>
      <w:tr w:rsidR="00D62579" w:rsidRPr="00410EE7" w:rsidTr="00B73C26">
        <w:trPr>
          <w:trHeight w:val="227"/>
        </w:trPr>
        <w:tc>
          <w:tcPr>
            <w:tcW w:w="2411" w:type="dxa"/>
            <w:tcBorders>
              <w:top w:val="nil"/>
              <w:bottom w:val="nil"/>
            </w:tcBorders>
            <w:noWrap/>
          </w:tcPr>
          <w:p w:rsidR="00D62579" w:rsidRPr="00410EE7" w:rsidRDefault="00D62579" w:rsidP="00B73C26">
            <w:pPr>
              <w:spacing w:line="240" w:lineRule="auto"/>
              <w:jc w:val="left"/>
              <w:rPr>
                <w:b/>
                <w:bCs/>
                <w:color w:val="000000"/>
                <w:sz w:val="20"/>
                <w:szCs w:val="20"/>
                <w:lang w:val="en-US"/>
              </w:rPr>
            </w:pPr>
          </w:p>
        </w:tc>
        <w:tc>
          <w:tcPr>
            <w:tcW w:w="1559" w:type="dxa"/>
            <w:tcBorders>
              <w:top w:val="nil"/>
              <w:bottom w:val="nil"/>
            </w:tcBorders>
            <w:noWrap/>
          </w:tcPr>
          <w:p w:rsidR="00D62579" w:rsidRPr="00410EE7" w:rsidRDefault="00D62579" w:rsidP="00427F11">
            <w:pPr>
              <w:spacing w:line="240" w:lineRule="auto"/>
              <w:jc w:val="center"/>
              <w:rPr>
                <w:color w:val="000000"/>
                <w:sz w:val="20"/>
                <w:szCs w:val="20"/>
                <w:lang w:val="en-US"/>
              </w:rPr>
            </w:pPr>
            <w:r w:rsidRPr="00410EE7">
              <w:rPr>
                <w:color w:val="000000"/>
                <w:sz w:val="20"/>
                <w:szCs w:val="20"/>
                <w:lang w:val="en-US"/>
              </w:rPr>
              <w:t>0.051</w:t>
            </w:r>
          </w:p>
        </w:tc>
        <w:tc>
          <w:tcPr>
            <w:tcW w:w="1843" w:type="dxa"/>
            <w:tcBorders>
              <w:top w:val="nil"/>
              <w:bottom w:val="nil"/>
            </w:tcBorders>
            <w:noWrap/>
          </w:tcPr>
          <w:p w:rsidR="00D62579" w:rsidRPr="00410EE7" w:rsidRDefault="00D62579" w:rsidP="00427F11">
            <w:pPr>
              <w:spacing w:line="240" w:lineRule="auto"/>
              <w:jc w:val="center"/>
              <w:rPr>
                <w:color w:val="000000"/>
                <w:sz w:val="20"/>
                <w:szCs w:val="20"/>
                <w:lang w:val="en-US"/>
              </w:rPr>
            </w:pPr>
            <w:r w:rsidRPr="00410EE7">
              <w:rPr>
                <w:color w:val="000000"/>
                <w:sz w:val="20"/>
                <w:szCs w:val="20"/>
                <w:lang w:val="en-US"/>
              </w:rPr>
              <w:t>0.048</w:t>
            </w:r>
          </w:p>
        </w:tc>
        <w:tc>
          <w:tcPr>
            <w:tcW w:w="1701" w:type="dxa"/>
            <w:tcBorders>
              <w:top w:val="nil"/>
              <w:bottom w:val="nil"/>
            </w:tcBorders>
            <w:noWrap/>
          </w:tcPr>
          <w:p w:rsidR="00D62579" w:rsidRPr="00410EE7" w:rsidRDefault="00D62579" w:rsidP="00427F11">
            <w:pPr>
              <w:spacing w:line="240" w:lineRule="auto"/>
              <w:jc w:val="center"/>
              <w:rPr>
                <w:color w:val="000000"/>
                <w:sz w:val="20"/>
                <w:szCs w:val="20"/>
                <w:lang w:val="en-US"/>
              </w:rPr>
            </w:pPr>
            <w:r w:rsidRPr="00410EE7">
              <w:rPr>
                <w:color w:val="000000"/>
                <w:sz w:val="20"/>
                <w:szCs w:val="20"/>
                <w:lang w:val="en-US"/>
              </w:rPr>
              <w:t>0.041</w:t>
            </w:r>
          </w:p>
        </w:tc>
        <w:tc>
          <w:tcPr>
            <w:tcW w:w="1842" w:type="dxa"/>
            <w:tcBorders>
              <w:top w:val="nil"/>
              <w:bottom w:val="nil"/>
            </w:tcBorders>
            <w:noWrap/>
          </w:tcPr>
          <w:p w:rsidR="00D62579" w:rsidRPr="00410EE7" w:rsidRDefault="00D62579" w:rsidP="00427F11">
            <w:pPr>
              <w:spacing w:line="240" w:lineRule="auto"/>
              <w:jc w:val="center"/>
              <w:rPr>
                <w:color w:val="000000"/>
                <w:sz w:val="20"/>
                <w:szCs w:val="20"/>
                <w:lang w:val="en-US"/>
              </w:rPr>
            </w:pPr>
            <w:r w:rsidRPr="00410EE7">
              <w:rPr>
                <w:color w:val="000000"/>
                <w:sz w:val="20"/>
                <w:szCs w:val="20"/>
                <w:lang w:val="en-US"/>
              </w:rPr>
              <w:t>0.037</w:t>
            </w:r>
          </w:p>
        </w:tc>
        <w:tc>
          <w:tcPr>
            <w:tcW w:w="2127" w:type="dxa"/>
            <w:tcBorders>
              <w:top w:val="nil"/>
              <w:bottom w:val="nil"/>
            </w:tcBorders>
            <w:noWrap/>
          </w:tcPr>
          <w:p w:rsidR="00D62579" w:rsidRPr="00410EE7" w:rsidRDefault="00D62579" w:rsidP="00427F11">
            <w:pPr>
              <w:spacing w:line="240" w:lineRule="auto"/>
              <w:jc w:val="center"/>
              <w:rPr>
                <w:color w:val="000000"/>
                <w:sz w:val="20"/>
                <w:szCs w:val="20"/>
                <w:lang w:val="en-US"/>
              </w:rPr>
            </w:pPr>
            <w:r w:rsidRPr="00410EE7">
              <w:rPr>
                <w:color w:val="000000"/>
                <w:sz w:val="20"/>
                <w:szCs w:val="20"/>
                <w:lang w:val="en-US"/>
              </w:rPr>
              <w:t>0.035</w:t>
            </w:r>
          </w:p>
        </w:tc>
        <w:tc>
          <w:tcPr>
            <w:tcW w:w="2551" w:type="dxa"/>
            <w:tcBorders>
              <w:top w:val="nil"/>
              <w:bottom w:val="nil"/>
            </w:tcBorders>
            <w:noWrap/>
          </w:tcPr>
          <w:p w:rsidR="00D62579" w:rsidRPr="00410EE7" w:rsidRDefault="00D62579" w:rsidP="00427F11">
            <w:pPr>
              <w:spacing w:line="240" w:lineRule="auto"/>
              <w:jc w:val="center"/>
              <w:rPr>
                <w:color w:val="000000"/>
                <w:sz w:val="20"/>
                <w:szCs w:val="20"/>
                <w:lang w:val="en-US"/>
              </w:rPr>
            </w:pPr>
            <w:r w:rsidRPr="00410EE7">
              <w:rPr>
                <w:color w:val="000000"/>
                <w:sz w:val="20"/>
                <w:szCs w:val="20"/>
                <w:lang w:val="en-US"/>
              </w:rPr>
              <w:t>0.037</w:t>
            </w:r>
          </w:p>
        </w:tc>
      </w:tr>
      <w:tr w:rsidR="00D62579" w:rsidRPr="00410EE7" w:rsidTr="00B73C26">
        <w:trPr>
          <w:trHeight w:val="227"/>
        </w:trPr>
        <w:tc>
          <w:tcPr>
            <w:tcW w:w="2411" w:type="dxa"/>
            <w:tcBorders>
              <w:top w:val="nil"/>
              <w:bottom w:val="nil"/>
            </w:tcBorders>
            <w:noWrap/>
          </w:tcPr>
          <w:p w:rsidR="00D62579" w:rsidRPr="00410EE7" w:rsidRDefault="00D62579" w:rsidP="00B73C26">
            <w:pPr>
              <w:spacing w:line="240" w:lineRule="auto"/>
              <w:jc w:val="left"/>
              <w:rPr>
                <w:b/>
                <w:bCs/>
                <w:color w:val="000000"/>
                <w:sz w:val="20"/>
                <w:szCs w:val="20"/>
                <w:lang w:val="en-US"/>
              </w:rPr>
            </w:pPr>
          </w:p>
        </w:tc>
        <w:tc>
          <w:tcPr>
            <w:tcW w:w="1559" w:type="dxa"/>
            <w:tcBorders>
              <w:top w:val="nil"/>
              <w:bottom w:val="nil"/>
            </w:tcBorders>
            <w:noWrap/>
          </w:tcPr>
          <w:p w:rsidR="00D62579" w:rsidRPr="00410EE7" w:rsidRDefault="00D62579" w:rsidP="00427F11">
            <w:pPr>
              <w:spacing w:line="240" w:lineRule="auto"/>
              <w:jc w:val="center"/>
              <w:rPr>
                <w:color w:val="000000"/>
                <w:sz w:val="20"/>
                <w:szCs w:val="20"/>
                <w:lang w:val="en-US"/>
              </w:rPr>
            </w:pPr>
            <w:r w:rsidRPr="00410EE7">
              <w:rPr>
                <w:color w:val="000000"/>
                <w:sz w:val="20"/>
                <w:szCs w:val="20"/>
                <w:lang w:val="en-US"/>
              </w:rPr>
              <w:t>[0, 0.55]</w:t>
            </w:r>
          </w:p>
        </w:tc>
        <w:tc>
          <w:tcPr>
            <w:tcW w:w="1843" w:type="dxa"/>
            <w:tcBorders>
              <w:top w:val="nil"/>
              <w:bottom w:val="nil"/>
            </w:tcBorders>
            <w:noWrap/>
          </w:tcPr>
          <w:p w:rsidR="00D62579" w:rsidRPr="00410EE7" w:rsidRDefault="00D62579" w:rsidP="00427F11">
            <w:pPr>
              <w:spacing w:line="240" w:lineRule="auto"/>
              <w:jc w:val="center"/>
              <w:rPr>
                <w:color w:val="000000"/>
                <w:sz w:val="20"/>
                <w:szCs w:val="20"/>
                <w:lang w:val="en-US"/>
              </w:rPr>
            </w:pPr>
            <w:r w:rsidRPr="00410EE7">
              <w:rPr>
                <w:color w:val="000000"/>
                <w:sz w:val="20"/>
                <w:szCs w:val="20"/>
                <w:lang w:val="en-US"/>
              </w:rPr>
              <w:t>[0, 0.625]</w:t>
            </w:r>
          </w:p>
        </w:tc>
        <w:tc>
          <w:tcPr>
            <w:tcW w:w="1701" w:type="dxa"/>
            <w:tcBorders>
              <w:top w:val="nil"/>
              <w:bottom w:val="nil"/>
            </w:tcBorders>
            <w:noWrap/>
          </w:tcPr>
          <w:p w:rsidR="00D62579" w:rsidRPr="00410EE7" w:rsidRDefault="00D62579" w:rsidP="00427F11">
            <w:pPr>
              <w:spacing w:line="240" w:lineRule="auto"/>
              <w:jc w:val="center"/>
              <w:rPr>
                <w:color w:val="000000"/>
                <w:sz w:val="20"/>
                <w:szCs w:val="20"/>
                <w:lang w:val="en-US"/>
              </w:rPr>
            </w:pPr>
            <w:r w:rsidRPr="00410EE7">
              <w:rPr>
                <w:color w:val="000000"/>
                <w:sz w:val="20"/>
                <w:szCs w:val="20"/>
                <w:lang w:val="en-US"/>
              </w:rPr>
              <w:t>[0, 0.750]</w:t>
            </w:r>
          </w:p>
        </w:tc>
        <w:tc>
          <w:tcPr>
            <w:tcW w:w="1842" w:type="dxa"/>
            <w:tcBorders>
              <w:top w:val="nil"/>
              <w:bottom w:val="nil"/>
            </w:tcBorders>
            <w:noWrap/>
          </w:tcPr>
          <w:p w:rsidR="00D62579" w:rsidRPr="00410EE7" w:rsidRDefault="00D62579" w:rsidP="00427F11">
            <w:pPr>
              <w:spacing w:line="240" w:lineRule="auto"/>
              <w:jc w:val="center"/>
              <w:rPr>
                <w:color w:val="000000"/>
                <w:sz w:val="20"/>
                <w:szCs w:val="20"/>
                <w:lang w:val="en-US"/>
              </w:rPr>
            </w:pPr>
            <w:r w:rsidRPr="00410EE7">
              <w:rPr>
                <w:color w:val="000000"/>
                <w:sz w:val="20"/>
                <w:szCs w:val="20"/>
                <w:lang w:val="en-US"/>
              </w:rPr>
              <w:t>[0, 0.556]</w:t>
            </w:r>
          </w:p>
        </w:tc>
        <w:tc>
          <w:tcPr>
            <w:tcW w:w="2127" w:type="dxa"/>
            <w:tcBorders>
              <w:top w:val="nil"/>
              <w:bottom w:val="nil"/>
            </w:tcBorders>
            <w:noWrap/>
          </w:tcPr>
          <w:p w:rsidR="00D62579" w:rsidRPr="00410EE7" w:rsidRDefault="00D62579" w:rsidP="00427F11">
            <w:pPr>
              <w:spacing w:line="240" w:lineRule="auto"/>
              <w:jc w:val="center"/>
              <w:rPr>
                <w:color w:val="000000"/>
                <w:sz w:val="20"/>
                <w:szCs w:val="20"/>
                <w:lang w:val="en-US"/>
              </w:rPr>
            </w:pPr>
            <w:r w:rsidRPr="00410EE7">
              <w:rPr>
                <w:color w:val="000000"/>
                <w:sz w:val="20"/>
                <w:szCs w:val="20"/>
                <w:lang w:val="en-US"/>
              </w:rPr>
              <w:t>[0, 0.486]</w:t>
            </w:r>
          </w:p>
        </w:tc>
        <w:tc>
          <w:tcPr>
            <w:tcW w:w="2551" w:type="dxa"/>
            <w:tcBorders>
              <w:top w:val="nil"/>
              <w:bottom w:val="nil"/>
            </w:tcBorders>
            <w:noWrap/>
          </w:tcPr>
          <w:p w:rsidR="00D62579" w:rsidRPr="00410EE7" w:rsidRDefault="00D62579" w:rsidP="00427F11">
            <w:pPr>
              <w:spacing w:line="240" w:lineRule="auto"/>
              <w:jc w:val="center"/>
              <w:rPr>
                <w:color w:val="000000"/>
                <w:sz w:val="20"/>
                <w:szCs w:val="20"/>
                <w:lang w:val="en-US"/>
              </w:rPr>
            </w:pPr>
            <w:r w:rsidRPr="00410EE7">
              <w:rPr>
                <w:color w:val="000000"/>
                <w:sz w:val="20"/>
                <w:szCs w:val="20"/>
                <w:lang w:val="en-US"/>
              </w:rPr>
              <w:t>[0,1]</w:t>
            </w:r>
          </w:p>
        </w:tc>
      </w:tr>
      <w:tr w:rsidR="00D62579" w:rsidRPr="00410EE7" w:rsidTr="00B73C26">
        <w:trPr>
          <w:trHeight w:val="227"/>
        </w:trPr>
        <w:tc>
          <w:tcPr>
            <w:tcW w:w="2411" w:type="dxa"/>
            <w:noWrap/>
            <w:hideMark/>
          </w:tcPr>
          <w:p w:rsidR="00D62579" w:rsidRPr="00410EE7" w:rsidRDefault="00B73C26" w:rsidP="00B73C26">
            <w:pPr>
              <w:spacing w:line="240" w:lineRule="auto"/>
              <w:jc w:val="left"/>
              <w:rPr>
                <w:b/>
                <w:bCs/>
                <w:color w:val="000000"/>
                <w:sz w:val="20"/>
                <w:szCs w:val="20"/>
                <w:lang w:val="en-US"/>
              </w:rPr>
            </w:pPr>
            <w:r>
              <w:rPr>
                <w:b/>
                <w:color w:val="000000"/>
                <w:sz w:val="20"/>
                <w:szCs w:val="20"/>
                <w:lang w:eastAsia="en-GB"/>
              </w:rPr>
              <w:t>Patient c</w:t>
            </w:r>
            <w:r w:rsidR="00D62579" w:rsidRPr="00410EE7">
              <w:rPr>
                <w:b/>
                <w:color w:val="000000"/>
                <w:sz w:val="20"/>
                <w:szCs w:val="20"/>
                <w:lang w:eastAsia="en-GB"/>
              </w:rPr>
              <w:t>ancellation</w:t>
            </w:r>
            <w:r w:rsidR="00D62579">
              <w:rPr>
                <w:b/>
                <w:color w:val="000000"/>
                <w:sz w:val="20"/>
                <w:szCs w:val="20"/>
                <w:lang w:eastAsia="en-GB"/>
              </w:rPr>
              <w:t xml:space="preserve"> rate</w:t>
            </w:r>
          </w:p>
        </w:tc>
        <w:tc>
          <w:tcPr>
            <w:tcW w:w="1559" w:type="dxa"/>
            <w:noWrap/>
            <w:hideMark/>
          </w:tcPr>
          <w:p w:rsidR="00D62579" w:rsidRPr="00410EE7" w:rsidRDefault="00D62579" w:rsidP="006123F4">
            <w:pPr>
              <w:spacing w:line="240" w:lineRule="auto"/>
              <w:jc w:val="center"/>
              <w:rPr>
                <w:color w:val="000000"/>
                <w:sz w:val="20"/>
                <w:szCs w:val="20"/>
                <w:lang w:val="en-US"/>
              </w:rPr>
            </w:pPr>
            <w:r w:rsidRPr="00410EE7">
              <w:rPr>
                <w:color w:val="000000"/>
                <w:sz w:val="20"/>
                <w:szCs w:val="20"/>
                <w:lang w:val="en-US"/>
              </w:rPr>
              <w:t>0.034</w:t>
            </w:r>
          </w:p>
        </w:tc>
        <w:tc>
          <w:tcPr>
            <w:tcW w:w="1843" w:type="dxa"/>
            <w:noWrap/>
            <w:hideMark/>
          </w:tcPr>
          <w:p w:rsidR="00D62579" w:rsidRPr="00410EE7" w:rsidRDefault="00D62579" w:rsidP="006123F4">
            <w:pPr>
              <w:spacing w:line="240" w:lineRule="auto"/>
              <w:jc w:val="center"/>
              <w:rPr>
                <w:color w:val="000000"/>
                <w:sz w:val="20"/>
                <w:szCs w:val="20"/>
                <w:lang w:val="en-US"/>
              </w:rPr>
            </w:pPr>
            <w:r w:rsidRPr="00410EE7">
              <w:rPr>
                <w:color w:val="000000"/>
                <w:sz w:val="20"/>
                <w:szCs w:val="20"/>
                <w:lang w:val="en-US"/>
              </w:rPr>
              <w:t>0.035</w:t>
            </w:r>
          </w:p>
        </w:tc>
        <w:tc>
          <w:tcPr>
            <w:tcW w:w="1701" w:type="dxa"/>
            <w:noWrap/>
            <w:hideMark/>
          </w:tcPr>
          <w:p w:rsidR="00D62579" w:rsidRPr="00410EE7" w:rsidRDefault="00D62579" w:rsidP="006123F4">
            <w:pPr>
              <w:spacing w:line="240" w:lineRule="auto"/>
              <w:jc w:val="center"/>
              <w:rPr>
                <w:color w:val="000000"/>
                <w:sz w:val="20"/>
                <w:szCs w:val="20"/>
                <w:lang w:val="en-US"/>
              </w:rPr>
            </w:pPr>
            <w:r w:rsidRPr="00410EE7">
              <w:rPr>
                <w:color w:val="000000"/>
                <w:sz w:val="20"/>
                <w:szCs w:val="20"/>
                <w:lang w:val="en-US"/>
              </w:rPr>
              <w:t>0.036</w:t>
            </w:r>
          </w:p>
        </w:tc>
        <w:tc>
          <w:tcPr>
            <w:tcW w:w="1842" w:type="dxa"/>
            <w:noWrap/>
            <w:hideMark/>
          </w:tcPr>
          <w:p w:rsidR="00D62579" w:rsidRPr="00410EE7" w:rsidRDefault="00D62579" w:rsidP="006123F4">
            <w:pPr>
              <w:spacing w:line="240" w:lineRule="auto"/>
              <w:jc w:val="center"/>
              <w:rPr>
                <w:color w:val="000000"/>
                <w:sz w:val="20"/>
                <w:szCs w:val="20"/>
                <w:lang w:val="en-US"/>
              </w:rPr>
            </w:pPr>
            <w:r w:rsidRPr="00410EE7">
              <w:rPr>
                <w:color w:val="000000"/>
                <w:sz w:val="20"/>
                <w:szCs w:val="20"/>
                <w:lang w:val="en-US"/>
              </w:rPr>
              <w:t>0.042</w:t>
            </w:r>
          </w:p>
        </w:tc>
        <w:tc>
          <w:tcPr>
            <w:tcW w:w="2127" w:type="dxa"/>
            <w:noWrap/>
            <w:hideMark/>
          </w:tcPr>
          <w:p w:rsidR="00D62579" w:rsidRPr="00410EE7" w:rsidRDefault="00D62579" w:rsidP="006123F4">
            <w:pPr>
              <w:spacing w:line="240" w:lineRule="auto"/>
              <w:jc w:val="center"/>
              <w:rPr>
                <w:color w:val="000000"/>
                <w:sz w:val="20"/>
                <w:szCs w:val="20"/>
                <w:lang w:val="en-US"/>
              </w:rPr>
            </w:pPr>
            <w:r w:rsidRPr="00410EE7">
              <w:rPr>
                <w:color w:val="000000"/>
                <w:sz w:val="20"/>
                <w:szCs w:val="20"/>
                <w:lang w:val="en-US"/>
              </w:rPr>
              <w:t>0.048</w:t>
            </w:r>
          </w:p>
        </w:tc>
        <w:tc>
          <w:tcPr>
            <w:tcW w:w="2551" w:type="dxa"/>
            <w:noWrap/>
            <w:hideMark/>
          </w:tcPr>
          <w:p w:rsidR="00D62579" w:rsidRPr="00410EE7" w:rsidRDefault="00D62579" w:rsidP="006123F4">
            <w:pPr>
              <w:spacing w:line="240" w:lineRule="auto"/>
              <w:jc w:val="center"/>
              <w:rPr>
                <w:color w:val="000000"/>
                <w:sz w:val="20"/>
                <w:szCs w:val="20"/>
                <w:lang w:val="en-US"/>
              </w:rPr>
            </w:pPr>
            <w:r w:rsidRPr="00410EE7">
              <w:rPr>
                <w:color w:val="000000"/>
                <w:sz w:val="20"/>
                <w:szCs w:val="20"/>
                <w:lang w:val="en-US"/>
              </w:rPr>
              <w:t>0.054</w:t>
            </w:r>
          </w:p>
        </w:tc>
      </w:tr>
      <w:tr w:rsidR="00D62579" w:rsidRPr="00410EE7" w:rsidTr="00B73C26">
        <w:trPr>
          <w:trHeight w:val="227"/>
        </w:trPr>
        <w:tc>
          <w:tcPr>
            <w:tcW w:w="2411" w:type="dxa"/>
            <w:noWrap/>
          </w:tcPr>
          <w:p w:rsidR="00D62579" w:rsidRPr="00410EE7" w:rsidRDefault="00D62579" w:rsidP="00B73C26">
            <w:pPr>
              <w:spacing w:line="240" w:lineRule="auto"/>
              <w:jc w:val="left"/>
              <w:rPr>
                <w:b/>
                <w:bCs/>
                <w:color w:val="000000"/>
                <w:sz w:val="20"/>
                <w:szCs w:val="20"/>
                <w:lang w:val="en-US"/>
              </w:rPr>
            </w:pPr>
          </w:p>
        </w:tc>
        <w:tc>
          <w:tcPr>
            <w:tcW w:w="1559" w:type="dxa"/>
            <w:noWrap/>
            <w:hideMark/>
          </w:tcPr>
          <w:p w:rsidR="00D62579" w:rsidRPr="00410EE7" w:rsidRDefault="00D62579" w:rsidP="006123F4">
            <w:pPr>
              <w:spacing w:line="240" w:lineRule="auto"/>
              <w:jc w:val="center"/>
              <w:rPr>
                <w:color w:val="000000"/>
                <w:sz w:val="20"/>
                <w:szCs w:val="20"/>
                <w:lang w:val="en-US"/>
              </w:rPr>
            </w:pPr>
            <w:r w:rsidRPr="00410EE7">
              <w:rPr>
                <w:color w:val="000000"/>
                <w:sz w:val="20"/>
                <w:szCs w:val="20"/>
                <w:lang w:val="en-US"/>
              </w:rPr>
              <w:t>0.048</w:t>
            </w:r>
          </w:p>
        </w:tc>
        <w:tc>
          <w:tcPr>
            <w:tcW w:w="1843" w:type="dxa"/>
            <w:noWrap/>
            <w:hideMark/>
          </w:tcPr>
          <w:p w:rsidR="00D62579" w:rsidRPr="00410EE7" w:rsidRDefault="00D62579" w:rsidP="006123F4">
            <w:pPr>
              <w:spacing w:line="240" w:lineRule="auto"/>
              <w:jc w:val="center"/>
              <w:rPr>
                <w:color w:val="000000"/>
                <w:sz w:val="20"/>
                <w:szCs w:val="20"/>
                <w:lang w:val="en-US"/>
              </w:rPr>
            </w:pPr>
            <w:r w:rsidRPr="00410EE7">
              <w:rPr>
                <w:color w:val="000000"/>
                <w:sz w:val="20"/>
                <w:szCs w:val="20"/>
                <w:lang w:val="en-US"/>
              </w:rPr>
              <w:t>0.046</w:t>
            </w:r>
          </w:p>
        </w:tc>
        <w:tc>
          <w:tcPr>
            <w:tcW w:w="1701" w:type="dxa"/>
            <w:noWrap/>
            <w:hideMark/>
          </w:tcPr>
          <w:p w:rsidR="00D62579" w:rsidRPr="00410EE7" w:rsidRDefault="00D62579" w:rsidP="006123F4">
            <w:pPr>
              <w:spacing w:line="240" w:lineRule="auto"/>
              <w:jc w:val="center"/>
              <w:rPr>
                <w:color w:val="000000"/>
                <w:sz w:val="20"/>
                <w:szCs w:val="20"/>
                <w:lang w:val="en-US"/>
              </w:rPr>
            </w:pPr>
            <w:r w:rsidRPr="00410EE7">
              <w:rPr>
                <w:color w:val="000000"/>
                <w:sz w:val="20"/>
                <w:szCs w:val="20"/>
                <w:lang w:val="en-US"/>
              </w:rPr>
              <w:t>0.043</w:t>
            </w:r>
          </w:p>
        </w:tc>
        <w:tc>
          <w:tcPr>
            <w:tcW w:w="1842" w:type="dxa"/>
            <w:noWrap/>
            <w:hideMark/>
          </w:tcPr>
          <w:p w:rsidR="00D62579" w:rsidRPr="00410EE7" w:rsidRDefault="00D62579" w:rsidP="006123F4">
            <w:pPr>
              <w:spacing w:line="240" w:lineRule="auto"/>
              <w:jc w:val="center"/>
              <w:rPr>
                <w:color w:val="000000"/>
                <w:sz w:val="20"/>
                <w:szCs w:val="20"/>
                <w:lang w:val="en-US"/>
              </w:rPr>
            </w:pPr>
            <w:r w:rsidRPr="00410EE7">
              <w:rPr>
                <w:color w:val="000000"/>
                <w:sz w:val="20"/>
                <w:szCs w:val="20"/>
                <w:lang w:val="en-US"/>
              </w:rPr>
              <w:t>0.047</w:t>
            </w:r>
          </w:p>
        </w:tc>
        <w:tc>
          <w:tcPr>
            <w:tcW w:w="2127" w:type="dxa"/>
            <w:noWrap/>
            <w:hideMark/>
          </w:tcPr>
          <w:p w:rsidR="00D62579" w:rsidRPr="00410EE7" w:rsidRDefault="00D62579" w:rsidP="006123F4">
            <w:pPr>
              <w:spacing w:line="240" w:lineRule="auto"/>
              <w:jc w:val="center"/>
              <w:rPr>
                <w:color w:val="000000"/>
                <w:sz w:val="20"/>
                <w:szCs w:val="20"/>
                <w:lang w:val="en-US"/>
              </w:rPr>
            </w:pPr>
            <w:r w:rsidRPr="00410EE7">
              <w:rPr>
                <w:color w:val="000000"/>
                <w:sz w:val="20"/>
                <w:szCs w:val="20"/>
                <w:lang w:val="en-US"/>
              </w:rPr>
              <w:t>0.051</w:t>
            </w:r>
          </w:p>
        </w:tc>
        <w:tc>
          <w:tcPr>
            <w:tcW w:w="2551" w:type="dxa"/>
            <w:noWrap/>
            <w:hideMark/>
          </w:tcPr>
          <w:p w:rsidR="00D62579" w:rsidRPr="00410EE7" w:rsidRDefault="00D62579" w:rsidP="006123F4">
            <w:pPr>
              <w:spacing w:line="240" w:lineRule="auto"/>
              <w:jc w:val="center"/>
              <w:rPr>
                <w:color w:val="000000"/>
                <w:sz w:val="20"/>
                <w:szCs w:val="20"/>
                <w:lang w:val="en-US"/>
              </w:rPr>
            </w:pPr>
            <w:r w:rsidRPr="00410EE7">
              <w:rPr>
                <w:color w:val="000000"/>
                <w:sz w:val="20"/>
                <w:szCs w:val="20"/>
                <w:lang w:val="en-US"/>
              </w:rPr>
              <w:t>0.051</w:t>
            </w:r>
          </w:p>
        </w:tc>
      </w:tr>
      <w:tr w:rsidR="00D62579" w:rsidRPr="00410EE7" w:rsidTr="00B73C26">
        <w:trPr>
          <w:trHeight w:val="227"/>
        </w:trPr>
        <w:tc>
          <w:tcPr>
            <w:tcW w:w="2411" w:type="dxa"/>
            <w:noWrap/>
          </w:tcPr>
          <w:p w:rsidR="00D62579" w:rsidRPr="00410EE7" w:rsidRDefault="00D62579" w:rsidP="00B73C26">
            <w:pPr>
              <w:spacing w:line="240" w:lineRule="auto"/>
              <w:jc w:val="left"/>
              <w:rPr>
                <w:b/>
                <w:bCs/>
                <w:color w:val="000000"/>
                <w:sz w:val="20"/>
                <w:szCs w:val="20"/>
                <w:lang w:val="en-US"/>
              </w:rPr>
            </w:pPr>
          </w:p>
        </w:tc>
        <w:tc>
          <w:tcPr>
            <w:tcW w:w="1559" w:type="dxa"/>
            <w:noWrap/>
            <w:hideMark/>
          </w:tcPr>
          <w:p w:rsidR="00D62579" w:rsidRPr="00410EE7" w:rsidRDefault="00D62579" w:rsidP="006123F4">
            <w:pPr>
              <w:spacing w:line="240" w:lineRule="auto"/>
              <w:jc w:val="center"/>
              <w:rPr>
                <w:color w:val="000000"/>
                <w:sz w:val="20"/>
                <w:szCs w:val="20"/>
                <w:lang w:val="en-US"/>
              </w:rPr>
            </w:pPr>
            <w:r w:rsidRPr="00410EE7">
              <w:rPr>
                <w:color w:val="000000"/>
                <w:sz w:val="20"/>
                <w:szCs w:val="20"/>
                <w:lang w:val="en-US"/>
              </w:rPr>
              <w:t>[0,0.5]</w:t>
            </w:r>
          </w:p>
        </w:tc>
        <w:tc>
          <w:tcPr>
            <w:tcW w:w="1843" w:type="dxa"/>
            <w:noWrap/>
            <w:hideMark/>
          </w:tcPr>
          <w:p w:rsidR="00D62579" w:rsidRPr="00410EE7" w:rsidRDefault="00D62579" w:rsidP="006123F4">
            <w:pPr>
              <w:spacing w:line="240" w:lineRule="auto"/>
              <w:jc w:val="center"/>
              <w:rPr>
                <w:color w:val="000000"/>
                <w:sz w:val="20"/>
                <w:szCs w:val="20"/>
                <w:lang w:val="en-US"/>
              </w:rPr>
            </w:pPr>
            <w:r w:rsidRPr="00410EE7">
              <w:rPr>
                <w:color w:val="000000"/>
                <w:sz w:val="20"/>
                <w:szCs w:val="20"/>
                <w:lang w:val="en-US"/>
              </w:rPr>
              <w:t>[0, 0.4]</w:t>
            </w:r>
          </w:p>
        </w:tc>
        <w:tc>
          <w:tcPr>
            <w:tcW w:w="1701" w:type="dxa"/>
            <w:noWrap/>
            <w:hideMark/>
          </w:tcPr>
          <w:p w:rsidR="00D62579" w:rsidRPr="00410EE7" w:rsidRDefault="00D62579" w:rsidP="006123F4">
            <w:pPr>
              <w:spacing w:line="240" w:lineRule="auto"/>
              <w:jc w:val="center"/>
              <w:rPr>
                <w:color w:val="000000"/>
                <w:sz w:val="20"/>
                <w:szCs w:val="20"/>
                <w:lang w:val="en-US"/>
              </w:rPr>
            </w:pPr>
            <w:r w:rsidRPr="00410EE7">
              <w:rPr>
                <w:color w:val="000000"/>
                <w:sz w:val="20"/>
                <w:szCs w:val="20"/>
                <w:lang w:val="en-US"/>
              </w:rPr>
              <w:t>[0, 0.333]</w:t>
            </w:r>
          </w:p>
        </w:tc>
        <w:tc>
          <w:tcPr>
            <w:tcW w:w="1842" w:type="dxa"/>
            <w:noWrap/>
            <w:hideMark/>
          </w:tcPr>
          <w:p w:rsidR="00D62579" w:rsidRPr="00410EE7" w:rsidRDefault="00D62579" w:rsidP="006123F4">
            <w:pPr>
              <w:spacing w:line="240" w:lineRule="auto"/>
              <w:jc w:val="center"/>
              <w:rPr>
                <w:color w:val="000000"/>
                <w:sz w:val="20"/>
                <w:szCs w:val="20"/>
                <w:lang w:val="en-US"/>
              </w:rPr>
            </w:pPr>
            <w:r w:rsidRPr="00410EE7">
              <w:rPr>
                <w:color w:val="000000"/>
                <w:sz w:val="20"/>
                <w:szCs w:val="20"/>
                <w:lang w:val="en-US"/>
              </w:rPr>
              <w:t>[0, 0.222]</w:t>
            </w:r>
          </w:p>
        </w:tc>
        <w:tc>
          <w:tcPr>
            <w:tcW w:w="2127" w:type="dxa"/>
            <w:noWrap/>
            <w:hideMark/>
          </w:tcPr>
          <w:p w:rsidR="00D62579" w:rsidRPr="00410EE7" w:rsidRDefault="00D62579" w:rsidP="006123F4">
            <w:pPr>
              <w:spacing w:line="240" w:lineRule="auto"/>
              <w:jc w:val="center"/>
              <w:rPr>
                <w:color w:val="000000"/>
                <w:sz w:val="20"/>
                <w:szCs w:val="20"/>
                <w:lang w:val="en-US"/>
              </w:rPr>
            </w:pPr>
            <w:r w:rsidRPr="00410EE7">
              <w:rPr>
                <w:color w:val="000000"/>
                <w:sz w:val="20"/>
                <w:szCs w:val="20"/>
                <w:lang w:val="en-US"/>
              </w:rPr>
              <w:t>[0, 0.429]</w:t>
            </w:r>
          </w:p>
        </w:tc>
        <w:tc>
          <w:tcPr>
            <w:tcW w:w="2551" w:type="dxa"/>
            <w:noWrap/>
            <w:hideMark/>
          </w:tcPr>
          <w:p w:rsidR="00D62579" w:rsidRPr="00410EE7" w:rsidRDefault="00D62579" w:rsidP="006123F4">
            <w:pPr>
              <w:spacing w:line="240" w:lineRule="auto"/>
              <w:jc w:val="center"/>
              <w:rPr>
                <w:color w:val="000000"/>
                <w:sz w:val="20"/>
                <w:szCs w:val="20"/>
                <w:lang w:val="en-US"/>
              </w:rPr>
            </w:pPr>
            <w:r w:rsidRPr="00410EE7">
              <w:rPr>
                <w:color w:val="000000"/>
                <w:sz w:val="20"/>
                <w:szCs w:val="20"/>
                <w:lang w:val="en-US"/>
              </w:rPr>
              <w:t>[0, 0.25]</w:t>
            </w:r>
          </w:p>
        </w:tc>
      </w:tr>
      <w:tr w:rsidR="00B73C26" w:rsidRPr="00410EE7" w:rsidTr="00B73C26">
        <w:trPr>
          <w:trHeight w:val="227"/>
        </w:trPr>
        <w:tc>
          <w:tcPr>
            <w:tcW w:w="2411" w:type="dxa"/>
            <w:noWrap/>
          </w:tcPr>
          <w:p w:rsidR="00B73C26" w:rsidRPr="00410EE7" w:rsidRDefault="00B73C26" w:rsidP="000A079C">
            <w:pPr>
              <w:spacing w:line="240" w:lineRule="auto"/>
              <w:jc w:val="left"/>
              <w:rPr>
                <w:b/>
                <w:bCs/>
                <w:color w:val="000000"/>
                <w:sz w:val="20"/>
                <w:szCs w:val="20"/>
                <w:lang w:val="en-US"/>
              </w:rPr>
            </w:pPr>
            <w:r w:rsidRPr="00410EE7">
              <w:rPr>
                <w:b/>
                <w:color w:val="000000"/>
                <w:sz w:val="20"/>
                <w:szCs w:val="20"/>
                <w:lang w:eastAsia="en-GB"/>
              </w:rPr>
              <w:t>Hospital cancellation</w:t>
            </w:r>
            <w:r>
              <w:rPr>
                <w:b/>
                <w:color w:val="000000"/>
                <w:sz w:val="20"/>
                <w:szCs w:val="20"/>
                <w:lang w:eastAsia="en-GB"/>
              </w:rPr>
              <w:t xml:space="preserve"> rate</w:t>
            </w:r>
          </w:p>
        </w:tc>
        <w:tc>
          <w:tcPr>
            <w:tcW w:w="1559"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0.017</w:t>
            </w:r>
          </w:p>
        </w:tc>
        <w:tc>
          <w:tcPr>
            <w:tcW w:w="1843"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0.017</w:t>
            </w:r>
          </w:p>
        </w:tc>
        <w:tc>
          <w:tcPr>
            <w:tcW w:w="1701"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0.021</w:t>
            </w:r>
          </w:p>
        </w:tc>
        <w:tc>
          <w:tcPr>
            <w:tcW w:w="1842"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0.024</w:t>
            </w:r>
          </w:p>
        </w:tc>
        <w:tc>
          <w:tcPr>
            <w:tcW w:w="2127"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0.025</w:t>
            </w:r>
          </w:p>
        </w:tc>
        <w:tc>
          <w:tcPr>
            <w:tcW w:w="2551"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0.033</w:t>
            </w:r>
          </w:p>
        </w:tc>
      </w:tr>
      <w:tr w:rsidR="00B73C26" w:rsidRPr="00410EE7" w:rsidTr="00B73C26">
        <w:trPr>
          <w:trHeight w:val="227"/>
        </w:trPr>
        <w:tc>
          <w:tcPr>
            <w:tcW w:w="2411" w:type="dxa"/>
            <w:noWrap/>
          </w:tcPr>
          <w:p w:rsidR="00B73C26" w:rsidRPr="00410EE7" w:rsidRDefault="00B73C26" w:rsidP="000A079C">
            <w:pPr>
              <w:spacing w:line="240" w:lineRule="auto"/>
              <w:jc w:val="left"/>
              <w:rPr>
                <w:b/>
                <w:bCs/>
                <w:color w:val="000000"/>
                <w:sz w:val="20"/>
                <w:szCs w:val="20"/>
                <w:lang w:val="en-US"/>
              </w:rPr>
            </w:pPr>
          </w:p>
        </w:tc>
        <w:tc>
          <w:tcPr>
            <w:tcW w:w="1559"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0.026</w:t>
            </w:r>
          </w:p>
        </w:tc>
        <w:tc>
          <w:tcPr>
            <w:tcW w:w="1843"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0.026</w:t>
            </w:r>
          </w:p>
        </w:tc>
        <w:tc>
          <w:tcPr>
            <w:tcW w:w="1701"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0.027</w:t>
            </w:r>
          </w:p>
        </w:tc>
        <w:tc>
          <w:tcPr>
            <w:tcW w:w="1842"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0.030</w:t>
            </w:r>
          </w:p>
        </w:tc>
        <w:tc>
          <w:tcPr>
            <w:tcW w:w="2127"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0.028</w:t>
            </w:r>
          </w:p>
        </w:tc>
        <w:tc>
          <w:tcPr>
            <w:tcW w:w="2551"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0.033</w:t>
            </w:r>
          </w:p>
        </w:tc>
      </w:tr>
      <w:tr w:rsidR="00B73C26" w:rsidRPr="00410EE7" w:rsidTr="00B73C26">
        <w:trPr>
          <w:trHeight w:val="227"/>
        </w:trPr>
        <w:tc>
          <w:tcPr>
            <w:tcW w:w="2411" w:type="dxa"/>
            <w:noWrap/>
          </w:tcPr>
          <w:p w:rsidR="00B73C26" w:rsidRPr="00410EE7" w:rsidRDefault="00B73C26" w:rsidP="000A079C">
            <w:pPr>
              <w:spacing w:line="240" w:lineRule="auto"/>
              <w:jc w:val="left"/>
              <w:rPr>
                <w:b/>
                <w:bCs/>
                <w:color w:val="000000"/>
                <w:sz w:val="20"/>
                <w:szCs w:val="20"/>
                <w:lang w:val="en-US"/>
              </w:rPr>
            </w:pPr>
          </w:p>
        </w:tc>
        <w:tc>
          <w:tcPr>
            <w:tcW w:w="1559"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 0.333]</w:t>
            </w:r>
          </w:p>
        </w:tc>
        <w:tc>
          <w:tcPr>
            <w:tcW w:w="1843"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 0.345]</w:t>
            </w:r>
          </w:p>
        </w:tc>
        <w:tc>
          <w:tcPr>
            <w:tcW w:w="1701"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[0,0.25]</w:t>
            </w:r>
          </w:p>
        </w:tc>
        <w:tc>
          <w:tcPr>
            <w:tcW w:w="1842"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 0.286]</w:t>
            </w:r>
          </w:p>
        </w:tc>
        <w:tc>
          <w:tcPr>
            <w:tcW w:w="2127"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 0.5]</w:t>
            </w:r>
          </w:p>
        </w:tc>
        <w:tc>
          <w:tcPr>
            <w:tcW w:w="2551"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 0.215]</w:t>
            </w:r>
          </w:p>
        </w:tc>
      </w:tr>
      <w:tr w:rsidR="00B73C26" w:rsidRPr="00410EE7" w:rsidTr="00B73C26">
        <w:trPr>
          <w:trHeight w:val="227"/>
        </w:trPr>
        <w:tc>
          <w:tcPr>
            <w:tcW w:w="2411" w:type="dxa"/>
            <w:noWrap/>
            <w:hideMark/>
          </w:tcPr>
          <w:p w:rsidR="00B73C26" w:rsidRPr="00410EE7" w:rsidRDefault="00B73C26" w:rsidP="00B73C26">
            <w:pPr>
              <w:spacing w:line="240" w:lineRule="auto"/>
              <w:jc w:val="left"/>
              <w:rPr>
                <w:b/>
                <w:bCs/>
                <w:color w:val="000000"/>
                <w:sz w:val="20"/>
                <w:szCs w:val="20"/>
                <w:lang w:val="en-US"/>
              </w:rPr>
            </w:pPr>
            <w:r w:rsidRPr="00410EE7">
              <w:rPr>
                <w:b/>
                <w:color w:val="000000"/>
                <w:sz w:val="20"/>
                <w:szCs w:val="20"/>
                <w:lang w:eastAsia="en-GB"/>
              </w:rPr>
              <w:t>Attendance</w:t>
            </w:r>
            <w:r>
              <w:rPr>
                <w:b/>
                <w:color w:val="000000"/>
                <w:sz w:val="20"/>
                <w:szCs w:val="20"/>
                <w:lang w:eastAsia="en-GB"/>
              </w:rPr>
              <w:t xml:space="preserve"> rate</w:t>
            </w:r>
          </w:p>
        </w:tc>
        <w:tc>
          <w:tcPr>
            <w:tcW w:w="1559"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0.895</w:t>
            </w:r>
          </w:p>
        </w:tc>
        <w:tc>
          <w:tcPr>
            <w:tcW w:w="1843"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0.894</w:t>
            </w:r>
          </w:p>
        </w:tc>
        <w:tc>
          <w:tcPr>
            <w:tcW w:w="1701"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0.895</w:t>
            </w:r>
          </w:p>
        </w:tc>
        <w:tc>
          <w:tcPr>
            <w:tcW w:w="1842"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0.890</w:t>
            </w:r>
          </w:p>
        </w:tc>
        <w:tc>
          <w:tcPr>
            <w:tcW w:w="2127"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0.887</w:t>
            </w:r>
          </w:p>
        </w:tc>
        <w:tc>
          <w:tcPr>
            <w:tcW w:w="2551"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0.876</w:t>
            </w:r>
          </w:p>
        </w:tc>
      </w:tr>
      <w:tr w:rsidR="00B73C26" w:rsidRPr="00410EE7" w:rsidTr="00B73C26">
        <w:trPr>
          <w:trHeight w:val="227"/>
        </w:trPr>
        <w:tc>
          <w:tcPr>
            <w:tcW w:w="2411" w:type="dxa"/>
            <w:noWrap/>
          </w:tcPr>
          <w:p w:rsidR="00B73C26" w:rsidRPr="00410EE7" w:rsidRDefault="00B73C26" w:rsidP="00B73C26">
            <w:pPr>
              <w:spacing w:line="240" w:lineRule="auto"/>
              <w:jc w:val="left"/>
              <w:rPr>
                <w:b/>
                <w:bCs/>
                <w:color w:val="000000"/>
                <w:sz w:val="20"/>
                <w:szCs w:val="20"/>
                <w:lang w:val="en-US"/>
              </w:rPr>
            </w:pPr>
          </w:p>
        </w:tc>
        <w:tc>
          <w:tcPr>
            <w:tcW w:w="1559"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0.074</w:t>
            </w:r>
          </w:p>
        </w:tc>
        <w:tc>
          <w:tcPr>
            <w:tcW w:w="1843"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0.067</w:t>
            </w:r>
          </w:p>
        </w:tc>
        <w:tc>
          <w:tcPr>
            <w:tcW w:w="1701"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0.059</w:t>
            </w:r>
          </w:p>
        </w:tc>
        <w:tc>
          <w:tcPr>
            <w:tcW w:w="1842"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0.058</w:t>
            </w:r>
          </w:p>
        </w:tc>
        <w:tc>
          <w:tcPr>
            <w:tcW w:w="2127"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0.060</w:t>
            </w:r>
          </w:p>
        </w:tc>
        <w:tc>
          <w:tcPr>
            <w:tcW w:w="2551"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0.059</w:t>
            </w:r>
          </w:p>
        </w:tc>
      </w:tr>
      <w:tr w:rsidR="00B73C26" w:rsidRPr="00410EE7" w:rsidTr="00B73C26">
        <w:trPr>
          <w:trHeight w:val="227"/>
        </w:trPr>
        <w:tc>
          <w:tcPr>
            <w:tcW w:w="2411" w:type="dxa"/>
            <w:noWrap/>
          </w:tcPr>
          <w:p w:rsidR="00B73C26" w:rsidRPr="00410EE7" w:rsidRDefault="00B73C26" w:rsidP="00B73C26">
            <w:pPr>
              <w:spacing w:line="240" w:lineRule="auto"/>
              <w:jc w:val="left"/>
              <w:rPr>
                <w:b/>
                <w:bCs/>
                <w:color w:val="000000"/>
                <w:sz w:val="20"/>
                <w:szCs w:val="20"/>
                <w:lang w:val="en-US"/>
              </w:rPr>
            </w:pPr>
          </w:p>
        </w:tc>
        <w:tc>
          <w:tcPr>
            <w:tcW w:w="1559"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[0.194, 1]</w:t>
            </w:r>
          </w:p>
        </w:tc>
        <w:tc>
          <w:tcPr>
            <w:tcW w:w="1843"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[0.375, 1]</w:t>
            </w:r>
          </w:p>
        </w:tc>
        <w:tc>
          <w:tcPr>
            <w:tcW w:w="1701"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[0.250, 1]</w:t>
            </w:r>
          </w:p>
        </w:tc>
        <w:tc>
          <w:tcPr>
            <w:tcW w:w="1842"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[0.333, 1]</w:t>
            </w:r>
          </w:p>
        </w:tc>
        <w:tc>
          <w:tcPr>
            <w:tcW w:w="2127"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[0.429, 1]</w:t>
            </w:r>
          </w:p>
        </w:tc>
        <w:tc>
          <w:tcPr>
            <w:tcW w:w="2551"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[0,1]</w:t>
            </w:r>
          </w:p>
        </w:tc>
      </w:tr>
      <w:tr w:rsidR="00B73C26" w:rsidRPr="00410EE7" w:rsidTr="00B73C26">
        <w:trPr>
          <w:trHeight w:val="227"/>
        </w:trPr>
        <w:tc>
          <w:tcPr>
            <w:tcW w:w="2411" w:type="dxa"/>
            <w:noWrap/>
          </w:tcPr>
          <w:p w:rsidR="00B73C26" w:rsidRPr="00410EE7" w:rsidRDefault="00B73C26" w:rsidP="00B73C26">
            <w:pPr>
              <w:spacing w:line="240" w:lineRule="auto"/>
              <w:jc w:val="left"/>
              <w:rPr>
                <w:b/>
                <w:bCs/>
                <w:color w:val="000000"/>
                <w:sz w:val="20"/>
                <w:szCs w:val="20"/>
                <w:lang w:val="en-US"/>
              </w:rPr>
            </w:pPr>
            <w:r w:rsidRPr="00410EE7">
              <w:rPr>
                <w:b/>
                <w:color w:val="000000"/>
                <w:sz w:val="20"/>
                <w:szCs w:val="20"/>
                <w:lang w:eastAsia="en-GB"/>
              </w:rPr>
              <w:t>Referral</w:t>
            </w:r>
            <w:r>
              <w:rPr>
                <w:b/>
                <w:color w:val="000000"/>
                <w:sz w:val="20"/>
                <w:szCs w:val="20"/>
                <w:lang w:eastAsia="en-GB"/>
              </w:rPr>
              <w:t xml:space="preserve"> rate</w:t>
            </w:r>
          </w:p>
        </w:tc>
        <w:tc>
          <w:tcPr>
            <w:tcW w:w="1559"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0.158</w:t>
            </w:r>
          </w:p>
        </w:tc>
        <w:tc>
          <w:tcPr>
            <w:tcW w:w="1843"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0.162</w:t>
            </w:r>
          </w:p>
        </w:tc>
        <w:tc>
          <w:tcPr>
            <w:tcW w:w="1701"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0.163</w:t>
            </w:r>
          </w:p>
        </w:tc>
        <w:tc>
          <w:tcPr>
            <w:tcW w:w="1842"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0.169</w:t>
            </w:r>
          </w:p>
        </w:tc>
        <w:tc>
          <w:tcPr>
            <w:tcW w:w="2127"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0.191</w:t>
            </w:r>
          </w:p>
        </w:tc>
        <w:tc>
          <w:tcPr>
            <w:tcW w:w="2551"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0.207</w:t>
            </w:r>
          </w:p>
        </w:tc>
      </w:tr>
      <w:tr w:rsidR="00B73C26" w:rsidRPr="00410EE7" w:rsidTr="00B73C26">
        <w:trPr>
          <w:trHeight w:val="227"/>
        </w:trPr>
        <w:tc>
          <w:tcPr>
            <w:tcW w:w="2411" w:type="dxa"/>
            <w:noWrap/>
          </w:tcPr>
          <w:p w:rsidR="00B73C26" w:rsidRPr="00410EE7" w:rsidRDefault="00B73C26" w:rsidP="00B73C26">
            <w:pPr>
              <w:spacing w:line="240" w:lineRule="auto"/>
              <w:jc w:val="left"/>
              <w:rPr>
                <w:b/>
                <w:bCs/>
                <w:color w:val="000000"/>
                <w:sz w:val="20"/>
                <w:szCs w:val="20"/>
                <w:lang w:val="en-US"/>
              </w:rPr>
            </w:pPr>
          </w:p>
        </w:tc>
        <w:tc>
          <w:tcPr>
            <w:tcW w:w="1559"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0.044</w:t>
            </w:r>
          </w:p>
        </w:tc>
        <w:tc>
          <w:tcPr>
            <w:tcW w:w="1843"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0.042</w:t>
            </w:r>
          </w:p>
        </w:tc>
        <w:tc>
          <w:tcPr>
            <w:tcW w:w="1701"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0.043</w:t>
            </w:r>
          </w:p>
        </w:tc>
        <w:tc>
          <w:tcPr>
            <w:tcW w:w="1842"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0.044</w:t>
            </w:r>
          </w:p>
        </w:tc>
        <w:tc>
          <w:tcPr>
            <w:tcW w:w="2127"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0.049</w:t>
            </w:r>
          </w:p>
        </w:tc>
        <w:tc>
          <w:tcPr>
            <w:tcW w:w="2551"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0.057</w:t>
            </w:r>
          </w:p>
        </w:tc>
      </w:tr>
      <w:tr w:rsidR="00B73C26" w:rsidRPr="00410EE7" w:rsidTr="00B73C26">
        <w:trPr>
          <w:trHeight w:val="227"/>
        </w:trPr>
        <w:tc>
          <w:tcPr>
            <w:tcW w:w="2411" w:type="dxa"/>
            <w:noWrap/>
          </w:tcPr>
          <w:p w:rsidR="00B73C26" w:rsidRPr="00410EE7" w:rsidRDefault="00B73C26" w:rsidP="00B73C26">
            <w:pPr>
              <w:spacing w:line="240" w:lineRule="auto"/>
              <w:jc w:val="left"/>
              <w:rPr>
                <w:b/>
                <w:bCs/>
                <w:color w:val="000000"/>
                <w:sz w:val="20"/>
                <w:szCs w:val="20"/>
                <w:lang w:val="en-US"/>
              </w:rPr>
            </w:pPr>
          </w:p>
        </w:tc>
        <w:tc>
          <w:tcPr>
            <w:tcW w:w="1559"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[0.002, 0.492]</w:t>
            </w:r>
          </w:p>
        </w:tc>
        <w:tc>
          <w:tcPr>
            <w:tcW w:w="1843"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[0.005, 0.047]</w:t>
            </w:r>
          </w:p>
        </w:tc>
        <w:tc>
          <w:tcPr>
            <w:tcW w:w="1701"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[0.001, 0.483]</w:t>
            </w:r>
          </w:p>
        </w:tc>
        <w:tc>
          <w:tcPr>
            <w:tcW w:w="1842"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[0.029, 0.493]</w:t>
            </w:r>
          </w:p>
        </w:tc>
        <w:tc>
          <w:tcPr>
            <w:tcW w:w="2127"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[0.036, 0.47]</w:t>
            </w:r>
          </w:p>
        </w:tc>
        <w:tc>
          <w:tcPr>
            <w:tcW w:w="2551" w:type="dxa"/>
            <w:noWrap/>
          </w:tcPr>
          <w:p w:rsidR="00B73C26" w:rsidRPr="00410EE7" w:rsidRDefault="00B73C26" w:rsidP="000A079C">
            <w:pPr>
              <w:spacing w:line="240" w:lineRule="auto"/>
              <w:jc w:val="center"/>
              <w:rPr>
                <w:color w:val="000000"/>
                <w:sz w:val="20"/>
                <w:szCs w:val="20"/>
                <w:lang w:val="en-US"/>
              </w:rPr>
            </w:pPr>
            <w:r w:rsidRPr="00410EE7">
              <w:rPr>
                <w:color w:val="000000"/>
                <w:sz w:val="20"/>
                <w:szCs w:val="20"/>
                <w:lang w:val="en-US"/>
              </w:rPr>
              <w:t>[0.002, 0.499]</w:t>
            </w:r>
          </w:p>
        </w:tc>
      </w:tr>
      <w:tr w:rsidR="00B73C26" w:rsidRPr="00410EE7" w:rsidTr="00B73C26">
        <w:trPr>
          <w:trHeight w:val="227"/>
        </w:trPr>
        <w:tc>
          <w:tcPr>
            <w:tcW w:w="2411" w:type="dxa"/>
            <w:noWrap/>
            <w:hideMark/>
          </w:tcPr>
          <w:p w:rsidR="00B73C26" w:rsidRPr="00410EE7" w:rsidRDefault="00B73C26" w:rsidP="00B73C26">
            <w:pPr>
              <w:spacing w:line="240" w:lineRule="auto"/>
              <w:jc w:val="left"/>
              <w:rPr>
                <w:b/>
                <w:bCs/>
                <w:color w:val="000000"/>
                <w:sz w:val="20"/>
                <w:szCs w:val="20"/>
                <w:lang w:val="en-US"/>
              </w:rPr>
            </w:pPr>
            <w:r w:rsidRPr="00410EE7">
              <w:rPr>
                <w:b/>
                <w:color w:val="000000"/>
                <w:sz w:val="20"/>
                <w:szCs w:val="20"/>
                <w:lang w:eastAsia="en-GB"/>
              </w:rPr>
              <w:t>C&amp;B rate</w:t>
            </w:r>
          </w:p>
        </w:tc>
        <w:tc>
          <w:tcPr>
            <w:tcW w:w="1559"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w:t>
            </w:r>
          </w:p>
        </w:tc>
        <w:tc>
          <w:tcPr>
            <w:tcW w:w="1843"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0.745</w:t>
            </w:r>
          </w:p>
        </w:tc>
        <w:tc>
          <w:tcPr>
            <w:tcW w:w="1701"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19.159</w:t>
            </w:r>
          </w:p>
        </w:tc>
        <w:tc>
          <w:tcPr>
            <w:tcW w:w="1842"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38.389</w:t>
            </w:r>
          </w:p>
        </w:tc>
        <w:tc>
          <w:tcPr>
            <w:tcW w:w="2127"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45.578</w:t>
            </w:r>
          </w:p>
        </w:tc>
        <w:tc>
          <w:tcPr>
            <w:tcW w:w="2551"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49.233</w:t>
            </w:r>
          </w:p>
        </w:tc>
      </w:tr>
      <w:tr w:rsidR="00B73C26" w:rsidRPr="00410EE7" w:rsidTr="00B73C26">
        <w:trPr>
          <w:trHeight w:val="227"/>
        </w:trPr>
        <w:tc>
          <w:tcPr>
            <w:tcW w:w="2411" w:type="dxa"/>
            <w:noWrap/>
          </w:tcPr>
          <w:p w:rsidR="00B73C26" w:rsidRPr="00410EE7" w:rsidRDefault="00B73C26" w:rsidP="00B73C26">
            <w:pPr>
              <w:spacing w:line="240" w:lineRule="auto"/>
              <w:jc w:val="left"/>
              <w:rPr>
                <w:b/>
                <w:bCs/>
                <w:color w:val="000000"/>
                <w:sz w:val="20"/>
                <w:szCs w:val="20"/>
                <w:lang w:val="en-US"/>
              </w:rPr>
            </w:pPr>
          </w:p>
        </w:tc>
        <w:tc>
          <w:tcPr>
            <w:tcW w:w="1559"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w:t>
            </w:r>
          </w:p>
        </w:tc>
        <w:tc>
          <w:tcPr>
            <w:tcW w:w="1843"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2.556</w:t>
            </w:r>
          </w:p>
        </w:tc>
        <w:tc>
          <w:tcPr>
            <w:tcW w:w="1701"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17.054</w:t>
            </w:r>
          </w:p>
        </w:tc>
        <w:tc>
          <w:tcPr>
            <w:tcW w:w="1842"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24.093</w:t>
            </w:r>
          </w:p>
        </w:tc>
        <w:tc>
          <w:tcPr>
            <w:tcW w:w="2127"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23.548</w:t>
            </w:r>
          </w:p>
        </w:tc>
        <w:tc>
          <w:tcPr>
            <w:tcW w:w="2551"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22.729</w:t>
            </w:r>
          </w:p>
        </w:tc>
      </w:tr>
      <w:tr w:rsidR="00B73C26" w:rsidRPr="00410EE7" w:rsidTr="00B73C26">
        <w:trPr>
          <w:trHeight w:val="227"/>
        </w:trPr>
        <w:tc>
          <w:tcPr>
            <w:tcW w:w="2411" w:type="dxa"/>
            <w:noWrap/>
          </w:tcPr>
          <w:p w:rsidR="00B73C26" w:rsidRPr="00410EE7" w:rsidRDefault="00B73C26" w:rsidP="00B73C26">
            <w:pPr>
              <w:spacing w:line="240" w:lineRule="auto"/>
              <w:jc w:val="left"/>
              <w:rPr>
                <w:b/>
                <w:bCs/>
                <w:color w:val="000000"/>
                <w:sz w:val="20"/>
                <w:szCs w:val="20"/>
                <w:lang w:val="en-US"/>
              </w:rPr>
            </w:pPr>
          </w:p>
        </w:tc>
        <w:tc>
          <w:tcPr>
            <w:tcW w:w="1559"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 0]</w:t>
            </w:r>
          </w:p>
        </w:tc>
        <w:tc>
          <w:tcPr>
            <w:tcW w:w="1843"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 49.582]</w:t>
            </w:r>
          </w:p>
        </w:tc>
        <w:tc>
          <w:tcPr>
            <w:tcW w:w="1701"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 99.315]</w:t>
            </w:r>
          </w:p>
        </w:tc>
        <w:tc>
          <w:tcPr>
            <w:tcW w:w="1842"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 100]</w:t>
            </w:r>
          </w:p>
        </w:tc>
        <w:tc>
          <w:tcPr>
            <w:tcW w:w="2127"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 100]</w:t>
            </w:r>
          </w:p>
        </w:tc>
        <w:tc>
          <w:tcPr>
            <w:tcW w:w="2551"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[0, 100]</w:t>
            </w:r>
          </w:p>
        </w:tc>
      </w:tr>
      <w:tr w:rsidR="00D904C3" w:rsidRPr="00410EE7" w:rsidTr="00B73C26">
        <w:trPr>
          <w:trHeight w:val="227"/>
        </w:trPr>
        <w:tc>
          <w:tcPr>
            <w:tcW w:w="2411" w:type="dxa"/>
            <w:noWrap/>
            <w:hideMark/>
          </w:tcPr>
          <w:p w:rsidR="00D904C3" w:rsidRPr="00A615D7" w:rsidRDefault="00D904C3" w:rsidP="00D20EE2">
            <w:pPr>
              <w:spacing w:line="240" w:lineRule="auto"/>
              <w:jc w:val="left"/>
              <w:rPr>
                <w:b/>
                <w:color w:val="000000"/>
                <w:sz w:val="20"/>
                <w:szCs w:val="20"/>
                <w:highlight w:val="cyan"/>
                <w:lang w:eastAsia="en-GB"/>
              </w:rPr>
            </w:pPr>
            <w:r w:rsidRPr="00D20EE2">
              <w:rPr>
                <w:b/>
                <w:color w:val="000000"/>
                <w:sz w:val="20"/>
                <w:szCs w:val="20"/>
                <w:lang w:eastAsia="en-GB"/>
              </w:rPr>
              <w:t>Aware of right to choice</w:t>
            </w:r>
            <w:r w:rsidRPr="00D20EE2">
              <w:rPr>
                <w:b/>
                <w:color w:val="000000"/>
                <w:sz w:val="20"/>
                <w:szCs w:val="20"/>
                <w:vertAlign w:val="superscript"/>
                <w:lang w:eastAsia="en-GB"/>
              </w:rPr>
              <w:t>1</w:t>
            </w:r>
          </w:p>
        </w:tc>
        <w:tc>
          <w:tcPr>
            <w:tcW w:w="1559" w:type="dxa"/>
            <w:noWrap/>
          </w:tcPr>
          <w:p w:rsidR="00D904C3" w:rsidRPr="00410EE7" w:rsidRDefault="00D904C3" w:rsidP="003A48EC">
            <w:pPr>
              <w:spacing w:line="240" w:lineRule="auto"/>
              <w:jc w:val="center"/>
              <w:rPr>
                <w:color w:val="000000"/>
                <w:sz w:val="20"/>
                <w:szCs w:val="20"/>
                <w:lang w:val="en-US"/>
              </w:rPr>
            </w:pPr>
            <w:r w:rsidRPr="00410EE7">
              <w:rPr>
                <w:color w:val="000000"/>
                <w:sz w:val="20"/>
                <w:szCs w:val="20"/>
                <w:lang w:val="en-US"/>
              </w:rPr>
              <w:t>0</w:t>
            </w:r>
          </w:p>
        </w:tc>
        <w:tc>
          <w:tcPr>
            <w:tcW w:w="1843" w:type="dxa"/>
            <w:noWrap/>
          </w:tcPr>
          <w:p w:rsidR="00D904C3" w:rsidRPr="00410EE7" w:rsidRDefault="00D904C3" w:rsidP="003A48EC">
            <w:pPr>
              <w:spacing w:line="240" w:lineRule="auto"/>
              <w:jc w:val="center"/>
              <w:rPr>
                <w:color w:val="000000"/>
                <w:sz w:val="20"/>
                <w:szCs w:val="20"/>
                <w:lang w:val="en-US"/>
              </w:rPr>
            </w:pPr>
            <w:r w:rsidRPr="00410EE7">
              <w:rPr>
                <w:color w:val="000000"/>
                <w:sz w:val="20"/>
                <w:szCs w:val="20"/>
                <w:lang w:val="en-US"/>
              </w:rPr>
              <w:t>0</w:t>
            </w:r>
          </w:p>
        </w:tc>
        <w:tc>
          <w:tcPr>
            <w:tcW w:w="1701" w:type="dxa"/>
            <w:noWrap/>
            <w:hideMark/>
          </w:tcPr>
          <w:p w:rsidR="00D904C3" w:rsidRPr="00D904C3" w:rsidRDefault="00D904C3">
            <w:pPr>
              <w:spacing w:line="240" w:lineRule="auto"/>
              <w:jc w:val="center"/>
              <w:rPr>
                <w:color w:val="000000"/>
                <w:sz w:val="20"/>
                <w:szCs w:val="20"/>
                <w:lang w:val="en-US"/>
              </w:rPr>
            </w:pPr>
            <w:r w:rsidRPr="00D904C3">
              <w:rPr>
                <w:color w:val="000000"/>
                <w:sz w:val="20"/>
                <w:szCs w:val="20"/>
                <w:lang w:val="en-US"/>
              </w:rPr>
              <w:t>34.34</w:t>
            </w:r>
          </w:p>
        </w:tc>
        <w:tc>
          <w:tcPr>
            <w:tcW w:w="1842" w:type="dxa"/>
            <w:noWrap/>
            <w:hideMark/>
          </w:tcPr>
          <w:p w:rsidR="00D904C3" w:rsidRPr="00D904C3" w:rsidRDefault="00D904C3">
            <w:pPr>
              <w:spacing w:line="240" w:lineRule="auto"/>
              <w:jc w:val="center"/>
              <w:rPr>
                <w:color w:val="000000"/>
                <w:sz w:val="20"/>
                <w:szCs w:val="20"/>
                <w:lang w:val="en-US"/>
              </w:rPr>
            </w:pPr>
            <w:r w:rsidRPr="00D904C3">
              <w:rPr>
                <w:color w:val="000000"/>
                <w:sz w:val="20"/>
                <w:szCs w:val="20"/>
                <w:lang w:val="en-US"/>
              </w:rPr>
              <w:t>39.97</w:t>
            </w:r>
          </w:p>
        </w:tc>
        <w:tc>
          <w:tcPr>
            <w:tcW w:w="2127" w:type="dxa"/>
            <w:noWrap/>
            <w:hideMark/>
          </w:tcPr>
          <w:p w:rsidR="00D904C3" w:rsidRPr="00D904C3" w:rsidRDefault="00D904C3">
            <w:pPr>
              <w:spacing w:line="240" w:lineRule="auto"/>
              <w:jc w:val="center"/>
              <w:rPr>
                <w:color w:val="000000"/>
                <w:sz w:val="20"/>
                <w:szCs w:val="20"/>
                <w:lang w:val="en-US"/>
              </w:rPr>
            </w:pPr>
            <w:r w:rsidRPr="00D904C3">
              <w:rPr>
                <w:color w:val="000000"/>
                <w:sz w:val="20"/>
                <w:szCs w:val="20"/>
                <w:lang w:val="en-US"/>
              </w:rPr>
              <w:t>48.13</w:t>
            </w:r>
          </w:p>
        </w:tc>
        <w:tc>
          <w:tcPr>
            <w:tcW w:w="2551" w:type="dxa"/>
            <w:noWrap/>
            <w:hideMark/>
          </w:tcPr>
          <w:p w:rsidR="00D904C3" w:rsidRPr="00D904C3" w:rsidRDefault="00D904C3">
            <w:pPr>
              <w:spacing w:line="240" w:lineRule="auto"/>
              <w:jc w:val="center"/>
              <w:rPr>
                <w:color w:val="000000"/>
                <w:sz w:val="20"/>
                <w:szCs w:val="20"/>
                <w:lang w:val="en-US"/>
              </w:rPr>
            </w:pPr>
            <w:r w:rsidRPr="00D904C3">
              <w:rPr>
                <w:color w:val="000000"/>
                <w:sz w:val="20"/>
                <w:szCs w:val="20"/>
                <w:lang w:val="en-US"/>
              </w:rPr>
              <w:t>53.37</w:t>
            </w:r>
          </w:p>
        </w:tc>
      </w:tr>
      <w:tr w:rsidR="00D904C3" w:rsidRPr="00410EE7" w:rsidTr="00B73C26">
        <w:trPr>
          <w:trHeight w:val="227"/>
        </w:trPr>
        <w:tc>
          <w:tcPr>
            <w:tcW w:w="2411" w:type="dxa"/>
            <w:noWrap/>
            <w:hideMark/>
          </w:tcPr>
          <w:p w:rsidR="00D904C3" w:rsidRPr="00A615D7" w:rsidRDefault="00D904C3" w:rsidP="00B73C26">
            <w:pPr>
              <w:spacing w:line="240" w:lineRule="auto"/>
              <w:jc w:val="left"/>
              <w:rPr>
                <w:b/>
                <w:color w:val="000000"/>
                <w:sz w:val="20"/>
                <w:szCs w:val="20"/>
                <w:highlight w:val="cyan"/>
                <w:lang w:eastAsia="en-GB"/>
              </w:rPr>
            </w:pPr>
          </w:p>
        </w:tc>
        <w:tc>
          <w:tcPr>
            <w:tcW w:w="1559" w:type="dxa"/>
            <w:noWrap/>
          </w:tcPr>
          <w:p w:rsidR="00D904C3" w:rsidRPr="00410EE7" w:rsidRDefault="00D904C3" w:rsidP="003A48EC">
            <w:pPr>
              <w:spacing w:line="240" w:lineRule="auto"/>
              <w:jc w:val="center"/>
              <w:rPr>
                <w:color w:val="000000"/>
                <w:sz w:val="20"/>
                <w:szCs w:val="20"/>
                <w:lang w:val="en-US"/>
              </w:rPr>
            </w:pPr>
            <w:r w:rsidRPr="00410EE7">
              <w:rPr>
                <w:color w:val="000000"/>
                <w:sz w:val="20"/>
                <w:szCs w:val="20"/>
                <w:lang w:val="en-US"/>
              </w:rPr>
              <w:t>0</w:t>
            </w:r>
          </w:p>
        </w:tc>
        <w:tc>
          <w:tcPr>
            <w:tcW w:w="1843" w:type="dxa"/>
            <w:noWrap/>
          </w:tcPr>
          <w:p w:rsidR="00D904C3" w:rsidRPr="00410EE7" w:rsidRDefault="00D904C3" w:rsidP="003A48EC">
            <w:pPr>
              <w:spacing w:line="240" w:lineRule="auto"/>
              <w:jc w:val="center"/>
              <w:rPr>
                <w:color w:val="000000"/>
                <w:sz w:val="20"/>
                <w:szCs w:val="20"/>
                <w:lang w:val="en-US"/>
              </w:rPr>
            </w:pPr>
            <w:r w:rsidRPr="00410EE7">
              <w:rPr>
                <w:color w:val="000000"/>
                <w:sz w:val="20"/>
                <w:szCs w:val="20"/>
                <w:lang w:val="en-US"/>
              </w:rPr>
              <w:t>0</w:t>
            </w:r>
          </w:p>
        </w:tc>
        <w:tc>
          <w:tcPr>
            <w:tcW w:w="1701" w:type="dxa"/>
            <w:noWrap/>
            <w:hideMark/>
          </w:tcPr>
          <w:p w:rsidR="00D904C3" w:rsidRPr="00D904C3" w:rsidRDefault="00D904C3">
            <w:pPr>
              <w:spacing w:line="240" w:lineRule="auto"/>
              <w:jc w:val="center"/>
              <w:rPr>
                <w:color w:val="000000"/>
                <w:sz w:val="20"/>
                <w:szCs w:val="20"/>
                <w:lang w:val="en-US"/>
              </w:rPr>
            </w:pPr>
            <w:r w:rsidRPr="00D904C3">
              <w:rPr>
                <w:color w:val="000000"/>
                <w:sz w:val="20"/>
                <w:szCs w:val="20"/>
                <w:lang w:val="en-US"/>
              </w:rPr>
              <w:t>5.15</w:t>
            </w:r>
          </w:p>
        </w:tc>
        <w:tc>
          <w:tcPr>
            <w:tcW w:w="1842" w:type="dxa"/>
            <w:noWrap/>
            <w:hideMark/>
          </w:tcPr>
          <w:p w:rsidR="00D904C3" w:rsidRPr="00D904C3" w:rsidRDefault="00D904C3">
            <w:pPr>
              <w:spacing w:line="240" w:lineRule="auto"/>
              <w:jc w:val="center"/>
              <w:rPr>
                <w:color w:val="000000"/>
                <w:sz w:val="20"/>
                <w:szCs w:val="20"/>
                <w:lang w:val="en-US"/>
              </w:rPr>
            </w:pPr>
            <w:r w:rsidRPr="00D904C3">
              <w:rPr>
                <w:color w:val="000000"/>
                <w:sz w:val="20"/>
                <w:szCs w:val="20"/>
                <w:lang w:val="en-US"/>
              </w:rPr>
              <w:t>5.85</w:t>
            </w:r>
          </w:p>
        </w:tc>
        <w:tc>
          <w:tcPr>
            <w:tcW w:w="2127" w:type="dxa"/>
            <w:noWrap/>
            <w:hideMark/>
          </w:tcPr>
          <w:p w:rsidR="00D904C3" w:rsidRPr="00D904C3" w:rsidRDefault="00D904C3">
            <w:pPr>
              <w:spacing w:line="240" w:lineRule="auto"/>
              <w:jc w:val="center"/>
              <w:rPr>
                <w:color w:val="000000"/>
                <w:sz w:val="20"/>
                <w:szCs w:val="20"/>
                <w:lang w:val="en-US"/>
              </w:rPr>
            </w:pPr>
            <w:r w:rsidRPr="00D904C3">
              <w:rPr>
                <w:color w:val="000000"/>
                <w:sz w:val="20"/>
                <w:szCs w:val="20"/>
                <w:lang w:val="en-US"/>
              </w:rPr>
              <w:t>6.60</w:t>
            </w:r>
          </w:p>
        </w:tc>
        <w:tc>
          <w:tcPr>
            <w:tcW w:w="2551" w:type="dxa"/>
            <w:noWrap/>
            <w:hideMark/>
          </w:tcPr>
          <w:p w:rsidR="00D904C3" w:rsidRPr="00D904C3" w:rsidRDefault="00D904C3">
            <w:pPr>
              <w:spacing w:line="240" w:lineRule="auto"/>
              <w:jc w:val="center"/>
              <w:rPr>
                <w:color w:val="000000"/>
                <w:sz w:val="20"/>
                <w:szCs w:val="20"/>
                <w:lang w:val="en-US"/>
              </w:rPr>
            </w:pPr>
            <w:r w:rsidRPr="00D904C3">
              <w:rPr>
                <w:color w:val="000000"/>
                <w:sz w:val="20"/>
                <w:szCs w:val="20"/>
                <w:lang w:val="en-US"/>
              </w:rPr>
              <w:t>7.58</w:t>
            </w:r>
          </w:p>
        </w:tc>
      </w:tr>
      <w:tr w:rsidR="00D904C3" w:rsidRPr="00410EE7" w:rsidTr="00B73C26">
        <w:trPr>
          <w:trHeight w:val="227"/>
        </w:trPr>
        <w:tc>
          <w:tcPr>
            <w:tcW w:w="2411" w:type="dxa"/>
            <w:noWrap/>
            <w:hideMark/>
          </w:tcPr>
          <w:p w:rsidR="00D904C3" w:rsidRPr="00A615D7" w:rsidRDefault="00D904C3" w:rsidP="00B73C26">
            <w:pPr>
              <w:spacing w:line="240" w:lineRule="auto"/>
              <w:jc w:val="left"/>
              <w:rPr>
                <w:b/>
                <w:color w:val="000000"/>
                <w:sz w:val="20"/>
                <w:szCs w:val="20"/>
                <w:highlight w:val="cyan"/>
                <w:lang w:eastAsia="en-GB"/>
              </w:rPr>
            </w:pPr>
          </w:p>
        </w:tc>
        <w:tc>
          <w:tcPr>
            <w:tcW w:w="1559" w:type="dxa"/>
            <w:noWrap/>
          </w:tcPr>
          <w:p w:rsidR="00D904C3" w:rsidRPr="00410EE7" w:rsidRDefault="00D904C3" w:rsidP="003A48EC">
            <w:pPr>
              <w:spacing w:line="240" w:lineRule="auto"/>
              <w:jc w:val="center"/>
              <w:rPr>
                <w:color w:val="000000"/>
                <w:sz w:val="20"/>
                <w:szCs w:val="20"/>
                <w:lang w:val="en-US"/>
              </w:rPr>
            </w:pPr>
            <w:r w:rsidRPr="00410EE7">
              <w:rPr>
                <w:color w:val="000000"/>
                <w:sz w:val="20"/>
                <w:szCs w:val="20"/>
                <w:lang w:val="en-US"/>
              </w:rPr>
              <w:t>[0, 0]</w:t>
            </w:r>
          </w:p>
        </w:tc>
        <w:tc>
          <w:tcPr>
            <w:tcW w:w="1843" w:type="dxa"/>
            <w:noWrap/>
          </w:tcPr>
          <w:p w:rsidR="00D904C3" w:rsidRPr="00410EE7" w:rsidRDefault="00D904C3" w:rsidP="003A48EC">
            <w:pPr>
              <w:spacing w:line="240" w:lineRule="auto"/>
              <w:jc w:val="center"/>
              <w:rPr>
                <w:color w:val="000000"/>
                <w:sz w:val="20"/>
                <w:szCs w:val="20"/>
                <w:lang w:val="en-US"/>
              </w:rPr>
            </w:pPr>
            <w:r w:rsidRPr="00410EE7">
              <w:rPr>
                <w:color w:val="000000"/>
                <w:sz w:val="20"/>
                <w:szCs w:val="20"/>
                <w:lang w:val="en-US"/>
              </w:rPr>
              <w:t>[0, 0]</w:t>
            </w:r>
          </w:p>
        </w:tc>
        <w:tc>
          <w:tcPr>
            <w:tcW w:w="1701" w:type="dxa"/>
            <w:noWrap/>
            <w:hideMark/>
          </w:tcPr>
          <w:p w:rsidR="00D904C3" w:rsidRPr="00D904C3" w:rsidRDefault="00D904C3">
            <w:pPr>
              <w:spacing w:line="240" w:lineRule="auto"/>
              <w:jc w:val="center"/>
              <w:rPr>
                <w:color w:val="000000"/>
                <w:sz w:val="20"/>
                <w:szCs w:val="20"/>
                <w:lang w:val="en-US"/>
              </w:rPr>
            </w:pPr>
            <w:r w:rsidRPr="00D904C3">
              <w:rPr>
                <w:color w:val="000000"/>
                <w:sz w:val="20"/>
                <w:szCs w:val="20"/>
                <w:lang w:val="en-US"/>
              </w:rPr>
              <w:t>[23.56, 49.38]</w:t>
            </w:r>
          </w:p>
        </w:tc>
        <w:tc>
          <w:tcPr>
            <w:tcW w:w="1842" w:type="dxa"/>
            <w:noWrap/>
            <w:hideMark/>
          </w:tcPr>
          <w:p w:rsidR="00D904C3" w:rsidRPr="00D904C3" w:rsidRDefault="00D904C3">
            <w:pPr>
              <w:spacing w:line="240" w:lineRule="auto"/>
              <w:jc w:val="center"/>
              <w:rPr>
                <w:color w:val="000000"/>
                <w:sz w:val="20"/>
                <w:szCs w:val="20"/>
                <w:lang w:val="en-US"/>
              </w:rPr>
            </w:pPr>
            <w:r w:rsidRPr="00D904C3">
              <w:rPr>
                <w:color w:val="000000"/>
                <w:sz w:val="20"/>
                <w:szCs w:val="20"/>
                <w:lang w:val="en-US"/>
              </w:rPr>
              <w:t>[27.87, 53.97]</w:t>
            </w:r>
          </w:p>
        </w:tc>
        <w:tc>
          <w:tcPr>
            <w:tcW w:w="2127" w:type="dxa"/>
            <w:noWrap/>
            <w:hideMark/>
          </w:tcPr>
          <w:p w:rsidR="00D904C3" w:rsidRPr="00D904C3" w:rsidRDefault="00D904C3">
            <w:pPr>
              <w:spacing w:line="240" w:lineRule="auto"/>
              <w:jc w:val="center"/>
              <w:rPr>
                <w:color w:val="000000"/>
                <w:sz w:val="20"/>
                <w:szCs w:val="20"/>
                <w:lang w:val="en-US"/>
              </w:rPr>
            </w:pPr>
            <w:r w:rsidRPr="00D904C3">
              <w:rPr>
                <w:color w:val="000000"/>
                <w:sz w:val="20"/>
                <w:szCs w:val="20"/>
                <w:lang w:val="en-US"/>
              </w:rPr>
              <w:t>[33.10, 63.78]</w:t>
            </w:r>
          </w:p>
        </w:tc>
        <w:tc>
          <w:tcPr>
            <w:tcW w:w="2551" w:type="dxa"/>
            <w:noWrap/>
            <w:hideMark/>
          </w:tcPr>
          <w:p w:rsidR="00D904C3" w:rsidRPr="00D904C3" w:rsidRDefault="00D904C3">
            <w:pPr>
              <w:spacing w:line="240" w:lineRule="auto"/>
              <w:jc w:val="center"/>
              <w:rPr>
                <w:color w:val="000000"/>
                <w:sz w:val="20"/>
                <w:szCs w:val="20"/>
                <w:lang w:val="en-US"/>
              </w:rPr>
            </w:pPr>
            <w:r w:rsidRPr="00D904C3">
              <w:rPr>
                <w:color w:val="000000"/>
                <w:sz w:val="20"/>
                <w:szCs w:val="20"/>
                <w:lang w:val="en-US"/>
              </w:rPr>
              <w:t>[37, 68]</w:t>
            </w:r>
          </w:p>
        </w:tc>
      </w:tr>
      <w:tr w:rsidR="00B73C26" w:rsidRPr="00410EE7" w:rsidTr="00B73C26">
        <w:trPr>
          <w:trHeight w:val="227"/>
        </w:trPr>
        <w:tc>
          <w:tcPr>
            <w:tcW w:w="2411" w:type="dxa"/>
            <w:noWrap/>
            <w:hideMark/>
          </w:tcPr>
          <w:p w:rsidR="00B73C26" w:rsidRPr="00410EE7" w:rsidRDefault="00B73C26" w:rsidP="00B73C26">
            <w:pPr>
              <w:spacing w:line="240" w:lineRule="auto"/>
              <w:jc w:val="left"/>
              <w:rPr>
                <w:b/>
                <w:bCs/>
                <w:color w:val="000000"/>
                <w:sz w:val="20"/>
                <w:szCs w:val="20"/>
                <w:lang w:val="en-US"/>
              </w:rPr>
            </w:pPr>
            <w:r w:rsidRPr="00410EE7">
              <w:rPr>
                <w:b/>
                <w:color w:val="000000"/>
                <w:sz w:val="20"/>
                <w:szCs w:val="20"/>
                <w:lang w:eastAsia="en-GB"/>
              </w:rPr>
              <w:t>List size</w:t>
            </w:r>
          </w:p>
        </w:tc>
        <w:tc>
          <w:tcPr>
            <w:tcW w:w="1559"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6382</w:t>
            </w:r>
          </w:p>
        </w:tc>
        <w:tc>
          <w:tcPr>
            <w:tcW w:w="1843"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6416</w:t>
            </w:r>
          </w:p>
        </w:tc>
        <w:tc>
          <w:tcPr>
            <w:tcW w:w="1701"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6509</w:t>
            </w:r>
          </w:p>
        </w:tc>
        <w:tc>
          <w:tcPr>
            <w:tcW w:w="1842"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6603</w:t>
            </w:r>
          </w:p>
        </w:tc>
        <w:tc>
          <w:tcPr>
            <w:tcW w:w="2127"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6710</w:t>
            </w:r>
          </w:p>
        </w:tc>
        <w:tc>
          <w:tcPr>
            <w:tcW w:w="2551"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6716</w:t>
            </w:r>
          </w:p>
        </w:tc>
      </w:tr>
      <w:tr w:rsidR="00B73C26" w:rsidRPr="00410EE7" w:rsidTr="00B73C26">
        <w:trPr>
          <w:trHeight w:val="227"/>
        </w:trPr>
        <w:tc>
          <w:tcPr>
            <w:tcW w:w="2411" w:type="dxa"/>
            <w:noWrap/>
          </w:tcPr>
          <w:p w:rsidR="00B73C26" w:rsidRPr="00410EE7" w:rsidRDefault="00B73C26" w:rsidP="00B73C26">
            <w:pPr>
              <w:spacing w:line="240" w:lineRule="auto"/>
              <w:jc w:val="left"/>
              <w:rPr>
                <w:b/>
                <w:bCs/>
                <w:color w:val="000000"/>
                <w:sz w:val="20"/>
                <w:szCs w:val="20"/>
                <w:lang w:val="en-US"/>
              </w:rPr>
            </w:pPr>
          </w:p>
        </w:tc>
        <w:tc>
          <w:tcPr>
            <w:tcW w:w="1559"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3836</w:t>
            </w:r>
          </w:p>
        </w:tc>
        <w:tc>
          <w:tcPr>
            <w:tcW w:w="1843"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3872</w:t>
            </w:r>
          </w:p>
        </w:tc>
        <w:tc>
          <w:tcPr>
            <w:tcW w:w="1701"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3908</w:t>
            </w:r>
          </w:p>
        </w:tc>
        <w:tc>
          <w:tcPr>
            <w:tcW w:w="1842"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3958</w:t>
            </w:r>
          </w:p>
        </w:tc>
        <w:tc>
          <w:tcPr>
            <w:tcW w:w="2127"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4011</w:t>
            </w:r>
          </w:p>
        </w:tc>
        <w:tc>
          <w:tcPr>
            <w:tcW w:w="2551"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4152</w:t>
            </w:r>
          </w:p>
        </w:tc>
      </w:tr>
      <w:tr w:rsidR="00B73C26" w:rsidRPr="00410EE7" w:rsidTr="00B73C26">
        <w:trPr>
          <w:trHeight w:val="227"/>
        </w:trPr>
        <w:tc>
          <w:tcPr>
            <w:tcW w:w="2411" w:type="dxa"/>
            <w:noWrap/>
          </w:tcPr>
          <w:p w:rsidR="00B73C26" w:rsidRPr="00410EE7" w:rsidRDefault="00B73C26" w:rsidP="00B73C26">
            <w:pPr>
              <w:spacing w:line="240" w:lineRule="auto"/>
              <w:jc w:val="left"/>
              <w:rPr>
                <w:b/>
                <w:bCs/>
                <w:color w:val="000000"/>
                <w:sz w:val="20"/>
                <w:szCs w:val="20"/>
                <w:lang w:val="en-US"/>
              </w:rPr>
            </w:pPr>
          </w:p>
        </w:tc>
        <w:tc>
          <w:tcPr>
            <w:tcW w:w="1559"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[557, 35956]</w:t>
            </w:r>
          </w:p>
        </w:tc>
        <w:tc>
          <w:tcPr>
            <w:tcW w:w="1843"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[559, 36388]</w:t>
            </w:r>
          </w:p>
        </w:tc>
        <w:tc>
          <w:tcPr>
            <w:tcW w:w="1701"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[518, 36884]</w:t>
            </w:r>
          </w:p>
        </w:tc>
        <w:tc>
          <w:tcPr>
            <w:tcW w:w="1842"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[501, 37613]</w:t>
            </w:r>
          </w:p>
        </w:tc>
        <w:tc>
          <w:tcPr>
            <w:tcW w:w="2127"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[541, 38717]</w:t>
            </w:r>
          </w:p>
        </w:tc>
        <w:tc>
          <w:tcPr>
            <w:tcW w:w="2551"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[504, 39919]</w:t>
            </w:r>
          </w:p>
        </w:tc>
      </w:tr>
      <w:tr w:rsidR="00B73C26" w:rsidRPr="00410EE7" w:rsidTr="00B73C26">
        <w:trPr>
          <w:trHeight w:val="227"/>
        </w:trPr>
        <w:tc>
          <w:tcPr>
            <w:tcW w:w="2411" w:type="dxa"/>
            <w:noWrap/>
          </w:tcPr>
          <w:p w:rsidR="00B73C26" w:rsidRPr="00410EE7" w:rsidRDefault="00B73C26" w:rsidP="00B73C26">
            <w:pPr>
              <w:spacing w:line="240" w:lineRule="auto"/>
              <w:jc w:val="left"/>
              <w:rPr>
                <w:b/>
                <w:bCs/>
                <w:color w:val="000000"/>
                <w:sz w:val="20"/>
                <w:szCs w:val="20"/>
                <w:lang w:val="en-US"/>
              </w:rPr>
            </w:pPr>
            <w:r w:rsidRPr="00410EE7">
              <w:rPr>
                <w:b/>
                <w:bCs/>
                <w:color w:val="000000"/>
                <w:sz w:val="20"/>
                <w:szCs w:val="20"/>
                <w:lang w:val="en-US"/>
              </w:rPr>
              <w:t>N</w:t>
            </w:r>
            <w:r>
              <w:rPr>
                <w:b/>
                <w:bCs/>
                <w:color w:val="000000"/>
                <w:sz w:val="20"/>
                <w:szCs w:val="20"/>
                <w:lang w:val="en-US"/>
              </w:rPr>
              <w:t>umber of practices</w:t>
            </w:r>
          </w:p>
        </w:tc>
        <w:tc>
          <w:tcPr>
            <w:tcW w:w="1559"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7909</w:t>
            </w:r>
          </w:p>
        </w:tc>
        <w:tc>
          <w:tcPr>
            <w:tcW w:w="1843"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8015</w:t>
            </w:r>
          </w:p>
        </w:tc>
        <w:tc>
          <w:tcPr>
            <w:tcW w:w="1701"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8004</w:t>
            </w:r>
          </w:p>
        </w:tc>
        <w:tc>
          <w:tcPr>
            <w:tcW w:w="1842"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7820</w:t>
            </w:r>
          </w:p>
        </w:tc>
        <w:tc>
          <w:tcPr>
            <w:tcW w:w="2127"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7794</w:t>
            </w:r>
          </w:p>
        </w:tc>
        <w:tc>
          <w:tcPr>
            <w:tcW w:w="2551" w:type="dxa"/>
            <w:noWrap/>
            <w:hideMark/>
          </w:tcPr>
          <w:p w:rsidR="00B73C26" w:rsidRPr="00410EE7" w:rsidRDefault="00B73C26" w:rsidP="006123F4">
            <w:pPr>
              <w:spacing w:line="240" w:lineRule="auto"/>
              <w:jc w:val="center"/>
              <w:rPr>
                <w:color w:val="000000"/>
                <w:sz w:val="20"/>
                <w:szCs w:val="20"/>
                <w:lang w:val="en-US"/>
              </w:rPr>
            </w:pPr>
            <w:r w:rsidRPr="00410EE7">
              <w:rPr>
                <w:color w:val="000000"/>
                <w:sz w:val="20"/>
                <w:szCs w:val="20"/>
                <w:lang w:val="en-US"/>
              </w:rPr>
              <w:t>7914</w:t>
            </w:r>
          </w:p>
        </w:tc>
      </w:tr>
    </w:tbl>
    <w:p w:rsidR="007B5E02" w:rsidRDefault="007B5E02" w:rsidP="007B5E02">
      <w:pPr>
        <w:spacing w:line="240" w:lineRule="auto"/>
        <w:rPr>
          <w:sz w:val="20"/>
          <w:szCs w:val="20"/>
        </w:rPr>
      </w:pPr>
      <w:proofErr w:type="gramStart"/>
      <w:r w:rsidRPr="007421C6">
        <w:rPr>
          <w:i/>
          <w:sz w:val="20"/>
          <w:szCs w:val="20"/>
        </w:rPr>
        <w:t>Notes</w:t>
      </w:r>
      <w:r w:rsidRPr="007421C6">
        <w:rPr>
          <w:sz w:val="20"/>
          <w:szCs w:val="20"/>
        </w:rPr>
        <w:t>.</w:t>
      </w:r>
      <w:proofErr w:type="gramEnd"/>
      <w:r w:rsidRPr="007421C6">
        <w:rPr>
          <w:sz w:val="20"/>
          <w:szCs w:val="20"/>
        </w:rPr>
        <w:t xml:space="preserve">  The denominator for non-attendance, patient cancellation, and attendance rates is referrals minus hospital cancellations; for the hospital cancellation rate </w:t>
      </w:r>
      <w:r w:rsidR="007723E5" w:rsidRPr="007421C6">
        <w:rPr>
          <w:sz w:val="20"/>
          <w:szCs w:val="20"/>
        </w:rPr>
        <w:t xml:space="preserve">and the C&amp;B rate it </w:t>
      </w:r>
      <w:r w:rsidRPr="007421C6">
        <w:rPr>
          <w:sz w:val="20"/>
          <w:szCs w:val="20"/>
        </w:rPr>
        <w:t xml:space="preserve">is referrals; and for the referral rate it is the practice list size.  Figures are for calendar years. </w:t>
      </w:r>
    </w:p>
    <w:p w:rsidR="00024337" w:rsidRPr="007421C6" w:rsidRDefault="00194960" w:rsidP="007B5E02">
      <w:pPr>
        <w:spacing w:line="240" w:lineRule="auto"/>
        <w:rPr>
          <w:sz w:val="20"/>
          <w:szCs w:val="20"/>
        </w:rPr>
      </w:pPr>
      <w:r>
        <w:rPr>
          <w:sz w:val="20"/>
          <w:szCs w:val="20"/>
          <w:vertAlign w:val="superscript"/>
        </w:rPr>
        <w:t>1</w:t>
      </w:r>
      <w:r w:rsidR="00024337">
        <w:rPr>
          <w:sz w:val="20"/>
          <w:szCs w:val="20"/>
        </w:rPr>
        <w:t xml:space="preserve"> Sample size is 152 PCTs</w:t>
      </w:r>
    </w:p>
    <w:p w:rsidR="007B5E02" w:rsidRPr="007421C6" w:rsidRDefault="007B5E02" w:rsidP="007B5E02">
      <w:pPr>
        <w:spacing w:line="240" w:lineRule="auto"/>
        <w:jc w:val="left"/>
        <w:rPr>
          <w:b/>
          <w:noProof/>
          <w:sz w:val="20"/>
          <w:szCs w:val="20"/>
          <w:lang w:eastAsia="en-GB"/>
        </w:rPr>
        <w:sectPr w:rsidR="007B5E02" w:rsidRPr="007421C6" w:rsidSect="006D42ED">
          <w:footnotePr>
            <w:numRestart w:val="eachSect"/>
          </w:footnotePr>
          <w:pgSz w:w="16838" w:h="11906" w:orient="landscape"/>
          <w:pgMar w:top="1440" w:right="1440" w:bottom="1440" w:left="1440" w:header="709" w:footer="709" w:gutter="0"/>
          <w:cols w:space="708"/>
          <w:docGrid w:linePitch="360"/>
        </w:sectPr>
      </w:pPr>
    </w:p>
    <w:p w:rsidR="007B5E02" w:rsidRPr="00410EE7" w:rsidRDefault="006724C0" w:rsidP="007B5E02">
      <w:pPr>
        <w:spacing w:line="240" w:lineRule="auto"/>
        <w:rPr>
          <w:b/>
          <w:noProof/>
          <w:lang w:eastAsia="en-GB"/>
        </w:rPr>
      </w:pPr>
      <w:r>
        <w:rPr>
          <w:b/>
          <w:noProof/>
          <w:lang w:eastAsia="en-GB"/>
        </w:rPr>
        <w:lastRenderedPageBreak/>
        <w:t>Table 2</w:t>
      </w:r>
      <w:r w:rsidR="007B5E02" w:rsidRPr="00410EE7">
        <w:rPr>
          <w:b/>
          <w:noProof/>
          <w:lang w:eastAsia="en-GB"/>
        </w:rPr>
        <w:t xml:space="preserve">.  </w:t>
      </w:r>
      <w:r w:rsidR="003A7C62">
        <w:rPr>
          <w:b/>
          <w:noProof/>
          <w:lang w:eastAsia="en-GB"/>
        </w:rPr>
        <w:t xml:space="preserve">Practice Choose and Book rate and </w:t>
      </w:r>
      <w:r w:rsidR="007B5E02" w:rsidRPr="00410EE7">
        <w:rPr>
          <w:b/>
          <w:noProof/>
          <w:lang w:eastAsia="en-GB"/>
        </w:rPr>
        <w:t xml:space="preserve">non-attendance, </w:t>
      </w:r>
      <w:r w:rsidR="00045FB6">
        <w:rPr>
          <w:b/>
          <w:noProof/>
          <w:lang w:eastAsia="en-GB"/>
        </w:rPr>
        <w:t xml:space="preserve">GP referrals, </w:t>
      </w:r>
      <w:r w:rsidR="007B5E02" w:rsidRPr="00410EE7">
        <w:rPr>
          <w:b/>
          <w:noProof/>
          <w:lang w:eastAsia="en-GB"/>
        </w:rPr>
        <w:t>patient cancellation, and hospital cancellation rates.</w:t>
      </w:r>
    </w:p>
    <w:tbl>
      <w:tblPr>
        <w:tblStyle w:val="TableSimple1"/>
        <w:tblW w:w="4737" w:type="pct"/>
        <w:tblLayout w:type="fixed"/>
        <w:tblLook w:val="04A0" w:firstRow="1" w:lastRow="0" w:firstColumn="1" w:lastColumn="0" w:noHBand="0" w:noVBand="1"/>
      </w:tblPr>
      <w:tblGrid>
        <w:gridCol w:w="1668"/>
        <w:gridCol w:w="1843"/>
        <w:gridCol w:w="1700"/>
        <w:gridCol w:w="1704"/>
        <w:gridCol w:w="1841"/>
      </w:tblGrid>
      <w:tr w:rsidR="00A82297" w:rsidRPr="00410EE7" w:rsidTr="00941772">
        <w:trPr>
          <w:cnfStyle w:val="100000000000" w:firstRow="1" w:lastRow="0" w:firstColumn="0" w:lastColumn="0" w:oddVBand="0" w:evenVBand="0" w:oddHBand="0" w:evenHBand="0" w:firstRowFirstColumn="0" w:firstRowLastColumn="0" w:lastRowFirstColumn="0" w:lastRowLastColumn="0"/>
          <w:trHeight w:val="300"/>
        </w:trPr>
        <w:tc>
          <w:tcPr>
            <w:tcW w:w="952" w:type="pct"/>
            <w:noWrap/>
            <w:hideMark/>
          </w:tcPr>
          <w:p w:rsidR="00A82297" w:rsidRPr="00410EE7" w:rsidRDefault="00A82297" w:rsidP="00023FDF">
            <w:pPr>
              <w:spacing w:line="240" w:lineRule="auto"/>
              <w:jc w:val="left"/>
              <w:rPr>
                <w:color w:val="000000"/>
                <w:sz w:val="20"/>
                <w:szCs w:val="20"/>
                <w:lang w:val="en-US"/>
              </w:rPr>
            </w:pPr>
          </w:p>
        </w:tc>
        <w:tc>
          <w:tcPr>
            <w:tcW w:w="1052" w:type="pct"/>
          </w:tcPr>
          <w:p w:rsidR="00A82297" w:rsidRPr="00410EE7" w:rsidRDefault="00A82297" w:rsidP="00023FDF">
            <w:pPr>
              <w:spacing w:line="240" w:lineRule="auto"/>
              <w:jc w:val="center"/>
              <w:rPr>
                <w:b/>
                <w:bCs/>
                <w:color w:val="000000"/>
                <w:sz w:val="20"/>
                <w:szCs w:val="20"/>
                <w:lang w:val="en-US"/>
              </w:rPr>
            </w:pPr>
            <w:r w:rsidRPr="00410EE7">
              <w:rPr>
                <w:b/>
                <w:bCs/>
                <w:color w:val="000000"/>
                <w:sz w:val="20"/>
                <w:szCs w:val="20"/>
                <w:lang w:val="en-US"/>
              </w:rPr>
              <w:t>Non-attendance</w:t>
            </w:r>
          </w:p>
        </w:tc>
        <w:tc>
          <w:tcPr>
            <w:tcW w:w="971" w:type="pct"/>
          </w:tcPr>
          <w:p w:rsidR="00A82297" w:rsidRPr="00410EE7" w:rsidRDefault="00A82297" w:rsidP="00023FDF">
            <w:pPr>
              <w:spacing w:line="240" w:lineRule="auto"/>
              <w:jc w:val="center"/>
              <w:rPr>
                <w:b/>
                <w:bCs/>
                <w:color w:val="000000"/>
                <w:sz w:val="20"/>
                <w:szCs w:val="20"/>
                <w:lang w:val="en-US"/>
              </w:rPr>
            </w:pPr>
            <w:r w:rsidRPr="00410EE7">
              <w:rPr>
                <w:b/>
                <w:bCs/>
                <w:color w:val="000000"/>
                <w:sz w:val="20"/>
                <w:szCs w:val="20"/>
                <w:lang w:val="en-US"/>
              </w:rPr>
              <w:t>GP referrals</w:t>
            </w:r>
          </w:p>
        </w:tc>
        <w:tc>
          <w:tcPr>
            <w:tcW w:w="973" w:type="pct"/>
            <w:noWrap/>
            <w:hideMark/>
          </w:tcPr>
          <w:p w:rsidR="00A82297" w:rsidRPr="00410EE7" w:rsidRDefault="00A82297" w:rsidP="00023FDF">
            <w:pPr>
              <w:spacing w:line="240" w:lineRule="auto"/>
              <w:jc w:val="center"/>
              <w:rPr>
                <w:b/>
                <w:bCs/>
                <w:color w:val="000000"/>
                <w:sz w:val="20"/>
                <w:szCs w:val="20"/>
                <w:lang w:val="en-US"/>
              </w:rPr>
            </w:pPr>
            <w:r w:rsidRPr="00410EE7">
              <w:rPr>
                <w:b/>
                <w:bCs/>
                <w:color w:val="000000"/>
                <w:sz w:val="20"/>
                <w:szCs w:val="20"/>
                <w:lang w:val="en-US"/>
              </w:rPr>
              <w:t>Patient cancellation</w:t>
            </w:r>
          </w:p>
        </w:tc>
        <w:tc>
          <w:tcPr>
            <w:tcW w:w="1051" w:type="pct"/>
            <w:noWrap/>
            <w:hideMark/>
          </w:tcPr>
          <w:p w:rsidR="00A82297" w:rsidRPr="00410EE7" w:rsidRDefault="00A82297" w:rsidP="00023FDF">
            <w:pPr>
              <w:spacing w:line="240" w:lineRule="auto"/>
              <w:jc w:val="center"/>
              <w:rPr>
                <w:b/>
                <w:bCs/>
                <w:color w:val="000000"/>
                <w:sz w:val="20"/>
                <w:szCs w:val="20"/>
                <w:lang w:val="en-US"/>
              </w:rPr>
            </w:pPr>
            <w:r w:rsidRPr="00410EE7">
              <w:rPr>
                <w:b/>
                <w:bCs/>
                <w:color w:val="000000"/>
                <w:sz w:val="20"/>
                <w:szCs w:val="20"/>
                <w:lang w:val="en-US"/>
              </w:rPr>
              <w:t>Hospital cancellations</w:t>
            </w:r>
          </w:p>
        </w:tc>
      </w:tr>
      <w:tr w:rsidR="00A82297" w:rsidRPr="00410EE7" w:rsidTr="00941772">
        <w:trPr>
          <w:trHeight w:val="300"/>
        </w:trPr>
        <w:tc>
          <w:tcPr>
            <w:tcW w:w="952" w:type="pct"/>
            <w:noWrap/>
            <w:hideMark/>
          </w:tcPr>
          <w:p w:rsidR="00A82297" w:rsidRPr="00410EE7" w:rsidRDefault="00A82297" w:rsidP="00023FDF">
            <w:pPr>
              <w:spacing w:line="240" w:lineRule="auto"/>
              <w:jc w:val="left"/>
              <w:rPr>
                <w:color w:val="000000"/>
                <w:sz w:val="20"/>
                <w:szCs w:val="20"/>
                <w:lang w:val="en-US"/>
              </w:rPr>
            </w:pPr>
            <w:r w:rsidRPr="00410EE7">
              <w:rPr>
                <w:b/>
                <w:color w:val="000000"/>
                <w:sz w:val="20"/>
                <w:szCs w:val="20"/>
                <w:lang w:eastAsia="en-GB"/>
              </w:rPr>
              <w:t>C&amp;B rate</w:t>
            </w:r>
          </w:p>
        </w:tc>
        <w:tc>
          <w:tcPr>
            <w:tcW w:w="1052" w:type="pct"/>
          </w:tcPr>
          <w:p w:rsidR="00A82297" w:rsidRPr="00410EE7" w:rsidRDefault="00A82297" w:rsidP="00023FDF">
            <w:pPr>
              <w:spacing w:line="240" w:lineRule="auto"/>
              <w:jc w:val="center"/>
              <w:rPr>
                <w:color w:val="000000"/>
                <w:sz w:val="20"/>
                <w:szCs w:val="20"/>
                <w:lang w:val="en-US"/>
              </w:rPr>
            </w:pPr>
            <w:r w:rsidRPr="00410EE7">
              <w:rPr>
                <w:color w:val="000000"/>
                <w:sz w:val="20"/>
                <w:szCs w:val="20"/>
                <w:lang w:val="en-US"/>
              </w:rPr>
              <w:t>-0.0023</w:t>
            </w:r>
          </w:p>
        </w:tc>
        <w:tc>
          <w:tcPr>
            <w:tcW w:w="971" w:type="pct"/>
          </w:tcPr>
          <w:p w:rsidR="00A82297" w:rsidRPr="00410EE7" w:rsidRDefault="00A82297" w:rsidP="00023FDF">
            <w:pPr>
              <w:spacing w:line="240" w:lineRule="auto"/>
              <w:jc w:val="center"/>
              <w:rPr>
                <w:color w:val="000000"/>
                <w:sz w:val="20"/>
                <w:szCs w:val="20"/>
                <w:lang w:val="en-US"/>
              </w:rPr>
            </w:pPr>
            <w:r w:rsidRPr="00410EE7">
              <w:rPr>
                <w:color w:val="000000"/>
                <w:sz w:val="20"/>
                <w:szCs w:val="20"/>
                <w:lang w:val="en-US"/>
              </w:rPr>
              <w:t>-0.0006</w:t>
            </w:r>
            <w:r w:rsidR="0098415E">
              <w:rPr>
                <w:color w:val="000000"/>
                <w:sz w:val="20"/>
                <w:szCs w:val="20"/>
                <w:lang w:val="en-US"/>
              </w:rPr>
              <w:t>13</w:t>
            </w:r>
          </w:p>
        </w:tc>
        <w:tc>
          <w:tcPr>
            <w:tcW w:w="973" w:type="pct"/>
            <w:noWrap/>
            <w:hideMark/>
          </w:tcPr>
          <w:p w:rsidR="00A82297" w:rsidRPr="00410EE7" w:rsidRDefault="00A82297" w:rsidP="00023FDF">
            <w:pPr>
              <w:spacing w:line="240" w:lineRule="auto"/>
              <w:jc w:val="center"/>
              <w:rPr>
                <w:color w:val="000000"/>
                <w:sz w:val="20"/>
                <w:szCs w:val="20"/>
                <w:lang w:val="en-US"/>
              </w:rPr>
            </w:pPr>
            <w:r w:rsidRPr="00410EE7">
              <w:rPr>
                <w:color w:val="000000"/>
                <w:sz w:val="20"/>
                <w:szCs w:val="20"/>
                <w:lang w:val="en-US"/>
              </w:rPr>
              <w:t>-0.000</w:t>
            </w:r>
            <w:r w:rsidR="0098415E">
              <w:rPr>
                <w:color w:val="000000"/>
                <w:sz w:val="20"/>
                <w:szCs w:val="20"/>
                <w:lang w:val="en-US"/>
              </w:rPr>
              <w:t>87</w:t>
            </w:r>
          </w:p>
        </w:tc>
        <w:tc>
          <w:tcPr>
            <w:tcW w:w="1051" w:type="pct"/>
            <w:noWrap/>
            <w:hideMark/>
          </w:tcPr>
          <w:p w:rsidR="00A82297" w:rsidRPr="00410EE7" w:rsidRDefault="00A82297" w:rsidP="00023FDF">
            <w:pPr>
              <w:spacing w:line="240" w:lineRule="auto"/>
              <w:jc w:val="center"/>
              <w:rPr>
                <w:color w:val="000000"/>
                <w:sz w:val="20"/>
                <w:szCs w:val="20"/>
                <w:lang w:val="en-US"/>
              </w:rPr>
            </w:pPr>
            <w:r w:rsidRPr="00410EE7">
              <w:rPr>
                <w:color w:val="000000"/>
                <w:sz w:val="20"/>
                <w:szCs w:val="20"/>
                <w:lang w:val="en-US"/>
              </w:rPr>
              <w:t>0.0068</w:t>
            </w:r>
          </w:p>
        </w:tc>
      </w:tr>
      <w:tr w:rsidR="00A82297" w:rsidRPr="00410EE7" w:rsidTr="00941772">
        <w:trPr>
          <w:trHeight w:val="300"/>
        </w:trPr>
        <w:tc>
          <w:tcPr>
            <w:tcW w:w="952" w:type="pct"/>
            <w:noWrap/>
            <w:hideMark/>
          </w:tcPr>
          <w:p w:rsidR="00A82297" w:rsidRPr="00410EE7" w:rsidRDefault="00A82297" w:rsidP="00023FDF">
            <w:pPr>
              <w:spacing w:line="240" w:lineRule="auto"/>
              <w:jc w:val="left"/>
              <w:rPr>
                <w:color w:val="000000"/>
                <w:sz w:val="20"/>
                <w:szCs w:val="20"/>
                <w:lang w:val="en-US"/>
              </w:rPr>
            </w:pPr>
          </w:p>
        </w:tc>
        <w:tc>
          <w:tcPr>
            <w:tcW w:w="1052" w:type="pct"/>
          </w:tcPr>
          <w:p w:rsidR="00A82297" w:rsidRPr="00410EE7" w:rsidRDefault="00A82297" w:rsidP="00023FDF">
            <w:pPr>
              <w:spacing w:line="240" w:lineRule="auto"/>
              <w:jc w:val="center"/>
              <w:rPr>
                <w:color w:val="000000"/>
                <w:sz w:val="20"/>
                <w:szCs w:val="20"/>
                <w:lang w:val="en-US"/>
              </w:rPr>
            </w:pPr>
            <w:r w:rsidRPr="00410EE7">
              <w:rPr>
                <w:color w:val="000000"/>
                <w:sz w:val="20"/>
                <w:szCs w:val="20"/>
                <w:lang w:val="en-US"/>
              </w:rPr>
              <w:t>[0.00012]**</w:t>
            </w:r>
            <w:r w:rsidR="00EE3730" w:rsidRPr="00410EE7">
              <w:rPr>
                <w:color w:val="000000"/>
                <w:sz w:val="20"/>
                <w:szCs w:val="20"/>
                <w:lang w:val="en-US"/>
              </w:rPr>
              <w:t>*</w:t>
            </w:r>
          </w:p>
        </w:tc>
        <w:tc>
          <w:tcPr>
            <w:tcW w:w="971" w:type="pct"/>
          </w:tcPr>
          <w:p w:rsidR="00A82297" w:rsidRPr="00410EE7" w:rsidRDefault="00A82297" w:rsidP="00023FDF">
            <w:pPr>
              <w:spacing w:line="240" w:lineRule="auto"/>
              <w:jc w:val="center"/>
              <w:rPr>
                <w:color w:val="000000"/>
                <w:sz w:val="20"/>
                <w:szCs w:val="20"/>
                <w:lang w:val="en-US"/>
              </w:rPr>
            </w:pPr>
            <w:r w:rsidRPr="00410EE7">
              <w:rPr>
                <w:color w:val="000000"/>
                <w:sz w:val="20"/>
                <w:szCs w:val="20"/>
                <w:lang w:val="en-US"/>
              </w:rPr>
              <w:t>[0.000071]</w:t>
            </w:r>
            <w:r w:rsidR="00076D1E" w:rsidRPr="00410EE7">
              <w:rPr>
                <w:color w:val="000000"/>
                <w:sz w:val="20"/>
                <w:szCs w:val="20"/>
                <w:lang w:val="en-US"/>
              </w:rPr>
              <w:t>*</w:t>
            </w:r>
            <w:r w:rsidRPr="00410EE7">
              <w:rPr>
                <w:color w:val="000000"/>
                <w:sz w:val="20"/>
                <w:szCs w:val="20"/>
                <w:lang w:val="en-US"/>
              </w:rPr>
              <w:t>**</w:t>
            </w:r>
          </w:p>
        </w:tc>
        <w:tc>
          <w:tcPr>
            <w:tcW w:w="973" w:type="pct"/>
            <w:noWrap/>
            <w:hideMark/>
          </w:tcPr>
          <w:p w:rsidR="00A82297" w:rsidRPr="00410EE7" w:rsidRDefault="00A82297" w:rsidP="00023FDF">
            <w:pPr>
              <w:spacing w:line="240" w:lineRule="auto"/>
              <w:jc w:val="center"/>
              <w:rPr>
                <w:color w:val="000000"/>
                <w:sz w:val="20"/>
                <w:szCs w:val="20"/>
                <w:lang w:val="en-US"/>
              </w:rPr>
            </w:pPr>
            <w:r w:rsidRPr="00410EE7">
              <w:rPr>
                <w:color w:val="000000"/>
                <w:sz w:val="20"/>
                <w:szCs w:val="20"/>
                <w:lang w:val="en-US"/>
              </w:rPr>
              <w:t>[0.00034]*</w:t>
            </w:r>
          </w:p>
        </w:tc>
        <w:tc>
          <w:tcPr>
            <w:tcW w:w="1051" w:type="pct"/>
            <w:noWrap/>
            <w:hideMark/>
          </w:tcPr>
          <w:p w:rsidR="00A82297" w:rsidRPr="00410EE7" w:rsidRDefault="00A82297" w:rsidP="00023FDF">
            <w:pPr>
              <w:spacing w:line="240" w:lineRule="auto"/>
              <w:jc w:val="center"/>
              <w:rPr>
                <w:color w:val="000000"/>
                <w:sz w:val="20"/>
                <w:szCs w:val="20"/>
                <w:lang w:val="en-US"/>
              </w:rPr>
            </w:pPr>
            <w:r w:rsidRPr="00410EE7">
              <w:rPr>
                <w:color w:val="000000"/>
                <w:sz w:val="20"/>
                <w:szCs w:val="20"/>
                <w:lang w:val="en-US"/>
              </w:rPr>
              <w:t>[0.00044]**</w:t>
            </w:r>
            <w:r w:rsidR="00EE3730" w:rsidRPr="00410EE7">
              <w:rPr>
                <w:color w:val="000000"/>
                <w:sz w:val="20"/>
                <w:szCs w:val="20"/>
                <w:lang w:val="en-US"/>
              </w:rPr>
              <w:t>*</w:t>
            </w:r>
          </w:p>
        </w:tc>
      </w:tr>
      <w:tr w:rsidR="00A82297" w:rsidRPr="00410EE7" w:rsidTr="00941772">
        <w:trPr>
          <w:trHeight w:val="300"/>
        </w:trPr>
        <w:tc>
          <w:tcPr>
            <w:tcW w:w="952" w:type="pct"/>
            <w:noWrap/>
            <w:hideMark/>
          </w:tcPr>
          <w:p w:rsidR="00A82297" w:rsidRPr="00410EE7" w:rsidRDefault="00A82297" w:rsidP="00023FDF">
            <w:pPr>
              <w:spacing w:line="240" w:lineRule="auto"/>
              <w:jc w:val="left"/>
              <w:rPr>
                <w:color w:val="000000"/>
                <w:sz w:val="20"/>
                <w:szCs w:val="20"/>
                <w:lang w:val="en-US"/>
              </w:rPr>
            </w:pPr>
            <w:r w:rsidRPr="00410EE7">
              <w:rPr>
                <w:color w:val="000000"/>
                <w:sz w:val="20"/>
                <w:szCs w:val="20"/>
                <w:lang w:val="en-US"/>
              </w:rPr>
              <w:t>Observations</w:t>
            </w:r>
          </w:p>
        </w:tc>
        <w:tc>
          <w:tcPr>
            <w:tcW w:w="1052" w:type="pct"/>
          </w:tcPr>
          <w:p w:rsidR="00A82297" w:rsidRPr="00410EE7" w:rsidRDefault="00A82297" w:rsidP="00023FDF">
            <w:pPr>
              <w:spacing w:line="240" w:lineRule="auto"/>
              <w:jc w:val="center"/>
              <w:rPr>
                <w:color w:val="000000"/>
                <w:sz w:val="20"/>
                <w:szCs w:val="20"/>
                <w:lang w:val="en-US"/>
              </w:rPr>
            </w:pPr>
            <w:r w:rsidRPr="00410EE7">
              <w:rPr>
                <w:color w:val="000000"/>
                <w:sz w:val="20"/>
                <w:szCs w:val="20"/>
                <w:lang w:val="en-US"/>
              </w:rPr>
              <w:t>46690</w:t>
            </w:r>
          </w:p>
        </w:tc>
        <w:tc>
          <w:tcPr>
            <w:tcW w:w="971" w:type="pct"/>
          </w:tcPr>
          <w:p w:rsidR="00A82297" w:rsidRPr="00410EE7" w:rsidRDefault="00A82297" w:rsidP="00023FDF">
            <w:pPr>
              <w:spacing w:line="240" w:lineRule="auto"/>
              <w:jc w:val="center"/>
              <w:rPr>
                <w:color w:val="000000"/>
                <w:sz w:val="20"/>
                <w:szCs w:val="20"/>
                <w:lang w:val="en-US"/>
              </w:rPr>
            </w:pPr>
            <w:r w:rsidRPr="00410EE7">
              <w:rPr>
                <w:color w:val="000000"/>
                <w:sz w:val="20"/>
                <w:szCs w:val="20"/>
                <w:lang w:val="en-US"/>
              </w:rPr>
              <w:t>46692</w:t>
            </w:r>
          </w:p>
        </w:tc>
        <w:tc>
          <w:tcPr>
            <w:tcW w:w="973" w:type="pct"/>
            <w:noWrap/>
            <w:hideMark/>
          </w:tcPr>
          <w:p w:rsidR="00A82297" w:rsidRPr="00410EE7" w:rsidRDefault="00A82297" w:rsidP="00023FDF">
            <w:pPr>
              <w:spacing w:line="240" w:lineRule="auto"/>
              <w:jc w:val="center"/>
              <w:rPr>
                <w:color w:val="000000"/>
                <w:sz w:val="20"/>
                <w:szCs w:val="20"/>
                <w:lang w:val="en-US"/>
              </w:rPr>
            </w:pPr>
            <w:r w:rsidRPr="00410EE7">
              <w:rPr>
                <w:color w:val="000000"/>
                <w:sz w:val="20"/>
                <w:szCs w:val="20"/>
                <w:lang w:val="en-US"/>
              </w:rPr>
              <w:t>46493</w:t>
            </w:r>
          </w:p>
        </w:tc>
        <w:tc>
          <w:tcPr>
            <w:tcW w:w="1051" w:type="pct"/>
            <w:noWrap/>
            <w:hideMark/>
          </w:tcPr>
          <w:p w:rsidR="00A82297" w:rsidRPr="00410EE7" w:rsidRDefault="00A82297" w:rsidP="00023FDF">
            <w:pPr>
              <w:spacing w:line="240" w:lineRule="auto"/>
              <w:jc w:val="center"/>
              <w:rPr>
                <w:color w:val="000000"/>
                <w:sz w:val="20"/>
                <w:szCs w:val="20"/>
                <w:lang w:val="en-US"/>
              </w:rPr>
            </w:pPr>
            <w:r w:rsidRPr="00410EE7">
              <w:rPr>
                <w:color w:val="000000"/>
                <w:sz w:val="20"/>
                <w:szCs w:val="20"/>
                <w:lang w:val="en-US"/>
              </w:rPr>
              <w:t>45711</w:t>
            </w:r>
          </w:p>
        </w:tc>
      </w:tr>
      <w:tr w:rsidR="00A82297" w:rsidRPr="00410EE7" w:rsidTr="00941772">
        <w:trPr>
          <w:trHeight w:val="300"/>
        </w:trPr>
        <w:tc>
          <w:tcPr>
            <w:tcW w:w="952" w:type="pct"/>
            <w:noWrap/>
            <w:hideMark/>
          </w:tcPr>
          <w:p w:rsidR="00A82297" w:rsidRPr="00410EE7" w:rsidRDefault="00A82297" w:rsidP="00023FDF">
            <w:pPr>
              <w:spacing w:line="240" w:lineRule="auto"/>
              <w:jc w:val="left"/>
              <w:rPr>
                <w:color w:val="000000"/>
                <w:sz w:val="20"/>
                <w:szCs w:val="20"/>
                <w:lang w:val="en-US"/>
              </w:rPr>
            </w:pPr>
            <w:r w:rsidRPr="00410EE7">
              <w:rPr>
                <w:color w:val="000000"/>
                <w:sz w:val="20"/>
                <w:szCs w:val="20"/>
                <w:lang w:val="en-US"/>
              </w:rPr>
              <w:t>GP practices</w:t>
            </w:r>
          </w:p>
        </w:tc>
        <w:tc>
          <w:tcPr>
            <w:tcW w:w="1052" w:type="pct"/>
          </w:tcPr>
          <w:p w:rsidR="00A82297" w:rsidRPr="00410EE7" w:rsidRDefault="00A82297" w:rsidP="00023FDF">
            <w:pPr>
              <w:spacing w:line="240" w:lineRule="auto"/>
              <w:jc w:val="center"/>
              <w:rPr>
                <w:color w:val="000000"/>
                <w:sz w:val="20"/>
                <w:szCs w:val="20"/>
                <w:lang w:val="en-US"/>
              </w:rPr>
            </w:pPr>
            <w:r w:rsidRPr="00410EE7">
              <w:rPr>
                <w:color w:val="000000"/>
                <w:sz w:val="20"/>
                <w:szCs w:val="20"/>
                <w:lang w:val="en-US"/>
              </w:rPr>
              <w:t>8263</w:t>
            </w:r>
          </w:p>
        </w:tc>
        <w:tc>
          <w:tcPr>
            <w:tcW w:w="971" w:type="pct"/>
          </w:tcPr>
          <w:p w:rsidR="00A82297" w:rsidRPr="00410EE7" w:rsidRDefault="00A82297" w:rsidP="00023FDF">
            <w:pPr>
              <w:spacing w:line="240" w:lineRule="auto"/>
              <w:jc w:val="center"/>
              <w:rPr>
                <w:color w:val="000000"/>
                <w:sz w:val="20"/>
                <w:szCs w:val="20"/>
                <w:lang w:val="en-US"/>
              </w:rPr>
            </w:pPr>
            <w:r w:rsidRPr="00410EE7">
              <w:rPr>
                <w:color w:val="000000"/>
                <w:sz w:val="20"/>
                <w:szCs w:val="20"/>
                <w:lang w:val="en-US"/>
              </w:rPr>
              <w:t>8264</w:t>
            </w:r>
          </w:p>
        </w:tc>
        <w:tc>
          <w:tcPr>
            <w:tcW w:w="973" w:type="pct"/>
            <w:noWrap/>
            <w:hideMark/>
          </w:tcPr>
          <w:p w:rsidR="00A82297" w:rsidRPr="00410EE7" w:rsidRDefault="00A82297" w:rsidP="00023FDF">
            <w:pPr>
              <w:spacing w:line="240" w:lineRule="auto"/>
              <w:jc w:val="center"/>
              <w:rPr>
                <w:color w:val="000000"/>
                <w:sz w:val="20"/>
                <w:szCs w:val="20"/>
                <w:lang w:val="en-US"/>
              </w:rPr>
            </w:pPr>
            <w:r w:rsidRPr="00410EE7">
              <w:rPr>
                <w:color w:val="000000"/>
                <w:sz w:val="20"/>
                <w:szCs w:val="20"/>
                <w:lang w:val="en-US"/>
              </w:rPr>
              <w:t>8207</w:t>
            </w:r>
          </w:p>
        </w:tc>
        <w:tc>
          <w:tcPr>
            <w:tcW w:w="1051" w:type="pct"/>
            <w:noWrap/>
            <w:hideMark/>
          </w:tcPr>
          <w:p w:rsidR="00A82297" w:rsidRPr="00410EE7" w:rsidRDefault="00A82297" w:rsidP="00023FDF">
            <w:pPr>
              <w:spacing w:line="240" w:lineRule="auto"/>
              <w:jc w:val="center"/>
              <w:rPr>
                <w:color w:val="000000"/>
                <w:sz w:val="20"/>
                <w:szCs w:val="20"/>
                <w:lang w:val="en-US"/>
              </w:rPr>
            </w:pPr>
            <w:r w:rsidRPr="00410EE7">
              <w:rPr>
                <w:color w:val="000000"/>
                <w:sz w:val="20"/>
                <w:szCs w:val="20"/>
                <w:lang w:val="en-US"/>
              </w:rPr>
              <w:t>8054</w:t>
            </w:r>
          </w:p>
        </w:tc>
      </w:tr>
      <w:tr w:rsidR="00A82297" w:rsidRPr="00D62579" w:rsidTr="00941772">
        <w:trPr>
          <w:trHeight w:val="300"/>
        </w:trPr>
        <w:tc>
          <w:tcPr>
            <w:tcW w:w="952" w:type="pct"/>
            <w:noWrap/>
            <w:hideMark/>
          </w:tcPr>
          <w:p w:rsidR="00A82297" w:rsidRPr="00D62579" w:rsidRDefault="00A82297" w:rsidP="00023FDF">
            <w:pPr>
              <w:spacing w:line="240" w:lineRule="auto"/>
              <w:jc w:val="left"/>
              <w:rPr>
                <w:b/>
                <w:color w:val="000000"/>
                <w:sz w:val="20"/>
                <w:szCs w:val="20"/>
                <w:lang w:val="en-US"/>
              </w:rPr>
            </w:pPr>
            <w:r w:rsidRPr="00D62579">
              <w:rPr>
                <w:b/>
                <w:color w:val="000000"/>
                <w:sz w:val="20"/>
                <w:szCs w:val="20"/>
                <w:lang w:val="en-US"/>
              </w:rPr>
              <w:t>∆%</w:t>
            </w:r>
            <w:r w:rsidRPr="00D62579">
              <w:rPr>
                <w:b/>
                <w:color w:val="000000"/>
                <w:sz w:val="20"/>
                <w:szCs w:val="20"/>
                <w:vertAlign w:val="subscript"/>
                <w:lang w:val="en-US"/>
              </w:rPr>
              <w:t>50</w:t>
            </w:r>
            <w:r w:rsidR="00941772" w:rsidRPr="00D62579">
              <w:rPr>
                <w:b/>
                <w:color w:val="000000"/>
                <w:sz w:val="20"/>
                <w:szCs w:val="20"/>
                <w:lang w:val="en-US"/>
              </w:rPr>
              <w:t xml:space="preserve"> </w:t>
            </w:r>
            <w:r w:rsidRPr="00D62579">
              <w:rPr>
                <w:b/>
                <w:color w:val="000000"/>
                <w:sz w:val="20"/>
                <w:szCs w:val="20"/>
                <w:lang w:eastAsia="en-GB"/>
              </w:rPr>
              <w:t>C&amp;B rate</w:t>
            </w:r>
            <w:r w:rsidRPr="00D62579">
              <w:rPr>
                <w:b/>
                <w:color w:val="000000"/>
                <w:sz w:val="20"/>
                <w:szCs w:val="20"/>
                <w:lang w:val="en-US"/>
              </w:rPr>
              <w:t xml:space="preserve"> </w:t>
            </w:r>
          </w:p>
        </w:tc>
        <w:tc>
          <w:tcPr>
            <w:tcW w:w="1052" w:type="pct"/>
          </w:tcPr>
          <w:p w:rsidR="00A82297" w:rsidRPr="00D62579" w:rsidRDefault="00A82297" w:rsidP="00023FDF">
            <w:pPr>
              <w:spacing w:line="240" w:lineRule="auto"/>
              <w:jc w:val="center"/>
              <w:rPr>
                <w:color w:val="000000"/>
                <w:sz w:val="20"/>
                <w:szCs w:val="20"/>
                <w:lang w:val="en-US"/>
              </w:rPr>
            </w:pPr>
            <w:r w:rsidRPr="00D62579">
              <w:rPr>
                <w:color w:val="000000"/>
                <w:sz w:val="20"/>
                <w:szCs w:val="20"/>
                <w:lang w:val="en-US"/>
              </w:rPr>
              <w:t>-10.877</w:t>
            </w:r>
          </w:p>
        </w:tc>
        <w:tc>
          <w:tcPr>
            <w:tcW w:w="971" w:type="pct"/>
          </w:tcPr>
          <w:p w:rsidR="00A82297" w:rsidRPr="00D62579" w:rsidRDefault="00A82297" w:rsidP="00023FDF">
            <w:pPr>
              <w:spacing w:line="240" w:lineRule="auto"/>
              <w:jc w:val="center"/>
              <w:rPr>
                <w:color w:val="000000"/>
                <w:sz w:val="20"/>
                <w:szCs w:val="20"/>
                <w:lang w:val="en-US"/>
              </w:rPr>
            </w:pPr>
            <w:r w:rsidRPr="00D62579">
              <w:rPr>
                <w:color w:val="000000"/>
                <w:sz w:val="20"/>
                <w:szCs w:val="20"/>
                <w:lang w:val="en-US"/>
              </w:rPr>
              <w:t>-3.020</w:t>
            </w:r>
          </w:p>
        </w:tc>
        <w:tc>
          <w:tcPr>
            <w:tcW w:w="973" w:type="pct"/>
            <w:noWrap/>
            <w:hideMark/>
          </w:tcPr>
          <w:p w:rsidR="00A82297" w:rsidRPr="00D62579" w:rsidRDefault="00A82297" w:rsidP="00023FDF">
            <w:pPr>
              <w:spacing w:line="240" w:lineRule="auto"/>
              <w:jc w:val="center"/>
              <w:rPr>
                <w:color w:val="000000"/>
                <w:sz w:val="20"/>
                <w:szCs w:val="20"/>
                <w:lang w:val="en-US"/>
              </w:rPr>
            </w:pPr>
            <w:r w:rsidRPr="00D62579">
              <w:rPr>
                <w:color w:val="000000"/>
                <w:sz w:val="20"/>
                <w:szCs w:val="20"/>
                <w:lang w:val="en-US"/>
              </w:rPr>
              <w:t>-4.237</w:t>
            </w:r>
          </w:p>
        </w:tc>
        <w:tc>
          <w:tcPr>
            <w:tcW w:w="1051" w:type="pct"/>
            <w:noWrap/>
            <w:hideMark/>
          </w:tcPr>
          <w:p w:rsidR="00A82297" w:rsidRPr="00D62579" w:rsidRDefault="00A82297" w:rsidP="00023FDF">
            <w:pPr>
              <w:spacing w:line="240" w:lineRule="auto"/>
              <w:jc w:val="center"/>
              <w:rPr>
                <w:color w:val="000000"/>
                <w:sz w:val="20"/>
                <w:szCs w:val="20"/>
                <w:lang w:val="en-US"/>
              </w:rPr>
            </w:pPr>
            <w:r w:rsidRPr="00D62579">
              <w:rPr>
                <w:color w:val="000000"/>
                <w:sz w:val="20"/>
                <w:szCs w:val="20"/>
                <w:lang w:val="en-US"/>
              </w:rPr>
              <w:t>40.156</w:t>
            </w:r>
          </w:p>
        </w:tc>
      </w:tr>
      <w:tr w:rsidR="00A82297" w:rsidRPr="00D62579" w:rsidTr="00941772">
        <w:trPr>
          <w:trHeight w:val="300"/>
        </w:trPr>
        <w:tc>
          <w:tcPr>
            <w:tcW w:w="952" w:type="pct"/>
            <w:noWrap/>
            <w:hideMark/>
          </w:tcPr>
          <w:p w:rsidR="00A82297" w:rsidRPr="00D62579" w:rsidRDefault="00A82297" w:rsidP="00023FDF">
            <w:pPr>
              <w:spacing w:line="240" w:lineRule="auto"/>
              <w:jc w:val="left"/>
              <w:rPr>
                <w:color w:val="000000"/>
                <w:sz w:val="20"/>
                <w:szCs w:val="20"/>
                <w:lang w:val="en-US"/>
              </w:rPr>
            </w:pPr>
            <w:r w:rsidRPr="00D62579">
              <w:rPr>
                <w:color w:val="000000"/>
                <w:sz w:val="20"/>
                <w:szCs w:val="20"/>
                <w:lang w:val="en-US"/>
              </w:rPr>
              <w:t>Std. Error</w:t>
            </w:r>
          </w:p>
        </w:tc>
        <w:tc>
          <w:tcPr>
            <w:tcW w:w="1052" w:type="pct"/>
          </w:tcPr>
          <w:p w:rsidR="00A82297" w:rsidRPr="00D62579" w:rsidRDefault="00A82297" w:rsidP="00023FDF">
            <w:pPr>
              <w:spacing w:line="240" w:lineRule="auto"/>
              <w:jc w:val="center"/>
              <w:rPr>
                <w:color w:val="000000"/>
                <w:sz w:val="20"/>
                <w:szCs w:val="20"/>
                <w:lang w:val="en-US"/>
              </w:rPr>
            </w:pPr>
            <w:r w:rsidRPr="00D62579">
              <w:rPr>
                <w:color w:val="000000"/>
                <w:sz w:val="20"/>
                <w:szCs w:val="20"/>
                <w:lang w:val="en-US"/>
              </w:rPr>
              <w:t>[0.554]**</w:t>
            </w:r>
            <w:r w:rsidR="00EE3730" w:rsidRPr="00D62579">
              <w:rPr>
                <w:color w:val="000000"/>
                <w:sz w:val="20"/>
                <w:szCs w:val="20"/>
                <w:lang w:val="en-US"/>
              </w:rPr>
              <w:t>*</w:t>
            </w:r>
          </w:p>
        </w:tc>
        <w:tc>
          <w:tcPr>
            <w:tcW w:w="971" w:type="pct"/>
          </w:tcPr>
          <w:p w:rsidR="00A82297" w:rsidRPr="00D62579" w:rsidRDefault="00A82297" w:rsidP="00023FDF">
            <w:pPr>
              <w:spacing w:line="240" w:lineRule="auto"/>
              <w:jc w:val="center"/>
              <w:rPr>
                <w:color w:val="000000"/>
                <w:sz w:val="20"/>
                <w:szCs w:val="20"/>
                <w:lang w:val="en-US"/>
              </w:rPr>
            </w:pPr>
            <w:r w:rsidRPr="00D62579">
              <w:rPr>
                <w:color w:val="000000"/>
                <w:sz w:val="20"/>
                <w:szCs w:val="20"/>
                <w:lang w:val="en-US"/>
              </w:rPr>
              <w:t>[0.344]**</w:t>
            </w:r>
            <w:r w:rsidR="00076D1E" w:rsidRPr="00D62579">
              <w:rPr>
                <w:color w:val="000000"/>
                <w:sz w:val="20"/>
                <w:szCs w:val="20"/>
                <w:lang w:val="en-US"/>
              </w:rPr>
              <w:t>*</w:t>
            </w:r>
          </w:p>
        </w:tc>
        <w:tc>
          <w:tcPr>
            <w:tcW w:w="973" w:type="pct"/>
            <w:noWrap/>
            <w:hideMark/>
          </w:tcPr>
          <w:p w:rsidR="00A82297" w:rsidRPr="00D62579" w:rsidRDefault="00A82297" w:rsidP="00023FDF">
            <w:pPr>
              <w:spacing w:line="240" w:lineRule="auto"/>
              <w:jc w:val="center"/>
              <w:rPr>
                <w:color w:val="000000"/>
                <w:sz w:val="20"/>
                <w:szCs w:val="20"/>
                <w:lang w:val="en-US"/>
              </w:rPr>
            </w:pPr>
            <w:r w:rsidRPr="00D62579">
              <w:rPr>
                <w:color w:val="000000"/>
                <w:sz w:val="20"/>
                <w:szCs w:val="20"/>
                <w:lang w:val="en-US"/>
              </w:rPr>
              <w:t>[1.610]**</w:t>
            </w:r>
          </w:p>
        </w:tc>
        <w:tc>
          <w:tcPr>
            <w:tcW w:w="1051" w:type="pct"/>
            <w:noWrap/>
            <w:hideMark/>
          </w:tcPr>
          <w:p w:rsidR="00A82297" w:rsidRPr="00D62579" w:rsidRDefault="00A82297" w:rsidP="00023FDF">
            <w:pPr>
              <w:spacing w:line="240" w:lineRule="auto"/>
              <w:jc w:val="center"/>
              <w:rPr>
                <w:color w:val="000000"/>
                <w:sz w:val="20"/>
                <w:szCs w:val="20"/>
                <w:lang w:val="en-US"/>
              </w:rPr>
            </w:pPr>
            <w:r w:rsidRPr="00D62579">
              <w:rPr>
                <w:color w:val="000000"/>
                <w:sz w:val="20"/>
                <w:szCs w:val="20"/>
                <w:lang w:val="en-US"/>
              </w:rPr>
              <w:t>[3.105]**</w:t>
            </w:r>
            <w:r w:rsidR="00EE3730" w:rsidRPr="00D62579">
              <w:rPr>
                <w:color w:val="000000"/>
                <w:sz w:val="20"/>
                <w:szCs w:val="20"/>
                <w:lang w:val="en-US"/>
              </w:rPr>
              <w:t>*</w:t>
            </w:r>
          </w:p>
        </w:tc>
      </w:tr>
      <w:tr w:rsidR="00A82297" w:rsidRPr="00D62579" w:rsidTr="00941772">
        <w:trPr>
          <w:trHeight w:val="300"/>
        </w:trPr>
        <w:tc>
          <w:tcPr>
            <w:tcW w:w="952" w:type="pct"/>
            <w:noWrap/>
            <w:hideMark/>
          </w:tcPr>
          <w:p w:rsidR="00A82297" w:rsidRPr="00D62579" w:rsidRDefault="00A82297" w:rsidP="00023FDF">
            <w:pPr>
              <w:spacing w:line="240" w:lineRule="auto"/>
              <w:jc w:val="left"/>
              <w:rPr>
                <w:color w:val="000000"/>
                <w:sz w:val="20"/>
                <w:szCs w:val="20"/>
                <w:lang w:val="en-US"/>
              </w:rPr>
            </w:pPr>
            <w:r w:rsidRPr="00D62579">
              <w:rPr>
                <w:color w:val="000000"/>
                <w:sz w:val="20"/>
                <w:szCs w:val="20"/>
                <w:lang w:val="en-US"/>
              </w:rPr>
              <w:t>95% CI</w:t>
            </w:r>
          </w:p>
        </w:tc>
        <w:tc>
          <w:tcPr>
            <w:tcW w:w="1052" w:type="pct"/>
          </w:tcPr>
          <w:p w:rsidR="00A82297" w:rsidRPr="00D62579" w:rsidRDefault="00A82297" w:rsidP="00023FDF">
            <w:pPr>
              <w:spacing w:line="240" w:lineRule="auto"/>
              <w:jc w:val="center"/>
              <w:rPr>
                <w:color w:val="000000"/>
                <w:sz w:val="20"/>
                <w:szCs w:val="20"/>
                <w:lang w:val="en-US"/>
              </w:rPr>
            </w:pPr>
            <w:r w:rsidRPr="00D62579">
              <w:rPr>
                <w:color w:val="000000"/>
                <w:sz w:val="20"/>
                <w:szCs w:val="20"/>
                <w:lang w:val="en-US"/>
              </w:rPr>
              <w:t>[ -11.964, -9.791]</w:t>
            </w:r>
          </w:p>
        </w:tc>
        <w:tc>
          <w:tcPr>
            <w:tcW w:w="971" w:type="pct"/>
          </w:tcPr>
          <w:p w:rsidR="00A82297" w:rsidRPr="00D62579" w:rsidRDefault="00A82297" w:rsidP="00023FDF">
            <w:pPr>
              <w:spacing w:line="240" w:lineRule="auto"/>
              <w:jc w:val="center"/>
              <w:rPr>
                <w:color w:val="000000"/>
                <w:sz w:val="20"/>
                <w:szCs w:val="20"/>
                <w:lang w:val="en-US"/>
              </w:rPr>
            </w:pPr>
            <w:r w:rsidRPr="00D62579">
              <w:rPr>
                <w:color w:val="000000"/>
                <w:sz w:val="20"/>
                <w:szCs w:val="20"/>
                <w:lang w:val="en-US"/>
              </w:rPr>
              <w:t>[-3.694, -2.347]</w:t>
            </w:r>
          </w:p>
        </w:tc>
        <w:tc>
          <w:tcPr>
            <w:tcW w:w="973" w:type="pct"/>
            <w:noWrap/>
            <w:hideMark/>
          </w:tcPr>
          <w:p w:rsidR="00A82297" w:rsidRPr="00D62579" w:rsidRDefault="00A82297" w:rsidP="00023FDF">
            <w:pPr>
              <w:spacing w:line="240" w:lineRule="auto"/>
              <w:jc w:val="center"/>
              <w:rPr>
                <w:color w:val="000000"/>
                <w:sz w:val="20"/>
                <w:szCs w:val="20"/>
                <w:lang w:val="en-US"/>
              </w:rPr>
            </w:pPr>
            <w:r w:rsidRPr="00D62579">
              <w:rPr>
                <w:color w:val="000000"/>
                <w:sz w:val="20"/>
                <w:szCs w:val="20"/>
                <w:lang w:val="en-US"/>
              </w:rPr>
              <w:t>[-7.392, -1.081]</w:t>
            </w:r>
          </w:p>
        </w:tc>
        <w:tc>
          <w:tcPr>
            <w:tcW w:w="1051" w:type="pct"/>
            <w:noWrap/>
            <w:hideMark/>
          </w:tcPr>
          <w:p w:rsidR="00A82297" w:rsidRPr="00D62579" w:rsidRDefault="00A82297" w:rsidP="00023FDF">
            <w:pPr>
              <w:spacing w:line="240" w:lineRule="auto"/>
              <w:jc w:val="center"/>
              <w:rPr>
                <w:color w:val="000000"/>
                <w:sz w:val="20"/>
                <w:szCs w:val="20"/>
                <w:lang w:val="en-US"/>
              </w:rPr>
            </w:pPr>
            <w:r w:rsidRPr="00D62579">
              <w:rPr>
                <w:color w:val="000000"/>
                <w:sz w:val="20"/>
                <w:szCs w:val="20"/>
                <w:lang w:val="en-US"/>
              </w:rPr>
              <w:t xml:space="preserve"> [34.071, 46.241]</w:t>
            </w:r>
          </w:p>
        </w:tc>
      </w:tr>
    </w:tbl>
    <w:p w:rsidR="007B5E02" w:rsidRPr="00D62579" w:rsidRDefault="007B5E02" w:rsidP="007B5E02">
      <w:pPr>
        <w:spacing w:line="240" w:lineRule="auto"/>
        <w:jc w:val="left"/>
        <w:rPr>
          <w:color w:val="000000"/>
          <w:sz w:val="20"/>
          <w:szCs w:val="20"/>
          <w:lang w:eastAsia="en-GB"/>
        </w:rPr>
      </w:pPr>
      <w:proofErr w:type="gramStart"/>
      <w:r w:rsidRPr="00410EE7">
        <w:rPr>
          <w:i/>
          <w:color w:val="000000"/>
          <w:sz w:val="20"/>
          <w:szCs w:val="20"/>
          <w:lang w:eastAsia="en-GB"/>
        </w:rPr>
        <w:t>Notes</w:t>
      </w:r>
      <w:r w:rsidRPr="00410EE7">
        <w:rPr>
          <w:color w:val="000000"/>
          <w:sz w:val="20"/>
          <w:szCs w:val="20"/>
          <w:lang w:eastAsia="en-GB"/>
        </w:rPr>
        <w:t>.</w:t>
      </w:r>
      <w:proofErr w:type="gramEnd"/>
      <w:r w:rsidRPr="00410EE7">
        <w:rPr>
          <w:color w:val="000000"/>
          <w:sz w:val="20"/>
          <w:szCs w:val="20"/>
          <w:lang w:eastAsia="en-GB"/>
        </w:rPr>
        <w:t xml:space="preserve"> </w:t>
      </w:r>
      <w:proofErr w:type="gramStart"/>
      <w:r w:rsidRPr="00410EE7">
        <w:rPr>
          <w:color w:val="000000"/>
          <w:sz w:val="20"/>
          <w:szCs w:val="20"/>
          <w:lang w:eastAsia="en-GB"/>
        </w:rPr>
        <w:t>Estimates from</w:t>
      </w:r>
      <w:r w:rsidR="0009629B">
        <w:rPr>
          <w:color w:val="000000"/>
          <w:sz w:val="20"/>
          <w:szCs w:val="20"/>
          <w:lang w:eastAsia="en-GB"/>
        </w:rPr>
        <w:t xml:space="preserve"> conditional fixed effects</w:t>
      </w:r>
      <w:r w:rsidRPr="00410EE7">
        <w:rPr>
          <w:color w:val="000000"/>
          <w:sz w:val="20"/>
          <w:szCs w:val="20"/>
          <w:lang w:eastAsia="en-GB"/>
        </w:rPr>
        <w:t xml:space="preserve"> Poisson models.</w:t>
      </w:r>
      <w:proofErr w:type="gramEnd"/>
      <w:r w:rsidRPr="00410EE7">
        <w:rPr>
          <w:color w:val="000000"/>
          <w:sz w:val="20"/>
          <w:szCs w:val="20"/>
          <w:lang w:eastAsia="en-GB"/>
        </w:rPr>
        <w:t xml:space="preserve"> </w:t>
      </w:r>
      <w:r w:rsidR="00CB417B">
        <w:rPr>
          <w:color w:val="000000"/>
          <w:sz w:val="20"/>
          <w:szCs w:val="20"/>
          <w:lang w:eastAsia="en-GB"/>
        </w:rPr>
        <w:t>Years: 2004 to 2009</w:t>
      </w:r>
      <w:r w:rsidR="00CB417B" w:rsidRPr="00410EE7">
        <w:rPr>
          <w:color w:val="000000"/>
          <w:sz w:val="20"/>
          <w:szCs w:val="20"/>
          <w:lang w:eastAsia="en-GB"/>
        </w:rPr>
        <w:t>.</w:t>
      </w:r>
      <w:r w:rsidR="00CB417B">
        <w:rPr>
          <w:color w:val="000000"/>
          <w:sz w:val="20"/>
          <w:szCs w:val="20"/>
          <w:lang w:eastAsia="en-GB"/>
        </w:rPr>
        <w:t xml:space="preserve"> </w:t>
      </w:r>
      <w:r w:rsidRPr="00410EE7">
        <w:rPr>
          <w:color w:val="000000"/>
          <w:sz w:val="20"/>
          <w:szCs w:val="20"/>
          <w:lang w:eastAsia="en-GB"/>
        </w:rPr>
        <w:t>All models also contain year and SHA interactions, practice list size, proportion of list in 13 age/gender groups, patients per whole time equivalent GP, average GP age, proportion female GPs, proportion GPs qualified in UK, proportion of non-principal GPs, 15 QOF practice quality indicators,</w:t>
      </w:r>
      <w:r w:rsidR="000D44F1" w:rsidRPr="00410EE7">
        <w:rPr>
          <w:color w:val="000000"/>
          <w:sz w:val="20"/>
          <w:szCs w:val="20"/>
          <w:lang w:eastAsia="en-GB"/>
        </w:rPr>
        <w:t xml:space="preserve"> disease prevalence and patient deprivation,</w:t>
      </w:r>
      <w:r w:rsidRPr="00410EE7">
        <w:rPr>
          <w:color w:val="000000"/>
          <w:sz w:val="20"/>
          <w:szCs w:val="20"/>
          <w:lang w:eastAsia="en-GB"/>
        </w:rPr>
        <w:t xml:space="preserve">  proportion of referrals to 53 separate specialities.   </w:t>
      </w:r>
      <w:r w:rsidR="007421C6">
        <w:rPr>
          <w:color w:val="000000"/>
          <w:sz w:val="20"/>
          <w:szCs w:val="20"/>
          <w:lang w:eastAsia="en-GB"/>
        </w:rPr>
        <w:t xml:space="preserve">Full results are in Appendix Table A2. </w:t>
      </w:r>
      <w:r w:rsidRPr="00410EE7">
        <w:rPr>
          <w:color w:val="000000"/>
          <w:sz w:val="20"/>
          <w:szCs w:val="20"/>
          <w:lang w:eastAsia="en-GB"/>
        </w:rPr>
        <w:t xml:space="preserve">Coefficients are the proportionate change in the dependent variable from a one unit (1%) change in the C&amp;B rate.   </w:t>
      </w:r>
      <w:r w:rsidR="00E04169" w:rsidRPr="007421C6">
        <w:rPr>
          <w:color w:val="000000"/>
          <w:sz w:val="20"/>
          <w:szCs w:val="20"/>
          <w:lang w:val="en-US"/>
        </w:rPr>
        <w:t>∆%</w:t>
      </w:r>
      <w:r w:rsidR="00E04169" w:rsidRPr="007421C6">
        <w:rPr>
          <w:color w:val="000000"/>
          <w:sz w:val="20"/>
          <w:szCs w:val="20"/>
          <w:vertAlign w:val="subscript"/>
          <w:lang w:val="en-US"/>
        </w:rPr>
        <w:t>50</w:t>
      </w:r>
      <w:r w:rsidR="00E04169" w:rsidRPr="007421C6">
        <w:rPr>
          <w:color w:val="000000"/>
          <w:sz w:val="20"/>
          <w:szCs w:val="20"/>
          <w:lang w:val="en-US"/>
        </w:rPr>
        <w:t>CB rate</w:t>
      </w:r>
      <w:r w:rsidR="00E04169" w:rsidRPr="007421C6">
        <w:rPr>
          <w:noProof/>
          <w:sz w:val="20"/>
          <w:szCs w:val="20"/>
          <w:lang w:eastAsia="en-GB"/>
        </w:rPr>
        <w:t xml:space="preserve"> =  100[exp(</w:t>
      </w:r>
      <w:r w:rsidR="00E04169" w:rsidRPr="007421C6">
        <w:rPr>
          <w:noProof/>
          <w:sz w:val="20"/>
          <w:szCs w:val="20"/>
          <w:lang w:eastAsia="en-GB"/>
        </w:rPr>
        <w:sym w:font="Symbol" w:char="F062"/>
      </w:r>
      <w:r w:rsidR="00E04169" w:rsidRPr="007421C6">
        <w:rPr>
          <w:noProof/>
          <w:sz w:val="20"/>
          <w:szCs w:val="20"/>
          <w:vertAlign w:val="subscript"/>
          <w:lang w:eastAsia="en-GB"/>
        </w:rPr>
        <w:t>1</w:t>
      </w:r>
      <w:r w:rsidR="00E04169" w:rsidRPr="007421C6">
        <w:rPr>
          <w:noProof/>
          <w:sz w:val="20"/>
          <w:szCs w:val="20"/>
          <w:lang w:eastAsia="en-GB"/>
        </w:rPr>
        <w:t xml:space="preserve">50) </w:t>
      </w:r>
      <w:r w:rsidR="00E04169" w:rsidRPr="007421C6">
        <w:rPr>
          <w:noProof/>
          <w:sz w:val="20"/>
          <w:szCs w:val="20"/>
          <w:lang w:eastAsia="en-GB"/>
        </w:rPr>
        <w:sym w:font="Symbol" w:char="F02D"/>
      </w:r>
      <w:r w:rsidR="00E04169" w:rsidRPr="007421C6">
        <w:rPr>
          <w:noProof/>
          <w:sz w:val="20"/>
          <w:szCs w:val="20"/>
          <w:lang w:eastAsia="en-GB"/>
        </w:rPr>
        <w:t xml:space="preserve"> 1]</w:t>
      </w:r>
      <w:r w:rsidR="00E04169" w:rsidRPr="00410EE7">
        <w:rPr>
          <w:noProof/>
          <w:sz w:val="20"/>
          <w:szCs w:val="20"/>
          <w:lang w:eastAsia="en-GB"/>
        </w:rPr>
        <w:t xml:space="preserve"> is the percentage change in the outcome rate due to a 50% increase in the C&amp;B rate.  </w:t>
      </w:r>
      <w:r w:rsidRPr="00410EE7">
        <w:rPr>
          <w:color w:val="000000"/>
          <w:sz w:val="20"/>
          <w:szCs w:val="20"/>
          <w:lang w:eastAsia="en-GB"/>
        </w:rPr>
        <w:t xml:space="preserve">Robust standard errors </w:t>
      </w:r>
      <w:r w:rsidRPr="00D62579">
        <w:rPr>
          <w:color w:val="000000"/>
          <w:sz w:val="20"/>
          <w:szCs w:val="20"/>
          <w:lang w:eastAsia="en-GB"/>
        </w:rPr>
        <w:t>in square brackets allow for clustering within GP practices.</w:t>
      </w:r>
    </w:p>
    <w:p w:rsidR="007B5E02" w:rsidRPr="00D62579" w:rsidRDefault="007B5E02" w:rsidP="007B5E02">
      <w:pPr>
        <w:spacing w:line="240" w:lineRule="auto"/>
        <w:jc w:val="left"/>
        <w:rPr>
          <w:color w:val="000000"/>
          <w:sz w:val="20"/>
          <w:szCs w:val="20"/>
          <w:lang w:eastAsia="en-GB"/>
        </w:rPr>
      </w:pPr>
      <w:r w:rsidRPr="00D62579">
        <w:rPr>
          <w:color w:val="000000"/>
          <w:sz w:val="20"/>
          <w:szCs w:val="20"/>
          <w:lang w:eastAsia="en-GB"/>
        </w:rPr>
        <w:t>*</w:t>
      </w:r>
      <w:r w:rsidR="003A7C62">
        <w:rPr>
          <w:color w:val="000000"/>
          <w:sz w:val="20"/>
          <w:szCs w:val="20"/>
          <w:lang w:eastAsia="en-GB"/>
        </w:rPr>
        <w:t>:</w:t>
      </w:r>
      <w:r w:rsidRPr="00D62579">
        <w:rPr>
          <w:color w:val="000000"/>
          <w:sz w:val="20"/>
          <w:szCs w:val="20"/>
          <w:lang w:eastAsia="en-GB"/>
        </w:rPr>
        <w:t xml:space="preserve"> </w:t>
      </w:r>
      <w:r w:rsidR="00D62579" w:rsidRPr="00D62579">
        <w:rPr>
          <w:color w:val="000000"/>
          <w:sz w:val="20"/>
          <w:szCs w:val="20"/>
          <w:lang w:eastAsia="en-GB"/>
        </w:rPr>
        <w:t xml:space="preserve">p &lt; 0.05; </w:t>
      </w:r>
      <w:r w:rsidRPr="00D62579">
        <w:rPr>
          <w:color w:val="000000"/>
          <w:sz w:val="20"/>
          <w:szCs w:val="20"/>
          <w:lang w:eastAsia="en-GB"/>
        </w:rPr>
        <w:t>**</w:t>
      </w:r>
      <w:r w:rsidR="003A7C62">
        <w:rPr>
          <w:color w:val="000000"/>
          <w:sz w:val="20"/>
          <w:szCs w:val="20"/>
          <w:lang w:eastAsia="en-GB"/>
        </w:rPr>
        <w:t>:</w:t>
      </w:r>
      <w:r w:rsidRPr="00D62579">
        <w:rPr>
          <w:color w:val="000000"/>
          <w:sz w:val="20"/>
          <w:szCs w:val="20"/>
          <w:lang w:eastAsia="en-GB"/>
        </w:rPr>
        <w:t xml:space="preserve"> </w:t>
      </w:r>
      <w:r w:rsidR="00D62579" w:rsidRPr="00D62579">
        <w:rPr>
          <w:color w:val="000000"/>
          <w:sz w:val="20"/>
          <w:szCs w:val="20"/>
          <w:lang w:eastAsia="en-GB"/>
        </w:rPr>
        <w:t xml:space="preserve">p&lt; 0.01; </w:t>
      </w:r>
      <w:r w:rsidRPr="00D62579">
        <w:rPr>
          <w:color w:val="000000"/>
          <w:sz w:val="20"/>
          <w:szCs w:val="20"/>
          <w:lang w:eastAsia="en-GB"/>
        </w:rPr>
        <w:t>***</w:t>
      </w:r>
      <w:r w:rsidR="003A7C62">
        <w:rPr>
          <w:color w:val="000000"/>
          <w:sz w:val="20"/>
          <w:szCs w:val="20"/>
          <w:lang w:eastAsia="en-GB"/>
        </w:rPr>
        <w:t>:</w:t>
      </w:r>
      <w:r w:rsidR="00D62579" w:rsidRPr="00D62579">
        <w:rPr>
          <w:color w:val="000000"/>
          <w:sz w:val="20"/>
          <w:szCs w:val="20"/>
          <w:lang w:eastAsia="en-GB"/>
        </w:rPr>
        <w:t xml:space="preserve"> p &lt; 0.001</w:t>
      </w:r>
      <w:r w:rsidRPr="00D62579">
        <w:rPr>
          <w:color w:val="000000"/>
          <w:sz w:val="20"/>
          <w:szCs w:val="20"/>
          <w:lang w:eastAsia="en-GB"/>
        </w:rPr>
        <w:t xml:space="preserve"> </w:t>
      </w:r>
    </w:p>
    <w:p w:rsidR="000177AF" w:rsidRDefault="000177AF" w:rsidP="000177AF">
      <w:pPr>
        <w:spacing w:line="240" w:lineRule="auto"/>
        <w:rPr>
          <w:b/>
          <w:noProof/>
          <w:lang w:eastAsia="en-GB"/>
        </w:rPr>
      </w:pPr>
    </w:p>
    <w:p w:rsidR="007B5E02" w:rsidRPr="00410EE7" w:rsidRDefault="007B5E02" w:rsidP="007B5E02">
      <w:pPr>
        <w:spacing w:line="240" w:lineRule="auto"/>
        <w:jc w:val="left"/>
        <w:rPr>
          <w:b/>
          <w:noProof/>
          <w:sz w:val="20"/>
          <w:szCs w:val="20"/>
          <w:lang w:eastAsia="en-GB"/>
        </w:rPr>
      </w:pPr>
      <w:r w:rsidRPr="00410EE7">
        <w:rPr>
          <w:b/>
          <w:noProof/>
          <w:sz w:val="20"/>
          <w:szCs w:val="20"/>
          <w:lang w:eastAsia="en-GB"/>
        </w:rPr>
        <w:br w:type="page"/>
      </w:r>
    </w:p>
    <w:p w:rsidR="007B5E02" w:rsidRPr="00410EE7" w:rsidRDefault="006724C0" w:rsidP="007B5E02">
      <w:pPr>
        <w:spacing w:line="240" w:lineRule="auto"/>
        <w:rPr>
          <w:b/>
          <w:noProof/>
          <w:lang w:eastAsia="en-GB"/>
        </w:rPr>
      </w:pPr>
      <w:r>
        <w:rPr>
          <w:b/>
          <w:noProof/>
          <w:lang w:eastAsia="en-GB"/>
        </w:rPr>
        <w:lastRenderedPageBreak/>
        <w:t>Table 3</w:t>
      </w:r>
      <w:r w:rsidR="007B5E02" w:rsidRPr="00410EE7">
        <w:rPr>
          <w:b/>
          <w:noProof/>
          <w:lang w:eastAsia="en-GB"/>
        </w:rPr>
        <w:t xml:space="preserve">.  </w:t>
      </w:r>
      <w:r w:rsidR="003A7C62">
        <w:rPr>
          <w:b/>
          <w:noProof/>
          <w:lang w:eastAsia="en-GB"/>
        </w:rPr>
        <w:t>T</w:t>
      </w:r>
      <w:r w:rsidR="007B5E02" w:rsidRPr="00410EE7">
        <w:rPr>
          <w:b/>
          <w:noProof/>
          <w:lang w:eastAsia="en-GB"/>
        </w:rPr>
        <w:t>ime varying association</w:t>
      </w:r>
      <w:r w:rsidR="003A7C62">
        <w:rPr>
          <w:b/>
          <w:noProof/>
          <w:lang w:eastAsia="en-GB"/>
        </w:rPr>
        <w:t>s</w:t>
      </w:r>
      <w:r w:rsidR="007B5E02" w:rsidRPr="00410EE7">
        <w:rPr>
          <w:b/>
          <w:noProof/>
          <w:lang w:eastAsia="en-GB"/>
        </w:rPr>
        <w:t xml:space="preserve"> with C&amp;B rate</w:t>
      </w:r>
    </w:p>
    <w:tbl>
      <w:tblPr>
        <w:tblStyle w:val="TableSimple1"/>
        <w:tblW w:w="4909" w:type="pct"/>
        <w:tblInd w:w="-176" w:type="dxa"/>
        <w:tblLayout w:type="fixed"/>
        <w:tblLook w:val="04A0" w:firstRow="1" w:lastRow="0" w:firstColumn="1" w:lastColumn="0" w:noHBand="0" w:noVBand="1"/>
      </w:tblPr>
      <w:tblGrid>
        <w:gridCol w:w="1560"/>
        <w:gridCol w:w="1846"/>
        <w:gridCol w:w="1842"/>
        <w:gridCol w:w="1842"/>
        <w:gridCol w:w="1984"/>
      </w:tblGrid>
      <w:tr w:rsidR="00A82297" w:rsidRPr="00410EE7" w:rsidTr="00CB417B">
        <w:trPr>
          <w:cnfStyle w:val="100000000000" w:firstRow="1" w:lastRow="0" w:firstColumn="0" w:lastColumn="0" w:oddVBand="0" w:evenVBand="0" w:oddHBand="0" w:evenHBand="0" w:firstRowFirstColumn="0" w:firstRowLastColumn="0" w:lastRowFirstColumn="0" w:lastRowLastColumn="0"/>
          <w:trHeight w:val="300"/>
        </w:trPr>
        <w:tc>
          <w:tcPr>
            <w:tcW w:w="860" w:type="pct"/>
            <w:noWrap/>
            <w:hideMark/>
          </w:tcPr>
          <w:p w:rsidR="00A82297" w:rsidRPr="00410EE7" w:rsidRDefault="00A82297" w:rsidP="003650AD">
            <w:pPr>
              <w:jc w:val="center"/>
              <w:rPr>
                <w:color w:val="000000"/>
                <w:sz w:val="20"/>
                <w:szCs w:val="20"/>
              </w:rPr>
            </w:pPr>
          </w:p>
        </w:tc>
        <w:tc>
          <w:tcPr>
            <w:tcW w:w="1017" w:type="pct"/>
          </w:tcPr>
          <w:p w:rsidR="00A82297" w:rsidRPr="00410EE7" w:rsidRDefault="00A82297" w:rsidP="00C05E48">
            <w:pPr>
              <w:spacing w:line="240" w:lineRule="auto"/>
              <w:jc w:val="center"/>
              <w:rPr>
                <w:b/>
                <w:bCs/>
                <w:color w:val="000000"/>
                <w:sz w:val="20"/>
                <w:szCs w:val="20"/>
              </w:rPr>
            </w:pPr>
            <w:r w:rsidRPr="00410EE7">
              <w:rPr>
                <w:b/>
                <w:bCs/>
                <w:color w:val="000000"/>
                <w:sz w:val="20"/>
                <w:szCs w:val="20"/>
              </w:rPr>
              <w:t>Non-attendance</w:t>
            </w:r>
          </w:p>
        </w:tc>
        <w:tc>
          <w:tcPr>
            <w:tcW w:w="1015" w:type="pct"/>
          </w:tcPr>
          <w:p w:rsidR="00A82297" w:rsidRPr="00410EE7" w:rsidRDefault="00A82297" w:rsidP="00C76634">
            <w:pPr>
              <w:spacing w:line="240" w:lineRule="auto"/>
              <w:jc w:val="center"/>
              <w:rPr>
                <w:b/>
                <w:bCs/>
                <w:color w:val="000000"/>
                <w:sz w:val="20"/>
                <w:szCs w:val="20"/>
              </w:rPr>
            </w:pPr>
            <w:r w:rsidRPr="00410EE7">
              <w:rPr>
                <w:b/>
                <w:bCs/>
                <w:color w:val="000000"/>
                <w:sz w:val="20"/>
                <w:szCs w:val="20"/>
              </w:rPr>
              <w:t>GP referrals</w:t>
            </w:r>
          </w:p>
        </w:tc>
        <w:tc>
          <w:tcPr>
            <w:tcW w:w="1015" w:type="pct"/>
            <w:noWrap/>
            <w:hideMark/>
          </w:tcPr>
          <w:p w:rsidR="00A82297" w:rsidRPr="00410EE7" w:rsidRDefault="00A82297" w:rsidP="00C76634">
            <w:pPr>
              <w:spacing w:line="240" w:lineRule="auto"/>
              <w:jc w:val="center"/>
              <w:rPr>
                <w:b/>
                <w:bCs/>
                <w:color w:val="000000"/>
                <w:sz w:val="20"/>
                <w:szCs w:val="20"/>
              </w:rPr>
            </w:pPr>
            <w:r w:rsidRPr="00410EE7">
              <w:rPr>
                <w:b/>
                <w:bCs/>
                <w:color w:val="000000"/>
                <w:sz w:val="20"/>
                <w:szCs w:val="20"/>
              </w:rPr>
              <w:t>Patient cancellation</w:t>
            </w:r>
          </w:p>
        </w:tc>
        <w:tc>
          <w:tcPr>
            <w:tcW w:w="1093" w:type="pct"/>
            <w:noWrap/>
            <w:hideMark/>
          </w:tcPr>
          <w:p w:rsidR="00A82297" w:rsidRPr="00410EE7" w:rsidRDefault="00A82297" w:rsidP="00C76634">
            <w:pPr>
              <w:spacing w:line="240" w:lineRule="auto"/>
              <w:jc w:val="center"/>
              <w:rPr>
                <w:b/>
                <w:bCs/>
                <w:color w:val="000000"/>
                <w:sz w:val="20"/>
                <w:szCs w:val="20"/>
              </w:rPr>
            </w:pPr>
            <w:r w:rsidRPr="00410EE7">
              <w:rPr>
                <w:b/>
                <w:bCs/>
                <w:color w:val="000000"/>
                <w:sz w:val="20"/>
                <w:szCs w:val="20"/>
              </w:rPr>
              <w:t>Hospital cancellations</w:t>
            </w:r>
          </w:p>
        </w:tc>
      </w:tr>
      <w:tr w:rsidR="00A82297" w:rsidRPr="00410EE7" w:rsidTr="00CB417B">
        <w:trPr>
          <w:trHeight w:val="300"/>
        </w:trPr>
        <w:tc>
          <w:tcPr>
            <w:tcW w:w="860" w:type="pct"/>
            <w:noWrap/>
            <w:hideMark/>
          </w:tcPr>
          <w:p w:rsidR="00A82297" w:rsidRPr="00410EE7" w:rsidRDefault="00A82297" w:rsidP="00023FDF">
            <w:pPr>
              <w:spacing w:line="240" w:lineRule="auto"/>
              <w:jc w:val="left"/>
              <w:rPr>
                <w:b/>
                <w:color w:val="000000"/>
                <w:sz w:val="20"/>
                <w:szCs w:val="20"/>
              </w:rPr>
            </w:pPr>
            <w:r w:rsidRPr="00410EE7">
              <w:rPr>
                <w:b/>
                <w:color w:val="000000"/>
                <w:sz w:val="20"/>
                <w:szCs w:val="20"/>
                <w:lang w:eastAsia="en-GB"/>
              </w:rPr>
              <w:t>C&amp;B rate</w:t>
            </w:r>
            <w:r w:rsidRPr="00410EE7">
              <w:rPr>
                <w:b/>
                <w:color w:val="000000"/>
                <w:sz w:val="20"/>
                <w:szCs w:val="20"/>
              </w:rPr>
              <w:t xml:space="preserve"> </w:t>
            </w:r>
            <w:r w:rsidR="00E04169" w:rsidRPr="00410EE7">
              <w:rPr>
                <w:b/>
                <w:color w:val="000000"/>
                <w:sz w:val="20"/>
                <w:szCs w:val="20"/>
              </w:rPr>
              <w:t xml:space="preserve"> </w:t>
            </w:r>
            <w:r w:rsidRPr="00410EE7">
              <w:rPr>
                <w:b/>
                <w:color w:val="000000"/>
                <w:sz w:val="20"/>
                <w:szCs w:val="20"/>
              </w:rPr>
              <w:t>2005</w:t>
            </w:r>
          </w:p>
        </w:tc>
        <w:tc>
          <w:tcPr>
            <w:tcW w:w="1017" w:type="pct"/>
          </w:tcPr>
          <w:p w:rsidR="00A82297" w:rsidRPr="00410EE7" w:rsidRDefault="00A82297" w:rsidP="00F73228">
            <w:pPr>
              <w:spacing w:line="240" w:lineRule="auto"/>
              <w:jc w:val="center"/>
              <w:rPr>
                <w:color w:val="000000"/>
                <w:sz w:val="20"/>
                <w:szCs w:val="20"/>
              </w:rPr>
            </w:pPr>
            <w:r w:rsidRPr="00410EE7">
              <w:rPr>
                <w:color w:val="000000"/>
                <w:sz w:val="20"/>
                <w:szCs w:val="20"/>
              </w:rPr>
              <w:t>-0.0035</w:t>
            </w:r>
          </w:p>
        </w:tc>
        <w:tc>
          <w:tcPr>
            <w:tcW w:w="1015" w:type="pct"/>
          </w:tcPr>
          <w:p w:rsidR="00A82297" w:rsidRPr="00410EE7" w:rsidRDefault="00A82297" w:rsidP="00F73228">
            <w:pPr>
              <w:spacing w:line="240" w:lineRule="auto"/>
              <w:jc w:val="center"/>
              <w:rPr>
                <w:color w:val="000000"/>
                <w:sz w:val="20"/>
                <w:szCs w:val="20"/>
              </w:rPr>
            </w:pPr>
            <w:r w:rsidRPr="00410EE7">
              <w:rPr>
                <w:color w:val="000000"/>
                <w:sz w:val="20"/>
                <w:szCs w:val="20"/>
              </w:rPr>
              <w:t>-0.00196</w:t>
            </w:r>
          </w:p>
        </w:tc>
        <w:tc>
          <w:tcPr>
            <w:tcW w:w="1015" w:type="pct"/>
            <w:noWrap/>
            <w:hideMark/>
          </w:tcPr>
          <w:p w:rsidR="00A82297" w:rsidRPr="00410EE7" w:rsidRDefault="00A82297" w:rsidP="00F73228">
            <w:pPr>
              <w:spacing w:line="240" w:lineRule="auto"/>
              <w:jc w:val="center"/>
              <w:rPr>
                <w:color w:val="000000"/>
                <w:sz w:val="20"/>
                <w:szCs w:val="20"/>
              </w:rPr>
            </w:pPr>
            <w:r w:rsidRPr="00410EE7">
              <w:rPr>
                <w:color w:val="000000"/>
                <w:sz w:val="20"/>
                <w:szCs w:val="20"/>
              </w:rPr>
              <w:t>0.0125</w:t>
            </w:r>
          </w:p>
        </w:tc>
        <w:tc>
          <w:tcPr>
            <w:tcW w:w="1093" w:type="pct"/>
            <w:noWrap/>
            <w:hideMark/>
          </w:tcPr>
          <w:p w:rsidR="00A82297" w:rsidRPr="00410EE7" w:rsidRDefault="00A82297" w:rsidP="00F73228">
            <w:pPr>
              <w:spacing w:line="240" w:lineRule="auto"/>
              <w:jc w:val="center"/>
              <w:rPr>
                <w:color w:val="000000"/>
                <w:sz w:val="20"/>
                <w:szCs w:val="20"/>
              </w:rPr>
            </w:pPr>
            <w:r w:rsidRPr="00410EE7">
              <w:rPr>
                <w:color w:val="000000"/>
                <w:sz w:val="20"/>
                <w:szCs w:val="20"/>
              </w:rPr>
              <w:t>0.0287</w:t>
            </w:r>
          </w:p>
        </w:tc>
      </w:tr>
      <w:tr w:rsidR="00A82297" w:rsidRPr="00410EE7" w:rsidTr="00CB417B">
        <w:trPr>
          <w:trHeight w:val="300"/>
        </w:trPr>
        <w:tc>
          <w:tcPr>
            <w:tcW w:w="860" w:type="pct"/>
            <w:noWrap/>
            <w:hideMark/>
          </w:tcPr>
          <w:p w:rsidR="00A82297" w:rsidRPr="00410EE7" w:rsidRDefault="00A82297" w:rsidP="00023FDF">
            <w:pPr>
              <w:spacing w:line="240" w:lineRule="auto"/>
              <w:jc w:val="left"/>
              <w:rPr>
                <w:b/>
                <w:color w:val="000000"/>
                <w:sz w:val="20"/>
                <w:szCs w:val="20"/>
              </w:rPr>
            </w:pPr>
          </w:p>
        </w:tc>
        <w:tc>
          <w:tcPr>
            <w:tcW w:w="1017" w:type="pct"/>
          </w:tcPr>
          <w:p w:rsidR="00A82297" w:rsidRPr="00410EE7" w:rsidRDefault="00A82297" w:rsidP="00F73228">
            <w:pPr>
              <w:spacing w:line="240" w:lineRule="auto"/>
              <w:jc w:val="center"/>
              <w:rPr>
                <w:color w:val="000000"/>
                <w:sz w:val="20"/>
                <w:szCs w:val="20"/>
              </w:rPr>
            </w:pPr>
            <w:r w:rsidRPr="00410EE7">
              <w:rPr>
                <w:color w:val="000000"/>
                <w:sz w:val="20"/>
                <w:szCs w:val="20"/>
              </w:rPr>
              <w:t>[0.0014]*</w:t>
            </w:r>
          </w:p>
        </w:tc>
        <w:tc>
          <w:tcPr>
            <w:tcW w:w="1015" w:type="pct"/>
          </w:tcPr>
          <w:p w:rsidR="00A82297" w:rsidRPr="00410EE7" w:rsidRDefault="00A82297" w:rsidP="00F73228">
            <w:pPr>
              <w:spacing w:line="240" w:lineRule="auto"/>
              <w:jc w:val="center"/>
              <w:rPr>
                <w:color w:val="000000"/>
                <w:sz w:val="20"/>
                <w:szCs w:val="20"/>
              </w:rPr>
            </w:pPr>
            <w:r w:rsidRPr="00410EE7">
              <w:rPr>
                <w:color w:val="000000"/>
                <w:sz w:val="20"/>
                <w:szCs w:val="20"/>
              </w:rPr>
              <w:t>[0.00075]**</w:t>
            </w:r>
          </w:p>
        </w:tc>
        <w:tc>
          <w:tcPr>
            <w:tcW w:w="1015" w:type="pct"/>
            <w:noWrap/>
            <w:hideMark/>
          </w:tcPr>
          <w:p w:rsidR="00A82297" w:rsidRPr="00410EE7" w:rsidRDefault="00A82297" w:rsidP="00F73228">
            <w:pPr>
              <w:spacing w:line="240" w:lineRule="auto"/>
              <w:jc w:val="center"/>
              <w:rPr>
                <w:color w:val="000000"/>
                <w:sz w:val="20"/>
                <w:szCs w:val="20"/>
              </w:rPr>
            </w:pPr>
            <w:r w:rsidRPr="00410EE7">
              <w:rPr>
                <w:color w:val="000000"/>
                <w:sz w:val="20"/>
                <w:szCs w:val="20"/>
              </w:rPr>
              <w:t>[0.005]*</w:t>
            </w:r>
          </w:p>
        </w:tc>
        <w:tc>
          <w:tcPr>
            <w:tcW w:w="1093" w:type="pct"/>
            <w:noWrap/>
            <w:hideMark/>
          </w:tcPr>
          <w:p w:rsidR="00A82297" w:rsidRPr="00410EE7" w:rsidRDefault="00A82297" w:rsidP="00F73228">
            <w:pPr>
              <w:spacing w:line="240" w:lineRule="auto"/>
              <w:jc w:val="center"/>
              <w:rPr>
                <w:color w:val="000000"/>
                <w:sz w:val="20"/>
                <w:szCs w:val="20"/>
              </w:rPr>
            </w:pPr>
            <w:r w:rsidRPr="00410EE7">
              <w:rPr>
                <w:color w:val="000000"/>
                <w:sz w:val="20"/>
                <w:szCs w:val="20"/>
              </w:rPr>
              <w:t>[0.0045]**</w:t>
            </w:r>
            <w:r w:rsidR="00B7539B" w:rsidRPr="00410EE7">
              <w:rPr>
                <w:color w:val="000000"/>
                <w:sz w:val="20"/>
                <w:szCs w:val="20"/>
              </w:rPr>
              <w:t>*</w:t>
            </w:r>
          </w:p>
        </w:tc>
      </w:tr>
      <w:tr w:rsidR="00A82297" w:rsidRPr="00410EE7" w:rsidTr="00CB417B">
        <w:trPr>
          <w:trHeight w:val="300"/>
        </w:trPr>
        <w:tc>
          <w:tcPr>
            <w:tcW w:w="860" w:type="pct"/>
            <w:noWrap/>
            <w:hideMark/>
          </w:tcPr>
          <w:p w:rsidR="00A82297" w:rsidRPr="00410EE7" w:rsidRDefault="00A82297" w:rsidP="00023FDF">
            <w:pPr>
              <w:spacing w:line="240" w:lineRule="auto"/>
              <w:jc w:val="left"/>
              <w:rPr>
                <w:b/>
                <w:color w:val="000000"/>
                <w:sz w:val="20"/>
                <w:szCs w:val="20"/>
              </w:rPr>
            </w:pPr>
            <w:r w:rsidRPr="00410EE7">
              <w:rPr>
                <w:b/>
                <w:color w:val="000000"/>
                <w:sz w:val="20"/>
                <w:szCs w:val="20"/>
                <w:lang w:eastAsia="en-GB"/>
              </w:rPr>
              <w:t>C&amp;B rate</w:t>
            </w:r>
            <w:r w:rsidRPr="00410EE7">
              <w:rPr>
                <w:b/>
                <w:color w:val="000000"/>
                <w:sz w:val="20"/>
                <w:szCs w:val="20"/>
              </w:rPr>
              <w:t xml:space="preserve"> </w:t>
            </w:r>
            <w:r w:rsidR="00E04169" w:rsidRPr="00410EE7">
              <w:rPr>
                <w:b/>
                <w:color w:val="000000"/>
                <w:sz w:val="20"/>
                <w:szCs w:val="20"/>
              </w:rPr>
              <w:t xml:space="preserve"> </w:t>
            </w:r>
            <w:r w:rsidRPr="00410EE7">
              <w:rPr>
                <w:b/>
                <w:color w:val="000000"/>
                <w:sz w:val="20"/>
                <w:szCs w:val="20"/>
              </w:rPr>
              <w:t>2006</w:t>
            </w:r>
          </w:p>
        </w:tc>
        <w:tc>
          <w:tcPr>
            <w:tcW w:w="1017" w:type="pct"/>
          </w:tcPr>
          <w:p w:rsidR="00A82297" w:rsidRPr="00410EE7" w:rsidRDefault="00A82297" w:rsidP="00F73228">
            <w:pPr>
              <w:spacing w:line="240" w:lineRule="auto"/>
              <w:jc w:val="center"/>
              <w:rPr>
                <w:color w:val="000000"/>
                <w:sz w:val="20"/>
                <w:szCs w:val="20"/>
              </w:rPr>
            </w:pPr>
            <w:r w:rsidRPr="00410EE7">
              <w:rPr>
                <w:color w:val="000000"/>
                <w:sz w:val="20"/>
                <w:szCs w:val="20"/>
              </w:rPr>
              <w:t>-0.001</w:t>
            </w:r>
            <w:r w:rsidR="00C9726F" w:rsidRPr="00410EE7">
              <w:rPr>
                <w:color w:val="000000"/>
                <w:sz w:val="20"/>
                <w:szCs w:val="20"/>
              </w:rPr>
              <w:t>0</w:t>
            </w:r>
          </w:p>
        </w:tc>
        <w:tc>
          <w:tcPr>
            <w:tcW w:w="1015" w:type="pct"/>
          </w:tcPr>
          <w:p w:rsidR="00A82297" w:rsidRPr="00410EE7" w:rsidRDefault="00A82297" w:rsidP="00F73228">
            <w:pPr>
              <w:spacing w:line="240" w:lineRule="auto"/>
              <w:jc w:val="center"/>
              <w:rPr>
                <w:color w:val="000000"/>
                <w:sz w:val="20"/>
                <w:szCs w:val="20"/>
              </w:rPr>
            </w:pPr>
            <w:r w:rsidRPr="00410EE7">
              <w:rPr>
                <w:color w:val="000000"/>
                <w:sz w:val="20"/>
                <w:szCs w:val="20"/>
              </w:rPr>
              <w:t>-0.00106</w:t>
            </w:r>
          </w:p>
        </w:tc>
        <w:tc>
          <w:tcPr>
            <w:tcW w:w="1015" w:type="pct"/>
            <w:noWrap/>
            <w:hideMark/>
          </w:tcPr>
          <w:p w:rsidR="00A82297" w:rsidRPr="00410EE7" w:rsidRDefault="00A82297" w:rsidP="00F73228">
            <w:pPr>
              <w:spacing w:line="240" w:lineRule="auto"/>
              <w:jc w:val="center"/>
              <w:rPr>
                <w:color w:val="000000"/>
                <w:sz w:val="20"/>
                <w:szCs w:val="20"/>
              </w:rPr>
            </w:pPr>
            <w:r w:rsidRPr="00410EE7">
              <w:rPr>
                <w:color w:val="000000"/>
                <w:sz w:val="20"/>
                <w:szCs w:val="20"/>
              </w:rPr>
              <w:t>-0.0025</w:t>
            </w:r>
          </w:p>
        </w:tc>
        <w:tc>
          <w:tcPr>
            <w:tcW w:w="1093" w:type="pct"/>
            <w:noWrap/>
            <w:hideMark/>
          </w:tcPr>
          <w:p w:rsidR="00A82297" w:rsidRPr="00410EE7" w:rsidRDefault="00A82297" w:rsidP="00F73228">
            <w:pPr>
              <w:spacing w:line="240" w:lineRule="auto"/>
              <w:jc w:val="center"/>
              <w:rPr>
                <w:color w:val="000000"/>
                <w:sz w:val="20"/>
                <w:szCs w:val="20"/>
              </w:rPr>
            </w:pPr>
            <w:r w:rsidRPr="00410EE7">
              <w:rPr>
                <w:color w:val="000000"/>
                <w:sz w:val="20"/>
                <w:szCs w:val="20"/>
              </w:rPr>
              <w:t>0.0084</w:t>
            </w:r>
          </w:p>
        </w:tc>
      </w:tr>
      <w:tr w:rsidR="00A82297" w:rsidRPr="00410EE7" w:rsidTr="00CB417B">
        <w:trPr>
          <w:trHeight w:val="300"/>
        </w:trPr>
        <w:tc>
          <w:tcPr>
            <w:tcW w:w="860" w:type="pct"/>
            <w:noWrap/>
            <w:hideMark/>
          </w:tcPr>
          <w:p w:rsidR="00A82297" w:rsidRPr="00410EE7" w:rsidRDefault="00A82297" w:rsidP="00023FDF">
            <w:pPr>
              <w:spacing w:line="240" w:lineRule="auto"/>
              <w:jc w:val="left"/>
              <w:rPr>
                <w:b/>
                <w:color w:val="000000"/>
                <w:sz w:val="20"/>
                <w:szCs w:val="20"/>
              </w:rPr>
            </w:pPr>
          </w:p>
        </w:tc>
        <w:tc>
          <w:tcPr>
            <w:tcW w:w="1017" w:type="pct"/>
          </w:tcPr>
          <w:p w:rsidR="00A82297" w:rsidRPr="00410EE7" w:rsidRDefault="00A82297" w:rsidP="00F73228">
            <w:pPr>
              <w:spacing w:line="240" w:lineRule="auto"/>
              <w:jc w:val="center"/>
              <w:rPr>
                <w:color w:val="000000"/>
                <w:sz w:val="20"/>
                <w:szCs w:val="20"/>
              </w:rPr>
            </w:pPr>
            <w:r w:rsidRPr="00410EE7">
              <w:rPr>
                <w:color w:val="000000"/>
                <w:sz w:val="20"/>
                <w:szCs w:val="20"/>
              </w:rPr>
              <w:t>[0.0002]**</w:t>
            </w:r>
            <w:r w:rsidR="00B7539B" w:rsidRPr="00410EE7">
              <w:rPr>
                <w:color w:val="000000"/>
                <w:sz w:val="20"/>
                <w:szCs w:val="20"/>
              </w:rPr>
              <w:t>*</w:t>
            </w:r>
          </w:p>
        </w:tc>
        <w:tc>
          <w:tcPr>
            <w:tcW w:w="1015" w:type="pct"/>
          </w:tcPr>
          <w:p w:rsidR="00A82297" w:rsidRPr="00410EE7" w:rsidRDefault="00A82297" w:rsidP="00F73228">
            <w:pPr>
              <w:spacing w:line="240" w:lineRule="auto"/>
              <w:jc w:val="center"/>
              <w:rPr>
                <w:color w:val="000000"/>
                <w:sz w:val="20"/>
                <w:szCs w:val="20"/>
              </w:rPr>
            </w:pPr>
            <w:r w:rsidRPr="00410EE7">
              <w:rPr>
                <w:color w:val="000000"/>
                <w:sz w:val="20"/>
                <w:szCs w:val="20"/>
              </w:rPr>
              <w:t>[0.00010]**</w:t>
            </w:r>
            <w:r w:rsidR="00B7539B" w:rsidRPr="00410EE7">
              <w:rPr>
                <w:color w:val="000000"/>
                <w:sz w:val="20"/>
                <w:szCs w:val="20"/>
              </w:rPr>
              <w:t>*</w:t>
            </w:r>
          </w:p>
        </w:tc>
        <w:tc>
          <w:tcPr>
            <w:tcW w:w="1015" w:type="pct"/>
            <w:noWrap/>
            <w:hideMark/>
          </w:tcPr>
          <w:p w:rsidR="00A82297" w:rsidRPr="00410EE7" w:rsidRDefault="00A82297" w:rsidP="00F73228">
            <w:pPr>
              <w:spacing w:line="240" w:lineRule="auto"/>
              <w:jc w:val="center"/>
              <w:rPr>
                <w:color w:val="000000"/>
                <w:sz w:val="20"/>
                <w:szCs w:val="20"/>
              </w:rPr>
            </w:pPr>
            <w:r w:rsidRPr="00410EE7">
              <w:rPr>
                <w:color w:val="000000"/>
                <w:sz w:val="20"/>
                <w:szCs w:val="20"/>
              </w:rPr>
              <w:t>[0.0005]**</w:t>
            </w:r>
            <w:r w:rsidR="00B7539B" w:rsidRPr="00410EE7">
              <w:rPr>
                <w:color w:val="000000"/>
                <w:sz w:val="20"/>
                <w:szCs w:val="20"/>
              </w:rPr>
              <w:t>*</w:t>
            </w:r>
          </w:p>
        </w:tc>
        <w:tc>
          <w:tcPr>
            <w:tcW w:w="1093" w:type="pct"/>
            <w:noWrap/>
            <w:hideMark/>
          </w:tcPr>
          <w:p w:rsidR="00A82297" w:rsidRPr="00410EE7" w:rsidRDefault="00A82297" w:rsidP="00F73228">
            <w:pPr>
              <w:spacing w:line="240" w:lineRule="auto"/>
              <w:jc w:val="center"/>
              <w:rPr>
                <w:color w:val="000000"/>
                <w:sz w:val="20"/>
                <w:szCs w:val="20"/>
              </w:rPr>
            </w:pPr>
            <w:r w:rsidRPr="00410EE7">
              <w:rPr>
                <w:color w:val="000000"/>
                <w:sz w:val="20"/>
                <w:szCs w:val="20"/>
              </w:rPr>
              <w:t>[0.0006]**</w:t>
            </w:r>
            <w:r w:rsidR="00B7539B" w:rsidRPr="00410EE7">
              <w:rPr>
                <w:color w:val="000000"/>
                <w:sz w:val="20"/>
                <w:szCs w:val="20"/>
              </w:rPr>
              <w:t>*</w:t>
            </w:r>
          </w:p>
        </w:tc>
      </w:tr>
      <w:tr w:rsidR="00A82297" w:rsidRPr="00410EE7" w:rsidTr="00CB417B">
        <w:trPr>
          <w:trHeight w:val="300"/>
        </w:trPr>
        <w:tc>
          <w:tcPr>
            <w:tcW w:w="860" w:type="pct"/>
            <w:noWrap/>
            <w:hideMark/>
          </w:tcPr>
          <w:p w:rsidR="00A82297" w:rsidRPr="00410EE7" w:rsidRDefault="00A82297" w:rsidP="00023FDF">
            <w:pPr>
              <w:spacing w:line="240" w:lineRule="auto"/>
              <w:jc w:val="left"/>
              <w:rPr>
                <w:b/>
                <w:color w:val="000000"/>
                <w:sz w:val="20"/>
                <w:szCs w:val="20"/>
              </w:rPr>
            </w:pPr>
            <w:r w:rsidRPr="00410EE7">
              <w:rPr>
                <w:b/>
                <w:color w:val="000000"/>
                <w:sz w:val="20"/>
                <w:szCs w:val="20"/>
                <w:lang w:eastAsia="en-GB"/>
              </w:rPr>
              <w:t>C&amp;B rate</w:t>
            </w:r>
            <w:r w:rsidRPr="00410EE7">
              <w:rPr>
                <w:b/>
                <w:color w:val="000000"/>
                <w:sz w:val="20"/>
                <w:szCs w:val="20"/>
              </w:rPr>
              <w:t xml:space="preserve"> </w:t>
            </w:r>
            <w:r w:rsidR="00E04169" w:rsidRPr="00410EE7">
              <w:rPr>
                <w:b/>
                <w:color w:val="000000"/>
                <w:sz w:val="20"/>
                <w:szCs w:val="20"/>
              </w:rPr>
              <w:t xml:space="preserve"> </w:t>
            </w:r>
            <w:r w:rsidRPr="00410EE7">
              <w:rPr>
                <w:b/>
                <w:color w:val="000000"/>
                <w:sz w:val="20"/>
                <w:szCs w:val="20"/>
              </w:rPr>
              <w:t>2007</w:t>
            </w:r>
          </w:p>
        </w:tc>
        <w:tc>
          <w:tcPr>
            <w:tcW w:w="1017" w:type="pct"/>
          </w:tcPr>
          <w:p w:rsidR="00A82297" w:rsidRPr="00410EE7" w:rsidRDefault="00A82297" w:rsidP="00F73228">
            <w:pPr>
              <w:spacing w:line="240" w:lineRule="auto"/>
              <w:jc w:val="center"/>
              <w:rPr>
                <w:color w:val="000000"/>
                <w:sz w:val="20"/>
                <w:szCs w:val="20"/>
              </w:rPr>
            </w:pPr>
            <w:r w:rsidRPr="00410EE7">
              <w:rPr>
                <w:color w:val="000000"/>
                <w:sz w:val="20"/>
                <w:szCs w:val="20"/>
              </w:rPr>
              <w:t>-0.002</w:t>
            </w:r>
            <w:r w:rsidR="00C9726F" w:rsidRPr="00410EE7">
              <w:rPr>
                <w:color w:val="000000"/>
                <w:sz w:val="20"/>
                <w:szCs w:val="20"/>
              </w:rPr>
              <w:t>0</w:t>
            </w:r>
          </w:p>
        </w:tc>
        <w:tc>
          <w:tcPr>
            <w:tcW w:w="1015" w:type="pct"/>
          </w:tcPr>
          <w:p w:rsidR="00A82297" w:rsidRPr="00410EE7" w:rsidRDefault="00A82297" w:rsidP="00F73228">
            <w:pPr>
              <w:spacing w:line="240" w:lineRule="auto"/>
              <w:jc w:val="center"/>
              <w:rPr>
                <w:color w:val="000000"/>
                <w:sz w:val="20"/>
                <w:szCs w:val="20"/>
              </w:rPr>
            </w:pPr>
            <w:r w:rsidRPr="00410EE7">
              <w:rPr>
                <w:color w:val="000000"/>
                <w:sz w:val="20"/>
                <w:szCs w:val="20"/>
              </w:rPr>
              <w:t>-0.00076</w:t>
            </w:r>
          </w:p>
        </w:tc>
        <w:tc>
          <w:tcPr>
            <w:tcW w:w="1015" w:type="pct"/>
            <w:noWrap/>
            <w:hideMark/>
          </w:tcPr>
          <w:p w:rsidR="00A82297" w:rsidRPr="00410EE7" w:rsidRDefault="00A82297" w:rsidP="00F73228">
            <w:pPr>
              <w:spacing w:line="240" w:lineRule="auto"/>
              <w:jc w:val="center"/>
              <w:rPr>
                <w:color w:val="000000"/>
                <w:sz w:val="20"/>
                <w:szCs w:val="20"/>
              </w:rPr>
            </w:pPr>
            <w:r w:rsidRPr="00410EE7">
              <w:rPr>
                <w:color w:val="000000"/>
                <w:sz w:val="20"/>
                <w:szCs w:val="20"/>
              </w:rPr>
              <w:t>-0.0019</w:t>
            </w:r>
          </w:p>
        </w:tc>
        <w:tc>
          <w:tcPr>
            <w:tcW w:w="1093" w:type="pct"/>
            <w:noWrap/>
            <w:hideMark/>
          </w:tcPr>
          <w:p w:rsidR="00A82297" w:rsidRPr="00410EE7" w:rsidRDefault="00A82297" w:rsidP="00F73228">
            <w:pPr>
              <w:spacing w:line="240" w:lineRule="auto"/>
              <w:jc w:val="center"/>
              <w:rPr>
                <w:color w:val="000000"/>
                <w:sz w:val="20"/>
                <w:szCs w:val="20"/>
              </w:rPr>
            </w:pPr>
            <w:r w:rsidRPr="00410EE7">
              <w:rPr>
                <w:color w:val="000000"/>
                <w:sz w:val="20"/>
                <w:szCs w:val="20"/>
              </w:rPr>
              <w:t>0.0082</w:t>
            </w:r>
          </w:p>
        </w:tc>
      </w:tr>
      <w:tr w:rsidR="00A82297" w:rsidRPr="00410EE7" w:rsidTr="00CB417B">
        <w:trPr>
          <w:trHeight w:val="300"/>
        </w:trPr>
        <w:tc>
          <w:tcPr>
            <w:tcW w:w="860" w:type="pct"/>
            <w:noWrap/>
            <w:hideMark/>
          </w:tcPr>
          <w:p w:rsidR="00A82297" w:rsidRPr="00410EE7" w:rsidRDefault="00A82297" w:rsidP="00023FDF">
            <w:pPr>
              <w:spacing w:line="240" w:lineRule="auto"/>
              <w:jc w:val="left"/>
              <w:rPr>
                <w:b/>
                <w:color w:val="000000"/>
                <w:sz w:val="20"/>
                <w:szCs w:val="20"/>
              </w:rPr>
            </w:pPr>
          </w:p>
        </w:tc>
        <w:tc>
          <w:tcPr>
            <w:tcW w:w="1017" w:type="pct"/>
          </w:tcPr>
          <w:p w:rsidR="00A82297" w:rsidRPr="00410EE7" w:rsidRDefault="00A82297" w:rsidP="00F73228">
            <w:pPr>
              <w:spacing w:line="240" w:lineRule="auto"/>
              <w:jc w:val="center"/>
              <w:rPr>
                <w:color w:val="000000"/>
                <w:sz w:val="20"/>
                <w:szCs w:val="20"/>
              </w:rPr>
            </w:pPr>
            <w:r w:rsidRPr="00410EE7">
              <w:rPr>
                <w:color w:val="000000"/>
                <w:sz w:val="20"/>
                <w:szCs w:val="20"/>
              </w:rPr>
              <w:t>[0.0001]**</w:t>
            </w:r>
            <w:r w:rsidR="00B7539B" w:rsidRPr="00410EE7">
              <w:rPr>
                <w:color w:val="000000"/>
                <w:sz w:val="20"/>
                <w:szCs w:val="20"/>
              </w:rPr>
              <w:t>*</w:t>
            </w:r>
          </w:p>
        </w:tc>
        <w:tc>
          <w:tcPr>
            <w:tcW w:w="1015" w:type="pct"/>
          </w:tcPr>
          <w:p w:rsidR="00A82297" w:rsidRPr="00410EE7" w:rsidRDefault="00A82297" w:rsidP="00F73228">
            <w:pPr>
              <w:spacing w:line="240" w:lineRule="auto"/>
              <w:jc w:val="center"/>
              <w:rPr>
                <w:color w:val="000000"/>
                <w:sz w:val="20"/>
                <w:szCs w:val="20"/>
              </w:rPr>
            </w:pPr>
            <w:r w:rsidRPr="00410EE7">
              <w:rPr>
                <w:color w:val="000000"/>
                <w:sz w:val="20"/>
                <w:szCs w:val="20"/>
              </w:rPr>
              <w:t>[0.00008]**</w:t>
            </w:r>
            <w:r w:rsidR="00B7539B" w:rsidRPr="00410EE7">
              <w:rPr>
                <w:color w:val="000000"/>
                <w:sz w:val="20"/>
                <w:szCs w:val="20"/>
              </w:rPr>
              <w:t>*</w:t>
            </w:r>
          </w:p>
        </w:tc>
        <w:tc>
          <w:tcPr>
            <w:tcW w:w="1015" w:type="pct"/>
            <w:noWrap/>
            <w:hideMark/>
          </w:tcPr>
          <w:p w:rsidR="00A82297" w:rsidRPr="00410EE7" w:rsidRDefault="00A82297" w:rsidP="00F73228">
            <w:pPr>
              <w:spacing w:line="240" w:lineRule="auto"/>
              <w:jc w:val="center"/>
              <w:rPr>
                <w:color w:val="000000"/>
                <w:sz w:val="20"/>
                <w:szCs w:val="20"/>
              </w:rPr>
            </w:pPr>
            <w:r w:rsidRPr="00410EE7">
              <w:rPr>
                <w:color w:val="000000"/>
                <w:sz w:val="20"/>
                <w:szCs w:val="20"/>
              </w:rPr>
              <w:t>[0.0004]**</w:t>
            </w:r>
            <w:r w:rsidR="00B7539B" w:rsidRPr="00410EE7">
              <w:rPr>
                <w:color w:val="000000"/>
                <w:sz w:val="20"/>
                <w:szCs w:val="20"/>
              </w:rPr>
              <w:t>*</w:t>
            </w:r>
          </w:p>
        </w:tc>
        <w:tc>
          <w:tcPr>
            <w:tcW w:w="1093" w:type="pct"/>
            <w:noWrap/>
            <w:hideMark/>
          </w:tcPr>
          <w:p w:rsidR="00A82297" w:rsidRPr="00410EE7" w:rsidRDefault="00A82297" w:rsidP="00F73228">
            <w:pPr>
              <w:spacing w:line="240" w:lineRule="auto"/>
              <w:jc w:val="center"/>
              <w:rPr>
                <w:color w:val="000000"/>
                <w:sz w:val="20"/>
                <w:szCs w:val="20"/>
              </w:rPr>
            </w:pPr>
            <w:r w:rsidRPr="00410EE7">
              <w:rPr>
                <w:color w:val="000000"/>
                <w:sz w:val="20"/>
                <w:szCs w:val="20"/>
              </w:rPr>
              <w:t>[0.0006]**</w:t>
            </w:r>
            <w:r w:rsidR="00B7539B" w:rsidRPr="00410EE7">
              <w:rPr>
                <w:color w:val="000000"/>
                <w:sz w:val="20"/>
                <w:szCs w:val="20"/>
              </w:rPr>
              <w:t>*</w:t>
            </w:r>
          </w:p>
        </w:tc>
      </w:tr>
      <w:tr w:rsidR="00A82297" w:rsidRPr="00410EE7" w:rsidTr="00CB417B">
        <w:trPr>
          <w:trHeight w:val="300"/>
        </w:trPr>
        <w:tc>
          <w:tcPr>
            <w:tcW w:w="860" w:type="pct"/>
            <w:noWrap/>
            <w:hideMark/>
          </w:tcPr>
          <w:p w:rsidR="00A82297" w:rsidRPr="00410EE7" w:rsidRDefault="00A82297" w:rsidP="00023FDF">
            <w:pPr>
              <w:spacing w:line="240" w:lineRule="auto"/>
              <w:jc w:val="left"/>
              <w:rPr>
                <w:b/>
                <w:color w:val="000000"/>
                <w:sz w:val="20"/>
                <w:szCs w:val="20"/>
              </w:rPr>
            </w:pPr>
            <w:r w:rsidRPr="00410EE7">
              <w:rPr>
                <w:b/>
                <w:color w:val="000000"/>
                <w:sz w:val="20"/>
                <w:szCs w:val="20"/>
                <w:lang w:eastAsia="en-GB"/>
              </w:rPr>
              <w:t>C&amp;B rate</w:t>
            </w:r>
            <w:r w:rsidRPr="00410EE7">
              <w:rPr>
                <w:b/>
                <w:color w:val="000000"/>
                <w:sz w:val="20"/>
                <w:szCs w:val="20"/>
              </w:rPr>
              <w:t xml:space="preserve"> </w:t>
            </w:r>
            <w:r w:rsidR="00E04169" w:rsidRPr="00410EE7">
              <w:rPr>
                <w:b/>
                <w:color w:val="000000"/>
                <w:sz w:val="20"/>
                <w:szCs w:val="20"/>
              </w:rPr>
              <w:t xml:space="preserve"> </w:t>
            </w:r>
            <w:r w:rsidRPr="00410EE7">
              <w:rPr>
                <w:b/>
                <w:color w:val="000000"/>
                <w:sz w:val="20"/>
                <w:szCs w:val="20"/>
              </w:rPr>
              <w:t>2008</w:t>
            </w:r>
          </w:p>
        </w:tc>
        <w:tc>
          <w:tcPr>
            <w:tcW w:w="1017" w:type="pct"/>
          </w:tcPr>
          <w:p w:rsidR="00A82297" w:rsidRPr="00410EE7" w:rsidRDefault="00A82297" w:rsidP="00F73228">
            <w:pPr>
              <w:spacing w:line="240" w:lineRule="auto"/>
              <w:jc w:val="center"/>
              <w:rPr>
                <w:color w:val="000000"/>
                <w:sz w:val="20"/>
                <w:szCs w:val="20"/>
              </w:rPr>
            </w:pPr>
            <w:r w:rsidRPr="00410EE7">
              <w:rPr>
                <w:color w:val="000000"/>
                <w:sz w:val="20"/>
                <w:szCs w:val="20"/>
              </w:rPr>
              <w:t>-0.003</w:t>
            </w:r>
            <w:r w:rsidR="00C9726F" w:rsidRPr="00410EE7">
              <w:rPr>
                <w:color w:val="000000"/>
                <w:sz w:val="20"/>
                <w:szCs w:val="20"/>
              </w:rPr>
              <w:t>0</w:t>
            </w:r>
          </w:p>
        </w:tc>
        <w:tc>
          <w:tcPr>
            <w:tcW w:w="1015" w:type="pct"/>
          </w:tcPr>
          <w:p w:rsidR="00A82297" w:rsidRPr="00410EE7" w:rsidRDefault="00A82297" w:rsidP="00F73228">
            <w:pPr>
              <w:spacing w:line="240" w:lineRule="auto"/>
              <w:jc w:val="center"/>
              <w:rPr>
                <w:color w:val="000000"/>
                <w:sz w:val="20"/>
                <w:szCs w:val="20"/>
              </w:rPr>
            </w:pPr>
            <w:r w:rsidRPr="00410EE7">
              <w:rPr>
                <w:color w:val="000000"/>
                <w:sz w:val="20"/>
                <w:szCs w:val="20"/>
              </w:rPr>
              <w:t>-0.00055</w:t>
            </w:r>
          </w:p>
        </w:tc>
        <w:tc>
          <w:tcPr>
            <w:tcW w:w="1015" w:type="pct"/>
            <w:noWrap/>
            <w:hideMark/>
          </w:tcPr>
          <w:p w:rsidR="00A82297" w:rsidRPr="00410EE7" w:rsidRDefault="00A82297" w:rsidP="00F73228">
            <w:pPr>
              <w:spacing w:line="240" w:lineRule="auto"/>
              <w:jc w:val="center"/>
              <w:rPr>
                <w:color w:val="000000"/>
                <w:sz w:val="20"/>
                <w:szCs w:val="20"/>
              </w:rPr>
            </w:pPr>
            <w:r w:rsidRPr="00410EE7">
              <w:rPr>
                <w:color w:val="000000"/>
                <w:sz w:val="20"/>
                <w:szCs w:val="20"/>
              </w:rPr>
              <w:t>0.0002</w:t>
            </w:r>
          </w:p>
        </w:tc>
        <w:tc>
          <w:tcPr>
            <w:tcW w:w="1093" w:type="pct"/>
            <w:noWrap/>
            <w:hideMark/>
          </w:tcPr>
          <w:p w:rsidR="00A82297" w:rsidRPr="00410EE7" w:rsidRDefault="00A82297" w:rsidP="00F73228">
            <w:pPr>
              <w:spacing w:line="240" w:lineRule="auto"/>
              <w:jc w:val="center"/>
              <w:rPr>
                <w:color w:val="000000"/>
                <w:sz w:val="20"/>
                <w:szCs w:val="20"/>
              </w:rPr>
            </w:pPr>
            <w:r w:rsidRPr="00410EE7">
              <w:rPr>
                <w:color w:val="000000"/>
                <w:sz w:val="20"/>
                <w:szCs w:val="20"/>
              </w:rPr>
              <w:t>0.0063</w:t>
            </w:r>
          </w:p>
        </w:tc>
      </w:tr>
      <w:tr w:rsidR="00A82297" w:rsidRPr="00410EE7" w:rsidTr="00CB417B">
        <w:trPr>
          <w:trHeight w:val="300"/>
        </w:trPr>
        <w:tc>
          <w:tcPr>
            <w:tcW w:w="860" w:type="pct"/>
            <w:noWrap/>
            <w:hideMark/>
          </w:tcPr>
          <w:p w:rsidR="00A82297" w:rsidRPr="00410EE7" w:rsidRDefault="00A82297" w:rsidP="00023FDF">
            <w:pPr>
              <w:spacing w:line="240" w:lineRule="auto"/>
              <w:jc w:val="left"/>
              <w:rPr>
                <w:b/>
                <w:color w:val="000000"/>
                <w:sz w:val="20"/>
                <w:szCs w:val="20"/>
              </w:rPr>
            </w:pPr>
          </w:p>
        </w:tc>
        <w:tc>
          <w:tcPr>
            <w:tcW w:w="1017" w:type="pct"/>
          </w:tcPr>
          <w:p w:rsidR="00A82297" w:rsidRPr="00410EE7" w:rsidRDefault="00A82297" w:rsidP="00F73228">
            <w:pPr>
              <w:spacing w:line="240" w:lineRule="auto"/>
              <w:jc w:val="center"/>
              <w:rPr>
                <w:color w:val="000000"/>
                <w:sz w:val="20"/>
                <w:szCs w:val="20"/>
              </w:rPr>
            </w:pPr>
            <w:r w:rsidRPr="00410EE7">
              <w:rPr>
                <w:color w:val="000000"/>
                <w:sz w:val="20"/>
                <w:szCs w:val="20"/>
              </w:rPr>
              <w:t>[0.0002]**</w:t>
            </w:r>
            <w:r w:rsidR="00B7539B" w:rsidRPr="00410EE7">
              <w:rPr>
                <w:color w:val="000000"/>
                <w:sz w:val="20"/>
                <w:szCs w:val="20"/>
              </w:rPr>
              <w:t>*</w:t>
            </w:r>
          </w:p>
        </w:tc>
        <w:tc>
          <w:tcPr>
            <w:tcW w:w="1015" w:type="pct"/>
          </w:tcPr>
          <w:p w:rsidR="00A82297" w:rsidRPr="00410EE7" w:rsidRDefault="00A82297" w:rsidP="00F73228">
            <w:pPr>
              <w:spacing w:line="240" w:lineRule="auto"/>
              <w:jc w:val="center"/>
              <w:rPr>
                <w:color w:val="000000"/>
                <w:sz w:val="20"/>
                <w:szCs w:val="20"/>
              </w:rPr>
            </w:pPr>
            <w:r w:rsidRPr="00410EE7">
              <w:rPr>
                <w:color w:val="000000"/>
                <w:sz w:val="20"/>
                <w:szCs w:val="20"/>
              </w:rPr>
              <w:t>[0.00009]**</w:t>
            </w:r>
            <w:r w:rsidR="00B7539B" w:rsidRPr="00410EE7">
              <w:rPr>
                <w:color w:val="000000"/>
                <w:sz w:val="20"/>
                <w:szCs w:val="20"/>
              </w:rPr>
              <w:t>*</w:t>
            </w:r>
          </w:p>
        </w:tc>
        <w:tc>
          <w:tcPr>
            <w:tcW w:w="1015" w:type="pct"/>
            <w:noWrap/>
            <w:hideMark/>
          </w:tcPr>
          <w:p w:rsidR="00A82297" w:rsidRPr="00410EE7" w:rsidRDefault="00A82297" w:rsidP="00F73228">
            <w:pPr>
              <w:spacing w:line="240" w:lineRule="auto"/>
              <w:jc w:val="center"/>
              <w:rPr>
                <w:color w:val="000000"/>
                <w:sz w:val="20"/>
                <w:szCs w:val="20"/>
              </w:rPr>
            </w:pPr>
            <w:r w:rsidRPr="00410EE7">
              <w:rPr>
                <w:color w:val="000000"/>
                <w:sz w:val="20"/>
                <w:szCs w:val="20"/>
              </w:rPr>
              <w:t>[0.0004]</w:t>
            </w:r>
          </w:p>
        </w:tc>
        <w:tc>
          <w:tcPr>
            <w:tcW w:w="1093" w:type="pct"/>
            <w:noWrap/>
            <w:hideMark/>
          </w:tcPr>
          <w:p w:rsidR="00A82297" w:rsidRPr="00410EE7" w:rsidRDefault="00A82297" w:rsidP="00F73228">
            <w:pPr>
              <w:spacing w:line="240" w:lineRule="auto"/>
              <w:jc w:val="center"/>
              <w:rPr>
                <w:color w:val="000000"/>
                <w:sz w:val="20"/>
                <w:szCs w:val="20"/>
              </w:rPr>
            </w:pPr>
            <w:r w:rsidRPr="00410EE7">
              <w:rPr>
                <w:color w:val="000000"/>
                <w:sz w:val="20"/>
                <w:szCs w:val="20"/>
              </w:rPr>
              <w:t>[0.0005]**</w:t>
            </w:r>
            <w:r w:rsidR="00B7539B" w:rsidRPr="00410EE7">
              <w:rPr>
                <w:color w:val="000000"/>
                <w:sz w:val="20"/>
                <w:szCs w:val="20"/>
              </w:rPr>
              <w:t>*</w:t>
            </w:r>
          </w:p>
        </w:tc>
      </w:tr>
      <w:tr w:rsidR="00A82297" w:rsidRPr="00410EE7" w:rsidTr="00CB417B">
        <w:trPr>
          <w:trHeight w:val="300"/>
        </w:trPr>
        <w:tc>
          <w:tcPr>
            <w:tcW w:w="860" w:type="pct"/>
            <w:noWrap/>
            <w:hideMark/>
          </w:tcPr>
          <w:p w:rsidR="00A82297" w:rsidRPr="00410EE7" w:rsidRDefault="00A82297" w:rsidP="00023FDF">
            <w:pPr>
              <w:spacing w:line="240" w:lineRule="auto"/>
              <w:jc w:val="left"/>
              <w:rPr>
                <w:b/>
                <w:color w:val="000000"/>
                <w:sz w:val="20"/>
                <w:szCs w:val="20"/>
              </w:rPr>
            </w:pPr>
            <w:r w:rsidRPr="00410EE7">
              <w:rPr>
                <w:b/>
                <w:color w:val="000000"/>
                <w:sz w:val="20"/>
                <w:szCs w:val="20"/>
                <w:lang w:eastAsia="en-GB"/>
              </w:rPr>
              <w:t>C&amp;B rate</w:t>
            </w:r>
            <w:r w:rsidRPr="00410EE7">
              <w:rPr>
                <w:b/>
                <w:color w:val="000000"/>
                <w:sz w:val="20"/>
                <w:szCs w:val="20"/>
              </w:rPr>
              <w:t xml:space="preserve"> </w:t>
            </w:r>
            <w:r w:rsidR="00E04169" w:rsidRPr="00410EE7">
              <w:rPr>
                <w:b/>
                <w:color w:val="000000"/>
                <w:sz w:val="20"/>
                <w:szCs w:val="20"/>
              </w:rPr>
              <w:t xml:space="preserve"> </w:t>
            </w:r>
            <w:r w:rsidRPr="00410EE7">
              <w:rPr>
                <w:b/>
                <w:color w:val="000000"/>
                <w:sz w:val="20"/>
                <w:szCs w:val="20"/>
              </w:rPr>
              <w:t>2009</w:t>
            </w:r>
          </w:p>
        </w:tc>
        <w:tc>
          <w:tcPr>
            <w:tcW w:w="1017" w:type="pct"/>
          </w:tcPr>
          <w:p w:rsidR="00A82297" w:rsidRPr="00410EE7" w:rsidRDefault="00A82297" w:rsidP="00F73228">
            <w:pPr>
              <w:spacing w:line="240" w:lineRule="auto"/>
              <w:jc w:val="center"/>
              <w:rPr>
                <w:color w:val="000000"/>
                <w:sz w:val="20"/>
                <w:szCs w:val="20"/>
              </w:rPr>
            </w:pPr>
            <w:r w:rsidRPr="00410EE7">
              <w:rPr>
                <w:color w:val="000000"/>
                <w:sz w:val="20"/>
                <w:szCs w:val="20"/>
              </w:rPr>
              <w:t>-0.0025</w:t>
            </w:r>
          </w:p>
        </w:tc>
        <w:tc>
          <w:tcPr>
            <w:tcW w:w="1015" w:type="pct"/>
          </w:tcPr>
          <w:p w:rsidR="00A82297" w:rsidRPr="00410EE7" w:rsidRDefault="00A82297" w:rsidP="00F73228">
            <w:pPr>
              <w:spacing w:line="240" w:lineRule="auto"/>
              <w:jc w:val="center"/>
              <w:rPr>
                <w:color w:val="000000"/>
                <w:sz w:val="20"/>
                <w:szCs w:val="20"/>
              </w:rPr>
            </w:pPr>
            <w:r w:rsidRPr="00410EE7">
              <w:rPr>
                <w:color w:val="000000"/>
                <w:sz w:val="20"/>
                <w:szCs w:val="20"/>
              </w:rPr>
              <w:t>-0.00029</w:t>
            </w:r>
          </w:p>
        </w:tc>
        <w:tc>
          <w:tcPr>
            <w:tcW w:w="1015" w:type="pct"/>
            <w:noWrap/>
            <w:hideMark/>
          </w:tcPr>
          <w:p w:rsidR="00A82297" w:rsidRPr="00410EE7" w:rsidRDefault="00A82297" w:rsidP="00F73228">
            <w:pPr>
              <w:spacing w:line="240" w:lineRule="auto"/>
              <w:jc w:val="center"/>
              <w:rPr>
                <w:color w:val="000000"/>
                <w:sz w:val="20"/>
                <w:szCs w:val="20"/>
              </w:rPr>
            </w:pPr>
            <w:r w:rsidRPr="00410EE7">
              <w:rPr>
                <w:color w:val="000000"/>
                <w:sz w:val="20"/>
                <w:szCs w:val="20"/>
              </w:rPr>
              <w:t>-0.0003</w:t>
            </w:r>
          </w:p>
        </w:tc>
        <w:tc>
          <w:tcPr>
            <w:tcW w:w="1093" w:type="pct"/>
            <w:noWrap/>
            <w:hideMark/>
          </w:tcPr>
          <w:p w:rsidR="00A82297" w:rsidRPr="00410EE7" w:rsidRDefault="00A82297" w:rsidP="00F73228">
            <w:pPr>
              <w:spacing w:line="240" w:lineRule="auto"/>
              <w:jc w:val="center"/>
              <w:rPr>
                <w:color w:val="000000"/>
                <w:sz w:val="20"/>
                <w:szCs w:val="20"/>
              </w:rPr>
            </w:pPr>
            <w:r w:rsidRPr="00410EE7">
              <w:rPr>
                <w:color w:val="000000"/>
                <w:sz w:val="20"/>
                <w:szCs w:val="20"/>
              </w:rPr>
              <w:t>0.0051</w:t>
            </w:r>
          </w:p>
        </w:tc>
      </w:tr>
      <w:tr w:rsidR="00A82297" w:rsidRPr="00410EE7" w:rsidTr="00CB417B">
        <w:trPr>
          <w:trHeight w:val="477"/>
        </w:trPr>
        <w:tc>
          <w:tcPr>
            <w:tcW w:w="860" w:type="pct"/>
            <w:noWrap/>
            <w:hideMark/>
          </w:tcPr>
          <w:p w:rsidR="00A82297" w:rsidRPr="00410EE7" w:rsidRDefault="00A82297" w:rsidP="00023FDF">
            <w:pPr>
              <w:spacing w:line="240" w:lineRule="auto"/>
              <w:jc w:val="left"/>
              <w:rPr>
                <w:color w:val="000000"/>
                <w:sz w:val="20"/>
                <w:szCs w:val="20"/>
              </w:rPr>
            </w:pPr>
          </w:p>
        </w:tc>
        <w:tc>
          <w:tcPr>
            <w:tcW w:w="1017" w:type="pct"/>
          </w:tcPr>
          <w:p w:rsidR="00A82297" w:rsidRPr="00410EE7" w:rsidRDefault="00A82297" w:rsidP="00F73228">
            <w:pPr>
              <w:spacing w:line="240" w:lineRule="auto"/>
              <w:jc w:val="center"/>
              <w:rPr>
                <w:color w:val="000000"/>
                <w:sz w:val="20"/>
                <w:szCs w:val="20"/>
              </w:rPr>
            </w:pPr>
            <w:r w:rsidRPr="00410EE7">
              <w:rPr>
                <w:color w:val="000000"/>
                <w:sz w:val="20"/>
                <w:szCs w:val="20"/>
              </w:rPr>
              <w:t>[0.0002]**</w:t>
            </w:r>
            <w:r w:rsidR="00B7539B" w:rsidRPr="00410EE7">
              <w:rPr>
                <w:color w:val="000000"/>
                <w:sz w:val="20"/>
                <w:szCs w:val="20"/>
              </w:rPr>
              <w:t>*</w:t>
            </w:r>
          </w:p>
        </w:tc>
        <w:tc>
          <w:tcPr>
            <w:tcW w:w="1015" w:type="pct"/>
          </w:tcPr>
          <w:p w:rsidR="00A82297" w:rsidRPr="00410EE7" w:rsidRDefault="00A82297" w:rsidP="00F73228">
            <w:pPr>
              <w:spacing w:line="240" w:lineRule="auto"/>
              <w:jc w:val="center"/>
              <w:rPr>
                <w:color w:val="000000"/>
                <w:sz w:val="20"/>
                <w:szCs w:val="20"/>
              </w:rPr>
            </w:pPr>
            <w:r w:rsidRPr="00410EE7">
              <w:rPr>
                <w:color w:val="000000"/>
                <w:sz w:val="20"/>
                <w:szCs w:val="20"/>
              </w:rPr>
              <w:t>[0.00011]**</w:t>
            </w:r>
          </w:p>
        </w:tc>
        <w:tc>
          <w:tcPr>
            <w:tcW w:w="1015" w:type="pct"/>
            <w:noWrap/>
            <w:hideMark/>
          </w:tcPr>
          <w:p w:rsidR="00A82297" w:rsidRPr="00410EE7" w:rsidRDefault="00A82297" w:rsidP="00F73228">
            <w:pPr>
              <w:spacing w:line="240" w:lineRule="auto"/>
              <w:jc w:val="center"/>
              <w:rPr>
                <w:color w:val="000000"/>
                <w:sz w:val="20"/>
                <w:szCs w:val="20"/>
              </w:rPr>
            </w:pPr>
            <w:r w:rsidRPr="00410EE7">
              <w:rPr>
                <w:color w:val="000000"/>
                <w:sz w:val="20"/>
                <w:szCs w:val="20"/>
              </w:rPr>
              <w:t>[0.0005]</w:t>
            </w:r>
          </w:p>
        </w:tc>
        <w:tc>
          <w:tcPr>
            <w:tcW w:w="1093" w:type="pct"/>
            <w:noWrap/>
            <w:hideMark/>
          </w:tcPr>
          <w:p w:rsidR="00A82297" w:rsidRPr="00410EE7" w:rsidRDefault="00A82297" w:rsidP="00F73228">
            <w:pPr>
              <w:spacing w:line="240" w:lineRule="auto"/>
              <w:jc w:val="center"/>
              <w:rPr>
                <w:color w:val="000000"/>
                <w:sz w:val="20"/>
                <w:szCs w:val="20"/>
              </w:rPr>
            </w:pPr>
            <w:r w:rsidRPr="00410EE7">
              <w:rPr>
                <w:color w:val="000000"/>
                <w:sz w:val="20"/>
                <w:szCs w:val="20"/>
              </w:rPr>
              <w:t>[0.0006]**</w:t>
            </w:r>
            <w:r w:rsidR="00B7539B" w:rsidRPr="00410EE7">
              <w:rPr>
                <w:color w:val="000000"/>
                <w:sz w:val="20"/>
                <w:szCs w:val="20"/>
              </w:rPr>
              <w:t>*</w:t>
            </w:r>
          </w:p>
        </w:tc>
      </w:tr>
    </w:tbl>
    <w:p w:rsidR="00224870" w:rsidRPr="00410EE7" w:rsidRDefault="007B5E02" w:rsidP="007B5E02">
      <w:pPr>
        <w:spacing w:line="240" w:lineRule="auto"/>
        <w:jc w:val="left"/>
        <w:rPr>
          <w:color w:val="000000"/>
          <w:sz w:val="20"/>
          <w:szCs w:val="20"/>
          <w:lang w:eastAsia="en-GB"/>
        </w:rPr>
      </w:pPr>
      <w:proofErr w:type="gramStart"/>
      <w:r w:rsidRPr="00410EE7">
        <w:rPr>
          <w:i/>
          <w:color w:val="000000"/>
          <w:sz w:val="20"/>
          <w:szCs w:val="20"/>
          <w:lang w:eastAsia="en-GB"/>
        </w:rPr>
        <w:t>Notes</w:t>
      </w:r>
      <w:r w:rsidRPr="00410EE7">
        <w:rPr>
          <w:color w:val="000000"/>
          <w:sz w:val="20"/>
          <w:szCs w:val="20"/>
          <w:lang w:eastAsia="en-GB"/>
        </w:rPr>
        <w:t>.</w:t>
      </w:r>
      <w:proofErr w:type="gramEnd"/>
      <w:r w:rsidRPr="00410EE7">
        <w:rPr>
          <w:color w:val="000000"/>
          <w:sz w:val="20"/>
          <w:szCs w:val="20"/>
          <w:lang w:eastAsia="en-GB"/>
        </w:rPr>
        <w:t xml:space="preserve"> </w:t>
      </w:r>
      <w:proofErr w:type="gramStart"/>
      <w:r w:rsidRPr="00410EE7">
        <w:rPr>
          <w:color w:val="000000"/>
          <w:sz w:val="20"/>
          <w:szCs w:val="20"/>
          <w:lang w:eastAsia="en-GB"/>
        </w:rPr>
        <w:t xml:space="preserve">Estimates from </w:t>
      </w:r>
      <w:r w:rsidR="0009629B">
        <w:rPr>
          <w:color w:val="000000"/>
          <w:sz w:val="20"/>
          <w:szCs w:val="20"/>
          <w:lang w:eastAsia="en-GB"/>
        </w:rPr>
        <w:t xml:space="preserve">conditional fixed effects </w:t>
      </w:r>
      <w:r w:rsidRPr="00410EE7">
        <w:rPr>
          <w:color w:val="000000"/>
          <w:sz w:val="20"/>
          <w:szCs w:val="20"/>
          <w:lang w:eastAsia="en-GB"/>
        </w:rPr>
        <w:t>Poisson models.</w:t>
      </w:r>
      <w:proofErr w:type="gramEnd"/>
      <w:r w:rsidRPr="00410EE7">
        <w:rPr>
          <w:color w:val="000000"/>
          <w:sz w:val="20"/>
          <w:szCs w:val="20"/>
          <w:lang w:eastAsia="en-GB"/>
        </w:rPr>
        <w:t xml:space="preserve"> </w:t>
      </w:r>
      <w:r w:rsidR="00CB417B">
        <w:rPr>
          <w:color w:val="000000"/>
          <w:sz w:val="20"/>
          <w:szCs w:val="20"/>
          <w:lang w:eastAsia="en-GB"/>
        </w:rPr>
        <w:t>Years: 2004 to 2009</w:t>
      </w:r>
      <w:r w:rsidR="00CB417B" w:rsidRPr="00410EE7">
        <w:rPr>
          <w:color w:val="000000"/>
          <w:sz w:val="20"/>
          <w:szCs w:val="20"/>
          <w:lang w:eastAsia="en-GB"/>
        </w:rPr>
        <w:t>.</w:t>
      </w:r>
      <w:r w:rsidR="00CB417B">
        <w:rPr>
          <w:color w:val="000000"/>
          <w:sz w:val="20"/>
          <w:szCs w:val="20"/>
          <w:lang w:eastAsia="en-GB"/>
        </w:rPr>
        <w:t xml:space="preserve"> </w:t>
      </w:r>
      <w:r w:rsidRPr="00410EE7">
        <w:rPr>
          <w:color w:val="000000"/>
          <w:sz w:val="20"/>
          <w:szCs w:val="20"/>
          <w:lang w:eastAsia="en-GB"/>
        </w:rPr>
        <w:t>All models also contain year and SHA interactions, total practice list size, proportion of list in 13 age/gender groups, patients per whole time equivalent GP, average GP age, proportion female GPs, proportion GPs qualified in UK, proportion of non-principal GPs, 15 QOF practice quality indicators,</w:t>
      </w:r>
      <w:r w:rsidR="000D44F1" w:rsidRPr="00410EE7">
        <w:rPr>
          <w:color w:val="000000"/>
          <w:sz w:val="20"/>
          <w:szCs w:val="20"/>
          <w:lang w:eastAsia="en-GB"/>
        </w:rPr>
        <w:t xml:space="preserve"> disease prevalence and patient deprivation,</w:t>
      </w:r>
      <w:r w:rsidRPr="00410EE7">
        <w:rPr>
          <w:color w:val="000000"/>
          <w:sz w:val="20"/>
          <w:szCs w:val="20"/>
          <w:lang w:eastAsia="en-GB"/>
        </w:rPr>
        <w:t xml:space="preserve">  proportion of referrals to 53 separate specialities.  </w:t>
      </w:r>
      <w:proofErr w:type="gramStart"/>
      <w:r w:rsidR="00CB417B">
        <w:rPr>
          <w:color w:val="000000"/>
          <w:sz w:val="20"/>
          <w:szCs w:val="20"/>
          <w:lang w:eastAsia="en-GB"/>
        </w:rPr>
        <w:t>Same number of observations as in Table 2 models.</w:t>
      </w:r>
      <w:proofErr w:type="gramEnd"/>
      <w:r w:rsidR="00CB417B">
        <w:rPr>
          <w:color w:val="000000"/>
          <w:sz w:val="20"/>
          <w:szCs w:val="20"/>
          <w:lang w:eastAsia="en-GB"/>
        </w:rPr>
        <w:t xml:space="preserve"> </w:t>
      </w:r>
      <w:r w:rsidRPr="00410EE7">
        <w:rPr>
          <w:color w:val="000000"/>
          <w:sz w:val="20"/>
          <w:szCs w:val="20"/>
          <w:lang w:eastAsia="en-GB"/>
        </w:rPr>
        <w:t xml:space="preserve"> Coefficients are the proportionate change in the dependent variable from a one unit change in the explanatory</w:t>
      </w:r>
      <w:r w:rsidR="003A7C62">
        <w:rPr>
          <w:color w:val="000000"/>
          <w:sz w:val="20"/>
          <w:szCs w:val="20"/>
          <w:lang w:eastAsia="en-GB"/>
        </w:rPr>
        <w:t xml:space="preserve">.  </w:t>
      </w:r>
      <w:r w:rsidR="007421C6">
        <w:rPr>
          <w:noProof/>
          <w:sz w:val="20"/>
          <w:szCs w:val="20"/>
          <w:lang w:eastAsia="en-GB"/>
        </w:rPr>
        <w:t xml:space="preserve"> </w:t>
      </w:r>
      <w:r w:rsidRPr="00410EE7">
        <w:rPr>
          <w:color w:val="000000"/>
          <w:sz w:val="20"/>
          <w:szCs w:val="20"/>
          <w:lang w:eastAsia="en-GB"/>
        </w:rPr>
        <w:t>Robust standard errors in square brackets allow for clustering within GP practices.</w:t>
      </w:r>
      <w:r w:rsidR="003650AD" w:rsidRPr="00410EE7">
        <w:rPr>
          <w:color w:val="000000"/>
          <w:sz w:val="20"/>
          <w:szCs w:val="20"/>
          <w:lang w:eastAsia="en-GB"/>
        </w:rPr>
        <w:t xml:space="preserve"> </w:t>
      </w:r>
    </w:p>
    <w:p w:rsidR="007B5E02" w:rsidRPr="00410EE7" w:rsidRDefault="003A7C62" w:rsidP="007B5E02">
      <w:pPr>
        <w:spacing w:line="240" w:lineRule="auto"/>
        <w:jc w:val="left"/>
        <w:rPr>
          <w:color w:val="000000"/>
          <w:sz w:val="20"/>
          <w:szCs w:val="20"/>
          <w:lang w:eastAsia="en-GB"/>
        </w:rPr>
      </w:pPr>
      <w:r w:rsidRPr="00D62579">
        <w:rPr>
          <w:color w:val="000000"/>
          <w:sz w:val="20"/>
          <w:szCs w:val="20"/>
          <w:lang w:eastAsia="en-GB"/>
        </w:rPr>
        <w:t>*</w:t>
      </w:r>
      <w:r>
        <w:rPr>
          <w:color w:val="000000"/>
          <w:sz w:val="20"/>
          <w:szCs w:val="20"/>
          <w:lang w:eastAsia="en-GB"/>
        </w:rPr>
        <w:t>:</w:t>
      </w:r>
      <w:r w:rsidRPr="00D62579">
        <w:rPr>
          <w:color w:val="000000"/>
          <w:sz w:val="20"/>
          <w:szCs w:val="20"/>
          <w:lang w:eastAsia="en-GB"/>
        </w:rPr>
        <w:t xml:space="preserve"> p &lt; 0.05; **</w:t>
      </w:r>
      <w:r>
        <w:rPr>
          <w:color w:val="000000"/>
          <w:sz w:val="20"/>
          <w:szCs w:val="20"/>
          <w:lang w:eastAsia="en-GB"/>
        </w:rPr>
        <w:t>:</w:t>
      </w:r>
      <w:r w:rsidRPr="00D62579">
        <w:rPr>
          <w:color w:val="000000"/>
          <w:sz w:val="20"/>
          <w:szCs w:val="20"/>
          <w:lang w:eastAsia="en-GB"/>
        </w:rPr>
        <w:t xml:space="preserve"> p&lt; 0.01; ***</w:t>
      </w:r>
      <w:r>
        <w:rPr>
          <w:color w:val="000000"/>
          <w:sz w:val="20"/>
          <w:szCs w:val="20"/>
          <w:lang w:eastAsia="en-GB"/>
        </w:rPr>
        <w:t>:</w:t>
      </w:r>
      <w:r w:rsidRPr="00D62579">
        <w:rPr>
          <w:color w:val="000000"/>
          <w:sz w:val="20"/>
          <w:szCs w:val="20"/>
          <w:lang w:eastAsia="en-GB"/>
        </w:rPr>
        <w:t xml:space="preserve"> p &lt; 0.001 </w:t>
      </w:r>
    </w:p>
    <w:p w:rsidR="007B5E02" w:rsidRPr="00410EE7" w:rsidRDefault="007B5E02" w:rsidP="007B5E02">
      <w:pPr>
        <w:spacing w:line="240" w:lineRule="auto"/>
        <w:jc w:val="left"/>
        <w:rPr>
          <w:noProof/>
          <w:lang w:eastAsia="en-GB"/>
        </w:rPr>
      </w:pPr>
    </w:p>
    <w:p w:rsidR="00563FA1" w:rsidRPr="00410EE7" w:rsidRDefault="00563FA1" w:rsidP="007B5E02">
      <w:pPr>
        <w:spacing w:line="240" w:lineRule="auto"/>
        <w:jc w:val="left"/>
        <w:rPr>
          <w:noProof/>
          <w:lang w:eastAsia="en-GB"/>
        </w:rPr>
      </w:pPr>
    </w:p>
    <w:p w:rsidR="00CB417B" w:rsidRDefault="00CB417B">
      <w:pPr>
        <w:spacing w:line="240" w:lineRule="auto"/>
        <w:jc w:val="left"/>
        <w:rPr>
          <w:b/>
          <w:noProof/>
          <w:lang w:eastAsia="en-GB"/>
        </w:rPr>
      </w:pPr>
      <w:r>
        <w:rPr>
          <w:b/>
          <w:noProof/>
          <w:lang w:eastAsia="en-GB"/>
        </w:rPr>
        <w:br w:type="page"/>
      </w:r>
    </w:p>
    <w:p w:rsidR="000177AF" w:rsidRDefault="000177AF" w:rsidP="000177AF">
      <w:pPr>
        <w:spacing w:line="240" w:lineRule="auto"/>
        <w:rPr>
          <w:b/>
          <w:noProof/>
          <w:lang w:eastAsia="en-GB"/>
        </w:rPr>
      </w:pPr>
    </w:p>
    <w:p w:rsidR="000177AF" w:rsidRDefault="000177AF" w:rsidP="000177AF">
      <w:pPr>
        <w:spacing w:line="240" w:lineRule="auto"/>
        <w:rPr>
          <w:b/>
          <w:noProof/>
          <w:sz w:val="20"/>
          <w:szCs w:val="20"/>
          <w:lang w:eastAsia="en-GB"/>
        </w:rPr>
      </w:pPr>
      <w:r>
        <w:rPr>
          <w:b/>
          <w:noProof/>
          <w:lang w:eastAsia="en-GB"/>
        </w:rPr>
        <w:t>Table 4</w:t>
      </w:r>
      <w:r w:rsidRPr="00410EE7">
        <w:rPr>
          <w:b/>
          <w:noProof/>
          <w:lang w:eastAsia="en-GB"/>
        </w:rPr>
        <w:t xml:space="preserve">.  </w:t>
      </w:r>
      <w:r w:rsidR="003A7C62">
        <w:rPr>
          <w:b/>
          <w:noProof/>
          <w:lang w:eastAsia="en-GB"/>
        </w:rPr>
        <w:t xml:space="preserve">Allowing for heterogenous </w:t>
      </w:r>
      <w:r w:rsidR="0009629B">
        <w:rPr>
          <w:b/>
          <w:noProof/>
          <w:lang w:eastAsia="en-GB"/>
        </w:rPr>
        <w:t xml:space="preserve">trends by mean C&amp;B uptake (2005-9).  </w:t>
      </w:r>
    </w:p>
    <w:tbl>
      <w:tblPr>
        <w:tblStyle w:val="TableSimple1"/>
        <w:tblW w:w="8708" w:type="dxa"/>
        <w:tblLook w:val="04A0" w:firstRow="1" w:lastRow="0" w:firstColumn="1" w:lastColumn="0" w:noHBand="0" w:noVBand="1"/>
      </w:tblPr>
      <w:tblGrid>
        <w:gridCol w:w="1367"/>
        <w:gridCol w:w="1709"/>
        <w:gridCol w:w="1408"/>
        <w:gridCol w:w="1408"/>
        <w:gridCol w:w="1408"/>
        <w:gridCol w:w="1408"/>
      </w:tblGrid>
      <w:tr w:rsidR="000177AF" w:rsidRPr="00BA08B7" w:rsidTr="00AB3BE5">
        <w:trPr>
          <w:cnfStyle w:val="100000000000" w:firstRow="1" w:lastRow="0" w:firstColumn="0" w:lastColumn="0" w:oddVBand="0" w:evenVBand="0" w:oddHBand="0" w:evenHBand="0" w:firstRowFirstColumn="0" w:firstRowLastColumn="0" w:lastRowFirstColumn="0" w:lastRowLastColumn="0"/>
          <w:trHeight w:val="300"/>
        </w:trPr>
        <w:tc>
          <w:tcPr>
            <w:tcW w:w="1367" w:type="dxa"/>
            <w:noWrap/>
            <w:hideMark/>
          </w:tcPr>
          <w:p w:rsidR="000177AF" w:rsidRPr="00BA08B7" w:rsidRDefault="000177AF" w:rsidP="00AB3BE5">
            <w:pPr>
              <w:spacing w:line="240" w:lineRule="auto"/>
              <w:jc w:val="left"/>
              <w:rPr>
                <w:color w:val="000000"/>
                <w:sz w:val="22"/>
                <w:szCs w:val="22"/>
                <w:lang w:eastAsia="en-GB"/>
              </w:rPr>
            </w:pPr>
            <w:r w:rsidRPr="00BA08B7">
              <w:rPr>
                <w:color w:val="000000"/>
                <w:sz w:val="22"/>
                <w:szCs w:val="22"/>
                <w:lang w:eastAsia="en-GB"/>
              </w:rPr>
              <w:t> </w:t>
            </w:r>
          </w:p>
        </w:tc>
        <w:tc>
          <w:tcPr>
            <w:tcW w:w="1709" w:type="dxa"/>
            <w:noWrap/>
            <w:hideMark/>
          </w:tcPr>
          <w:p w:rsidR="000177AF" w:rsidRPr="00BA08B7" w:rsidRDefault="000177AF" w:rsidP="00AB3BE5">
            <w:pPr>
              <w:spacing w:line="240" w:lineRule="auto"/>
              <w:jc w:val="left"/>
              <w:rPr>
                <w:color w:val="000000"/>
                <w:sz w:val="22"/>
                <w:szCs w:val="22"/>
                <w:lang w:eastAsia="en-GB"/>
              </w:rPr>
            </w:pPr>
            <w:r w:rsidRPr="00BA08B7">
              <w:rPr>
                <w:color w:val="000000"/>
                <w:sz w:val="22"/>
                <w:szCs w:val="22"/>
                <w:lang w:eastAsia="en-GB"/>
              </w:rPr>
              <w:t> </w:t>
            </w:r>
          </w:p>
        </w:tc>
        <w:tc>
          <w:tcPr>
            <w:tcW w:w="1408" w:type="dxa"/>
            <w:noWrap/>
            <w:hideMark/>
          </w:tcPr>
          <w:p w:rsidR="000177AF" w:rsidRPr="00410EE7" w:rsidRDefault="000177AF" w:rsidP="00AB3BE5">
            <w:pPr>
              <w:spacing w:line="240" w:lineRule="auto"/>
              <w:jc w:val="center"/>
              <w:rPr>
                <w:b/>
                <w:bCs/>
                <w:color w:val="000000"/>
                <w:sz w:val="20"/>
                <w:szCs w:val="20"/>
                <w:lang w:val="en-US"/>
              </w:rPr>
            </w:pPr>
            <w:r w:rsidRPr="00410EE7">
              <w:rPr>
                <w:b/>
                <w:bCs/>
                <w:color w:val="000000"/>
                <w:sz w:val="20"/>
                <w:szCs w:val="20"/>
                <w:lang w:val="en-US"/>
              </w:rPr>
              <w:t>Non-attendance</w:t>
            </w:r>
          </w:p>
        </w:tc>
        <w:tc>
          <w:tcPr>
            <w:tcW w:w="1408" w:type="dxa"/>
          </w:tcPr>
          <w:p w:rsidR="000177AF" w:rsidRPr="00410EE7" w:rsidRDefault="000177AF" w:rsidP="00AB3BE5">
            <w:pPr>
              <w:spacing w:line="240" w:lineRule="auto"/>
              <w:jc w:val="center"/>
              <w:rPr>
                <w:b/>
                <w:bCs/>
                <w:color w:val="000000"/>
                <w:sz w:val="20"/>
                <w:szCs w:val="20"/>
                <w:lang w:val="en-US"/>
              </w:rPr>
            </w:pPr>
            <w:r w:rsidRPr="00410EE7">
              <w:rPr>
                <w:b/>
                <w:bCs/>
                <w:color w:val="000000"/>
                <w:sz w:val="20"/>
                <w:szCs w:val="20"/>
                <w:lang w:val="en-US"/>
              </w:rPr>
              <w:t>GP referrals</w:t>
            </w:r>
          </w:p>
        </w:tc>
        <w:tc>
          <w:tcPr>
            <w:tcW w:w="1408" w:type="dxa"/>
            <w:noWrap/>
            <w:hideMark/>
          </w:tcPr>
          <w:p w:rsidR="000177AF" w:rsidRPr="00410EE7" w:rsidRDefault="000177AF" w:rsidP="00AB3BE5">
            <w:pPr>
              <w:spacing w:line="240" w:lineRule="auto"/>
              <w:jc w:val="center"/>
              <w:rPr>
                <w:b/>
                <w:bCs/>
                <w:color w:val="000000"/>
                <w:sz w:val="20"/>
                <w:szCs w:val="20"/>
                <w:lang w:val="en-US"/>
              </w:rPr>
            </w:pPr>
            <w:r w:rsidRPr="00410EE7">
              <w:rPr>
                <w:b/>
                <w:bCs/>
                <w:color w:val="000000"/>
                <w:sz w:val="20"/>
                <w:szCs w:val="20"/>
                <w:lang w:val="en-US"/>
              </w:rPr>
              <w:t>Patient cancellation</w:t>
            </w:r>
          </w:p>
        </w:tc>
        <w:tc>
          <w:tcPr>
            <w:tcW w:w="1408" w:type="dxa"/>
            <w:noWrap/>
            <w:hideMark/>
          </w:tcPr>
          <w:p w:rsidR="000177AF" w:rsidRPr="00410EE7" w:rsidRDefault="000177AF" w:rsidP="00AB3BE5">
            <w:pPr>
              <w:spacing w:line="240" w:lineRule="auto"/>
              <w:jc w:val="center"/>
              <w:rPr>
                <w:b/>
                <w:bCs/>
                <w:color w:val="000000"/>
                <w:sz w:val="20"/>
                <w:szCs w:val="20"/>
                <w:lang w:val="en-US"/>
              </w:rPr>
            </w:pPr>
            <w:r w:rsidRPr="00410EE7">
              <w:rPr>
                <w:b/>
                <w:bCs/>
                <w:color w:val="000000"/>
                <w:sz w:val="20"/>
                <w:szCs w:val="20"/>
                <w:lang w:val="en-US"/>
              </w:rPr>
              <w:t>Hospital cancellations</w:t>
            </w:r>
          </w:p>
        </w:tc>
      </w:tr>
      <w:tr w:rsidR="000177AF" w:rsidRPr="00BA08B7" w:rsidTr="00AB3BE5">
        <w:trPr>
          <w:trHeight w:val="300"/>
        </w:trPr>
        <w:tc>
          <w:tcPr>
            <w:tcW w:w="1367" w:type="dxa"/>
            <w:noWrap/>
            <w:hideMark/>
          </w:tcPr>
          <w:p w:rsidR="000177AF" w:rsidRPr="00BA08B7" w:rsidRDefault="000177AF" w:rsidP="00AB3BE5">
            <w:pPr>
              <w:spacing w:line="240" w:lineRule="auto"/>
              <w:jc w:val="left"/>
              <w:rPr>
                <w:color w:val="000000"/>
                <w:sz w:val="22"/>
                <w:szCs w:val="22"/>
                <w:lang w:eastAsia="en-GB"/>
              </w:rPr>
            </w:pPr>
            <w:r w:rsidRPr="00410EE7">
              <w:rPr>
                <w:b/>
                <w:color w:val="000000"/>
                <w:sz w:val="20"/>
                <w:szCs w:val="20"/>
                <w:lang w:eastAsia="en-GB"/>
              </w:rPr>
              <w:t>C&amp;B rate</w:t>
            </w:r>
          </w:p>
        </w:tc>
        <w:tc>
          <w:tcPr>
            <w:tcW w:w="1709" w:type="dxa"/>
            <w:noWrap/>
            <w:hideMark/>
          </w:tcPr>
          <w:p w:rsidR="000177AF" w:rsidRPr="00BA08B7" w:rsidRDefault="000177AF" w:rsidP="00AB3BE5">
            <w:pPr>
              <w:spacing w:line="240" w:lineRule="auto"/>
              <w:jc w:val="left"/>
              <w:rPr>
                <w:color w:val="000000"/>
                <w:sz w:val="22"/>
                <w:szCs w:val="22"/>
                <w:lang w:eastAsia="en-GB"/>
              </w:rPr>
            </w:pP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-0.001646</w:t>
            </w:r>
          </w:p>
        </w:tc>
        <w:tc>
          <w:tcPr>
            <w:tcW w:w="1408" w:type="dxa"/>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-0.000967</w:t>
            </w: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-0.000207</w:t>
            </w: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0.007864</w:t>
            </w:r>
          </w:p>
        </w:tc>
      </w:tr>
      <w:tr w:rsidR="000177AF" w:rsidRPr="00BA08B7" w:rsidTr="00AB3BE5">
        <w:trPr>
          <w:trHeight w:val="300"/>
        </w:trPr>
        <w:tc>
          <w:tcPr>
            <w:tcW w:w="1367" w:type="dxa"/>
            <w:noWrap/>
            <w:hideMark/>
          </w:tcPr>
          <w:p w:rsidR="000177AF" w:rsidRPr="00BA08B7" w:rsidRDefault="000177AF" w:rsidP="00AB3BE5">
            <w:pPr>
              <w:spacing w:line="240" w:lineRule="auto"/>
              <w:jc w:val="left"/>
              <w:rPr>
                <w:color w:val="000000"/>
                <w:sz w:val="22"/>
                <w:szCs w:val="22"/>
                <w:lang w:eastAsia="en-GB"/>
              </w:rPr>
            </w:pPr>
            <w:r w:rsidRPr="00BA08B7">
              <w:rPr>
                <w:color w:val="000000"/>
                <w:sz w:val="22"/>
                <w:szCs w:val="22"/>
                <w:lang w:eastAsia="en-GB"/>
              </w:rPr>
              <w:t> </w:t>
            </w:r>
          </w:p>
        </w:tc>
        <w:tc>
          <w:tcPr>
            <w:tcW w:w="1709" w:type="dxa"/>
            <w:noWrap/>
            <w:hideMark/>
          </w:tcPr>
          <w:p w:rsidR="000177AF" w:rsidRPr="00BA08B7" w:rsidRDefault="000177AF" w:rsidP="00AB3BE5">
            <w:pPr>
              <w:spacing w:line="240" w:lineRule="auto"/>
              <w:jc w:val="left"/>
              <w:rPr>
                <w:color w:val="000000"/>
                <w:sz w:val="22"/>
                <w:szCs w:val="22"/>
                <w:lang w:eastAsia="en-GB"/>
              </w:rPr>
            </w:pP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[0.000159]**</w:t>
            </w:r>
            <w:r w:rsidR="00184631" w:rsidRPr="00BA08B7">
              <w:rPr>
                <w:bCs/>
                <w:color w:val="000000"/>
                <w:sz w:val="20"/>
                <w:szCs w:val="20"/>
                <w:lang w:eastAsia="en-GB"/>
              </w:rPr>
              <w:t>*</w:t>
            </w:r>
          </w:p>
        </w:tc>
        <w:tc>
          <w:tcPr>
            <w:tcW w:w="1408" w:type="dxa"/>
          </w:tcPr>
          <w:p w:rsidR="000177AF" w:rsidRPr="00BA08B7" w:rsidRDefault="000177AF" w:rsidP="00613EF6">
            <w:pPr>
              <w:spacing w:line="240" w:lineRule="auto"/>
              <w:jc w:val="center"/>
              <w:rPr>
                <w:bCs/>
                <w:color w:val="000000"/>
                <w:sz w:val="20"/>
                <w:szCs w:val="20"/>
                <w:lang w:eastAsia="en-GB"/>
              </w:rPr>
            </w:pPr>
            <w:r w:rsidRPr="00BA08B7">
              <w:rPr>
                <w:bCs/>
                <w:color w:val="000000"/>
                <w:sz w:val="20"/>
                <w:szCs w:val="20"/>
                <w:lang w:eastAsia="en-GB"/>
              </w:rPr>
              <w:t>[0.000082]</w:t>
            </w:r>
            <w:r w:rsidR="00184631" w:rsidRPr="00BA08B7">
              <w:rPr>
                <w:bCs/>
                <w:color w:val="000000"/>
                <w:sz w:val="20"/>
                <w:szCs w:val="20"/>
                <w:lang w:eastAsia="en-GB"/>
              </w:rPr>
              <w:t>***</w:t>
            </w: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[0.000394]</w:t>
            </w:r>
          </w:p>
        </w:tc>
        <w:tc>
          <w:tcPr>
            <w:tcW w:w="1408" w:type="dxa"/>
            <w:noWrap/>
            <w:hideMark/>
          </w:tcPr>
          <w:p w:rsidR="000177AF" w:rsidRPr="00BA08B7" w:rsidRDefault="000177AF" w:rsidP="00613EF6">
            <w:pPr>
              <w:spacing w:line="240" w:lineRule="auto"/>
              <w:jc w:val="center"/>
              <w:rPr>
                <w:bCs/>
                <w:color w:val="000000"/>
                <w:sz w:val="20"/>
                <w:szCs w:val="20"/>
                <w:lang w:eastAsia="en-GB"/>
              </w:rPr>
            </w:pPr>
            <w:r w:rsidRPr="00BA08B7">
              <w:rPr>
                <w:bCs/>
                <w:color w:val="000000"/>
                <w:sz w:val="20"/>
                <w:szCs w:val="20"/>
                <w:lang w:eastAsia="en-GB"/>
              </w:rPr>
              <w:t>[0.000536]</w:t>
            </w:r>
            <w:r w:rsidR="00184631" w:rsidRPr="00BA08B7">
              <w:rPr>
                <w:bCs/>
                <w:color w:val="000000"/>
                <w:sz w:val="20"/>
                <w:szCs w:val="20"/>
                <w:lang w:eastAsia="en-GB"/>
              </w:rPr>
              <w:t>***</w:t>
            </w:r>
          </w:p>
        </w:tc>
      </w:tr>
      <w:tr w:rsidR="000177AF" w:rsidRPr="00BA08B7" w:rsidTr="00AB3BE5">
        <w:trPr>
          <w:trHeight w:val="300"/>
        </w:trPr>
        <w:tc>
          <w:tcPr>
            <w:tcW w:w="3076" w:type="dxa"/>
            <w:gridSpan w:val="2"/>
            <w:noWrap/>
            <w:hideMark/>
          </w:tcPr>
          <w:p w:rsidR="000177AF" w:rsidRPr="00BA08B7" w:rsidRDefault="0009629B" w:rsidP="0009629B">
            <w:pPr>
              <w:spacing w:line="240" w:lineRule="auto"/>
              <w:jc w:val="left"/>
              <w:rPr>
                <w:bCs/>
                <w:color w:val="000000"/>
                <w:sz w:val="22"/>
                <w:szCs w:val="22"/>
                <w:lang w:eastAsia="en-GB"/>
              </w:rPr>
            </w:pPr>
            <w:r>
              <w:rPr>
                <w:bCs/>
                <w:color w:val="000000"/>
                <w:sz w:val="22"/>
                <w:szCs w:val="22"/>
                <w:lang w:eastAsia="en-GB"/>
              </w:rPr>
              <w:t xml:space="preserve">C&amp;B </w:t>
            </w:r>
            <w:r w:rsidR="000177AF" w:rsidRPr="00BA08B7">
              <w:rPr>
                <w:bCs/>
                <w:color w:val="000000"/>
                <w:sz w:val="22"/>
                <w:szCs w:val="22"/>
                <w:lang w:eastAsia="en-GB"/>
              </w:rPr>
              <w:t>rate</w:t>
            </w:r>
            <w:r>
              <w:rPr>
                <w:bCs/>
                <w:color w:val="000000"/>
                <w:sz w:val="22"/>
                <w:szCs w:val="22"/>
                <w:lang w:eastAsia="en-GB"/>
              </w:rPr>
              <w:t xml:space="preserve"> </w:t>
            </w:r>
            <w:r w:rsidR="000177AF" w:rsidRPr="00BA08B7">
              <w:rPr>
                <w:bCs/>
                <w:color w:val="000000"/>
                <w:sz w:val="22"/>
                <w:szCs w:val="22"/>
                <w:lang w:eastAsia="en-GB"/>
              </w:rPr>
              <w:t>m</w:t>
            </w:r>
            <w:r>
              <w:rPr>
                <w:bCs/>
                <w:color w:val="000000"/>
                <w:sz w:val="22"/>
                <w:szCs w:val="22"/>
                <w:lang w:eastAsia="en-GB"/>
              </w:rPr>
              <w:t xml:space="preserve">ean_2005-9 </w:t>
            </w:r>
            <w:r w:rsidRPr="00BA08B7">
              <w:rPr>
                <w:bCs/>
                <w:color w:val="000000"/>
                <w:sz w:val="22"/>
                <w:szCs w:val="22"/>
                <w:lang w:eastAsia="en-GB"/>
              </w:rPr>
              <w:t>2005</w:t>
            </w: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0.029094</w:t>
            </w: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0.010422</w:t>
            </w:r>
          </w:p>
        </w:tc>
        <w:tc>
          <w:tcPr>
            <w:tcW w:w="1408" w:type="dxa"/>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-0.010257</w:t>
            </w: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-0.039964</w:t>
            </w:r>
          </w:p>
        </w:tc>
      </w:tr>
      <w:tr w:rsidR="000177AF" w:rsidRPr="00BA08B7" w:rsidTr="00AB3BE5">
        <w:trPr>
          <w:trHeight w:val="300"/>
        </w:trPr>
        <w:tc>
          <w:tcPr>
            <w:tcW w:w="1367" w:type="dxa"/>
            <w:noWrap/>
            <w:hideMark/>
          </w:tcPr>
          <w:p w:rsidR="000177AF" w:rsidRPr="00BA08B7" w:rsidRDefault="000177AF" w:rsidP="00AB3BE5">
            <w:pPr>
              <w:spacing w:line="240" w:lineRule="auto"/>
              <w:jc w:val="left"/>
              <w:rPr>
                <w:bCs/>
                <w:color w:val="000000"/>
                <w:sz w:val="22"/>
                <w:szCs w:val="22"/>
                <w:lang w:eastAsia="en-GB"/>
              </w:rPr>
            </w:pPr>
            <w:r w:rsidRPr="00BA08B7">
              <w:rPr>
                <w:bCs/>
                <w:color w:val="000000"/>
                <w:sz w:val="22"/>
                <w:szCs w:val="22"/>
                <w:lang w:eastAsia="en-GB"/>
              </w:rPr>
              <w:t> </w:t>
            </w:r>
          </w:p>
        </w:tc>
        <w:tc>
          <w:tcPr>
            <w:tcW w:w="1709" w:type="dxa"/>
            <w:noWrap/>
            <w:hideMark/>
          </w:tcPr>
          <w:p w:rsidR="000177AF" w:rsidRPr="00BA08B7" w:rsidRDefault="000177AF" w:rsidP="00AB3BE5">
            <w:pPr>
              <w:spacing w:line="240" w:lineRule="auto"/>
              <w:jc w:val="left"/>
              <w:rPr>
                <w:color w:val="000000"/>
                <w:sz w:val="22"/>
                <w:szCs w:val="22"/>
                <w:lang w:eastAsia="en-GB"/>
              </w:rPr>
            </w:pPr>
          </w:p>
        </w:tc>
        <w:tc>
          <w:tcPr>
            <w:tcW w:w="1408" w:type="dxa"/>
            <w:noWrap/>
            <w:hideMark/>
          </w:tcPr>
          <w:p w:rsidR="000177AF" w:rsidRPr="00BA08B7" w:rsidRDefault="00184631" w:rsidP="00613EF6">
            <w:pPr>
              <w:spacing w:line="240" w:lineRule="auto"/>
              <w:jc w:val="center"/>
              <w:rPr>
                <w:bCs/>
                <w:color w:val="000000"/>
                <w:sz w:val="20"/>
                <w:szCs w:val="20"/>
                <w:lang w:eastAsia="en-GB"/>
              </w:rPr>
            </w:pPr>
            <w:r>
              <w:rPr>
                <w:bCs/>
                <w:color w:val="000000"/>
                <w:sz w:val="20"/>
                <w:szCs w:val="20"/>
                <w:lang w:eastAsia="en-GB"/>
              </w:rPr>
              <w:t>[0.003519]</w:t>
            </w:r>
            <w:r w:rsidRPr="00BA08B7">
              <w:rPr>
                <w:bCs/>
                <w:color w:val="000000"/>
                <w:sz w:val="20"/>
                <w:szCs w:val="20"/>
                <w:lang w:eastAsia="en-GB"/>
              </w:rPr>
              <w:t>***</w:t>
            </w:r>
          </w:p>
        </w:tc>
        <w:tc>
          <w:tcPr>
            <w:tcW w:w="1408" w:type="dxa"/>
          </w:tcPr>
          <w:p w:rsidR="000177AF" w:rsidRPr="00BA08B7" w:rsidRDefault="00184631" w:rsidP="00613EF6">
            <w:pPr>
              <w:spacing w:line="240" w:lineRule="auto"/>
              <w:jc w:val="center"/>
              <w:rPr>
                <w:bCs/>
                <w:color w:val="000000"/>
                <w:sz w:val="20"/>
                <w:szCs w:val="20"/>
                <w:lang w:eastAsia="en-GB"/>
              </w:rPr>
            </w:pPr>
            <w:r>
              <w:rPr>
                <w:bCs/>
                <w:color w:val="000000"/>
                <w:sz w:val="20"/>
                <w:szCs w:val="20"/>
                <w:lang w:eastAsia="en-GB"/>
              </w:rPr>
              <w:t>[0.001969]</w:t>
            </w:r>
            <w:r w:rsidRPr="00BA08B7">
              <w:rPr>
                <w:bCs/>
                <w:color w:val="000000"/>
                <w:sz w:val="20"/>
                <w:szCs w:val="20"/>
                <w:lang w:eastAsia="en-GB"/>
              </w:rPr>
              <w:t>***</w:t>
            </w: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[0.006637]</w:t>
            </w:r>
          </w:p>
        </w:tc>
        <w:tc>
          <w:tcPr>
            <w:tcW w:w="1408" w:type="dxa"/>
            <w:noWrap/>
            <w:hideMark/>
          </w:tcPr>
          <w:p w:rsidR="000177AF" w:rsidRPr="00BA08B7" w:rsidRDefault="00184631" w:rsidP="00613EF6">
            <w:pPr>
              <w:spacing w:line="240" w:lineRule="auto"/>
              <w:jc w:val="center"/>
              <w:rPr>
                <w:bCs/>
                <w:color w:val="000000"/>
                <w:sz w:val="20"/>
                <w:szCs w:val="20"/>
                <w:lang w:eastAsia="en-GB"/>
              </w:rPr>
            </w:pPr>
            <w:r>
              <w:rPr>
                <w:bCs/>
                <w:color w:val="000000"/>
                <w:sz w:val="20"/>
                <w:szCs w:val="20"/>
                <w:lang w:eastAsia="en-GB"/>
              </w:rPr>
              <w:t>[0.009594]</w:t>
            </w:r>
            <w:r w:rsidRPr="00BA08B7">
              <w:rPr>
                <w:bCs/>
                <w:color w:val="000000"/>
                <w:sz w:val="20"/>
                <w:szCs w:val="20"/>
                <w:lang w:eastAsia="en-GB"/>
              </w:rPr>
              <w:t>***</w:t>
            </w:r>
          </w:p>
        </w:tc>
      </w:tr>
      <w:tr w:rsidR="000177AF" w:rsidRPr="00BA08B7" w:rsidTr="00AB3BE5">
        <w:trPr>
          <w:trHeight w:val="300"/>
        </w:trPr>
        <w:tc>
          <w:tcPr>
            <w:tcW w:w="3076" w:type="dxa"/>
            <w:gridSpan w:val="2"/>
            <w:noWrap/>
            <w:hideMark/>
          </w:tcPr>
          <w:p w:rsidR="000177AF" w:rsidRPr="00BA08B7" w:rsidRDefault="0009629B" w:rsidP="00AB3BE5">
            <w:pPr>
              <w:spacing w:line="240" w:lineRule="auto"/>
              <w:jc w:val="left"/>
              <w:rPr>
                <w:bCs/>
                <w:color w:val="000000"/>
                <w:sz w:val="22"/>
                <w:szCs w:val="22"/>
                <w:lang w:eastAsia="en-GB"/>
              </w:rPr>
            </w:pPr>
            <w:r>
              <w:rPr>
                <w:bCs/>
                <w:color w:val="000000"/>
                <w:sz w:val="22"/>
                <w:szCs w:val="22"/>
                <w:lang w:eastAsia="en-GB"/>
              </w:rPr>
              <w:t xml:space="preserve">C&amp;B </w:t>
            </w:r>
            <w:r w:rsidRPr="00BA08B7">
              <w:rPr>
                <w:bCs/>
                <w:color w:val="000000"/>
                <w:sz w:val="22"/>
                <w:szCs w:val="22"/>
                <w:lang w:eastAsia="en-GB"/>
              </w:rPr>
              <w:t>rate</w:t>
            </w:r>
            <w:r>
              <w:rPr>
                <w:bCs/>
                <w:color w:val="000000"/>
                <w:sz w:val="22"/>
                <w:szCs w:val="22"/>
                <w:lang w:eastAsia="en-GB"/>
              </w:rPr>
              <w:t xml:space="preserve"> </w:t>
            </w:r>
            <w:r w:rsidRPr="00BA08B7">
              <w:rPr>
                <w:bCs/>
                <w:color w:val="000000"/>
                <w:sz w:val="22"/>
                <w:szCs w:val="22"/>
                <w:lang w:eastAsia="en-GB"/>
              </w:rPr>
              <w:t>m</w:t>
            </w:r>
            <w:r>
              <w:rPr>
                <w:bCs/>
                <w:color w:val="000000"/>
                <w:sz w:val="22"/>
                <w:szCs w:val="22"/>
                <w:lang w:eastAsia="en-GB"/>
              </w:rPr>
              <w:t xml:space="preserve">ean_2005-9 </w:t>
            </w:r>
            <w:r w:rsidRPr="00BA08B7">
              <w:rPr>
                <w:bCs/>
                <w:color w:val="000000"/>
                <w:sz w:val="22"/>
                <w:szCs w:val="22"/>
                <w:lang w:eastAsia="en-GB"/>
              </w:rPr>
              <w:t>200</w:t>
            </w:r>
            <w:r>
              <w:rPr>
                <w:bCs/>
                <w:color w:val="000000"/>
                <w:sz w:val="22"/>
                <w:szCs w:val="22"/>
                <w:lang w:eastAsia="en-GB"/>
              </w:rPr>
              <w:t>6</w:t>
            </w: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0.029063</w:t>
            </w: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-0.017791</w:t>
            </w:r>
          </w:p>
        </w:tc>
        <w:tc>
          <w:tcPr>
            <w:tcW w:w="1408" w:type="dxa"/>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-0.004225</w:t>
            </w: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-0.019919</w:t>
            </w:r>
          </w:p>
        </w:tc>
      </w:tr>
      <w:tr w:rsidR="000177AF" w:rsidRPr="00BA08B7" w:rsidTr="00AB3BE5">
        <w:trPr>
          <w:trHeight w:val="300"/>
        </w:trPr>
        <w:tc>
          <w:tcPr>
            <w:tcW w:w="1367" w:type="dxa"/>
            <w:noWrap/>
            <w:hideMark/>
          </w:tcPr>
          <w:p w:rsidR="000177AF" w:rsidRPr="00BA08B7" w:rsidRDefault="000177AF" w:rsidP="00AB3BE5">
            <w:pPr>
              <w:spacing w:line="240" w:lineRule="auto"/>
              <w:jc w:val="left"/>
              <w:rPr>
                <w:bCs/>
                <w:color w:val="000000"/>
                <w:sz w:val="22"/>
                <w:szCs w:val="22"/>
                <w:lang w:eastAsia="en-GB"/>
              </w:rPr>
            </w:pPr>
            <w:r w:rsidRPr="00BA08B7">
              <w:rPr>
                <w:bCs/>
                <w:color w:val="000000"/>
                <w:sz w:val="22"/>
                <w:szCs w:val="22"/>
                <w:lang w:eastAsia="en-GB"/>
              </w:rPr>
              <w:t> </w:t>
            </w:r>
          </w:p>
        </w:tc>
        <w:tc>
          <w:tcPr>
            <w:tcW w:w="1709" w:type="dxa"/>
            <w:noWrap/>
            <w:hideMark/>
          </w:tcPr>
          <w:p w:rsidR="000177AF" w:rsidRPr="00BA08B7" w:rsidRDefault="000177AF" w:rsidP="00AB3BE5">
            <w:pPr>
              <w:spacing w:line="240" w:lineRule="auto"/>
              <w:jc w:val="left"/>
              <w:rPr>
                <w:color w:val="000000"/>
                <w:sz w:val="22"/>
                <w:szCs w:val="22"/>
                <w:lang w:eastAsia="en-GB"/>
              </w:rPr>
            </w:pPr>
          </w:p>
        </w:tc>
        <w:tc>
          <w:tcPr>
            <w:tcW w:w="1408" w:type="dxa"/>
            <w:noWrap/>
            <w:hideMark/>
          </w:tcPr>
          <w:p w:rsidR="000177AF" w:rsidRPr="00BA08B7" w:rsidRDefault="000177AF" w:rsidP="00613EF6">
            <w:pPr>
              <w:spacing w:line="240" w:lineRule="auto"/>
              <w:jc w:val="center"/>
              <w:rPr>
                <w:bCs/>
                <w:color w:val="000000"/>
                <w:sz w:val="20"/>
                <w:szCs w:val="20"/>
                <w:lang w:eastAsia="en-GB"/>
              </w:rPr>
            </w:pPr>
            <w:r w:rsidRPr="00BA08B7">
              <w:rPr>
                <w:bCs/>
                <w:color w:val="000000"/>
                <w:sz w:val="20"/>
                <w:szCs w:val="20"/>
                <w:lang w:eastAsia="en-GB"/>
              </w:rPr>
              <w:t>[0.004603]</w:t>
            </w:r>
            <w:r w:rsidR="00184631" w:rsidRPr="00BA08B7">
              <w:rPr>
                <w:bCs/>
                <w:color w:val="000000"/>
                <w:sz w:val="20"/>
                <w:szCs w:val="20"/>
                <w:lang w:eastAsia="en-GB"/>
              </w:rPr>
              <w:t>***</w:t>
            </w:r>
          </w:p>
        </w:tc>
        <w:tc>
          <w:tcPr>
            <w:tcW w:w="1408" w:type="dxa"/>
          </w:tcPr>
          <w:p w:rsidR="000177AF" w:rsidRPr="00BA08B7" w:rsidRDefault="000177AF" w:rsidP="00613EF6">
            <w:pPr>
              <w:spacing w:line="240" w:lineRule="auto"/>
              <w:jc w:val="center"/>
              <w:rPr>
                <w:bCs/>
                <w:color w:val="000000"/>
                <w:sz w:val="20"/>
                <w:szCs w:val="20"/>
                <w:lang w:eastAsia="en-GB"/>
              </w:rPr>
            </w:pPr>
            <w:r w:rsidRPr="00BA08B7">
              <w:rPr>
                <w:bCs/>
                <w:color w:val="000000"/>
                <w:sz w:val="20"/>
                <w:szCs w:val="20"/>
                <w:lang w:eastAsia="en-GB"/>
              </w:rPr>
              <w:t>[0.002786]</w:t>
            </w:r>
            <w:r w:rsidR="00613EF6" w:rsidRPr="00BA08B7">
              <w:rPr>
                <w:bCs/>
                <w:color w:val="000000"/>
                <w:sz w:val="20"/>
                <w:szCs w:val="20"/>
                <w:lang w:eastAsia="en-GB"/>
              </w:rPr>
              <w:t>***</w:t>
            </w: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[0.010879]</w:t>
            </w: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[0.016362]</w:t>
            </w:r>
          </w:p>
        </w:tc>
      </w:tr>
      <w:tr w:rsidR="000177AF" w:rsidRPr="00BA08B7" w:rsidTr="00AB3BE5">
        <w:trPr>
          <w:trHeight w:val="300"/>
        </w:trPr>
        <w:tc>
          <w:tcPr>
            <w:tcW w:w="3076" w:type="dxa"/>
            <w:gridSpan w:val="2"/>
            <w:noWrap/>
            <w:hideMark/>
          </w:tcPr>
          <w:p w:rsidR="000177AF" w:rsidRPr="00BA08B7" w:rsidRDefault="0009629B" w:rsidP="00AB3BE5">
            <w:pPr>
              <w:spacing w:line="240" w:lineRule="auto"/>
              <w:jc w:val="left"/>
              <w:rPr>
                <w:bCs/>
                <w:color w:val="000000"/>
                <w:sz w:val="22"/>
                <w:szCs w:val="22"/>
                <w:lang w:eastAsia="en-GB"/>
              </w:rPr>
            </w:pPr>
            <w:r>
              <w:rPr>
                <w:bCs/>
                <w:color w:val="000000"/>
                <w:sz w:val="22"/>
                <w:szCs w:val="22"/>
                <w:lang w:eastAsia="en-GB"/>
              </w:rPr>
              <w:t xml:space="preserve">C&amp;B </w:t>
            </w:r>
            <w:r w:rsidRPr="00BA08B7">
              <w:rPr>
                <w:bCs/>
                <w:color w:val="000000"/>
                <w:sz w:val="22"/>
                <w:szCs w:val="22"/>
                <w:lang w:eastAsia="en-GB"/>
              </w:rPr>
              <w:t>rate</w:t>
            </w:r>
            <w:r>
              <w:rPr>
                <w:bCs/>
                <w:color w:val="000000"/>
                <w:sz w:val="22"/>
                <w:szCs w:val="22"/>
                <w:lang w:eastAsia="en-GB"/>
              </w:rPr>
              <w:t xml:space="preserve"> </w:t>
            </w:r>
            <w:r w:rsidRPr="00BA08B7">
              <w:rPr>
                <w:bCs/>
                <w:color w:val="000000"/>
                <w:sz w:val="22"/>
                <w:szCs w:val="22"/>
                <w:lang w:eastAsia="en-GB"/>
              </w:rPr>
              <w:t>m</w:t>
            </w:r>
            <w:r>
              <w:rPr>
                <w:bCs/>
                <w:color w:val="000000"/>
                <w:sz w:val="22"/>
                <w:szCs w:val="22"/>
                <w:lang w:eastAsia="en-GB"/>
              </w:rPr>
              <w:t xml:space="preserve">ean_2005-9 </w:t>
            </w:r>
            <w:r w:rsidRPr="00BA08B7">
              <w:rPr>
                <w:bCs/>
                <w:color w:val="000000"/>
                <w:sz w:val="22"/>
                <w:szCs w:val="22"/>
                <w:lang w:eastAsia="en-GB"/>
              </w:rPr>
              <w:t>200</w:t>
            </w:r>
            <w:r>
              <w:rPr>
                <w:bCs/>
                <w:color w:val="000000"/>
                <w:sz w:val="22"/>
                <w:szCs w:val="22"/>
                <w:lang w:eastAsia="en-GB"/>
              </w:rPr>
              <w:t>7</w:t>
            </w: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0.018821</w:t>
            </w: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0.00967</w:t>
            </w:r>
          </w:p>
        </w:tc>
        <w:tc>
          <w:tcPr>
            <w:tcW w:w="1408" w:type="dxa"/>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0.01004</w:t>
            </w: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0.005729</w:t>
            </w:r>
          </w:p>
        </w:tc>
      </w:tr>
      <w:tr w:rsidR="000177AF" w:rsidRPr="00BA08B7" w:rsidTr="00AB3BE5">
        <w:trPr>
          <w:trHeight w:val="300"/>
        </w:trPr>
        <w:tc>
          <w:tcPr>
            <w:tcW w:w="1367" w:type="dxa"/>
            <w:noWrap/>
            <w:hideMark/>
          </w:tcPr>
          <w:p w:rsidR="000177AF" w:rsidRPr="00BA08B7" w:rsidRDefault="000177AF" w:rsidP="00AB3BE5">
            <w:pPr>
              <w:spacing w:line="240" w:lineRule="auto"/>
              <w:jc w:val="left"/>
              <w:rPr>
                <w:bCs/>
                <w:color w:val="000000"/>
                <w:sz w:val="22"/>
                <w:szCs w:val="22"/>
                <w:lang w:eastAsia="en-GB"/>
              </w:rPr>
            </w:pPr>
            <w:r w:rsidRPr="00BA08B7">
              <w:rPr>
                <w:bCs/>
                <w:color w:val="000000"/>
                <w:sz w:val="22"/>
                <w:szCs w:val="22"/>
                <w:lang w:eastAsia="en-GB"/>
              </w:rPr>
              <w:t> </w:t>
            </w:r>
          </w:p>
        </w:tc>
        <w:tc>
          <w:tcPr>
            <w:tcW w:w="1709" w:type="dxa"/>
            <w:noWrap/>
            <w:hideMark/>
          </w:tcPr>
          <w:p w:rsidR="000177AF" w:rsidRPr="00BA08B7" w:rsidRDefault="000177AF" w:rsidP="00AB3BE5">
            <w:pPr>
              <w:spacing w:line="240" w:lineRule="auto"/>
              <w:jc w:val="left"/>
              <w:rPr>
                <w:color w:val="000000"/>
                <w:sz w:val="22"/>
                <w:szCs w:val="22"/>
                <w:lang w:eastAsia="en-GB"/>
              </w:rPr>
            </w:pP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[0.005819]**</w:t>
            </w:r>
          </w:p>
        </w:tc>
        <w:tc>
          <w:tcPr>
            <w:tcW w:w="1408" w:type="dxa"/>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[0.003506]**</w:t>
            </w: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[0.015564]</w:t>
            </w: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[0.020930]</w:t>
            </w:r>
          </w:p>
        </w:tc>
      </w:tr>
      <w:tr w:rsidR="000177AF" w:rsidRPr="00BA08B7" w:rsidTr="00AB3BE5">
        <w:trPr>
          <w:trHeight w:val="300"/>
        </w:trPr>
        <w:tc>
          <w:tcPr>
            <w:tcW w:w="3076" w:type="dxa"/>
            <w:gridSpan w:val="2"/>
            <w:noWrap/>
            <w:hideMark/>
          </w:tcPr>
          <w:p w:rsidR="000177AF" w:rsidRPr="00BA08B7" w:rsidRDefault="0009629B" w:rsidP="00AB3BE5">
            <w:pPr>
              <w:spacing w:line="240" w:lineRule="auto"/>
              <w:jc w:val="left"/>
              <w:rPr>
                <w:bCs/>
                <w:color w:val="000000"/>
                <w:sz w:val="22"/>
                <w:szCs w:val="22"/>
                <w:lang w:eastAsia="en-GB"/>
              </w:rPr>
            </w:pPr>
            <w:r>
              <w:rPr>
                <w:bCs/>
                <w:color w:val="000000"/>
                <w:sz w:val="22"/>
                <w:szCs w:val="22"/>
                <w:lang w:eastAsia="en-GB"/>
              </w:rPr>
              <w:t xml:space="preserve">C&amp;B </w:t>
            </w:r>
            <w:r w:rsidRPr="00BA08B7">
              <w:rPr>
                <w:bCs/>
                <w:color w:val="000000"/>
                <w:sz w:val="22"/>
                <w:szCs w:val="22"/>
                <w:lang w:eastAsia="en-GB"/>
              </w:rPr>
              <w:t>rate</w:t>
            </w:r>
            <w:r>
              <w:rPr>
                <w:bCs/>
                <w:color w:val="000000"/>
                <w:sz w:val="22"/>
                <w:szCs w:val="22"/>
                <w:lang w:eastAsia="en-GB"/>
              </w:rPr>
              <w:t xml:space="preserve"> </w:t>
            </w:r>
            <w:r w:rsidRPr="00BA08B7">
              <w:rPr>
                <w:bCs/>
                <w:color w:val="000000"/>
                <w:sz w:val="22"/>
                <w:szCs w:val="22"/>
                <w:lang w:eastAsia="en-GB"/>
              </w:rPr>
              <w:t>m</w:t>
            </w:r>
            <w:r>
              <w:rPr>
                <w:bCs/>
                <w:color w:val="000000"/>
                <w:sz w:val="22"/>
                <w:szCs w:val="22"/>
                <w:lang w:eastAsia="en-GB"/>
              </w:rPr>
              <w:t xml:space="preserve">ean_2005-9 </w:t>
            </w:r>
            <w:r w:rsidRPr="00BA08B7">
              <w:rPr>
                <w:bCs/>
                <w:color w:val="000000"/>
                <w:sz w:val="22"/>
                <w:szCs w:val="22"/>
                <w:lang w:eastAsia="en-GB"/>
              </w:rPr>
              <w:t>200</w:t>
            </w:r>
            <w:r>
              <w:rPr>
                <w:bCs/>
                <w:color w:val="000000"/>
                <w:sz w:val="22"/>
                <w:szCs w:val="22"/>
                <w:lang w:eastAsia="en-GB"/>
              </w:rPr>
              <w:t>8</w:t>
            </w: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-0.004787</w:t>
            </w: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0.074529</w:t>
            </w:r>
          </w:p>
        </w:tc>
        <w:tc>
          <w:tcPr>
            <w:tcW w:w="1408" w:type="dxa"/>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0.016885</w:t>
            </w: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-0.015891</w:t>
            </w:r>
          </w:p>
        </w:tc>
      </w:tr>
      <w:tr w:rsidR="000177AF" w:rsidRPr="00BA08B7" w:rsidTr="00AB3BE5">
        <w:trPr>
          <w:trHeight w:val="300"/>
        </w:trPr>
        <w:tc>
          <w:tcPr>
            <w:tcW w:w="1367" w:type="dxa"/>
            <w:noWrap/>
            <w:hideMark/>
          </w:tcPr>
          <w:p w:rsidR="000177AF" w:rsidRPr="00BA08B7" w:rsidRDefault="000177AF" w:rsidP="00AB3BE5">
            <w:pPr>
              <w:spacing w:line="240" w:lineRule="auto"/>
              <w:jc w:val="left"/>
              <w:rPr>
                <w:bCs/>
                <w:color w:val="000000"/>
                <w:sz w:val="22"/>
                <w:szCs w:val="22"/>
                <w:lang w:eastAsia="en-GB"/>
              </w:rPr>
            </w:pPr>
            <w:r w:rsidRPr="00BA08B7">
              <w:rPr>
                <w:bCs/>
                <w:color w:val="000000"/>
                <w:sz w:val="22"/>
                <w:szCs w:val="22"/>
                <w:lang w:eastAsia="en-GB"/>
              </w:rPr>
              <w:t> </w:t>
            </w:r>
          </w:p>
        </w:tc>
        <w:tc>
          <w:tcPr>
            <w:tcW w:w="1709" w:type="dxa"/>
            <w:noWrap/>
            <w:hideMark/>
          </w:tcPr>
          <w:p w:rsidR="000177AF" w:rsidRPr="00BA08B7" w:rsidRDefault="000177AF" w:rsidP="00AB3BE5">
            <w:pPr>
              <w:spacing w:line="240" w:lineRule="auto"/>
              <w:jc w:val="left"/>
              <w:rPr>
                <w:color w:val="000000"/>
                <w:sz w:val="22"/>
                <w:szCs w:val="22"/>
                <w:lang w:eastAsia="en-GB"/>
              </w:rPr>
            </w:pP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[0.006266]</w:t>
            </w:r>
          </w:p>
        </w:tc>
        <w:tc>
          <w:tcPr>
            <w:tcW w:w="1408" w:type="dxa"/>
          </w:tcPr>
          <w:p w:rsidR="000177AF" w:rsidRPr="00BA08B7" w:rsidRDefault="00613EF6" w:rsidP="005E41E5">
            <w:pPr>
              <w:spacing w:line="240" w:lineRule="auto"/>
              <w:jc w:val="center"/>
              <w:rPr>
                <w:bCs/>
                <w:color w:val="000000"/>
                <w:sz w:val="20"/>
                <w:szCs w:val="20"/>
                <w:lang w:eastAsia="en-GB"/>
              </w:rPr>
            </w:pPr>
            <w:r>
              <w:rPr>
                <w:bCs/>
                <w:color w:val="000000"/>
                <w:sz w:val="20"/>
                <w:szCs w:val="20"/>
                <w:lang w:eastAsia="en-GB"/>
              </w:rPr>
              <w:t>[0.003500]</w:t>
            </w:r>
            <w:r w:rsidR="000177AF" w:rsidRPr="00BA08B7">
              <w:rPr>
                <w:bCs/>
                <w:color w:val="000000"/>
                <w:sz w:val="20"/>
                <w:szCs w:val="20"/>
                <w:lang w:eastAsia="en-GB"/>
              </w:rPr>
              <w:t>*</w:t>
            </w:r>
          </w:p>
        </w:tc>
        <w:tc>
          <w:tcPr>
            <w:tcW w:w="1408" w:type="dxa"/>
            <w:noWrap/>
            <w:hideMark/>
          </w:tcPr>
          <w:p w:rsidR="000177AF" w:rsidRPr="00BA08B7" w:rsidRDefault="00613EF6" w:rsidP="005E41E5">
            <w:pPr>
              <w:spacing w:line="240" w:lineRule="auto"/>
              <w:jc w:val="center"/>
              <w:rPr>
                <w:bCs/>
                <w:color w:val="000000"/>
                <w:sz w:val="20"/>
                <w:szCs w:val="20"/>
                <w:lang w:eastAsia="en-GB"/>
              </w:rPr>
            </w:pPr>
            <w:r>
              <w:rPr>
                <w:bCs/>
                <w:color w:val="000000"/>
                <w:sz w:val="20"/>
                <w:szCs w:val="20"/>
                <w:lang w:eastAsia="en-GB"/>
              </w:rPr>
              <w:t>[0.017751]</w:t>
            </w: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[0.023139]</w:t>
            </w:r>
          </w:p>
        </w:tc>
      </w:tr>
      <w:tr w:rsidR="000177AF" w:rsidRPr="00BA08B7" w:rsidTr="00AB3BE5">
        <w:trPr>
          <w:trHeight w:val="300"/>
        </w:trPr>
        <w:tc>
          <w:tcPr>
            <w:tcW w:w="3076" w:type="dxa"/>
            <w:gridSpan w:val="2"/>
            <w:noWrap/>
            <w:hideMark/>
          </w:tcPr>
          <w:p w:rsidR="000177AF" w:rsidRPr="00BA08B7" w:rsidRDefault="0009629B" w:rsidP="00AB3BE5">
            <w:pPr>
              <w:spacing w:line="240" w:lineRule="auto"/>
              <w:jc w:val="left"/>
              <w:rPr>
                <w:bCs/>
                <w:color w:val="000000"/>
                <w:sz w:val="22"/>
                <w:szCs w:val="22"/>
                <w:lang w:eastAsia="en-GB"/>
              </w:rPr>
            </w:pPr>
            <w:r>
              <w:rPr>
                <w:bCs/>
                <w:color w:val="000000"/>
                <w:sz w:val="22"/>
                <w:szCs w:val="22"/>
                <w:lang w:eastAsia="en-GB"/>
              </w:rPr>
              <w:t xml:space="preserve">C&amp;B </w:t>
            </w:r>
            <w:r w:rsidRPr="00BA08B7">
              <w:rPr>
                <w:bCs/>
                <w:color w:val="000000"/>
                <w:sz w:val="22"/>
                <w:szCs w:val="22"/>
                <w:lang w:eastAsia="en-GB"/>
              </w:rPr>
              <w:t>rate</w:t>
            </w:r>
            <w:r>
              <w:rPr>
                <w:bCs/>
                <w:color w:val="000000"/>
                <w:sz w:val="22"/>
                <w:szCs w:val="22"/>
                <w:lang w:eastAsia="en-GB"/>
              </w:rPr>
              <w:t xml:space="preserve"> </w:t>
            </w:r>
            <w:r w:rsidRPr="00BA08B7">
              <w:rPr>
                <w:bCs/>
                <w:color w:val="000000"/>
                <w:sz w:val="22"/>
                <w:szCs w:val="22"/>
                <w:lang w:eastAsia="en-GB"/>
              </w:rPr>
              <w:t>m</w:t>
            </w:r>
            <w:r>
              <w:rPr>
                <w:bCs/>
                <w:color w:val="000000"/>
                <w:sz w:val="22"/>
                <w:szCs w:val="22"/>
                <w:lang w:eastAsia="en-GB"/>
              </w:rPr>
              <w:t xml:space="preserve">ean_2005-9 </w:t>
            </w:r>
            <w:r w:rsidRPr="00BA08B7">
              <w:rPr>
                <w:bCs/>
                <w:color w:val="000000"/>
                <w:sz w:val="22"/>
                <w:szCs w:val="22"/>
                <w:lang w:eastAsia="en-GB"/>
              </w:rPr>
              <w:t>200</w:t>
            </w:r>
            <w:r>
              <w:rPr>
                <w:bCs/>
                <w:color w:val="000000"/>
                <w:sz w:val="22"/>
                <w:szCs w:val="22"/>
                <w:lang w:eastAsia="en-GB"/>
              </w:rPr>
              <w:t>9</w:t>
            </w: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0.011181</w:t>
            </w: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0.088912</w:t>
            </w:r>
          </w:p>
        </w:tc>
        <w:tc>
          <w:tcPr>
            <w:tcW w:w="1408" w:type="dxa"/>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0.022476</w:t>
            </w: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-0.003634</w:t>
            </w:r>
          </w:p>
        </w:tc>
      </w:tr>
      <w:tr w:rsidR="000177AF" w:rsidRPr="00BA08B7" w:rsidTr="00AB3BE5">
        <w:trPr>
          <w:trHeight w:val="315"/>
        </w:trPr>
        <w:tc>
          <w:tcPr>
            <w:tcW w:w="1367" w:type="dxa"/>
            <w:noWrap/>
            <w:hideMark/>
          </w:tcPr>
          <w:p w:rsidR="000177AF" w:rsidRPr="00BA08B7" w:rsidRDefault="000177AF" w:rsidP="00AB3BE5">
            <w:pPr>
              <w:spacing w:line="240" w:lineRule="auto"/>
              <w:jc w:val="left"/>
              <w:rPr>
                <w:bCs/>
                <w:color w:val="000000"/>
                <w:sz w:val="22"/>
                <w:szCs w:val="22"/>
                <w:lang w:eastAsia="en-GB"/>
              </w:rPr>
            </w:pPr>
            <w:r w:rsidRPr="00BA08B7">
              <w:rPr>
                <w:bCs/>
                <w:color w:val="000000"/>
                <w:sz w:val="22"/>
                <w:szCs w:val="22"/>
                <w:lang w:eastAsia="en-GB"/>
              </w:rPr>
              <w:t> </w:t>
            </w:r>
          </w:p>
        </w:tc>
        <w:tc>
          <w:tcPr>
            <w:tcW w:w="1709" w:type="dxa"/>
            <w:noWrap/>
            <w:hideMark/>
          </w:tcPr>
          <w:p w:rsidR="000177AF" w:rsidRPr="00BA08B7" w:rsidRDefault="000177AF" w:rsidP="00AB3BE5">
            <w:pPr>
              <w:spacing w:line="240" w:lineRule="auto"/>
              <w:jc w:val="left"/>
              <w:rPr>
                <w:color w:val="000000"/>
                <w:sz w:val="22"/>
                <w:szCs w:val="22"/>
                <w:lang w:eastAsia="en-GB"/>
              </w:rPr>
            </w:pPr>
            <w:r w:rsidRPr="00BA08B7">
              <w:rPr>
                <w:color w:val="000000"/>
                <w:sz w:val="22"/>
                <w:szCs w:val="22"/>
                <w:lang w:eastAsia="en-GB"/>
              </w:rPr>
              <w:t> </w:t>
            </w: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[0.006341]</w:t>
            </w:r>
            <w:r w:rsidR="00AB3BE5" w:rsidRPr="00045FB6">
              <w:rPr>
                <w:color w:val="000000"/>
                <w:sz w:val="20"/>
                <w:szCs w:val="20"/>
              </w:rPr>
              <w:t xml:space="preserve"> </w:t>
            </w:r>
          </w:p>
        </w:tc>
        <w:tc>
          <w:tcPr>
            <w:tcW w:w="1408" w:type="dxa"/>
          </w:tcPr>
          <w:p w:rsidR="000177AF" w:rsidRPr="00BA08B7" w:rsidRDefault="00613EF6" w:rsidP="00613EF6">
            <w:pPr>
              <w:spacing w:line="240" w:lineRule="auto"/>
              <w:jc w:val="center"/>
              <w:rPr>
                <w:bCs/>
                <w:color w:val="000000"/>
                <w:sz w:val="20"/>
                <w:szCs w:val="20"/>
                <w:lang w:eastAsia="en-GB"/>
              </w:rPr>
            </w:pPr>
            <w:r>
              <w:rPr>
                <w:bCs/>
                <w:color w:val="000000"/>
                <w:sz w:val="20"/>
                <w:szCs w:val="20"/>
                <w:lang w:eastAsia="en-GB"/>
              </w:rPr>
              <w:t>[0.003534]</w:t>
            </w:r>
            <w:r w:rsidRPr="00BA08B7">
              <w:rPr>
                <w:bCs/>
                <w:color w:val="000000"/>
                <w:sz w:val="20"/>
                <w:szCs w:val="20"/>
                <w:lang w:eastAsia="en-GB"/>
              </w:rPr>
              <w:t>***</w:t>
            </w:r>
          </w:p>
        </w:tc>
        <w:tc>
          <w:tcPr>
            <w:tcW w:w="1408" w:type="dxa"/>
            <w:noWrap/>
            <w:hideMark/>
          </w:tcPr>
          <w:p w:rsidR="000177AF" w:rsidRPr="00BA08B7" w:rsidRDefault="00613EF6" w:rsidP="005E41E5">
            <w:pPr>
              <w:spacing w:line="240" w:lineRule="auto"/>
              <w:jc w:val="center"/>
              <w:rPr>
                <w:bCs/>
                <w:color w:val="000000"/>
                <w:sz w:val="20"/>
                <w:szCs w:val="20"/>
                <w:lang w:eastAsia="en-GB"/>
              </w:rPr>
            </w:pPr>
            <w:r>
              <w:rPr>
                <w:bCs/>
                <w:color w:val="000000"/>
                <w:sz w:val="20"/>
                <w:szCs w:val="20"/>
                <w:lang w:eastAsia="en-GB"/>
              </w:rPr>
              <w:t>[0.017533]</w:t>
            </w:r>
          </w:p>
        </w:tc>
        <w:tc>
          <w:tcPr>
            <w:tcW w:w="1408" w:type="dxa"/>
            <w:noWrap/>
            <w:hideMark/>
          </w:tcPr>
          <w:p w:rsidR="000177AF" w:rsidRPr="00BA08B7" w:rsidRDefault="000177AF" w:rsidP="005E41E5">
            <w:pPr>
              <w:spacing w:line="240" w:lineRule="auto"/>
              <w:jc w:val="center"/>
              <w:rPr>
                <w:bCs/>
                <w:color w:val="000000"/>
                <w:sz w:val="20"/>
                <w:szCs w:val="20"/>
                <w:lang w:eastAsia="en-GB"/>
              </w:rPr>
            </w:pPr>
            <w:r w:rsidRPr="00BA08B7">
              <w:rPr>
                <w:bCs/>
                <w:color w:val="000000"/>
                <w:sz w:val="20"/>
                <w:szCs w:val="20"/>
                <w:lang w:eastAsia="en-GB"/>
              </w:rPr>
              <w:t>[0.023901]</w:t>
            </w:r>
          </w:p>
        </w:tc>
      </w:tr>
    </w:tbl>
    <w:p w:rsidR="0009629B" w:rsidRPr="00410EE7" w:rsidRDefault="0009629B" w:rsidP="0009629B">
      <w:pPr>
        <w:spacing w:line="240" w:lineRule="auto"/>
        <w:jc w:val="left"/>
        <w:rPr>
          <w:color w:val="000000"/>
          <w:sz w:val="20"/>
          <w:szCs w:val="20"/>
          <w:lang w:eastAsia="en-GB"/>
        </w:rPr>
      </w:pPr>
      <w:proofErr w:type="gramStart"/>
      <w:r w:rsidRPr="00410EE7">
        <w:rPr>
          <w:i/>
          <w:color w:val="000000"/>
          <w:sz w:val="20"/>
          <w:szCs w:val="20"/>
          <w:lang w:eastAsia="en-GB"/>
        </w:rPr>
        <w:t>Notes</w:t>
      </w:r>
      <w:r w:rsidRPr="00410EE7">
        <w:rPr>
          <w:color w:val="000000"/>
          <w:sz w:val="20"/>
          <w:szCs w:val="20"/>
          <w:lang w:eastAsia="en-GB"/>
        </w:rPr>
        <w:t>.</w:t>
      </w:r>
      <w:proofErr w:type="gramEnd"/>
      <w:r w:rsidRPr="00410EE7">
        <w:rPr>
          <w:color w:val="000000"/>
          <w:sz w:val="20"/>
          <w:szCs w:val="20"/>
          <w:lang w:eastAsia="en-GB"/>
        </w:rPr>
        <w:t xml:space="preserve"> </w:t>
      </w:r>
      <w:proofErr w:type="gramStart"/>
      <w:r w:rsidRPr="00410EE7">
        <w:rPr>
          <w:color w:val="000000"/>
          <w:sz w:val="20"/>
          <w:szCs w:val="20"/>
          <w:lang w:eastAsia="en-GB"/>
        </w:rPr>
        <w:t xml:space="preserve">Estimates from </w:t>
      </w:r>
      <w:r>
        <w:rPr>
          <w:color w:val="000000"/>
          <w:sz w:val="20"/>
          <w:szCs w:val="20"/>
          <w:lang w:eastAsia="en-GB"/>
        </w:rPr>
        <w:t xml:space="preserve">conditional fixed effects </w:t>
      </w:r>
      <w:r w:rsidRPr="00410EE7">
        <w:rPr>
          <w:color w:val="000000"/>
          <w:sz w:val="20"/>
          <w:szCs w:val="20"/>
          <w:lang w:eastAsia="en-GB"/>
        </w:rPr>
        <w:t>Poisson models.</w:t>
      </w:r>
      <w:proofErr w:type="gramEnd"/>
      <w:r w:rsidRPr="00410EE7">
        <w:rPr>
          <w:color w:val="000000"/>
          <w:sz w:val="20"/>
          <w:szCs w:val="20"/>
          <w:lang w:eastAsia="en-GB"/>
        </w:rPr>
        <w:t xml:space="preserve"> </w:t>
      </w:r>
      <w:r w:rsidR="00CB417B">
        <w:rPr>
          <w:color w:val="000000"/>
          <w:sz w:val="20"/>
          <w:szCs w:val="20"/>
          <w:lang w:eastAsia="en-GB"/>
        </w:rPr>
        <w:t>Years: 2004 to 2009</w:t>
      </w:r>
      <w:r w:rsidR="00CB417B" w:rsidRPr="00410EE7">
        <w:rPr>
          <w:color w:val="000000"/>
          <w:sz w:val="20"/>
          <w:szCs w:val="20"/>
          <w:lang w:eastAsia="en-GB"/>
        </w:rPr>
        <w:t>.</w:t>
      </w:r>
      <w:r w:rsidR="00CB417B">
        <w:rPr>
          <w:color w:val="000000"/>
          <w:sz w:val="20"/>
          <w:szCs w:val="20"/>
          <w:lang w:eastAsia="en-GB"/>
        </w:rPr>
        <w:t xml:space="preserve">  </w:t>
      </w:r>
      <w:r w:rsidRPr="00410EE7">
        <w:rPr>
          <w:color w:val="000000"/>
          <w:sz w:val="20"/>
          <w:szCs w:val="20"/>
          <w:lang w:eastAsia="en-GB"/>
        </w:rPr>
        <w:t xml:space="preserve">All models also contain year and SHA interactions, total practice list size, proportion of list in 13 age/gender groups, patients per whole time equivalent GP, average GP age, proportion female GPs, proportion GPs qualified in UK, proportion of non-principal GPs, 15 QOF practice quality indicators, disease prevalence and patient deprivation,  proportion of referrals to 53 separate specialities.  </w:t>
      </w:r>
      <w:proofErr w:type="gramStart"/>
      <w:r w:rsidR="00CB417B">
        <w:rPr>
          <w:color w:val="000000"/>
          <w:sz w:val="20"/>
          <w:szCs w:val="20"/>
          <w:lang w:eastAsia="en-GB"/>
        </w:rPr>
        <w:t>Same number of observations as in Table 2 models.</w:t>
      </w:r>
      <w:proofErr w:type="gramEnd"/>
      <w:r w:rsidR="00CB417B">
        <w:rPr>
          <w:color w:val="000000"/>
          <w:sz w:val="20"/>
          <w:szCs w:val="20"/>
          <w:lang w:eastAsia="en-GB"/>
        </w:rPr>
        <w:t xml:space="preserve">  </w:t>
      </w:r>
      <w:r w:rsidRPr="00410EE7">
        <w:rPr>
          <w:color w:val="000000"/>
          <w:sz w:val="20"/>
          <w:szCs w:val="20"/>
          <w:lang w:eastAsia="en-GB"/>
        </w:rPr>
        <w:t xml:space="preserve"> Coefficients are the proportionate change in the dependent variable from a one unit change in the explanatory.  Robust standard errors in square brackets allow for clustering within GP practices. </w:t>
      </w:r>
    </w:p>
    <w:p w:rsidR="003A7C62" w:rsidRDefault="003A7C62" w:rsidP="0009629B">
      <w:pPr>
        <w:spacing w:line="240" w:lineRule="auto"/>
        <w:jc w:val="left"/>
        <w:rPr>
          <w:color w:val="000000"/>
          <w:sz w:val="20"/>
          <w:szCs w:val="20"/>
          <w:lang w:eastAsia="en-GB"/>
        </w:rPr>
      </w:pPr>
      <w:r w:rsidRPr="00D62579">
        <w:rPr>
          <w:color w:val="000000"/>
          <w:sz w:val="20"/>
          <w:szCs w:val="20"/>
          <w:lang w:eastAsia="en-GB"/>
        </w:rPr>
        <w:t>*</w:t>
      </w:r>
      <w:r>
        <w:rPr>
          <w:color w:val="000000"/>
          <w:sz w:val="20"/>
          <w:szCs w:val="20"/>
          <w:lang w:eastAsia="en-GB"/>
        </w:rPr>
        <w:t>:</w:t>
      </w:r>
      <w:r w:rsidRPr="00D62579">
        <w:rPr>
          <w:color w:val="000000"/>
          <w:sz w:val="20"/>
          <w:szCs w:val="20"/>
          <w:lang w:eastAsia="en-GB"/>
        </w:rPr>
        <w:t xml:space="preserve"> p &lt; 0.05; **</w:t>
      </w:r>
      <w:r>
        <w:rPr>
          <w:color w:val="000000"/>
          <w:sz w:val="20"/>
          <w:szCs w:val="20"/>
          <w:lang w:eastAsia="en-GB"/>
        </w:rPr>
        <w:t>:</w:t>
      </w:r>
      <w:r w:rsidRPr="00D62579">
        <w:rPr>
          <w:color w:val="000000"/>
          <w:sz w:val="20"/>
          <w:szCs w:val="20"/>
          <w:lang w:eastAsia="en-GB"/>
        </w:rPr>
        <w:t xml:space="preserve"> p&lt; 0.01; ***</w:t>
      </w:r>
      <w:r>
        <w:rPr>
          <w:color w:val="000000"/>
          <w:sz w:val="20"/>
          <w:szCs w:val="20"/>
          <w:lang w:eastAsia="en-GB"/>
        </w:rPr>
        <w:t>:</w:t>
      </w:r>
      <w:r w:rsidRPr="00D62579">
        <w:rPr>
          <w:color w:val="000000"/>
          <w:sz w:val="20"/>
          <w:szCs w:val="20"/>
          <w:lang w:eastAsia="en-GB"/>
        </w:rPr>
        <w:t xml:space="preserve"> p &lt; 0.001 </w:t>
      </w:r>
    </w:p>
    <w:p w:rsidR="00AB3BE5" w:rsidRDefault="00AB3BE5">
      <w:pPr>
        <w:spacing w:line="240" w:lineRule="auto"/>
        <w:jc w:val="left"/>
        <w:rPr>
          <w:b/>
          <w:noProof/>
          <w:sz w:val="20"/>
          <w:szCs w:val="20"/>
          <w:lang w:eastAsia="en-GB"/>
        </w:rPr>
      </w:pPr>
      <w:r>
        <w:rPr>
          <w:b/>
          <w:noProof/>
          <w:sz w:val="20"/>
          <w:szCs w:val="20"/>
          <w:lang w:eastAsia="en-GB"/>
        </w:rPr>
        <w:br w:type="page"/>
      </w:r>
    </w:p>
    <w:p w:rsidR="000177AF" w:rsidRPr="00410EE7" w:rsidRDefault="00045FB6" w:rsidP="00593941">
      <w:pPr>
        <w:spacing w:line="240" w:lineRule="auto"/>
        <w:rPr>
          <w:noProof/>
          <w:sz w:val="20"/>
          <w:szCs w:val="20"/>
          <w:lang w:eastAsia="en-GB"/>
        </w:rPr>
      </w:pPr>
      <w:r>
        <w:rPr>
          <w:b/>
          <w:noProof/>
          <w:lang w:eastAsia="en-GB"/>
        </w:rPr>
        <w:lastRenderedPageBreak/>
        <w:t>Table 5</w:t>
      </w:r>
      <w:r w:rsidRPr="00410EE7">
        <w:rPr>
          <w:b/>
          <w:noProof/>
          <w:lang w:eastAsia="en-GB"/>
        </w:rPr>
        <w:t xml:space="preserve">.  </w:t>
      </w:r>
      <w:r w:rsidR="00EF2351">
        <w:rPr>
          <w:b/>
          <w:noProof/>
          <w:lang w:eastAsia="en-GB"/>
        </w:rPr>
        <w:t>H</w:t>
      </w:r>
      <w:r>
        <w:rPr>
          <w:b/>
          <w:noProof/>
          <w:lang w:eastAsia="en-GB"/>
        </w:rPr>
        <w:t>eterogenous C&amp;B effects by average distance to hospital.</w:t>
      </w:r>
    </w:p>
    <w:tbl>
      <w:tblPr>
        <w:tblStyle w:val="TableSimple1"/>
        <w:tblW w:w="9640" w:type="dxa"/>
        <w:tblInd w:w="-176" w:type="dxa"/>
        <w:tblLayout w:type="fixed"/>
        <w:tblLook w:val="04A0" w:firstRow="1" w:lastRow="0" w:firstColumn="1" w:lastColumn="0" w:noHBand="0" w:noVBand="1"/>
      </w:tblPr>
      <w:tblGrid>
        <w:gridCol w:w="1767"/>
        <w:gridCol w:w="2061"/>
        <w:gridCol w:w="1418"/>
        <w:gridCol w:w="1417"/>
        <w:gridCol w:w="1418"/>
        <w:gridCol w:w="1559"/>
      </w:tblGrid>
      <w:tr w:rsidR="001E30D8" w:rsidTr="0034102B">
        <w:trPr>
          <w:cnfStyle w:val="100000000000" w:firstRow="1" w:lastRow="0" w:firstColumn="0" w:lastColumn="0" w:oddVBand="0" w:evenVBand="0" w:oddHBand="0" w:evenHBand="0" w:firstRowFirstColumn="0" w:firstRowLastColumn="0" w:lastRowFirstColumn="0" w:lastRowLastColumn="0"/>
          <w:trHeight w:val="300"/>
        </w:trPr>
        <w:tc>
          <w:tcPr>
            <w:tcW w:w="1767" w:type="dxa"/>
            <w:noWrap/>
            <w:hideMark/>
          </w:tcPr>
          <w:p w:rsidR="004F395F" w:rsidRPr="00045FB6" w:rsidRDefault="004F395F" w:rsidP="00045FB6">
            <w:pPr>
              <w:jc w:val="center"/>
              <w:rPr>
                <w:color w:val="000000"/>
                <w:sz w:val="20"/>
                <w:szCs w:val="20"/>
              </w:rPr>
            </w:pPr>
          </w:p>
        </w:tc>
        <w:tc>
          <w:tcPr>
            <w:tcW w:w="2061" w:type="dxa"/>
            <w:noWrap/>
            <w:hideMark/>
          </w:tcPr>
          <w:p w:rsidR="004F395F" w:rsidRPr="00045FB6" w:rsidRDefault="004F395F" w:rsidP="00045FB6">
            <w:pPr>
              <w:jc w:val="center"/>
              <w:rPr>
                <w:color w:val="000000"/>
                <w:sz w:val="20"/>
                <w:szCs w:val="20"/>
              </w:rPr>
            </w:pPr>
          </w:p>
        </w:tc>
        <w:tc>
          <w:tcPr>
            <w:tcW w:w="1418" w:type="dxa"/>
            <w:noWrap/>
            <w:hideMark/>
          </w:tcPr>
          <w:p w:rsidR="004F395F" w:rsidRPr="00410EE7" w:rsidRDefault="004F395F" w:rsidP="00AB3BE5">
            <w:pPr>
              <w:spacing w:line="240" w:lineRule="auto"/>
              <w:jc w:val="center"/>
              <w:rPr>
                <w:b/>
                <w:bCs/>
                <w:color w:val="000000"/>
                <w:sz w:val="20"/>
                <w:szCs w:val="20"/>
                <w:lang w:val="en-US"/>
              </w:rPr>
            </w:pPr>
            <w:r w:rsidRPr="00410EE7">
              <w:rPr>
                <w:b/>
                <w:bCs/>
                <w:color w:val="000000"/>
                <w:sz w:val="20"/>
                <w:szCs w:val="20"/>
                <w:lang w:val="en-US"/>
              </w:rPr>
              <w:t>Non-attendance</w:t>
            </w:r>
          </w:p>
        </w:tc>
        <w:tc>
          <w:tcPr>
            <w:tcW w:w="1417" w:type="dxa"/>
          </w:tcPr>
          <w:p w:rsidR="004F395F" w:rsidRPr="00410EE7" w:rsidRDefault="004F395F" w:rsidP="00AB3BE5">
            <w:pPr>
              <w:spacing w:line="240" w:lineRule="auto"/>
              <w:jc w:val="center"/>
              <w:rPr>
                <w:b/>
                <w:bCs/>
                <w:color w:val="000000"/>
                <w:sz w:val="20"/>
                <w:szCs w:val="20"/>
                <w:lang w:val="en-US"/>
              </w:rPr>
            </w:pPr>
            <w:r w:rsidRPr="00410EE7">
              <w:rPr>
                <w:b/>
                <w:bCs/>
                <w:color w:val="000000"/>
                <w:sz w:val="20"/>
                <w:szCs w:val="20"/>
                <w:lang w:val="en-US"/>
              </w:rPr>
              <w:t>GP referrals</w:t>
            </w:r>
          </w:p>
        </w:tc>
        <w:tc>
          <w:tcPr>
            <w:tcW w:w="1418" w:type="dxa"/>
            <w:noWrap/>
            <w:hideMark/>
          </w:tcPr>
          <w:p w:rsidR="004F395F" w:rsidRPr="00410EE7" w:rsidRDefault="004F395F" w:rsidP="00AB3BE5">
            <w:pPr>
              <w:spacing w:line="240" w:lineRule="auto"/>
              <w:jc w:val="center"/>
              <w:rPr>
                <w:b/>
                <w:bCs/>
                <w:color w:val="000000"/>
                <w:sz w:val="20"/>
                <w:szCs w:val="20"/>
                <w:lang w:val="en-US"/>
              </w:rPr>
            </w:pPr>
            <w:r w:rsidRPr="00410EE7">
              <w:rPr>
                <w:b/>
                <w:bCs/>
                <w:color w:val="000000"/>
                <w:sz w:val="20"/>
                <w:szCs w:val="20"/>
                <w:lang w:val="en-US"/>
              </w:rPr>
              <w:t>Patient cancellation</w:t>
            </w:r>
          </w:p>
        </w:tc>
        <w:tc>
          <w:tcPr>
            <w:tcW w:w="1559" w:type="dxa"/>
            <w:noWrap/>
            <w:hideMark/>
          </w:tcPr>
          <w:p w:rsidR="004F395F" w:rsidRPr="00410EE7" w:rsidRDefault="004F395F" w:rsidP="00AB3BE5">
            <w:pPr>
              <w:spacing w:line="240" w:lineRule="auto"/>
              <w:jc w:val="center"/>
              <w:rPr>
                <w:b/>
                <w:bCs/>
                <w:color w:val="000000"/>
                <w:sz w:val="20"/>
                <w:szCs w:val="20"/>
                <w:lang w:val="en-US"/>
              </w:rPr>
            </w:pPr>
            <w:r w:rsidRPr="00410EE7">
              <w:rPr>
                <w:b/>
                <w:bCs/>
                <w:color w:val="000000"/>
                <w:sz w:val="20"/>
                <w:szCs w:val="20"/>
                <w:lang w:val="en-US"/>
              </w:rPr>
              <w:t>Hospital cancellations</w:t>
            </w:r>
          </w:p>
        </w:tc>
      </w:tr>
      <w:tr w:rsidR="001E30D8" w:rsidTr="0034102B">
        <w:trPr>
          <w:trHeight w:val="300"/>
        </w:trPr>
        <w:tc>
          <w:tcPr>
            <w:tcW w:w="1767" w:type="dxa"/>
            <w:noWrap/>
            <w:hideMark/>
          </w:tcPr>
          <w:p w:rsidR="00045FB6" w:rsidRPr="00045FB6" w:rsidRDefault="004F395F" w:rsidP="00045FB6">
            <w:pPr>
              <w:jc w:val="left"/>
              <w:rPr>
                <w:color w:val="000000"/>
                <w:sz w:val="20"/>
                <w:szCs w:val="20"/>
              </w:rPr>
            </w:pPr>
            <w:r w:rsidRPr="00410EE7">
              <w:rPr>
                <w:b/>
                <w:color w:val="000000"/>
                <w:sz w:val="20"/>
                <w:szCs w:val="20"/>
                <w:lang w:eastAsia="en-GB"/>
              </w:rPr>
              <w:t>C&amp;B rate</w:t>
            </w:r>
          </w:p>
        </w:tc>
        <w:tc>
          <w:tcPr>
            <w:tcW w:w="2061" w:type="dxa"/>
            <w:noWrap/>
            <w:hideMark/>
          </w:tcPr>
          <w:p w:rsidR="00045FB6" w:rsidRPr="00045FB6" w:rsidRDefault="00045FB6" w:rsidP="00045FB6">
            <w:pPr>
              <w:jc w:val="left"/>
              <w:rPr>
                <w:color w:val="000000"/>
                <w:sz w:val="20"/>
                <w:szCs w:val="20"/>
              </w:rPr>
            </w:pPr>
          </w:p>
        </w:tc>
        <w:tc>
          <w:tcPr>
            <w:tcW w:w="1418" w:type="dxa"/>
            <w:noWrap/>
            <w:hideMark/>
          </w:tcPr>
          <w:p w:rsidR="00045FB6" w:rsidRPr="00045FB6" w:rsidRDefault="00045FB6" w:rsidP="00045FB6">
            <w:pPr>
              <w:jc w:val="center"/>
              <w:rPr>
                <w:color w:val="000000"/>
                <w:sz w:val="20"/>
                <w:szCs w:val="20"/>
              </w:rPr>
            </w:pPr>
            <w:r w:rsidRPr="00045FB6">
              <w:rPr>
                <w:color w:val="000000"/>
                <w:sz w:val="20"/>
                <w:szCs w:val="20"/>
              </w:rPr>
              <w:t>-0.002182</w:t>
            </w:r>
          </w:p>
        </w:tc>
        <w:tc>
          <w:tcPr>
            <w:tcW w:w="1417" w:type="dxa"/>
          </w:tcPr>
          <w:p w:rsidR="00045FB6" w:rsidRPr="00045FB6" w:rsidRDefault="00045FB6" w:rsidP="00045FB6">
            <w:pPr>
              <w:jc w:val="center"/>
              <w:rPr>
                <w:color w:val="000000"/>
                <w:sz w:val="20"/>
                <w:szCs w:val="20"/>
              </w:rPr>
            </w:pPr>
            <w:r w:rsidRPr="00045FB6">
              <w:rPr>
                <w:color w:val="000000"/>
                <w:sz w:val="20"/>
                <w:szCs w:val="20"/>
              </w:rPr>
              <w:t>-0.000731</w:t>
            </w:r>
          </w:p>
        </w:tc>
        <w:tc>
          <w:tcPr>
            <w:tcW w:w="1418" w:type="dxa"/>
            <w:noWrap/>
            <w:hideMark/>
          </w:tcPr>
          <w:p w:rsidR="00045FB6" w:rsidRPr="00045FB6" w:rsidRDefault="00045FB6" w:rsidP="00045FB6">
            <w:pPr>
              <w:jc w:val="center"/>
              <w:rPr>
                <w:color w:val="000000"/>
                <w:sz w:val="20"/>
                <w:szCs w:val="20"/>
              </w:rPr>
            </w:pPr>
            <w:r w:rsidRPr="00045FB6">
              <w:rPr>
                <w:color w:val="000000"/>
                <w:sz w:val="20"/>
                <w:szCs w:val="20"/>
              </w:rPr>
              <w:t>-0.001552</w:t>
            </w:r>
          </w:p>
        </w:tc>
        <w:tc>
          <w:tcPr>
            <w:tcW w:w="1559" w:type="dxa"/>
            <w:noWrap/>
            <w:hideMark/>
          </w:tcPr>
          <w:p w:rsidR="00045FB6" w:rsidRPr="00045FB6" w:rsidRDefault="00045FB6" w:rsidP="00045FB6">
            <w:pPr>
              <w:jc w:val="center"/>
              <w:rPr>
                <w:color w:val="000000"/>
                <w:sz w:val="20"/>
                <w:szCs w:val="20"/>
              </w:rPr>
            </w:pPr>
            <w:r w:rsidRPr="00045FB6">
              <w:rPr>
                <w:color w:val="000000"/>
                <w:sz w:val="20"/>
                <w:szCs w:val="20"/>
              </w:rPr>
              <w:t>0.006064</w:t>
            </w:r>
          </w:p>
        </w:tc>
      </w:tr>
      <w:tr w:rsidR="001E30D8" w:rsidTr="0034102B">
        <w:trPr>
          <w:trHeight w:val="300"/>
        </w:trPr>
        <w:tc>
          <w:tcPr>
            <w:tcW w:w="1767" w:type="dxa"/>
            <w:noWrap/>
            <w:hideMark/>
          </w:tcPr>
          <w:p w:rsidR="00045FB6" w:rsidRPr="00045FB6" w:rsidRDefault="00045FB6" w:rsidP="00045FB6">
            <w:pPr>
              <w:jc w:val="left"/>
              <w:rPr>
                <w:color w:val="000000"/>
                <w:sz w:val="20"/>
                <w:szCs w:val="20"/>
              </w:rPr>
            </w:pPr>
          </w:p>
        </w:tc>
        <w:tc>
          <w:tcPr>
            <w:tcW w:w="2061" w:type="dxa"/>
            <w:noWrap/>
            <w:hideMark/>
          </w:tcPr>
          <w:p w:rsidR="00045FB6" w:rsidRPr="00045FB6" w:rsidRDefault="00045FB6" w:rsidP="00045FB6">
            <w:pPr>
              <w:jc w:val="left"/>
              <w:rPr>
                <w:color w:val="000000"/>
                <w:sz w:val="20"/>
                <w:szCs w:val="20"/>
              </w:rPr>
            </w:pPr>
          </w:p>
        </w:tc>
        <w:tc>
          <w:tcPr>
            <w:tcW w:w="1418" w:type="dxa"/>
            <w:noWrap/>
            <w:hideMark/>
          </w:tcPr>
          <w:p w:rsidR="00045FB6" w:rsidRPr="00045FB6" w:rsidRDefault="00045FB6" w:rsidP="001E30D8">
            <w:pPr>
              <w:jc w:val="center"/>
              <w:rPr>
                <w:color w:val="000000"/>
                <w:sz w:val="20"/>
                <w:szCs w:val="20"/>
              </w:rPr>
            </w:pPr>
            <w:r w:rsidRPr="00045FB6">
              <w:rPr>
                <w:color w:val="000000"/>
                <w:sz w:val="20"/>
                <w:szCs w:val="20"/>
              </w:rPr>
              <w:t>[0.000182]*</w:t>
            </w:r>
            <w:r w:rsidR="001E30D8" w:rsidRPr="00045FB6">
              <w:rPr>
                <w:color w:val="000000"/>
                <w:sz w:val="20"/>
                <w:szCs w:val="20"/>
              </w:rPr>
              <w:t>**</w:t>
            </w:r>
          </w:p>
        </w:tc>
        <w:tc>
          <w:tcPr>
            <w:tcW w:w="1417" w:type="dxa"/>
          </w:tcPr>
          <w:p w:rsidR="00045FB6" w:rsidRPr="00045FB6" w:rsidRDefault="00045FB6" w:rsidP="001E30D8">
            <w:pPr>
              <w:jc w:val="center"/>
              <w:rPr>
                <w:color w:val="000000"/>
                <w:sz w:val="20"/>
                <w:szCs w:val="20"/>
              </w:rPr>
            </w:pPr>
            <w:r w:rsidRPr="00045FB6">
              <w:rPr>
                <w:color w:val="000000"/>
                <w:sz w:val="20"/>
                <w:szCs w:val="20"/>
              </w:rPr>
              <w:t>[0.000105]</w:t>
            </w:r>
            <w:r w:rsidR="001E30D8">
              <w:rPr>
                <w:color w:val="000000"/>
                <w:sz w:val="20"/>
                <w:szCs w:val="20"/>
              </w:rPr>
              <w:t>***</w:t>
            </w:r>
          </w:p>
        </w:tc>
        <w:tc>
          <w:tcPr>
            <w:tcW w:w="1418" w:type="dxa"/>
            <w:noWrap/>
            <w:hideMark/>
          </w:tcPr>
          <w:p w:rsidR="00045FB6" w:rsidRPr="00045FB6" w:rsidRDefault="00045FB6" w:rsidP="00390AAE">
            <w:pPr>
              <w:jc w:val="center"/>
              <w:rPr>
                <w:color w:val="000000"/>
                <w:sz w:val="20"/>
                <w:szCs w:val="20"/>
              </w:rPr>
            </w:pPr>
            <w:r w:rsidRPr="00045FB6">
              <w:rPr>
                <w:color w:val="000000"/>
                <w:sz w:val="20"/>
                <w:szCs w:val="20"/>
              </w:rPr>
              <w:t>[0.000520]</w:t>
            </w:r>
            <w:r w:rsidR="001E30D8" w:rsidRPr="00045FB6">
              <w:rPr>
                <w:color w:val="000000"/>
                <w:sz w:val="20"/>
                <w:szCs w:val="20"/>
              </w:rPr>
              <w:t>*</w:t>
            </w:r>
            <w:r w:rsidRPr="00045FB6">
              <w:rPr>
                <w:color w:val="000000"/>
                <w:sz w:val="20"/>
                <w:szCs w:val="20"/>
              </w:rPr>
              <w:t>**</w:t>
            </w:r>
          </w:p>
        </w:tc>
        <w:tc>
          <w:tcPr>
            <w:tcW w:w="1559" w:type="dxa"/>
            <w:noWrap/>
            <w:hideMark/>
          </w:tcPr>
          <w:p w:rsidR="00045FB6" w:rsidRPr="00045FB6" w:rsidRDefault="00045FB6" w:rsidP="00045FB6">
            <w:pPr>
              <w:jc w:val="center"/>
              <w:rPr>
                <w:color w:val="000000"/>
                <w:sz w:val="20"/>
                <w:szCs w:val="20"/>
              </w:rPr>
            </w:pPr>
            <w:r w:rsidRPr="00045FB6">
              <w:rPr>
                <w:color w:val="000000"/>
                <w:sz w:val="20"/>
                <w:szCs w:val="20"/>
              </w:rPr>
              <w:t>[0.000674]</w:t>
            </w:r>
            <w:r w:rsidR="001E30D8" w:rsidRPr="00045FB6">
              <w:rPr>
                <w:color w:val="000000"/>
                <w:sz w:val="20"/>
                <w:szCs w:val="20"/>
              </w:rPr>
              <w:t xml:space="preserve"> *</w:t>
            </w:r>
            <w:r w:rsidRPr="00045FB6">
              <w:rPr>
                <w:color w:val="000000"/>
                <w:sz w:val="20"/>
                <w:szCs w:val="20"/>
              </w:rPr>
              <w:t>**</w:t>
            </w:r>
          </w:p>
        </w:tc>
      </w:tr>
      <w:tr w:rsidR="001E30D8" w:rsidTr="0034102B">
        <w:trPr>
          <w:trHeight w:val="300"/>
        </w:trPr>
        <w:tc>
          <w:tcPr>
            <w:tcW w:w="3828" w:type="dxa"/>
            <w:gridSpan w:val="2"/>
            <w:noWrap/>
            <w:hideMark/>
          </w:tcPr>
          <w:p w:rsidR="004F395F" w:rsidRPr="00AB3BE5" w:rsidRDefault="004F395F" w:rsidP="004F395F">
            <w:pPr>
              <w:jc w:val="left"/>
              <w:rPr>
                <w:b/>
                <w:color w:val="000000"/>
                <w:sz w:val="20"/>
                <w:szCs w:val="20"/>
              </w:rPr>
            </w:pPr>
            <w:r w:rsidRPr="00AB3BE5">
              <w:rPr>
                <w:b/>
                <w:color w:val="000000"/>
                <w:sz w:val="20"/>
                <w:szCs w:val="20"/>
                <w:lang w:eastAsia="en-GB"/>
              </w:rPr>
              <w:t xml:space="preserve">C&amp;B rate * </w:t>
            </w:r>
            <w:proofErr w:type="spellStart"/>
            <w:r w:rsidRPr="00AB3BE5">
              <w:rPr>
                <w:b/>
                <w:color w:val="000000"/>
                <w:sz w:val="20"/>
                <w:szCs w:val="20"/>
              </w:rPr>
              <w:t>Avg</w:t>
            </w:r>
            <w:proofErr w:type="spellEnd"/>
            <w:r w:rsidRPr="00AB3BE5">
              <w:rPr>
                <w:b/>
                <w:color w:val="000000"/>
                <w:sz w:val="20"/>
                <w:szCs w:val="20"/>
              </w:rPr>
              <w:t xml:space="preserve"> distance_</w:t>
            </w:r>
            <w:r w:rsidR="00AB3BE5" w:rsidRPr="00AB3BE5">
              <w:rPr>
                <w:b/>
                <w:color w:val="000000"/>
                <w:sz w:val="20"/>
                <w:szCs w:val="20"/>
              </w:rPr>
              <w:t>2</w:t>
            </w:r>
            <w:r w:rsidR="00AB3BE5" w:rsidRPr="00AB3BE5">
              <w:rPr>
                <w:b/>
                <w:color w:val="000000"/>
                <w:sz w:val="20"/>
                <w:szCs w:val="20"/>
                <w:vertAlign w:val="superscript"/>
              </w:rPr>
              <w:t>nd</w:t>
            </w:r>
            <w:r w:rsidR="00AB3BE5" w:rsidRPr="00AB3BE5">
              <w:rPr>
                <w:b/>
                <w:color w:val="000000"/>
                <w:sz w:val="20"/>
                <w:szCs w:val="20"/>
              </w:rPr>
              <w:t xml:space="preserve"> </w:t>
            </w:r>
            <w:proofErr w:type="spellStart"/>
            <w:r w:rsidRPr="00AB3BE5">
              <w:rPr>
                <w:b/>
                <w:color w:val="000000"/>
                <w:sz w:val="20"/>
                <w:szCs w:val="20"/>
              </w:rPr>
              <w:t>qtile</w:t>
            </w:r>
            <w:proofErr w:type="spellEnd"/>
          </w:p>
        </w:tc>
        <w:tc>
          <w:tcPr>
            <w:tcW w:w="1418" w:type="dxa"/>
            <w:noWrap/>
            <w:hideMark/>
          </w:tcPr>
          <w:p w:rsidR="004F395F" w:rsidRPr="00045FB6" w:rsidRDefault="004F395F" w:rsidP="00045FB6">
            <w:pPr>
              <w:jc w:val="center"/>
              <w:rPr>
                <w:color w:val="000000"/>
                <w:sz w:val="20"/>
                <w:szCs w:val="20"/>
              </w:rPr>
            </w:pPr>
            <w:r w:rsidRPr="00045FB6">
              <w:rPr>
                <w:color w:val="000000"/>
                <w:sz w:val="20"/>
                <w:szCs w:val="20"/>
              </w:rPr>
              <w:t>-0.000127</w:t>
            </w:r>
          </w:p>
        </w:tc>
        <w:tc>
          <w:tcPr>
            <w:tcW w:w="1417" w:type="dxa"/>
            <w:noWrap/>
            <w:hideMark/>
          </w:tcPr>
          <w:p w:rsidR="004F395F" w:rsidRPr="00045FB6" w:rsidRDefault="004F395F" w:rsidP="00045FB6">
            <w:pPr>
              <w:jc w:val="center"/>
              <w:rPr>
                <w:color w:val="000000"/>
                <w:sz w:val="20"/>
                <w:szCs w:val="20"/>
              </w:rPr>
            </w:pPr>
            <w:r w:rsidRPr="00045FB6">
              <w:rPr>
                <w:color w:val="000000"/>
                <w:sz w:val="20"/>
                <w:szCs w:val="20"/>
              </w:rPr>
              <w:t>-0.000022</w:t>
            </w:r>
          </w:p>
        </w:tc>
        <w:tc>
          <w:tcPr>
            <w:tcW w:w="1418" w:type="dxa"/>
          </w:tcPr>
          <w:p w:rsidR="004F395F" w:rsidRPr="00045FB6" w:rsidRDefault="004F395F" w:rsidP="00045FB6">
            <w:pPr>
              <w:jc w:val="center"/>
              <w:rPr>
                <w:color w:val="000000"/>
                <w:sz w:val="20"/>
                <w:szCs w:val="20"/>
              </w:rPr>
            </w:pPr>
            <w:r w:rsidRPr="00045FB6">
              <w:rPr>
                <w:color w:val="000000"/>
                <w:sz w:val="20"/>
                <w:szCs w:val="20"/>
              </w:rPr>
              <w:t>-0.000202</w:t>
            </w:r>
          </w:p>
        </w:tc>
        <w:tc>
          <w:tcPr>
            <w:tcW w:w="1559" w:type="dxa"/>
            <w:noWrap/>
            <w:hideMark/>
          </w:tcPr>
          <w:p w:rsidR="004F395F" w:rsidRPr="00045FB6" w:rsidRDefault="004F395F" w:rsidP="00045FB6">
            <w:pPr>
              <w:jc w:val="center"/>
              <w:rPr>
                <w:color w:val="000000"/>
                <w:sz w:val="20"/>
                <w:szCs w:val="20"/>
              </w:rPr>
            </w:pPr>
            <w:r w:rsidRPr="00045FB6">
              <w:rPr>
                <w:color w:val="000000"/>
                <w:sz w:val="20"/>
                <w:szCs w:val="20"/>
              </w:rPr>
              <w:t>0.000193</w:t>
            </w:r>
          </w:p>
        </w:tc>
      </w:tr>
      <w:tr w:rsidR="001E30D8" w:rsidTr="0034102B">
        <w:trPr>
          <w:trHeight w:val="300"/>
        </w:trPr>
        <w:tc>
          <w:tcPr>
            <w:tcW w:w="1767" w:type="dxa"/>
            <w:noWrap/>
            <w:hideMark/>
          </w:tcPr>
          <w:p w:rsidR="004F395F" w:rsidRPr="00AB3BE5" w:rsidRDefault="004F395F" w:rsidP="00045FB6">
            <w:pPr>
              <w:jc w:val="left"/>
              <w:rPr>
                <w:b/>
                <w:color w:val="000000"/>
                <w:sz w:val="20"/>
                <w:szCs w:val="20"/>
              </w:rPr>
            </w:pPr>
          </w:p>
        </w:tc>
        <w:tc>
          <w:tcPr>
            <w:tcW w:w="2061" w:type="dxa"/>
            <w:noWrap/>
            <w:hideMark/>
          </w:tcPr>
          <w:p w:rsidR="004F395F" w:rsidRPr="00045FB6" w:rsidRDefault="004F395F" w:rsidP="00045FB6">
            <w:pPr>
              <w:jc w:val="left"/>
              <w:rPr>
                <w:color w:val="000000"/>
                <w:sz w:val="20"/>
                <w:szCs w:val="20"/>
              </w:rPr>
            </w:pPr>
          </w:p>
        </w:tc>
        <w:tc>
          <w:tcPr>
            <w:tcW w:w="1418" w:type="dxa"/>
            <w:noWrap/>
            <w:hideMark/>
          </w:tcPr>
          <w:p w:rsidR="004F395F" w:rsidRPr="00045FB6" w:rsidRDefault="004F395F" w:rsidP="00045FB6">
            <w:pPr>
              <w:jc w:val="center"/>
              <w:rPr>
                <w:color w:val="000000"/>
                <w:sz w:val="20"/>
                <w:szCs w:val="20"/>
              </w:rPr>
            </w:pPr>
            <w:r w:rsidRPr="00045FB6">
              <w:rPr>
                <w:color w:val="000000"/>
                <w:sz w:val="20"/>
                <w:szCs w:val="20"/>
              </w:rPr>
              <w:t>[0.000216]</w:t>
            </w:r>
          </w:p>
        </w:tc>
        <w:tc>
          <w:tcPr>
            <w:tcW w:w="1417" w:type="dxa"/>
          </w:tcPr>
          <w:p w:rsidR="004F395F" w:rsidRPr="00045FB6" w:rsidRDefault="001E30D8" w:rsidP="00045FB6">
            <w:pPr>
              <w:jc w:val="center"/>
              <w:rPr>
                <w:color w:val="000000"/>
                <w:sz w:val="20"/>
                <w:szCs w:val="20"/>
              </w:rPr>
            </w:pPr>
            <w:r>
              <w:rPr>
                <w:color w:val="000000"/>
                <w:sz w:val="20"/>
                <w:szCs w:val="20"/>
              </w:rPr>
              <w:t>[0.000122]</w:t>
            </w:r>
          </w:p>
        </w:tc>
        <w:tc>
          <w:tcPr>
            <w:tcW w:w="1418" w:type="dxa"/>
            <w:noWrap/>
            <w:hideMark/>
          </w:tcPr>
          <w:p w:rsidR="004F395F" w:rsidRPr="00045FB6" w:rsidRDefault="004F395F" w:rsidP="00045FB6">
            <w:pPr>
              <w:jc w:val="center"/>
              <w:rPr>
                <w:color w:val="000000"/>
                <w:sz w:val="20"/>
                <w:szCs w:val="20"/>
              </w:rPr>
            </w:pPr>
            <w:r w:rsidRPr="00045FB6">
              <w:rPr>
                <w:color w:val="000000"/>
                <w:sz w:val="20"/>
                <w:szCs w:val="20"/>
              </w:rPr>
              <w:t>[0.000622]</w:t>
            </w:r>
          </w:p>
        </w:tc>
        <w:tc>
          <w:tcPr>
            <w:tcW w:w="1559" w:type="dxa"/>
            <w:noWrap/>
            <w:hideMark/>
          </w:tcPr>
          <w:p w:rsidR="004F395F" w:rsidRPr="00045FB6" w:rsidRDefault="004F395F" w:rsidP="00045FB6">
            <w:pPr>
              <w:jc w:val="center"/>
              <w:rPr>
                <w:color w:val="000000"/>
                <w:sz w:val="20"/>
                <w:szCs w:val="20"/>
              </w:rPr>
            </w:pPr>
            <w:r w:rsidRPr="00045FB6">
              <w:rPr>
                <w:color w:val="000000"/>
                <w:sz w:val="20"/>
                <w:szCs w:val="20"/>
              </w:rPr>
              <w:t>[0.000801]</w:t>
            </w:r>
          </w:p>
        </w:tc>
      </w:tr>
      <w:tr w:rsidR="001E30D8" w:rsidTr="0034102B">
        <w:trPr>
          <w:trHeight w:val="300"/>
        </w:trPr>
        <w:tc>
          <w:tcPr>
            <w:tcW w:w="3828" w:type="dxa"/>
            <w:gridSpan w:val="2"/>
            <w:noWrap/>
            <w:hideMark/>
          </w:tcPr>
          <w:p w:rsidR="00AB3BE5" w:rsidRPr="00AB3BE5" w:rsidRDefault="00AB3BE5" w:rsidP="00AB3BE5">
            <w:pPr>
              <w:jc w:val="left"/>
              <w:rPr>
                <w:b/>
                <w:color w:val="000000"/>
                <w:sz w:val="20"/>
                <w:szCs w:val="20"/>
              </w:rPr>
            </w:pPr>
            <w:r w:rsidRPr="00AB3BE5">
              <w:rPr>
                <w:b/>
                <w:color w:val="000000"/>
                <w:sz w:val="20"/>
                <w:szCs w:val="20"/>
                <w:lang w:eastAsia="en-GB"/>
              </w:rPr>
              <w:t xml:space="preserve">C&amp;B rate * </w:t>
            </w:r>
            <w:proofErr w:type="spellStart"/>
            <w:r w:rsidRPr="00AB3BE5">
              <w:rPr>
                <w:b/>
                <w:color w:val="000000"/>
                <w:sz w:val="20"/>
                <w:szCs w:val="20"/>
              </w:rPr>
              <w:t>Avg</w:t>
            </w:r>
            <w:proofErr w:type="spellEnd"/>
            <w:r w:rsidRPr="00AB3BE5">
              <w:rPr>
                <w:b/>
                <w:color w:val="000000"/>
                <w:sz w:val="20"/>
                <w:szCs w:val="20"/>
              </w:rPr>
              <w:t xml:space="preserve"> distance_3</w:t>
            </w:r>
            <w:r w:rsidRPr="00AB3BE5">
              <w:rPr>
                <w:b/>
                <w:color w:val="000000"/>
                <w:sz w:val="20"/>
                <w:szCs w:val="20"/>
                <w:vertAlign w:val="superscript"/>
              </w:rPr>
              <w:t>rd</w:t>
            </w:r>
            <w:r w:rsidRPr="00AB3BE5">
              <w:rPr>
                <w:b/>
                <w:color w:val="000000"/>
                <w:sz w:val="20"/>
                <w:szCs w:val="20"/>
              </w:rPr>
              <w:t xml:space="preserve"> </w:t>
            </w:r>
            <w:proofErr w:type="spellStart"/>
            <w:r w:rsidRPr="00AB3BE5">
              <w:rPr>
                <w:b/>
                <w:color w:val="000000"/>
                <w:sz w:val="20"/>
                <w:szCs w:val="20"/>
              </w:rPr>
              <w:t>qtile</w:t>
            </w:r>
            <w:proofErr w:type="spellEnd"/>
          </w:p>
        </w:tc>
        <w:tc>
          <w:tcPr>
            <w:tcW w:w="1418" w:type="dxa"/>
            <w:noWrap/>
            <w:hideMark/>
          </w:tcPr>
          <w:p w:rsidR="00AB3BE5" w:rsidRPr="00045FB6" w:rsidRDefault="00AB3BE5" w:rsidP="00045FB6">
            <w:pPr>
              <w:jc w:val="center"/>
              <w:rPr>
                <w:color w:val="000000"/>
                <w:sz w:val="20"/>
                <w:szCs w:val="20"/>
              </w:rPr>
            </w:pPr>
            <w:r w:rsidRPr="00045FB6">
              <w:rPr>
                <w:color w:val="000000"/>
                <w:sz w:val="20"/>
                <w:szCs w:val="20"/>
              </w:rPr>
              <w:t>-0.000272</w:t>
            </w:r>
          </w:p>
        </w:tc>
        <w:tc>
          <w:tcPr>
            <w:tcW w:w="1417" w:type="dxa"/>
            <w:noWrap/>
            <w:hideMark/>
          </w:tcPr>
          <w:p w:rsidR="00AB3BE5" w:rsidRPr="00045FB6" w:rsidRDefault="00AB3BE5" w:rsidP="00045FB6">
            <w:pPr>
              <w:jc w:val="center"/>
              <w:rPr>
                <w:color w:val="000000"/>
                <w:sz w:val="20"/>
                <w:szCs w:val="20"/>
              </w:rPr>
            </w:pPr>
            <w:r w:rsidRPr="00045FB6">
              <w:rPr>
                <w:color w:val="000000"/>
                <w:sz w:val="20"/>
                <w:szCs w:val="20"/>
              </w:rPr>
              <w:t>0.000795</w:t>
            </w:r>
          </w:p>
        </w:tc>
        <w:tc>
          <w:tcPr>
            <w:tcW w:w="1418" w:type="dxa"/>
          </w:tcPr>
          <w:p w:rsidR="00AB3BE5" w:rsidRPr="00045FB6" w:rsidRDefault="00AB3BE5" w:rsidP="00045FB6">
            <w:pPr>
              <w:jc w:val="center"/>
              <w:rPr>
                <w:color w:val="000000"/>
                <w:sz w:val="20"/>
                <w:szCs w:val="20"/>
              </w:rPr>
            </w:pPr>
            <w:r w:rsidRPr="00045FB6">
              <w:rPr>
                <w:color w:val="000000"/>
                <w:sz w:val="20"/>
                <w:szCs w:val="20"/>
              </w:rPr>
              <w:t>0.000061</w:t>
            </w:r>
          </w:p>
        </w:tc>
        <w:tc>
          <w:tcPr>
            <w:tcW w:w="1559" w:type="dxa"/>
            <w:noWrap/>
            <w:hideMark/>
          </w:tcPr>
          <w:p w:rsidR="00AB3BE5" w:rsidRPr="00045FB6" w:rsidRDefault="00AB3BE5" w:rsidP="00045FB6">
            <w:pPr>
              <w:jc w:val="center"/>
              <w:rPr>
                <w:color w:val="000000"/>
                <w:sz w:val="20"/>
                <w:szCs w:val="20"/>
              </w:rPr>
            </w:pPr>
            <w:r w:rsidRPr="00045FB6">
              <w:rPr>
                <w:color w:val="000000"/>
                <w:sz w:val="20"/>
                <w:szCs w:val="20"/>
              </w:rPr>
              <w:t>0.001605</w:t>
            </w:r>
          </w:p>
        </w:tc>
      </w:tr>
      <w:tr w:rsidR="001E30D8" w:rsidTr="0034102B">
        <w:trPr>
          <w:trHeight w:val="300"/>
        </w:trPr>
        <w:tc>
          <w:tcPr>
            <w:tcW w:w="1767" w:type="dxa"/>
            <w:noWrap/>
            <w:hideMark/>
          </w:tcPr>
          <w:p w:rsidR="00AB3BE5" w:rsidRPr="00AB3BE5" w:rsidRDefault="00AB3BE5" w:rsidP="00AB3BE5">
            <w:pPr>
              <w:jc w:val="left"/>
              <w:rPr>
                <w:b/>
                <w:color w:val="000000"/>
                <w:sz w:val="20"/>
                <w:szCs w:val="20"/>
              </w:rPr>
            </w:pPr>
          </w:p>
        </w:tc>
        <w:tc>
          <w:tcPr>
            <w:tcW w:w="2061" w:type="dxa"/>
            <w:noWrap/>
            <w:hideMark/>
          </w:tcPr>
          <w:p w:rsidR="00AB3BE5" w:rsidRPr="00AB3BE5" w:rsidRDefault="00AB3BE5" w:rsidP="00045FB6">
            <w:pPr>
              <w:jc w:val="left"/>
              <w:rPr>
                <w:b/>
                <w:color w:val="000000"/>
                <w:sz w:val="20"/>
                <w:szCs w:val="20"/>
              </w:rPr>
            </w:pPr>
          </w:p>
        </w:tc>
        <w:tc>
          <w:tcPr>
            <w:tcW w:w="1418" w:type="dxa"/>
            <w:noWrap/>
            <w:hideMark/>
          </w:tcPr>
          <w:p w:rsidR="00AB3BE5" w:rsidRPr="00045FB6" w:rsidRDefault="00AB3BE5" w:rsidP="00045FB6">
            <w:pPr>
              <w:jc w:val="center"/>
              <w:rPr>
                <w:color w:val="000000"/>
                <w:sz w:val="20"/>
                <w:szCs w:val="20"/>
              </w:rPr>
            </w:pPr>
            <w:r w:rsidRPr="00045FB6">
              <w:rPr>
                <w:color w:val="000000"/>
                <w:sz w:val="20"/>
                <w:szCs w:val="20"/>
              </w:rPr>
              <w:t>[0.000217]</w:t>
            </w:r>
          </w:p>
        </w:tc>
        <w:tc>
          <w:tcPr>
            <w:tcW w:w="1417" w:type="dxa"/>
          </w:tcPr>
          <w:p w:rsidR="00AB3BE5" w:rsidRPr="00045FB6" w:rsidRDefault="00AB3BE5" w:rsidP="00045FB6">
            <w:pPr>
              <w:jc w:val="center"/>
              <w:rPr>
                <w:color w:val="000000"/>
                <w:sz w:val="20"/>
                <w:szCs w:val="20"/>
              </w:rPr>
            </w:pPr>
            <w:r w:rsidRPr="00045FB6">
              <w:rPr>
                <w:color w:val="000000"/>
                <w:sz w:val="20"/>
                <w:szCs w:val="20"/>
              </w:rPr>
              <w:t>[0.000120]</w:t>
            </w:r>
            <w:r w:rsidR="001E30D8" w:rsidRPr="00045FB6">
              <w:rPr>
                <w:color w:val="000000"/>
                <w:sz w:val="20"/>
                <w:szCs w:val="20"/>
              </w:rPr>
              <w:t>***</w:t>
            </w:r>
          </w:p>
        </w:tc>
        <w:tc>
          <w:tcPr>
            <w:tcW w:w="1418" w:type="dxa"/>
            <w:noWrap/>
            <w:hideMark/>
          </w:tcPr>
          <w:p w:rsidR="00AB3BE5" w:rsidRPr="00045FB6" w:rsidRDefault="00AB3BE5" w:rsidP="001E30D8">
            <w:pPr>
              <w:jc w:val="center"/>
              <w:rPr>
                <w:color w:val="000000"/>
                <w:sz w:val="20"/>
                <w:szCs w:val="20"/>
              </w:rPr>
            </w:pPr>
            <w:r w:rsidRPr="00045FB6">
              <w:rPr>
                <w:color w:val="000000"/>
                <w:sz w:val="20"/>
                <w:szCs w:val="20"/>
              </w:rPr>
              <w:t>[0.000608]</w:t>
            </w:r>
            <w:r w:rsidR="001E30D8" w:rsidRPr="00045FB6">
              <w:rPr>
                <w:color w:val="000000"/>
                <w:sz w:val="20"/>
                <w:szCs w:val="20"/>
              </w:rPr>
              <w:t>***</w:t>
            </w:r>
          </w:p>
        </w:tc>
        <w:tc>
          <w:tcPr>
            <w:tcW w:w="1559" w:type="dxa"/>
            <w:noWrap/>
            <w:hideMark/>
          </w:tcPr>
          <w:p w:rsidR="00AB3BE5" w:rsidRPr="00045FB6" w:rsidRDefault="001E30D8" w:rsidP="00045FB6">
            <w:pPr>
              <w:jc w:val="center"/>
              <w:rPr>
                <w:color w:val="000000"/>
                <w:sz w:val="20"/>
                <w:szCs w:val="20"/>
              </w:rPr>
            </w:pPr>
            <w:r>
              <w:rPr>
                <w:color w:val="000000"/>
                <w:sz w:val="20"/>
                <w:szCs w:val="20"/>
              </w:rPr>
              <w:t>[0.000841]</w:t>
            </w:r>
          </w:p>
        </w:tc>
      </w:tr>
      <w:tr w:rsidR="001E30D8" w:rsidTr="0034102B">
        <w:trPr>
          <w:trHeight w:val="300"/>
        </w:trPr>
        <w:tc>
          <w:tcPr>
            <w:tcW w:w="3828" w:type="dxa"/>
            <w:gridSpan w:val="2"/>
            <w:noWrap/>
            <w:hideMark/>
          </w:tcPr>
          <w:p w:rsidR="00AB3BE5" w:rsidRPr="00AB3BE5" w:rsidRDefault="00AB3BE5" w:rsidP="00AB3BE5">
            <w:pPr>
              <w:jc w:val="left"/>
              <w:rPr>
                <w:b/>
                <w:color w:val="000000"/>
                <w:sz w:val="20"/>
                <w:szCs w:val="20"/>
              </w:rPr>
            </w:pPr>
            <w:r w:rsidRPr="00AB3BE5">
              <w:rPr>
                <w:b/>
                <w:color w:val="000000"/>
                <w:sz w:val="20"/>
                <w:szCs w:val="20"/>
                <w:lang w:eastAsia="en-GB"/>
              </w:rPr>
              <w:t xml:space="preserve">C&amp;B rate * </w:t>
            </w:r>
            <w:proofErr w:type="spellStart"/>
            <w:r w:rsidRPr="00AB3BE5">
              <w:rPr>
                <w:b/>
                <w:color w:val="000000"/>
                <w:sz w:val="20"/>
                <w:szCs w:val="20"/>
              </w:rPr>
              <w:t>Avg</w:t>
            </w:r>
            <w:proofErr w:type="spellEnd"/>
            <w:r w:rsidRPr="00AB3BE5">
              <w:rPr>
                <w:b/>
                <w:color w:val="000000"/>
                <w:sz w:val="20"/>
                <w:szCs w:val="20"/>
              </w:rPr>
              <w:t xml:space="preserve"> distance_4</w:t>
            </w:r>
            <w:r w:rsidRPr="00AB3BE5">
              <w:rPr>
                <w:b/>
                <w:color w:val="000000"/>
                <w:sz w:val="20"/>
                <w:szCs w:val="20"/>
                <w:vertAlign w:val="superscript"/>
              </w:rPr>
              <w:t>th</w:t>
            </w:r>
            <w:r w:rsidRPr="00AB3BE5">
              <w:rPr>
                <w:b/>
                <w:color w:val="000000"/>
                <w:sz w:val="20"/>
                <w:szCs w:val="20"/>
              </w:rPr>
              <w:t xml:space="preserve"> </w:t>
            </w:r>
            <w:proofErr w:type="spellStart"/>
            <w:r w:rsidRPr="00AB3BE5">
              <w:rPr>
                <w:b/>
                <w:color w:val="000000"/>
                <w:sz w:val="20"/>
                <w:szCs w:val="20"/>
              </w:rPr>
              <w:t>qtile</w:t>
            </w:r>
            <w:proofErr w:type="spellEnd"/>
          </w:p>
        </w:tc>
        <w:tc>
          <w:tcPr>
            <w:tcW w:w="1418" w:type="dxa"/>
            <w:noWrap/>
            <w:hideMark/>
          </w:tcPr>
          <w:p w:rsidR="00AB3BE5" w:rsidRPr="00045FB6" w:rsidRDefault="00AB3BE5" w:rsidP="00045FB6">
            <w:pPr>
              <w:jc w:val="center"/>
              <w:rPr>
                <w:color w:val="000000"/>
                <w:sz w:val="20"/>
                <w:szCs w:val="20"/>
              </w:rPr>
            </w:pPr>
            <w:r w:rsidRPr="00045FB6">
              <w:rPr>
                <w:color w:val="000000"/>
                <w:sz w:val="20"/>
                <w:szCs w:val="20"/>
              </w:rPr>
              <w:t>-0.000113</w:t>
            </w:r>
          </w:p>
        </w:tc>
        <w:tc>
          <w:tcPr>
            <w:tcW w:w="1417" w:type="dxa"/>
            <w:noWrap/>
            <w:hideMark/>
          </w:tcPr>
          <w:p w:rsidR="00AB3BE5" w:rsidRPr="00045FB6" w:rsidRDefault="00AB3BE5" w:rsidP="00045FB6">
            <w:pPr>
              <w:jc w:val="center"/>
              <w:rPr>
                <w:color w:val="000000"/>
                <w:sz w:val="20"/>
                <w:szCs w:val="20"/>
              </w:rPr>
            </w:pPr>
            <w:r w:rsidRPr="00045FB6">
              <w:rPr>
                <w:color w:val="000000"/>
                <w:sz w:val="20"/>
                <w:szCs w:val="20"/>
              </w:rPr>
              <w:t>0.001983</w:t>
            </w:r>
          </w:p>
        </w:tc>
        <w:tc>
          <w:tcPr>
            <w:tcW w:w="1418" w:type="dxa"/>
          </w:tcPr>
          <w:p w:rsidR="00AB3BE5" w:rsidRPr="00045FB6" w:rsidRDefault="00AB3BE5" w:rsidP="00045FB6">
            <w:pPr>
              <w:jc w:val="center"/>
              <w:rPr>
                <w:color w:val="000000"/>
                <w:sz w:val="20"/>
                <w:szCs w:val="20"/>
              </w:rPr>
            </w:pPr>
            <w:r w:rsidRPr="00045FB6">
              <w:rPr>
                <w:color w:val="000000"/>
                <w:sz w:val="20"/>
                <w:szCs w:val="20"/>
              </w:rPr>
              <w:t>0.000236</w:t>
            </w:r>
          </w:p>
        </w:tc>
        <w:tc>
          <w:tcPr>
            <w:tcW w:w="1559" w:type="dxa"/>
            <w:noWrap/>
            <w:hideMark/>
          </w:tcPr>
          <w:p w:rsidR="00AB3BE5" w:rsidRPr="00045FB6" w:rsidRDefault="00AB3BE5" w:rsidP="00045FB6">
            <w:pPr>
              <w:jc w:val="center"/>
              <w:rPr>
                <w:color w:val="000000"/>
                <w:sz w:val="20"/>
                <w:szCs w:val="20"/>
              </w:rPr>
            </w:pPr>
            <w:r w:rsidRPr="00045FB6">
              <w:rPr>
                <w:color w:val="000000"/>
                <w:sz w:val="20"/>
                <w:szCs w:val="20"/>
              </w:rPr>
              <w:t>0.000342</w:t>
            </w:r>
          </w:p>
        </w:tc>
      </w:tr>
      <w:tr w:rsidR="001E30D8" w:rsidTr="0034102B">
        <w:trPr>
          <w:trHeight w:val="300"/>
        </w:trPr>
        <w:tc>
          <w:tcPr>
            <w:tcW w:w="1767" w:type="dxa"/>
            <w:noWrap/>
            <w:hideMark/>
          </w:tcPr>
          <w:p w:rsidR="00AB3BE5" w:rsidRPr="00AB3BE5" w:rsidRDefault="00AB3BE5" w:rsidP="00AB3BE5">
            <w:pPr>
              <w:jc w:val="left"/>
              <w:rPr>
                <w:b/>
                <w:color w:val="000000"/>
                <w:sz w:val="20"/>
                <w:szCs w:val="20"/>
              </w:rPr>
            </w:pPr>
          </w:p>
        </w:tc>
        <w:tc>
          <w:tcPr>
            <w:tcW w:w="2061" w:type="dxa"/>
            <w:noWrap/>
            <w:hideMark/>
          </w:tcPr>
          <w:p w:rsidR="00AB3BE5" w:rsidRPr="00AB3BE5" w:rsidRDefault="00AB3BE5" w:rsidP="00045FB6">
            <w:pPr>
              <w:jc w:val="left"/>
              <w:rPr>
                <w:b/>
                <w:color w:val="000000"/>
                <w:sz w:val="20"/>
                <w:szCs w:val="20"/>
              </w:rPr>
            </w:pPr>
          </w:p>
        </w:tc>
        <w:tc>
          <w:tcPr>
            <w:tcW w:w="1418" w:type="dxa"/>
            <w:noWrap/>
            <w:hideMark/>
          </w:tcPr>
          <w:p w:rsidR="00AB3BE5" w:rsidRPr="00045FB6" w:rsidRDefault="00AB3BE5" w:rsidP="00045FB6">
            <w:pPr>
              <w:jc w:val="center"/>
              <w:rPr>
                <w:color w:val="000000"/>
                <w:sz w:val="20"/>
                <w:szCs w:val="20"/>
              </w:rPr>
            </w:pPr>
            <w:r w:rsidRPr="00045FB6">
              <w:rPr>
                <w:color w:val="000000"/>
                <w:sz w:val="20"/>
                <w:szCs w:val="20"/>
              </w:rPr>
              <w:t>[0.000215]</w:t>
            </w:r>
          </w:p>
        </w:tc>
        <w:tc>
          <w:tcPr>
            <w:tcW w:w="1417" w:type="dxa"/>
          </w:tcPr>
          <w:p w:rsidR="00AB3BE5" w:rsidRPr="00045FB6" w:rsidRDefault="001E30D8" w:rsidP="00045FB6">
            <w:pPr>
              <w:jc w:val="center"/>
              <w:rPr>
                <w:color w:val="000000"/>
                <w:sz w:val="20"/>
                <w:szCs w:val="20"/>
              </w:rPr>
            </w:pPr>
            <w:r>
              <w:rPr>
                <w:color w:val="000000"/>
                <w:sz w:val="20"/>
                <w:szCs w:val="20"/>
              </w:rPr>
              <w:t>[0.000130]</w:t>
            </w:r>
            <w:r w:rsidRPr="00045FB6">
              <w:rPr>
                <w:color w:val="000000"/>
                <w:sz w:val="20"/>
                <w:szCs w:val="20"/>
              </w:rPr>
              <w:t>***</w:t>
            </w:r>
          </w:p>
        </w:tc>
        <w:tc>
          <w:tcPr>
            <w:tcW w:w="1418" w:type="dxa"/>
            <w:noWrap/>
            <w:hideMark/>
          </w:tcPr>
          <w:p w:rsidR="00AB3BE5" w:rsidRPr="00045FB6" w:rsidRDefault="001E30D8" w:rsidP="00045FB6">
            <w:pPr>
              <w:jc w:val="center"/>
              <w:rPr>
                <w:color w:val="000000"/>
                <w:sz w:val="20"/>
                <w:szCs w:val="20"/>
              </w:rPr>
            </w:pPr>
            <w:r>
              <w:rPr>
                <w:color w:val="000000"/>
                <w:sz w:val="20"/>
                <w:szCs w:val="20"/>
              </w:rPr>
              <w:t>[0.000583]</w:t>
            </w:r>
          </w:p>
        </w:tc>
        <w:tc>
          <w:tcPr>
            <w:tcW w:w="1559" w:type="dxa"/>
            <w:noWrap/>
            <w:hideMark/>
          </w:tcPr>
          <w:p w:rsidR="00AB3BE5" w:rsidRPr="00045FB6" w:rsidRDefault="00AB3BE5" w:rsidP="00045FB6">
            <w:pPr>
              <w:jc w:val="center"/>
              <w:rPr>
                <w:color w:val="000000"/>
                <w:sz w:val="20"/>
                <w:szCs w:val="20"/>
              </w:rPr>
            </w:pPr>
            <w:r w:rsidRPr="00045FB6">
              <w:rPr>
                <w:color w:val="000000"/>
                <w:sz w:val="20"/>
                <w:szCs w:val="20"/>
              </w:rPr>
              <w:t>[0.000818]</w:t>
            </w:r>
          </w:p>
        </w:tc>
      </w:tr>
      <w:tr w:rsidR="001E30D8" w:rsidTr="0034102B">
        <w:trPr>
          <w:trHeight w:val="300"/>
        </w:trPr>
        <w:tc>
          <w:tcPr>
            <w:tcW w:w="3828" w:type="dxa"/>
            <w:gridSpan w:val="2"/>
            <w:noWrap/>
            <w:hideMark/>
          </w:tcPr>
          <w:p w:rsidR="00AB3BE5" w:rsidRPr="00AB3BE5" w:rsidRDefault="00AB3BE5" w:rsidP="00AB3BE5">
            <w:pPr>
              <w:jc w:val="left"/>
              <w:rPr>
                <w:b/>
                <w:color w:val="000000"/>
                <w:sz w:val="20"/>
                <w:szCs w:val="20"/>
              </w:rPr>
            </w:pPr>
            <w:r w:rsidRPr="00AB3BE5">
              <w:rPr>
                <w:b/>
                <w:color w:val="000000"/>
                <w:sz w:val="20"/>
                <w:szCs w:val="20"/>
                <w:lang w:eastAsia="en-GB"/>
              </w:rPr>
              <w:t xml:space="preserve">C&amp;B rate * </w:t>
            </w:r>
            <w:proofErr w:type="spellStart"/>
            <w:r w:rsidRPr="00AB3BE5">
              <w:rPr>
                <w:b/>
                <w:color w:val="000000"/>
                <w:sz w:val="20"/>
                <w:szCs w:val="20"/>
              </w:rPr>
              <w:t>Avg</w:t>
            </w:r>
            <w:proofErr w:type="spellEnd"/>
            <w:r w:rsidRPr="00AB3BE5">
              <w:rPr>
                <w:b/>
                <w:color w:val="000000"/>
                <w:sz w:val="20"/>
                <w:szCs w:val="20"/>
              </w:rPr>
              <w:t xml:space="preserve"> distance_5</w:t>
            </w:r>
            <w:r w:rsidRPr="00AB3BE5">
              <w:rPr>
                <w:b/>
                <w:color w:val="000000"/>
                <w:sz w:val="20"/>
                <w:szCs w:val="20"/>
                <w:vertAlign w:val="superscript"/>
              </w:rPr>
              <w:t>th</w:t>
            </w:r>
            <w:r w:rsidRPr="00AB3BE5">
              <w:rPr>
                <w:b/>
                <w:color w:val="000000"/>
                <w:sz w:val="20"/>
                <w:szCs w:val="20"/>
              </w:rPr>
              <w:t xml:space="preserve"> </w:t>
            </w:r>
            <w:proofErr w:type="spellStart"/>
            <w:r w:rsidRPr="00AB3BE5">
              <w:rPr>
                <w:b/>
                <w:color w:val="000000"/>
                <w:sz w:val="20"/>
                <w:szCs w:val="20"/>
              </w:rPr>
              <w:t>qtile</w:t>
            </w:r>
            <w:proofErr w:type="spellEnd"/>
          </w:p>
        </w:tc>
        <w:tc>
          <w:tcPr>
            <w:tcW w:w="1418" w:type="dxa"/>
            <w:noWrap/>
            <w:hideMark/>
          </w:tcPr>
          <w:p w:rsidR="00AB3BE5" w:rsidRPr="00045FB6" w:rsidRDefault="00AB3BE5" w:rsidP="00045FB6">
            <w:pPr>
              <w:jc w:val="center"/>
              <w:rPr>
                <w:color w:val="000000"/>
                <w:sz w:val="20"/>
                <w:szCs w:val="20"/>
              </w:rPr>
            </w:pPr>
            <w:r w:rsidRPr="00045FB6">
              <w:rPr>
                <w:color w:val="000000"/>
                <w:sz w:val="20"/>
                <w:szCs w:val="20"/>
              </w:rPr>
              <w:t>-0.000092</w:t>
            </w:r>
          </w:p>
        </w:tc>
        <w:tc>
          <w:tcPr>
            <w:tcW w:w="1417" w:type="dxa"/>
            <w:noWrap/>
            <w:hideMark/>
          </w:tcPr>
          <w:p w:rsidR="00AB3BE5" w:rsidRPr="00045FB6" w:rsidRDefault="00AB3BE5" w:rsidP="00045FB6">
            <w:pPr>
              <w:jc w:val="center"/>
              <w:rPr>
                <w:color w:val="000000"/>
                <w:sz w:val="20"/>
                <w:szCs w:val="20"/>
              </w:rPr>
            </w:pPr>
            <w:r w:rsidRPr="00045FB6">
              <w:rPr>
                <w:color w:val="000000"/>
                <w:sz w:val="20"/>
                <w:szCs w:val="20"/>
              </w:rPr>
              <w:t>0.000464</w:t>
            </w:r>
          </w:p>
        </w:tc>
        <w:tc>
          <w:tcPr>
            <w:tcW w:w="1418" w:type="dxa"/>
          </w:tcPr>
          <w:p w:rsidR="00AB3BE5" w:rsidRPr="00045FB6" w:rsidRDefault="00AB3BE5" w:rsidP="00045FB6">
            <w:pPr>
              <w:jc w:val="center"/>
              <w:rPr>
                <w:color w:val="000000"/>
                <w:sz w:val="20"/>
                <w:szCs w:val="20"/>
              </w:rPr>
            </w:pPr>
            <w:r w:rsidRPr="00045FB6">
              <w:rPr>
                <w:color w:val="000000"/>
                <w:sz w:val="20"/>
                <w:szCs w:val="20"/>
              </w:rPr>
              <w:t>0.00047</w:t>
            </w:r>
          </w:p>
        </w:tc>
        <w:tc>
          <w:tcPr>
            <w:tcW w:w="1559" w:type="dxa"/>
            <w:noWrap/>
            <w:hideMark/>
          </w:tcPr>
          <w:p w:rsidR="00AB3BE5" w:rsidRPr="00045FB6" w:rsidRDefault="00AB3BE5" w:rsidP="00045FB6">
            <w:pPr>
              <w:jc w:val="center"/>
              <w:rPr>
                <w:color w:val="000000"/>
                <w:sz w:val="20"/>
                <w:szCs w:val="20"/>
              </w:rPr>
            </w:pPr>
            <w:r w:rsidRPr="00045FB6">
              <w:rPr>
                <w:color w:val="000000"/>
                <w:sz w:val="20"/>
                <w:szCs w:val="20"/>
              </w:rPr>
              <w:t>0.00125</w:t>
            </w:r>
          </w:p>
        </w:tc>
      </w:tr>
      <w:tr w:rsidR="001E30D8" w:rsidTr="0034102B">
        <w:trPr>
          <w:trHeight w:val="315"/>
        </w:trPr>
        <w:tc>
          <w:tcPr>
            <w:tcW w:w="1767" w:type="dxa"/>
            <w:tcBorders>
              <w:bottom w:val="single" w:sz="12" w:space="0" w:color="auto"/>
            </w:tcBorders>
            <w:noWrap/>
            <w:hideMark/>
          </w:tcPr>
          <w:p w:rsidR="00AB3BE5" w:rsidRPr="00045FB6" w:rsidRDefault="00AB3BE5" w:rsidP="00AB3BE5">
            <w:pPr>
              <w:jc w:val="left"/>
              <w:rPr>
                <w:color w:val="000000"/>
                <w:sz w:val="20"/>
                <w:szCs w:val="20"/>
              </w:rPr>
            </w:pPr>
          </w:p>
        </w:tc>
        <w:tc>
          <w:tcPr>
            <w:tcW w:w="2061" w:type="dxa"/>
            <w:tcBorders>
              <w:bottom w:val="single" w:sz="12" w:space="0" w:color="auto"/>
            </w:tcBorders>
            <w:noWrap/>
            <w:hideMark/>
          </w:tcPr>
          <w:p w:rsidR="00AB3BE5" w:rsidRPr="00045FB6" w:rsidRDefault="00AB3BE5" w:rsidP="00045FB6">
            <w:pPr>
              <w:jc w:val="left"/>
              <w:rPr>
                <w:color w:val="000000"/>
                <w:sz w:val="20"/>
                <w:szCs w:val="20"/>
              </w:rPr>
            </w:pPr>
          </w:p>
        </w:tc>
        <w:tc>
          <w:tcPr>
            <w:tcW w:w="1418" w:type="dxa"/>
            <w:tcBorders>
              <w:bottom w:val="single" w:sz="12" w:space="0" w:color="auto"/>
            </w:tcBorders>
            <w:noWrap/>
            <w:hideMark/>
          </w:tcPr>
          <w:p w:rsidR="00AB3BE5" w:rsidRPr="00045FB6" w:rsidRDefault="00AB3BE5" w:rsidP="00045FB6">
            <w:pPr>
              <w:jc w:val="center"/>
              <w:rPr>
                <w:color w:val="000000"/>
                <w:sz w:val="20"/>
                <w:szCs w:val="20"/>
              </w:rPr>
            </w:pPr>
            <w:r w:rsidRPr="00045FB6">
              <w:rPr>
                <w:color w:val="000000"/>
                <w:sz w:val="20"/>
                <w:szCs w:val="20"/>
              </w:rPr>
              <w:t>[0.000215]</w:t>
            </w:r>
          </w:p>
        </w:tc>
        <w:tc>
          <w:tcPr>
            <w:tcW w:w="1417" w:type="dxa"/>
            <w:tcBorders>
              <w:bottom w:val="single" w:sz="12" w:space="0" w:color="auto"/>
            </w:tcBorders>
          </w:tcPr>
          <w:p w:rsidR="00AB3BE5" w:rsidRPr="00045FB6" w:rsidRDefault="00AB3BE5" w:rsidP="001E30D8">
            <w:pPr>
              <w:jc w:val="center"/>
              <w:rPr>
                <w:color w:val="000000"/>
                <w:sz w:val="20"/>
                <w:szCs w:val="20"/>
              </w:rPr>
            </w:pPr>
            <w:r w:rsidRPr="00045FB6">
              <w:rPr>
                <w:color w:val="000000"/>
                <w:sz w:val="20"/>
                <w:szCs w:val="20"/>
              </w:rPr>
              <w:t>[0.000117]</w:t>
            </w:r>
            <w:r w:rsidR="001E30D8" w:rsidRPr="00045FB6">
              <w:rPr>
                <w:color w:val="000000"/>
                <w:sz w:val="20"/>
                <w:szCs w:val="20"/>
              </w:rPr>
              <w:t>***</w:t>
            </w:r>
          </w:p>
        </w:tc>
        <w:tc>
          <w:tcPr>
            <w:tcW w:w="1418" w:type="dxa"/>
            <w:tcBorders>
              <w:bottom w:val="single" w:sz="12" w:space="0" w:color="auto"/>
            </w:tcBorders>
            <w:noWrap/>
            <w:hideMark/>
          </w:tcPr>
          <w:p w:rsidR="00AB3BE5" w:rsidRPr="00045FB6" w:rsidRDefault="00AB3BE5" w:rsidP="00045FB6">
            <w:pPr>
              <w:jc w:val="center"/>
              <w:rPr>
                <w:color w:val="000000"/>
                <w:sz w:val="20"/>
                <w:szCs w:val="20"/>
              </w:rPr>
            </w:pPr>
            <w:r w:rsidRPr="00045FB6">
              <w:rPr>
                <w:color w:val="000000"/>
                <w:sz w:val="20"/>
                <w:szCs w:val="20"/>
              </w:rPr>
              <w:t>[0.000624]</w:t>
            </w:r>
          </w:p>
        </w:tc>
        <w:tc>
          <w:tcPr>
            <w:tcW w:w="1559" w:type="dxa"/>
            <w:tcBorders>
              <w:bottom w:val="single" w:sz="12" w:space="0" w:color="auto"/>
            </w:tcBorders>
            <w:noWrap/>
            <w:hideMark/>
          </w:tcPr>
          <w:p w:rsidR="00AB3BE5" w:rsidRPr="00045FB6" w:rsidRDefault="00AB3BE5" w:rsidP="00045FB6">
            <w:pPr>
              <w:jc w:val="center"/>
              <w:rPr>
                <w:color w:val="000000"/>
                <w:sz w:val="20"/>
                <w:szCs w:val="20"/>
              </w:rPr>
            </w:pPr>
            <w:r w:rsidRPr="00045FB6">
              <w:rPr>
                <w:color w:val="000000"/>
                <w:sz w:val="20"/>
                <w:szCs w:val="20"/>
              </w:rPr>
              <w:t>[0.000916]</w:t>
            </w:r>
          </w:p>
        </w:tc>
      </w:tr>
    </w:tbl>
    <w:p w:rsidR="00AB3BE5" w:rsidRPr="00410EE7" w:rsidRDefault="00AB3BE5" w:rsidP="00AB3BE5">
      <w:pPr>
        <w:spacing w:line="240" w:lineRule="auto"/>
        <w:jc w:val="left"/>
        <w:rPr>
          <w:color w:val="000000"/>
          <w:sz w:val="20"/>
          <w:szCs w:val="20"/>
          <w:lang w:eastAsia="en-GB"/>
        </w:rPr>
      </w:pPr>
      <w:proofErr w:type="gramStart"/>
      <w:r w:rsidRPr="00410EE7">
        <w:rPr>
          <w:i/>
          <w:color w:val="000000"/>
          <w:sz w:val="20"/>
          <w:szCs w:val="20"/>
          <w:lang w:eastAsia="en-GB"/>
        </w:rPr>
        <w:t>Notes</w:t>
      </w:r>
      <w:r w:rsidRPr="00410EE7">
        <w:rPr>
          <w:color w:val="000000"/>
          <w:sz w:val="20"/>
          <w:szCs w:val="20"/>
          <w:lang w:eastAsia="en-GB"/>
        </w:rPr>
        <w:t>.</w:t>
      </w:r>
      <w:proofErr w:type="gramEnd"/>
      <w:r w:rsidRPr="00410EE7">
        <w:rPr>
          <w:color w:val="000000"/>
          <w:sz w:val="20"/>
          <w:szCs w:val="20"/>
          <w:lang w:eastAsia="en-GB"/>
        </w:rPr>
        <w:t xml:space="preserve"> </w:t>
      </w:r>
      <w:proofErr w:type="gramStart"/>
      <w:r w:rsidRPr="00410EE7">
        <w:rPr>
          <w:color w:val="000000"/>
          <w:sz w:val="20"/>
          <w:szCs w:val="20"/>
          <w:lang w:eastAsia="en-GB"/>
        </w:rPr>
        <w:t xml:space="preserve">Estimates from </w:t>
      </w:r>
      <w:r>
        <w:rPr>
          <w:color w:val="000000"/>
          <w:sz w:val="20"/>
          <w:szCs w:val="20"/>
          <w:lang w:eastAsia="en-GB"/>
        </w:rPr>
        <w:t xml:space="preserve">conditional fixed effects </w:t>
      </w:r>
      <w:r w:rsidRPr="00410EE7">
        <w:rPr>
          <w:color w:val="000000"/>
          <w:sz w:val="20"/>
          <w:szCs w:val="20"/>
          <w:lang w:eastAsia="en-GB"/>
        </w:rPr>
        <w:t>Poisson models.</w:t>
      </w:r>
      <w:proofErr w:type="gramEnd"/>
      <w:r w:rsidRPr="00410EE7">
        <w:rPr>
          <w:color w:val="000000"/>
          <w:sz w:val="20"/>
          <w:szCs w:val="20"/>
          <w:lang w:eastAsia="en-GB"/>
        </w:rPr>
        <w:t xml:space="preserve"> </w:t>
      </w:r>
      <w:r w:rsidR="00CB417B">
        <w:rPr>
          <w:color w:val="000000"/>
          <w:sz w:val="20"/>
          <w:szCs w:val="20"/>
          <w:lang w:eastAsia="en-GB"/>
        </w:rPr>
        <w:t>Years: 2004 to 2009</w:t>
      </w:r>
      <w:r w:rsidR="00CB417B" w:rsidRPr="00410EE7">
        <w:rPr>
          <w:color w:val="000000"/>
          <w:sz w:val="20"/>
          <w:szCs w:val="20"/>
          <w:lang w:eastAsia="en-GB"/>
        </w:rPr>
        <w:t>.</w:t>
      </w:r>
      <w:r w:rsidR="00CB417B">
        <w:rPr>
          <w:color w:val="000000"/>
          <w:sz w:val="20"/>
          <w:szCs w:val="20"/>
          <w:lang w:eastAsia="en-GB"/>
        </w:rPr>
        <w:t xml:space="preserve"> </w:t>
      </w:r>
      <w:r w:rsidRPr="00410EE7">
        <w:rPr>
          <w:color w:val="000000"/>
          <w:sz w:val="20"/>
          <w:szCs w:val="20"/>
          <w:lang w:eastAsia="en-GB"/>
        </w:rPr>
        <w:t xml:space="preserve">All models also contain year and SHA interactions, total practice list size, proportion of list in 13 age/gender groups, patients per whole time equivalent GP, average GP age, proportion female GPs, proportion GPs qualified in UK, proportion of non-principal GPs, 15 QOF practice quality indicators, disease prevalence and patient deprivation,  proportion of referrals to 53 separate specialities. </w:t>
      </w:r>
      <w:proofErr w:type="gramStart"/>
      <w:r w:rsidR="00CB417B">
        <w:rPr>
          <w:color w:val="000000"/>
          <w:sz w:val="20"/>
          <w:szCs w:val="20"/>
          <w:lang w:eastAsia="en-GB"/>
        </w:rPr>
        <w:t>Same number of observations as in Table 2 models.</w:t>
      </w:r>
      <w:proofErr w:type="gramEnd"/>
      <w:r w:rsidR="00CB417B">
        <w:rPr>
          <w:color w:val="000000"/>
          <w:sz w:val="20"/>
          <w:szCs w:val="20"/>
          <w:lang w:eastAsia="en-GB"/>
        </w:rPr>
        <w:t xml:space="preserve"> </w:t>
      </w:r>
      <w:r w:rsidRPr="00410EE7">
        <w:rPr>
          <w:color w:val="000000"/>
          <w:sz w:val="20"/>
          <w:szCs w:val="20"/>
          <w:lang w:eastAsia="en-GB"/>
        </w:rPr>
        <w:t xml:space="preserve"> Coefficients are the proportionate change in the dependent variable from a one unit change in the explanatory.  Robust standard errors in square brackets allow for clustering within GP practices. </w:t>
      </w:r>
    </w:p>
    <w:p w:rsidR="00AB3BE5" w:rsidRDefault="00DB1EC8" w:rsidP="00AB3BE5">
      <w:pPr>
        <w:spacing w:line="240" w:lineRule="auto"/>
        <w:jc w:val="left"/>
        <w:rPr>
          <w:color w:val="000000"/>
          <w:sz w:val="20"/>
          <w:szCs w:val="20"/>
          <w:lang w:eastAsia="en-GB"/>
        </w:rPr>
      </w:pPr>
      <w:r w:rsidRPr="00D62579">
        <w:rPr>
          <w:color w:val="000000"/>
          <w:sz w:val="20"/>
          <w:szCs w:val="20"/>
          <w:lang w:eastAsia="en-GB"/>
        </w:rPr>
        <w:t>*</w:t>
      </w:r>
      <w:r>
        <w:rPr>
          <w:color w:val="000000"/>
          <w:sz w:val="20"/>
          <w:szCs w:val="20"/>
          <w:lang w:eastAsia="en-GB"/>
        </w:rPr>
        <w:t>:</w:t>
      </w:r>
      <w:r w:rsidRPr="00D62579">
        <w:rPr>
          <w:color w:val="000000"/>
          <w:sz w:val="20"/>
          <w:szCs w:val="20"/>
          <w:lang w:eastAsia="en-GB"/>
        </w:rPr>
        <w:t xml:space="preserve"> p &lt; 0.05; **</w:t>
      </w:r>
      <w:r>
        <w:rPr>
          <w:color w:val="000000"/>
          <w:sz w:val="20"/>
          <w:szCs w:val="20"/>
          <w:lang w:eastAsia="en-GB"/>
        </w:rPr>
        <w:t>:</w:t>
      </w:r>
      <w:r w:rsidRPr="00D62579">
        <w:rPr>
          <w:color w:val="000000"/>
          <w:sz w:val="20"/>
          <w:szCs w:val="20"/>
          <w:lang w:eastAsia="en-GB"/>
        </w:rPr>
        <w:t xml:space="preserve"> p&lt; 0.01; ***</w:t>
      </w:r>
      <w:r>
        <w:rPr>
          <w:color w:val="000000"/>
          <w:sz w:val="20"/>
          <w:szCs w:val="20"/>
          <w:lang w:eastAsia="en-GB"/>
        </w:rPr>
        <w:t>:</w:t>
      </w:r>
      <w:r w:rsidRPr="00D62579">
        <w:rPr>
          <w:color w:val="000000"/>
          <w:sz w:val="20"/>
          <w:szCs w:val="20"/>
          <w:lang w:eastAsia="en-GB"/>
        </w:rPr>
        <w:t xml:space="preserve"> p &lt; 0.001 </w:t>
      </w:r>
    </w:p>
    <w:p w:rsidR="00D42F73" w:rsidRDefault="00D42F73" w:rsidP="00AB3BE5">
      <w:pPr>
        <w:spacing w:line="240" w:lineRule="auto"/>
        <w:jc w:val="left"/>
        <w:rPr>
          <w:color w:val="000000"/>
          <w:sz w:val="20"/>
          <w:szCs w:val="20"/>
          <w:lang w:eastAsia="en-GB"/>
        </w:rPr>
      </w:pPr>
    </w:p>
    <w:p w:rsidR="00CB417B" w:rsidRDefault="00CB417B">
      <w:pPr>
        <w:spacing w:line="240" w:lineRule="auto"/>
        <w:jc w:val="left"/>
        <w:rPr>
          <w:color w:val="000000"/>
          <w:sz w:val="20"/>
          <w:szCs w:val="20"/>
          <w:lang w:eastAsia="en-GB"/>
        </w:rPr>
      </w:pPr>
      <w:r>
        <w:rPr>
          <w:color w:val="000000"/>
          <w:sz w:val="20"/>
          <w:szCs w:val="20"/>
          <w:lang w:eastAsia="en-GB"/>
        </w:rPr>
        <w:br w:type="page"/>
      </w:r>
    </w:p>
    <w:p w:rsidR="00CB417B" w:rsidRDefault="00CB417B">
      <w:pPr>
        <w:spacing w:line="240" w:lineRule="auto"/>
        <w:jc w:val="left"/>
        <w:rPr>
          <w:b/>
          <w:noProof/>
          <w:lang w:eastAsia="en-GB"/>
        </w:rPr>
      </w:pPr>
    </w:p>
    <w:p w:rsidR="00DD0793" w:rsidRDefault="003A48EC" w:rsidP="00DD0793">
      <w:pPr>
        <w:spacing w:line="240" w:lineRule="auto"/>
        <w:rPr>
          <w:color w:val="000000"/>
          <w:sz w:val="20"/>
          <w:szCs w:val="20"/>
          <w:lang w:eastAsia="en-GB"/>
        </w:rPr>
      </w:pPr>
      <w:r>
        <w:rPr>
          <w:b/>
          <w:noProof/>
          <w:lang w:eastAsia="en-GB"/>
        </w:rPr>
        <w:t>Table 6</w:t>
      </w:r>
      <w:r w:rsidR="00DD0793" w:rsidRPr="00410EE7">
        <w:rPr>
          <w:b/>
          <w:noProof/>
          <w:lang w:eastAsia="en-GB"/>
        </w:rPr>
        <w:t xml:space="preserve">.  </w:t>
      </w:r>
      <w:r w:rsidR="00EF2351">
        <w:rPr>
          <w:b/>
          <w:noProof/>
          <w:lang w:eastAsia="en-GB"/>
        </w:rPr>
        <w:t>Allowing for endogeneity of C&amp;B rate</w:t>
      </w:r>
      <w:r w:rsidR="00B037EB">
        <w:rPr>
          <w:b/>
          <w:noProof/>
          <w:lang w:eastAsia="en-GB"/>
        </w:rPr>
        <w:t xml:space="preserve"> and for choice</w:t>
      </w:r>
      <w:r w:rsidR="00EF2351">
        <w:rPr>
          <w:b/>
          <w:noProof/>
          <w:lang w:eastAsia="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2"/>
        <w:gridCol w:w="1800"/>
        <w:gridCol w:w="1794"/>
        <w:gridCol w:w="1933"/>
        <w:gridCol w:w="1722"/>
      </w:tblGrid>
      <w:tr w:rsidR="00A5698A" w:rsidRPr="00DD0793" w:rsidTr="0049319D">
        <w:tc>
          <w:tcPr>
            <w:tcW w:w="1952" w:type="dxa"/>
            <w:tcBorders>
              <w:bottom w:val="single" w:sz="4" w:space="0" w:color="auto"/>
            </w:tcBorders>
            <w:noWrap/>
            <w:vAlign w:val="center"/>
            <w:hideMark/>
          </w:tcPr>
          <w:p w:rsidR="00A5698A" w:rsidRPr="00B037EB" w:rsidRDefault="00A5698A" w:rsidP="00B037EB">
            <w:pPr>
              <w:spacing w:line="240" w:lineRule="auto"/>
              <w:jc w:val="left"/>
              <w:rPr>
                <w:color w:val="000000"/>
                <w:sz w:val="20"/>
                <w:szCs w:val="20"/>
                <w:lang w:eastAsia="en-GB"/>
              </w:rPr>
            </w:pPr>
            <w:r w:rsidRPr="00B037EB">
              <w:rPr>
                <w:color w:val="000000"/>
                <w:sz w:val="20"/>
                <w:szCs w:val="20"/>
                <w:lang w:eastAsia="en-GB"/>
              </w:rPr>
              <w:t> </w:t>
            </w:r>
          </w:p>
        </w:tc>
        <w:tc>
          <w:tcPr>
            <w:tcW w:w="1800" w:type="dxa"/>
            <w:tcBorders>
              <w:bottom w:val="single" w:sz="4" w:space="0" w:color="auto"/>
            </w:tcBorders>
            <w:noWrap/>
            <w:vAlign w:val="center"/>
            <w:hideMark/>
          </w:tcPr>
          <w:p w:rsidR="00A5698A" w:rsidRPr="00B037EB" w:rsidRDefault="00A5698A" w:rsidP="00B037EB">
            <w:pPr>
              <w:spacing w:line="240" w:lineRule="auto"/>
              <w:jc w:val="center"/>
              <w:rPr>
                <w:b/>
                <w:bCs/>
                <w:color w:val="000000"/>
                <w:sz w:val="20"/>
                <w:szCs w:val="20"/>
                <w:lang w:val="en-US"/>
              </w:rPr>
            </w:pPr>
            <w:r w:rsidRPr="00B037EB">
              <w:rPr>
                <w:b/>
                <w:bCs/>
                <w:color w:val="000000"/>
                <w:sz w:val="20"/>
                <w:szCs w:val="20"/>
                <w:lang w:val="en-US"/>
              </w:rPr>
              <w:t>Non-attendance</w:t>
            </w:r>
          </w:p>
        </w:tc>
        <w:tc>
          <w:tcPr>
            <w:tcW w:w="1794" w:type="dxa"/>
            <w:tcBorders>
              <w:bottom w:val="single" w:sz="4" w:space="0" w:color="auto"/>
            </w:tcBorders>
            <w:vAlign w:val="center"/>
          </w:tcPr>
          <w:p w:rsidR="00A5698A" w:rsidRPr="00B037EB" w:rsidRDefault="00A5698A" w:rsidP="00B037EB">
            <w:pPr>
              <w:spacing w:line="240" w:lineRule="auto"/>
              <w:jc w:val="center"/>
              <w:rPr>
                <w:b/>
                <w:bCs/>
                <w:color w:val="000000"/>
                <w:sz w:val="20"/>
                <w:szCs w:val="20"/>
                <w:lang w:val="en-US"/>
              </w:rPr>
            </w:pPr>
            <w:r w:rsidRPr="00B037EB">
              <w:rPr>
                <w:b/>
                <w:bCs/>
                <w:color w:val="000000"/>
                <w:sz w:val="20"/>
                <w:szCs w:val="20"/>
                <w:lang w:val="en-US"/>
              </w:rPr>
              <w:t>GP referrals</w:t>
            </w:r>
          </w:p>
        </w:tc>
        <w:tc>
          <w:tcPr>
            <w:tcW w:w="1933" w:type="dxa"/>
            <w:tcBorders>
              <w:bottom w:val="single" w:sz="4" w:space="0" w:color="auto"/>
            </w:tcBorders>
            <w:noWrap/>
            <w:vAlign w:val="center"/>
            <w:hideMark/>
          </w:tcPr>
          <w:p w:rsidR="00A5698A" w:rsidRPr="00B037EB" w:rsidRDefault="00A5698A" w:rsidP="00B037EB">
            <w:pPr>
              <w:spacing w:line="240" w:lineRule="auto"/>
              <w:jc w:val="center"/>
              <w:rPr>
                <w:b/>
                <w:bCs/>
                <w:color w:val="000000"/>
                <w:sz w:val="20"/>
                <w:szCs w:val="20"/>
                <w:lang w:val="en-US"/>
              </w:rPr>
            </w:pPr>
            <w:r w:rsidRPr="00B037EB">
              <w:rPr>
                <w:b/>
                <w:bCs/>
                <w:color w:val="000000"/>
                <w:sz w:val="20"/>
                <w:szCs w:val="20"/>
                <w:lang w:val="en-US"/>
              </w:rPr>
              <w:t>Patient cancellation</w:t>
            </w:r>
          </w:p>
        </w:tc>
        <w:tc>
          <w:tcPr>
            <w:tcW w:w="1722" w:type="dxa"/>
            <w:tcBorders>
              <w:bottom w:val="single" w:sz="4" w:space="0" w:color="auto"/>
            </w:tcBorders>
            <w:noWrap/>
            <w:vAlign w:val="center"/>
            <w:hideMark/>
          </w:tcPr>
          <w:p w:rsidR="00A5698A" w:rsidRPr="00B037EB" w:rsidRDefault="00A5698A" w:rsidP="00B037EB">
            <w:pPr>
              <w:spacing w:line="240" w:lineRule="auto"/>
              <w:jc w:val="center"/>
              <w:rPr>
                <w:b/>
                <w:bCs/>
                <w:color w:val="000000"/>
                <w:sz w:val="20"/>
                <w:szCs w:val="20"/>
                <w:lang w:val="en-US"/>
              </w:rPr>
            </w:pPr>
            <w:r w:rsidRPr="00B037EB">
              <w:rPr>
                <w:b/>
                <w:bCs/>
                <w:color w:val="000000"/>
                <w:sz w:val="20"/>
                <w:szCs w:val="20"/>
                <w:lang w:val="en-US"/>
              </w:rPr>
              <w:t>Hospital cancellations</w:t>
            </w:r>
          </w:p>
        </w:tc>
      </w:tr>
      <w:tr w:rsidR="00443D1B" w:rsidRPr="00DD0793" w:rsidTr="0049319D">
        <w:tc>
          <w:tcPr>
            <w:tcW w:w="9201" w:type="dxa"/>
            <w:gridSpan w:val="5"/>
            <w:tcBorders>
              <w:top w:val="single" w:sz="4" w:space="0" w:color="auto"/>
            </w:tcBorders>
            <w:noWrap/>
            <w:vAlign w:val="center"/>
          </w:tcPr>
          <w:p w:rsidR="00443D1B" w:rsidRPr="00B037EB" w:rsidRDefault="003A48EC" w:rsidP="003A48EC">
            <w:pPr>
              <w:spacing w:line="240" w:lineRule="auto"/>
              <w:jc w:val="left"/>
              <w:rPr>
                <w:color w:val="000000"/>
                <w:sz w:val="20"/>
                <w:szCs w:val="20"/>
              </w:rPr>
            </w:pPr>
            <w:r>
              <w:rPr>
                <w:b/>
                <w:color w:val="000000"/>
                <w:sz w:val="20"/>
                <w:szCs w:val="20"/>
                <w:lang w:eastAsia="en-GB"/>
              </w:rPr>
              <w:t>a: No IV, c</w:t>
            </w:r>
            <w:r w:rsidR="00443D1B" w:rsidRPr="00B037EB">
              <w:rPr>
                <w:b/>
                <w:color w:val="000000"/>
                <w:sz w:val="20"/>
                <w:szCs w:val="20"/>
                <w:lang w:eastAsia="en-GB"/>
              </w:rPr>
              <w:t>hoice measure not included</w:t>
            </w:r>
            <w:r>
              <w:rPr>
                <w:b/>
                <w:color w:val="000000"/>
                <w:sz w:val="20"/>
                <w:szCs w:val="20"/>
                <w:lang w:eastAsia="en-GB"/>
              </w:rPr>
              <w:t xml:space="preserve">: </w:t>
            </w:r>
          </w:p>
        </w:tc>
      </w:tr>
      <w:tr w:rsidR="003A48EC" w:rsidRPr="00DD0793" w:rsidTr="0049319D">
        <w:tc>
          <w:tcPr>
            <w:tcW w:w="1952" w:type="dxa"/>
            <w:noWrap/>
          </w:tcPr>
          <w:p w:rsidR="003A48EC" w:rsidRPr="00410EE7" w:rsidRDefault="003A48EC" w:rsidP="003A48EC">
            <w:pPr>
              <w:spacing w:line="240" w:lineRule="auto"/>
              <w:jc w:val="left"/>
              <w:rPr>
                <w:color w:val="000000"/>
                <w:sz w:val="20"/>
                <w:szCs w:val="20"/>
                <w:lang w:val="en-US"/>
              </w:rPr>
            </w:pPr>
            <w:r w:rsidRPr="00410EE7">
              <w:rPr>
                <w:b/>
                <w:color w:val="000000"/>
                <w:sz w:val="20"/>
                <w:szCs w:val="20"/>
                <w:lang w:eastAsia="en-GB"/>
              </w:rPr>
              <w:t>C&amp;B rate</w:t>
            </w:r>
          </w:p>
        </w:tc>
        <w:tc>
          <w:tcPr>
            <w:tcW w:w="1800" w:type="dxa"/>
            <w:noWrap/>
          </w:tcPr>
          <w:p w:rsidR="003A48EC" w:rsidRPr="00410EE7" w:rsidRDefault="003A48EC" w:rsidP="003A48EC">
            <w:pPr>
              <w:spacing w:line="240" w:lineRule="auto"/>
              <w:jc w:val="center"/>
              <w:rPr>
                <w:color w:val="000000"/>
                <w:sz w:val="20"/>
                <w:szCs w:val="20"/>
                <w:lang w:val="en-US"/>
              </w:rPr>
            </w:pPr>
            <w:r w:rsidRPr="00410EE7">
              <w:rPr>
                <w:color w:val="000000"/>
                <w:sz w:val="20"/>
                <w:szCs w:val="20"/>
                <w:lang w:val="en-US"/>
              </w:rPr>
              <w:t>-0.0023</w:t>
            </w:r>
          </w:p>
        </w:tc>
        <w:tc>
          <w:tcPr>
            <w:tcW w:w="1794" w:type="dxa"/>
          </w:tcPr>
          <w:p w:rsidR="003A48EC" w:rsidRPr="00410EE7" w:rsidRDefault="003A48EC" w:rsidP="003A48EC">
            <w:pPr>
              <w:spacing w:line="240" w:lineRule="auto"/>
              <w:jc w:val="center"/>
              <w:rPr>
                <w:color w:val="000000"/>
                <w:sz w:val="20"/>
                <w:szCs w:val="20"/>
                <w:lang w:val="en-US"/>
              </w:rPr>
            </w:pPr>
            <w:r w:rsidRPr="00410EE7">
              <w:rPr>
                <w:color w:val="000000"/>
                <w:sz w:val="20"/>
                <w:szCs w:val="20"/>
                <w:lang w:val="en-US"/>
              </w:rPr>
              <w:t>-0.0006</w:t>
            </w:r>
            <w:r>
              <w:rPr>
                <w:color w:val="000000"/>
                <w:sz w:val="20"/>
                <w:szCs w:val="20"/>
                <w:lang w:val="en-US"/>
              </w:rPr>
              <w:t>13</w:t>
            </w:r>
          </w:p>
        </w:tc>
        <w:tc>
          <w:tcPr>
            <w:tcW w:w="1933" w:type="dxa"/>
            <w:noWrap/>
          </w:tcPr>
          <w:p w:rsidR="003A48EC" w:rsidRPr="00410EE7" w:rsidRDefault="003A48EC" w:rsidP="003A48EC">
            <w:pPr>
              <w:spacing w:line="240" w:lineRule="auto"/>
              <w:jc w:val="center"/>
              <w:rPr>
                <w:color w:val="000000"/>
                <w:sz w:val="20"/>
                <w:szCs w:val="20"/>
                <w:lang w:val="en-US"/>
              </w:rPr>
            </w:pPr>
            <w:r w:rsidRPr="00410EE7">
              <w:rPr>
                <w:color w:val="000000"/>
                <w:sz w:val="20"/>
                <w:szCs w:val="20"/>
                <w:lang w:val="en-US"/>
              </w:rPr>
              <w:t>-0.000</w:t>
            </w:r>
            <w:r>
              <w:rPr>
                <w:color w:val="000000"/>
                <w:sz w:val="20"/>
                <w:szCs w:val="20"/>
                <w:lang w:val="en-US"/>
              </w:rPr>
              <w:t>87</w:t>
            </w:r>
          </w:p>
        </w:tc>
        <w:tc>
          <w:tcPr>
            <w:tcW w:w="1722" w:type="dxa"/>
            <w:noWrap/>
          </w:tcPr>
          <w:p w:rsidR="003A48EC" w:rsidRPr="00410EE7" w:rsidRDefault="003A48EC" w:rsidP="003A48EC">
            <w:pPr>
              <w:spacing w:line="240" w:lineRule="auto"/>
              <w:jc w:val="center"/>
              <w:rPr>
                <w:color w:val="000000"/>
                <w:sz w:val="20"/>
                <w:szCs w:val="20"/>
                <w:lang w:val="en-US"/>
              </w:rPr>
            </w:pPr>
            <w:r w:rsidRPr="00410EE7">
              <w:rPr>
                <w:color w:val="000000"/>
                <w:sz w:val="20"/>
                <w:szCs w:val="20"/>
                <w:lang w:val="en-US"/>
              </w:rPr>
              <w:t>0.0068</w:t>
            </w:r>
          </w:p>
        </w:tc>
      </w:tr>
      <w:tr w:rsidR="003A48EC" w:rsidRPr="00DD0793" w:rsidTr="0049319D">
        <w:tc>
          <w:tcPr>
            <w:tcW w:w="1952" w:type="dxa"/>
            <w:tcBorders>
              <w:bottom w:val="single" w:sz="4" w:space="0" w:color="auto"/>
            </w:tcBorders>
            <w:noWrap/>
          </w:tcPr>
          <w:p w:rsidR="003A48EC" w:rsidRPr="00410EE7" w:rsidRDefault="003A48EC" w:rsidP="003A48EC">
            <w:pPr>
              <w:spacing w:line="240" w:lineRule="auto"/>
              <w:jc w:val="left"/>
              <w:rPr>
                <w:color w:val="000000"/>
                <w:sz w:val="20"/>
                <w:szCs w:val="20"/>
                <w:lang w:val="en-US"/>
              </w:rPr>
            </w:pPr>
          </w:p>
        </w:tc>
        <w:tc>
          <w:tcPr>
            <w:tcW w:w="1800" w:type="dxa"/>
            <w:tcBorders>
              <w:bottom w:val="single" w:sz="4" w:space="0" w:color="auto"/>
            </w:tcBorders>
            <w:noWrap/>
          </w:tcPr>
          <w:p w:rsidR="003A48EC" w:rsidRPr="00410EE7" w:rsidRDefault="003A48EC" w:rsidP="003A48EC">
            <w:pPr>
              <w:spacing w:line="240" w:lineRule="auto"/>
              <w:jc w:val="center"/>
              <w:rPr>
                <w:color w:val="000000"/>
                <w:sz w:val="20"/>
                <w:szCs w:val="20"/>
                <w:lang w:val="en-US"/>
              </w:rPr>
            </w:pPr>
            <w:r w:rsidRPr="00410EE7">
              <w:rPr>
                <w:color w:val="000000"/>
                <w:sz w:val="20"/>
                <w:szCs w:val="20"/>
                <w:lang w:val="en-US"/>
              </w:rPr>
              <w:t>[0.00012]***</w:t>
            </w:r>
          </w:p>
        </w:tc>
        <w:tc>
          <w:tcPr>
            <w:tcW w:w="1794" w:type="dxa"/>
            <w:tcBorders>
              <w:bottom w:val="single" w:sz="4" w:space="0" w:color="auto"/>
            </w:tcBorders>
          </w:tcPr>
          <w:p w:rsidR="003A48EC" w:rsidRPr="00410EE7" w:rsidRDefault="003A48EC" w:rsidP="003A48EC">
            <w:pPr>
              <w:spacing w:line="240" w:lineRule="auto"/>
              <w:jc w:val="center"/>
              <w:rPr>
                <w:color w:val="000000"/>
                <w:sz w:val="20"/>
                <w:szCs w:val="20"/>
                <w:lang w:val="en-US"/>
              </w:rPr>
            </w:pPr>
            <w:r w:rsidRPr="00410EE7">
              <w:rPr>
                <w:color w:val="000000"/>
                <w:sz w:val="20"/>
                <w:szCs w:val="20"/>
                <w:lang w:val="en-US"/>
              </w:rPr>
              <w:t>[0.000071]***</w:t>
            </w:r>
          </w:p>
        </w:tc>
        <w:tc>
          <w:tcPr>
            <w:tcW w:w="1933" w:type="dxa"/>
            <w:tcBorders>
              <w:bottom w:val="single" w:sz="4" w:space="0" w:color="auto"/>
            </w:tcBorders>
            <w:noWrap/>
          </w:tcPr>
          <w:p w:rsidR="003A48EC" w:rsidRPr="00410EE7" w:rsidRDefault="003A48EC" w:rsidP="003A48EC">
            <w:pPr>
              <w:spacing w:line="240" w:lineRule="auto"/>
              <w:jc w:val="center"/>
              <w:rPr>
                <w:color w:val="000000"/>
                <w:sz w:val="20"/>
                <w:szCs w:val="20"/>
                <w:lang w:val="en-US"/>
              </w:rPr>
            </w:pPr>
            <w:r w:rsidRPr="00410EE7">
              <w:rPr>
                <w:color w:val="000000"/>
                <w:sz w:val="20"/>
                <w:szCs w:val="20"/>
                <w:lang w:val="en-US"/>
              </w:rPr>
              <w:t>[0.00034]*</w:t>
            </w:r>
          </w:p>
        </w:tc>
        <w:tc>
          <w:tcPr>
            <w:tcW w:w="1722" w:type="dxa"/>
            <w:tcBorders>
              <w:bottom w:val="single" w:sz="4" w:space="0" w:color="auto"/>
            </w:tcBorders>
            <w:noWrap/>
          </w:tcPr>
          <w:p w:rsidR="003A48EC" w:rsidRPr="00410EE7" w:rsidRDefault="003A48EC" w:rsidP="003A48EC">
            <w:pPr>
              <w:spacing w:line="240" w:lineRule="auto"/>
              <w:jc w:val="center"/>
              <w:rPr>
                <w:color w:val="000000"/>
                <w:sz w:val="20"/>
                <w:szCs w:val="20"/>
                <w:lang w:val="en-US"/>
              </w:rPr>
            </w:pPr>
            <w:r w:rsidRPr="00410EE7">
              <w:rPr>
                <w:color w:val="000000"/>
                <w:sz w:val="20"/>
                <w:szCs w:val="20"/>
                <w:lang w:val="en-US"/>
              </w:rPr>
              <w:t>[0.00044]***</w:t>
            </w:r>
          </w:p>
        </w:tc>
      </w:tr>
      <w:tr w:rsidR="003A48EC" w:rsidRPr="00DD0793" w:rsidTr="0049319D">
        <w:tc>
          <w:tcPr>
            <w:tcW w:w="9201" w:type="dxa"/>
            <w:gridSpan w:val="5"/>
            <w:tcBorders>
              <w:top w:val="single" w:sz="4" w:space="0" w:color="auto"/>
            </w:tcBorders>
            <w:noWrap/>
            <w:vAlign w:val="center"/>
          </w:tcPr>
          <w:p w:rsidR="003A48EC" w:rsidRPr="00B037EB" w:rsidRDefault="003A48EC" w:rsidP="003A48EC">
            <w:pPr>
              <w:spacing w:line="240" w:lineRule="auto"/>
              <w:jc w:val="left"/>
              <w:rPr>
                <w:color w:val="000000"/>
                <w:sz w:val="20"/>
                <w:szCs w:val="20"/>
                <w:highlight w:val="yellow"/>
              </w:rPr>
            </w:pPr>
            <w:r>
              <w:rPr>
                <w:b/>
                <w:color w:val="000000"/>
                <w:sz w:val="20"/>
                <w:szCs w:val="20"/>
                <w:lang w:eastAsia="en-GB"/>
              </w:rPr>
              <w:t>b: 2SRI, choice measure not included</w:t>
            </w:r>
          </w:p>
        </w:tc>
      </w:tr>
      <w:tr w:rsidR="00A5698A" w:rsidRPr="00DD0793" w:rsidTr="0049319D">
        <w:tc>
          <w:tcPr>
            <w:tcW w:w="1952" w:type="dxa"/>
            <w:noWrap/>
            <w:vAlign w:val="center"/>
            <w:hideMark/>
          </w:tcPr>
          <w:p w:rsidR="00A5698A" w:rsidRPr="00B037EB" w:rsidRDefault="00A5698A" w:rsidP="00B037EB">
            <w:pPr>
              <w:spacing w:line="240" w:lineRule="auto"/>
              <w:jc w:val="left"/>
              <w:rPr>
                <w:color w:val="000000"/>
                <w:sz w:val="20"/>
                <w:szCs w:val="20"/>
                <w:lang w:eastAsia="en-GB"/>
              </w:rPr>
            </w:pPr>
            <w:r w:rsidRPr="00B037EB">
              <w:rPr>
                <w:b/>
                <w:color w:val="000000"/>
                <w:sz w:val="20"/>
                <w:szCs w:val="20"/>
                <w:lang w:eastAsia="en-GB"/>
              </w:rPr>
              <w:t>C&amp;B rate</w:t>
            </w:r>
          </w:p>
        </w:tc>
        <w:tc>
          <w:tcPr>
            <w:tcW w:w="1800" w:type="dxa"/>
            <w:noWrap/>
            <w:vAlign w:val="center"/>
            <w:hideMark/>
          </w:tcPr>
          <w:p w:rsidR="00A5698A" w:rsidRPr="00EE6A2C" w:rsidRDefault="00A5698A" w:rsidP="00B037EB">
            <w:pPr>
              <w:spacing w:line="240" w:lineRule="auto"/>
              <w:jc w:val="center"/>
              <w:rPr>
                <w:color w:val="000000"/>
                <w:sz w:val="20"/>
                <w:szCs w:val="20"/>
                <w:lang w:eastAsia="en-GB"/>
              </w:rPr>
            </w:pPr>
            <w:r w:rsidRPr="00EE6A2C">
              <w:rPr>
                <w:color w:val="000000"/>
                <w:sz w:val="20"/>
                <w:szCs w:val="20"/>
                <w:lang w:eastAsia="en-GB"/>
              </w:rPr>
              <w:t>-0.0020398</w:t>
            </w:r>
          </w:p>
        </w:tc>
        <w:tc>
          <w:tcPr>
            <w:tcW w:w="1794" w:type="dxa"/>
            <w:vAlign w:val="center"/>
          </w:tcPr>
          <w:p w:rsidR="00A5698A" w:rsidRPr="00EE6A2C" w:rsidRDefault="00A5698A" w:rsidP="00B037EB">
            <w:pPr>
              <w:spacing w:line="240" w:lineRule="auto"/>
              <w:jc w:val="center"/>
              <w:rPr>
                <w:color w:val="000000"/>
                <w:sz w:val="20"/>
                <w:szCs w:val="20"/>
                <w:lang w:eastAsia="en-GB"/>
              </w:rPr>
            </w:pPr>
            <w:r w:rsidRPr="00EE6A2C">
              <w:rPr>
                <w:color w:val="000000"/>
                <w:sz w:val="20"/>
                <w:szCs w:val="20"/>
                <w:lang w:eastAsia="en-GB"/>
              </w:rPr>
              <w:t>-0.0017466</w:t>
            </w:r>
          </w:p>
        </w:tc>
        <w:tc>
          <w:tcPr>
            <w:tcW w:w="1933" w:type="dxa"/>
            <w:noWrap/>
            <w:vAlign w:val="center"/>
            <w:hideMark/>
          </w:tcPr>
          <w:p w:rsidR="00A5698A" w:rsidRPr="00EE6A2C" w:rsidRDefault="00B71141" w:rsidP="00B037EB">
            <w:pPr>
              <w:spacing w:line="240" w:lineRule="auto"/>
              <w:jc w:val="center"/>
              <w:rPr>
                <w:color w:val="000000"/>
                <w:sz w:val="20"/>
                <w:szCs w:val="20"/>
                <w:lang w:eastAsia="en-GB"/>
              </w:rPr>
            </w:pPr>
            <w:r w:rsidRPr="00EE6A2C">
              <w:rPr>
                <w:color w:val="000000"/>
                <w:sz w:val="20"/>
                <w:szCs w:val="20"/>
              </w:rPr>
              <w:t>-0.0029152</w:t>
            </w:r>
          </w:p>
        </w:tc>
        <w:tc>
          <w:tcPr>
            <w:tcW w:w="1722" w:type="dxa"/>
            <w:noWrap/>
            <w:vAlign w:val="center"/>
            <w:hideMark/>
          </w:tcPr>
          <w:p w:rsidR="00A5698A" w:rsidRPr="00EE6A2C" w:rsidRDefault="00306F8D" w:rsidP="00B037EB">
            <w:pPr>
              <w:spacing w:line="240" w:lineRule="auto"/>
              <w:jc w:val="center"/>
              <w:rPr>
                <w:color w:val="000000"/>
                <w:sz w:val="20"/>
                <w:szCs w:val="20"/>
                <w:lang w:eastAsia="en-GB"/>
              </w:rPr>
            </w:pPr>
            <w:r w:rsidRPr="00EE6A2C">
              <w:rPr>
                <w:color w:val="000000"/>
                <w:sz w:val="20"/>
                <w:szCs w:val="20"/>
              </w:rPr>
              <w:t>0.0056067</w:t>
            </w:r>
          </w:p>
        </w:tc>
      </w:tr>
      <w:tr w:rsidR="00A5698A" w:rsidRPr="00DD0793" w:rsidTr="0049319D">
        <w:tc>
          <w:tcPr>
            <w:tcW w:w="1952" w:type="dxa"/>
            <w:noWrap/>
            <w:vAlign w:val="center"/>
            <w:hideMark/>
          </w:tcPr>
          <w:p w:rsidR="00A5698A" w:rsidRPr="00B037EB" w:rsidRDefault="00A5698A" w:rsidP="00B037EB">
            <w:pPr>
              <w:spacing w:line="240" w:lineRule="auto"/>
              <w:jc w:val="left"/>
              <w:rPr>
                <w:b/>
                <w:bCs/>
                <w:color w:val="000000"/>
                <w:sz w:val="20"/>
                <w:szCs w:val="20"/>
                <w:lang w:eastAsia="en-GB"/>
              </w:rPr>
            </w:pPr>
            <w:r w:rsidRPr="00B037EB">
              <w:rPr>
                <w:b/>
                <w:bCs/>
                <w:color w:val="000000"/>
                <w:sz w:val="20"/>
                <w:szCs w:val="20"/>
                <w:lang w:eastAsia="en-GB"/>
              </w:rPr>
              <w:t> </w:t>
            </w:r>
          </w:p>
        </w:tc>
        <w:tc>
          <w:tcPr>
            <w:tcW w:w="1800" w:type="dxa"/>
            <w:noWrap/>
            <w:vAlign w:val="center"/>
            <w:hideMark/>
          </w:tcPr>
          <w:p w:rsidR="00A5698A" w:rsidRPr="00EE6A2C" w:rsidRDefault="00A5698A" w:rsidP="00B037EB">
            <w:pPr>
              <w:spacing w:line="240" w:lineRule="auto"/>
              <w:jc w:val="center"/>
              <w:rPr>
                <w:color w:val="000000"/>
                <w:sz w:val="20"/>
                <w:szCs w:val="20"/>
                <w:lang w:eastAsia="en-GB"/>
              </w:rPr>
            </w:pPr>
            <w:r w:rsidRPr="00EE6A2C">
              <w:rPr>
                <w:color w:val="000000"/>
                <w:sz w:val="20"/>
                <w:szCs w:val="20"/>
                <w:lang w:eastAsia="en-GB"/>
              </w:rPr>
              <w:t>[0.0002504]**</w:t>
            </w:r>
            <w:r w:rsidR="0028762A" w:rsidRPr="00EE6A2C">
              <w:rPr>
                <w:color w:val="000000"/>
                <w:sz w:val="20"/>
                <w:szCs w:val="20"/>
                <w:lang w:eastAsia="en-GB"/>
              </w:rPr>
              <w:t>*</w:t>
            </w:r>
          </w:p>
        </w:tc>
        <w:tc>
          <w:tcPr>
            <w:tcW w:w="1794" w:type="dxa"/>
            <w:vAlign w:val="center"/>
          </w:tcPr>
          <w:p w:rsidR="00A5698A" w:rsidRPr="00EE6A2C" w:rsidRDefault="00A5698A" w:rsidP="00B037EB">
            <w:pPr>
              <w:spacing w:line="240" w:lineRule="auto"/>
              <w:jc w:val="center"/>
              <w:rPr>
                <w:color w:val="000000"/>
                <w:sz w:val="20"/>
                <w:szCs w:val="20"/>
                <w:lang w:eastAsia="en-GB"/>
              </w:rPr>
            </w:pPr>
            <w:r w:rsidRPr="00EE6A2C">
              <w:rPr>
                <w:color w:val="000000"/>
                <w:sz w:val="20"/>
                <w:szCs w:val="20"/>
                <w:lang w:eastAsia="en-GB"/>
              </w:rPr>
              <w:t>[0.0001452]</w:t>
            </w:r>
            <w:r w:rsidR="00725929" w:rsidRPr="00EE6A2C">
              <w:rPr>
                <w:color w:val="000000"/>
                <w:sz w:val="20"/>
                <w:szCs w:val="20"/>
                <w:lang w:eastAsia="en-GB"/>
              </w:rPr>
              <w:t>***</w:t>
            </w:r>
          </w:p>
        </w:tc>
        <w:tc>
          <w:tcPr>
            <w:tcW w:w="1933" w:type="dxa"/>
            <w:noWrap/>
            <w:vAlign w:val="center"/>
            <w:hideMark/>
          </w:tcPr>
          <w:p w:rsidR="00A5698A" w:rsidRPr="00EE6A2C" w:rsidRDefault="00A5698A" w:rsidP="00B037EB">
            <w:pPr>
              <w:spacing w:line="240" w:lineRule="auto"/>
              <w:jc w:val="center"/>
              <w:rPr>
                <w:color w:val="000000"/>
                <w:sz w:val="20"/>
                <w:szCs w:val="20"/>
                <w:lang w:eastAsia="en-GB"/>
              </w:rPr>
            </w:pPr>
            <w:r w:rsidRPr="00EE6A2C">
              <w:rPr>
                <w:color w:val="000000"/>
                <w:sz w:val="20"/>
                <w:szCs w:val="20"/>
                <w:lang w:eastAsia="en-GB"/>
              </w:rPr>
              <w:t>[</w:t>
            </w:r>
            <w:r w:rsidR="00B71141" w:rsidRPr="00EE6A2C">
              <w:rPr>
                <w:color w:val="000000"/>
                <w:sz w:val="20"/>
                <w:szCs w:val="20"/>
                <w:lang w:eastAsia="en-GB"/>
              </w:rPr>
              <w:t>0.0006251</w:t>
            </w:r>
            <w:r w:rsidRPr="00EE6A2C">
              <w:rPr>
                <w:color w:val="000000"/>
                <w:sz w:val="20"/>
                <w:szCs w:val="20"/>
                <w:lang w:eastAsia="en-GB"/>
              </w:rPr>
              <w:t>]**</w:t>
            </w:r>
            <w:r w:rsidR="00B71141" w:rsidRPr="00EE6A2C">
              <w:rPr>
                <w:color w:val="000000"/>
                <w:sz w:val="20"/>
                <w:szCs w:val="20"/>
                <w:lang w:eastAsia="en-GB"/>
              </w:rPr>
              <w:t>*</w:t>
            </w:r>
          </w:p>
        </w:tc>
        <w:tc>
          <w:tcPr>
            <w:tcW w:w="1722" w:type="dxa"/>
            <w:noWrap/>
            <w:vAlign w:val="center"/>
            <w:hideMark/>
          </w:tcPr>
          <w:p w:rsidR="00A5698A" w:rsidRPr="00EE6A2C" w:rsidRDefault="00A5698A" w:rsidP="00B037EB">
            <w:pPr>
              <w:spacing w:line="240" w:lineRule="auto"/>
              <w:jc w:val="center"/>
              <w:rPr>
                <w:color w:val="000000"/>
                <w:sz w:val="20"/>
                <w:szCs w:val="20"/>
              </w:rPr>
            </w:pPr>
            <w:r w:rsidRPr="00EE6A2C">
              <w:rPr>
                <w:color w:val="000000"/>
                <w:sz w:val="20"/>
                <w:szCs w:val="20"/>
                <w:lang w:eastAsia="en-GB"/>
              </w:rPr>
              <w:t>[</w:t>
            </w:r>
            <w:r w:rsidR="006B5FDE" w:rsidRPr="00EE6A2C">
              <w:rPr>
                <w:color w:val="000000"/>
                <w:sz w:val="20"/>
                <w:szCs w:val="20"/>
              </w:rPr>
              <w:t>0.000758</w:t>
            </w:r>
            <w:r w:rsidRPr="00EE6A2C">
              <w:rPr>
                <w:color w:val="000000"/>
                <w:sz w:val="20"/>
                <w:szCs w:val="20"/>
                <w:lang w:eastAsia="en-GB"/>
              </w:rPr>
              <w:t>]</w:t>
            </w:r>
            <w:r w:rsidR="00725929" w:rsidRPr="00EE6A2C">
              <w:rPr>
                <w:color w:val="000000"/>
                <w:sz w:val="20"/>
                <w:szCs w:val="20"/>
                <w:lang w:eastAsia="en-GB"/>
              </w:rPr>
              <w:t>***</w:t>
            </w:r>
          </w:p>
        </w:tc>
      </w:tr>
      <w:tr w:rsidR="00A5698A" w:rsidRPr="00DD0793" w:rsidTr="0049319D">
        <w:tc>
          <w:tcPr>
            <w:tcW w:w="1952" w:type="dxa"/>
            <w:noWrap/>
            <w:vAlign w:val="center"/>
            <w:hideMark/>
          </w:tcPr>
          <w:p w:rsidR="00A5698A" w:rsidRPr="00B037EB" w:rsidRDefault="00A5698A" w:rsidP="00B037EB">
            <w:pPr>
              <w:spacing w:line="240" w:lineRule="auto"/>
              <w:jc w:val="left"/>
              <w:rPr>
                <w:color w:val="000000"/>
                <w:sz w:val="20"/>
                <w:szCs w:val="20"/>
                <w:lang w:eastAsia="en-GB"/>
              </w:rPr>
            </w:pPr>
            <w:r w:rsidRPr="00B037EB">
              <w:rPr>
                <w:b/>
                <w:color w:val="000000"/>
                <w:sz w:val="20"/>
                <w:szCs w:val="20"/>
                <w:lang w:eastAsia="en-GB"/>
              </w:rPr>
              <w:t xml:space="preserve">C&amp;B rate residual </w:t>
            </w:r>
          </w:p>
        </w:tc>
        <w:tc>
          <w:tcPr>
            <w:tcW w:w="1800" w:type="dxa"/>
            <w:noWrap/>
            <w:vAlign w:val="center"/>
            <w:hideMark/>
          </w:tcPr>
          <w:p w:rsidR="00A5698A" w:rsidRPr="00EE6A2C" w:rsidRDefault="00A5698A" w:rsidP="00B037EB">
            <w:pPr>
              <w:spacing w:line="240" w:lineRule="auto"/>
              <w:jc w:val="center"/>
              <w:rPr>
                <w:color w:val="000000"/>
                <w:sz w:val="20"/>
                <w:szCs w:val="20"/>
                <w:lang w:eastAsia="en-GB"/>
              </w:rPr>
            </w:pPr>
            <w:r w:rsidRPr="00EE6A2C">
              <w:rPr>
                <w:color w:val="000000"/>
                <w:sz w:val="20"/>
                <w:szCs w:val="20"/>
                <w:lang w:eastAsia="en-GB"/>
              </w:rPr>
              <w:t>-0.0003565</w:t>
            </w:r>
          </w:p>
        </w:tc>
        <w:tc>
          <w:tcPr>
            <w:tcW w:w="1794" w:type="dxa"/>
            <w:vAlign w:val="center"/>
          </w:tcPr>
          <w:p w:rsidR="00A5698A" w:rsidRPr="00EE6A2C" w:rsidRDefault="00A5698A" w:rsidP="00B037EB">
            <w:pPr>
              <w:spacing w:line="240" w:lineRule="auto"/>
              <w:jc w:val="center"/>
              <w:rPr>
                <w:color w:val="000000"/>
                <w:sz w:val="20"/>
                <w:szCs w:val="20"/>
                <w:lang w:eastAsia="en-GB"/>
              </w:rPr>
            </w:pPr>
            <w:r w:rsidRPr="00EE6A2C">
              <w:rPr>
                <w:color w:val="000000"/>
                <w:sz w:val="20"/>
                <w:szCs w:val="20"/>
                <w:lang w:eastAsia="en-GB"/>
              </w:rPr>
              <w:t>0.0015386</w:t>
            </w:r>
          </w:p>
        </w:tc>
        <w:tc>
          <w:tcPr>
            <w:tcW w:w="1933" w:type="dxa"/>
            <w:noWrap/>
            <w:vAlign w:val="center"/>
            <w:hideMark/>
          </w:tcPr>
          <w:p w:rsidR="00A5698A" w:rsidRPr="00EE6A2C" w:rsidRDefault="00A5698A" w:rsidP="00B037EB">
            <w:pPr>
              <w:spacing w:line="240" w:lineRule="auto"/>
              <w:jc w:val="center"/>
              <w:rPr>
                <w:color w:val="000000"/>
                <w:sz w:val="20"/>
                <w:szCs w:val="20"/>
                <w:lang w:eastAsia="en-GB"/>
              </w:rPr>
            </w:pPr>
            <w:r w:rsidRPr="00EE6A2C">
              <w:rPr>
                <w:color w:val="000000"/>
                <w:sz w:val="20"/>
                <w:szCs w:val="20"/>
                <w:lang w:eastAsia="en-GB"/>
              </w:rPr>
              <w:t>0.0048426</w:t>
            </w:r>
          </w:p>
        </w:tc>
        <w:tc>
          <w:tcPr>
            <w:tcW w:w="1722" w:type="dxa"/>
            <w:noWrap/>
            <w:vAlign w:val="center"/>
            <w:hideMark/>
          </w:tcPr>
          <w:p w:rsidR="00A5698A" w:rsidRPr="00EE6A2C" w:rsidRDefault="006B5FDE" w:rsidP="00B037EB">
            <w:pPr>
              <w:spacing w:line="240" w:lineRule="auto"/>
              <w:jc w:val="center"/>
              <w:rPr>
                <w:color w:val="000000"/>
                <w:sz w:val="20"/>
                <w:szCs w:val="20"/>
                <w:lang w:eastAsia="en-GB"/>
              </w:rPr>
            </w:pPr>
            <w:r w:rsidRPr="00EE6A2C">
              <w:rPr>
                <w:color w:val="000000"/>
                <w:sz w:val="20"/>
                <w:szCs w:val="20"/>
              </w:rPr>
              <w:t>0.001573</w:t>
            </w:r>
          </w:p>
        </w:tc>
      </w:tr>
      <w:tr w:rsidR="00A5698A" w:rsidRPr="00DD0793" w:rsidTr="0049319D">
        <w:tc>
          <w:tcPr>
            <w:tcW w:w="1952" w:type="dxa"/>
            <w:tcBorders>
              <w:bottom w:val="single" w:sz="4" w:space="0" w:color="auto"/>
            </w:tcBorders>
            <w:noWrap/>
            <w:vAlign w:val="center"/>
            <w:hideMark/>
          </w:tcPr>
          <w:p w:rsidR="00A5698A" w:rsidRPr="00B037EB" w:rsidRDefault="00A5698A" w:rsidP="00B037EB">
            <w:pPr>
              <w:spacing w:line="240" w:lineRule="auto"/>
              <w:jc w:val="left"/>
              <w:rPr>
                <w:b/>
                <w:bCs/>
                <w:color w:val="000000"/>
                <w:sz w:val="20"/>
                <w:szCs w:val="20"/>
                <w:lang w:eastAsia="en-GB"/>
              </w:rPr>
            </w:pPr>
            <w:r w:rsidRPr="00B037EB">
              <w:rPr>
                <w:b/>
                <w:bCs/>
                <w:color w:val="000000"/>
                <w:sz w:val="20"/>
                <w:szCs w:val="20"/>
                <w:lang w:eastAsia="en-GB"/>
              </w:rPr>
              <w:t> </w:t>
            </w:r>
          </w:p>
        </w:tc>
        <w:tc>
          <w:tcPr>
            <w:tcW w:w="1800" w:type="dxa"/>
            <w:tcBorders>
              <w:bottom w:val="single" w:sz="4" w:space="0" w:color="auto"/>
            </w:tcBorders>
            <w:noWrap/>
            <w:vAlign w:val="center"/>
            <w:hideMark/>
          </w:tcPr>
          <w:p w:rsidR="00A5698A" w:rsidRPr="00EE6A2C" w:rsidRDefault="00A5698A" w:rsidP="00B037EB">
            <w:pPr>
              <w:spacing w:line="240" w:lineRule="auto"/>
              <w:jc w:val="center"/>
              <w:rPr>
                <w:color w:val="000000"/>
                <w:sz w:val="20"/>
                <w:szCs w:val="20"/>
                <w:lang w:eastAsia="en-GB"/>
              </w:rPr>
            </w:pPr>
            <w:r w:rsidRPr="00EE6A2C">
              <w:rPr>
                <w:color w:val="000000"/>
                <w:sz w:val="20"/>
                <w:szCs w:val="20"/>
                <w:lang w:eastAsia="en-GB"/>
              </w:rPr>
              <w:t>[0.0002814]</w:t>
            </w:r>
          </w:p>
        </w:tc>
        <w:tc>
          <w:tcPr>
            <w:tcW w:w="1794" w:type="dxa"/>
            <w:tcBorders>
              <w:bottom w:val="single" w:sz="4" w:space="0" w:color="auto"/>
            </w:tcBorders>
            <w:vAlign w:val="center"/>
          </w:tcPr>
          <w:p w:rsidR="00A5698A" w:rsidRPr="00EE6A2C" w:rsidRDefault="00A5698A" w:rsidP="00B037EB">
            <w:pPr>
              <w:spacing w:line="240" w:lineRule="auto"/>
              <w:jc w:val="center"/>
              <w:rPr>
                <w:color w:val="000000"/>
                <w:sz w:val="20"/>
                <w:szCs w:val="20"/>
                <w:lang w:eastAsia="en-GB"/>
              </w:rPr>
            </w:pPr>
            <w:r w:rsidRPr="00EE6A2C">
              <w:rPr>
                <w:color w:val="000000"/>
                <w:sz w:val="20"/>
                <w:szCs w:val="20"/>
                <w:lang w:eastAsia="en-GB"/>
              </w:rPr>
              <w:t>[0.0001646]</w:t>
            </w:r>
            <w:r w:rsidR="00725929" w:rsidRPr="00EE6A2C">
              <w:rPr>
                <w:color w:val="000000"/>
                <w:sz w:val="20"/>
                <w:szCs w:val="20"/>
                <w:lang w:eastAsia="en-GB"/>
              </w:rPr>
              <w:t>***</w:t>
            </w:r>
          </w:p>
        </w:tc>
        <w:tc>
          <w:tcPr>
            <w:tcW w:w="1933" w:type="dxa"/>
            <w:tcBorders>
              <w:bottom w:val="single" w:sz="4" w:space="0" w:color="auto"/>
            </w:tcBorders>
            <w:noWrap/>
            <w:vAlign w:val="center"/>
            <w:hideMark/>
          </w:tcPr>
          <w:p w:rsidR="00A5698A" w:rsidRPr="00EE6A2C" w:rsidRDefault="00A5698A" w:rsidP="00B037EB">
            <w:pPr>
              <w:spacing w:line="240" w:lineRule="auto"/>
              <w:jc w:val="center"/>
              <w:rPr>
                <w:color w:val="000000"/>
                <w:sz w:val="20"/>
                <w:szCs w:val="20"/>
                <w:lang w:eastAsia="en-GB"/>
              </w:rPr>
            </w:pPr>
            <w:r w:rsidRPr="00EE6A2C">
              <w:rPr>
                <w:color w:val="000000"/>
                <w:sz w:val="20"/>
                <w:szCs w:val="20"/>
                <w:lang w:eastAsia="en-GB"/>
              </w:rPr>
              <w:t>[0.0007568]**</w:t>
            </w:r>
            <w:r w:rsidR="00B71141" w:rsidRPr="00EE6A2C">
              <w:rPr>
                <w:color w:val="000000"/>
                <w:sz w:val="20"/>
                <w:szCs w:val="20"/>
                <w:lang w:eastAsia="en-GB"/>
              </w:rPr>
              <w:t>*</w:t>
            </w:r>
          </w:p>
        </w:tc>
        <w:tc>
          <w:tcPr>
            <w:tcW w:w="1722" w:type="dxa"/>
            <w:tcBorders>
              <w:bottom w:val="single" w:sz="4" w:space="0" w:color="auto"/>
            </w:tcBorders>
            <w:noWrap/>
            <w:vAlign w:val="center"/>
            <w:hideMark/>
          </w:tcPr>
          <w:p w:rsidR="00A5698A" w:rsidRPr="00EE6A2C" w:rsidRDefault="00A5698A" w:rsidP="00B037EB">
            <w:pPr>
              <w:spacing w:line="240" w:lineRule="auto"/>
              <w:jc w:val="center"/>
              <w:rPr>
                <w:color w:val="000000"/>
                <w:sz w:val="20"/>
                <w:szCs w:val="20"/>
                <w:lang w:eastAsia="en-GB"/>
              </w:rPr>
            </w:pPr>
            <w:r w:rsidRPr="00EE6A2C">
              <w:rPr>
                <w:color w:val="000000"/>
                <w:sz w:val="20"/>
                <w:szCs w:val="20"/>
                <w:lang w:eastAsia="en-GB"/>
              </w:rPr>
              <w:t>[</w:t>
            </w:r>
            <w:r w:rsidR="006B5FDE" w:rsidRPr="00EE6A2C">
              <w:rPr>
                <w:color w:val="000000"/>
                <w:sz w:val="20"/>
                <w:szCs w:val="20"/>
                <w:lang w:eastAsia="en-GB"/>
              </w:rPr>
              <w:t>0.0009119]</w:t>
            </w:r>
          </w:p>
        </w:tc>
      </w:tr>
      <w:tr w:rsidR="00443D1B" w:rsidRPr="00DD0793" w:rsidTr="0049319D">
        <w:tc>
          <w:tcPr>
            <w:tcW w:w="9201" w:type="dxa"/>
            <w:gridSpan w:val="5"/>
            <w:tcBorders>
              <w:top w:val="single" w:sz="4" w:space="0" w:color="auto"/>
            </w:tcBorders>
            <w:noWrap/>
            <w:vAlign w:val="center"/>
          </w:tcPr>
          <w:p w:rsidR="00443D1B" w:rsidRPr="00B037EB" w:rsidRDefault="003A48EC" w:rsidP="00B037EB">
            <w:pPr>
              <w:spacing w:line="240" w:lineRule="auto"/>
              <w:jc w:val="left"/>
              <w:rPr>
                <w:sz w:val="20"/>
                <w:szCs w:val="20"/>
              </w:rPr>
            </w:pPr>
            <w:r>
              <w:rPr>
                <w:b/>
                <w:color w:val="000000"/>
                <w:sz w:val="20"/>
                <w:szCs w:val="20"/>
                <w:lang w:eastAsia="en-GB"/>
              </w:rPr>
              <w:t>c</w:t>
            </w:r>
            <w:r w:rsidR="00443D1B" w:rsidRPr="00B037EB">
              <w:rPr>
                <w:b/>
                <w:color w:val="000000"/>
                <w:sz w:val="20"/>
                <w:szCs w:val="20"/>
                <w:lang w:eastAsia="en-GB"/>
              </w:rPr>
              <w:t xml:space="preserve">: </w:t>
            </w:r>
            <w:r>
              <w:rPr>
                <w:b/>
                <w:color w:val="000000"/>
                <w:sz w:val="20"/>
                <w:szCs w:val="20"/>
                <w:lang w:eastAsia="en-GB"/>
              </w:rPr>
              <w:t>No IV, w</w:t>
            </w:r>
            <w:r w:rsidR="00443D1B" w:rsidRPr="00B037EB">
              <w:rPr>
                <w:b/>
                <w:color w:val="000000"/>
                <w:sz w:val="20"/>
                <w:szCs w:val="20"/>
                <w:lang w:eastAsia="en-GB"/>
              </w:rPr>
              <w:t xml:space="preserve">ith choice </w:t>
            </w:r>
            <w:r w:rsidR="002C0995" w:rsidRPr="00B037EB">
              <w:rPr>
                <w:b/>
                <w:color w:val="000000"/>
                <w:sz w:val="20"/>
                <w:szCs w:val="20"/>
                <w:lang w:eastAsia="en-GB"/>
              </w:rPr>
              <w:t xml:space="preserve">awareness </w:t>
            </w:r>
            <w:r w:rsidR="00443D1B" w:rsidRPr="00B037EB">
              <w:rPr>
                <w:b/>
                <w:color w:val="000000"/>
                <w:sz w:val="20"/>
                <w:szCs w:val="20"/>
                <w:lang w:eastAsia="en-GB"/>
              </w:rPr>
              <w:t>measure</w:t>
            </w:r>
          </w:p>
        </w:tc>
      </w:tr>
      <w:tr w:rsidR="00BA7233" w:rsidRPr="00DD0793" w:rsidTr="0049319D">
        <w:tc>
          <w:tcPr>
            <w:tcW w:w="1952" w:type="dxa"/>
            <w:noWrap/>
            <w:vAlign w:val="center"/>
          </w:tcPr>
          <w:p w:rsidR="00BA7233" w:rsidRPr="00B037EB" w:rsidRDefault="00BA7233" w:rsidP="00BA7233">
            <w:pPr>
              <w:spacing w:line="240" w:lineRule="auto"/>
              <w:jc w:val="left"/>
              <w:rPr>
                <w:color w:val="000000"/>
                <w:sz w:val="20"/>
                <w:szCs w:val="20"/>
                <w:lang w:eastAsia="en-GB"/>
              </w:rPr>
            </w:pPr>
            <w:r w:rsidRPr="00B037EB">
              <w:rPr>
                <w:b/>
                <w:color w:val="000000"/>
                <w:sz w:val="20"/>
                <w:szCs w:val="20"/>
                <w:lang w:eastAsia="en-GB"/>
              </w:rPr>
              <w:t>C&amp;B rate</w:t>
            </w:r>
          </w:p>
        </w:tc>
        <w:tc>
          <w:tcPr>
            <w:tcW w:w="1800" w:type="dxa"/>
            <w:noWrap/>
            <w:vAlign w:val="bottom"/>
          </w:tcPr>
          <w:p w:rsidR="00BA7233" w:rsidRPr="009F7ADF" w:rsidRDefault="00BA7233" w:rsidP="00BA7233">
            <w:pPr>
              <w:spacing w:line="240" w:lineRule="auto"/>
              <w:jc w:val="center"/>
              <w:rPr>
                <w:color w:val="000000"/>
                <w:sz w:val="20"/>
                <w:szCs w:val="20"/>
              </w:rPr>
            </w:pPr>
            <w:r w:rsidRPr="009F7ADF">
              <w:rPr>
                <w:color w:val="000000"/>
                <w:sz w:val="20"/>
                <w:szCs w:val="20"/>
              </w:rPr>
              <w:t>-0.002264</w:t>
            </w:r>
          </w:p>
        </w:tc>
        <w:tc>
          <w:tcPr>
            <w:tcW w:w="1794" w:type="dxa"/>
            <w:vAlign w:val="bottom"/>
          </w:tcPr>
          <w:p w:rsidR="00BA7233" w:rsidRPr="009F7ADF" w:rsidRDefault="00BA7233" w:rsidP="00BA7233">
            <w:pPr>
              <w:spacing w:line="240" w:lineRule="auto"/>
              <w:jc w:val="center"/>
              <w:rPr>
                <w:color w:val="000000"/>
                <w:sz w:val="20"/>
                <w:szCs w:val="20"/>
              </w:rPr>
            </w:pPr>
            <w:r w:rsidRPr="009F7ADF">
              <w:rPr>
                <w:color w:val="000000"/>
                <w:sz w:val="20"/>
                <w:szCs w:val="20"/>
              </w:rPr>
              <w:t>-0.000631</w:t>
            </w:r>
          </w:p>
        </w:tc>
        <w:tc>
          <w:tcPr>
            <w:tcW w:w="1933" w:type="dxa"/>
            <w:noWrap/>
            <w:vAlign w:val="bottom"/>
          </w:tcPr>
          <w:p w:rsidR="00BA7233" w:rsidRPr="009F7ADF" w:rsidRDefault="00BA7233" w:rsidP="00BA7233">
            <w:pPr>
              <w:spacing w:line="240" w:lineRule="auto"/>
              <w:jc w:val="center"/>
              <w:rPr>
                <w:color w:val="000000"/>
                <w:sz w:val="20"/>
                <w:szCs w:val="20"/>
              </w:rPr>
            </w:pPr>
            <w:r w:rsidRPr="009F7ADF">
              <w:rPr>
                <w:color w:val="000000"/>
                <w:sz w:val="20"/>
                <w:szCs w:val="20"/>
              </w:rPr>
              <w:t>-0.000573</w:t>
            </w:r>
          </w:p>
        </w:tc>
        <w:tc>
          <w:tcPr>
            <w:tcW w:w="1722" w:type="dxa"/>
            <w:noWrap/>
            <w:vAlign w:val="bottom"/>
          </w:tcPr>
          <w:p w:rsidR="00BA7233" w:rsidRPr="009F7ADF" w:rsidRDefault="00BA7233" w:rsidP="00BA7233">
            <w:pPr>
              <w:spacing w:line="240" w:lineRule="auto"/>
              <w:jc w:val="center"/>
              <w:rPr>
                <w:color w:val="000000"/>
                <w:sz w:val="20"/>
                <w:szCs w:val="20"/>
              </w:rPr>
            </w:pPr>
            <w:r w:rsidRPr="009F7ADF">
              <w:rPr>
                <w:color w:val="000000"/>
                <w:sz w:val="20"/>
                <w:szCs w:val="20"/>
              </w:rPr>
              <w:t>0.006882</w:t>
            </w:r>
          </w:p>
        </w:tc>
      </w:tr>
      <w:tr w:rsidR="00BA7233" w:rsidRPr="00DD0793" w:rsidTr="0049319D">
        <w:trPr>
          <w:trHeight w:val="285"/>
        </w:trPr>
        <w:tc>
          <w:tcPr>
            <w:tcW w:w="1952" w:type="dxa"/>
            <w:noWrap/>
            <w:vAlign w:val="center"/>
          </w:tcPr>
          <w:p w:rsidR="00BA7233" w:rsidRPr="00B037EB" w:rsidRDefault="00BA7233" w:rsidP="00BA7233">
            <w:pPr>
              <w:spacing w:line="240" w:lineRule="auto"/>
              <w:jc w:val="left"/>
              <w:rPr>
                <w:b/>
                <w:bCs/>
                <w:color w:val="000000"/>
                <w:sz w:val="20"/>
                <w:szCs w:val="20"/>
                <w:lang w:eastAsia="en-GB"/>
              </w:rPr>
            </w:pPr>
            <w:r w:rsidRPr="00B037EB">
              <w:rPr>
                <w:b/>
                <w:bCs/>
                <w:color w:val="000000"/>
                <w:sz w:val="20"/>
                <w:szCs w:val="20"/>
                <w:lang w:eastAsia="en-GB"/>
              </w:rPr>
              <w:t> </w:t>
            </w:r>
          </w:p>
        </w:tc>
        <w:tc>
          <w:tcPr>
            <w:tcW w:w="1800" w:type="dxa"/>
            <w:noWrap/>
            <w:vAlign w:val="bottom"/>
          </w:tcPr>
          <w:p w:rsidR="00BA7233" w:rsidRPr="009F7ADF" w:rsidRDefault="00BA7233" w:rsidP="00BA7233">
            <w:pPr>
              <w:spacing w:line="240" w:lineRule="auto"/>
              <w:jc w:val="center"/>
              <w:rPr>
                <w:color w:val="000000"/>
                <w:sz w:val="20"/>
                <w:szCs w:val="20"/>
              </w:rPr>
            </w:pPr>
            <w:r w:rsidRPr="009F7ADF">
              <w:rPr>
                <w:color w:val="000000"/>
                <w:sz w:val="20"/>
                <w:szCs w:val="20"/>
              </w:rPr>
              <w:t>[0.000126]**</w:t>
            </w:r>
            <w:r w:rsidR="009F7ADF">
              <w:rPr>
                <w:color w:val="000000"/>
                <w:sz w:val="20"/>
                <w:szCs w:val="20"/>
              </w:rPr>
              <w:t>*</w:t>
            </w:r>
          </w:p>
        </w:tc>
        <w:tc>
          <w:tcPr>
            <w:tcW w:w="1794" w:type="dxa"/>
            <w:vAlign w:val="bottom"/>
          </w:tcPr>
          <w:p w:rsidR="00BA7233" w:rsidRPr="009F7ADF" w:rsidRDefault="00BA7233" w:rsidP="00BA7233">
            <w:pPr>
              <w:spacing w:line="240" w:lineRule="auto"/>
              <w:jc w:val="center"/>
              <w:rPr>
                <w:color w:val="000000"/>
                <w:sz w:val="20"/>
                <w:szCs w:val="20"/>
              </w:rPr>
            </w:pPr>
            <w:r w:rsidRPr="009F7ADF">
              <w:rPr>
                <w:color w:val="000000"/>
                <w:sz w:val="20"/>
                <w:szCs w:val="20"/>
              </w:rPr>
              <w:t>[0.000072]**</w:t>
            </w:r>
            <w:r w:rsidR="009F7ADF">
              <w:rPr>
                <w:color w:val="000000"/>
                <w:sz w:val="20"/>
                <w:szCs w:val="20"/>
              </w:rPr>
              <w:t>*</w:t>
            </w:r>
          </w:p>
        </w:tc>
        <w:tc>
          <w:tcPr>
            <w:tcW w:w="1933" w:type="dxa"/>
            <w:noWrap/>
            <w:vAlign w:val="bottom"/>
          </w:tcPr>
          <w:p w:rsidR="00BA7233" w:rsidRPr="009F7ADF" w:rsidRDefault="009F7ADF" w:rsidP="00BA7233">
            <w:pPr>
              <w:spacing w:line="240" w:lineRule="auto"/>
              <w:jc w:val="center"/>
              <w:rPr>
                <w:color w:val="000000"/>
                <w:sz w:val="20"/>
                <w:szCs w:val="20"/>
              </w:rPr>
            </w:pPr>
            <w:r>
              <w:rPr>
                <w:color w:val="000000"/>
                <w:sz w:val="20"/>
                <w:szCs w:val="20"/>
              </w:rPr>
              <w:t>[0.000335]</w:t>
            </w:r>
          </w:p>
        </w:tc>
        <w:tc>
          <w:tcPr>
            <w:tcW w:w="1722" w:type="dxa"/>
            <w:noWrap/>
            <w:vAlign w:val="bottom"/>
          </w:tcPr>
          <w:p w:rsidR="00BA7233" w:rsidRPr="009F7ADF" w:rsidRDefault="00BA7233" w:rsidP="00BA7233">
            <w:pPr>
              <w:spacing w:line="240" w:lineRule="auto"/>
              <w:jc w:val="center"/>
              <w:rPr>
                <w:color w:val="000000"/>
                <w:sz w:val="20"/>
                <w:szCs w:val="20"/>
              </w:rPr>
            </w:pPr>
            <w:r w:rsidRPr="009F7ADF">
              <w:rPr>
                <w:color w:val="000000"/>
                <w:sz w:val="20"/>
                <w:szCs w:val="20"/>
              </w:rPr>
              <w:t>[0.000441]**</w:t>
            </w:r>
            <w:r w:rsidR="009F7ADF">
              <w:rPr>
                <w:color w:val="000000"/>
                <w:sz w:val="20"/>
                <w:szCs w:val="20"/>
              </w:rPr>
              <w:t>*</w:t>
            </w:r>
          </w:p>
        </w:tc>
      </w:tr>
      <w:tr w:rsidR="00BA7233" w:rsidRPr="00DD0793" w:rsidTr="0049319D">
        <w:tc>
          <w:tcPr>
            <w:tcW w:w="1952" w:type="dxa"/>
            <w:noWrap/>
            <w:vAlign w:val="center"/>
          </w:tcPr>
          <w:p w:rsidR="00BA7233" w:rsidRPr="00B037EB" w:rsidRDefault="00BA7233" w:rsidP="00BA7233">
            <w:pPr>
              <w:spacing w:line="240" w:lineRule="auto"/>
              <w:jc w:val="left"/>
              <w:rPr>
                <w:b/>
                <w:color w:val="000000"/>
                <w:sz w:val="20"/>
                <w:szCs w:val="20"/>
                <w:lang w:eastAsia="en-GB"/>
              </w:rPr>
            </w:pPr>
            <w:r w:rsidRPr="00B037EB">
              <w:rPr>
                <w:b/>
                <w:color w:val="000000"/>
                <w:sz w:val="20"/>
                <w:szCs w:val="20"/>
                <w:lang w:eastAsia="en-GB"/>
              </w:rPr>
              <w:t>Choice awareness</w:t>
            </w:r>
          </w:p>
        </w:tc>
        <w:tc>
          <w:tcPr>
            <w:tcW w:w="1800" w:type="dxa"/>
            <w:noWrap/>
            <w:vAlign w:val="bottom"/>
          </w:tcPr>
          <w:p w:rsidR="00BA7233" w:rsidRPr="009F7ADF" w:rsidRDefault="00BA7233" w:rsidP="00BA7233">
            <w:pPr>
              <w:spacing w:line="240" w:lineRule="auto"/>
              <w:jc w:val="center"/>
              <w:rPr>
                <w:color w:val="000000"/>
                <w:sz w:val="20"/>
                <w:szCs w:val="20"/>
              </w:rPr>
            </w:pPr>
            <w:r w:rsidRPr="009F7ADF">
              <w:rPr>
                <w:color w:val="000000"/>
                <w:sz w:val="20"/>
                <w:szCs w:val="20"/>
              </w:rPr>
              <w:t>-0.001214</w:t>
            </w:r>
          </w:p>
        </w:tc>
        <w:tc>
          <w:tcPr>
            <w:tcW w:w="1794" w:type="dxa"/>
            <w:vAlign w:val="bottom"/>
          </w:tcPr>
          <w:p w:rsidR="00BA7233" w:rsidRPr="009F7ADF" w:rsidRDefault="00BA7233" w:rsidP="00BA7233">
            <w:pPr>
              <w:spacing w:line="240" w:lineRule="auto"/>
              <w:jc w:val="center"/>
              <w:rPr>
                <w:color w:val="000000"/>
                <w:sz w:val="20"/>
                <w:szCs w:val="20"/>
              </w:rPr>
            </w:pPr>
            <w:r w:rsidRPr="009F7ADF">
              <w:rPr>
                <w:color w:val="000000"/>
                <w:sz w:val="20"/>
                <w:szCs w:val="20"/>
              </w:rPr>
              <w:t>0.000491</w:t>
            </w:r>
          </w:p>
        </w:tc>
        <w:tc>
          <w:tcPr>
            <w:tcW w:w="1933" w:type="dxa"/>
            <w:noWrap/>
            <w:vAlign w:val="bottom"/>
          </w:tcPr>
          <w:p w:rsidR="00BA7233" w:rsidRPr="009F7ADF" w:rsidRDefault="00BA7233" w:rsidP="00BA7233">
            <w:pPr>
              <w:spacing w:line="240" w:lineRule="auto"/>
              <w:jc w:val="center"/>
              <w:rPr>
                <w:color w:val="000000"/>
                <w:sz w:val="20"/>
                <w:szCs w:val="20"/>
              </w:rPr>
            </w:pPr>
            <w:r w:rsidRPr="009F7ADF">
              <w:rPr>
                <w:color w:val="000000"/>
                <w:sz w:val="20"/>
                <w:szCs w:val="20"/>
              </w:rPr>
              <w:t>-0.010917</w:t>
            </w:r>
          </w:p>
        </w:tc>
        <w:tc>
          <w:tcPr>
            <w:tcW w:w="1722" w:type="dxa"/>
            <w:noWrap/>
            <w:vAlign w:val="bottom"/>
          </w:tcPr>
          <w:p w:rsidR="00BA7233" w:rsidRPr="009F7ADF" w:rsidRDefault="00BA7233" w:rsidP="00BA7233">
            <w:pPr>
              <w:spacing w:line="240" w:lineRule="auto"/>
              <w:jc w:val="center"/>
              <w:rPr>
                <w:color w:val="000000"/>
                <w:sz w:val="20"/>
                <w:szCs w:val="20"/>
              </w:rPr>
            </w:pPr>
            <w:r w:rsidRPr="009F7ADF">
              <w:rPr>
                <w:color w:val="000000"/>
                <w:sz w:val="20"/>
                <w:szCs w:val="20"/>
              </w:rPr>
              <w:t>-0.004309</w:t>
            </w:r>
          </w:p>
        </w:tc>
      </w:tr>
      <w:tr w:rsidR="00BA7233" w:rsidRPr="00DD0793" w:rsidTr="0049319D">
        <w:tc>
          <w:tcPr>
            <w:tcW w:w="1952" w:type="dxa"/>
            <w:tcBorders>
              <w:bottom w:val="single" w:sz="4" w:space="0" w:color="auto"/>
            </w:tcBorders>
            <w:noWrap/>
            <w:vAlign w:val="center"/>
          </w:tcPr>
          <w:p w:rsidR="00BA7233" w:rsidRPr="00B037EB" w:rsidRDefault="00BA7233" w:rsidP="00BA7233">
            <w:pPr>
              <w:spacing w:line="240" w:lineRule="auto"/>
              <w:jc w:val="left"/>
              <w:rPr>
                <w:color w:val="000000"/>
                <w:sz w:val="20"/>
                <w:szCs w:val="20"/>
                <w:lang w:eastAsia="en-GB"/>
              </w:rPr>
            </w:pPr>
            <w:r w:rsidRPr="00B037EB">
              <w:rPr>
                <w:color w:val="000000"/>
                <w:sz w:val="20"/>
                <w:szCs w:val="20"/>
                <w:lang w:eastAsia="en-GB"/>
              </w:rPr>
              <w:t> </w:t>
            </w:r>
          </w:p>
        </w:tc>
        <w:tc>
          <w:tcPr>
            <w:tcW w:w="1800" w:type="dxa"/>
            <w:tcBorders>
              <w:bottom w:val="single" w:sz="4" w:space="0" w:color="auto"/>
            </w:tcBorders>
            <w:noWrap/>
            <w:vAlign w:val="bottom"/>
          </w:tcPr>
          <w:p w:rsidR="00BA7233" w:rsidRPr="009F7ADF" w:rsidRDefault="00BA7233" w:rsidP="00BA7233">
            <w:pPr>
              <w:spacing w:line="240" w:lineRule="auto"/>
              <w:jc w:val="center"/>
              <w:rPr>
                <w:color w:val="000000"/>
                <w:sz w:val="20"/>
                <w:szCs w:val="20"/>
              </w:rPr>
            </w:pPr>
            <w:r w:rsidRPr="009F7ADF">
              <w:rPr>
                <w:color w:val="000000"/>
                <w:sz w:val="20"/>
                <w:szCs w:val="20"/>
              </w:rPr>
              <w:t>[0.000454]**</w:t>
            </w:r>
          </w:p>
        </w:tc>
        <w:tc>
          <w:tcPr>
            <w:tcW w:w="1794" w:type="dxa"/>
            <w:tcBorders>
              <w:bottom w:val="single" w:sz="4" w:space="0" w:color="auto"/>
            </w:tcBorders>
            <w:vAlign w:val="bottom"/>
          </w:tcPr>
          <w:p w:rsidR="00BA7233" w:rsidRPr="009F7ADF" w:rsidRDefault="009F7ADF" w:rsidP="00BA7233">
            <w:pPr>
              <w:spacing w:line="240" w:lineRule="auto"/>
              <w:jc w:val="center"/>
              <w:rPr>
                <w:color w:val="000000"/>
                <w:sz w:val="20"/>
                <w:szCs w:val="20"/>
              </w:rPr>
            </w:pPr>
            <w:r>
              <w:rPr>
                <w:color w:val="000000"/>
                <w:sz w:val="20"/>
                <w:szCs w:val="20"/>
              </w:rPr>
              <w:t>[0.000276]</w:t>
            </w:r>
          </w:p>
        </w:tc>
        <w:tc>
          <w:tcPr>
            <w:tcW w:w="1933" w:type="dxa"/>
            <w:tcBorders>
              <w:bottom w:val="single" w:sz="4" w:space="0" w:color="auto"/>
            </w:tcBorders>
            <w:noWrap/>
            <w:vAlign w:val="bottom"/>
          </w:tcPr>
          <w:p w:rsidR="00BA7233" w:rsidRPr="009F7ADF" w:rsidRDefault="00BA7233" w:rsidP="00BA7233">
            <w:pPr>
              <w:spacing w:line="240" w:lineRule="auto"/>
              <w:jc w:val="center"/>
              <w:rPr>
                <w:color w:val="000000"/>
                <w:sz w:val="20"/>
                <w:szCs w:val="20"/>
              </w:rPr>
            </w:pPr>
            <w:r w:rsidRPr="009F7ADF">
              <w:rPr>
                <w:color w:val="000000"/>
                <w:sz w:val="20"/>
                <w:szCs w:val="20"/>
              </w:rPr>
              <w:t>[0.001262]**</w:t>
            </w:r>
            <w:r w:rsidR="009F7ADF">
              <w:rPr>
                <w:color w:val="000000"/>
                <w:sz w:val="20"/>
                <w:szCs w:val="20"/>
              </w:rPr>
              <w:t>*</w:t>
            </w:r>
          </w:p>
        </w:tc>
        <w:tc>
          <w:tcPr>
            <w:tcW w:w="1722" w:type="dxa"/>
            <w:tcBorders>
              <w:bottom w:val="single" w:sz="4" w:space="0" w:color="auto"/>
            </w:tcBorders>
            <w:noWrap/>
            <w:vAlign w:val="bottom"/>
          </w:tcPr>
          <w:p w:rsidR="00BA7233" w:rsidRPr="009F7ADF" w:rsidRDefault="00BA7233" w:rsidP="00BA7233">
            <w:pPr>
              <w:spacing w:line="240" w:lineRule="auto"/>
              <w:jc w:val="center"/>
              <w:rPr>
                <w:color w:val="000000"/>
                <w:sz w:val="20"/>
                <w:szCs w:val="20"/>
              </w:rPr>
            </w:pPr>
            <w:r w:rsidRPr="009F7ADF">
              <w:rPr>
                <w:color w:val="000000"/>
                <w:sz w:val="20"/>
                <w:szCs w:val="20"/>
              </w:rPr>
              <w:t>[0.001761]*</w:t>
            </w:r>
          </w:p>
        </w:tc>
      </w:tr>
      <w:tr w:rsidR="0083482E" w:rsidRPr="00DD0793" w:rsidTr="0049319D">
        <w:tc>
          <w:tcPr>
            <w:tcW w:w="9201" w:type="dxa"/>
            <w:gridSpan w:val="5"/>
            <w:tcBorders>
              <w:top w:val="single" w:sz="4" w:space="0" w:color="auto"/>
            </w:tcBorders>
            <w:noWrap/>
            <w:vAlign w:val="center"/>
          </w:tcPr>
          <w:p w:rsidR="0083482E" w:rsidRPr="00EE6A2C" w:rsidRDefault="0083482E" w:rsidP="0083482E">
            <w:pPr>
              <w:spacing w:line="240" w:lineRule="auto"/>
              <w:jc w:val="left"/>
              <w:rPr>
                <w:b/>
                <w:color w:val="000000"/>
                <w:sz w:val="20"/>
                <w:szCs w:val="20"/>
              </w:rPr>
            </w:pPr>
            <w:r w:rsidRPr="00EE6A2C">
              <w:rPr>
                <w:b/>
                <w:color w:val="000000"/>
                <w:sz w:val="20"/>
                <w:szCs w:val="20"/>
                <w:lang w:eastAsia="en-GB"/>
              </w:rPr>
              <w:t>d: 2SRI, with choice awareness measure</w:t>
            </w:r>
          </w:p>
        </w:tc>
      </w:tr>
      <w:tr w:rsidR="009F7ADF" w:rsidRPr="00DD0793" w:rsidTr="0049319D">
        <w:tc>
          <w:tcPr>
            <w:tcW w:w="1952" w:type="dxa"/>
            <w:noWrap/>
            <w:vAlign w:val="center"/>
          </w:tcPr>
          <w:p w:rsidR="009F7ADF" w:rsidRPr="00B037EB" w:rsidRDefault="009F7ADF" w:rsidP="003A48EC">
            <w:pPr>
              <w:spacing w:line="240" w:lineRule="auto"/>
              <w:jc w:val="left"/>
              <w:rPr>
                <w:color w:val="000000"/>
                <w:sz w:val="20"/>
                <w:szCs w:val="20"/>
                <w:lang w:eastAsia="en-GB"/>
              </w:rPr>
            </w:pPr>
            <w:r w:rsidRPr="00B037EB">
              <w:rPr>
                <w:b/>
                <w:color w:val="000000"/>
                <w:sz w:val="20"/>
                <w:szCs w:val="20"/>
                <w:lang w:eastAsia="en-GB"/>
              </w:rPr>
              <w:t>C&amp;B rate</w:t>
            </w:r>
          </w:p>
        </w:tc>
        <w:tc>
          <w:tcPr>
            <w:tcW w:w="1800" w:type="dxa"/>
            <w:noWrap/>
            <w:vAlign w:val="center"/>
          </w:tcPr>
          <w:p w:rsidR="009F7ADF" w:rsidRPr="009F7ADF" w:rsidRDefault="009F7ADF" w:rsidP="009F7ADF">
            <w:pPr>
              <w:spacing w:line="240" w:lineRule="auto"/>
              <w:jc w:val="center"/>
              <w:rPr>
                <w:color w:val="000000"/>
                <w:sz w:val="20"/>
                <w:szCs w:val="20"/>
              </w:rPr>
            </w:pPr>
            <w:r w:rsidRPr="009F7ADF">
              <w:rPr>
                <w:color w:val="000000"/>
                <w:sz w:val="20"/>
                <w:szCs w:val="20"/>
              </w:rPr>
              <w:t>-0.00187</w:t>
            </w:r>
          </w:p>
        </w:tc>
        <w:tc>
          <w:tcPr>
            <w:tcW w:w="1794" w:type="dxa"/>
            <w:vAlign w:val="center"/>
          </w:tcPr>
          <w:p w:rsidR="009F7ADF" w:rsidRPr="009F7ADF" w:rsidRDefault="009F7ADF" w:rsidP="009F7ADF">
            <w:pPr>
              <w:spacing w:line="240" w:lineRule="auto"/>
              <w:jc w:val="center"/>
              <w:rPr>
                <w:color w:val="000000"/>
                <w:sz w:val="20"/>
                <w:szCs w:val="20"/>
              </w:rPr>
            </w:pPr>
            <w:r w:rsidRPr="009F7ADF">
              <w:rPr>
                <w:color w:val="000000"/>
                <w:sz w:val="20"/>
                <w:szCs w:val="20"/>
              </w:rPr>
              <w:t>-0.00191</w:t>
            </w:r>
          </w:p>
        </w:tc>
        <w:tc>
          <w:tcPr>
            <w:tcW w:w="1933" w:type="dxa"/>
            <w:noWrap/>
            <w:vAlign w:val="center"/>
          </w:tcPr>
          <w:p w:rsidR="009F7ADF" w:rsidRPr="009F7ADF" w:rsidRDefault="009F7ADF" w:rsidP="009F7ADF">
            <w:pPr>
              <w:spacing w:line="240" w:lineRule="auto"/>
              <w:jc w:val="center"/>
              <w:rPr>
                <w:color w:val="000000"/>
                <w:sz w:val="20"/>
                <w:szCs w:val="20"/>
              </w:rPr>
            </w:pPr>
            <w:r w:rsidRPr="009F7ADF">
              <w:rPr>
                <w:color w:val="000000"/>
                <w:sz w:val="20"/>
                <w:szCs w:val="20"/>
              </w:rPr>
              <w:t>-0.00175</w:t>
            </w:r>
          </w:p>
        </w:tc>
        <w:tc>
          <w:tcPr>
            <w:tcW w:w="1722" w:type="dxa"/>
            <w:noWrap/>
            <w:vAlign w:val="center"/>
          </w:tcPr>
          <w:p w:rsidR="009F7ADF" w:rsidRPr="009F7ADF" w:rsidRDefault="009F7ADF" w:rsidP="009F7ADF">
            <w:pPr>
              <w:spacing w:line="240" w:lineRule="auto"/>
              <w:jc w:val="center"/>
              <w:rPr>
                <w:color w:val="000000"/>
                <w:sz w:val="20"/>
                <w:szCs w:val="20"/>
              </w:rPr>
            </w:pPr>
            <w:r w:rsidRPr="009F7ADF">
              <w:rPr>
                <w:color w:val="000000"/>
                <w:sz w:val="20"/>
                <w:szCs w:val="20"/>
              </w:rPr>
              <w:t>0.00603</w:t>
            </w:r>
          </w:p>
        </w:tc>
      </w:tr>
      <w:tr w:rsidR="009F7ADF" w:rsidRPr="00DD0793" w:rsidTr="0049319D">
        <w:tc>
          <w:tcPr>
            <w:tcW w:w="1952" w:type="dxa"/>
            <w:noWrap/>
            <w:vAlign w:val="center"/>
          </w:tcPr>
          <w:p w:rsidR="009F7ADF" w:rsidRPr="00B037EB" w:rsidRDefault="009F7ADF" w:rsidP="003A48EC">
            <w:pPr>
              <w:spacing w:line="240" w:lineRule="auto"/>
              <w:jc w:val="left"/>
              <w:rPr>
                <w:b/>
                <w:bCs/>
                <w:color w:val="000000"/>
                <w:sz w:val="20"/>
                <w:szCs w:val="20"/>
                <w:lang w:eastAsia="en-GB"/>
              </w:rPr>
            </w:pPr>
            <w:r w:rsidRPr="00B037EB">
              <w:rPr>
                <w:b/>
                <w:bCs/>
                <w:color w:val="000000"/>
                <w:sz w:val="20"/>
                <w:szCs w:val="20"/>
                <w:lang w:eastAsia="en-GB"/>
              </w:rPr>
              <w:t> </w:t>
            </w:r>
          </w:p>
        </w:tc>
        <w:tc>
          <w:tcPr>
            <w:tcW w:w="1800" w:type="dxa"/>
            <w:noWrap/>
            <w:vAlign w:val="bottom"/>
          </w:tcPr>
          <w:p w:rsidR="009F7ADF" w:rsidRPr="009F7ADF" w:rsidRDefault="009F7ADF" w:rsidP="009F7ADF">
            <w:pPr>
              <w:spacing w:line="240" w:lineRule="auto"/>
              <w:jc w:val="center"/>
              <w:rPr>
                <w:color w:val="000000"/>
                <w:sz w:val="20"/>
                <w:szCs w:val="20"/>
              </w:rPr>
            </w:pPr>
            <w:r w:rsidRPr="009F7ADF">
              <w:rPr>
                <w:color w:val="000000"/>
                <w:sz w:val="20"/>
                <w:szCs w:val="20"/>
              </w:rPr>
              <w:t>[0.00026]***</w:t>
            </w:r>
          </w:p>
        </w:tc>
        <w:tc>
          <w:tcPr>
            <w:tcW w:w="1794" w:type="dxa"/>
            <w:vAlign w:val="bottom"/>
          </w:tcPr>
          <w:p w:rsidR="009F7ADF" w:rsidRPr="009F7ADF" w:rsidRDefault="009F7ADF" w:rsidP="009F7ADF">
            <w:pPr>
              <w:spacing w:line="240" w:lineRule="auto"/>
              <w:jc w:val="center"/>
              <w:rPr>
                <w:color w:val="000000"/>
                <w:sz w:val="20"/>
                <w:szCs w:val="20"/>
              </w:rPr>
            </w:pPr>
            <w:r w:rsidRPr="009F7ADF">
              <w:rPr>
                <w:color w:val="000000"/>
                <w:sz w:val="20"/>
                <w:szCs w:val="20"/>
              </w:rPr>
              <w:t>[0.00015]***</w:t>
            </w:r>
          </w:p>
        </w:tc>
        <w:tc>
          <w:tcPr>
            <w:tcW w:w="1933" w:type="dxa"/>
            <w:noWrap/>
            <w:vAlign w:val="bottom"/>
          </w:tcPr>
          <w:p w:rsidR="009F7ADF" w:rsidRPr="009F7ADF" w:rsidRDefault="009F7ADF" w:rsidP="009F7ADF">
            <w:pPr>
              <w:spacing w:line="240" w:lineRule="auto"/>
              <w:jc w:val="center"/>
              <w:rPr>
                <w:color w:val="000000"/>
                <w:sz w:val="20"/>
                <w:szCs w:val="20"/>
              </w:rPr>
            </w:pPr>
            <w:r w:rsidRPr="009F7ADF">
              <w:rPr>
                <w:color w:val="000000"/>
                <w:sz w:val="20"/>
                <w:szCs w:val="20"/>
              </w:rPr>
              <w:t>[0.00065]**</w:t>
            </w:r>
          </w:p>
        </w:tc>
        <w:tc>
          <w:tcPr>
            <w:tcW w:w="1722" w:type="dxa"/>
            <w:noWrap/>
            <w:vAlign w:val="bottom"/>
          </w:tcPr>
          <w:p w:rsidR="009F7ADF" w:rsidRPr="009F7ADF" w:rsidRDefault="009F7ADF" w:rsidP="009F7ADF">
            <w:pPr>
              <w:spacing w:line="240" w:lineRule="auto"/>
              <w:jc w:val="center"/>
              <w:rPr>
                <w:color w:val="000000"/>
                <w:sz w:val="20"/>
                <w:szCs w:val="20"/>
              </w:rPr>
            </w:pPr>
            <w:r w:rsidRPr="009F7ADF">
              <w:rPr>
                <w:color w:val="000000"/>
                <w:sz w:val="20"/>
                <w:szCs w:val="20"/>
              </w:rPr>
              <w:t>[0.00077]***</w:t>
            </w:r>
          </w:p>
        </w:tc>
      </w:tr>
      <w:tr w:rsidR="009F7ADF" w:rsidRPr="00DD0793" w:rsidTr="0049319D">
        <w:tc>
          <w:tcPr>
            <w:tcW w:w="1952" w:type="dxa"/>
            <w:noWrap/>
            <w:vAlign w:val="center"/>
          </w:tcPr>
          <w:p w:rsidR="009F7ADF" w:rsidRPr="00B037EB" w:rsidRDefault="009F7ADF" w:rsidP="003A48EC">
            <w:pPr>
              <w:spacing w:line="240" w:lineRule="auto"/>
              <w:jc w:val="left"/>
              <w:rPr>
                <w:color w:val="000000"/>
                <w:sz w:val="20"/>
                <w:szCs w:val="20"/>
                <w:lang w:eastAsia="en-GB"/>
              </w:rPr>
            </w:pPr>
            <w:r w:rsidRPr="00B037EB">
              <w:rPr>
                <w:b/>
                <w:color w:val="000000"/>
                <w:sz w:val="20"/>
                <w:szCs w:val="20"/>
                <w:lang w:eastAsia="en-GB"/>
              </w:rPr>
              <w:t xml:space="preserve">C&amp;B rate residual </w:t>
            </w:r>
          </w:p>
        </w:tc>
        <w:tc>
          <w:tcPr>
            <w:tcW w:w="1800" w:type="dxa"/>
            <w:noWrap/>
            <w:vAlign w:val="center"/>
          </w:tcPr>
          <w:p w:rsidR="009F7ADF" w:rsidRPr="009F7ADF" w:rsidRDefault="009F7ADF" w:rsidP="009F7ADF">
            <w:pPr>
              <w:spacing w:line="240" w:lineRule="auto"/>
              <w:jc w:val="center"/>
              <w:rPr>
                <w:color w:val="000000"/>
                <w:sz w:val="20"/>
                <w:szCs w:val="20"/>
              </w:rPr>
            </w:pPr>
            <w:r w:rsidRPr="009F7ADF">
              <w:rPr>
                <w:color w:val="000000"/>
                <w:sz w:val="20"/>
                <w:szCs w:val="20"/>
              </w:rPr>
              <w:t>-0.00053</w:t>
            </w:r>
          </w:p>
        </w:tc>
        <w:tc>
          <w:tcPr>
            <w:tcW w:w="1794" w:type="dxa"/>
            <w:vAlign w:val="center"/>
          </w:tcPr>
          <w:p w:rsidR="009F7ADF" w:rsidRPr="009F7ADF" w:rsidRDefault="009F7ADF" w:rsidP="009F7ADF">
            <w:pPr>
              <w:spacing w:line="240" w:lineRule="auto"/>
              <w:jc w:val="center"/>
              <w:rPr>
                <w:color w:val="000000"/>
                <w:sz w:val="20"/>
                <w:szCs w:val="20"/>
              </w:rPr>
            </w:pPr>
            <w:r w:rsidRPr="009F7ADF">
              <w:rPr>
                <w:color w:val="000000"/>
                <w:sz w:val="20"/>
                <w:szCs w:val="20"/>
              </w:rPr>
              <w:t>0.00170</w:t>
            </w:r>
          </w:p>
        </w:tc>
        <w:tc>
          <w:tcPr>
            <w:tcW w:w="1933" w:type="dxa"/>
            <w:noWrap/>
            <w:vAlign w:val="center"/>
          </w:tcPr>
          <w:p w:rsidR="009F7ADF" w:rsidRPr="009F7ADF" w:rsidRDefault="009F7ADF" w:rsidP="009F7ADF">
            <w:pPr>
              <w:spacing w:line="240" w:lineRule="auto"/>
              <w:jc w:val="center"/>
              <w:rPr>
                <w:color w:val="000000"/>
                <w:sz w:val="20"/>
                <w:szCs w:val="20"/>
              </w:rPr>
            </w:pPr>
            <w:r w:rsidRPr="009F7ADF">
              <w:rPr>
                <w:color w:val="000000"/>
                <w:sz w:val="20"/>
                <w:szCs w:val="20"/>
              </w:rPr>
              <w:t>0.00157</w:t>
            </w:r>
          </w:p>
        </w:tc>
        <w:tc>
          <w:tcPr>
            <w:tcW w:w="1722" w:type="dxa"/>
            <w:noWrap/>
            <w:vAlign w:val="center"/>
          </w:tcPr>
          <w:p w:rsidR="009F7ADF" w:rsidRPr="009F7ADF" w:rsidRDefault="009F7ADF" w:rsidP="009F7ADF">
            <w:pPr>
              <w:spacing w:line="240" w:lineRule="auto"/>
              <w:jc w:val="center"/>
              <w:rPr>
                <w:color w:val="000000"/>
                <w:sz w:val="20"/>
                <w:szCs w:val="20"/>
              </w:rPr>
            </w:pPr>
            <w:r w:rsidRPr="009F7ADF">
              <w:rPr>
                <w:color w:val="000000"/>
                <w:sz w:val="20"/>
                <w:szCs w:val="20"/>
              </w:rPr>
              <w:t>0.00116</w:t>
            </w:r>
          </w:p>
        </w:tc>
      </w:tr>
      <w:tr w:rsidR="009F7ADF" w:rsidRPr="00DD0793" w:rsidTr="0049319D">
        <w:tc>
          <w:tcPr>
            <w:tcW w:w="1952" w:type="dxa"/>
            <w:noWrap/>
            <w:vAlign w:val="center"/>
          </w:tcPr>
          <w:p w:rsidR="009F7ADF" w:rsidRPr="00B037EB" w:rsidRDefault="009F7ADF" w:rsidP="003A48EC">
            <w:pPr>
              <w:spacing w:line="240" w:lineRule="auto"/>
              <w:jc w:val="left"/>
              <w:rPr>
                <w:color w:val="000000"/>
                <w:sz w:val="20"/>
                <w:szCs w:val="20"/>
                <w:lang w:eastAsia="en-GB"/>
              </w:rPr>
            </w:pPr>
            <w:r w:rsidRPr="00B037EB">
              <w:rPr>
                <w:color w:val="000000"/>
                <w:sz w:val="20"/>
                <w:szCs w:val="20"/>
                <w:lang w:eastAsia="en-GB"/>
              </w:rPr>
              <w:t> </w:t>
            </w:r>
          </w:p>
        </w:tc>
        <w:tc>
          <w:tcPr>
            <w:tcW w:w="1800" w:type="dxa"/>
            <w:noWrap/>
            <w:vAlign w:val="bottom"/>
          </w:tcPr>
          <w:p w:rsidR="009F7ADF" w:rsidRPr="009F7ADF" w:rsidRDefault="009F7ADF" w:rsidP="009F7ADF">
            <w:pPr>
              <w:spacing w:line="240" w:lineRule="auto"/>
              <w:jc w:val="center"/>
              <w:rPr>
                <w:color w:val="000000"/>
                <w:sz w:val="20"/>
                <w:szCs w:val="20"/>
              </w:rPr>
            </w:pPr>
            <w:r w:rsidRPr="009F7ADF">
              <w:rPr>
                <w:color w:val="000000"/>
                <w:sz w:val="20"/>
                <w:szCs w:val="20"/>
              </w:rPr>
              <w:t>[0.00029]</w:t>
            </w:r>
          </w:p>
        </w:tc>
        <w:tc>
          <w:tcPr>
            <w:tcW w:w="1794" w:type="dxa"/>
            <w:vAlign w:val="bottom"/>
          </w:tcPr>
          <w:p w:rsidR="009F7ADF" w:rsidRPr="009F7ADF" w:rsidRDefault="009F7ADF" w:rsidP="009F7ADF">
            <w:pPr>
              <w:spacing w:line="240" w:lineRule="auto"/>
              <w:jc w:val="center"/>
              <w:rPr>
                <w:color w:val="000000"/>
                <w:sz w:val="20"/>
                <w:szCs w:val="20"/>
              </w:rPr>
            </w:pPr>
            <w:r w:rsidRPr="009F7ADF">
              <w:rPr>
                <w:color w:val="000000"/>
                <w:sz w:val="20"/>
                <w:szCs w:val="20"/>
              </w:rPr>
              <w:t>[0.00017]</w:t>
            </w:r>
            <w:r>
              <w:rPr>
                <w:color w:val="000000"/>
                <w:sz w:val="20"/>
                <w:szCs w:val="20"/>
              </w:rPr>
              <w:t>***</w:t>
            </w:r>
          </w:p>
        </w:tc>
        <w:tc>
          <w:tcPr>
            <w:tcW w:w="1933" w:type="dxa"/>
            <w:noWrap/>
            <w:vAlign w:val="bottom"/>
          </w:tcPr>
          <w:p w:rsidR="009F7ADF" w:rsidRPr="009F7ADF" w:rsidRDefault="009F7ADF" w:rsidP="009F7ADF">
            <w:pPr>
              <w:spacing w:line="240" w:lineRule="auto"/>
              <w:jc w:val="center"/>
              <w:rPr>
                <w:color w:val="000000"/>
                <w:sz w:val="20"/>
                <w:szCs w:val="20"/>
              </w:rPr>
            </w:pPr>
            <w:r w:rsidRPr="009F7ADF">
              <w:rPr>
                <w:color w:val="000000"/>
                <w:sz w:val="20"/>
                <w:szCs w:val="20"/>
              </w:rPr>
              <w:t>[0.00079]</w:t>
            </w:r>
            <w:r>
              <w:rPr>
                <w:color w:val="000000"/>
                <w:sz w:val="20"/>
                <w:szCs w:val="20"/>
              </w:rPr>
              <w:t>*</w:t>
            </w:r>
          </w:p>
        </w:tc>
        <w:tc>
          <w:tcPr>
            <w:tcW w:w="1722" w:type="dxa"/>
            <w:noWrap/>
            <w:vAlign w:val="bottom"/>
          </w:tcPr>
          <w:p w:rsidR="009F7ADF" w:rsidRPr="009F7ADF" w:rsidRDefault="009F7ADF" w:rsidP="009F7ADF">
            <w:pPr>
              <w:spacing w:line="240" w:lineRule="auto"/>
              <w:jc w:val="center"/>
              <w:rPr>
                <w:color w:val="000000"/>
                <w:sz w:val="20"/>
                <w:szCs w:val="20"/>
              </w:rPr>
            </w:pPr>
            <w:r w:rsidRPr="009F7ADF">
              <w:rPr>
                <w:color w:val="000000"/>
                <w:sz w:val="20"/>
                <w:szCs w:val="20"/>
              </w:rPr>
              <w:t>[0.00093]</w:t>
            </w:r>
          </w:p>
        </w:tc>
      </w:tr>
      <w:tr w:rsidR="009F7ADF" w:rsidRPr="00DD0793" w:rsidTr="0049319D">
        <w:tc>
          <w:tcPr>
            <w:tcW w:w="1952" w:type="dxa"/>
            <w:noWrap/>
            <w:vAlign w:val="center"/>
          </w:tcPr>
          <w:p w:rsidR="009F7ADF" w:rsidRPr="00B037EB" w:rsidRDefault="009F7ADF" w:rsidP="003A48EC">
            <w:pPr>
              <w:spacing w:line="240" w:lineRule="auto"/>
              <w:jc w:val="left"/>
              <w:rPr>
                <w:b/>
                <w:color w:val="000000"/>
                <w:sz w:val="20"/>
                <w:szCs w:val="20"/>
                <w:lang w:eastAsia="en-GB"/>
              </w:rPr>
            </w:pPr>
            <w:r w:rsidRPr="00B037EB">
              <w:rPr>
                <w:b/>
                <w:color w:val="000000"/>
                <w:sz w:val="20"/>
                <w:szCs w:val="20"/>
                <w:lang w:eastAsia="en-GB"/>
              </w:rPr>
              <w:t>Choice awareness</w:t>
            </w:r>
          </w:p>
        </w:tc>
        <w:tc>
          <w:tcPr>
            <w:tcW w:w="1800" w:type="dxa"/>
            <w:noWrap/>
            <w:vAlign w:val="center"/>
          </w:tcPr>
          <w:p w:rsidR="009F7ADF" w:rsidRPr="009F7ADF" w:rsidRDefault="009F7ADF" w:rsidP="009F7ADF">
            <w:pPr>
              <w:spacing w:line="240" w:lineRule="auto"/>
              <w:jc w:val="center"/>
              <w:rPr>
                <w:color w:val="000000"/>
                <w:sz w:val="20"/>
                <w:szCs w:val="20"/>
              </w:rPr>
            </w:pPr>
            <w:r w:rsidRPr="009F7ADF">
              <w:rPr>
                <w:color w:val="000000"/>
                <w:sz w:val="20"/>
                <w:szCs w:val="20"/>
              </w:rPr>
              <w:t>-0.00141</w:t>
            </w:r>
          </w:p>
        </w:tc>
        <w:tc>
          <w:tcPr>
            <w:tcW w:w="1794" w:type="dxa"/>
            <w:vAlign w:val="center"/>
          </w:tcPr>
          <w:p w:rsidR="009F7ADF" w:rsidRPr="009F7ADF" w:rsidRDefault="009F7ADF" w:rsidP="009F7ADF">
            <w:pPr>
              <w:spacing w:line="240" w:lineRule="auto"/>
              <w:jc w:val="center"/>
              <w:rPr>
                <w:color w:val="000000"/>
                <w:sz w:val="20"/>
                <w:szCs w:val="20"/>
              </w:rPr>
            </w:pPr>
            <w:r w:rsidRPr="009F7ADF">
              <w:rPr>
                <w:color w:val="000000"/>
                <w:sz w:val="20"/>
                <w:szCs w:val="20"/>
              </w:rPr>
              <w:t>0.00123</w:t>
            </w:r>
          </w:p>
        </w:tc>
        <w:tc>
          <w:tcPr>
            <w:tcW w:w="1933" w:type="dxa"/>
            <w:noWrap/>
            <w:vAlign w:val="center"/>
          </w:tcPr>
          <w:p w:rsidR="009F7ADF" w:rsidRPr="009F7ADF" w:rsidRDefault="009F7ADF" w:rsidP="009F7ADF">
            <w:pPr>
              <w:spacing w:line="240" w:lineRule="auto"/>
              <w:jc w:val="center"/>
              <w:rPr>
                <w:color w:val="000000"/>
                <w:sz w:val="20"/>
                <w:szCs w:val="20"/>
              </w:rPr>
            </w:pPr>
            <w:r w:rsidRPr="009F7ADF">
              <w:rPr>
                <w:color w:val="000000"/>
                <w:sz w:val="20"/>
                <w:szCs w:val="20"/>
              </w:rPr>
              <w:t>-0.01032</w:t>
            </w:r>
          </w:p>
        </w:tc>
        <w:tc>
          <w:tcPr>
            <w:tcW w:w="1722" w:type="dxa"/>
            <w:noWrap/>
            <w:vAlign w:val="center"/>
          </w:tcPr>
          <w:p w:rsidR="009F7ADF" w:rsidRPr="009F7ADF" w:rsidRDefault="009F7ADF" w:rsidP="009F7ADF">
            <w:pPr>
              <w:spacing w:line="240" w:lineRule="auto"/>
              <w:jc w:val="center"/>
              <w:rPr>
                <w:color w:val="000000"/>
                <w:sz w:val="20"/>
                <w:szCs w:val="20"/>
              </w:rPr>
            </w:pPr>
            <w:r w:rsidRPr="009F7ADF">
              <w:rPr>
                <w:color w:val="000000"/>
                <w:sz w:val="20"/>
                <w:szCs w:val="20"/>
              </w:rPr>
              <w:t>-0.00392</w:t>
            </w:r>
          </w:p>
        </w:tc>
      </w:tr>
      <w:tr w:rsidR="009F7ADF" w:rsidRPr="00DD0793" w:rsidTr="0049319D">
        <w:tc>
          <w:tcPr>
            <w:tcW w:w="1952" w:type="dxa"/>
            <w:tcBorders>
              <w:bottom w:val="single" w:sz="12" w:space="0" w:color="auto"/>
            </w:tcBorders>
            <w:noWrap/>
            <w:vAlign w:val="center"/>
          </w:tcPr>
          <w:p w:rsidR="009F7ADF" w:rsidRPr="00B037EB" w:rsidRDefault="009F7ADF" w:rsidP="003A48EC">
            <w:pPr>
              <w:spacing w:line="240" w:lineRule="auto"/>
              <w:jc w:val="left"/>
              <w:rPr>
                <w:color w:val="000000"/>
                <w:sz w:val="20"/>
                <w:szCs w:val="20"/>
                <w:lang w:eastAsia="en-GB"/>
              </w:rPr>
            </w:pPr>
            <w:r w:rsidRPr="00B037EB">
              <w:rPr>
                <w:color w:val="000000"/>
                <w:sz w:val="20"/>
                <w:szCs w:val="20"/>
                <w:lang w:eastAsia="en-GB"/>
              </w:rPr>
              <w:t> </w:t>
            </w:r>
          </w:p>
        </w:tc>
        <w:tc>
          <w:tcPr>
            <w:tcW w:w="1800" w:type="dxa"/>
            <w:tcBorders>
              <w:bottom w:val="single" w:sz="12" w:space="0" w:color="auto"/>
            </w:tcBorders>
            <w:noWrap/>
            <w:vAlign w:val="bottom"/>
          </w:tcPr>
          <w:p w:rsidR="009F7ADF" w:rsidRPr="009F7ADF" w:rsidRDefault="009F7ADF" w:rsidP="009F7ADF">
            <w:pPr>
              <w:spacing w:line="240" w:lineRule="auto"/>
              <w:jc w:val="center"/>
              <w:rPr>
                <w:color w:val="000000"/>
                <w:sz w:val="20"/>
                <w:szCs w:val="20"/>
              </w:rPr>
            </w:pPr>
            <w:r w:rsidRPr="009F7ADF">
              <w:rPr>
                <w:color w:val="000000"/>
                <w:sz w:val="20"/>
                <w:szCs w:val="20"/>
              </w:rPr>
              <w:t>[0.00047]</w:t>
            </w:r>
            <w:r>
              <w:rPr>
                <w:color w:val="000000"/>
                <w:sz w:val="20"/>
                <w:szCs w:val="20"/>
              </w:rPr>
              <w:t>**</w:t>
            </w:r>
          </w:p>
        </w:tc>
        <w:tc>
          <w:tcPr>
            <w:tcW w:w="1794" w:type="dxa"/>
            <w:tcBorders>
              <w:bottom w:val="single" w:sz="12" w:space="0" w:color="auto"/>
            </w:tcBorders>
            <w:vAlign w:val="bottom"/>
          </w:tcPr>
          <w:p w:rsidR="009F7ADF" w:rsidRPr="009F7ADF" w:rsidRDefault="009F7ADF" w:rsidP="009F7ADF">
            <w:pPr>
              <w:spacing w:line="240" w:lineRule="auto"/>
              <w:jc w:val="center"/>
              <w:rPr>
                <w:color w:val="000000"/>
                <w:sz w:val="20"/>
                <w:szCs w:val="20"/>
              </w:rPr>
            </w:pPr>
            <w:r w:rsidRPr="009F7ADF">
              <w:rPr>
                <w:color w:val="000000"/>
                <w:sz w:val="20"/>
                <w:szCs w:val="20"/>
              </w:rPr>
              <w:t>[0.00028]</w:t>
            </w:r>
            <w:r>
              <w:rPr>
                <w:color w:val="000000"/>
                <w:sz w:val="20"/>
                <w:szCs w:val="20"/>
              </w:rPr>
              <w:t>***</w:t>
            </w:r>
          </w:p>
        </w:tc>
        <w:tc>
          <w:tcPr>
            <w:tcW w:w="1933" w:type="dxa"/>
            <w:tcBorders>
              <w:bottom w:val="single" w:sz="12" w:space="0" w:color="auto"/>
            </w:tcBorders>
            <w:noWrap/>
            <w:vAlign w:val="bottom"/>
          </w:tcPr>
          <w:p w:rsidR="009F7ADF" w:rsidRPr="009F7ADF" w:rsidRDefault="009F7ADF" w:rsidP="009F7ADF">
            <w:pPr>
              <w:spacing w:line="240" w:lineRule="auto"/>
              <w:jc w:val="center"/>
              <w:rPr>
                <w:color w:val="000000"/>
                <w:sz w:val="20"/>
                <w:szCs w:val="20"/>
              </w:rPr>
            </w:pPr>
            <w:r w:rsidRPr="009F7ADF">
              <w:rPr>
                <w:color w:val="000000"/>
                <w:sz w:val="20"/>
                <w:szCs w:val="20"/>
              </w:rPr>
              <w:t>[0.00138]</w:t>
            </w:r>
            <w:r>
              <w:rPr>
                <w:color w:val="000000"/>
                <w:sz w:val="20"/>
                <w:szCs w:val="20"/>
              </w:rPr>
              <w:t>***</w:t>
            </w:r>
          </w:p>
        </w:tc>
        <w:tc>
          <w:tcPr>
            <w:tcW w:w="1722" w:type="dxa"/>
            <w:tcBorders>
              <w:bottom w:val="single" w:sz="12" w:space="0" w:color="auto"/>
            </w:tcBorders>
            <w:noWrap/>
            <w:vAlign w:val="bottom"/>
          </w:tcPr>
          <w:p w:rsidR="009F7ADF" w:rsidRPr="009F7ADF" w:rsidRDefault="009F7ADF" w:rsidP="009F7ADF">
            <w:pPr>
              <w:spacing w:line="240" w:lineRule="auto"/>
              <w:jc w:val="center"/>
              <w:rPr>
                <w:color w:val="000000"/>
                <w:sz w:val="20"/>
                <w:szCs w:val="20"/>
              </w:rPr>
            </w:pPr>
            <w:r w:rsidRPr="009F7ADF">
              <w:rPr>
                <w:color w:val="000000"/>
                <w:sz w:val="20"/>
                <w:szCs w:val="20"/>
              </w:rPr>
              <w:t>[0.00176]</w:t>
            </w:r>
            <w:r>
              <w:rPr>
                <w:color w:val="000000"/>
                <w:sz w:val="20"/>
                <w:szCs w:val="20"/>
              </w:rPr>
              <w:t>*</w:t>
            </w:r>
          </w:p>
        </w:tc>
      </w:tr>
    </w:tbl>
    <w:p w:rsidR="00A5698A" w:rsidRPr="00410EE7" w:rsidRDefault="00A5698A" w:rsidP="00A5698A">
      <w:pPr>
        <w:spacing w:line="240" w:lineRule="auto"/>
        <w:jc w:val="left"/>
        <w:rPr>
          <w:color w:val="000000"/>
          <w:sz w:val="20"/>
          <w:szCs w:val="20"/>
          <w:lang w:eastAsia="en-GB"/>
        </w:rPr>
      </w:pPr>
      <w:proofErr w:type="gramStart"/>
      <w:r w:rsidRPr="00410EE7">
        <w:rPr>
          <w:i/>
          <w:color w:val="000000"/>
          <w:sz w:val="20"/>
          <w:szCs w:val="20"/>
          <w:lang w:eastAsia="en-GB"/>
        </w:rPr>
        <w:t>Notes</w:t>
      </w:r>
      <w:r w:rsidRPr="00410EE7">
        <w:rPr>
          <w:color w:val="000000"/>
          <w:sz w:val="20"/>
          <w:szCs w:val="20"/>
          <w:lang w:eastAsia="en-GB"/>
        </w:rPr>
        <w:t>.</w:t>
      </w:r>
      <w:proofErr w:type="gramEnd"/>
      <w:r w:rsidRPr="00410EE7">
        <w:rPr>
          <w:color w:val="000000"/>
          <w:sz w:val="20"/>
          <w:szCs w:val="20"/>
          <w:lang w:eastAsia="en-GB"/>
        </w:rPr>
        <w:t xml:space="preserve"> </w:t>
      </w:r>
      <w:r w:rsidR="00EF2351">
        <w:rPr>
          <w:color w:val="000000"/>
          <w:sz w:val="20"/>
          <w:szCs w:val="20"/>
          <w:lang w:eastAsia="en-GB"/>
        </w:rPr>
        <w:t>Second stage e</w:t>
      </w:r>
      <w:r w:rsidRPr="00410EE7">
        <w:rPr>
          <w:color w:val="000000"/>
          <w:sz w:val="20"/>
          <w:szCs w:val="20"/>
          <w:lang w:eastAsia="en-GB"/>
        </w:rPr>
        <w:t xml:space="preserve">stimates from </w:t>
      </w:r>
      <w:r>
        <w:rPr>
          <w:color w:val="000000"/>
          <w:sz w:val="20"/>
          <w:szCs w:val="20"/>
          <w:lang w:eastAsia="en-GB"/>
        </w:rPr>
        <w:t xml:space="preserve">conditional fixed effects </w:t>
      </w:r>
      <w:r w:rsidRPr="00410EE7">
        <w:rPr>
          <w:color w:val="000000"/>
          <w:sz w:val="20"/>
          <w:szCs w:val="20"/>
          <w:lang w:eastAsia="en-GB"/>
        </w:rPr>
        <w:t xml:space="preserve">Poisson models. All models also contain year and SHA interactions, total practice list size, proportion of list in 13 age/gender groups, patients per whole time equivalent GP, average GP age, proportion female GPs, proportion GPs qualified in UK, proportion of non-principal GPs, 15 QOF practice quality indicators, disease prevalence and patient deprivation,  proportion of referrals to 53 separate specialities.   Coefficients are the proportionate change in the dependent variable from a one unit change in the explanatory. </w:t>
      </w:r>
      <w:r w:rsidR="00EF2351">
        <w:rPr>
          <w:color w:val="000000"/>
          <w:sz w:val="20"/>
          <w:szCs w:val="20"/>
          <w:lang w:eastAsia="en-GB"/>
        </w:rPr>
        <w:t xml:space="preserve"> First stage C&amp;B model: linear with practice fixed effects and including the mean PCT C&amp;B rate </w:t>
      </w:r>
      <w:r w:rsidR="0083482E">
        <w:rPr>
          <w:color w:val="000000"/>
          <w:sz w:val="20"/>
          <w:szCs w:val="20"/>
          <w:lang w:eastAsia="en-GB"/>
        </w:rPr>
        <w:t xml:space="preserve">as an IV, </w:t>
      </w:r>
      <w:r w:rsidR="00EF2351">
        <w:rPr>
          <w:color w:val="000000"/>
          <w:sz w:val="20"/>
          <w:szCs w:val="20"/>
          <w:lang w:eastAsia="en-GB"/>
        </w:rPr>
        <w:t>plus all second stage exogenous explanatories</w:t>
      </w:r>
      <w:proofErr w:type="gramStart"/>
      <w:r w:rsidR="00C33C1A">
        <w:rPr>
          <w:color w:val="000000"/>
          <w:sz w:val="20"/>
          <w:szCs w:val="20"/>
          <w:lang w:eastAsia="en-GB"/>
        </w:rPr>
        <w:t xml:space="preserve">; </w:t>
      </w:r>
      <w:r w:rsidR="00EF2351">
        <w:rPr>
          <w:color w:val="000000"/>
          <w:sz w:val="20"/>
          <w:szCs w:val="20"/>
          <w:lang w:eastAsia="en-GB"/>
        </w:rPr>
        <w:t xml:space="preserve"> </w:t>
      </w:r>
      <w:r w:rsidR="00C33C1A">
        <w:rPr>
          <w:color w:val="000000"/>
          <w:sz w:val="20"/>
          <w:szCs w:val="20"/>
          <w:lang w:eastAsia="en-GB"/>
        </w:rPr>
        <w:t>sample</w:t>
      </w:r>
      <w:proofErr w:type="gramEnd"/>
      <w:r w:rsidR="00C33C1A">
        <w:rPr>
          <w:color w:val="000000"/>
          <w:sz w:val="20"/>
          <w:szCs w:val="20"/>
          <w:lang w:eastAsia="en-GB"/>
        </w:rPr>
        <w:t xml:space="preserve">: </w:t>
      </w:r>
      <w:r w:rsidR="00C33C1A" w:rsidRPr="00AF408D">
        <w:rPr>
          <w:color w:val="000000"/>
          <w:sz w:val="20"/>
          <w:szCs w:val="20"/>
          <w:lang w:eastAsia="en-GB"/>
        </w:rPr>
        <w:t>46833</w:t>
      </w:r>
      <w:r w:rsidR="00C33C1A">
        <w:rPr>
          <w:color w:val="000000"/>
          <w:sz w:val="20"/>
          <w:szCs w:val="20"/>
          <w:lang w:eastAsia="en-GB"/>
        </w:rPr>
        <w:t xml:space="preserve"> observations from 8405 practices.</w:t>
      </w:r>
      <w:r w:rsidR="00EF2351">
        <w:rPr>
          <w:color w:val="000000"/>
          <w:sz w:val="20"/>
          <w:szCs w:val="20"/>
          <w:lang w:eastAsia="en-GB"/>
        </w:rPr>
        <w:t xml:space="preserve"> </w:t>
      </w:r>
      <w:r w:rsidRPr="00410EE7">
        <w:rPr>
          <w:color w:val="000000"/>
          <w:sz w:val="20"/>
          <w:szCs w:val="20"/>
          <w:lang w:eastAsia="en-GB"/>
        </w:rPr>
        <w:t xml:space="preserve"> </w:t>
      </w:r>
      <w:r w:rsidR="00725929">
        <w:rPr>
          <w:color w:val="000000"/>
          <w:sz w:val="20"/>
          <w:szCs w:val="20"/>
          <w:lang w:eastAsia="en-GB"/>
        </w:rPr>
        <w:t>First stage F statistic</w:t>
      </w:r>
      <w:r w:rsidR="003119A9">
        <w:rPr>
          <w:color w:val="000000"/>
          <w:sz w:val="20"/>
          <w:szCs w:val="20"/>
          <w:lang w:eastAsia="en-GB"/>
        </w:rPr>
        <w:t>s</w:t>
      </w:r>
      <w:r w:rsidR="00725929">
        <w:rPr>
          <w:color w:val="000000"/>
          <w:sz w:val="20"/>
          <w:szCs w:val="20"/>
          <w:lang w:eastAsia="en-GB"/>
        </w:rPr>
        <w:t xml:space="preserve">: </w:t>
      </w:r>
      <w:r w:rsidR="00EE6A2C" w:rsidRPr="00EE6A2C">
        <w:rPr>
          <w:color w:val="000000"/>
          <w:sz w:val="20"/>
          <w:szCs w:val="20"/>
          <w:lang w:eastAsia="en-GB"/>
        </w:rPr>
        <w:t xml:space="preserve">panel </w:t>
      </w:r>
      <w:r w:rsidR="0083482E" w:rsidRPr="00EE6A2C">
        <w:rPr>
          <w:color w:val="000000"/>
          <w:sz w:val="20"/>
          <w:szCs w:val="20"/>
          <w:lang w:eastAsia="en-GB"/>
        </w:rPr>
        <w:t>b</w:t>
      </w:r>
      <w:r w:rsidR="00725929" w:rsidRPr="00EE6A2C">
        <w:rPr>
          <w:color w:val="000000"/>
          <w:sz w:val="20"/>
          <w:szCs w:val="20"/>
          <w:lang w:eastAsia="en-GB"/>
        </w:rPr>
        <w:t xml:space="preserve">: 5878; </w:t>
      </w:r>
      <w:r w:rsidR="00EE6A2C" w:rsidRPr="00EE6A2C">
        <w:rPr>
          <w:color w:val="000000"/>
          <w:sz w:val="20"/>
          <w:szCs w:val="20"/>
          <w:lang w:eastAsia="en-GB"/>
        </w:rPr>
        <w:t xml:space="preserve">panel </w:t>
      </w:r>
      <w:r w:rsidR="0083482E" w:rsidRPr="00EE6A2C">
        <w:rPr>
          <w:color w:val="000000"/>
          <w:sz w:val="20"/>
          <w:szCs w:val="20"/>
          <w:lang w:eastAsia="en-GB"/>
        </w:rPr>
        <w:t>d</w:t>
      </w:r>
      <w:r w:rsidR="00725929" w:rsidRPr="00EE6A2C">
        <w:rPr>
          <w:color w:val="000000"/>
          <w:sz w:val="20"/>
          <w:szCs w:val="20"/>
          <w:lang w:eastAsia="en-GB"/>
        </w:rPr>
        <w:t>:</w:t>
      </w:r>
      <w:r w:rsidR="00725929" w:rsidRPr="002C0995">
        <w:rPr>
          <w:color w:val="000000"/>
          <w:sz w:val="20"/>
          <w:szCs w:val="20"/>
          <w:lang w:eastAsia="en-GB"/>
        </w:rPr>
        <w:t xml:space="preserve"> </w:t>
      </w:r>
      <w:proofErr w:type="gramStart"/>
      <w:r w:rsidR="002C0995" w:rsidRPr="002C0995">
        <w:rPr>
          <w:color w:val="000000"/>
          <w:sz w:val="20"/>
          <w:szCs w:val="20"/>
          <w:lang w:eastAsia="en-GB"/>
        </w:rPr>
        <w:t>6873</w:t>
      </w:r>
      <w:r w:rsidR="0083482E">
        <w:rPr>
          <w:color w:val="000000"/>
          <w:sz w:val="20"/>
          <w:szCs w:val="20"/>
          <w:lang w:eastAsia="en-GB"/>
        </w:rPr>
        <w:t xml:space="preserve"> ;</w:t>
      </w:r>
      <w:proofErr w:type="gramEnd"/>
      <w:r w:rsidR="0083482E">
        <w:rPr>
          <w:color w:val="000000"/>
          <w:sz w:val="20"/>
          <w:szCs w:val="20"/>
          <w:lang w:eastAsia="en-GB"/>
        </w:rPr>
        <w:t xml:space="preserve"> </w:t>
      </w:r>
      <w:r w:rsidR="00EF2351" w:rsidRPr="00E42474">
        <w:rPr>
          <w:color w:val="000000"/>
          <w:sz w:val="20"/>
          <w:szCs w:val="20"/>
          <w:lang w:eastAsia="en-GB"/>
        </w:rPr>
        <w:t xml:space="preserve">Bootstrapped </w:t>
      </w:r>
      <w:r w:rsidR="00E42474" w:rsidRPr="00E42474">
        <w:rPr>
          <w:color w:val="000000"/>
          <w:sz w:val="20"/>
          <w:szCs w:val="20"/>
          <w:lang w:eastAsia="en-GB"/>
        </w:rPr>
        <w:t xml:space="preserve">(250 </w:t>
      </w:r>
      <w:r w:rsidR="00EF2351" w:rsidRPr="00E42474">
        <w:rPr>
          <w:color w:val="000000"/>
          <w:sz w:val="20"/>
          <w:szCs w:val="20"/>
          <w:lang w:eastAsia="en-GB"/>
        </w:rPr>
        <w:t>replications</w:t>
      </w:r>
      <w:r w:rsidR="00EF2351">
        <w:rPr>
          <w:color w:val="000000"/>
          <w:sz w:val="20"/>
          <w:szCs w:val="20"/>
          <w:lang w:eastAsia="en-GB"/>
        </w:rPr>
        <w:t>) r</w:t>
      </w:r>
      <w:r w:rsidRPr="00410EE7">
        <w:rPr>
          <w:color w:val="000000"/>
          <w:sz w:val="20"/>
          <w:szCs w:val="20"/>
          <w:lang w:eastAsia="en-GB"/>
        </w:rPr>
        <w:t xml:space="preserve">obust standard errors in square brackets allow for clustering within GP practices. </w:t>
      </w:r>
    </w:p>
    <w:p w:rsidR="00AF408D" w:rsidRDefault="00725929" w:rsidP="00A5698A">
      <w:pPr>
        <w:spacing w:line="240" w:lineRule="auto"/>
        <w:jc w:val="left"/>
        <w:rPr>
          <w:color w:val="000000"/>
          <w:sz w:val="20"/>
          <w:szCs w:val="20"/>
          <w:lang w:eastAsia="en-GB"/>
        </w:rPr>
      </w:pPr>
      <w:r w:rsidRPr="00D62579">
        <w:rPr>
          <w:color w:val="000000"/>
          <w:sz w:val="20"/>
          <w:szCs w:val="20"/>
          <w:lang w:eastAsia="en-GB"/>
        </w:rPr>
        <w:t>*</w:t>
      </w:r>
      <w:r>
        <w:rPr>
          <w:color w:val="000000"/>
          <w:sz w:val="20"/>
          <w:szCs w:val="20"/>
          <w:lang w:eastAsia="en-GB"/>
        </w:rPr>
        <w:t>:</w:t>
      </w:r>
      <w:r w:rsidRPr="00D62579">
        <w:rPr>
          <w:color w:val="000000"/>
          <w:sz w:val="20"/>
          <w:szCs w:val="20"/>
          <w:lang w:eastAsia="en-GB"/>
        </w:rPr>
        <w:t xml:space="preserve"> p &lt; 0.05; **</w:t>
      </w:r>
      <w:r>
        <w:rPr>
          <w:color w:val="000000"/>
          <w:sz w:val="20"/>
          <w:szCs w:val="20"/>
          <w:lang w:eastAsia="en-GB"/>
        </w:rPr>
        <w:t>:</w:t>
      </w:r>
      <w:r w:rsidRPr="00D62579">
        <w:rPr>
          <w:color w:val="000000"/>
          <w:sz w:val="20"/>
          <w:szCs w:val="20"/>
          <w:lang w:eastAsia="en-GB"/>
        </w:rPr>
        <w:t xml:space="preserve"> p&lt; 0.01; ***</w:t>
      </w:r>
      <w:r>
        <w:rPr>
          <w:color w:val="000000"/>
          <w:sz w:val="20"/>
          <w:szCs w:val="20"/>
          <w:lang w:eastAsia="en-GB"/>
        </w:rPr>
        <w:t>:</w:t>
      </w:r>
      <w:r w:rsidRPr="00D62579">
        <w:rPr>
          <w:color w:val="000000"/>
          <w:sz w:val="20"/>
          <w:szCs w:val="20"/>
          <w:lang w:eastAsia="en-GB"/>
        </w:rPr>
        <w:t xml:space="preserve"> p &lt; 0.001 </w:t>
      </w:r>
    </w:p>
    <w:p w:rsidR="0049319D" w:rsidRDefault="009744B2" w:rsidP="0049319D">
      <w:pPr>
        <w:spacing w:line="240" w:lineRule="auto"/>
        <w:jc w:val="left"/>
        <w:rPr>
          <w:b/>
          <w:noProof/>
          <w:lang w:eastAsia="en-GB"/>
        </w:rPr>
      </w:pPr>
      <w:r>
        <w:rPr>
          <w:b/>
          <w:noProof/>
          <w:lang w:eastAsia="en-GB"/>
        </w:rPr>
        <w:t xml:space="preserve"> </w:t>
      </w:r>
    </w:p>
    <w:p w:rsidR="006F5EDD" w:rsidRPr="00A623EF" w:rsidRDefault="00B41274" w:rsidP="0049319D">
      <w:pPr>
        <w:spacing w:line="240" w:lineRule="auto"/>
        <w:jc w:val="right"/>
        <w:rPr>
          <w:color w:val="000000"/>
          <w:sz w:val="16"/>
          <w:szCs w:val="16"/>
          <w:lang w:eastAsia="en-GB"/>
        </w:rPr>
      </w:pPr>
      <w:r w:rsidRPr="00A623EF">
        <w:rPr>
          <w:sz w:val="16"/>
          <w:szCs w:val="16"/>
        </w:rPr>
        <w:fldChar w:fldCharType="begin"/>
      </w:r>
      <w:r w:rsidRPr="00A623EF">
        <w:rPr>
          <w:sz w:val="16"/>
          <w:szCs w:val="16"/>
        </w:rPr>
        <w:instrText xml:space="preserve"> FILENAME   \* MERGEFORMAT </w:instrText>
      </w:r>
      <w:r w:rsidRPr="00A623EF">
        <w:rPr>
          <w:sz w:val="16"/>
          <w:szCs w:val="16"/>
        </w:rPr>
        <w:fldChar w:fldCharType="separate"/>
      </w:r>
      <w:r w:rsidR="00A623EF" w:rsidRPr="00A623EF">
        <w:rPr>
          <w:noProof/>
          <w:color w:val="000000"/>
          <w:sz w:val="16"/>
          <w:szCs w:val="16"/>
          <w:lang w:eastAsia="en-GB"/>
        </w:rPr>
        <w:t>DNA C&amp;B 02 02 17</w:t>
      </w:r>
      <w:r w:rsidR="00A623EF" w:rsidRPr="00A623EF">
        <w:rPr>
          <w:noProof/>
          <w:sz w:val="16"/>
          <w:szCs w:val="16"/>
        </w:rPr>
        <w:t xml:space="preserve"> Final.docx</w:t>
      </w:r>
      <w:r w:rsidRPr="00A623EF">
        <w:rPr>
          <w:noProof/>
          <w:color w:val="000000"/>
          <w:sz w:val="16"/>
          <w:szCs w:val="16"/>
          <w:lang w:eastAsia="en-GB"/>
        </w:rPr>
        <w:fldChar w:fldCharType="end"/>
      </w:r>
      <w:r w:rsidR="006F5EDD" w:rsidRPr="00A623EF">
        <w:rPr>
          <w:color w:val="000000"/>
          <w:sz w:val="16"/>
          <w:szCs w:val="16"/>
          <w:lang w:eastAsia="en-GB"/>
        </w:rPr>
        <w:t xml:space="preserve">    </w:t>
      </w:r>
      <w:r w:rsidR="0098778E" w:rsidRPr="00A623EF">
        <w:rPr>
          <w:color w:val="000000"/>
          <w:sz w:val="16"/>
          <w:szCs w:val="16"/>
          <w:lang w:eastAsia="en-GB"/>
        </w:rPr>
        <w:fldChar w:fldCharType="begin"/>
      </w:r>
      <w:r w:rsidR="006F5EDD" w:rsidRPr="00A623EF">
        <w:rPr>
          <w:color w:val="000000"/>
          <w:sz w:val="16"/>
          <w:szCs w:val="16"/>
          <w:lang w:eastAsia="en-GB"/>
        </w:rPr>
        <w:instrText xml:space="preserve"> SAVEDATE  \@ "dd/MM/yyyy HH:mm"  \* MERGEFORMAT </w:instrText>
      </w:r>
      <w:r w:rsidR="0098778E" w:rsidRPr="00A623EF">
        <w:rPr>
          <w:color w:val="000000"/>
          <w:sz w:val="16"/>
          <w:szCs w:val="16"/>
          <w:lang w:eastAsia="en-GB"/>
        </w:rPr>
        <w:fldChar w:fldCharType="separate"/>
      </w:r>
      <w:r w:rsidR="009D1DC7">
        <w:rPr>
          <w:noProof/>
          <w:color w:val="000000"/>
          <w:sz w:val="16"/>
          <w:szCs w:val="16"/>
          <w:lang w:eastAsia="en-GB"/>
        </w:rPr>
        <w:t>07/06/2017 12:17</w:t>
      </w:r>
      <w:r w:rsidR="0098778E" w:rsidRPr="00A623EF">
        <w:rPr>
          <w:color w:val="000000"/>
          <w:sz w:val="16"/>
          <w:szCs w:val="16"/>
          <w:lang w:eastAsia="en-GB"/>
        </w:rPr>
        <w:fldChar w:fldCharType="end"/>
      </w:r>
    </w:p>
    <w:sectPr w:rsidR="006F5EDD" w:rsidRPr="00A623EF" w:rsidSect="00681BBD">
      <w:footnotePr>
        <w:numRestart w:val="eachSect"/>
      </w:foot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F55" w:rsidRDefault="00F95F55">
      <w:r>
        <w:separator/>
      </w:r>
    </w:p>
  </w:endnote>
  <w:endnote w:type="continuationSeparator" w:id="0">
    <w:p w:rsidR="00F95F55" w:rsidRDefault="00F95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PSS Marker Set">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inion">
    <w:altName w:val="Minion"/>
    <w:panose1 w:val="00000000000000000000"/>
    <w:charset w:val="00"/>
    <w:family w:val="roman"/>
    <w:notTrueType/>
    <w:pitch w:val="default"/>
    <w:sig w:usb0="00000003" w:usb1="00000000" w:usb2="00000000" w:usb3="00000000" w:csb0="00000001" w:csb1="00000000"/>
  </w:font>
  <w:font w:name="GillSans-Italic--Identity-H">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GillSans--Identity-H">
    <w:altName w:val="MS Mincho"/>
    <w:panose1 w:val="00000000000000000000"/>
    <w:charset w:val="80"/>
    <w:family w:val="auto"/>
    <w:notTrueType/>
    <w:pitch w:val="default"/>
    <w:sig w:usb0="00000000" w:usb1="08070000" w:usb2="00000010" w:usb3="00000000" w:csb0="00020000" w:csb1="00000000"/>
  </w:font>
  <w:font w:name="GillSans-Bold--Identity-H">
    <w:altName w:val="MS Mincho"/>
    <w:panose1 w:val="00000000000000000000"/>
    <w:charset w:val="80"/>
    <w:family w:val="auto"/>
    <w:notTrueType/>
    <w:pitch w:val="default"/>
    <w:sig w:usb0="00000000" w:usb1="08070000" w:usb2="00000010" w:usb3="00000000" w:csb0="00020000"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274" w:rsidRDefault="00B41274" w:rsidP="00440F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rsidR="00B41274" w:rsidRDefault="00B41274" w:rsidP="00440F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274" w:rsidRPr="003D6647" w:rsidRDefault="00B41274" w:rsidP="00440F8C">
    <w:pPr>
      <w:pStyle w:val="Footer"/>
      <w:framePr w:wrap="around" w:vAnchor="text" w:hAnchor="margin" w:xAlign="right" w:y="1"/>
      <w:rPr>
        <w:rStyle w:val="PageNumber"/>
        <w:rFonts w:ascii="Times New Roman" w:hAnsi="Times New Roman"/>
      </w:rPr>
    </w:pPr>
    <w:r w:rsidRPr="003D6647">
      <w:rPr>
        <w:rStyle w:val="PageNumber"/>
        <w:rFonts w:ascii="Times New Roman" w:hAnsi="Times New Roman"/>
      </w:rPr>
      <w:fldChar w:fldCharType="begin"/>
    </w:r>
    <w:r w:rsidRPr="003D6647">
      <w:rPr>
        <w:rStyle w:val="PageNumber"/>
        <w:rFonts w:ascii="Times New Roman" w:hAnsi="Times New Roman"/>
      </w:rPr>
      <w:instrText xml:space="preserve">PAGE  </w:instrText>
    </w:r>
    <w:r w:rsidRPr="003D6647">
      <w:rPr>
        <w:rStyle w:val="PageNumber"/>
        <w:rFonts w:ascii="Times New Roman" w:hAnsi="Times New Roman"/>
      </w:rPr>
      <w:fldChar w:fldCharType="separate"/>
    </w:r>
    <w:r w:rsidR="009D1DC7">
      <w:rPr>
        <w:rStyle w:val="PageNumber"/>
        <w:rFonts w:ascii="Times New Roman" w:hAnsi="Times New Roman"/>
        <w:noProof/>
      </w:rPr>
      <w:t>1</w:t>
    </w:r>
    <w:r w:rsidRPr="003D6647">
      <w:rPr>
        <w:rStyle w:val="PageNumber"/>
        <w:rFonts w:ascii="Times New Roman" w:hAnsi="Times New Roman"/>
      </w:rPr>
      <w:fldChar w:fldCharType="end"/>
    </w:r>
  </w:p>
  <w:p w:rsidR="00B41274" w:rsidRDefault="00B41274" w:rsidP="00440F8C">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F55" w:rsidRDefault="00F95F55">
      <w:r>
        <w:separator/>
      </w:r>
    </w:p>
  </w:footnote>
  <w:footnote w:type="continuationSeparator" w:id="0">
    <w:p w:rsidR="00F95F55" w:rsidRDefault="00F95F55">
      <w:r>
        <w:continuationSeparator/>
      </w:r>
    </w:p>
  </w:footnote>
  <w:footnote w:id="1">
    <w:p w:rsidR="00B41274" w:rsidRDefault="00B41274" w:rsidP="007D7607">
      <w:pPr>
        <w:pStyle w:val="FootnoteText"/>
      </w:pPr>
      <w:r>
        <w:rPr>
          <w:rStyle w:val="FootnoteReference"/>
        </w:rPr>
        <w:footnoteRef/>
      </w:r>
      <w:r>
        <w:t xml:space="preserve"> Some patients referred by their GP and seen by an outpatient consultant may have subsequent outpatient appointments made by the outpatient consultant.  We exclude outpatient appointments cancelled by hospitals from the denominator in computing the patient cancellation rate. </w:t>
      </w:r>
    </w:p>
  </w:footnote>
  <w:footnote w:id="2">
    <w:p w:rsidR="00B41274" w:rsidRDefault="00B41274" w:rsidP="007D7607">
      <w:pPr>
        <w:pStyle w:val="FootnoteText"/>
      </w:pPr>
      <w:r>
        <w:rPr>
          <w:rStyle w:val="FootnoteReference"/>
        </w:rPr>
        <w:footnoteRef/>
      </w:r>
      <w:r>
        <w:t xml:space="preserve"> NHS England estimate missed outpatient appointments had an average cost of £108 in 2012/13, implying that missed first GP referral appointments would have cost £80 </w:t>
      </w:r>
      <w:proofErr w:type="gramStart"/>
      <w:r>
        <w:t>million,</w:t>
      </w:r>
      <w:proofErr w:type="gramEnd"/>
      <w:r>
        <w:t xml:space="preserve"> It is unclear whether this allows for overbooking. </w:t>
      </w:r>
      <w:r w:rsidRPr="00007707">
        <w:t>https://www.england</w:t>
      </w:r>
      <w:r>
        <w:t xml:space="preserve">.nhs.uk/2014/03/05/missed-appts. </w:t>
      </w:r>
    </w:p>
  </w:footnote>
  <w:footnote w:id="3">
    <w:p w:rsidR="00B41274" w:rsidRDefault="00B41274">
      <w:pPr>
        <w:pStyle w:val="FootnoteText"/>
      </w:pPr>
      <w:r>
        <w:rPr>
          <w:rStyle w:val="FootnoteReference"/>
        </w:rPr>
        <w:footnoteRef/>
      </w:r>
      <w:r>
        <w:t xml:space="preserve"> M</w:t>
      </w:r>
      <w:r w:rsidRPr="00410EE7">
        <w:t xml:space="preserve">ale gender, age, low socioeconomic status, waiting time, and distance </w:t>
      </w:r>
      <w:r>
        <w:t xml:space="preserve">have been found to be associated with higher </w:t>
      </w:r>
      <w:r w:rsidRPr="00410EE7">
        <w:t>non-attendance rates (Hamilton et al 2002; Corfield et al, 2008; Sola-Vera et al, 2008; Hon et al, 2005; Lee et al, 2005</w:t>
      </w:r>
      <w:r>
        <w:t>)</w:t>
      </w:r>
      <w:r w:rsidRPr="00410EE7">
        <w:t xml:space="preserve">.  Reminders by telephone, text message, and post reduce non-attendance rates, (Guy et al, 2011; </w:t>
      </w:r>
      <w:proofErr w:type="spellStart"/>
      <w:r w:rsidRPr="00410EE7">
        <w:t>Gurol-Urganci</w:t>
      </w:r>
      <w:proofErr w:type="spellEnd"/>
      <w:r w:rsidRPr="00410EE7">
        <w:t xml:space="preserve"> et al, 2013).</w:t>
      </w:r>
    </w:p>
  </w:footnote>
  <w:footnote w:id="4">
    <w:p w:rsidR="00B41274" w:rsidRPr="00065824" w:rsidRDefault="00B41274" w:rsidP="00065824">
      <w:pPr>
        <w:rPr>
          <w:sz w:val="20"/>
          <w:szCs w:val="20"/>
        </w:rPr>
      </w:pPr>
      <w:r w:rsidRPr="00065824">
        <w:rPr>
          <w:rStyle w:val="FootnoteReference"/>
        </w:rPr>
        <w:footnoteRef/>
      </w:r>
      <w:r w:rsidRPr="00065824">
        <w:t xml:space="preserve">   </w:t>
      </w:r>
      <w:r w:rsidRPr="00065824">
        <w:rPr>
          <w:sz w:val="20"/>
          <w:szCs w:val="20"/>
        </w:rPr>
        <w:t>The NHS spent £280 million on the C&amp;B system up to 2012 (Department of Health, 2013</w:t>
      </w:r>
      <w:r>
        <w:rPr>
          <w:sz w:val="20"/>
          <w:szCs w:val="20"/>
        </w:rPr>
        <w:t xml:space="preserve">).  </w:t>
      </w:r>
      <w:r w:rsidRPr="00065824">
        <w:rPr>
          <w:sz w:val="20"/>
          <w:szCs w:val="20"/>
        </w:rPr>
        <w:t xml:space="preserve">Norway, Denmark, Finland, and the Netherlands have </w:t>
      </w:r>
      <w:r>
        <w:rPr>
          <w:sz w:val="20"/>
          <w:szCs w:val="20"/>
        </w:rPr>
        <w:t xml:space="preserve">also </w:t>
      </w:r>
      <w:r w:rsidRPr="00065824">
        <w:rPr>
          <w:sz w:val="20"/>
          <w:szCs w:val="20"/>
        </w:rPr>
        <w:t>invested in electronic referral and booking systems and health information technology to facilitate patient referral and support information exchange, and wider patient choice of treatme</w:t>
      </w:r>
      <w:r>
        <w:rPr>
          <w:sz w:val="20"/>
          <w:szCs w:val="20"/>
        </w:rPr>
        <w:t>nt provider (</w:t>
      </w:r>
      <w:proofErr w:type="spellStart"/>
      <w:r w:rsidRPr="00065824">
        <w:rPr>
          <w:sz w:val="20"/>
          <w:szCs w:val="20"/>
        </w:rPr>
        <w:t>Naserias</w:t>
      </w:r>
      <w:proofErr w:type="spellEnd"/>
      <w:r w:rsidRPr="00065824">
        <w:rPr>
          <w:sz w:val="20"/>
          <w:szCs w:val="20"/>
        </w:rPr>
        <w:t xml:space="preserve">, 2015). The US Health Information Technology for Economic and Clinical Health Act of 2009 provided $27 billion for incentive payments and investment in </w:t>
      </w:r>
      <w:r>
        <w:rPr>
          <w:sz w:val="20"/>
          <w:szCs w:val="20"/>
        </w:rPr>
        <w:t>health information technology</w:t>
      </w:r>
      <w:r w:rsidRPr="00065824">
        <w:rPr>
          <w:sz w:val="20"/>
          <w:szCs w:val="20"/>
        </w:rPr>
        <w:t xml:space="preserve"> (Blumenthal and </w:t>
      </w:r>
      <w:proofErr w:type="spellStart"/>
      <w:r w:rsidRPr="00065824">
        <w:rPr>
          <w:sz w:val="20"/>
          <w:szCs w:val="20"/>
        </w:rPr>
        <w:t>Tavenner</w:t>
      </w:r>
      <w:proofErr w:type="spellEnd"/>
      <w:r w:rsidRPr="00065824">
        <w:rPr>
          <w:sz w:val="20"/>
          <w:szCs w:val="20"/>
        </w:rPr>
        <w:t xml:space="preserve">, 2010).  </w:t>
      </w:r>
    </w:p>
  </w:footnote>
  <w:footnote w:id="5">
    <w:p w:rsidR="00B41274" w:rsidRDefault="00B41274">
      <w:pPr>
        <w:pStyle w:val="FootnoteText"/>
      </w:pPr>
      <w:r>
        <w:rPr>
          <w:rStyle w:val="FootnoteReference"/>
        </w:rPr>
        <w:footnoteRef/>
      </w:r>
      <w:r>
        <w:t xml:space="preserve"> Appendix C provides a theory model of the process and the impact of C&amp;B.</w:t>
      </w:r>
    </w:p>
  </w:footnote>
  <w:footnote w:id="6">
    <w:p w:rsidR="00B41274" w:rsidRDefault="00B41274">
      <w:pPr>
        <w:pStyle w:val="FootnoteText"/>
      </w:pPr>
      <w:r w:rsidRPr="00BD5EB3">
        <w:rPr>
          <w:rStyle w:val="FootnoteReference"/>
        </w:rPr>
        <w:footnoteRef/>
      </w:r>
      <w:r w:rsidRPr="00BD5EB3">
        <w:t xml:space="preserve">  In 2011 50% of patients waited more than 30 days. </w:t>
      </w:r>
      <w:proofErr w:type="gramStart"/>
      <w:r w:rsidRPr="00BD5EB3">
        <w:t>(Care Quality Commission.</w:t>
      </w:r>
      <w:proofErr w:type="gramEnd"/>
      <w:r w:rsidRPr="00BD5EB3">
        <w:t xml:space="preserve"> The Survey of Adult Outpatient Services 2011, NHS England, 2011. </w:t>
      </w:r>
      <w:hyperlink r:id="rId1" w:history="1">
        <w:r w:rsidRPr="00BD5EB3">
          <w:rPr>
            <w:rStyle w:val="Hyperlink"/>
          </w:rPr>
          <w:t>http://www.qualitywatch.org.uk/indicator/waiting-times-outpatient-appointments</w:t>
        </w:r>
      </w:hyperlink>
      <w:r w:rsidRPr="00BD5EB3">
        <w:t>).</w:t>
      </w:r>
    </w:p>
  </w:footnote>
  <w:footnote w:id="7">
    <w:p w:rsidR="00B41274" w:rsidRDefault="00B41274" w:rsidP="007D7607">
      <w:pPr>
        <w:pStyle w:val="FootnoteText"/>
      </w:pPr>
      <w:r>
        <w:rPr>
          <w:rStyle w:val="FootnoteReference"/>
        </w:rPr>
        <w:footnoteRef/>
      </w:r>
      <w:r>
        <w:t xml:space="preserve"> Even without new information hyperbolic discounting (</w:t>
      </w:r>
      <w:proofErr w:type="spellStart"/>
      <w:r>
        <w:t>Laibson</w:t>
      </w:r>
      <w:proofErr w:type="spellEnd"/>
      <w:r>
        <w:t xml:space="preserve">, 1997) may lead to non-attendance.  For example, suppose that the waiting time for an appointment is </w:t>
      </w:r>
      <w:r w:rsidRPr="005B1B43">
        <w:rPr>
          <w:i/>
        </w:rPr>
        <w:t>t</w:t>
      </w:r>
      <w:r>
        <w:t xml:space="preserve">, that the benefit </w:t>
      </w:r>
      <w:r w:rsidRPr="005B1B43">
        <w:rPr>
          <w:i/>
        </w:rPr>
        <w:t>b</w:t>
      </w:r>
      <w:r>
        <w:t xml:space="preserve"> from attending (better future health) </w:t>
      </w:r>
      <w:proofErr w:type="gramStart"/>
      <w:r>
        <w:t>occurs</w:t>
      </w:r>
      <w:proofErr w:type="gramEnd"/>
      <w:r>
        <w:t xml:space="preserve"> some time </w:t>
      </w:r>
      <w:r w:rsidRPr="005B1B43">
        <w:rPr>
          <w:i/>
        </w:rPr>
        <w:t>s</w:t>
      </w:r>
      <w:r>
        <w:t xml:space="preserve"> after attending, and that the cost of attending is </w:t>
      </w:r>
      <w:r w:rsidRPr="005B1B43">
        <w:rPr>
          <w:i/>
        </w:rPr>
        <w:t>c</w:t>
      </w:r>
      <w:r>
        <w:t xml:space="preserve">.  Then the appointment will be booked at date 0 if and only if </w:t>
      </w:r>
      <w:proofErr w:type="gramStart"/>
      <w:r w:rsidRPr="005B1B43">
        <w:rPr>
          <w:i/>
        </w:rPr>
        <w:t>δ</w:t>
      </w:r>
      <w:r>
        <w:t>(</w:t>
      </w:r>
      <w:proofErr w:type="spellStart"/>
      <w:proofErr w:type="gramEnd"/>
      <w:r w:rsidRPr="005B1B43">
        <w:rPr>
          <w:i/>
        </w:rPr>
        <w:t>t+s</w:t>
      </w:r>
      <w:proofErr w:type="spellEnd"/>
      <w:r>
        <w:t>)</w:t>
      </w:r>
      <w:r w:rsidRPr="005B1B43">
        <w:rPr>
          <w:i/>
        </w:rPr>
        <w:t>b</w:t>
      </w:r>
      <w:r>
        <w:t xml:space="preserve"> &gt; </w:t>
      </w:r>
      <w:r w:rsidRPr="005B1B43">
        <w:rPr>
          <w:i/>
        </w:rPr>
        <w:t>δ</w:t>
      </w:r>
      <w:r>
        <w:t>(</w:t>
      </w:r>
      <w:r w:rsidRPr="005B1B43">
        <w:rPr>
          <w:i/>
        </w:rPr>
        <w:t>t</w:t>
      </w:r>
      <w:r>
        <w:t>)</w:t>
      </w:r>
      <w:r w:rsidRPr="005B1B43">
        <w:rPr>
          <w:i/>
        </w:rPr>
        <w:t>c</w:t>
      </w:r>
      <w:r>
        <w:t xml:space="preserve"> where </w:t>
      </w:r>
      <w:r w:rsidRPr="00575DCD">
        <w:rPr>
          <w:i/>
        </w:rPr>
        <w:t>δ</w:t>
      </w:r>
      <w:r>
        <w:t xml:space="preserve"> is the discount factor applied to future benefits and costs. The booked appointment will be attended at date </w:t>
      </w:r>
      <w:r w:rsidRPr="00575DCD">
        <w:rPr>
          <w:i/>
        </w:rPr>
        <w:t>t</w:t>
      </w:r>
      <w:r>
        <w:t xml:space="preserve"> if and only if </w:t>
      </w:r>
      <w:r w:rsidRPr="00575DCD">
        <w:rPr>
          <w:i/>
        </w:rPr>
        <w:t>δ</w:t>
      </w:r>
      <w:r>
        <w:t>(</w:t>
      </w:r>
      <w:r w:rsidRPr="00575DCD">
        <w:rPr>
          <w:i/>
        </w:rPr>
        <w:t>s</w:t>
      </w:r>
      <w:proofErr w:type="gramStart"/>
      <w:r>
        <w:t>)</w:t>
      </w:r>
      <w:r w:rsidRPr="00575DCD">
        <w:rPr>
          <w:i/>
        </w:rPr>
        <w:t>b</w:t>
      </w:r>
      <w:proofErr w:type="gramEnd"/>
      <w:r>
        <w:t xml:space="preserve"> &gt; </w:t>
      </w:r>
      <w:r w:rsidRPr="00575DCD">
        <w:rPr>
          <w:i/>
        </w:rPr>
        <w:t>c</w:t>
      </w:r>
      <w:r>
        <w:t xml:space="preserve">.  With hyperbolic discounting </w:t>
      </w:r>
      <w:proofErr w:type="gramStart"/>
      <w:r w:rsidRPr="00575DCD">
        <w:rPr>
          <w:i/>
        </w:rPr>
        <w:t>δ</w:t>
      </w:r>
      <w:r>
        <w:t>(</w:t>
      </w:r>
      <w:proofErr w:type="gramEnd"/>
      <w:r w:rsidRPr="00575DCD">
        <w:rPr>
          <w:i/>
        </w:rPr>
        <w:sym w:font="Symbol" w:char="F074"/>
      </w:r>
      <w:r>
        <w:t xml:space="preserve">) = </w:t>
      </w:r>
      <w:r w:rsidRPr="00575DCD">
        <w:rPr>
          <w:i/>
        </w:rPr>
        <w:sym w:font="Symbol" w:char="F062"/>
      </w:r>
      <w:r w:rsidRPr="00575DCD">
        <w:rPr>
          <w:i/>
        </w:rPr>
        <w:t>e</w:t>
      </w:r>
      <w:r w:rsidRPr="00575DCD">
        <w:rPr>
          <w:i/>
          <w:vertAlign w:val="superscript"/>
        </w:rPr>
        <w:t>-r</w:t>
      </w:r>
      <w:r w:rsidRPr="00575DCD">
        <w:rPr>
          <w:i/>
          <w:vertAlign w:val="superscript"/>
        </w:rPr>
        <w:sym w:font="Symbol" w:char="F074"/>
      </w:r>
      <w:r>
        <w:t xml:space="preserve">, where </w:t>
      </w:r>
      <w:r w:rsidRPr="00575DCD">
        <w:rPr>
          <w:i/>
        </w:rPr>
        <w:sym w:font="Symbol" w:char="F062"/>
      </w:r>
      <w:r>
        <w:t xml:space="preserve"> </w:t>
      </w:r>
      <w:r>
        <w:sym w:font="Symbol" w:char="F0CE"/>
      </w:r>
      <w:r>
        <w:t xml:space="preserve">( 0,1) if </w:t>
      </w:r>
      <w:r w:rsidRPr="00575DCD">
        <w:rPr>
          <w:i/>
        </w:rPr>
        <w:sym w:font="Symbol" w:char="F074"/>
      </w:r>
      <w:r>
        <w:t xml:space="preserve"> &gt; 0 and </w:t>
      </w:r>
      <w:r w:rsidRPr="00575DCD">
        <w:rPr>
          <w:i/>
        </w:rPr>
        <w:t>δ</w:t>
      </w:r>
      <w:r>
        <w:t xml:space="preserve">(0) = 1, the patient will fail to attend the booked appointment if </w:t>
      </w:r>
      <w:r w:rsidRPr="00575DCD">
        <w:rPr>
          <w:i/>
        </w:rPr>
        <w:t>be</w:t>
      </w:r>
      <w:r w:rsidRPr="00575DCD">
        <w:rPr>
          <w:i/>
          <w:vertAlign w:val="superscript"/>
        </w:rPr>
        <w:t>-r</w:t>
      </w:r>
      <w:r w:rsidRPr="00575DCD">
        <w:rPr>
          <w:i/>
          <w:vertAlign w:val="superscript"/>
        </w:rPr>
        <w:sym w:font="Symbol" w:char="F074"/>
      </w:r>
      <w:r>
        <w:t xml:space="preserve"> &gt;</w:t>
      </w:r>
      <w:r w:rsidRPr="00575DCD">
        <w:rPr>
          <w:i/>
        </w:rPr>
        <w:t xml:space="preserve"> c</w:t>
      </w:r>
      <w:r>
        <w:t xml:space="preserve"> &gt; </w:t>
      </w:r>
      <w:r w:rsidRPr="00575DCD">
        <w:rPr>
          <w:i/>
        </w:rPr>
        <w:sym w:font="Symbol" w:char="F062"/>
      </w:r>
      <w:r w:rsidRPr="00575DCD">
        <w:rPr>
          <w:i/>
        </w:rPr>
        <w:t>e</w:t>
      </w:r>
      <w:r w:rsidRPr="00575DCD">
        <w:rPr>
          <w:i/>
          <w:vertAlign w:val="superscript"/>
        </w:rPr>
        <w:t>-r</w:t>
      </w:r>
      <w:r w:rsidRPr="00575DCD">
        <w:rPr>
          <w:i/>
          <w:vertAlign w:val="superscript"/>
        </w:rPr>
        <w:sym w:font="Symbol" w:char="F074"/>
      </w:r>
      <w:r>
        <w:t xml:space="preserve">. </w:t>
      </w:r>
    </w:p>
  </w:footnote>
  <w:footnote w:id="8">
    <w:p w:rsidR="00B41274" w:rsidRDefault="00B41274" w:rsidP="007D7607">
      <w:pPr>
        <w:pStyle w:val="FootnoteText"/>
      </w:pPr>
      <w:r>
        <w:rPr>
          <w:rStyle w:val="FootnoteReference"/>
        </w:rPr>
        <w:footnoteRef/>
      </w:r>
      <w:r>
        <w:t xml:space="preserve"> See O’Connor et al (2004) for a review of evidence on the effect of shared decision processes on choice of treatment. </w:t>
      </w:r>
    </w:p>
  </w:footnote>
  <w:footnote w:id="9">
    <w:p w:rsidR="00B41274" w:rsidRDefault="00B41274">
      <w:pPr>
        <w:pStyle w:val="FootnoteText"/>
      </w:pPr>
      <w:r>
        <w:rPr>
          <w:rStyle w:val="FootnoteReference"/>
        </w:rPr>
        <w:footnoteRef/>
      </w:r>
      <w:r>
        <w:t xml:space="preserve"> The </w:t>
      </w:r>
      <w:r w:rsidRPr="000A2E33">
        <w:t>152</w:t>
      </w:r>
      <w:r>
        <w:t xml:space="preserve"> PCTs received capitated budgets from the Department of Health and are responsible, inter alia, for delivery of primary care services in their area. </w:t>
      </w:r>
    </w:p>
  </w:footnote>
  <w:footnote w:id="10">
    <w:p w:rsidR="00B41274" w:rsidRDefault="00B41274" w:rsidP="00BB0224">
      <w:r>
        <w:rPr>
          <w:rStyle w:val="FootnoteReference"/>
        </w:rPr>
        <w:footnoteRef/>
      </w:r>
      <w:r>
        <w:t xml:space="preserve"> </w:t>
      </w:r>
      <w:r>
        <w:rPr>
          <w:rFonts w:eastAsiaTheme="minorEastAsia"/>
          <w:sz w:val="20"/>
          <w:szCs w:val="20"/>
        </w:rPr>
        <w:t xml:space="preserve">In models of hospital cancellations exposure is </w:t>
      </w:r>
      <w:r>
        <w:rPr>
          <w:rFonts w:eastAsiaTheme="minorEastAsia"/>
          <w:i/>
          <w:sz w:val="20"/>
          <w:szCs w:val="20"/>
        </w:rPr>
        <w:t>N</w:t>
      </w:r>
      <w:r>
        <w:rPr>
          <w:rFonts w:eastAsiaTheme="minorEastAsia"/>
          <w:i/>
          <w:sz w:val="20"/>
          <w:szCs w:val="20"/>
          <w:vertAlign w:val="subscript"/>
        </w:rPr>
        <w:t>it</w:t>
      </w:r>
      <w:r>
        <w:rPr>
          <w:rFonts w:eastAsiaTheme="minorEastAsia"/>
          <w:i/>
          <w:sz w:val="20"/>
          <w:szCs w:val="20"/>
        </w:rPr>
        <w:t xml:space="preserve"> + </w:t>
      </w:r>
      <w:proofErr w:type="spellStart"/>
      <w:r>
        <w:rPr>
          <w:rFonts w:eastAsiaTheme="minorEastAsia"/>
          <w:i/>
          <w:sz w:val="20"/>
          <w:szCs w:val="20"/>
        </w:rPr>
        <w:t>C</w:t>
      </w:r>
      <w:r>
        <w:rPr>
          <w:rFonts w:eastAsiaTheme="minorEastAsia"/>
          <w:i/>
          <w:sz w:val="20"/>
          <w:szCs w:val="20"/>
          <w:vertAlign w:val="subscript"/>
        </w:rPr>
        <w:t>it</w:t>
      </w:r>
      <w:proofErr w:type="spellEnd"/>
      <w:r>
        <w:rPr>
          <w:rFonts w:eastAsiaTheme="minorEastAsia"/>
          <w:i/>
          <w:sz w:val="20"/>
          <w:szCs w:val="20"/>
        </w:rPr>
        <w:t xml:space="preserve"> + H</w:t>
      </w:r>
      <w:r>
        <w:rPr>
          <w:rFonts w:eastAsiaTheme="minorEastAsia"/>
          <w:i/>
          <w:sz w:val="20"/>
          <w:szCs w:val="20"/>
          <w:vertAlign w:val="subscript"/>
        </w:rPr>
        <w:t>it</w:t>
      </w:r>
      <w:r>
        <w:rPr>
          <w:rFonts w:eastAsiaTheme="minorEastAsia"/>
          <w:i/>
          <w:sz w:val="20"/>
          <w:szCs w:val="20"/>
        </w:rPr>
        <w:t xml:space="preserve"> + A</w:t>
      </w:r>
      <w:r>
        <w:rPr>
          <w:rFonts w:eastAsiaTheme="minorEastAsia"/>
          <w:i/>
          <w:sz w:val="20"/>
          <w:szCs w:val="20"/>
          <w:vertAlign w:val="subscript"/>
        </w:rPr>
        <w:t>it</w:t>
      </w:r>
      <w:r>
        <w:rPr>
          <w:rFonts w:eastAsiaTheme="minorEastAsia"/>
          <w:sz w:val="20"/>
          <w:szCs w:val="20"/>
        </w:rPr>
        <w:t xml:space="preserve"> and in models of referrals it is the practice list size </w:t>
      </w:r>
      <w:r w:rsidRPr="003A7B52">
        <w:rPr>
          <w:rFonts w:eastAsiaTheme="minorEastAsia"/>
          <w:i/>
          <w:sz w:val="20"/>
          <w:szCs w:val="20"/>
        </w:rPr>
        <w:t>L</w:t>
      </w:r>
      <w:r w:rsidRPr="003A7B52">
        <w:rPr>
          <w:rFonts w:eastAsiaTheme="minorEastAsia"/>
          <w:i/>
          <w:sz w:val="20"/>
          <w:szCs w:val="20"/>
          <w:vertAlign w:val="subscript"/>
        </w:rPr>
        <w:t>it</w:t>
      </w:r>
      <w:r>
        <w:rPr>
          <w:rFonts w:eastAsiaTheme="minorEastAsia"/>
          <w:sz w:val="20"/>
          <w:szCs w:val="20"/>
        </w:rPr>
        <w:t>.</w:t>
      </w:r>
    </w:p>
  </w:footnote>
  <w:footnote w:id="11">
    <w:p w:rsidR="00B41274" w:rsidRDefault="00B41274">
      <w:pPr>
        <w:pStyle w:val="FootnoteText"/>
      </w:pPr>
      <w:r>
        <w:rPr>
          <w:rStyle w:val="FootnoteReference"/>
        </w:rPr>
        <w:footnoteRef/>
      </w:r>
      <w:r>
        <w:t xml:space="preserve"> </w:t>
      </w:r>
      <w:r w:rsidRPr="00410EE7">
        <w:t xml:space="preserve">Other countries </w:t>
      </w:r>
      <w:r>
        <w:t xml:space="preserve">which </w:t>
      </w:r>
      <w:r w:rsidRPr="00410EE7">
        <w:t>have introduced web based information system</w:t>
      </w:r>
      <w:r>
        <w:t>s</w:t>
      </w:r>
      <w:r w:rsidRPr="00410EE7">
        <w:t xml:space="preserve"> to facilitate </w:t>
      </w:r>
      <w:r>
        <w:t>greater choice</w:t>
      </w:r>
      <w:r w:rsidRPr="00410EE7">
        <w:t xml:space="preserve"> </w:t>
      </w:r>
      <w:r w:rsidRPr="00F96AB7">
        <w:t>of hospital include Norway in 2001 (</w:t>
      </w:r>
      <w:proofErr w:type="spellStart"/>
      <w:r w:rsidRPr="00F96AB7">
        <w:t>Kjerstad</w:t>
      </w:r>
      <w:proofErr w:type="spellEnd"/>
      <w:r w:rsidRPr="00F96AB7">
        <w:t xml:space="preserve"> and Kristiansen, 2005), Denmark in 2003, and Sweden in 2005 (</w:t>
      </w:r>
      <w:proofErr w:type="spellStart"/>
      <w:r w:rsidRPr="00F96AB7">
        <w:t>Ranerup</w:t>
      </w:r>
      <w:proofErr w:type="spellEnd"/>
      <w:r w:rsidRPr="00F96AB7">
        <w:t>, 2008).</w:t>
      </w:r>
    </w:p>
  </w:footnote>
  <w:footnote w:id="12">
    <w:p w:rsidR="00B41274" w:rsidRPr="00F96AB7" w:rsidRDefault="00B41274" w:rsidP="00E6195A">
      <w:pPr>
        <w:pStyle w:val="FootnoteText"/>
      </w:pPr>
      <w:r w:rsidRPr="00F96AB7">
        <w:footnoteRef/>
      </w:r>
      <w:r w:rsidRPr="00F96AB7">
        <w:t xml:space="preserve"> The evaluation of Choice policy by the Kings Fund (Dixon et al, 2010, p.41) noted that “GPs, in particular, conflated patient choice with Choose and Book, in part because it is through this system of booking that the policy of patient choice is ‘enacted’”.</w:t>
      </w:r>
    </w:p>
  </w:footnote>
  <w:footnote w:id="13">
    <w:p w:rsidR="00B41274" w:rsidRDefault="00B41274">
      <w:pPr>
        <w:pStyle w:val="FootnoteText"/>
      </w:pPr>
      <w:r>
        <w:rPr>
          <w:rStyle w:val="FootnoteReference"/>
        </w:rPr>
        <w:footnoteRef/>
      </w:r>
      <w:r>
        <w:t xml:space="preserve"> Fixed effects negative binomial models suffer from the incidental parameter problem or require implausibly strong assumptions (Cameron and Trivedi, 2015). </w:t>
      </w:r>
    </w:p>
  </w:footnote>
  <w:footnote w:id="14">
    <w:p w:rsidR="00B41274" w:rsidRDefault="00B41274" w:rsidP="00390FF9">
      <w:r>
        <w:rPr>
          <w:rStyle w:val="FootnoteReference"/>
        </w:rPr>
        <w:footnoteRef/>
      </w:r>
      <w:r>
        <w:t xml:space="preserve"> </w:t>
      </w:r>
      <w:r w:rsidRPr="00E513BA">
        <w:rPr>
          <w:sz w:val="20"/>
          <w:szCs w:val="20"/>
        </w:rPr>
        <w:t xml:space="preserve">The </w:t>
      </w:r>
      <w:r>
        <w:rPr>
          <w:sz w:val="20"/>
          <w:szCs w:val="20"/>
        </w:rPr>
        <w:t xml:space="preserve">error is due to (i) </w:t>
      </w:r>
      <w:r w:rsidRPr="00E513BA">
        <w:rPr>
          <w:sz w:val="20"/>
          <w:szCs w:val="20"/>
        </w:rPr>
        <w:t xml:space="preserve">a failure in HES to record GP practice codes </w:t>
      </w:r>
      <w:r>
        <w:rPr>
          <w:sz w:val="20"/>
          <w:szCs w:val="20"/>
        </w:rPr>
        <w:t>(</w:t>
      </w:r>
      <w:r w:rsidRPr="00E513BA">
        <w:rPr>
          <w:sz w:val="20"/>
          <w:szCs w:val="20"/>
        </w:rPr>
        <w:t>ranging between 3% and 5% of records for referred patients in each year, but concentrated in a small sub-set of GP practices</w:t>
      </w:r>
      <w:r>
        <w:rPr>
          <w:sz w:val="20"/>
          <w:szCs w:val="20"/>
        </w:rPr>
        <w:t xml:space="preserve">) and (ii) inaccurate </w:t>
      </w:r>
      <w:r w:rsidRPr="00E513BA">
        <w:rPr>
          <w:sz w:val="20"/>
          <w:szCs w:val="20"/>
        </w:rPr>
        <w:t>date of referral</w:t>
      </w:r>
      <w:r>
        <w:rPr>
          <w:sz w:val="20"/>
          <w:szCs w:val="20"/>
        </w:rPr>
        <w:t xml:space="preserve">. </w:t>
      </w:r>
    </w:p>
  </w:footnote>
  <w:footnote w:id="15">
    <w:p w:rsidR="00B41274" w:rsidRDefault="00B41274">
      <w:pPr>
        <w:pStyle w:val="FootnoteText"/>
      </w:pPr>
      <w:r>
        <w:rPr>
          <w:rStyle w:val="FootnoteReference"/>
        </w:rPr>
        <w:footnoteRef/>
      </w:r>
      <w:r>
        <w:t xml:space="preserve"> 0.45% of appointments in hospitals recording the full range of outcomes had an unknown outcome.  0.37% of appointment records did not distinguish whether the appointment was a first or follow up appointment. We assumed that they were first appointment if the organisation referral code (</w:t>
      </w:r>
      <w:proofErr w:type="spellStart"/>
      <w:r w:rsidRPr="005E3DF4">
        <w:rPr>
          <w:i/>
        </w:rPr>
        <w:t>reforg</w:t>
      </w:r>
      <w:proofErr w:type="spellEnd"/>
      <w:r>
        <w:t xml:space="preserve">) in HES matched a valid GP practice code, and included them in the four outcome categories. </w:t>
      </w:r>
    </w:p>
  </w:footnote>
  <w:footnote w:id="16">
    <w:p w:rsidR="00B41274" w:rsidRDefault="00B41274">
      <w:pPr>
        <w:pStyle w:val="FootnoteText"/>
      </w:pPr>
      <w:r>
        <w:rPr>
          <w:rStyle w:val="FootnoteReference"/>
        </w:rPr>
        <w:footnoteRef/>
      </w:r>
      <w:r>
        <w:t xml:space="preserve"> There were </w:t>
      </w:r>
      <w:r w:rsidRPr="002D46B0">
        <w:t>32,</w:t>
      </w:r>
      <w:r>
        <w:t>482 LSOAs with a minimum population of 1000 and a mean population of 1500.</w:t>
      </w:r>
    </w:p>
  </w:footnote>
  <w:footnote w:id="17">
    <w:p w:rsidR="00B41274" w:rsidRDefault="00B41274">
      <w:pPr>
        <w:pStyle w:val="FootnoteText"/>
      </w:pPr>
      <w:r>
        <w:rPr>
          <w:rStyle w:val="FootnoteReference"/>
        </w:rPr>
        <w:footnoteRef/>
      </w:r>
      <w:r>
        <w:t xml:space="preserve"> The question was “Q1. Before you visited your GP, did you know that you now have a choice of hospitals that you can go to for your first hospital appointment?</w:t>
      </w:r>
    </w:p>
  </w:footnote>
  <w:footnote w:id="18">
    <w:p w:rsidR="00B41274" w:rsidRDefault="00B41274" w:rsidP="003F71E2">
      <w:pPr>
        <w:pStyle w:val="FootnoteText"/>
      </w:pPr>
      <w:r w:rsidRPr="00B73C26">
        <w:rPr>
          <w:rStyle w:val="FootnoteReference"/>
        </w:rPr>
        <w:footnoteRef/>
      </w:r>
      <w:r w:rsidRPr="00B73C26">
        <w:t xml:space="preserve"> The low correlation in 2009 was due to greater sampling variability as only 594 responses per PCT were obtained on average compared to over 2000 in previous years.</w:t>
      </w:r>
    </w:p>
  </w:footnote>
  <w:footnote w:id="19">
    <w:p w:rsidR="00B41274" w:rsidRDefault="00B41274">
      <w:pPr>
        <w:pStyle w:val="FootnoteText"/>
      </w:pPr>
      <w:r>
        <w:rPr>
          <w:rStyle w:val="FootnoteReference"/>
        </w:rPr>
        <w:footnoteRef/>
      </w:r>
      <w:r>
        <w:t xml:space="preserve"> </w:t>
      </w:r>
      <w:r w:rsidRPr="004E2ACC">
        <w:t>In additional robustness checks we found</w:t>
      </w:r>
      <w:r>
        <w:t xml:space="preserve"> that r</w:t>
      </w:r>
      <w:r w:rsidRPr="00410EE7">
        <w:t>esults are qualitatively robust across the estimation methods</w:t>
      </w:r>
      <w:r>
        <w:t xml:space="preserve"> (see Table B1, Supplementary Material Appendix)</w:t>
      </w:r>
      <w:r w:rsidRPr="00410EE7">
        <w:t xml:space="preserve">. The Poisson random effects model, which includes the prior year 2003 outcome as an explanatory, is closest to our </w:t>
      </w:r>
      <w:r>
        <w:t xml:space="preserve">baseline conditional </w:t>
      </w:r>
      <w:r w:rsidRPr="00410EE7">
        <w:t>Poisson fixed effects model</w:t>
      </w:r>
      <w:r>
        <w:t xml:space="preserve"> reported in Table 2</w:t>
      </w:r>
      <w:r w:rsidRPr="00410EE7">
        <w:t xml:space="preserve">, with very similar coefficients and smaller standard errors.  The population averaged negative binomial has </w:t>
      </w:r>
      <w:r>
        <w:t xml:space="preserve">larger </w:t>
      </w:r>
      <w:r w:rsidRPr="00410EE7">
        <w:t>effects except for hospital cancellations where the effect is negative, though small and insignificant, rather than positive as with the other estimators.    The Poisson random effects and negative binomial population averaged models also show that the variance exceeds the mean so that it is necessary to allow for over dispersion in computing the standard errors. We do so by using robust standard errors clustered on practices.</w:t>
      </w:r>
    </w:p>
  </w:footnote>
  <w:footnote w:id="20">
    <w:p w:rsidR="00B41274" w:rsidRPr="00B51DCF" w:rsidRDefault="00B41274">
      <w:pPr>
        <w:pStyle w:val="FootnoteText"/>
        <w:rPr>
          <w:b/>
        </w:rPr>
      </w:pPr>
      <w:r w:rsidRPr="002608A2">
        <w:rPr>
          <w:rStyle w:val="FootnoteReference"/>
        </w:rPr>
        <w:footnoteRef/>
      </w:r>
      <w:r w:rsidRPr="002608A2">
        <w:t xml:space="preserve"> We compute the effect of C&amp;B in year t as 100[</w:t>
      </w:r>
      <w:proofErr w:type="spellStart"/>
      <w:proofErr w:type="gramStart"/>
      <w:r w:rsidRPr="002608A2">
        <w:t>exp</w:t>
      </w:r>
      <w:proofErr w:type="spellEnd"/>
      <w:r w:rsidRPr="002608A2">
        <w:t>(</w:t>
      </w:r>
      <w:proofErr w:type="gramEnd"/>
      <w:r w:rsidRPr="002608A2">
        <w:sym w:font="Symbol" w:char="F062"/>
      </w:r>
      <w:r w:rsidRPr="002608A2">
        <w:rPr>
          <w:vertAlign w:val="subscript"/>
        </w:rPr>
        <w:t>1t</w:t>
      </w:r>
      <w:r w:rsidRPr="002608A2">
        <w:rPr>
          <w:position w:val="-10"/>
        </w:rPr>
        <w:object w:dxaOrig="2000" w:dyaOrig="300">
          <v:shape id="_x0000_i1034" type="#_x0000_t75" style="width:99.55pt;height:15.05pt" o:ole="">
            <v:imagedata r:id="rId2" o:title=""/>
          </v:shape>
          <o:OLEObject Type="Embed" ProgID="Equation.DSMT4" ShapeID="_x0000_i1034" DrawAspect="Content" ObjectID="_1559744621" r:id="rId3"/>
        </w:object>
      </w:r>
      <w:r w:rsidRPr="002608A2">
        <w:t xml:space="preserve"> where </w:t>
      </w:r>
      <w:r w:rsidRPr="002E1360">
        <w:rPr>
          <w:i/>
        </w:rPr>
        <w:sym w:font="Symbol" w:char="F062"/>
      </w:r>
      <w:r w:rsidRPr="002E1360">
        <w:rPr>
          <w:i/>
          <w:vertAlign w:val="subscript"/>
        </w:rPr>
        <w:t>1t</w:t>
      </w:r>
      <w:r w:rsidRPr="002608A2">
        <w:t xml:space="preserve"> is the coefficient on the year </w:t>
      </w:r>
      <w:r w:rsidRPr="002608A2">
        <w:rPr>
          <w:i/>
        </w:rPr>
        <w:t xml:space="preserve">t </w:t>
      </w:r>
      <w:r w:rsidRPr="002608A2">
        <w:t xml:space="preserve">C&amp;B rate and </w:t>
      </w:r>
      <w:proofErr w:type="spellStart"/>
      <w:r w:rsidRPr="002E1360">
        <w:rPr>
          <w:i/>
        </w:rPr>
        <w:t>B</w:t>
      </w:r>
      <w:r w:rsidRPr="002E1360">
        <w:rPr>
          <w:i/>
          <w:vertAlign w:val="subscript"/>
        </w:rPr>
        <w:t>t</w:t>
      </w:r>
      <w:proofErr w:type="spellEnd"/>
      <w:r w:rsidRPr="002608A2">
        <w:t>/</w:t>
      </w:r>
      <w:proofErr w:type="spellStart"/>
      <w:r w:rsidRPr="002E1360">
        <w:rPr>
          <w:i/>
        </w:rPr>
        <w:t>R</w:t>
      </w:r>
      <w:r w:rsidRPr="002E1360">
        <w:rPr>
          <w:i/>
          <w:vertAlign w:val="subscript"/>
        </w:rPr>
        <w:t>t</w:t>
      </w:r>
      <w:proofErr w:type="spellEnd"/>
      <w:r w:rsidRPr="002608A2">
        <w:t xml:space="preserve"> is the average referral rate.</w:t>
      </w:r>
    </w:p>
  </w:footnote>
  <w:footnote w:id="21">
    <w:p w:rsidR="00B41274" w:rsidRDefault="00B41274" w:rsidP="002E1360">
      <w:pPr>
        <w:pStyle w:val="FootnoteText"/>
      </w:pPr>
      <w:r w:rsidRPr="004C063B">
        <w:rPr>
          <w:rStyle w:val="FootnoteReference"/>
        </w:rPr>
        <w:footnoteRef/>
      </w:r>
      <w:r w:rsidRPr="004C063B">
        <w:t xml:space="preserve"> </w:t>
      </w:r>
      <w:r w:rsidRPr="004C063B">
        <w:rPr>
          <w:rFonts w:eastAsiaTheme="minorEastAsia"/>
        </w:rPr>
        <w:t xml:space="preserve">We also allowed the effect of C&amp;B to vary across the 10 SHA regions. Results are </w:t>
      </w:r>
      <w:r>
        <w:rPr>
          <w:rFonts w:eastAsiaTheme="minorEastAsia"/>
        </w:rPr>
        <w:t>reported in Table B</w:t>
      </w:r>
      <w:r w:rsidRPr="002608A2">
        <w:rPr>
          <w:rFonts w:eastAsiaTheme="minorEastAsia"/>
        </w:rPr>
        <w:t>3</w:t>
      </w:r>
      <w:r w:rsidRPr="004C063B">
        <w:rPr>
          <w:rFonts w:eastAsiaTheme="minorEastAsia"/>
        </w:rPr>
        <w:t xml:space="preserve"> in the online appendix. The estimated effects of C&amp;B on non-attendance were negative across all 10 regions, but not statistically significant in the South West, which had the largest uptake of C&amp;B. The West Midlands and South Central regions experienced the largest relative reductions in non-attendance of -18.6% and -15.5% respectively.  There were more varied impacts on referral rates across the SHAs. There was a significant (at 5%) negative effect only in 6 of the 10 SHAs.  There were also mixed effects on patient cancellations across the SHAs: patient cancellations increased significantly as a result of C&amp;B in 2 of the SHAs and decreased significantly in three of them. Hospital cancellations increased in all SHAs.</w:t>
      </w:r>
    </w:p>
  </w:footnote>
  <w:footnote w:id="22">
    <w:p w:rsidR="00B41274" w:rsidRDefault="00B41274">
      <w:pPr>
        <w:pStyle w:val="FootnoteText"/>
      </w:pPr>
      <w:r>
        <w:rPr>
          <w:rStyle w:val="FootnoteReference"/>
        </w:rPr>
        <w:footnoteRef/>
      </w:r>
      <w:r>
        <w:t xml:space="preserve"> Table B2 in the online appendix provides a test of differential ‘pre-trends’ in referral outcomes between 2003 and 2005 across practices based on their average uptake of C&amp;B between the years 2005 and 2009. The trend in non-attendance was significantly higher in 2005 for practices that had higher C&amp;B utilisation rates between 2005 and 2009. If this differential trend persisted in later years it would bias our findings towards finding no effect. For patient referrals in the years 2004 and 2005 (relative to 2003) trends in referral rates were significantly lower amongst practices with higher utilisation of C&amp;B, which could bias our estimates towards finding a more negative effect if these trends persisted. </w:t>
      </w:r>
    </w:p>
  </w:footnote>
  <w:footnote w:id="23">
    <w:p w:rsidR="00B41274" w:rsidRPr="00B07F18" w:rsidRDefault="00B41274" w:rsidP="005A01A4">
      <w:pPr>
        <w:rPr>
          <w:rFonts w:ascii="Calibri" w:hAnsi="Calibri"/>
          <w:color w:val="000000"/>
          <w:sz w:val="20"/>
          <w:szCs w:val="20"/>
          <w:lang w:eastAsia="en-GB"/>
        </w:rPr>
      </w:pPr>
      <w:r>
        <w:rPr>
          <w:rStyle w:val="FootnoteReference"/>
        </w:rPr>
        <w:footnoteRef/>
      </w:r>
      <w:r>
        <w:t xml:space="preserve"> </w:t>
      </w:r>
      <w:r w:rsidRPr="00B07F18">
        <w:rPr>
          <w:sz w:val="20"/>
          <w:szCs w:val="20"/>
        </w:rPr>
        <w:t xml:space="preserve">We thank an anonymous referee for </w:t>
      </w:r>
      <w:r>
        <w:rPr>
          <w:sz w:val="20"/>
          <w:szCs w:val="20"/>
        </w:rPr>
        <w:t xml:space="preserve">this suggestion. </w:t>
      </w:r>
      <w:r w:rsidRPr="00B07F18">
        <w:rPr>
          <w:sz w:val="20"/>
          <w:szCs w:val="20"/>
        </w:rPr>
        <w:t xml:space="preserve">We also followed another suggestion to use the one year lag of C&amp;B utilisation as an instrument in the patient referral model. The results using the lag C&amp;B rate as well as the PCT mean rate were nearly identical.  The lag C&amp;B rate was quite a strong IV (F-stat = 33.99), but weaker than the PCT mean. The estimated effect of C&amp;B was </w:t>
      </w:r>
      <w:r w:rsidRPr="00B07F18">
        <w:rPr>
          <w:color w:val="000000"/>
          <w:sz w:val="20"/>
          <w:szCs w:val="20"/>
          <w:lang w:eastAsia="en-GB"/>
        </w:rPr>
        <w:t>-0.</w:t>
      </w:r>
      <w:r>
        <w:rPr>
          <w:color w:val="000000"/>
          <w:sz w:val="20"/>
          <w:szCs w:val="20"/>
          <w:lang w:eastAsia="en-GB"/>
        </w:rPr>
        <w:t>00194</w:t>
      </w:r>
      <w:r w:rsidRPr="00B07F18">
        <w:rPr>
          <w:color w:val="000000"/>
          <w:sz w:val="20"/>
          <w:szCs w:val="20"/>
          <w:lang w:eastAsia="en-GB"/>
        </w:rPr>
        <w:t xml:space="preserve"> and </w:t>
      </w:r>
      <w:r>
        <w:rPr>
          <w:color w:val="000000"/>
          <w:sz w:val="20"/>
          <w:szCs w:val="20"/>
          <w:lang w:eastAsia="en-GB"/>
        </w:rPr>
        <w:t xml:space="preserve">of </w:t>
      </w:r>
      <w:r w:rsidRPr="00B07F18">
        <w:rPr>
          <w:color w:val="000000"/>
          <w:sz w:val="20"/>
          <w:szCs w:val="20"/>
          <w:lang w:eastAsia="en-GB"/>
        </w:rPr>
        <w:t xml:space="preserve">choice </w:t>
      </w:r>
      <w:r>
        <w:rPr>
          <w:color w:val="000000"/>
          <w:sz w:val="20"/>
          <w:szCs w:val="20"/>
          <w:lang w:eastAsia="en-GB"/>
        </w:rPr>
        <w:t xml:space="preserve">awareness </w:t>
      </w:r>
      <w:r w:rsidRPr="00B07F18">
        <w:rPr>
          <w:color w:val="000000"/>
          <w:sz w:val="20"/>
          <w:szCs w:val="20"/>
          <w:lang w:eastAsia="en-GB"/>
        </w:rPr>
        <w:t>was 0.00</w:t>
      </w:r>
      <w:r>
        <w:rPr>
          <w:color w:val="000000"/>
          <w:sz w:val="20"/>
          <w:szCs w:val="20"/>
          <w:lang w:eastAsia="en-GB"/>
        </w:rPr>
        <w:t>11</w:t>
      </w:r>
      <w:r w:rsidRPr="00B07F18">
        <w:rPr>
          <w:color w:val="000000"/>
          <w:sz w:val="20"/>
          <w:szCs w:val="20"/>
          <w:lang w:eastAsia="en-GB"/>
        </w:rPr>
        <w:t xml:space="preserve">. An over-identification test for the validity of the lag C&amp;B rate could not reject the null hypothesis that the use of C&amp;B in the previous period affected patient referrals in the next period, assuming that the PCT mean rate to be a valid instrument. </w:t>
      </w:r>
    </w:p>
    <w:p w:rsidR="00B41274" w:rsidRDefault="00B41274">
      <w:pPr>
        <w:pStyle w:val="FootnoteText"/>
      </w:pPr>
      <w:r>
        <w:t xml:space="preserve"> </w:t>
      </w:r>
    </w:p>
  </w:footnote>
  <w:footnote w:id="24">
    <w:p w:rsidR="00FA29B0" w:rsidRPr="00FA29B0" w:rsidRDefault="00FA29B0" w:rsidP="00FA29B0">
      <w:pPr>
        <w:rPr>
          <w:sz w:val="20"/>
          <w:szCs w:val="20"/>
        </w:rPr>
      </w:pPr>
      <w:r>
        <w:rPr>
          <w:rStyle w:val="FootnoteReference"/>
        </w:rPr>
        <w:footnoteRef/>
      </w:r>
      <w:r>
        <w:t xml:space="preserve"> </w:t>
      </w:r>
      <w:r w:rsidRPr="00FA29B0">
        <w:rPr>
          <w:sz w:val="20"/>
          <w:szCs w:val="20"/>
        </w:rPr>
        <w:t>An increase in scheduling errors and re-appointment was noted in the implementation of the electronic booking system supporting the Norwegian ‘Free-Choice-Of-Hospital’ policy introduced in 2001 (</w:t>
      </w:r>
      <w:proofErr w:type="spellStart"/>
      <w:r w:rsidRPr="00FA29B0">
        <w:rPr>
          <w:sz w:val="20"/>
          <w:szCs w:val="20"/>
        </w:rPr>
        <w:t>Lotherington</w:t>
      </w:r>
      <w:proofErr w:type="spellEnd"/>
      <w:r w:rsidRPr="00FA29B0">
        <w:rPr>
          <w:sz w:val="20"/>
          <w:szCs w:val="20"/>
        </w:rPr>
        <w:t xml:space="preserve"> and </w:t>
      </w:r>
      <w:proofErr w:type="spellStart"/>
      <w:r w:rsidRPr="00FA29B0">
        <w:rPr>
          <w:sz w:val="20"/>
          <w:szCs w:val="20"/>
        </w:rPr>
        <w:t>Obstfelder</w:t>
      </w:r>
      <w:proofErr w:type="spellEnd"/>
      <w:r w:rsidRPr="00FA29B0">
        <w:rPr>
          <w:sz w:val="20"/>
          <w:szCs w:val="20"/>
        </w:rPr>
        <w:t>, 2006).</w:t>
      </w:r>
    </w:p>
    <w:p w:rsidR="00FA29B0" w:rsidRDefault="00FA29B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67AE74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C72EFC"/>
    <w:multiLevelType w:val="singleLevel"/>
    <w:tmpl w:val="0809000F"/>
    <w:lvl w:ilvl="0">
      <w:start w:val="1"/>
      <w:numFmt w:val="decimal"/>
      <w:lvlText w:val="%1."/>
      <w:lvlJc w:val="left"/>
      <w:pPr>
        <w:tabs>
          <w:tab w:val="num" w:pos="360"/>
        </w:tabs>
        <w:ind w:left="360" w:hanging="360"/>
      </w:pPr>
    </w:lvl>
  </w:abstractNum>
  <w:abstractNum w:abstractNumId="2">
    <w:nsid w:val="0E0802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EBE41C6"/>
    <w:multiLevelType w:val="singleLevel"/>
    <w:tmpl w:val="6C5A12B4"/>
    <w:lvl w:ilvl="0">
      <w:numFmt w:val="bullet"/>
      <w:lvlText w:val="□"/>
      <w:lvlJc w:val="left"/>
      <w:pPr>
        <w:tabs>
          <w:tab w:val="num" w:pos="360"/>
        </w:tabs>
        <w:ind w:left="360" w:hanging="360"/>
      </w:pPr>
      <w:rPr>
        <w:rFonts w:ascii="Courier New" w:hAnsi="Courier New" w:hint="default"/>
      </w:rPr>
    </w:lvl>
  </w:abstractNum>
  <w:abstractNum w:abstractNumId="4">
    <w:nsid w:val="12A735DD"/>
    <w:multiLevelType w:val="multilevel"/>
    <w:tmpl w:val="DC240F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B42448"/>
    <w:multiLevelType w:val="hybridMultilevel"/>
    <w:tmpl w:val="09A8B63E"/>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6">
    <w:nsid w:val="15AF12A1"/>
    <w:multiLevelType w:val="singleLevel"/>
    <w:tmpl w:val="0409000F"/>
    <w:lvl w:ilvl="0">
      <w:start w:val="1"/>
      <w:numFmt w:val="decimal"/>
      <w:lvlText w:val="%1."/>
      <w:lvlJc w:val="left"/>
      <w:pPr>
        <w:tabs>
          <w:tab w:val="num" w:pos="360"/>
        </w:tabs>
        <w:ind w:left="360" w:hanging="360"/>
      </w:pPr>
    </w:lvl>
  </w:abstractNum>
  <w:abstractNum w:abstractNumId="7">
    <w:nsid w:val="190C257E"/>
    <w:multiLevelType w:val="multilevel"/>
    <w:tmpl w:val="A47A8BE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abstractNum w:abstractNumId="8">
    <w:nsid w:val="1FA24708"/>
    <w:multiLevelType w:val="hybridMultilevel"/>
    <w:tmpl w:val="62780EC8"/>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5E62B03"/>
    <w:multiLevelType w:val="hybridMultilevel"/>
    <w:tmpl w:val="9A18FD2A"/>
    <w:lvl w:ilvl="0" w:tplc="3A703302">
      <w:start w:val="1"/>
      <w:numFmt w:val="decimal"/>
      <w:lvlText w:val="%1)"/>
      <w:lvlJc w:val="left"/>
      <w:pPr>
        <w:tabs>
          <w:tab w:val="num" w:pos="720"/>
        </w:tabs>
        <w:ind w:left="720" w:hanging="360"/>
      </w:pPr>
      <w:rPr>
        <w:rFonts w:hint="default"/>
      </w:rPr>
    </w:lvl>
    <w:lvl w:ilvl="1" w:tplc="5EF66698">
      <w:start w:val="4"/>
      <w:numFmt w:val="bullet"/>
      <w:lvlText w:val="-"/>
      <w:lvlJc w:val="left"/>
      <w:pPr>
        <w:tabs>
          <w:tab w:val="num" w:pos="1440"/>
        </w:tabs>
        <w:ind w:left="1440" w:hanging="360"/>
      </w:pPr>
      <w:rPr>
        <w:rFonts w:ascii="Times New Roman" w:eastAsia="Times New Roman" w:hAnsi="Times New Roman" w:cs="Times New Roman" w:hint="default"/>
      </w:rPr>
    </w:lvl>
    <w:lvl w:ilvl="2" w:tplc="48D4404A" w:tentative="1">
      <w:start w:val="1"/>
      <w:numFmt w:val="lowerRoman"/>
      <w:lvlText w:val="%3."/>
      <w:lvlJc w:val="right"/>
      <w:pPr>
        <w:tabs>
          <w:tab w:val="num" w:pos="2160"/>
        </w:tabs>
        <w:ind w:left="2160" w:hanging="180"/>
      </w:pPr>
    </w:lvl>
    <w:lvl w:ilvl="3" w:tplc="A5902A24" w:tentative="1">
      <w:start w:val="1"/>
      <w:numFmt w:val="decimal"/>
      <w:lvlText w:val="%4."/>
      <w:lvlJc w:val="left"/>
      <w:pPr>
        <w:tabs>
          <w:tab w:val="num" w:pos="2880"/>
        </w:tabs>
        <w:ind w:left="2880" w:hanging="360"/>
      </w:pPr>
    </w:lvl>
    <w:lvl w:ilvl="4" w:tplc="2B1AD3BA" w:tentative="1">
      <w:start w:val="1"/>
      <w:numFmt w:val="lowerLetter"/>
      <w:lvlText w:val="%5."/>
      <w:lvlJc w:val="left"/>
      <w:pPr>
        <w:tabs>
          <w:tab w:val="num" w:pos="3600"/>
        </w:tabs>
        <w:ind w:left="3600" w:hanging="360"/>
      </w:pPr>
    </w:lvl>
    <w:lvl w:ilvl="5" w:tplc="36F6E962" w:tentative="1">
      <w:start w:val="1"/>
      <w:numFmt w:val="lowerRoman"/>
      <w:lvlText w:val="%6."/>
      <w:lvlJc w:val="right"/>
      <w:pPr>
        <w:tabs>
          <w:tab w:val="num" w:pos="4320"/>
        </w:tabs>
        <w:ind w:left="4320" w:hanging="180"/>
      </w:pPr>
    </w:lvl>
    <w:lvl w:ilvl="6" w:tplc="0F101D40" w:tentative="1">
      <w:start w:val="1"/>
      <w:numFmt w:val="decimal"/>
      <w:lvlText w:val="%7."/>
      <w:lvlJc w:val="left"/>
      <w:pPr>
        <w:tabs>
          <w:tab w:val="num" w:pos="5040"/>
        </w:tabs>
        <w:ind w:left="5040" w:hanging="360"/>
      </w:pPr>
    </w:lvl>
    <w:lvl w:ilvl="7" w:tplc="84A08D5C" w:tentative="1">
      <w:start w:val="1"/>
      <w:numFmt w:val="lowerLetter"/>
      <w:lvlText w:val="%8."/>
      <w:lvlJc w:val="left"/>
      <w:pPr>
        <w:tabs>
          <w:tab w:val="num" w:pos="5760"/>
        </w:tabs>
        <w:ind w:left="5760" w:hanging="360"/>
      </w:pPr>
    </w:lvl>
    <w:lvl w:ilvl="8" w:tplc="7616C0AC" w:tentative="1">
      <w:start w:val="1"/>
      <w:numFmt w:val="lowerRoman"/>
      <w:lvlText w:val="%9."/>
      <w:lvlJc w:val="right"/>
      <w:pPr>
        <w:tabs>
          <w:tab w:val="num" w:pos="6480"/>
        </w:tabs>
        <w:ind w:left="6480" w:hanging="180"/>
      </w:pPr>
    </w:lvl>
  </w:abstractNum>
  <w:abstractNum w:abstractNumId="10">
    <w:nsid w:val="2848178A"/>
    <w:multiLevelType w:val="multilevel"/>
    <w:tmpl w:val="A8CE627A"/>
    <w:lvl w:ilvl="0">
      <w:start w:val="1"/>
      <w:numFmt w:val="decimal"/>
      <w:pStyle w:val="Heading1"/>
      <w:lvlText w:val="%1"/>
      <w:lvlJc w:val="left"/>
      <w:pPr>
        <w:tabs>
          <w:tab w:val="num" w:pos="9363"/>
        </w:tabs>
        <w:ind w:left="9363"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2B3019CD"/>
    <w:multiLevelType w:val="singleLevel"/>
    <w:tmpl w:val="C1321F04"/>
    <w:lvl w:ilvl="0">
      <w:start w:val="1"/>
      <w:numFmt w:val="bullet"/>
      <w:lvlText w:val=""/>
      <w:lvlJc w:val="left"/>
      <w:pPr>
        <w:tabs>
          <w:tab w:val="num" w:pos="360"/>
        </w:tabs>
        <w:ind w:left="360" w:hanging="360"/>
      </w:pPr>
      <w:rPr>
        <w:rFonts w:ascii="SPSS Marker Set" w:hAnsi="SPSS Marker Set" w:hint="default"/>
      </w:rPr>
    </w:lvl>
  </w:abstractNum>
  <w:abstractNum w:abstractNumId="12">
    <w:nsid w:val="2B6462F9"/>
    <w:multiLevelType w:val="multilevel"/>
    <w:tmpl w:val="70060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8D47D8"/>
    <w:multiLevelType w:val="multilevel"/>
    <w:tmpl w:val="370E5B5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2E374338"/>
    <w:multiLevelType w:val="singleLevel"/>
    <w:tmpl w:val="0809000F"/>
    <w:lvl w:ilvl="0">
      <w:start w:val="1"/>
      <w:numFmt w:val="decimal"/>
      <w:lvlText w:val="%1."/>
      <w:lvlJc w:val="left"/>
      <w:pPr>
        <w:tabs>
          <w:tab w:val="num" w:pos="360"/>
        </w:tabs>
        <w:ind w:left="360" w:hanging="360"/>
      </w:pPr>
    </w:lvl>
  </w:abstractNum>
  <w:abstractNum w:abstractNumId="15">
    <w:nsid w:val="31401C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4C06F27"/>
    <w:multiLevelType w:val="singleLevel"/>
    <w:tmpl w:val="0809000F"/>
    <w:lvl w:ilvl="0">
      <w:start w:val="1"/>
      <w:numFmt w:val="decimal"/>
      <w:lvlText w:val="%1."/>
      <w:lvlJc w:val="left"/>
      <w:pPr>
        <w:tabs>
          <w:tab w:val="num" w:pos="360"/>
        </w:tabs>
        <w:ind w:left="360" w:hanging="360"/>
      </w:pPr>
    </w:lvl>
  </w:abstractNum>
  <w:abstractNum w:abstractNumId="17">
    <w:nsid w:val="35426509"/>
    <w:multiLevelType w:val="singleLevel"/>
    <w:tmpl w:val="36F852F0"/>
    <w:lvl w:ilvl="0">
      <w:start w:val="1"/>
      <w:numFmt w:val="decimal"/>
      <w:lvlText w:val="%1."/>
      <w:lvlJc w:val="left"/>
      <w:pPr>
        <w:tabs>
          <w:tab w:val="num" w:pos="720"/>
        </w:tabs>
        <w:ind w:left="720" w:hanging="720"/>
      </w:pPr>
      <w:rPr>
        <w:rFonts w:hint="default"/>
      </w:rPr>
    </w:lvl>
  </w:abstractNum>
  <w:abstractNum w:abstractNumId="18">
    <w:nsid w:val="36A21B8F"/>
    <w:multiLevelType w:val="singleLevel"/>
    <w:tmpl w:val="0409000F"/>
    <w:lvl w:ilvl="0">
      <w:start w:val="1"/>
      <w:numFmt w:val="decimal"/>
      <w:lvlText w:val="%1."/>
      <w:lvlJc w:val="left"/>
      <w:pPr>
        <w:tabs>
          <w:tab w:val="num" w:pos="360"/>
        </w:tabs>
        <w:ind w:left="360" w:hanging="360"/>
      </w:pPr>
    </w:lvl>
  </w:abstractNum>
  <w:abstractNum w:abstractNumId="19">
    <w:nsid w:val="36EF3545"/>
    <w:multiLevelType w:val="hybridMultilevel"/>
    <w:tmpl w:val="CEE24E10"/>
    <w:lvl w:ilvl="0" w:tplc="7FDCA83C">
      <w:start w:val="1"/>
      <w:numFmt w:val="bullet"/>
      <w:lvlText w:val=""/>
      <w:lvlJc w:val="left"/>
      <w:pPr>
        <w:tabs>
          <w:tab w:val="num" w:pos="851"/>
        </w:tabs>
        <w:ind w:left="794" w:hanging="227"/>
      </w:pPr>
      <w:rPr>
        <w:rFonts w:ascii="Symbol" w:hAnsi="Symbol" w:hint="default"/>
      </w:rPr>
    </w:lvl>
    <w:lvl w:ilvl="1" w:tplc="6EEA7AD2" w:tentative="1">
      <w:start w:val="1"/>
      <w:numFmt w:val="bullet"/>
      <w:lvlText w:val="o"/>
      <w:lvlJc w:val="left"/>
      <w:pPr>
        <w:tabs>
          <w:tab w:val="num" w:pos="1440"/>
        </w:tabs>
        <w:ind w:left="1440" w:hanging="360"/>
      </w:pPr>
      <w:rPr>
        <w:rFonts w:ascii="Courier New" w:hAnsi="Courier New" w:cs="Courier New" w:hint="default"/>
      </w:rPr>
    </w:lvl>
    <w:lvl w:ilvl="2" w:tplc="5E601DD8" w:tentative="1">
      <w:start w:val="1"/>
      <w:numFmt w:val="bullet"/>
      <w:lvlText w:val=""/>
      <w:lvlJc w:val="left"/>
      <w:pPr>
        <w:tabs>
          <w:tab w:val="num" w:pos="2160"/>
        </w:tabs>
        <w:ind w:left="2160" w:hanging="360"/>
      </w:pPr>
      <w:rPr>
        <w:rFonts w:ascii="Wingdings" w:hAnsi="Wingdings" w:hint="default"/>
      </w:rPr>
    </w:lvl>
    <w:lvl w:ilvl="3" w:tplc="31249154" w:tentative="1">
      <w:start w:val="1"/>
      <w:numFmt w:val="bullet"/>
      <w:lvlText w:val=""/>
      <w:lvlJc w:val="left"/>
      <w:pPr>
        <w:tabs>
          <w:tab w:val="num" w:pos="2880"/>
        </w:tabs>
        <w:ind w:left="2880" w:hanging="360"/>
      </w:pPr>
      <w:rPr>
        <w:rFonts w:ascii="Symbol" w:hAnsi="Symbol" w:hint="default"/>
      </w:rPr>
    </w:lvl>
    <w:lvl w:ilvl="4" w:tplc="DECA8C78" w:tentative="1">
      <w:start w:val="1"/>
      <w:numFmt w:val="bullet"/>
      <w:lvlText w:val="o"/>
      <w:lvlJc w:val="left"/>
      <w:pPr>
        <w:tabs>
          <w:tab w:val="num" w:pos="3600"/>
        </w:tabs>
        <w:ind w:left="3600" w:hanging="360"/>
      </w:pPr>
      <w:rPr>
        <w:rFonts w:ascii="Courier New" w:hAnsi="Courier New" w:cs="Courier New" w:hint="default"/>
      </w:rPr>
    </w:lvl>
    <w:lvl w:ilvl="5" w:tplc="392EF4A8" w:tentative="1">
      <w:start w:val="1"/>
      <w:numFmt w:val="bullet"/>
      <w:lvlText w:val=""/>
      <w:lvlJc w:val="left"/>
      <w:pPr>
        <w:tabs>
          <w:tab w:val="num" w:pos="4320"/>
        </w:tabs>
        <w:ind w:left="4320" w:hanging="360"/>
      </w:pPr>
      <w:rPr>
        <w:rFonts w:ascii="Wingdings" w:hAnsi="Wingdings" w:hint="default"/>
      </w:rPr>
    </w:lvl>
    <w:lvl w:ilvl="6" w:tplc="7214C8A6" w:tentative="1">
      <w:start w:val="1"/>
      <w:numFmt w:val="bullet"/>
      <w:lvlText w:val=""/>
      <w:lvlJc w:val="left"/>
      <w:pPr>
        <w:tabs>
          <w:tab w:val="num" w:pos="5040"/>
        </w:tabs>
        <w:ind w:left="5040" w:hanging="360"/>
      </w:pPr>
      <w:rPr>
        <w:rFonts w:ascii="Symbol" w:hAnsi="Symbol" w:hint="default"/>
      </w:rPr>
    </w:lvl>
    <w:lvl w:ilvl="7" w:tplc="FA961080" w:tentative="1">
      <w:start w:val="1"/>
      <w:numFmt w:val="bullet"/>
      <w:lvlText w:val="o"/>
      <w:lvlJc w:val="left"/>
      <w:pPr>
        <w:tabs>
          <w:tab w:val="num" w:pos="5760"/>
        </w:tabs>
        <w:ind w:left="5760" w:hanging="360"/>
      </w:pPr>
      <w:rPr>
        <w:rFonts w:ascii="Courier New" w:hAnsi="Courier New" w:cs="Courier New" w:hint="default"/>
      </w:rPr>
    </w:lvl>
    <w:lvl w:ilvl="8" w:tplc="576881D4" w:tentative="1">
      <w:start w:val="1"/>
      <w:numFmt w:val="bullet"/>
      <w:lvlText w:val=""/>
      <w:lvlJc w:val="left"/>
      <w:pPr>
        <w:tabs>
          <w:tab w:val="num" w:pos="6480"/>
        </w:tabs>
        <w:ind w:left="6480" w:hanging="360"/>
      </w:pPr>
      <w:rPr>
        <w:rFonts w:ascii="Wingdings" w:hAnsi="Wingdings" w:hint="default"/>
      </w:rPr>
    </w:lvl>
  </w:abstractNum>
  <w:abstractNum w:abstractNumId="20">
    <w:nsid w:val="4B9F5546"/>
    <w:multiLevelType w:val="singleLevel"/>
    <w:tmpl w:val="0809000F"/>
    <w:lvl w:ilvl="0">
      <w:start w:val="1"/>
      <w:numFmt w:val="decimal"/>
      <w:lvlText w:val="%1."/>
      <w:lvlJc w:val="left"/>
      <w:pPr>
        <w:tabs>
          <w:tab w:val="num" w:pos="360"/>
        </w:tabs>
        <w:ind w:left="360" w:hanging="360"/>
      </w:pPr>
    </w:lvl>
  </w:abstractNum>
  <w:abstractNum w:abstractNumId="21">
    <w:nsid w:val="4DC1327F"/>
    <w:multiLevelType w:val="singleLevel"/>
    <w:tmpl w:val="0409000F"/>
    <w:lvl w:ilvl="0">
      <w:start w:val="1"/>
      <w:numFmt w:val="decimal"/>
      <w:lvlText w:val="%1."/>
      <w:lvlJc w:val="left"/>
      <w:pPr>
        <w:tabs>
          <w:tab w:val="num" w:pos="360"/>
        </w:tabs>
        <w:ind w:left="360" w:hanging="360"/>
      </w:pPr>
    </w:lvl>
  </w:abstractNum>
  <w:abstractNum w:abstractNumId="22">
    <w:nsid w:val="58295C94"/>
    <w:multiLevelType w:val="hybridMultilevel"/>
    <w:tmpl w:val="DC240F90"/>
    <w:lvl w:ilvl="0" w:tplc="1634287E">
      <w:start w:val="1"/>
      <w:numFmt w:val="bullet"/>
      <w:lvlText w:val=""/>
      <w:lvlJc w:val="left"/>
      <w:pPr>
        <w:tabs>
          <w:tab w:val="num" w:pos="720"/>
        </w:tabs>
        <w:ind w:left="720" w:hanging="360"/>
      </w:pPr>
      <w:rPr>
        <w:rFonts w:ascii="Symbol" w:hAnsi="Symbol" w:hint="default"/>
      </w:rPr>
    </w:lvl>
    <w:lvl w:ilvl="1" w:tplc="B7F49E7E" w:tentative="1">
      <w:start w:val="1"/>
      <w:numFmt w:val="bullet"/>
      <w:lvlText w:val="o"/>
      <w:lvlJc w:val="left"/>
      <w:pPr>
        <w:tabs>
          <w:tab w:val="num" w:pos="1440"/>
        </w:tabs>
        <w:ind w:left="1440" w:hanging="360"/>
      </w:pPr>
      <w:rPr>
        <w:rFonts w:ascii="Courier New" w:hAnsi="Courier New" w:hint="default"/>
      </w:rPr>
    </w:lvl>
    <w:lvl w:ilvl="2" w:tplc="B8148CE0" w:tentative="1">
      <w:start w:val="1"/>
      <w:numFmt w:val="bullet"/>
      <w:lvlText w:val=""/>
      <w:lvlJc w:val="left"/>
      <w:pPr>
        <w:tabs>
          <w:tab w:val="num" w:pos="2160"/>
        </w:tabs>
        <w:ind w:left="2160" w:hanging="360"/>
      </w:pPr>
      <w:rPr>
        <w:rFonts w:ascii="Wingdings" w:hAnsi="Wingdings" w:hint="default"/>
      </w:rPr>
    </w:lvl>
    <w:lvl w:ilvl="3" w:tplc="CFEA01CA" w:tentative="1">
      <w:start w:val="1"/>
      <w:numFmt w:val="bullet"/>
      <w:lvlText w:val=""/>
      <w:lvlJc w:val="left"/>
      <w:pPr>
        <w:tabs>
          <w:tab w:val="num" w:pos="2880"/>
        </w:tabs>
        <w:ind w:left="2880" w:hanging="360"/>
      </w:pPr>
      <w:rPr>
        <w:rFonts w:ascii="Symbol" w:hAnsi="Symbol" w:hint="default"/>
      </w:rPr>
    </w:lvl>
    <w:lvl w:ilvl="4" w:tplc="F3466F7C" w:tentative="1">
      <w:start w:val="1"/>
      <w:numFmt w:val="bullet"/>
      <w:lvlText w:val="o"/>
      <w:lvlJc w:val="left"/>
      <w:pPr>
        <w:tabs>
          <w:tab w:val="num" w:pos="3600"/>
        </w:tabs>
        <w:ind w:left="3600" w:hanging="360"/>
      </w:pPr>
      <w:rPr>
        <w:rFonts w:ascii="Courier New" w:hAnsi="Courier New" w:hint="default"/>
      </w:rPr>
    </w:lvl>
    <w:lvl w:ilvl="5" w:tplc="47E0EE18" w:tentative="1">
      <w:start w:val="1"/>
      <w:numFmt w:val="bullet"/>
      <w:lvlText w:val=""/>
      <w:lvlJc w:val="left"/>
      <w:pPr>
        <w:tabs>
          <w:tab w:val="num" w:pos="4320"/>
        </w:tabs>
        <w:ind w:left="4320" w:hanging="360"/>
      </w:pPr>
      <w:rPr>
        <w:rFonts w:ascii="Wingdings" w:hAnsi="Wingdings" w:hint="default"/>
      </w:rPr>
    </w:lvl>
    <w:lvl w:ilvl="6" w:tplc="B8B80B16" w:tentative="1">
      <w:start w:val="1"/>
      <w:numFmt w:val="bullet"/>
      <w:lvlText w:val=""/>
      <w:lvlJc w:val="left"/>
      <w:pPr>
        <w:tabs>
          <w:tab w:val="num" w:pos="5040"/>
        </w:tabs>
        <w:ind w:left="5040" w:hanging="360"/>
      </w:pPr>
      <w:rPr>
        <w:rFonts w:ascii="Symbol" w:hAnsi="Symbol" w:hint="default"/>
      </w:rPr>
    </w:lvl>
    <w:lvl w:ilvl="7" w:tplc="9AC88D1E" w:tentative="1">
      <w:start w:val="1"/>
      <w:numFmt w:val="bullet"/>
      <w:lvlText w:val="o"/>
      <w:lvlJc w:val="left"/>
      <w:pPr>
        <w:tabs>
          <w:tab w:val="num" w:pos="5760"/>
        </w:tabs>
        <w:ind w:left="5760" w:hanging="360"/>
      </w:pPr>
      <w:rPr>
        <w:rFonts w:ascii="Courier New" w:hAnsi="Courier New" w:hint="default"/>
      </w:rPr>
    </w:lvl>
    <w:lvl w:ilvl="8" w:tplc="5F5A831E" w:tentative="1">
      <w:start w:val="1"/>
      <w:numFmt w:val="bullet"/>
      <w:lvlText w:val=""/>
      <w:lvlJc w:val="left"/>
      <w:pPr>
        <w:tabs>
          <w:tab w:val="num" w:pos="6480"/>
        </w:tabs>
        <w:ind w:left="6480" w:hanging="360"/>
      </w:pPr>
      <w:rPr>
        <w:rFonts w:ascii="Wingdings" w:hAnsi="Wingdings" w:hint="default"/>
      </w:rPr>
    </w:lvl>
  </w:abstractNum>
  <w:abstractNum w:abstractNumId="23">
    <w:nsid w:val="5A221B02"/>
    <w:multiLevelType w:val="multilevel"/>
    <w:tmpl w:val="85661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EE7182A"/>
    <w:multiLevelType w:val="singleLevel"/>
    <w:tmpl w:val="0409000F"/>
    <w:lvl w:ilvl="0">
      <w:start w:val="1"/>
      <w:numFmt w:val="decimal"/>
      <w:lvlText w:val="%1."/>
      <w:lvlJc w:val="left"/>
      <w:pPr>
        <w:tabs>
          <w:tab w:val="num" w:pos="360"/>
        </w:tabs>
        <w:ind w:left="360" w:hanging="360"/>
      </w:pPr>
    </w:lvl>
  </w:abstractNum>
  <w:abstractNum w:abstractNumId="25">
    <w:nsid w:val="64100F38"/>
    <w:multiLevelType w:val="singleLevel"/>
    <w:tmpl w:val="0409000F"/>
    <w:lvl w:ilvl="0">
      <w:start w:val="1"/>
      <w:numFmt w:val="decimal"/>
      <w:lvlText w:val="%1."/>
      <w:lvlJc w:val="left"/>
      <w:pPr>
        <w:tabs>
          <w:tab w:val="num" w:pos="360"/>
        </w:tabs>
        <w:ind w:left="360" w:hanging="360"/>
      </w:pPr>
    </w:lvl>
  </w:abstractNum>
  <w:abstractNum w:abstractNumId="26">
    <w:nsid w:val="64A02D8D"/>
    <w:multiLevelType w:val="multilevel"/>
    <w:tmpl w:val="CEE24E10"/>
    <w:lvl w:ilvl="0">
      <w:start w:val="1"/>
      <w:numFmt w:val="bullet"/>
      <w:lvlText w:val=""/>
      <w:lvlJc w:val="left"/>
      <w:pPr>
        <w:tabs>
          <w:tab w:val="num" w:pos="851"/>
        </w:tabs>
        <w:ind w:left="794" w:hanging="22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C4720B9"/>
    <w:multiLevelType w:val="singleLevel"/>
    <w:tmpl w:val="0809000F"/>
    <w:lvl w:ilvl="0">
      <w:start w:val="1"/>
      <w:numFmt w:val="decimal"/>
      <w:lvlText w:val="%1."/>
      <w:lvlJc w:val="left"/>
      <w:pPr>
        <w:tabs>
          <w:tab w:val="num" w:pos="360"/>
        </w:tabs>
        <w:ind w:left="360" w:hanging="360"/>
      </w:pPr>
    </w:lvl>
  </w:abstractNum>
  <w:abstractNum w:abstractNumId="28">
    <w:nsid w:val="6E283587"/>
    <w:multiLevelType w:val="hybridMultilevel"/>
    <w:tmpl w:val="87C87F24"/>
    <w:lvl w:ilvl="0" w:tplc="CE2CFDC2">
      <w:start w:val="1"/>
      <w:numFmt w:val="decimal"/>
      <w:lvlText w:val="%1."/>
      <w:lvlJc w:val="left"/>
      <w:pPr>
        <w:tabs>
          <w:tab w:val="num" w:pos="720"/>
        </w:tabs>
        <w:ind w:left="720" w:hanging="360"/>
      </w:pPr>
    </w:lvl>
    <w:lvl w:ilvl="1" w:tplc="854AD7F0" w:tentative="1">
      <w:start w:val="1"/>
      <w:numFmt w:val="lowerLetter"/>
      <w:lvlText w:val="%2."/>
      <w:lvlJc w:val="left"/>
      <w:pPr>
        <w:tabs>
          <w:tab w:val="num" w:pos="1440"/>
        </w:tabs>
        <w:ind w:left="1440" w:hanging="360"/>
      </w:pPr>
    </w:lvl>
    <w:lvl w:ilvl="2" w:tplc="8CF06062" w:tentative="1">
      <w:start w:val="1"/>
      <w:numFmt w:val="lowerRoman"/>
      <w:lvlText w:val="%3."/>
      <w:lvlJc w:val="right"/>
      <w:pPr>
        <w:tabs>
          <w:tab w:val="num" w:pos="2160"/>
        </w:tabs>
        <w:ind w:left="2160" w:hanging="180"/>
      </w:pPr>
    </w:lvl>
    <w:lvl w:ilvl="3" w:tplc="E8DCE36C" w:tentative="1">
      <w:start w:val="1"/>
      <w:numFmt w:val="decimal"/>
      <w:lvlText w:val="%4."/>
      <w:lvlJc w:val="left"/>
      <w:pPr>
        <w:tabs>
          <w:tab w:val="num" w:pos="2880"/>
        </w:tabs>
        <w:ind w:left="2880" w:hanging="360"/>
      </w:pPr>
    </w:lvl>
    <w:lvl w:ilvl="4" w:tplc="66428026" w:tentative="1">
      <w:start w:val="1"/>
      <w:numFmt w:val="lowerLetter"/>
      <w:lvlText w:val="%5."/>
      <w:lvlJc w:val="left"/>
      <w:pPr>
        <w:tabs>
          <w:tab w:val="num" w:pos="3600"/>
        </w:tabs>
        <w:ind w:left="3600" w:hanging="360"/>
      </w:pPr>
    </w:lvl>
    <w:lvl w:ilvl="5" w:tplc="C0F04A7C" w:tentative="1">
      <w:start w:val="1"/>
      <w:numFmt w:val="lowerRoman"/>
      <w:lvlText w:val="%6."/>
      <w:lvlJc w:val="right"/>
      <w:pPr>
        <w:tabs>
          <w:tab w:val="num" w:pos="4320"/>
        </w:tabs>
        <w:ind w:left="4320" w:hanging="180"/>
      </w:pPr>
    </w:lvl>
    <w:lvl w:ilvl="6" w:tplc="CF929246" w:tentative="1">
      <w:start w:val="1"/>
      <w:numFmt w:val="decimal"/>
      <w:lvlText w:val="%7."/>
      <w:lvlJc w:val="left"/>
      <w:pPr>
        <w:tabs>
          <w:tab w:val="num" w:pos="5040"/>
        </w:tabs>
        <w:ind w:left="5040" w:hanging="360"/>
      </w:pPr>
    </w:lvl>
    <w:lvl w:ilvl="7" w:tplc="27622CDA" w:tentative="1">
      <w:start w:val="1"/>
      <w:numFmt w:val="lowerLetter"/>
      <w:lvlText w:val="%8."/>
      <w:lvlJc w:val="left"/>
      <w:pPr>
        <w:tabs>
          <w:tab w:val="num" w:pos="5760"/>
        </w:tabs>
        <w:ind w:left="5760" w:hanging="360"/>
      </w:pPr>
    </w:lvl>
    <w:lvl w:ilvl="8" w:tplc="F7B0B18A" w:tentative="1">
      <w:start w:val="1"/>
      <w:numFmt w:val="lowerRoman"/>
      <w:lvlText w:val="%9."/>
      <w:lvlJc w:val="right"/>
      <w:pPr>
        <w:tabs>
          <w:tab w:val="num" w:pos="6480"/>
        </w:tabs>
        <w:ind w:left="6480" w:hanging="180"/>
      </w:pPr>
    </w:lvl>
  </w:abstractNum>
  <w:abstractNum w:abstractNumId="29">
    <w:nsid w:val="72E63A6A"/>
    <w:multiLevelType w:val="singleLevel"/>
    <w:tmpl w:val="0809000F"/>
    <w:lvl w:ilvl="0">
      <w:start w:val="1"/>
      <w:numFmt w:val="decimal"/>
      <w:lvlText w:val="%1."/>
      <w:lvlJc w:val="left"/>
      <w:pPr>
        <w:tabs>
          <w:tab w:val="num" w:pos="360"/>
        </w:tabs>
        <w:ind w:left="360" w:hanging="360"/>
      </w:pPr>
    </w:lvl>
  </w:abstractNum>
  <w:abstractNum w:abstractNumId="30">
    <w:nsid w:val="75D425B0"/>
    <w:multiLevelType w:val="singleLevel"/>
    <w:tmpl w:val="F90265F6"/>
    <w:lvl w:ilvl="0">
      <w:numFmt w:val="bullet"/>
      <w:lvlText w:val=""/>
      <w:lvlJc w:val="left"/>
      <w:pPr>
        <w:tabs>
          <w:tab w:val="num" w:pos="360"/>
        </w:tabs>
        <w:ind w:left="360" w:hanging="360"/>
      </w:pPr>
      <w:rPr>
        <w:rFonts w:ascii="Monotype Sorts" w:hAnsi="Monotype Sorts" w:hint="default"/>
      </w:rPr>
    </w:lvl>
  </w:abstractNum>
  <w:abstractNum w:abstractNumId="31">
    <w:nsid w:val="7A4922A0"/>
    <w:multiLevelType w:val="singleLevel"/>
    <w:tmpl w:val="2F1E038E"/>
    <w:lvl w:ilvl="0">
      <w:numFmt w:val="bullet"/>
      <w:lvlText w:val=""/>
      <w:lvlJc w:val="left"/>
      <w:pPr>
        <w:tabs>
          <w:tab w:val="num" w:pos="360"/>
        </w:tabs>
        <w:ind w:left="360" w:hanging="360"/>
      </w:pPr>
      <w:rPr>
        <w:rFonts w:ascii="Monotype Sorts" w:hAnsi="Monotype Sorts" w:hint="default"/>
      </w:rPr>
    </w:lvl>
  </w:abstractNum>
  <w:abstractNum w:abstractNumId="32">
    <w:nsid w:val="7F926804"/>
    <w:multiLevelType w:val="singleLevel"/>
    <w:tmpl w:val="0409000F"/>
    <w:lvl w:ilvl="0">
      <w:start w:val="1"/>
      <w:numFmt w:val="decimal"/>
      <w:lvlText w:val="%1."/>
      <w:lvlJc w:val="left"/>
      <w:pPr>
        <w:tabs>
          <w:tab w:val="num" w:pos="360"/>
        </w:tabs>
        <w:ind w:left="360" w:hanging="360"/>
      </w:pPr>
    </w:lvl>
  </w:abstractNum>
  <w:num w:numId="1">
    <w:abstractNumId w:val="20"/>
  </w:num>
  <w:num w:numId="2">
    <w:abstractNumId w:val="14"/>
  </w:num>
  <w:num w:numId="3">
    <w:abstractNumId w:val="17"/>
  </w:num>
  <w:num w:numId="4">
    <w:abstractNumId w:val="7"/>
  </w:num>
  <w:num w:numId="5">
    <w:abstractNumId w:val="32"/>
  </w:num>
  <w:num w:numId="6">
    <w:abstractNumId w:val="15"/>
  </w:num>
  <w:num w:numId="7">
    <w:abstractNumId w:val="25"/>
  </w:num>
  <w:num w:numId="8">
    <w:abstractNumId w:val="6"/>
  </w:num>
  <w:num w:numId="9">
    <w:abstractNumId w:val="21"/>
  </w:num>
  <w:num w:numId="10">
    <w:abstractNumId w:val="24"/>
  </w:num>
  <w:num w:numId="11">
    <w:abstractNumId w:val="1"/>
  </w:num>
  <w:num w:numId="12">
    <w:abstractNumId w:val="16"/>
  </w:num>
  <w:num w:numId="13">
    <w:abstractNumId w:val="29"/>
  </w:num>
  <w:num w:numId="14">
    <w:abstractNumId w:val="18"/>
  </w:num>
  <w:num w:numId="15">
    <w:abstractNumId w:val="2"/>
  </w:num>
  <w:num w:numId="16">
    <w:abstractNumId w:val="27"/>
  </w:num>
  <w:num w:numId="17">
    <w:abstractNumId w:val="22"/>
  </w:num>
  <w:num w:numId="18">
    <w:abstractNumId w:val="28"/>
  </w:num>
  <w:num w:numId="19">
    <w:abstractNumId w:val="13"/>
  </w:num>
  <w:num w:numId="20">
    <w:abstractNumId w:val="30"/>
  </w:num>
  <w:num w:numId="21">
    <w:abstractNumId w:val="31"/>
  </w:num>
  <w:num w:numId="22">
    <w:abstractNumId w:val="11"/>
  </w:num>
  <w:num w:numId="23">
    <w:abstractNumId w:val="3"/>
  </w:num>
  <w:num w:numId="24">
    <w:abstractNumId w:val="4"/>
  </w:num>
  <w:num w:numId="25">
    <w:abstractNumId w:val="10"/>
  </w:num>
  <w:num w:numId="26">
    <w:abstractNumId w:val="19"/>
  </w:num>
  <w:num w:numId="27">
    <w:abstractNumId w:val="26"/>
  </w:num>
  <w:num w:numId="28">
    <w:abstractNumId w:val="9"/>
  </w:num>
  <w:num w:numId="29">
    <w:abstractNumId w:val="5"/>
  </w:num>
  <w:num w:numId="30">
    <w:abstractNumId w:val="8"/>
  </w:num>
  <w:num w:numId="31">
    <w:abstractNumId w:val="23"/>
  </w:num>
  <w:num w:numId="32">
    <w:abstractNumId w:val="1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VE"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57"/>
  <w:noPunctuationKerning/>
  <w:characterSpacingControl w:val="doNotCompress"/>
  <w:hdrShapeDefaults>
    <o:shapedefaults v:ext="edit" spidmax="2049" fill="f" fillcolor="white">
      <v:fill color="white" on="f"/>
      <o:colormru v:ext="edit" colors="#eaeaea"/>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7DA"/>
    <w:rsid w:val="0000009D"/>
    <w:rsid w:val="0000192D"/>
    <w:rsid w:val="00001A45"/>
    <w:rsid w:val="00002EA7"/>
    <w:rsid w:val="0000417A"/>
    <w:rsid w:val="0000499B"/>
    <w:rsid w:val="00005762"/>
    <w:rsid w:val="00005B79"/>
    <w:rsid w:val="000071C5"/>
    <w:rsid w:val="00007707"/>
    <w:rsid w:val="000077A5"/>
    <w:rsid w:val="00010BA1"/>
    <w:rsid w:val="00011025"/>
    <w:rsid w:val="000116EC"/>
    <w:rsid w:val="00011BFB"/>
    <w:rsid w:val="00012D2A"/>
    <w:rsid w:val="00012F53"/>
    <w:rsid w:val="00015272"/>
    <w:rsid w:val="00016D6B"/>
    <w:rsid w:val="00016E68"/>
    <w:rsid w:val="000177AF"/>
    <w:rsid w:val="000208DA"/>
    <w:rsid w:val="00020D93"/>
    <w:rsid w:val="00021233"/>
    <w:rsid w:val="00022D73"/>
    <w:rsid w:val="00023FDF"/>
    <w:rsid w:val="00024337"/>
    <w:rsid w:val="00026386"/>
    <w:rsid w:val="000279DB"/>
    <w:rsid w:val="000309F3"/>
    <w:rsid w:val="000320EB"/>
    <w:rsid w:val="000324A6"/>
    <w:rsid w:val="000324DE"/>
    <w:rsid w:val="000345F4"/>
    <w:rsid w:val="000349E6"/>
    <w:rsid w:val="000351C7"/>
    <w:rsid w:val="00035360"/>
    <w:rsid w:val="0003586D"/>
    <w:rsid w:val="00036DD4"/>
    <w:rsid w:val="00037173"/>
    <w:rsid w:val="000376B1"/>
    <w:rsid w:val="0004168E"/>
    <w:rsid w:val="000428A8"/>
    <w:rsid w:val="00042918"/>
    <w:rsid w:val="00042B94"/>
    <w:rsid w:val="00042CA2"/>
    <w:rsid w:val="00043584"/>
    <w:rsid w:val="0004445A"/>
    <w:rsid w:val="00044D4A"/>
    <w:rsid w:val="00045051"/>
    <w:rsid w:val="00045FB6"/>
    <w:rsid w:val="00046632"/>
    <w:rsid w:val="00046E1C"/>
    <w:rsid w:val="00047028"/>
    <w:rsid w:val="00050F39"/>
    <w:rsid w:val="00050FB8"/>
    <w:rsid w:val="000524CF"/>
    <w:rsid w:val="00052F64"/>
    <w:rsid w:val="00053A3D"/>
    <w:rsid w:val="00054281"/>
    <w:rsid w:val="000550EA"/>
    <w:rsid w:val="000552DF"/>
    <w:rsid w:val="00055A03"/>
    <w:rsid w:val="00056050"/>
    <w:rsid w:val="000572EF"/>
    <w:rsid w:val="000610E6"/>
    <w:rsid w:val="00061113"/>
    <w:rsid w:val="00061BAE"/>
    <w:rsid w:val="0006202F"/>
    <w:rsid w:val="000634D2"/>
    <w:rsid w:val="000636EA"/>
    <w:rsid w:val="00063AE0"/>
    <w:rsid w:val="0006418D"/>
    <w:rsid w:val="00064ED4"/>
    <w:rsid w:val="00064EE2"/>
    <w:rsid w:val="00065456"/>
    <w:rsid w:val="00065824"/>
    <w:rsid w:val="00065EC5"/>
    <w:rsid w:val="000664BE"/>
    <w:rsid w:val="00066741"/>
    <w:rsid w:val="000669CD"/>
    <w:rsid w:val="00071252"/>
    <w:rsid w:val="00071B25"/>
    <w:rsid w:val="0007261E"/>
    <w:rsid w:val="0007264B"/>
    <w:rsid w:val="00072A6A"/>
    <w:rsid w:val="000753C1"/>
    <w:rsid w:val="00076D1E"/>
    <w:rsid w:val="00077454"/>
    <w:rsid w:val="000774BF"/>
    <w:rsid w:val="0007779F"/>
    <w:rsid w:val="00077948"/>
    <w:rsid w:val="00081BA1"/>
    <w:rsid w:val="00081F06"/>
    <w:rsid w:val="000826B0"/>
    <w:rsid w:val="00083776"/>
    <w:rsid w:val="00083F1F"/>
    <w:rsid w:val="00084682"/>
    <w:rsid w:val="00084A34"/>
    <w:rsid w:val="0008526C"/>
    <w:rsid w:val="0008571E"/>
    <w:rsid w:val="00085877"/>
    <w:rsid w:val="00086103"/>
    <w:rsid w:val="000876A3"/>
    <w:rsid w:val="00087DD8"/>
    <w:rsid w:val="0009092A"/>
    <w:rsid w:val="00091AFE"/>
    <w:rsid w:val="0009272C"/>
    <w:rsid w:val="00092CE0"/>
    <w:rsid w:val="00093127"/>
    <w:rsid w:val="0009629B"/>
    <w:rsid w:val="00096372"/>
    <w:rsid w:val="00096472"/>
    <w:rsid w:val="00096745"/>
    <w:rsid w:val="000A079C"/>
    <w:rsid w:val="000A1166"/>
    <w:rsid w:val="000A1D36"/>
    <w:rsid w:val="000A20B0"/>
    <w:rsid w:val="000A2226"/>
    <w:rsid w:val="000A2E33"/>
    <w:rsid w:val="000A3917"/>
    <w:rsid w:val="000A522D"/>
    <w:rsid w:val="000A5A0F"/>
    <w:rsid w:val="000A5E3D"/>
    <w:rsid w:val="000A6333"/>
    <w:rsid w:val="000A6FBE"/>
    <w:rsid w:val="000A738C"/>
    <w:rsid w:val="000A7905"/>
    <w:rsid w:val="000B026A"/>
    <w:rsid w:val="000B0D08"/>
    <w:rsid w:val="000B1751"/>
    <w:rsid w:val="000B18EC"/>
    <w:rsid w:val="000B1B04"/>
    <w:rsid w:val="000B35EB"/>
    <w:rsid w:val="000B42C4"/>
    <w:rsid w:val="000B536B"/>
    <w:rsid w:val="000B5F16"/>
    <w:rsid w:val="000B6462"/>
    <w:rsid w:val="000B74F9"/>
    <w:rsid w:val="000B7733"/>
    <w:rsid w:val="000B79ED"/>
    <w:rsid w:val="000C0135"/>
    <w:rsid w:val="000C05B6"/>
    <w:rsid w:val="000C143C"/>
    <w:rsid w:val="000C18DE"/>
    <w:rsid w:val="000C276A"/>
    <w:rsid w:val="000C3826"/>
    <w:rsid w:val="000C4415"/>
    <w:rsid w:val="000C451D"/>
    <w:rsid w:val="000C460F"/>
    <w:rsid w:val="000C475F"/>
    <w:rsid w:val="000C488F"/>
    <w:rsid w:val="000C53ED"/>
    <w:rsid w:val="000C583D"/>
    <w:rsid w:val="000C6D38"/>
    <w:rsid w:val="000C78AB"/>
    <w:rsid w:val="000C7EF8"/>
    <w:rsid w:val="000D0096"/>
    <w:rsid w:val="000D04BF"/>
    <w:rsid w:val="000D17BF"/>
    <w:rsid w:val="000D1E22"/>
    <w:rsid w:val="000D1EA7"/>
    <w:rsid w:val="000D2152"/>
    <w:rsid w:val="000D3A4D"/>
    <w:rsid w:val="000D44F1"/>
    <w:rsid w:val="000D678F"/>
    <w:rsid w:val="000D6D10"/>
    <w:rsid w:val="000D719D"/>
    <w:rsid w:val="000D79C2"/>
    <w:rsid w:val="000E0480"/>
    <w:rsid w:val="000E09EB"/>
    <w:rsid w:val="000E0E9C"/>
    <w:rsid w:val="000E156B"/>
    <w:rsid w:val="000E2E40"/>
    <w:rsid w:val="000E32A3"/>
    <w:rsid w:val="000E34AC"/>
    <w:rsid w:val="000E43CE"/>
    <w:rsid w:val="000E51B2"/>
    <w:rsid w:val="000E6A39"/>
    <w:rsid w:val="000E7363"/>
    <w:rsid w:val="000F00FB"/>
    <w:rsid w:val="000F1CB1"/>
    <w:rsid w:val="000F2017"/>
    <w:rsid w:val="000F2FD5"/>
    <w:rsid w:val="000F354A"/>
    <w:rsid w:val="000F43ED"/>
    <w:rsid w:val="000F4662"/>
    <w:rsid w:val="000F474F"/>
    <w:rsid w:val="000F5113"/>
    <w:rsid w:val="000F6794"/>
    <w:rsid w:val="000F69AA"/>
    <w:rsid w:val="000F76A5"/>
    <w:rsid w:val="000F7B06"/>
    <w:rsid w:val="000F7CA3"/>
    <w:rsid w:val="001012D9"/>
    <w:rsid w:val="00101C9F"/>
    <w:rsid w:val="00101F05"/>
    <w:rsid w:val="00103553"/>
    <w:rsid w:val="001038B6"/>
    <w:rsid w:val="001103B0"/>
    <w:rsid w:val="001118F7"/>
    <w:rsid w:val="001130D8"/>
    <w:rsid w:val="00116DAD"/>
    <w:rsid w:val="00117E63"/>
    <w:rsid w:val="001226DF"/>
    <w:rsid w:val="0012280D"/>
    <w:rsid w:val="00122945"/>
    <w:rsid w:val="00123554"/>
    <w:rsid w:val="00124902"/>
    <w:rsid w:val="00124D46"/>
    <w:rsid w:val="00124F16"/>
    <w:rsid w:val="00125124"/>
    <w:rsid w:val="00125B07"/>
    <w:rsid w:val="0013067B"/>
    <w:rsid w:val="001310F8"/>
    <w:rsid w:val="0013162C"/>
    <w:rsid w:val="00131AEB"/>
    <w:rsid w:val="001327CA"/>
    <w:rsid w:val="001331B6"/>
    <w:rsid w:val="00133B92"/>
    <w:rsid w:val="00133FBA"/>
    <w:rsid w:val="00134BA9"/>
    <w:rsid w:val="00134F09"/>
    <w:rsid w:val="00135755"/>
    <w:rsid w:val="001367E3"/>
    <w:rsid w:val="00137E4C"/>
    <w:rsid w:val="00140B56"/>
    <w:rsid w:val="00141817"/>
    <w:rsid w:val="001421A4"/>
    <w:rsid w:val="00142C25"/>
    <w:rsid w:val="0014356F"/>
    <w:rsid w:val="001439C5"/>
    <w:rsid w:val="001442A7"/>
    <w:rsid w:val="001448CE"/>
    <w:rsid w:val="00145CBD"/>
    <w:rsid w:val="00146293"/>
    <w:rsid w:val="00147AF9"/>
    <w:rsid w:val="00150401"/>
    <w:rsid w:val="00150A8B"/>
    <w:rsid w:val="001516A9"/>
    <w:rsid w:val="0015631E"/>
    <w:rsid w:val="001567DF"/>
    <w:rsid w:val="00157125"/>
    <w:rsid w:val="001576F6"/>
    <w:rsid w:val="00157A84"/>
    <w:rsid w:val="00161404"/>
    <w:rsid w:val="0016178C"/>
    <w:rsid w:val="00161CA6"/>
    <w:rsid w:val="00161D18"/>
    <w:rsid w:val="001633EE"/>
    <w:rsid w:val="001660E7"/>
    <w:rsid w:val="00166987"/>
    <w:rsid w:val="00166EBC"/>
    <w:rsid w:val="001679AA"/>
    <w:rsid w:val="001700C5"/>
    <w:rsid w:val="00171C73"/>
    <w:rsid w:val="00172397"/>
    <w:rsid w:val="001728B1"/>
    <w:rsid w:val="00172957"/>
    <w:rsid w:val="00173950"/>
    <w:rsid w:val="00173DD6"/>
    <w:rsid w:val="001746AE"/>
    <w:rsid w:val="00174A04"/>
    <w:rsid w:val="00176A37"/>
    <w:rsid w:val="00177D4F"/>
    <w:rsid w:val="001803C1"/>
    <w:rsid w:val="0018049D"/>
    <w:rsid w:val="00180A58"/>
    <w:rsid w:val="00180C2B"/>
    <w:rsid w:val="00181033"/>
    <w:rsid w:val="00181776"/>
    <w:rsid w:val="001819DD"/>
    <w:rsid w:val="00181B31"/>
    <w:rsid w:val="00181B75"/>
    <w:rsid w:val="001824CB"/>
    <w:rsid w:val="0018261D"/>
    <w:rsid w:val="00182AE3"/>
    <w:rsid w:val="001836FB"/>
    <w:rsid w:val="00183D2C"/>
    <w:rsid w:val="00184631"/>
    <w:rsid w:val="0018467C"/>
    <w:rsid w:val="00185195"/>
    <w:rsid w:val="00185249"/>
    <w:rsid w:val="001862A0"/>
    <w:rsid w:val="00187D9C"/>
    <w:rsid w:val="001927D7"/>
    <w:rsid w:val="00192C0D"/>
    <w:rsid w:val="001937D2"/>
    <w:rsid w:val="00193C6C"/>
    <w:rsid w:val="001945B1"/>
    <w:rsid w:val="0019467E"/>
    <w:rsid w:val="00194960"/>
    <w:rsid w:val="001950AD"/>
    <w:rsid w:val="00196BAE"/>
    <w:rsid w:val="0019724B"/>
    <w:rsid w:val="00197B92"/>
    <w:rsid w:val="001A1647"/>
    <w:rsid w:val="001A2502"/>
    <w:rsid w:val="001A3B8F"/>
    <w:rsid w:val="001A4B0E"/>
    <w:rsid w:val="001A5E95"/>
    <w:rsid w:val="001B0C98"/>
    <w:rsid w:val="001B106F"/>
    <w:rsid w:val="001B240C"/>
    <w:rsid w:val="001B2664"/>
    <w:rsid w:val="001B26C9"/>
    <w:rsid w:val="001B2F6F"/>
    <w:rsid w:val="001B4264"/>
    <w:rsid w:val="001B45D6"/>
    <w:rsid w:val="001B4F2D"/>
    <w:rsid w:val="001B52DF"/>
    <w:rsid w:val="001B5608"/>
    <w:rsid w:val="001B6439"/>
    <w:rsid w:val="001C0AD8"/>
    <w:rsid w:val="001C0C38"/>
    <w:rsid w:val="001C0D2D"/>
    <w:rsid w:val="001C15F4"/>
    <w:rsid w:val="001C16E1"/>
    <w:rsid w:val="001C313C"/>
    <w:rsid w:val="001C49DA"/>
    <w:rsid w:val="001C4E38"/>
    <w:rsid w:val="001C5FE0"/>
    <w:rsid w:val="001C6296"/>
    <w:rsid w:val="001D0CE4"/>
    <w:rsid w:val="001D0E3C"/>
    <w:rsid w:val="001D1FA7"/>
    <w:rsid w:val="001D2494"/>
    <w:rsid w:val="001D6824"/>
    <w:rsid w:val="001D79E5"/>
    <w:rsid w:val="001E081F"/>
    <w:rsid w:val="001E086A"/>
    <w:rsid w:val="001E1141"/>
    <w:rsid w:val="001E1175"/>
    <w:rsid w:val="001E15C1"/>
    <w:rsid w:val="001E1E6B"/>
    <w:rsid w:val="001E222E"/>
    <w:rsid w:val="001E28B7"/>
    <w:rsid w:val="001E2CA7"/>
    <w:rsid w:val="001E30D8"/>
    <w:rsid w:val="001E387D"/>
    <w:rsid w:val="001E3DBE"/>
    <w:rsid w:val="001E4EA8"/>
    <w:rsid w:val="001E71F3"/>
    <w:rsid w:val="001E78D5"/>
    <w:rsid w:val="001E79CC"/>
    <w:rsid w:val="001E7DA1"/>
    <w:rsid w:val="001F02A5"/>
    <w:rsid w:val="001F0A95"/>
    <w:rsid w:val="001F1814"/>
    <w:rsid w:val="001F2E83"/>
    <w:rsid w:val="001F3851"/>
    <w:rsid w:val="001F3AF2"/>
    <w:rsid w:val="001F3D11"/>
    <w:rsid w:val="001F4FA2"/>
    <w:rsid w:val="001F594E"/>
    <w:rsid w:val="001F63B0"/>
    <w:rsid w:val="001F6433"/>
    <w:rsid w:val="001F6911"/>
    <w:rsid w:val="001F6957"/>
    <w:rsid w:val="001F76D8"/>
    <w:rsid w:val="001F772C"/>
    <w:rsid w:val="00200179"/>
    <w:rsid w:val="00201485"/>
    <w:rsid w:val="002016B4"/>
    <w:rsid w:val="00201790"/>
    <w:rsid w:val="00201871"/>
    <w:rsid w:val="002023CB"/>
    <w:rsid w:val="002032AE"/>
    <w:rsid w:val="0020361C"/>
    <w:rsid w:val="0020418D"/>
    <w:rsid w:val="00205C0D"/>
    <w:rsid w:val="00205FF8"/>
    <w:rsid w:val="00206DBE"/>
    <w:rsid w:val="002079F4"/>
    <w:rsid w:val="00207C26"/>
    <w:rsid w:val="00207C65"/>
    <w:rsid w:val="002139FA"/>
    <w:rsid w:val="002144D9"/>
    <w:rsid w:val="0021484F"/>
    <w:rsid w:val="00215BC9"/>
    <w:rsid w:val="00216116"/>
    <w:rsid w:val="002161C4"/>
    <w:rsid w:val="00217B8A"/>
    <w:rsid w:val="00221F52"/>
    <w:rsid w:val="0022213B"/>
    <w:rsid w:val="002227E9"/>
    <w:rsid w:val="00223EAA"/>
    <w:rsid w:val="00224870"/>
    <w:rsid w:val="00224F57"/>
    <w:rsid w:val="00226511"/>
    <w:rsid w:val="00226513"/>
    <w:rsid w:val="00226992"/>
    <w:rsid w:val="00226D02"/>
    <w:rsid w:val="00227A1C"/>
    <w:rsid w:val="00227B54"/>
    <w:rsid w:val="00231540"/>
    <w:rsid w:val="00231AFA"/>
    <w:rsid w:val="0023251D"/>
    <w:rsid w:val="002327E4"/>
    <w:rsid w:val="002344F4"/>
    <w:rsid w:val="00234569"/>
    <w:rsid w:val="00235BDF"/>
    <w:rsid w:val="00236292"/>
    <w:rsid w:val="002364F6"/>
    <w:rsid w:val="002365B0"/>
    <w:rsid w:val="00241304"/>
    <w:rsid w:val="00241636"/>
    <w:rsid w:val="00241EDF"/>
    <w:rsid w:val="002437D8"/>
    <w:rsid w:val="00243954"/>
    <w:rsid w:val="002449FF"/>
    <w:rsid w:val="0024607C"/>
    <w:rsid w:val="00246307"/>
    <w:rsid w:val="0024784B"/>
    <w:rsid w:val="00247A6C"/>
    <w:rsid w:val="00247D7C"/>
    <w:rsid w:val="00250BBC"/>
    <w:rsid w:val="00250F37"/>
    <w:rsid w:val="0025184A"/>
    <w:rsid w:val="0025283C"/>
    <w:rsid w:val="00252F4C"/>
    <w:rsid w:val="002531D8"/>
    <w:rsid w:val="00253212"/>
    <w:rsid w:val="00253323"/>
    <w:rsid w:val="002536F7"/>
    <w:rsid w:val="00255088"/>
    <w:rsid w:val="00255C58"/>
    <w:rsid w:val="00256E74"/>
    <w:rsid w:val="00257987"/>
    <w:rsid w:val="00257B0B"/>
    <w:rsid w:val="002601EA"/>
    <w:rsid w:val="002606DE"/>
    <w:rsid w:val="002608A2"/>
    <w:rsid w:val="002611E6"/>
    <w:rsid w:val="00261FAE"/>
    <w:rsid w:val="002626CC"/>
    <w:rsid w:val="00263759"/>
    <w:rsid w:val="0026382B"/>
    <w:rsid w:val="002638CB"/>
    <w:rsid w:val="00263BD4"/>
    <w:rsid w:val="002645B7"/>
    <w:rsid w:val="0026550F"/>
    <w:rsid w:val="00267244"/>
    <w:rsid w:val="00270302"/>
    <w:rsid w:val="002708DB"/>
    <w:rsid w:val="00270DAB"/>
    <w:rsid w:val="00270FA8"/>
    <w:rsid w:val="00270FED"/>
    <w:rsid w:val="00272E3C"/>
    <w:rsid w:val="002744EE"/>
    <w:rsid w:val="00274B1E"/>
    <w:rsid w:val="002751A3"/>
    <w:rsid w:val="00275909"/>
    <w:rsid w:val="002760DF"/>
    <w:rsid w:val="002772C0"/>
    <w:rsid w:val="002773DC"/>
    <w:rsid w:val="002777E9"/>
    <w:rsid w:val="00280A40"/>
    <w:rsid w:val="00282C58"/>
    <w:rsid w:val="00284712"/>
    <w:rsid w:val="00284778"/>
    <w:rsid w:val="00284930"/>
    <w:rsid w:val="00286D61"/>
    <w:rsid w:val="0028762A"/>
    <w:rsid w:val="002903DE"/>
    <w:rsid w:val="00290451"/>
    <w:rsid w:val="00292208"/>
    <w:rsid w:val="0029249C"/>
    <w:rsid w:val="00292FF3"/>
    <w:rsid w:val="00293347"/>
    <w:rsid w:val="00293F3B"/>
    <w:rsid w:val="00294089"/>
    <w:rsid w:val="00294A9D"/>
    <w:rsid w:val="00296347"/>
    <w:rsid w:val="00296FC5"/>
    <w:rsid w:val="002976E5"/>
    <w:rsid w:val="002A02E6"/>
    <w:rsid w:val="002A0B22"/>
    <w:rsid w:val="002A0F16"/>
    <w:rsid w:val="002A10C1"/>
    <w:rsid w:val="002A1344"/>
    <w:rsid w:val="002A2B88"/>
    <w:rsid w:val="002A4FB0"/>
    <w:rsid w:val="002A54C8"/>
    <w:rsid w:val="002A62A4"/>
    <w:rsid w:val="002A7146"/>
    <w:rsid w:val="002A77EB"/>
    <w:rsid w:val="002A7990"/>
    <w:rsid w:val="002A7A08"/>
    <w:rsid w:val="002A7B6D"/>
    <w:rsid w:val="002B04CB"/>
    <w:rsid w:val="002B0C3B"/>
    <w:rsid w:val="002B0FFF"/>
    <w:rsid w:val="002B1655"/>
    <w:rsid w:val="002B16CF"/>
    <w:rsid w:val="002B1BB6"/>
    <w:rsid w:val="002B2CD3"/>
    <w:rsid w:val="002B6112"/>
    <w:rsid w:val="002B65EF"/>
    <w:rsid w:val="002C0995"/>
    <w:rsid w:val="002C1A4D"/>
    <w:rsid w:val="002C28E3"/>
    <w:rsid w:val="002C4004"/>
    <w:rsid w:val="002C4251"/>
    <w:rsid w:val="002C4B9D"/>
    <w:rsid w:val="002C4BF4"/>
    <w:rsid w:val="002C66C5"/>
    <w:rsid w:val="002C690A"/>
    <w:rsid w:val="002C70E0"/>
    <w:rsid w:val="002D0081"/>
    <w:rsid w:val="002D116A"/>
    <w:rsid w:val="002D1216"/>
    <w:rsid w:val="002D1950"/>
    <w:rsid w:val="002D1C0E"/>
    <w:rsid w:val="002D1FBE"/>
    <w:rsid w:val="002D2571"/>
    <w:rsid w:val="002D46B0"/>
    <w:rsid w:val="002D4E03"/>
    <w:rsid w:val="002D71E9"/>
    <w:rsid w:val="002D772C"/>
    <w:rsid w:val="002D7F60"/>
    <w:rsid w:val="002E076F"/>
    <w:rsid w:val="002E0812"/>
    <w:rsid w:val="002E1360"/>
    <w:rsid w:val="002E2A3C"/>
    <w:rsid w:val="002E2BBD"/>
    <w:rsid w:val="002E2F54"/>
    <w:rsid w:val="002E308E"/>
    <w:rsid w:val="002E3119"/>
    <w:rsid w:val="002E3756"/>
    <w:rsid w:val="002E4332"/>
    <w:rsid w:val="002E6072"/>
    <w:rsid w:val="002E6F69"/>
    <w:rsid w:val="002F0129"/>
    <w:rsid w:val="002F108D"/>
    <w:rsid w:val="002F22AB"/>
    <w:rsid w:val="002F26EF"/>
    <w:rsid w:val="002F2833"/>
    <w:rsid w:val="002F33F9"/>
    <w:rsid w:val="002F3C9C"/>
    <w:rsid w:val="002F4794"/>
    <w:rsid w:val="002F4DC9"/>
    <w:rsid w:val="002F68C7"/>
    <w:rsid w:val="002F6AA7"/>
    <w:rsid w:val="002F6AD6"/>
    <w:rsid w:val="002F6D64"/>
    <w:rsid w:val="002F7DD5"/>
    <w:rsid w:val="00300021"/>
    <w:rsid w:val="00300217"/>
    <w:rsid w:val="00301F09"/>
    <w:rsid w:val="0030273D"/>
    <w:rsid w:val="00302B5E"/>
    <w:rsid w:val="00303647"/>
    <w:rsid w:val="0030409B"/>
    <w:rsid w:val="00304500"/>
    <w:rsid w:val="00304631"/>
    <w:rsid w:val="00304CC6"/>
    <w:rsid w:val="00306960"/>
    <w:rsid w:val="00306E7B"/>
    <w:rsid w:val="00306F8D"/>
    <w:rsid w:val="00307460"/>
    <w:rsid w:val="00307832"/>
    <w:rsid w:val="00307BD0"/>
    <w:rsid w:val="00307CE5"/>
    <w:rsid w:val="003100C4"/>
    <w:rsid w:val="003116A0"/>
    <w:rsid w:val="003119A9"/>
    <w:rsid w:val="003127D2"/>
    <w:rsid w:val="00312ABC"/>
    <w:rsid w:val="00312CA5"/>
    <w:rsid w:val="0031379B"/>
    <w:rsid w:val="00313D25"/>
    <w:rsid w:val="0031403B"/>
    <w:rsid w:val="003158F9"/>
    <w:rsid w:val="00315EE8"/>
    <w:rsid w:val="00315F91"/>
    <w:rsid w:val="00316D1F"/>
    <w:rsid w:val="0031752B"/>
    <w:rsid w:val="0031757C"/>
    <w:rsid w:val="00320AAF"/>
    <w:rsid w:val="003213B7"/>
    <w:rsid w:val="00321491"/>
    <w:rsid w:val="00321A39"/>
    <w:rsid w:val="00322540"/>
    <w:rsid w:val="00323054"/>
    <w:rsid w:val="00324061"/>
    <w:rsid w:val="0032447A"/>
    <w:rsid w:val="003247EB"/>
    <w:rsid w:val="00325236"/>
    <w:rsid w:val="00327AA4"/>
    <w:rsid w:val="00327C51"/>
    <w:rsid w:val="00330CAF"/>
    <w:rsid w:val="00332834"/>
    <w:rsid w:val="003329C1"/>
    <w:rsid w:val="00333A15"/>
    <w:rsid w:val="00334478"/>
    <w:rsid w:val="00335D7A"/>
    <w:rsid w:val="00337D81"/>
    <w:rsid w:val="00340175"/>
    <w:rsid w:val="00340376"/>
    <w:rsid w:val="0034075F"/>
    <w:rsid w:val="0034102B"/>
    <w:rsid w:val="00341D1F"/>
    <w:rsid w:val="00341EA8"/>
    <w:rsid w:val="00343DB0"/>
    <w:rsid w:val="003440DD"/>
    <w:rsid w:val="00344600"/>
    <w:rsid w:val="0034462F"/>
    <w:rsid w:val="00344C84"/>
    <w:rsid w:val="00345205"/>
    <w:rsid w:val="00345AE0"/>
    <w:rsid w:val="00345F19"/>
    <w:rsid w:val="00346D98"/>
    <w:rsid w:val="00350408"/>
    <w:rsid w:val="00351CAC"/>
    <w:rsid w:val="003520FB"/>
    <w:rsid w:val="00352683"/>
    <w:rsid w:val="00352B05"/>
    <w:rsid w:val="00352D5E"/>
    <w:rsid w:val="0035330E"/>
    <w:rsid w:val="0035362F"/>
    <w:rsid w:val="00353794"/>
    <w:rsid w:val="00353B72"/>
    <w:rsid w:val="0035663B"/>
    <w:rsid w:val="00360367"/>
    <w:rsid w:val="00360877"/>
    <w:rsid w:val="0036223F"/>
    <w:rsid w:val="00362D5F"/>
    <w:rsid w:val="003632BC"/>
    <w:rsid w:val="003649DB"/>
    <w:rsid w:val="003650AD"/>
    <w:rsid w:val="0036535E"/>
    <w:rsid w:val="00365689"/>
    <w:rsid w:val="00365884"/>
    <w:rsid w:val="00366506"/>
    <w:rsid w:val="00367091"/>
    <w:rsid w:val="00367524"/>
    <w:rsid w:val="0036762A"/>
    <w:rsid w:val="003716DB"/>
    <w:rsid w:val="003719D9"/>
    <w:rsid w:val="003726DF"/>
    <w:rsid w:val="00372751"/>
    <w:rsid w:val="00372B83"/>
    <w:rsid w:val="0037331D"/>
    <w:rsid w:val="003743B2"/>
    <w:rsid w:val="003750A0"/>
    <w:rsid w:val="00375667"/>
    <w:rsid w:val="003756AB"/>
    <w:rsid w:val="00375779"/>
    <w:rsid w:val="003764F7"/>
    <w:rsid w:val="003766D5"/>
    <w:rsid w:val="00376FA1"/>
    <w:rsid w:val="003805BD"/>
    <w:rsid w:val="003810F5"/>
    <w:rsid w:val="00381525"/>
    <w:rsid w:val="003831E5"/>
    <w:rsid w:val="00383607"/>
    <w:rsid w:val="0038363E"/>
    <w:rsid w:val="00383776"/>
    <w:rsid w:val="00384FE7"/>
    <w:rsid w:val="00387EA8"/>
    <w:rsid w:val="003901B8"/>
    <w:rsid w:val="00390917"/>
    <w:rsid w:val="00390AAE"/>
    <w:rsid w:val="00390BFB"/>
    <w:rsid w:val="00390FF9"/>
    <w:rsid w:val="00391BF2"/>
    <w:rsid w:val="00391FEC"/>
    <w:rsid w:val="00392A89"/>
    <w:rsid w:val="0039348A"/>
    <w:rsid w:val="00393C5C"/>
    <w:rsid w:val="00394340"/>
    <w:rsid w:val="00394857"/>
    <w:rsid w:val="00394A6F"/>
    <w:rsid w:val="00394B11"/>
    <w:rsid w:val="0039551C"/>
    <w:rsid w:val="003957B2"/>
    <w:rsid w:val="003959CE"/>
    <w:rsid w:val="00396520"/>
    <w:rsid w:val="00396922"/>
    <w:rsid w:val="00396A46"/>
    <w:rsid w:val="0039786D"/>
    <w:rsid w:val="003979B5"/>
    <w:rsid w:val="003A0959"/>
    <w:rsid w:val="003A1559"/>
    <w:rsid w:val="003A21E7"/>
    <w:rsid w:val="003A23F8"/>
    <w:rsid w:val="003A28BF"/>
    <w:rsid w:val="003A2E73"/>
    <w:rsid w:val="003A414B"/>
    <w:rsid w:val="003A43BB"/>
    <w:rsid w:val="003A470B"/>
    <w:rsid w:val="003A48EC"/>
    <w:rsid w:val="003A4CF6"/>
    <w:rsid w:val="003A4D81"/>
    <w:rsid w:val="003A4ED5"/>
    <w:rsid w:val="003A5194"/>
    <w:rsid w:val="003A6BB4"/>
    <w:rsid w:val="003A74D5"/>
    <w:rsid w:val="003A7B52"/>
    <w:rsid w:val="003A7C62"/>
    <w:rsid w:val="003B0D46"/>
    <w:rsid w:val="003B1A60"/>
    <w:rsid w:val="003B1C56"/>
    <w:rsid w:val="003B20FE"/>
    <w:rsid w:val="003B2267"/>
    <w:rsid w:val="003B24A5"/>
    <w:rsid w:val="003B29DF"/>
    <w:rsid w:val="003B3DAF"/>
    <w:rsid w:val="003B436E"/>
    <w:rsid w:val="003B47E6"/>
    <w:rsid w:val="003B4A03"/>
    <w:rsid w:val="003B512C"/>
    <w:rsid w:val="003B7775"/>
    <w:rsid w:val="003C00CA"/>
    <w:rsid w:val="003C068A"/>
    <w:rsid w:val="003C1554"/>
    <w:rsid w:val="003C2753"/>
    <w:rsid w:val="003C2C73"/>
    <w:rsid w:val="003C2CBF"/>
    <w:rsid w:val="003C3E0F"/>
    <w:rsid w:val="003C5B3D"/>
    <w:rsid w:val="003C71A6"/>
    <w:rsid w:val="003D0838"/>
    <w:rsid w:val="003D1B15"/>
    <w:rsid w:val="003D2400"/>
    <w:rsid w:val="003D25F2"/>
    <w:rsid w:val="003D30DE"/>
    <w:rsid w:val="003D3ADD"/>
    <w:rsid w:val="003D4CEE"/>
    <w:rsid w:val="003D4DFA"/>
    <w:rsid w:val="003D5469"/>
    <w:rsid w:val="003D6647"/>
    <w:rsid w:val="003D683D"/>
    <w:rsid w:val="003D7336"/>
    <w:rsid w:val="003D738A"/>
    <w:rsid w:val="003D790D"/>
    <w:rsid w:val="003D793F"/>
    <w:rsid w:val="003E0079"/>
    <w:rsid w:val="003E167C"/>
    <w:rsid w:val="003E2151"/>
    <w:rsid w:val="003E29C6"/>
    <w:rsid w:val="003E3810"/>
    <w:rsid w:val="003E64DC"/>
    <w:rsid w:val="003E6F49"/>
    <w:rsid w:val="003E702B"/>
    <w:rsid w:val="003E7102"/>
    <w:rsid w:val="003E789A"/>
    <w:rsid w:val="003E7B7A"/>
    <w:rsid w:val="003E7D7A"/>
    <w:rsid w:val="003F1056"/>
    <w:rsid w:val="003F237A"/>
    <w:rsid w:val="003F331D"/>
    <w:rsid w:val="003F3ED4"/>
    <w:rsid w:val="003F44F5"/>
    <w:rsid w:val="003F502E"/>
    <w:rsid w:val="003F5A0E"/>
    <w:rsid w:val="003F5D51"/>
    <w:rsid w:val="003F61FF"/>
    <w:rsid w:val="003F65F1"/>
    <w:rsid w:val="003F71E2"/>
    <w:rsid w:val="003F72F6"/>
    <w:rsid w:val="003F7527"/>
    <w:rsid w:val="003F7741"/>
    <w:rsid w:val="003F792B"/>
    <w:rsid w:val="003F7B5F"/>
    <w:rsid w:val="003F7EAB"/>
    <w:rsid w:val="00400BF2"/>
    <w:rsid w:val="00401047"/>
    <w:rsid w:val="0040157B"/>
    <w:rsid w:val="004015E1"/>
    <w:rsid w:val="00401A1C"/>
    <w:rsid w:val="004034D4"/>
    <w:rsid w:val="00403992"/>
    <w:rsid w:val="00403EC6"/>
    <w:rsid w:val="00403F6D"/>
    <w:rsid w:val="00404D29"/>
    <w:rsid w:val="00405F2E"/>
    <w:rsid w:val="00406283"/>
    <w:rsid w:val="004063EF"/>
    <w:rsid w:val="00406A4C"/>
    <w:rsid w:val="00406D72"/>
    <w:rsid w:val="00407BA0"/>
    <w:rsid w:val="00410076"/>
    <w:rsid w:val="00410ED6"/>
    <w:rsid w:val="00410EE7"/>
    <w:rsid w:val="00413D31"/>
    <w:rsid w:val="00413EA5"/>
    <w:rsid w:val="004144F7"/>
    <w:rsid w:val="00414784"/>
    <w:rsid w:val="004148D6"/>
    <w:rsid w:val="00417C5C"/>
    <w:rsid w:val="00417C90"/>
    <w:rsid w:val="00421732"/>
    <w:rsid w:val="00421BA7"/>
    <w:rsid w:val="004229C5"/>
    <w:rsid w:val="004237E5"/>
    <w:rsid w:val="00424A09"/>
    <w:rsid w:val="00424BAD"/>
    <w:rsid w:val="00424F06"/>
    <w:rsid w:val="00424F5E"/>
    <w:rsid w:val="00427BAB"/>
    <w:rsid w:val="00427C8D"/>
    <w:rsid w:val="00427F11"/>
    <w:rsid w:val="00430714"/>
    <w:rsid w:val="0043121B"/>
    <w:rsid w:val="004325EE"/>
    <w:rsid w:val="00432689"/>
    <w:rsid w:val="00432BDD"/>
    <w:rsid w:val="00434F7E"/>
    <w:rsid w:val="00435FDB"/>
    <w:rsid w:val="00437207"/>
    <w:rsid w:val="004404CC"/>
    <w:rsid w:val="00440F8C"/>
    <w:rsid w:val="004411FA"/>
    <w:rsid w:val="00441211"/>
    <w:rsid w:val="004427DD"/>
    <w:rsid w:val="00443D1B"/>
    <w:rsid w:val="004440DF"/>
    <w:rsid w:val="00445DD2"/>
    <w:rsid w:val="0044688B"/>
    <w:rsid w:val="00446A64"/>
    <w:rsid w:val="00446DAD"/>
    <w:rsid w:val="00447047"/>
    <w:rsid w:val="004478D9"/>
    <w:rsid w:val="00447906"/>
    <w:rsid w:val="00447A1B"/>
    <w:rsid w:val="00450F8F"/>
    <w:rsid w:val="0045134D"/>
    <w:rsid w:val="004518A1"/>
    <w:rsid w:val="004520AD"/>
    <w:rsid w:val="00453B73"/>
    <w:rsid w:val="00454C95"/>
    <w:rsid w:val="0045502C"/>
    <w:rsid w:val="00455A41"/>
    <w:rsid w:val="00456235"/>
    <w:rsid w:val="00456250"/>
    <w:rsid w:val="00456B76"/>
    <w:rsid w:val="0045747E"/>
    <w:rsid w:val="004600BC"/>
    <w:rsid w:val="0046057F"/>
    <w:rsid w:val="00461B75"/>
    <w:rsid w:val="004621AA"/>
    <w:rsid w:val="00463274"/>
    <w:rsid w:val="004636A1"/>
    <w:rsid w:val="00463DC4"/>
    <w:rsid w:val="00464CB3"/>
    <w:rsid w:val="004655EA"/>
    <w:rsid w:val="00465819"/>
    <w:rsid w:val="00466367"/>
    <w:rsid w:val="00466829"/>
    <w:rsid w:val="00467843"/>
    <w:rsid w:val="00467D8E"/>
    <w:rsid w:val="00470246"/>
    <w:rsid w:val="0047118A"/>
    <w:rsid w:val="00472BAA"/>
    <w:rsid w:val="004733A5"/>
    <w:rsid w:val="004741D6"/>
    <w:rsid w:val="00475423"/>
    <w:rsid w:val="00476A94"/>
    <w:rsid w:val="004802BA"/>
    <w:rsid w:val="0048033F"/>
    <w:rsid w:val="00480452"/>
    <w:rsid w:val="00481470"/>
    <w:rsid w:val="00482189"/>
    <w:rsid w:val="00482D40"/>
    <w:rsid w:val="004830EA"/>
    <w:rsid w:val="00483101"/>
    <w:rsid w:val="00486459"/>
    <w:rsid w:val="00486957"/>
    <w:rsid w:val="0048697E"/>
    <w:rsid w:val="00486B92"/>
    <w:rsid w:val="00487694"/>
    <w:rsid w:val="00487DEF"/>
    <w:rsid w:val="00487E1B"/>
    <w:rsid w:val="004906AD"/>
    <w:rsid w:val="004910CC"/>
    <w:rsid w:val="00491793"/>
    <w:rsid w:val="00491EAE"/>
    <w:rsid w:val="00492372"/>
    <w:rsid w:val="00492F45"/>
    <w:rsid w:val="0049319D"/>
    <w:rsid w:val="0049327A"/>
    <w:rsid w:val="004947CB"/>
    <w:rsid w:val="00496636"/>
    <w:rsid w:val="004A0610"/>
    <w:rsid w:val="004A2155"/>
    <w:rsid w:val="004A2597"/>
    <w:rsid w:val="004A3923"/>
    <w:rsid w:val="004A397D"/>
    <w:rsid w:val="004A54CC"/>
    <w:rsid w:val="004A5CEE"/>
    <w:rsid w:val="004A615A"/>
    <w:rsid w:val="004A6EEA"/>
    <w:rsid w:val="004B0EEA"/>
    <w:rsid w:val="004B1F74"/>
    <w:rsid w:val="004B2585"/>
    <w:rsid w:val="004B25EF"/>
    <w:rsid w:val="004B297C"/>
    <w:rsid w:val="004B2F08"/>
    <w:rsid w:val="004B358A"/>
    <w:rsid w:val="004B36D4"/>
    <w:rsid w:val="004B3835"/>
    <w:rsid w:val="004B522F"/>
    <w:rsid w:val="004B5B73"/>
    <w:rsid w:val="004C0535"/>
    <w:rsid w:val="004C063B"/>
    <w:rsid w:val="004C16A3"/>
    <w:rsid w:val="004C2B04"/>
    <w:rsid w:val="004C2EA1"/>
    <w:rsid w:val="004C308C"/>
    <w:rsid w:val="004C31E4"/>
    <w:rsid w:val="004C3651"/>
    <w:rsid w:val="004C3CED"/>
    <w:rsid w:val="004C51D7"/>
    <w:rsid w:val="004C5E5F"/>
    <w:rsid w:val="004D0166"/>
    <w:rsid w:val="004D259B"/>
    <w:rsid w:val="004D2C7F"/>
    <w:rsid w:val="004D3168"/>
    <w:rsid w:val="004D3A47"/>
    <w:rsid w:val="004D45E8"/>
    <w:rsid w:val="004D45F6"/>
    <w:rsid w:val="004D4D55"/>
    <w:rsid w:val="004D4F66"/>
    <w:rsid w:val="004D5238"/>
    <w:rsid w:val="004D52A8"/>
    <w:rsid w:val="004D578C"/>
    <w:rsid w:val="004D5C57"/>
    <w:rsid w:val="004D6C49"/>
    <w:rsid w:val="004D72D5"/>
    <w:rsid w:val="004E06AE"/>
    <w:rsid w:val="004E070B"/>
    <w:rsid w:val="004E0D07"/>
    <w:rsid w:val="004E0E64"/>
    <w:rsid w:val="004E18AB"/>
    <w:rsid w:val="004E2ACC"/>
    <w:rsid w:val="004E30AF"/>
    <w:rsid w:val="004E3610"/>
    <w:rsid w:val="004E4762"/>
    <w:rsid w:val="004E4BB9"/>
    <w:rsid w:val="004E5E51"/>
    <w:rsid w:val="004E622F"/>
    <w:rsid w:val="004E653C"/>
    <w:rsid w:val="004E72A9"/>
    <w:rsid w:val="004F05C3"/>
    <w:rsid w:val="004F0CFC"/>
    <w:rsid w:val="004F15AE"/>
    <w:rsid w:val="004F1FBC"/>
    <w:rsid w:val="004F2FCA"/>
    <w:rsid w:val="004F395F"/>
    <w:rsid w:val="004F42C3"/>
    <w:rsid w:val="004F42DE"/>
    <w:rsid w:val="004F43CC"/>
    <w:rsid w:val="004F46EA"/>
    <w:rsid w:val="004F4950"/>
    <w:rsid w:val="004F4B86"/>
    <w:rsid w:val="004F4C9E"/>
    <w:rsid w:val="004F5599"/>
    <w:rsid w:val="004F7E91"/>
    <w:rsid w:val="00501A0E"/>
    <w:rsid w:val="00501B75"/>
    <w:rsid w:val="00502968"/>
    <w:rsid w:val="00503BCE"/>
    <w:rsid w:val="00503CF4"/>
    <w:rsid w:val="0050417E"/>
    <w:rsid w:val="00504EAE"/>
    <w:rsid w:val="00505398"/>
    <w:rsid w:val="00505810"/>
    <w:rsid w:val="00505B64"/>
    <w:rsid w:val="00506457"/>
    <w:rsid w:val="005071CA"/>
    <w:rsid w:val="00507BD4"/>
    <w:rsid w:val="00507F8E"/>
    <w:rsid w:val="00510253"/>
    <w:rsid w:val="00510834"/>
    <w:rsid w:val="0051217C"/>
    <w:rsid w:val="00516BB9"/>
    <w:rsid w:val="00516FAE"/>
    <w:rsid w:val="00517258"/>
    <w:rsid w:val="00520672"/>
    <w:rsid w:val="00523737"/>
    <w:rsid w:val="00523CF7"/>
    <w:rsid w:val="00523E0F"/>
    <w:rsid w:val="00524053"/>
    <w:rsid w:val="0052425E"/>
    <w:rsid w:val="00524EB0"/>
    <w:rsid w:val="00524F28"/>
    <w:rsid w:val="00525044"/>
    <w:rsid w:val="0052607F"/>
    <w:rsid w:val="00527B20"/>
    <w:rsid w:val="00530002"/>
    <w:rsid w:val="00530FAA"/>
    <w:rsid w:val="005311BA"/>
    <w:rsid w:val="00531294"/>
    <w:rsid w:val="0053143A"/>
    <w:rsid w:val="00533414"/>
    <w:rsid w:val="00533606"/>
    <w:rsid w:val="0053394D"/>
    <w:rsid w:val="00533A47"/>
    <w:rsid w:val="00535179"/>
    <w:rsid w:val="00535DB9"/>
    <w:rsid w:val="00535E6E"/>
    <w:rsid w:val="00536D99"/>
    <w:rsid w:val="00541298"/>
    <w:rsid w:val="005436A9"/>
    <w:rsid w:val="00543B64"/>
    <w:rsid w:val="00543CB0"/>
    <w:rsid w:val="005453BE"/>
    <w:rsid w:val="00545DB8"/>
    <w:rsid w:val="005471CB"/>
    <w:rsid w:val="0055011F"/>
    <w:rsid w:val="00551E29"/>
    <w:rsid w:val="00552624"/>
    <w:rsid w:val="00552700"/>
    <w:rsid w:val="0055313B"/>
    <w:rsid w:val="005538E6"/>
    <w:rsid w:val="0055472D"/>
    <w:rsid w:val="0055506F"/>
    <w:rsid w:val="00555208"/>
    <w:rsid w:val="00555424"/>
    <w:rsid w:val="00555850"/>
    <w:rsid w:val="005602C6"/>
    <w:rsid w:val="00560C8E"/>
    <w:rsid w:val="00560FD7"/>
    <w:rsid w:val="00563200"/>
    <w:rsid w:val="005636FD"/>
    <w:rsid w:val="00563B21"/>
    <w:rsid w:val="00563FA1"/>
    <w:rsid w:val="005646F3"/>
    <w:rsid w:val="00564FC3"/>
    <w:rsid w:val="00565255"/>
    <w:rsid w:val="0056542A"/>
    <w:rsid w:val="0056699F"/>
    <w:rsid w:val="00567343"/>
    <w:rsid w:val="005677BD"/>
    <w:rsid w:val="005707C9"/>
    <w:rsid w:val="00570868"/>
    <w:rsid w:val="00570BDD"/>
    <w:rsid w:val="005732D9"/>
    <w:rsid w:val="00574BE5"/>
    <w:rsid w:val="00575BBF"/>
    <w:rsid w:val="00575DCD"/>
    <w:rsid w:val="00576799"/>
    <w:rsid w:val="00577742"/>
    <w:rsid w:val="00581124"/>
    <w:rsid w:val="00581FDD"/>
    <w:rsid w:val="005829D5"/>
    <w:rsid w:val="00582ADF"/>
    <w:rsid w:val="00584132"/>
    <w:rsid w:val="00584B00"/>
    <w:rsid w:val="00585CAF"/>
    <w:rsid w:val="005860F1"/>
    <w:rsid w:val="00586A4A"/>
    <w:rsid w:val="0058766E"/>
    <w:rsid w:val="005878D4"/>
    <w:rsid w:val="00590767"/>
    <w:rsid w:val="00590AF2"/>
    <w:rsid w:val="00591232"/>
    <w:rsid w:val="00591ED6"/>
    <w:rsid w:val="00592153"/>
    <w:rsid w:val="005935D0"/>
    <w:rsid w:val="00593941"/>
    <w:rsid w:val="005959EA"/>
    <w:rsid w:val="00596885"/>
    <w:rsid w:val="005979E5"/>
    <w:rsid w:val="00597B7A"/>
    <w:rsid w:val="005A01A4"/>
    <w:rsid w:val="005A151F"/>
    <w:rsid w:val="005A1E84"/>
    <w:rsid w:val="005A2A11"/>
    <w:rsid w:val="005A35EE"/>
    <w:rsid w:val="005A5E48"/>
    <w:rsid w:val="005A6E08"/>
    <w:rsid w:val="005A7423"/>
    <w:rsid w:val="005B0689"/>
    <w:rsid w:val="005B0C89"/>
    <w:rsid w:val="005B0FD4"/>
    <w:rsid w:val="005B171F"/>
    <w:rsid w:val="005B1B43"/>
    <w:rsid w:val="005B2704"/>
    <w:rsid w:val="005B36DC"/>
    <w:rsid w:val="005B398A"/>
    <w:rsid w:val="005B3A3A"/>
    <w:rsid w:val="005B47A4"/>
    <w:rsid w:val="005B5168"/>
    <w:rsid w:val="005B56FB"/>
    <w:rsid w:val="005B6243"/>
    <w:rsid w:val="005B710B"/>
    <w:rsid w:val="005B7C91"/>
    <w:rsid w:val="005C0044"/>
    <w:rsid w:val="005C018C"/>
    <w:rsid w:val="005C078B"/>
    <w:rsid w:val="005C0980"/>
    <w:rsid w:val="005C0CFB"/>
    <w:rsid w:val="005C1026"/>
    <w:rsid w:val="005C1BFD"/>
    <w:rsid w:val="005C1FA3"/>
    <w:rsid w:val="005C21C9"/>
    <w:rsid w:val="005C397B"/>
    <w:rsid w:val="005C416C"/>
    <w:rsid w:val="005C4E02"/>
    <w:rsid w:val="005C53ED"/>
    <w:rsid w:val="005C5473"/>
    <w:rsid w:val="005C54A8"/>
    <w:rsid w:val="005C742E"/>
    <w:rsid w:val="005C77EE"/>
    <w:rsid w:val="005C7C40"/>
    <w:rsid w:val="005D037B"/>
    <w:rsid w:val="005D072A"/>
    <w:rsid w:val="005D157A"/>
    <w:rsid w:val="005D1B6E"/>
    <w:rsid w:val="005D1BAD"/>
    <w:rsid w:val="005D2738"/>
    <w:rsid w:val="005D28B7"/>
    <w:rsid w:val="005D5AEF"/>
    <w:rsid w:val="005D5F56"/>
    <w:rsid w:val="005D640C"/>
    <w:rsid w:val="005D67CF"/>
    <w:rsid w:val="005D6DEB"/>
    <w:rsid w:val="005D741E"/>
    <w:rsid w:val="005D78DB"/>
    <w:rsid w:val="005E048B"/>
    <w:rsid w:val="005E0D44"/>
    <w:rsid w:val="005E118E"/>
    <w:rsid w:val="005E2196"/>
    <w:rsid w:val="005E25E6"/>
    <w:rsid w:val="005E295C"/>
    <w:rsid w:val="005E2EDB"/>
    <w:rsid w:val="005E35CD"/>
    <w:rsid w:val="005E3C03"/>
    <w:rsid w:val="005E3DF4"/>
    <w:rsid w:val="005E41E5"/>
    <w:rsid w:val="005E458D"/>
    <w:rsid w:val="005E45ED"/>
    <w:rsid w:val="005E4793"/>
    <w:rsid w:val="005E63D1"/>
    <w:rsid w:val="005E66A4"/>
    <w:rsid w:val="005E679D"/>
    <w:rsid w:val="005E6820"/>
    <w:rsid w:val="005E7E66"/>
    <w:rsid w:val="005F0F8D"/>
    <w:rsid w:val="005F2423"/>
    <w:rsid w:val="005F2F5D"/>
    <w:rsid w:val="005F39D3"/>
    <w:rsid w:val="005F3A56"/>
    <w:rsid w:val="005F4305"/>
    <w:rsid w:val="005F5FD9"/>
    <w:rsid w:val="005F64BA"/>
    <w:rsid w:val="005F6860"/>
    <w:rsid w:val="005F693E"/>
    <w:rsid w:val="005F6D8C"/>
    <w:rsid w:val="005F7BB5"/>
    <w:rsid w:val="0060035D"/>
    <w:rsid w:val="00600E23"/>
    <w:rsid w:val="00600F98"/>
    <w:rsid w:val="006019D0"/>
    <w:rsid w:val="006019E6"/>
    <w:rsid w:val="00601CA0"/>
    <w:rsid w:val="0060446C"/>
    <w:rsid w:val="00604BBF"/>
    <w:rsid w:val="006056C0"/>
    <w:rsid w:val="00605A0E"/>
    <w:rsid w:val="00605B9B"/>
    <w:rsid w:val="00605F16"/>
    <w:rsid w:val="00606492"/>
    <w:rsid w:val="00606843"/>
    <w:rsid w:val="00606AFD"/>
    <w:rsid w:val="00606F15"/>
    <w:rsid w:val="00607BE5"/>
    <w:rsid w:val="00611133"/>
    <w:rsid w:val="006123F4"/>
    <w:rsid w:val="00613602"/>
    <w:rsid w:val="00613693"/>
    <w:rsid w:val="006137D7"/>
    <w:rsid w:val="00613A8B"/>
    <w:rsid w:val="00613EF6"/>
    <w:rsid w:val="00614357"/>
    <w:rsid w:val="00615DCC"/>
    <w:rsid w:val="006176BA"/>
    <w:rsid w:val="00620AA5"/>
    <w:rsid w:val="00621626"/>
    <w:rsid w:val="0062246A"/>
    <w:rsid w:val="00624E76"/>
    <w:rsid w:val="00624F11"/>
    <w:rsid w:val="00625391"/>
    <w:rsid w:val="006254AC"/>
    <w:rsid w:val="006305F7"/>
    <w:rsid w:val="00630CA0"/>
    <w:rsid w:val="00631219"/>
    <w:rsid w:val="006319A4"/>
    <w:rsid w:val="006324F3"/>
    <w:rsid w:val="0063343E"/>
    <w:rsid w:val="006378AC"/>
    <w:rsid w:val="006406FA"/>
    <w:rsid w:val="006411A0"/>
    <w:rsid w:val="00641C77"/>
    <w:rsid w:val="00641E4D"/>
    <w:rsid w:val="006427DC"/>
    <w:rsid w:val="006429D4"/>
    <w:rsid w:val="00642E2C"/>
    <w:rsid w:val="00643F0F"/>
    <w:rsid w:val="006467F6"/>
    <w:rsid w:val="00646F58"/>
    <w:rsid w:val="00647055"/>
    <w:rsid w:val="00647D5A"/>
    <w:rsid w:val="006504D2"/>
    <w:rsid w:val="00651B94"/>
    <w:rsid w:val="0065313A"/>
    <w:rsid w:val="006538F3"/>
    <w:rsid w:val="00653CC6"/>
    <w:rsid w:val="006542CD"/>
    <w:rsid w:val="00655464"/>
    <w:rsid w:val="0065555F"/>
    <w:rsid w:val="0065651E"/>
    <w:rsid w:val="00656D89"/>
    <w:rsid w:val="0065704B"/>
    <w:rsid w:val="00657085"/>
    <w:rsid w:val="006571BB"/>
    <w:rsid w:val="00657762"/>
    <w:rsid w:val="0065791E"/>
    <w:rsid w:val="00660D73"/>
    <w:rsid w:val="006618EA"/>
    <w:rsid w:val="0066241C"/>
    <w:rsid w:val="00663342"/>
    <w:rsid w:val="00663477"/>
    <w:rsid w:val="006637E8"/>
    <w:rsid w:val="00663EB3"/>
    <w:rsid w:val="00664829"/>
    <w:rsid w:val="00665C73"/>
    <w:rsid w:val="0066608D"/>
    <w:rsid w:val="00666BF4"/>
    <w:rsid w:val="0067037E"/>
    <w:rsid w:val="00670C80"/>
    <w:rsid w:val="0067148F"/>
    <w:rsid w:val="00671ABA"/>
    <w:rsid w:val="00671EB1"/>
    <w:rsid w:val="006724C0"/>
    <w:rsid w:val="00672F91"/>
    <w:rsid w:val="00673F59"/>
    <w:rsid w:val="00674079"/>
    <w:rsid w:val="00675435"/>
    <w:rsid w:val="00675C52"/>
    <w:rsid w:val="006764B7"/>
    <w:rsid w:val="00677496"/>
    <w:rsid w:val="00677538"/>
    <w:rsid w:val="006778A2"/>
    <w:rsid w:val="00680580"/>
    <w:rsid w:val="00681BBD"/>
    <w:rsid w:val="00681EF5"/>
    <w:rsid w:val="0068232E"/>
    <w:rsid w:val="0068249E"/>
    <w:rsid w:val="006824DA"/>
    <w:rsid w:val="00682DE5"/>
    <w:rsid w:val="00682E25"/>
    <w:rsid w:val="00683201"/>
    <w:rsid w:val="00685D8E"/>
    <w:rsid w:val="00687061"/>
    <w:rsid w:val="006876D0"/>
    <w:rsid w:val="00687C29"/>
    <w:rsid w:val="006912CA"/>
    <w:rsid w:val="00691579"/>
    <w:rsid w:val="00691AF1"/>
    <w:rsid w:val="00691CB3"/>
    <w:rsid w:val="00693216"/>
    <w:rsid w:val="0069385C"/>
    <w:rsid w:val="00694927"/>
    <w:rsid w:val="006955CA"/>
    <w:rsid w:val="00695DEB"/>
    <w:rsid w:val="006961B6"/>
    <w:rsid w:val="0069674C"/>
    <w:rsid w:val="00696A31"/>
    <w:rsid w:val="00697218"/>
    <w:rsid w:val="00697E6F"/>
    <w:rsid w:val="006A1705"/>
    <w:rsid w:val="006A3108"/>
    <w:rsid w:val="006A3D69"/>
    <w:rsid w:val="006A4320"/>
    <w:rsid w:val="006A46BE"/>
    <w:rsid w:val="006A5DCB"/>
    <w:rsid w:val="006A5F11"/>
    <w:rsid w:val="006A5FDC"/>
    <w:rsid w:val="006B0067"/>
    <w:rsid w:val="006B09FC"/>
    <w:rsid w:val="006B1DA2"/>
    <w:rsid w:val="006B2876"/>
    <w:rsid w:val="006B2BE3"/>
    <w:rsid w:val="006B361F"/>
    <w:rsid w:val="006B4C75"/>
    <w:rsid w:val="006B4F1E"/>
    <w:rsid w:val="006B50C4"/>
    <w:rsid w:val="006B5244"/>
    <w:rsid w:val="006B5DA4"/>
    <w:rsid w:val="006B5FDE"/>
    <w:rsid w:val="006B66A9"/>
    <w:rsid w:val="006B72D9"/>
    <w:rsid w:val="006B7CC2"/>
    <w:rsid w:val="006B7D99"/>
    <w:rsid w:val="006C0089"/>
    <w:rsid w:val="006C11DA"/>
    <w:rsid w:val="006C24F2"/>
    <w:rsid w:val="006C2D86"/>
    <w:rsid w:val="006C407F"/>
    <w:rsid w:val="006C43DF"/>
    <w:rsid w:val="006C5B98"/>
    <w:rsid w:val="006C6058"/>
    <w:rsid w:val="006C6263"/>
    <w:rsid w:val="006C6F93"/>
    <w:rsid w:val="006C7115"/>
    <w:rsid w:val="006C713A"/>
    <w:rsid w:val="006C751D"/>
    <w:rsid w:val="006C7A40"/>
    <w:rsid w:val="006C7E73"/>
    <w:rsid w:val="006D0483"/>
    <w:rsid w:val="006D0E3D"/>
    <w:rsid w:val="006D1CD5"/>
    <w:rsid w:val="006D426C"/>
    <w:rsid w:val="006D42ED"/>
    <w:rsid w:val="006D59F6"/>
    <w:rsid w:val="006D5A5A"/>
    <w:rsid w:val="006D6672"/>
    <w:rsid w:val="006D7557"/>
    <w:rsid w:val="006E159C"/>
    <w:rsid w:val="006E25C7"/>
    <w:rsid w:val="006E3DD2"/>
    <w:rsid w:val="006E44A9"/>
    <w:rsid w:val="006E478C"/>
    <w:rsid w:val="006E4F07"/>
    <w:rsid w:val="006E524B"/>
    <w:rsid w:val="006E5D9C"/>
    <w:rsid w:val="006E67C4"/>
    <w:rsid w:val="006E7FD2"/>
    <w:rsid w:val="006F0864"/>
    <w:rsid w:val="006F0A91"/>
    <w:rsid w:val="006F159E"/>
    <w:rsid w:val="006F17BD"/>
    <w:rsid w:val="006F5EDD"/>
    <w:rsid w:val="006F6496"/>
    <w:rsid w:val="006F64CF"/>
    <w:rsid w:val="006F6E40"/>
    <w:rsid w:val="006F6FC0"/>
    <w:rsid w:val="006F71C4"/>
    <w:rsid w:val="006F7E2A"/>
    <w:rsid w:val="006F7EA7"/>
    <w:rsid w:val="00700BD8"/>
    <w:rsid w:val="007018A7"/>
    <w:rsid w:val="0070259A"/>
    <w:rsid w:val="00702918"/>
    <w:rsid w:val="00703225"/>
    <w:rsid w:val="007038A6"/>
    <w:rsid w:val="00706461"/>
    <w:rsid w:val="0070668B"/>
    <w:rsid w:val="00707BFA"/>
    <w:rsid w:val="007102C4"/>
    <w:rsid w:val="00710E89"/>
    <w:rsid w:val="007112CA"/>
    <w:rsid w:val="00711729"/>
    <w:rsid w:val="00711A7C"/>
    <w:rsid w:val="00711BA9"/>
    <w:rsid w:val="00711E30"/>
    <w:rsid w:val="00712619"/>
    <w:rsid w:val="00712980"/>
    <w:rsid w:val="00712F33"/>
    <w:rsid w:val="00713623"/>
    <w:rsid w:val="00714568"/>
    <w:rsid w:val="0071460A"/>
    <w:rsid w:val="00715A89"/>
    <w:rsid w:val="00715BB1"/>
    <w:rsid w:val="00715BEE"/>
    <w:rsid w:val="0071643B"/>
    <w:rsid w:val="00721243"/>
    <w:rsid w:val="00723B53"/>
    <w:rsid w:val="00724760"/>
    <w:rsid w:val="0072486E"/>
    <w:rsid w:val="00724B1E"/>
    <w:rsid w:val="0072504D"/>
    <w:rsid w:val="00725929"/>
    <w:rsid w:val="00730933"/>
    <w:rsid w:val="00730A6E"/>
    <w:rsid w:val="00730D90"/>
    <w:rsid w:val="00732039"/>
    <w:rsid w:val="00732F63"/>
    <w:rsid w:val="007343CA"/>
    <w:rsid w:val="00734467"/>
    <w:rsid w:val="0073501A"/>
    <w:rsid w:val="00736113"/>
    <w:rsid w:val="007361B5"/>
    <w:rsid w:val="007362B2"/>
    <w:rsid w:val="007372DE"/>
    <w:rsid w:val="00737530"/>
    <w:rsid w:val="007379EE"/>
    <w:rsid w:val="00737BFB"/>
    <w:rsid w:val="00737F49"/>
    <w:rsid w:val="007401AF"/>
    <w:rsid w:val="0074090B"/>
    <w:rsid w:val="00740EC1"/>
    <w:rsid w:val="00741AC6"/>
    <w:rsid w:val="00741DCB"/>
    <w:rsid w:val="00742124"/>
    <w:rsid w:val="007421C6"/>
    <w:rsid w:val="00742D3E"/>
    <w:rsid w:val="00742EEC"/>
    <w:rsid w:val="00743325"/>
    <w:rsid w:val="00743DAD"/>
    <w:rsid w:val="00743F80"/>
    <w:rsid w:val="00743FCE"/>
    <w:rsid w:val="0074558A"/>
    <w:rsid w:val="00745E3A"/>
    <w:rsid w:val="007465D8"/>
    <w:rsid w:val="0074678C"/>
    <w:rsid w:val="00746F1D"/>
    <w:rsid w:val="00746FC0"/>
    <w:rsid w:val="00750248"/>
    <w:rsid w:val="00750391"/>
    <w:rsid w:val="007503BD"/>
    <w:rsid w:val="00750A34"/>
    <w:rsid w:val="00751FE3"/>
    <w:rsid w:val="0075275C"/>
    <w:rsid w:val="007532F0"/>
    <w:rsid w:val="007537D8"/>
    <w:rsid w:val="007551F1"/>
    <w:rsid w:val="00756176"/>
    <w:rsid w:val="00756C6A"/>
    <w:rsid w:val="00756F0A"/>
    <w:rsid w:val="007571FC"/>
    <w:rsid w:val="00757678"/>
    <w:rsid w:val="00757AB3"/>
    <w:rsid w:val="00757F36"/>
    <w:rsid w:val="0076090A"/>
    <w:rsid w:val="00760D1C"/>
    <w:rsid w:val="00760EF1"/>
    <w:rsid w:val="00761861"/>
    <w:rsid w:val="00762918"/>
    <w:rsid w:val="007634D9"/>
    <w:rsid w:val="0076461A"/>
    <w:rsid w:val="0076494D"/>
    <w:rsid w:val="0076538F"/>
    <w:rsid w:val="00765EF2"/>
    <w:rsid w:val="00767247"/>
    <w:rsid w:val="007676B2"/>
    <w:rsid w:val="00767797"/>
    <w:rsid w:val="00770DAA"/>
    <w:rsid w:val="007723E5"/>
    <w:rsid w:val="007726A7"/>
    <w:rsid w:val="00772729"/>
    <w:rsid w:val="0077306F"/>
    <w:rsid w:val="007734BF"/>
    <w:rsid w:val="00773FC5"/>
    <w:rsid w:val="00774103"/>
    <w:rsid w:val="00774160"/>
    <w:rsid w:val="00774B46"/>
    <w:rsid w:val="007750B5"/>
    <w:rsid w:val="007752FF"/>
    <w:rsid w:val="007755B7"/>
    <w:rsid w:val="007768AE"/>
    <w:rsid w:val="00776AD9"/>
    <w:rsid w:val="00777773"/>
    <w:rsid w:val="00777BAC"/>
    <w:rsid w:val="00780282"/>
    <w:rsid w:val="00780A18"/>
    <w:rsid w:val="007810F2"/>
    <w:rsid w:val="007837F1"/>
    <w:rsid w:val="00784292"/>
    <w:rsid w:val="007854CC"/>
    <w:rsid w:val="00785576"/>
    <w:rsid w:val="00785D59"/>
    <w:rsid w:val="0078612F"/>
    <w:rsid w:val="00786667"/>
    <w:rsid w:val="007866D3"/>
    <w:rsid w:val="007868B2"/>
    <w:rsid w:val="007872DB"/>
    <w:rsid w:val="00787562"/>
    <w:rsid w:val="00790BBD"/>
    <w:rsid w:val="00791132"/>
    <w:rsid w:val="007912EC"/>
    <w:rsid w:val="00792724"/>
    <w:rsid w:val="007927FA"/>
    <w:rsid w:val="00793E79"/>
    <w:rsid w:val="00795029"/>
    <w:rsid w:val="00795828"/>
    <w:rsid w:val="007A085B"/>
    <w:rsid w:val="007A119F"/>
    <w:rsid w:val="007A2832"/>
    <w:rsid w:val="007A2B11"/>
    <w:rsid w:val="007A3202"/>
    <w:rsid w:val="007A3317"/>
    <w:rsid w:val="007A39AB"/>
    <w:rsid w:val="007A39C7"/>
    <w:rsid w:val="007A4268"/>
    <w:rsid w:val="007A5755"/>
    <w:rsid w:val="007A5810"/>
    <w:rsid w:val="007A6D42"/>
    <w:rsid w:val="007A7DDA"/>
    <w:rsid w:val="007B05B0"/>
    <w:rsid w:val="007B0EFC"/>
    <w:rsid w:val="007B113C"/>
    <w:rsid w:val="007B147B"/>
    <w:rsid w:val="007B17FC"/>
    <w:rsid w:val="007B1E9B"/>
    <w:rsid w:val="007B2422"/>
    <w:rsid w:val="007B3766"/>
    <w:rsid w:val="007B3928"/>
    <w:rsid w:val="007B3C70"/>
    <w:rsid w:val="007B3CE5"/>
    <w:rsid w:val="007B5093"/>
    <w:rsid w:val="007B5E02"/>
    <w:rsid w:val="007B6A5D"/>
    <w:rsid w:val="007B7B92"/>
    <w:rsid w:val="007B7E24"/>
    <w:rsid w:val="007C0117"/>
    <w:rsid w:val="007C04D1"/>
    <w:rsid w:val="007C08FE"/>
    <w:rsid w:val="007C1907"/>
    <w:rsid w:val="007C203D"/>
    <w:rsid w:val="007C31DF"/>
    <w:rsid w:val="007C45C0"/>
    <w:rsid w:val="007C47EE"/>
    <w:rsid w:val="007C4986"/>
    <w:rsid w:val="007C4FC6"/>
    <w:rsid w:val="007C505D"/>
    <w:rsid w:val="007C5B37"/>
    <w:rsid w:val="007C5CE1"/>
    <w:rsid w:val="007D036E"/>
    <w:rsid w:val="007D0895"/>
    <w:rsid w:val="007D10E9"/>
    <w:rsid w:val="007D1236"/>
    <w:rsid w:val="007D2537"/>
    <w:rsid w:val="007D25F7"/>
    <w:rsid w:val="007D2890"/>
    <w:rsid w:val="007D28EF"/>
    <w:rsid w:val="007D2FE7"/>
    <w:rsid w:val="007D3B9A"/>
    <w:rsid w:val="007D4C87"/>
    <w:rsid w:val="007D4CA5"/>
    <w:rsid w:val="007D6850"/>
    <w:rsid w:val="007D7381"/>
    <w:rsid w:val="007D7607"/>
    <w:rsid w:val="007D76A8"/>
    <w:rsid w:val="007E185E"/>
    <w:rsid w:val="007E1946"/>
    <w:rsid w:val="007E1C29"/>
    <w:rsid w:val="007E3360"/>
    <w:rsid w:val="007E5FE8"/>
    <w:rsid w:val="007E61C9"/>
    <w:rsid w:val="007E6AFB"/>
    <w:rsid w:val="007E7C71"/>
    <w:rsid w:val="007F139C"/>
    <w:rsid w:val="007F1E34"/>
    <w:rsid w:val="007F2C48"/>
    <w:rsid w:val="007F2F6B"/>
    <w:rsid w:val="007F3170"/>
    <w:rsid w:val="007F389B"/>
    <w:rsid w:val="007F3C18"/>
    <w:rsid w:val="007F4A67"/>
    <w:rsid w:val="007F58B1"/>
    <w:rsid w:val="007F6628"/>
    <w:rsid w:val="007F7FCA"/>
    <w:rsid w:val="008002AC"/>
    <w:rsid w:val="0080091A"/>
    <w:rsid w:val="00800A14"/>
    <w:rsid w:val="008012D9"/>
    <w:rsid w:val="00801391"/>
    <w:rsid w:val="00802398"/>
    <w:rsid w:val="0080265E"/>
    <w:rsid w:val="00803058"/>
    <w:rsid w:val="00803826"/>
    <w:rsid w:val="0080440D"/>
    <w:rsid w:val="00804641"/>
    <w:rsid w:val="00804B57"/>
    <w:rsid w:val="00805E18"/>
    <w:rsid w:val="0080635B"/>
    <w:rsid w:val="00806A2B"/>
    <w:rsid w:val="00806B62"/>
    <w:rsid w:val="008113BC"/>
    <w:rsid w:val="00811A46"/>
    <w:rsid w:val="0081282D"/>
    <w:rsid w:val="00812A45"/>
    <w:rsid w:val="0081441B"/>
    <w:rsid w:val="00814701"/>
    <w:rsid w:val="00815088"/>
    <w:rsid w:val="008160A5"/>
    <w:rsid w:val="00817077"/>
    <w:rsid w:val="00817178"/>
    <w:rsid w:val="00820187"/>
    <w:rsid w:val="008218FB"/>
    <w:rsid w:val="00821E6C"/>
    <w:rsid w:val="0082258D"/>
    <w:rsid w:val="0082289D"/>
    <w:rsid w:val="00822C6C"/>
    <w:rsid w:val="0082379D"/>
    <w:rsid w:val="00827303"/>
    <w:rsid w:val="00827A4D"/>
    <w:rsid w:val="00831878"/>
    <w:rsid w:val="00833471"/>
    <w:rsid w:val="0083482E"/>
    <w:rsid w:val="008362BB"/>
    <w:rsid w:val="0083630D"/>
    <w:rsid w:val="0083647C"/>
    <w:rsid w:val="00837804"/>
    <w:rsid w:val="008379BA"/>
    <w:rsid w:val="0084028F"/>
    <w:rsid w:val="00840B75"/>
    <w:rsid w:val="00840C1D"/>
    <w:rsid w:val="00841578"/>
    <w:rsid w:val="00842089"/>
    <w:rsid w:val="00843C74"/>
    <w:rsid w:val="008440CB"/>
    <w:rsid w:val="00844B88"/>
    <w:rsid w:val="00845B5C"/>
    <w:rsid w:val="0084669E"/>
    <w:rsid w:val="00846916"/>
    <w:rsid w:val="00850144"/>
    <w:rsid w:val="0085084F"/>
    <w:rsid w:val="00850C3F"/>
    <w:rsid w:val="00850C4D"/>
    <w:rsid w:val="0085131C"/>
    <w:rsid w:val="00851551"/>
    <w:rsid w:val="0085225D"/>
    <w:rsid w:val="00852D9A"/>
    <w:rsid w:val="008532B5"/>
    <w:rsid w:val="00854867"/>
    <w:rsid w:val="00855D14"/>
    <w:rsid w:val="00856B24"/>
    <w:rsid w:val="00856C9F"/>
    <w:rsid w:val="00856F45"/>
    <w:rsid w:val="008571C4"/>
    <w:rsid w:val="00857610"/>
    <w:rsid w:val="008611F5"/>
    <w:rsid w:val="0086186D"/>
    <w:rsid w:val="0086248F"/>
    <w:rsid w:val="0086261A"/>
    <w:rsid w:val="00862EE7"/>
    <w:rsid w:val="008630F7"/>
    <w:rsid w:val="0086324B"/>
    <w:rsid w:val="0086340C"/>
    <w:rsid w:val="00863801"/>
    <w:rsid w:val="00863D01"/>
    <w:rsid w:val="00863D86"/>
    <w:rsid w:val="00863E7B"/>
    <w:rsid w:val="008647E8"/>
    <w:rsid w:val="00865B6F"/>
    <w:rsid w:val="008661CA"/>
    <w:rsid w:val="008668A8"/>
    <w:rsid w:val="0086696B"/>
    <w:rsid w:val="00866E4B"/>
    <w:rsid w:val="008672E4"/>
    <w:rsid w:val="008675BF"/>
    <w:rsid w:val="00867C09"/>
    <w:rsid w:val="00870015"/>
    <w:rsid w:val="00871096"/>
    <w:rsid w:val="00873185"/>
    <w:rsid w:val="00873314"/>
    <w:rsid w:val="0088031D"/>
    <w:rsid w:val="00880B04"/>
    <w:rsid w:val="00882AD9"/>
    <w:rsid w:val="00882F19"/>
    <w:rsid w:val="00883503"/>
    <w:rsid w:val="00885C7C"/>
    <w:rsid w:val="00886191"/>
    <w:rsid w:val="00886A60"/>
    <w:rsid w:val="00886DAF"/>
    <w:rsid w:val="00887CF3"/>
    <w:rsid w:val="008909AD"/>
    <w:rsid w:val="00890A6C"/>
    <w:rsid w:val="00890BC4"/>
    <w:rsid w:val="00891502"/>
    <w:rsid w:val="00891E34"/>
    <w:rsid w:val="008920FA"/>
    <w:rsid w:val="0089242D"/>
    <w:rsid w:val="00892873"/>
    <w:rsid w:val="00893559"/>
    <w:rsid w:val="00893756"/>
    <w:rsid w:val="008937B8"/>
    <w:rsid w:val="008941B6"/>
    <w:rsid w:val="00894BBD"/>
    <w:rsid w:val="00894E5C"/>
    <w:rsid w:val="00894EF0"/>
    <w:rsid w:val="0089647B"/>
    <w:rsid w:val="0089713A"/>
    <w:rsid w:val="008A01A5"/>
    <w:rsid w:val="008A0815"/>
    <w:rsid w:val="008A0C2D"/>
    <w:rsid w:val="008A1724"/>
    <w:rsid w:val="008A1E6B"/>
    <w:rsid w:val="008A21B4"/>
    <w:rsid w:val="008A2A60"/>
    <w:rsid w:val="008A2D8D"/>
    <w:rsid w:val="008A30BE"/>
    <w:rsid w:val="008A5A04"/>
    <w:rsid w:val="008A6D39"/>
    <w:rsid w:val="008A738B"/>
    <w:rsid w:val="008B0833"/>
    <w:rsid w:val="008B0AA9"/>
    <w:rsid w:val="008B1362"/>
    <w:rsid w:val="008B2477"/>
    <w:rsid w:val="008B2B4F"/>
    <w:rsid w:val="008B3531"/>
    <w:rsid w:val="008B49CF"/>
    <w:rsid w:val="008B4B4A"/>
    <w:rsid w:val="008B5185"/>
    <w:rsid w:val="008B53C9"/>
    <w:rsid w:val="008B551E"/>
    <w:rsid w:val="008C08EE"/>
    <w:rsid w:val="008C1927"/>
    <w:rsid w:val="008C192B"/>
    <w:rsid w:val="008C1A7C"/>
    <w:rsid w:val="008C2304"/>
    <w:rsid w:val="008C2612"/>
    <w:rsid w:val="008C40FF"/>
    <w:rsid w:val="008C5656"/>
    <w:rsid w:val="008C56CC"/>
    <w:rsid w:val="008C7C70"/>
    <w:rsid w:val="008D1420"/>
    <w:rsid w:val="008D31E0"/>
    <w:rsid w:val="008D4BF6"/>
    <w:rsid w:val="008D52BC"/>
    <w:rsid w:val="008D5D3C"/>
    <w:rsid w:val="008D6445"/>
    <w:rsid w:val="008D64A8"/>
    <w:rsid w:val="008D78B7"/>
    <w:rsid w:val="008D7A4A"/>
    <w:rsid w:val="008D7B09"/>
    <w:rsid w:val="008D7C23"/>
    <w:rsid w:val="008E0378"/>
    <w:rsid w:val="008E1882"/>
    <w:rsid w:val="008E23F3"/>
    <w:rsid w:val="008E2DBC"/>
    <w:rsid w:val="008E3028"/>
    <w:rsid w:val="008E3FBF"/>
    <w:rsid w:val="008E5DA5"/>
    <w:rsid w:val="008E628B"/>
    <w:rsid w:val="008E7854"/>
    <w:rsid w:val="008F0FE5"/>
    <w:rsid w:val="008F1105"/>
    <w:rsid w:val="008F13AA"/>
    <w:rsid w:val="008F1420"/>
    <w:rsid w:val="008F23F2"/>
    <w:rsid w:val="008F2B71"/>
    <w:rsid w:val="008F350B"/>
    <w:rsid w:val="008F3C5D"/>
    <w:rsid w:val="008F4013"/>
    <w:rsid w:val="008F52D1"/>
    <w:rsid w:val="008F61C3"/>
    <w:rsid w:val="008F6AD6"/>
    <w:rsid w:val="008F6D44"/>
    <w:rsid w:val="008F6E98"/>
    <w:rsid w:val="008F75D8"/>
    <w:rsid w:val="00901A89"/>
    <w:rsid w:val="00901B5D"/>
    <w:rsid w:val="009021E3"/>
    <w:rsid w:val="00903381"/>
    <w:rsid w:val="009038B6"/>
    <w:rsid w:val="00904610"/>
    <w:rsid w:val="00906E2E"/>
    <w:rsid w:val="00907131"/>
    <w:rsid w:val="00907220"/>
    <w:rsid w:val="00907C14"/>
    <w:rsid w:val="0091019F"/>
    <w:rsid w:val="00911337"/>
    <w:rsid w:val="00911362"/>
    <w:rsid w:val="00912669"/>
    <w:rsid w:val="00913E28"/>
    <w:rsid w:val="00915F36"/>
    <w:rsid w:val="00915F66"/>
    <w:rsid w:val="009161F7"/>
    <w:rsid w:val="00916719"/>
    <w:rsid w:val="009169CB"/>
    <w:rsid w:val="00916B9A"/>
    <w:rsid w:val="00916BFC"/>
    <w:rsid w:val="00917215"/>
    <w:rsid w:val="009173F7"/>
    <w:rsid w:val="00917C27"/>
    <w:rsid w:val="00920189"/>
    <w:rsid w:val="00920F27"/>
    <w:rsid w:val="00921161"/>
    <w:rsid w:val="00921EC5"/>
    <w:rsid w:val="0092220C"/>
    <w:rsid w:val="009223C6"/>
    <w:rsid w:val="00922400"/>
    <w:rsid w:val="009232CC"/>
    <w:rsid w:val="009232CE"/>
    <w:rsid w:val="009233F6"/>
    <w:rsid w:val="00924193"/>
    <w:rsid w:val="00925425"/>
    <w:rsid w:val="00925513"/>
    <w:rsid w:val="00925526"/>
    <w:rsid w:val="009255B5"/>
    <w:rsid w:val="009258ED"/>
    <w:rsid w:val="009264E1"/>
    <w:rsid w:val="00927347"/>
    <w:rsid w:val="009302A5"/>
    <w:rsid w:val="00930720"/>
    <w:rsid w:val="0093099B"/>
    <w:rsid w:val="00930D49"/>
    <w:rsid w:val="009311B4"/>
    <w:rsid w:val="00931546"/>
    <w:rsid w:val="009318FC"/>
    <w:rsid w:val="00932791"/>
    <w:rsid w:val="009331D8"/>
    <w:rsid w:val="00933933"/>
    <w:rsid w:val="00934249"/>
    <w:rsid w:val="0093466C"/>
    <w:rsid w:val="00934AEE"/>
    <w:rsid w:val="0093573B"/>
    <w:rsid w:val="0093588F"/>
    <w:rsid w:val="00936CF8"/>
    <w:rsid w:val="00936EFC"/>
    <w:rsid w:val="00936F54"/>
    <w:rsid w:val="009370B9"/>
    <w:rsid w:val="009376E8"/>
    <w:rsid w:val="00937910"/>
    <w:rsid w:val="00937DEA"/>
    <w:rsid w:val="00940080"/>
    <w:rsid w:val="009401BF"/>
    <w:rsid w:val="00940FA0"/>
    <w:rsid w:val="0094145F"/>
    <w:rsid w:val="00941772"/>
    <w:rsid w:val="00941E83"/>
    <w:rsid w:val="00942824"/>
    <w:rsid w:val="00944C40"/>
    <w:rsid w:val="00945CF1"/>
    <w:rsid w:val="00946292"/>
    <w:rsid w:val="00946CF1"/>
    <w:rsid w:val="0094700D"/>
    <w:rsid w:val="00951EDB"/>
    <w:rsid w:val="00951F6B"/>
    <w:rsid w:val="009526B0"/>
    <w:rsid w:val="0095284B"/>
    <w:rsid w:val="00952B37"/>
    <w:rsid w:val="00952CD4"/>
    <w:rsid w:val="00953BBE"/>
    <w:rsid w:val="00953F9D"/>
    <w:rsid w:val="00954486"/>
    <w:rsid w:val="00954977"/>
    <w:rsid w:val="00955B9A"/>
    <w:rsid w:val="00956121"/>
    <w:rsid w:val="009561B1"/>
    <w:rsid w:val="00957C39"/>
    <w:rsid w:val="00960A81"/>
    <w:rsid w:val="009613F4"/>
    <w:rsid w:val="00961DEF"/>
    <w:rsid w:val="00962BCF"/>
    <w:rsid w:val="009632A3"/>
    <w:rsid w:val="009634A7"/>
    <w:rsid w:val="00963E45"/>
    <w:rsid w:val="00964ACC"/>
    <w:rsid w:val="009657AC"/>
    <w:rsid w:val="00965B21"/>
    <w:rsid w:val="009663F2"/>
    <w:rsid w:val="00966CAD"/>
    <w:rsid w:val="00966DD1"/>
    <w:rsid w:val="009672EA"/>
    <w:rsid w:val="0096754C"/>
    <w:rsid w:val="009678C8"/>
    <w:rsid w:val="00967FBF"/>
    <w:rsid w:val="009709D5"/>
    <w:rsid w:val="00970B15"/>
    <w:rsid w:val="00971619"/>
    <w:rsid w:val="00971956"/>
    <w:rsid w:val="00971E40"/>
    <w:rsid w:val="009726C4"/>
    <w:rsid w:val="00972D30"/>
    <w:rsid w:val="0097398A"/>
    <w:rsid w:val="009744B2"/>
    <w:rsid w:val="00974A49"/>
    <w:rsid w:val="00975C02"/>
    <w:rsid w:val="00975D5D"/>
    <w:rsid w:val="009765B1"/>
    <w:rsid w:val="00976804"/>
    <w:rsid w:val="00976D1E"/>
    <w:rsid w:val="00977990"/>
    <w:rsid w:val="00980594"/>
    <w:rsid w:val="00980604"/>
    <w:rsid w:val="00980625"/>
    <w:rsid w:val="00982B79"/>
    <w:rsid w:val="00983361"/>
    <w:rsid w:val="0098415E"/>
    <w:rsid w:val="00984490"/>
    <w:rsid w:val="00985751"/>
    <w:rsid w:val="00985E6C"/>
    <w:rsid w:val="0098640E"/>
    <w:rsid w:val="009872ED"/>
    <w:rsid w:val="0098778E"/>
    <w:rsid w:val="009878BB"/>
    <w:rsid w:val="0098791F"/>
    <w:rsid w:val="00987946"/>
    <w:rsid w:val="00987EEA"/>
    <w:rsid w:val="009906B2"/>
    <w:rsid w:val="00992BA3"/>
    <w:rsid w:val="00992BE9"/>
    <w:rsid w:val="00992BEB"/>
    <w:rsid w:val="00993126"/>
    <w:rsid w:val="00993925"/>
    <w:rsid w:val="00994597"/>
    <w:rsid w:val="00994AC0"/>
    <w:rsid w:val="00994B6F"/>
    <w:rsid w:val="00995C9B"/>
    <w:rsid w:val="00995FDA"/>
    <w:rsid w:val="00996361"/>
    <w:rsid w:val="00997752"/>
    <w:rsid w:val="00997932"/>
    <w:rsid w:val="00997D92"/>
    <w:rsid w:val="009A02A0"/>
    <w:rsid w:val="009A0572"/>
    <w:rsid w:val="009A139B"/>
    <w:rsid w:val="009A20CD"/>
    <w:rsid w:val="009A2973"/>
    <w:rsid w:val="009A488C"/>
    <w:rsid w:val="009A4A37"/>
    <w:rsid w:val="009A5984"/>
    <w:rsid w:val="009A5E57"/>
    <w:rsid w:val="009A5FBC"/>
    <w:rsid w:val="009A7DCB"/>
    <w:rsid w:val="009A7DF3"/>
    <w:rsid w:val="009A7EFA"/>
    <w:rsid w:val="009B0395"/>
    <w:rsid w:val="009B047D"/>
    <w:rsid w:val="009B1861"/>
    <w:rsid w:val="009B31E2"/>
    <w:rsid w:val="009B37F4"/>
    <w:rsid w:val="009B4609"/>
    <w:rsid w:val="009B4A02"/>
    <w:rsid w:val="009B54F7"/>
    <w:rsid w:val="009B5B6D"/>
    <w:rsid w:val="009B66F6"/>
    <w:rsid w:val="009B717A"/>
    <w:rsid w:val="009C02CF"/>
    <w:rsid w:val="009C0499"/>
    <w:rsid w:val="009C095C"/>
    <w:rsid w:val="009C0CE7"/>
    <w:rsid w:val="009C19C6"/>
    <w:rsid w:val="009C1C68"/>
    <w:rsid w:val="009C1ECA"/>
    <w:rsid w:val="009C4B4F"/>
    <w:rsid w:val="009C5337"/>
    <w:rsid w:val="009C5A75"/>
    <w:rsid w:val="009C5AD3"/>
    <w:rsid w:val="009C62C0"/>
    <w:rsid w:val="009C67D4"/>
    <w:rsid w:val="009C6C26"/>
    <w:rsid w:val="009D1284"/>
    <w:rsid w:val="009D13B5"/>
    <w:rsid w:val="009D1DC7"/>
    <w:rsid w:val="009D1FDB"/>
    <w:rsid w:val="009D29FD"/>
    <w:rsid w:val="009D2AD8"/>
    <w:rsid w:val="009D2FF9"/>
    <w:rsid w:val="009D3B6E"/>
    <w:rsid w:val="009D485B"/>
    <w:rsid w:val="009D4B11"/>
    <w:rsid w:val="009D5894"/>
    <w:rsid w:val="009D5956"/>
    <w:rsid w:val="009D5FF9"/>
    <w:rsid w:val="009D6C6B"/>
    <w:rsid w:val="009D6E0C"/>
    <w:rsid w:val="009D7105"/>
    <w:rsid w:val="009D7236"/>
    <w:rsid w:val="009D77E4"/>
    <w:rsid w:val="009E0A44"/>
    <w:rsid w:val="009E1EBB"/>
    <w:rsid w:val="009E2402"/>
    <w:rsid w:val="009E3DF9"/>
    <w:rsid w:val="009E4531"/>
    <w:rsid w:val="009E4988"/>
    <w:rsid w:val="009E512F"/>
    <w:rsid w:val="009E5280"/>
    <w:rsid w:val="009E586C"/>
    <w:rsid w:val="009E6652"/>
    <w:rsid w:val="009E7298"/>
    <w:rsid w:val="009E73DA"/>
    <w:rsid w:val="009E7DF3"/>
    <w:rsid w:val="009F0451"/>
    <w:rsid w:val="009F04DC"/>
    <w:rsid w:val="009F0DA3"/>
    <w:rsid w:val="009F0E57"/>
    <w:rsid w:val="009F1D72"/>
    <w:rsid w:val="009F3C4A"/>
    <w:rsid w:val="009F409D"/>
    <w:rsid w:val="009F4565"/>
    <w:rsid w:val="009F51B3"/>
    <w:rsid w:val="009F53FF"/>
    <w:rsid w:val="009F54A7"/>
    <w:rsid w:val="009F5790"/>
    <w:rsid w:val="009F5E9A"/>
    <w:rsid w:val="009F61E3"/>
    <w:rsid w:val="009F6CED"/>
    <w:rsid w:val="009F7013"/>
    <w:rsid w:val="009F7687"/>
    <w:rsid w:val="009F7ADF"/>
    <w:rsid w:val="009F7C75"/>
    <w:rsid w:val="009F7C9B"/>
    <w:rsid w:val="009F7F73"/>
    <w:rsid w:val="00A0019E"/>
    <w:rsid w:val="00A0092F"/>
    <w:rsid w:val="00A0097F"/>
    <w:rsid w:val="00A01E3F"/>
    <w:rsid w:val="00A02B87"/>
    <w:rsid w:val="00A03A8A"/>
    <w:rsid w:val="00A050E6"/>
    <w:rsid w:val="00A05DC4"/>
    <w:rsid w:val="00A06668"/>
    <w:rsid w:val="00A07179"/>
    <w:rsid w:val="00A107DC"/>
    <w:rsid w:val="00A1080E"/>
    <w:rsid w:val="00A1241D"/>
    <w:rsid w:val="00A145B4"/>
    <w:rsid w:val="00A1521F"/>
    <w:rsid w:val="00A16170"/>
    <w:rsid w:val="00A166A2"/>
    <w:rsid w:val="00A166B6"/>
    <w:rsid w:val="00A16722"/>
    <w:rsid w:val="00A20614"/>
    <w:rsid w:val="00A20632"/>
    <w:rsid w:val="00A2082F"/>
    <w:rsid w:val="00A209A8"/>
    <w:rsid w:val="00A22229"/>
    <w:rsid w:val="00A22716"/>
    <w:rsid w:val="00A2321A"/>
    <w:rsid w:val="00A2387C"/>
    <w:rsid w:val="00A24EA6"/>
    <w:rsid w:val="00A251BC"/>
    <w:rsid w:val="00A26708"/>
    <w:rsid w:val="00A26A3F"/>
    <w:rsid w:val="00A26BD7"/>
    <w:rsid w:val="00A27512"/>
    <w:rsid w:val="00A2786A"/>
    <w:rsid w:val="00A27B27"/>
    <w:rsid w:val="00A30080"/>
    <w:rsid w:val="00A30951"/>
    <w:rsid w:val="00A328A7"/>
    <w:rsid w:val="00A34724"/>
    <w:rsid w:val="00A40C63"/>
    <w:rsid w:val="00A40FC6"/>
    <w:rsid w:val="00A41E65"/>
    <w:rsid w:val="00A4237E"/>
    <w:rsid w:val="00A423D2"/>
    <w:rsid w:val="00A42472"/>
    <w:rsid w:val="00A42DAF"/>
    <w:rsid w:val="00A432C4"/>
    <w:rsid w:val="00A43B20"/>
    <w:rsid w:val="00A44D6B"/>
    <w:rsid w:val="00A4722B"/>
    <w:rsid w:val="00A47FC5"/>
    <w:rsid w:val="00A516BE"/>
    <w:rsid w:val="00A517D3"/>
    <w:rsid w:val="00A52709"/>
    <w:rsid w:val="00A53935"/>
    <w:rsid w:val="00A53F55"/>
    <w:rsid w:val="00A54257"/>
    <w:rsid w:val="00A55512"/>
    <w:rsid w:val="00A5586B"/>
    <w:rsid w:val="00A5683E"/>
    <w:rsid w:val="00A5698A"/>
    <w:rsid w:val="00A56B30"/>
    <w:rsid w:val="00A56D05"/>
    <w:rsid w:val="00A57A97"/>
    <w:rsid w:val="00A57F24"/>
    <w:rsid w:val="00A6003A"/>
    <w:rsid w:val="00A6076E"/>
    <w:rsid w:val="00A615D7"/>
    <w:rsid w:val="00A623EF"/>
    <w:rsid w:val="00A633BD"/>
    <w:rsid w:val="00A637C7"/>
    <w:rsid w:val="00A63AD5"/>
    <w:rsid w:val="00A63FCD"/>
    <w:rsid w:val="00A644F1"/>
    <w:rsid w:val="00A66FDA"/>
    <w:rsid w:val="00A67494"/>
    <w:rsid w:val="00A70AEF"/>
    <w:rsid w:val="00A71E69"/>
    <w:rsid w:val="00A72414"/>
    <w:rsid w:val="00A72E76"/>
    <w:rsid w:val="00A75037"/>
    <w:rsid w:val="00A75EA9"/>
    <w:rsid w:val="00A76165"/>
    <w:rsid w:val="00A76E5B"/>
    <w:rsid w:val="00A7719D"/>
    <w:rsid w:val="00A77F0B"/>
    <w:rsid w:val="00A80442"/>
    <w:rsid w:val="00A80795"/>
    <w:rsid w:val="00A807D1"/>
    <w:rsid w:val="00A813A5"/>
    <w:rsid w:val="00A81C77"/>
    <w:rsid w:val="00A82297"/>
    <w:rsid w:val="00A829DD"/>
    <w:rsid w:val="00A83206"/>
    <w:rsid w:val="00A83307"/>
    <w:rsid w:val="00A847BE"/>
    <w:rsid w:val="00A84E7F"/>
    <w:rsid w:val="00A85554"/>
    <w:rsid w:val="00A85849"/>
    <w:rsid w:val="00A85B4A"/>
    <w:rsid w:val="00A85CB1"/>
    <w:rsid w:val="00A86191"/>
    <w:rsid w:val="00A86A7F"/>
    <w:rsid w:val="00A86CD6"/>
    <w:rsid w:val="00A87074"/>
    <w:rsid w:val="00A9061B"/>
    <w:rsid w:val="00A906B7"/>
    <w:rsid w:val="00A90CF2"/>
    <w:rsid w:val="00A91AE1"/>
    <w:rsid w:val="00A91BC9"/>
    <w:rsid w:val="00A91C10"/>
    <w:rsid w:val="00A92F97"/>
    <w:rsid w:val="00A961DC"/>
    <w:rsid w:val="00A96F86"/>
    <w:rsid w:val="00A97200"/>
    <w:rsid w:val="00A97690"/>
    <w:rsid w:val="00AA0F73"/>
    <w:rsid w:val="00AA15EB"/>
    <w:rsid w:val="00AA1821"/>
    <w:rsid w:val="00AA3154"/>
    <w:rsid w:val="00AA340B"/>
    <w:rsid w:val="00AA3598"/>
    <w:rsid w:val="00AA387F"/>
    <w:rsid w:val="00AA41DE"/>
    <w:rsid w:val="00AA6153"/>
    <w:rsid w:val="00AA61E3"/>
    <w:rsid w:val="00AA642C"/>
    <w:rsid w:val="00AA6A8A"/>
    <w:rsid w:val="00AA6BF9"/>
    <w:rsid w:val="00AB18E8"/>
    <w:rsid w:val="00AB1D94"/>
    <w:rsid w:val="00AB1FBC"/>
    <w:rsid w:val="00AB2FF2"/>
    <w:rsid w:val="00AB3BE5"/>
    <w:rsid w:val="00AB428E"/>
    <w:rsid w:val="00AB42C9"/>
    <w:rsid w:val="00AB441C"/>
    <w:rsid w:val="00AB44CC"/>
    <w:rsid w:val="00AB4DC0"/>
    <w:rsid w:val="00AB714D"/>
    <w:rsid w:val="00AB7C26"/>
    <w:rsid w:val="00AC0ED8"/>
    <w:rsid w:val="00AC1173"/>
    <w:rsid w:val="00AC1823"/>
    <w:rsid w:val="00AC229B"/>
    <w:rsid w:val="00AC295C"/>
    <w:rsid w:val="00AC2DF4"/>
    <w:rsid w:val="00AC3AD8"/>
    <w:rsid w:val="00AC3CF5"/>
    <w:rsid w:val="00AC3D5D"/>
    <w:rsid w:val="00AC4107"/>
    <w:rsid w:val="00AC4192"/>
    <w:rsid w:val="00AC44AB"/>
    <w:rsid w:val="00AC482D"/>
    <w:rsid w:val="00AC4FF9"/>
    <w:rsid w:val="00AC6584"/>
    <w:rsid w:val="00AC77FE"/>
    <w:rsid w:val="00AD0C6B"/>
    <w:rsid w:val="00AD18DA"/>
    <w:rsid w:val="00AD1A7E"/>
    <w:rsid w:val="00AD28F7"/>
    <w:rsid w:val="00AD2B0A"/>
    <w:rsid w:val="00AD2DC8"/>
    <w:rsid w:val="00AD3BA6"/>
    <w:rsid w:val="00AD4BE7"/>
    <w:rsid w:val="00AD4F08"/>
    <w:rsid w:val="00AD4F29"/>
    <w:rsid w:val="00AD4F4D"/>
    <w:rsid w:val="00AD5452"/>
    <w:rsid w:val="00AD659C"/>
    <w:rsid w:val="00AD6EB7"/>
    <w:rsid w:val="00AD713F"/>
    <w:rsid w:val="00AE155B"/>
    <w:rsid w:val="00AE1939"/>
    <w:rsid w:val="00AE2CEC"/>
    <w:rsid w:val="00AE3022"/>
    <w:rsid w:val="00AE4781"/>
    <w:rsid w:val="00AE4F53"/>
    <w:rsid w:val="00AE4FD2"/>
    <w:rsid w:val="00AE6BB7"/>
    <w:rsid w:val="00AE6D12"/>
    <w:rsid w:val="00AE77EB"/>
    <w:rsid w:val="00AE7E32"/>
    <w:rsid w:val="00AE7FD5"/>
    <w:rsid w:val="00AF1AC6"/>
    <w:rsid w:val="00AF27FC"/>
    <w:rsid w:val="00AF2C89"/>
    <w:rsid w:val="00AF408D"/>
    <w:rsid w:val="00AF5934"/>
    <w:rsid w:val="00AF5DAF"/>
    <w:rsid w:val="00AF6BE8"/>
    <w:rsid w:val="00AF6DC6"/>
    <w:rsid w:val="00AF6E58"/>
    <w:rsid w:val="00AF79F9"/>
    <w:rsid w:val="00B00A93"/>
    <w:rsid w:val="00B01918"/>
    <w:rsid w:val="00B03666"/>
    <w:rsid w:val="00B036FD"/>
    <w:rsid w:val="00B037EB"/>
    <w:rsid w:val="00B039F6"/>
    <w:rsid w:val="00B05CF8"/>
    <w:rsid w:val="00B05D0E"/>
    <w:rsid w:val="00B05E13"/>
    <w:rsid w:val="00B07772"/>
    <w:rsid w:val="00B07AA9"/>
    <w:rsid w:val="00B07F18"/>
    <w:rsid w:val="00B105D2"/>
    <w:rsid w:val="00B10CDB"/>
    <w:rsid w:val="00B11BD6"/>
    <w:rsid w:val="00B120C2"/>
    <w:rsid w:val="00B12A46"/>
    <w:rsid w:val="00B135A1"/>
    <w:rsid w:val="00B155C3"/>
    <w:rsid w:val="00B15C4A"/>
    <w:rsid w:val="00B16807"/>
    <w:rsid w:val="00B170B3"/>
    <w:rsid w:val="00B177C3"/>
    <w:rsid w:val="00B20935"/>
    <w:rsid w:val="00B20963"/>
    <w:rsid w:val="00B20D70"/>
    <w:rsid w:val="00B214B9"/>
    <w:rsid w:val="00B217DA"/>
    <w:rsid w:val="00B21EDD"/>
    <w:rsid w:val="00B21FAA"/>
    <w:rsid w:val="00B220B9"/>
    <w:rsid w:val="00B22867"/>
    <w:rsid w:val="00B233BF"/>
    <w:rsid w:val="00B24097"/>
    <w:rsid w:val="00B242BA"/>
    <w:rsid w:val="00B26496"/>
    <w:rsid w:val="00B264B9"/>
    <w:rsid w:val="00B270DD"/>
    <w:rsid w:val="00B27681"/>
    <w:rsid w:val="00B27E5B"/>
    <w:rsid w:val="00B303F2"/>
    <w:rsid w:val="00B3076A"/>
    <w:rsid w:val="00B31599"/>
    <w:rsid w:val="00B316C4"/>
    <w:rsid w:val="00B31B83"/>
    <w:rsid w:val="00B33B52"/>
    <w:rsid w:val="00B33C48"/>
    <w:rsid w:val="00B33D04"/>
    <w:rsid w:val="00B35176"/>
    <w:rsid w:val="00B36924"/>
    <w:rsid w:val="00B36AFE"/>
    <w:rsid w:val="00B37CD5"/>
    <w:rsid w:val="00B40C4C"/>
    <w:rsid w:val="00B41274"/>
    <w:rsid w:val="00B41316"/>
    <w:rsid w:val="00B43E27"/>
    <w:rsid w:val="00B43F12"/>
    <w:rsid w:val="00B44366"/>
    <w:rsid w:val="00B44384"/>
    <w:rsid w:val="00B45BA0"/>
    <w:rsid w:val="00B47500"/>
    <w:rsid w:val="00B4797A"/>
    <w:rsid w:val="00B47B9B"/>
    <w:rsid w:val="00B504BA"/>
    <w:rsid w:val="00B507F6"/>
    <w:rsid w:val="00B50E30"/>
    <w:rsid w:val="00B51CA9"/>
    <w:rsid w:val="00B51DCF"/>
    <w:rsid w:val="00B52B83"/>
    <w:rsid w:val="00B538FD"/>
    <w:rsid w:val="00B53B65"/>
    <w:rsid w:val="00B53C2F"/>
    <w:rsid w:val="00B53E6B"/>
    <w:rsid w:val="00B558E8"/>
    <w:rsid w:val="00B576D2"/>
    <w:rsid w:val="00B578D7"/>
    <w:rsid w:val="00B57D0C"/>
    <w:rsid w:val="00B6003F"/>
    <w:rsid w:val="00B601DD"/>
    <w:rsid w:val="00B6054A"/>
    <w:rsid w:val="00B609F1"/>
    <w:rsid w:val="00B62005"/>
    <w:rsid w:val="00B62441"/>
    <w:rsid w:val="00B6265C"/>
    <w:rsid w:val="00B62961"/>
    <w:rsid w:val="00B63A37"/>
    <w:rsid w:val="00B63ABA"/>
    <w:rsid w:val="00B6587D"/>
    <w:rsid w:val="00B675A0"/>
    <w:rsid w:val="00B675AE"/>
    <w:rsid w:val="00B706AB"/>
    <w:rsid w:val="00B7083F"/>
    <w:rsid w:val="00B71141"/>
    <w:rsid w:val="00B71A08"/>
    <w:rsid w:val="00B71B83"/>
    <w:rsid w:val="00B73C26"/>
    <w:rsid w:val="00B740DB"/>
    <w:rsid w:val="00B741D3"/>
    <w:rsid w:val="00B7468B"/>
    <w:rsid w:val="00B7539B"/>
    <w:rsid w:val="00B75615"/>
    <w:rsid w:val="00B756E4"/>
    <w:rsid w:val="00B75814"/>
    <w:rsid w:val="00B75BF5"/>
    <w:rsid w:val="00B760B4"/>
    <w:rsid w:val="00B77E59"/>
    <w:rsid w:val="00B81648"/>
    <w:rsid w:val="00B817C1"/>
    <w:rsid w:val="00B8191F"/>
    <w:rsid w:val="00B81CA5"/>
    <w:rsid w:val="00B82BD1"/>
    <w:rsid w:val="00B8391A"/>
    <w:rsid w:val="00B84977"/>
    <w:rsid w:val="00B86634"/>
    <w:rsid w:val="00B8683D"/>
    <w:rsid w:val="00B8706C"/>
    <w:rsid w:val="00B90FF4"/>
    <w:rsid w:val="00B91E4E"/>
    <w:rsid w:val="00B92C0D"/>
    <w:rsid w:val="00B932F1"/>
    <w:rsid w:val="00B9400A"/>
    <w:rsid w:val="00B9425D"/>
    <w:rsid w:val="00B942F9"/>
    <w:rsid w:val="00B94B3F"/>
    <w:rsid w:val="00B9556C"/>
    <w:rsid w:val="00BA08B7"/>
    <w:rsid w:val="00BA11B3"/>
    <w:rsid w:val="00BA2328"/>
    <w:rsid w:val="00BA242C"/>
    <w:rsid w:val="00BA26A8"/>
    <w:rsid w:val="00BA405D"/>
    <w:rsid w:val="00BA416F"/>
    <w:rsid w:val="00BA43B5"/>
    <w:rsid w:val="00BA50EE"/>
    <w:rsid w:val="00BA57F5"/>
    <w:rsid w:val="00BA5828"/>
    <w:rsid w:val="00BA6405"/>
    <w:rsid w:val="00BA7233"/>
    <w:rsid w:val="00BA7499"/>
    <w:rsid w:val="00BA7552"/>
    <w:rsid w:val="00BB004A"/>
    <w:rsid w:val="00BB0224"/>
    <w:rsid w:val="00BB0593"/>
    <w:rsid w:val="00BB256D"/>
    <w:rsid w:val="00BB2E2C"/>
    <w:rsid w:val="00BB4569"/>
    <w:rsid w:val="00BB57E9"/>
    <w:rsid w:val="00BB6A9E"/>
    <w:rsid w:val="00BB78F4"/>
    <w:rsid w:val="00BC020B"/>
    <w:rsid w:val="00BC0C48"/>
    <w:rsid w:val="00BC29C7"/>
    <w:rsid w:val="00BC3D5E"/>
    <w:rsid w:val="00BC4E26"/>
    <w:rsid w:val="00BC5B17"/>
    <w:rsid w:val="00BC62FE"/>
    <w:rsid w:val="00BC64C1"/>
    <w:rsid w:val="00BC6DA5"/>
    <w:rsid w:val="00BC6F6D"/>
    <w:rsid w:val="00BC743A"/>
    <w:rsid w:val="00BC76BF"/>
    <w:rsid w:val="00BC7951"/>
    <w:rsid w:val="00BC7B0A"/>
    <w:rsid w:val="00BC7EEB"/>
    <w:rsid w:val="00BD42B9"/>
    <w:rsid w:val="00BD471D"/>
    <w:rsid w:val="00BD5441"/>
    <w:rsid w:val="00BD54F1"/>
    <w:rsid w:val="00BD5EB3"/>
    <w:rsid w:val="00BD61F3"/>
    <w:rsid w:val="00BD643B"/>
    <w:rsid w:val="00BD6904"/>
    <w:rsid w:val="00BD7070"/>
    <w:rsid w:val="00BD7076"/>
    <w:rsid w:val="00BD71B4"/>
    <w:rsid w:val="00BD7558"/>
    <w:rsid w:val="00BD759F"/>
    <w:rsid w:val="00BE00A8"/>
    <w:rsid w:val="00BE0886"/>
    <w:rsid w:val="00BE0989"/>
    <w:rsid w:val="00BE1903"/>
    <w:rsid w:val="00BE1AD2"/>
    <w:rsid w:val="00BE3AB5"/>
    <w:rsid w:val="00BE4B00"/>
    <w:rsid w:val="00BE4B85"/>
    <w:rsid w:val="00BE4F34"/>
    <w:rsid w:val="00BE5D42"/>
    <w:rsid w:val="00BE6068"/>
    <w:rsid w:val="00BE658D"/>
    <w:rsid w:val="00BE65AE"/>
    <w:rsid w:val="00BE69E3"/>
    <w:rsid w:val="00BE7219"/>
    <w:rsid w:val="00BE7763"/>
    <w:rsid w:val="00BE7EF6"/>
    <w:rsid w:val="00BF062E"/>
    <w:rsid w:val="00BF11E8"/>
    <w:rsid w:val="00BF3548"/>
    <w:rsid w:val="00BF37CE"/>
    <w:rsid w:val="00BF3E91"/>
    <w:rsid w:val="00BF5813"/>
    <w:rsid w:val="00BF5CBD"/>
    <w:rsid w:val="00C0028D"/>
    <w:rsid w:val="00C004C1"/>
    <w:rsid w:val="00C0089F"/>
    <w:rsid w:val="00C0090C"/>
    <w:rsid w:val="00C013A4"/>
    <w:rsid w:val="00C02496"/>
    <w:rsid w:val="00C02755"/>
    <w:rsid w:val="00C03626"/>
    <w:rsid w:val="00C037A2"/>
    <w:rsid w:val="00C04871"/>
    <w:rsid w:val="00C05E48"/>
    <w:rsid w:val="00C06E62"/>
    <w:rsid w:val="00C07AA6"/>
    <w:rsid w:val="00C07CE0"/>
    <w:rsid w:val="00C1112C"/>
    <w:rsid w:val="00C145A2"/>
    <w:rsid w:val="00C146E8"/>
    <w:rsid w:val="00C14D0A"/>
    <w:rsid w:val="00C16017"/>
    <w:rsid w:val="00C162B0"/>
    <w:rsid w:val="00C17F0D"/>
    <w:rsid w:val="00C20207"/>
    <w:rsid w:val="00C203EE"/>
    <w:rsid w:val="00C20EDB"/>
    <w:rsid w:val="00C2139A"/>
    <w:rsid w:val="00C21F5C"/>
    <w:rsid w:val="00C22512"/>
    <w:rsid w:val="00C2260E"/>
    <w:rsid w:val="00C23F24"/>
    <w:rsid w:val="00C26553"/>
    <w:rsid w:val="00C30DC8"/>
    <w:rsid w:val="00C311CF"/>
    <w:rsid w:val="00C3321A"/>
    <w:rsid w:val="00C33BFC"/>
    <w:rsid w:val="00C33C1A"/>
    <w:rsid w:val="00C34289"/>
    <w:rsid w:val="00C353B7"/>
    <w:rsid w:val="00C3610C"/>
    <w:rsid w:val="00C3780E"/>
    <w:rsid w:val="00C400B8"/>
    <w:rsid w:val="00C41AD8"/>
    <w:rsid w:val="00C4247F"/>
    <w:rsid w:val="00C424B9"/>
    <w:rsid w:val="00C43606"/>
    <w:rsid w:val="00C44474"/>
    <w:rsid w:val="00C44AF7"/>
    <w:rsid w:val="00C45B68"/>
    <w:rsid w:val="00C4637D"/>
    <w:rsid w:val="00C46AEB"/>
    <w:rsid w:val="00C47C3F"/>
    <w:rsid w:val="00C50268"/>
    <w:rsid w:val="00C50287"/>
    <w:rsid w:val="00C520AF"/>
    <w:rsid w:val="00C53631"/>
    <w:rsid w:val="00C54979"/>
    <w:rsid w:val="00C6083E"/>
    <w:rsid w:val="00C61618"/>
    <w:rsid w:val="00C61F43"/>
    <w:rsid w:val="00C621C4"/>
    <w:rsid w:val="00C62F0B"/>
    <w:rsid w:val="00C63250"/>
    <w:rsid w:val="00C63714"/>
    <w:rsid w:val="00C63A3E"/>
    <w:rsid w:val="00C63C01"/>
    <w:rsid w:val="00C64BB3"/>
    <w:rsid w:val="00C6614A"/>
    <w:rsid w:val="00C66483"/>
    <w:rsid w:val="00C66E02"/>
    <w:rsid w:val="00C66F43"/>
    <w:rsid w:val="00C67244"/>
    <w:rsid w:val="00C703AD"/>
    <w:rsid w:val="00C70C7B"/>
    <w:rsid w:val="00C71760"/>
    <w:rsid w:val="00C73097"/>
    <w:rsid w:val="00C73216"/>
    <w:rsid w:val="00C749DB"/>
    <w:rsid w:val="00C74A4C"/>
    <w:rsid w:val="00C74B9A"/>
    <w:rsid w:val="00C762CF"/>
    <w:rsid w:val="00C76634"/>
    <w:rsid w:val="00C76767"/>
    <w:rsid w:val="00C76EFA"/>
    <w:rsid w:val="00C77D49"/>
    <w:rsid w:val="00C8059B"/>
    <w:rsid w:val="00C80C3D"/>
    <w:rsid w:val="00C821DA"/>
    <w:rsid w:val="00C823DE"/>
    <w:rsid w:val="00C83895"/>
    <w:rsid w:val="00C8393A"/>
    <w:rsid w:val="00C84179"/>
    <w:rsid w:val="00C86D9D"/>
    <w:rsid w:val="00C904E5"/>
    <w:rsid w:val="00C90592"/>
    <w:rsid w:val="00C906C7"/>
    <w:rsid w:val="00C91595"/>
    <w:rsid w:val="00C9239F"/>
    <w:rsid w:val="00C92E3C"/>
    <w:rsid w:val="00C93313"/>
    <w:rsid w:val="00C934F1"/>
    <w:rsid w:val="00C93733"/>
    <w:rsid w:val="00C94178"/>
    <w:rsid w:val="00C95A9A"/>
    <w:rsid w:val="00C97164"/>
    <w:rsid w:val="00C9726F"/>
    <w:rsid w:val="00CA029F"/>
    <w:rsid w:val="00CA1448"/>
    <w:rsid w:val="00CA18EC"/>
    <w:rsid w:val="00CA18FC"/>
    <w:rsid w:val="00CA2202"/>
    <w:rsid w:val="00CA23CC"/>
    <w:rsid w:val="00CA2E96"/>
    <w:rsid w:val="00CA3196"/>
    <w:rsid w:val="00CA47F5"/>
    <w:rsid w:val="00CA4A79"/>
    <w:rsid w:val="00CA5530"/>
    <w:rsid w:val="00CA55C0"/>
    <w:rsid w:val="00CA5D21"/>
    <w:rsid w:val="00CA6A2F"/>
    <w:rsid w:val="00CA6F57"/>
    <w:rsid w:val="00CB1849"/>
    <w:rsid w:val="00CB1A4E"/>
    <w:rsid w:val="00CB2186"/>
    <w:rsid w:val="00CB36A2"/>
    <w:rsid w:val="00CB3AB5"/>
    <w:rsid w:val="00CB417B"/>
    <w:rsid w:val="00CB6184"/>
    <w:rsid w:val="00CB6507"/>
    <w:rsid w:val="00CB6B05"/>
    <w:rsid w:val="00CC0758"/>
    <w:rsid w:val="00CC07C5"/>
    <w:rsid w:val="00CC2618"/>
    <w:rsid w:val="00CC27A3"/>
    <w:rsid w:val="00CC29F4"/>
    <w:rsid w:val="00CC2F29"/>
    <w:rsid w:val="00CC4504"/>
    <w:rsid w:val="00CC5087"/>
    <w:rsid w:val="00CC50C5"/>
    <w:rsid w:val="00CC5F3B"/>
    <w:rsid w:val="00CC6293"/>
    <w:rsid w:val="00CC7CAB"/>
    <w:rsid w:val="00CC7DE8"/>
    <w:rsid w:val="00CD0991"/>
    <w:rsid w:val="00CD1DA3"/>
    <w:rsid w:val="00CD1F60"/>
    <w:rsid w:val="00CD43A6"/>
    <w:rsid w:val="00CD44FC"/>
    <w:rsid w:val="00CD6244"/>
    <w:rsid w:val="00CD7C95"/>
    <w:rsid w:val="00CE145C"/>
    <w:rsid w:val="00CE1D71"/>
    <w:rsid w:val="00CE2625"/>
    <w:rsid w:val="00CE26B0"/>
    <w:rsid w:val="00CE299F"/>
    <w:rsid w:val="00CE2B87"/>
    <w:rsid w:val="00CE2E28"/>
    <w:rsid w:val="00CE375B"/>
    <w:rsid w:val="00CE3D14"/>
    <w:rsid w:val="00CE51F0"/>
    <w:rsid w:val="00CE669B"/>
    <w:rsid w:val="00CE7693"/>
    <w:rsid w:val="00CE769D"/>
    <w:rsid w:val="00CF044B"/>
    <w:rsid w:val="00CF17E9"/>
    <w:rsid w:val="00CF1EB6"/>
    <w:rsid w:val="00CF2038"/>
    <w:rsid w:val="00CF2B1B"/>
    <w:rsid w:val="00CF2DE7"/>
    <w:rsid w:val="00CF3465"/>
    <w:rsid w:val="00CF377E"/>
    <w:rsid w:val="00CF3DB2"/>
    <w:rsid w:val="00CF42C8"/>
    <w:rsid w:val="00CF5F15"/>
    <w:rsid w:val="00CF66EA"/>
    <w:rsid w:val="00CF6C94"/>
    <w:rsid w:val="00CF6CFC"/>
    <w:rsid w:val="00CF7A26"/>
    <w:rsid w:val="00CF7FF0"/>
    <w:rsid w:val="00D01760"/>
    <w:rsid w:val="00D022D1"/>
    <w:rsid w:val="00D03BA2"/>
    <w:rsid w:val="00D057E6"/>
    <w:rsid w:val="00D05B25"/>
    <w:rsid w:val="00D0659A"/>
    <w:rsid w:val="00D06713"/>
    <w:rsid w:val="00D0685A"/>
    <w:rsid w:val="00D06B9A"/>
    <w:rsid w:val="00D078EF"/>
    <w:rsid w:val="00D07D00"/>
    <w:rsid w:val="00D109B7"/>
    <w:rsid w:val="00D12287"/>
    <w:rsid w:val="00D129DE"/>
    <w:rsid w:val="00D12FB6"/>
    <w:rsid w:val="00D13221"/>
    <w:rsid w:val="00D13868"/>
    <w:rsid w:val="00D138D5"/>
    <w:rsid w:val="00D143D6"/>
    <w:rsid w:val="00D14FCB"/>
    <w:rsid w:val="00D14FF1"/>
    <w:rsid w:val="00D1535A"/>
    <w:rsid w:val="00D15508"/>
    <w:rsid w:val="00D15BC0"/>
    <w:rsid w:val="00D15E9A"/>
    <w:rsid w:val="00D16021"/>
    <w:rsid w:val="00D1700A"/>
    <w:rsid w:val="00D17C40"/>
    <w:rsid w:val="00D17D7C"/>
    <w:rsid w:val="00D201AB"/>
    <w:rsid w:val="00D20EE2"/>
    <w:rsid w:val="00D22423"/>
    <w:rsid w:val="00D23B7A"/>
    <w:rsid w:val="00D251B9"/>
    <w:rsid w:val="00D25DA8"/>
    <w:rsid w:val="00D26D02"/>
    <w:rsid w:val="00D30386"/>
    <w:rsid w:val="00D303E7"/>
    <w:rsid w:val="00D305BA"/>
    <w:rsid w:val="00D31078"/>
    <w:rsid w:val="00D32182"/>
    <w:rsid w:val="00D32652"/>
    <w:rsid w:val="00D34B72"/>
    <w:rsid w:val="00D351B5"/>
    <w:rsid w:val="00D3532F"/>
    <w:rsid w:val="00D35616"/>
    <w:rsid w:val="00D35AE3"/>
    <w:rsid w:val="00D36626"/>
    <w:rsid w:val="00D36900"/>
    <w:rsid w:val="00D36A77"/>
    <w:rsid w:val="00D36AA4"/>
    <w:rsid w:val="00D36F9A"/>
    <w:rsid w:val="00D40C8D"/>
    <w:rsid w:val="00D41ACA"/>
    <w:rsid w:val="00D41B9F"/>
    <w:rsid w:val="00D41C6C"/>
    <w:rsid w:val="00D425DB"/>
    <w:rsid w:val="00D42F73"/>
    <w:rsid w:val="00D43799"/>
    <w:rsid w:val="00D43963"/>
    <w:rsid w:val="00D44500"/>
    <w:rsid w:val="00D4644D"/>
    <w:rsid w:val="00D46A93"/>
    <w:rsid w:val="00D4742F"/>
    <w:rsid w:val="00D47A3F"/>
    <w:rsid w:val="00D52798"/>
    <w:rsid w:val="00D540CB"/>
    <w:rsid w:val="00D55DF3"/>
    <w:rsid w:val="00D55EE3"/>
    <w:rsid w:val="00D55FC5"/>
    <w:rsid w:val="00D56CD5"/>
    <w:rsid w:val="00D57405"/>
    <w:rsid w:val="00D574B7"/>
    <w:rsid w:val="00D60921"/>
    <w:rsid w:val="00D60941"/>
    <w:rsid w:val="00D60E16"/>
    <w:rsid w:val="00D61392"/>
    <w:rsid w:val="00D62007"/>
    <w:rsid w:val="00D623DC"/>
    <w:rsid w:val="00D62579"/>
    <w:rsid w:val="00D62B49"/>
    <w:rsid w:val="00D647D5"/>
    <w:rsid w:val="00D65F3F"/>
    <w:rsid w:val="00D662BF"/>
    <w:rsid w:val="00D6636C"/>
    <w:rsid w:val="00D716DD"/>
    <w:rsid w:val="00D727E3"/>
    <w:rsid w:val="00D7352A"/>
    <w:rsid w:val="00D744BD"/>
    <w:rsid w:val="00D74691"/>
    <w:rsid w:val="00D74A24"/>
    <w:rsid w:val="00D74E96"/>
    <w:rsid w:val="00D7548A"/>
    <w:rsid w:val="00D758B2"/>
    <w:rsid w:val="00D75AB3"/>
    <w:rsid w:val="00D75AFD"/>
    <w:rsid w:val="00D75D9A"/>
    <w:rsid w:val="00D7633B"/>
    <w:rsid w:val="00D77263"/>
    <w:rsid w:val="00D775DA"/>
    <w:rsid w:val="00D77B71"/>
    <w:rsid w:val="00D8045E"/>
    <w:rsid w:val="00D80A3C"/>
    <w:rsid w:val="00D813E1"/>
    <w:rsid w:val="00D81619"/>
    <w:rsid w:val="00D8176D"/>
    <w:rsid w:val="00D81C65"/>
    <w:rsid w:val="00D82795"/>
    <w:rsid w:val="00D82C6D"/>
    <w:rsid w:val="00D8307C"/>
    <w:rsid w:val="00D830D0"/>
    <w:rsid w:val="00D83839"/>
    <w:rsid w:val="00D83889"/>
    <w:rsid w:val="00D8546D"/>
    <w:rsid w:val="00D85E90"/>
    <w:rsid w:val="00D8627D"/>
    <w:rsid w:val="00D87313"/>
    <w:rsid w:val="00D87843"/>
    <w:rsid w:val="00D87AC9"/>
    <w:rsid w:val="00D904C3"/>
    <w:rsid w:val="00D90C93"/>
    <w:rsid w:val="00D90E1F"/>
    <w:rsid w:val="00D92048"/>
    <w:rsid w:val="00D9301F"/>
    <w:rsid w:val="00D93BD2"/>
    <w:rsid w:val="00D93D4D"/>
    <w:rsid w:val="00D95353"/>
    <w:rsid w:val="00D9785F"/>
    <w:rsid w:val="00DA05F2"/>
    <w:rsid w:val="00DA1651"/>
    <w:rsid w:val="00DA204C"/>
    <w:rsid w:val="00DA217D"/>
    <w:rsid w:val="00DA25E3"/>
    <w:rsid w:val="00DA4074"/>
    <w:rsid w:val="00DA48DD"/>
    <w:rsid w:val="00DA4B09"/>
    <w:rsid w:val="00DA5BB0"/>
    <w:rsid w:val="00DA6F5B"/>
    <w:rsid w:val="00DB0930"/>
    <w:rsid w:val="00DB1D44"/>
    <w:rsid w:val="00DB1EC8"/>
    <w:rsid w:val="00DB1FA2"/>
    <w:rsid w:val="00DB3F57"/>
    <w:rsid w:val="00DB5D3A"/>
    <w:rsid w:val="00DB5D67"/>
    <w:rsid w:val="00DB747C"/>
    <w:rsid w:val="00DB7749"/>
    <w:rsid w:val="00DC0398"/>
    <w:rsid w:val="00DC091D"/>
    <w:rsid w:val="00DC17DD"/>
    <w:rsid w:val="00DC1C0B"/>
    <w:rsid w:val="00DC2698"/>
    <w:rsid w:val="00DC32B4"/>
    <w:rsid w:val="00DC3900"/>
    <w:rsid w:val="00DC42E2"/>
    <w:rsid w:val="00DC4A50"/>
    <w:rsid w:val="00DC6278"/>
    <w:rsid w:val="00DC6803"/>
    <w:rsid w:val="00DC740C"/>
    <w:rsid w:val="00DC78A6"/>
    <w:rsid w:val="00DC7B30"/>
    <w:rsid w:val="00DD0793"/>
    <w:rsid w:val="00DD14D4"/>
    <w:rsid w:val="00DD165C"/>
    <w:rsid w:val="00DD20E7"/>
    <w:rsid w:val="00DD2C1E"/>
    <w:rsid w:val="00DD38E6"/>
    <w:rsid w:val="00DD4EC2"/>
    <w:rsid w:val="00DD4F10"/>
    <w:rsid w:val="00DD6FAC"/>
    <w:rsid w:val="00DD7677"/>
    <w:rsid w:val="00DE0642"/>
    <w:rsid w:val="00DE1005"/>
    <w:rsid w:val="00DE15B5"/>
    <w:rsid w:val="00DE2DBD"/>
    <w:rsid w:val="00DE3574"/>
    <w:rsid w:val="00DE481B"/>
    <w:rsid w:val="00DE4C0C"/>
    <w:rsid w:val="00DE63DD"/>
    <w:rsid w:val="00DF019F"/>
    <w:rsid w:val="00DF0AC8"/>
    <w:rsid w:val="00DF0F0C"/>
    <w:rsid w:val="00DF25AF"/>
    <w:rsid w:val="00DF2796"/>
    <w:rsid w:val="00DF3450"/>
    <w:rsid w:val="00DF34C9"/>
    <w:rsid w:val="00DF461D"/>
    <w:rsid w:val="00DF584E"/>
    <w:rsid w:val="00DF7391"/>
    <w:rsid w:val="00DF7F62"/>
    <w:rsid w:val="00E0000A"/>
    <w:rsid w:val="00E003AC"/>
    <w:rsid w:val="00E00C5D"/>
    <w:rsid w:val="00E00D1C"/>
    <w:rsid w:val="00E0127D"/>
    <w:rsid w:val="00E0128A"/>
    <w:rsid w:val="00E04169"/>
    <w:rsid w:val="00E055E5"/>
    <w:rsid w:val="00E05627"/>
    <w:rsid w:val="00E06104"/>
    <w:rsid w:val="00E06C77"/>
    <w:rsid w:val="00E07070"/>
    <w:rsid w:val="00E07C6A"/>
    <w:rsid w:val="00E101B4"/>
    <w:rsid w:val="00E105C4"/>
    <w:rsid w:val="00E10707"/>
    <w:rsid w:val="00E109BE"/>
    <w:rsid w:val="00E11928"/>
    <w:rsid w:val="00E12136"/>
    <w:rsid w:val="00E12D20"/>
    <w:rsid w:val="00E13D7D"/>
    <w:rsid w:val="00E15039"/>
    <w:rsid w:val="00E15B1B"/>
    <w:rsid w:val="00E16207"/>
    <w:rsid w:val="00E1672D"/>
    <w:rsid w:val="00E16D96"/>
    <w:rsid w:val="00E173B3"/>
    <w:rsid w:val="00E178B6"/>
    <w:rsid w:val="00E179A3"/>
    <w:rsid w:val="00E17B55"/>
    <w:rsid w:val="00E20268"/>
    <w:rsid w:val="00E2050C"/>
    <w:rsid w:val="00E207C5"/>
    <w:rsid w:val="00E22D0B"/>
    <w:rsid w:val="00E233B0"/>
    <w:rsid w:val="00E234CC"/>
    <w:rsid w:val="00E24587"/>
    <w:rsid w:val="00E2482D"/>
    <w:rsid w:val="00E2536A"/>
    <w:rsid w:val="00E26AAF"/>
    <w:rsid w:val="00E26E4D"/>
    <w:rsid w:val="00E275B0"/>
    <w:rsid w:val="00E30074"/>
    <w:rsid w:val="00E3058E"/>
    <w:rsid w:val="00E30ACA"/>
    <w:rsid w:val="00E30D92"/>
    <w:rsid w:val="00E30EE4"/>
    <w:rsid w:val="00E30FD0"/>
    <w:rsid w:val="00E318EF"/>
    <w:rsid w:val="00E322A8"/>
    <w:rsid w:val="00E33A76"/>
    <w:rsid w:val="00E33B63"/>
    <w:rsid w:val="00E33BE1"/>
    <w:rsid w:val="00E3407D"/>
    <w:rsid w:val="00E34B14"/>
    <w:rsid w:val="00E34D40"/>
    <w:rsid w:val="00E34F68"/>
    <w:rsid w:val="00E35C79"/>
    <w:rsid w:val="00E3683B"/>
    <w:rsid w:val="00E36951"/>
    <w:rsid w:val="00E37BA2"/>
    <w:rsid w:val="00E37BEC"/>
    <w:rsid w:val="00E400B8"/>
    <w:rsid w:val="00E40105"/>
    <w:rsid w:val="00E408A1"/>
    <w:rsid w:val="00E40EA2"/>
    <w:rsid w:val="00E40FD8"/>
    <w:rsid w:val="00E41941"/>
    <w:rsid w:val="00E41A74"/>
    <w:rsid w:val="00E42474"/>
    <w:rsid w:val="00E42862"/>
    <w:rsid w:val="00E431B4"/>
    <w:rsid w:val="00E43534"/>
    <w:rsid w:val="00E4412F"/>
    <w:rsid w:val="00E4425F"/>
    <w:rsid w:val="00E44615"/>
    <w:rsid w:val="00E456F9"/>
    <w:rsid w:val="00E45864"/>
    <w:rsid w:val="00E46836"/>
    <w:rsid w:val="00E47488"/>
    <w:rsid w:val="00E47A56"/>
    <w:rsid w:val="00E47F3C"/>
    <w:rsid w:val="00E506D3"/>
    <w:rsid w:val="00E50EDF"/>
    <w:rsid w:val="00E51062"/>
    <w:rsid w:val="00E51202"/>
    <w:rsid w:val="00E513BA"/>
    <w:rsid w:val="00E53DE5"/>
    <w:rsid w:val="00E54CAA"/>
    <w:rsid w:val="00E55481"/>
    <w:rsid w:val="00E56E70"/>
    <w:rsid w:val="00E571F5"/>
    <w:rsid w:val="00E573D2"/>
    <w:rsid w:val="00E574D9"/>
    <w:rsid w:val="00E57949"/>
    <w:rsid w:val="00E57EBA"/>
    <w:rsid w:val="00E60826"/>
    <w:rsid w:val="00E60C41"/>
    <w:rsid w:val="00E6195A"/>
    <w:rsid w:val="00E63B8B"/>
    <w:rsid w:val="00E6423F"/>
    <w:rsid w:val="00E66284"/>
    <w:rsid w:val="00E6685D"/>
    <w:rsid w:val="00E66C9B"/>
    <w:rsid w:val="00E66E75"/>
    <w:rsid w:val="00E67539"/>
    <w:rsid w:val="00E70199"/>
    <w:rsid w:val="00E7059F"/>
    <w:rsid w:val="00E7154F"/>
    <w:rsid w:val="00E72BBF"/>
    <w:rsid w:val="00E73552"/>
    <w:rsid w:val="00E7377E"/>
    <w:rsid w:val="00E73E9B"/>
    <w:rsid w:val="00E75294"/>
    <w:rsid w:val="00E75D2B"/>
    <w:rsid w:val="00E75F71"/>
    <w:rsid w:val="00E7606D"/>
    <w:rsid w:val="00E760AD"/>
    <w:rsid w:val="00E76D05"/>
    <w:rsid w:val="00E77FA7"/>
    <w:rsid w:val="00E802B0"/>
    <w:rsid w:val="00E80456"/>
    <w:rsid w:val="00E80615"/>
    <w:rsid w:val="00E81879"/>
    <w:rsid w:val="00E83243"/>
    <w:rsid w:val="00E842AC"/>
    <w:rsid w:val="00E84330"/>
    <w:rsid w:val="00E84597"/>
    <w:rsid w:val="00E84AB8"/>
    <w:rsid w:val="00E858B0"/>
    <w:rsid w:val="00E86324"/>
    <w:rsid w:val="00E8701A"/>
    <w:rsid w:val="00E8755F"/>
    <w:rsid w:val="00E87A07"/>
    <w:rsid w:val="00E87D8A"/>
    <w:rsid w:val="00E90820"/>
    <w:rsid w:val="00E90B3F"/>
    <w:rsid w:val="00E90D8B"/>
    <w:rsid w:val="00E90F1B"/>
    <w:rsid w:val="00E910B0"/>
    <w:rsid w:val="00E915D0"/>
    <w:rsid w:val="00E9367D"/>
    <w:rsid w:val="00E93838"/>
    <w:rsid w:val="00E93C5B"/>
    <w:rsid w:val="00E93E5B"/>
    <w:rsid w:val="00E9401E"/>
    <w:rsid w:val="00E945D1"/>
    <w:rsid w:val="00E9494D"/>
    <w:rsid w:val="00E959A0"/>
    <w:rsid w:val="00E95CDE"/>
    <w:rsid w:val="00E9657B"/>
    <w:rsid w:val="00E96FB2"/>
    <w:rsid w:val="00E97D79"/>
    <w:rsid w:val="00EA0BD0"/>
    <w:rsid w:val="00EA1900"/>
    <w:rsid w:val="00EA1D92"/>
    <w:rsid w:val="00EA2612"/>
    <w:rsid w:val="00EA2806"/>
    <w:rsid w:val="00EA7571"/>
    <w:rsid w:val="00EA7A76"/>
    <w:rsid w:val="00EB028A"/>
    <w:rsid w:val="00EB06A4"/>
    <w:rsid w:val="00EB1048"/>
    <w:rsid w:val="00EB1453"/>
    <w:rsid w:val="00EB18CE"/>
    <w:rsid w:val="00EB2CCC"/>
    <w:rsid w:val="00EB44B4"/>
    <w:rsid w:val="00EB5E76"/>
    <w:rsid w:val="00EB5FF2"/>
    <w:rsid w:val="00EB63A1"/>
    <w:rsid w:val="00EB6498"/>
    <w:rsid w:val="00EB6DB6"/>
    <w:rsid w:val="00EC0B85"/>
    <w:rsid w:val="00EC1792"/>
    <w:rsid w:val="00EC2757"/>
    <w:rsid w:val="00EC5F0A"/>
    <w:rsid w:val="00ED1BBC"/>
    <w:rsid w:val="00ED209F"/>
    <w:rsid w:val="00ED2830"/>
    <w:rsid w:val="00ED2937"/>
    <w:rsid w:val="00ED296A"/>
    <w:rsid w:val="00ED2D47"/>
    <w:rsid w:val="00ED3789"/>
    <w:rsid w:val="00ED414F"/>
    <w:rsid w:val="00ED4774"/>
    <w:rsid w:val="00ED59C1"/>
    <w:rsid w:val="00ED77E5"/>
    <w:rsid w:val="00EE021D"/>
    <w:rsid w:val="00EE02EF"/>
    <w:rsid w:val="00EE154A"/>
    <w:rsid w:val="00EE1F23"/>
    <w:rsid w:val="00EE2EBD"/>
    <w:rsid w:val="00EE3730"/>
    <w:rsid w:val="00EE43D3"/>
    <w:rsid w:val="00EE4FF5"/>
    <w:rsid w:val="00EE55D1"/>
    <w:rsid w:val="00EE6A2C"/>
    <w:rsid w:val="00EE77DD"/>
    <w:rsid w:val="00EF022E"/>
    <w:rsid w:val="00EF0988"/>
    <w:rsid w:val="00EF0A95"/>
    <w:rsid w:val="00EF0CBD"/>
    <w:rsid w:val="00EF1263"/>
    <w:rsid w:val="00EF16F8"/>
    <w:rsid w:val="00EF2351"/>
    <w:rsid w:val="00EF2B59"/>
    <w:rsid w:val="00EF364F"/>
    <w:rsid w:val="00EF4398"/>
    <w:rsid w:val="00EF43AC"/>
    <w:rsid w:val="00EF53EA"/>
    <w:rsid w:val="00EF553C"/>
    <w:rsid w:val="00EF6C43"/>
    <w:rsid w:val="00EF7640"/>
    <w:rsid w:val="00EF7E0D"/>
    <w:rsid w:val="00F02621"/>
    <w:rsid w:val="00F04BC3"/>
    <w:rsid w:val="00F06120"/>
    <w:rsid w:val="00F06912"/>
    <w:rsid w:val="00F1016C"/>
    <w:rsid w:val="00F10EC6"/>
    <w:rsid w:val="00F11153"/>
    <w:rsid w:val="00F12A2C"/>
    <w:rsid w:val="00F13BD8"/>
    <w:rsid w:val="00F15755"/>
    <w:rsid w:val="00F16029"/>
    <w:rsid w:val="00F16361"/>
    <w:rsid w:val="00F22FB6"/>
    <w:rsid w:val="00F24190"/>
    <w:rsid w:val="00F25185"/>
    <w:rsid w:val="00F252B0"/>
    <w:rsid w:val="00F25551"/>
    <w:rsid w:val="00F26A7E"/>
    <w:rsid w:val="00F26BD5"/>
    <w:rsid w:val="00F27633"/>
    <w:rsid w:val="00F27697"/>
    <w:rsid w:val="00F30328"/>
    <w:rsid w:val="00F31158"/>
    <w:rsid w:val="00F3129A"/>
    <w:rsid w:val="00F31A32"/>
    <w:rsid w:val="00F363B6"/>
    <w:rsid w:val="00F37794"/>
    <w:rsid w:val="00F401FF"/>
    <w:rsid w:val="00F42FDA"/>
    <w:rsid w:val="00F430DC"/>
    <w:rsid w:val="00F4320E"/>
    <w:rsid w:val="00F439C0"/>
    <w:rsid w:val="00F43A59"/>
    <w:rsid w:val="00F44FF8"/>
    <w:rsid w:val="00F45575"/>
    <w:rsid w:val="00F4596E"/>
    <w:rsid w:val="00F45E50"/>
    <w:rsid w:val="00F46628"/>
    <w:rsid w:val="00F4788C"/>
    <w:rsid w:val="00F50460"/>
    <w:rsid w:val="00F51022"/>
    <w:rsid w:val="00F5195A"/>
    <w:rsid w:val="00F51D69"/>
    <w:rsid w:val="00F53E52"/>
    <w:rsid w:val="00F54479"/>
    <w:rsid w:val="00F54E22"/>
    <w:rsid w:val="00F54F0C"/>
    <w:rsid w:val="00F55633"/>
    <w:rsid w:val="00F56398"/>
    <w:rsid w:val="00F566B1"/>
    <w:rsid w:val="00F57F3F"/>
    <w:rsid w:val="00F60CEA"/>
    <w:rsid w:val="00F61669"/>
    <w:rsid w:val="00F61AC7"/>
    <w:rsid w:val="00F624F1"/>
    <w:rsid w:val="00F634FA"/>
    <w:rsid w:val="00F6356A"/>
    <w:rsid w:val="00F636C3"/>
    <w:rsid w:val="00F63F68"/>
    <w:rsid w:val="00F64260"/>
    <w:rsid w:val="00F64CFD"/>
    <w:rsid w:val="00F650A7"/>
    <w:rsid w:val="00F65DE5"/>
    <w:rsid w:val="00F667E9"/>
    <w:rsid w:val="00F667FC"/>
    <w:rsid w:val="00F67358"/>
    <w:rsid w:val="00F67E9E"/>
    <w:rsid w:val="00F70FF1"/>
    <w:rsid w:val="00F72920"/>
    <w:rsid w:val="00F73198"/>
    <w:rsid w:val="00F73228"/>
    <w:rsid w:val="00F736B0"/>
    <w:rsid w:val="00F75253"/>
    <w:rsid w:val="00F7636A"/>
    <w:rsid w:val="00F76AA0"/>
    <w:rsid w:val="00F77B5B"/>
    <w:rsid w:val="00F77D3C"/>
    <w:rsid w:val="00F77E34"/>
    <w:rsid w:val="00F8174F"/>
    <w:rsid w:val="00F82390"/>
    <w:rsid w:val="00F82BAC"/>
    <w:rsid w:val="00F82F6B"/>
    <w:rsid w:val="00F83229"/>
    <w:rsid w:val="00F85770"/>
    <w:rsid w:val="00F85F5A"/>
    <w:rsid w:val="00F86197"/>
    <w:rsid w:val="00F86471"/>
    <w:rsid w:val="00F8688F"/>
    <w:rsid w:val="00F87304"/>
    <w:rsid w:val="00F87E65"/>
    <w:rsid w:val="00F90377"/>
    <w:rsid w:val="00F9092B"/>
    <w:rsid w:val="00F9264C"/>
    <w:rsid w:val="00F93293"/>
    <w:rsid w:val="00F9482E"/>
    <w:rsid w:val="00F94962"/>
    <w:rsid w:val="00F94B69"/>
    <w:rsid w:val="00F94E11"/>
    <w:rsid w:val="00F95F55"/>
    <w:rsid w:val="00F96249"/>
    <w:rsid w:val="00F96AB7"/>
    <w:rsid w:val="00F97A0D"/>
    <w:rsid w:val="00F97D69"/>
    <w:rsid w:val="00FA02B1"/>
    <w:rsid w:val="00FA0DED"/>
    <w:rsid w:val="00FA29B0"/>
    <w:rsid w:val="00FA50D2"/>
    <w:rsid w:val="00FA6345"/>
    <w:rsid w:val="00FA64A4"/>
    <w:rsid w:val="00FA75C4"/>
    <w:rsid w:val="00FB0502"/>
    <w:rsid w:val="00FB1560"/>
    <w:rsid w:val="00FB24A7"/>
    <w:rsid w:val="00FB264D"/>
    <w:rsid w:val="00FB49FE"/>
    <w:rsid w:val="00FB5089"/>
    <w:rsid w:val="00FB5ED0"/>
    <w:rsid w:val="00FB5F39"/>
    <w:rsid w:val="00FB6E8B"/>
    <w:rsid w:val="00FB7677"/>
    <w:rsid w:val="00FC0D2E"/>
    <w:rsid w:val="00FC0FC7"/>
    <w:rsid w:val="00FC208D"/>
    <w:rsid w:val="00FC61E9"/>
    <w:rsid w:val="00FC6487"/>
    <w:rsid w:val="00FC7B85"/>
    <w:rsid w:val="00FD0510"/>
    <w:rsid w:val="00FD07FC"/>
    <w:rsid w:val="00FD0BAE"/>
    <w:rsid w:val="00FD0E40"/>
    <w:rsid w:val="00FD0F3E"/>
    <w:rsid w:val="00FD11DD"/>
    <w:rsid w:val="00FD13C2"/>
    <w:rsid w:val="00FD1699"/>
    <w:rsid w:val="00FD2C61"/>
    <w:rsid w:val="00FD34AF"/>
    <w:rsid w:val="00FD35B6"/>
    <w:rsid w:val="00FD390E"/>
    <w:rsid w:val="00FD3DED"/>
    <w:rsid w:val="00FD42D9"/>
    <w:rsid w:val="00FD4519"/>
    <w:rsid w:val="00FD5527"/>
    <w:rsid w:val="00FD73AA"/>
    <w:rsid w:val="00FE10CC"/>
    <w:rsid w:val="00FE18AA"/>
    <w:rsid w:val="00FE1AF8"/>
    <w:rsid w:val="00FE24BC"/>
    <w:rsid w:val="00FE2B8B"/>
    <w:rsid w:val="00FE2F53"/>
    <w:rsid w:val="00FE3090"/>
    <w:rsid w:val="00FE68D9"/>
    <w:rsid w:val="00FE7D51"/>
    <w:rsid w:val="00FE7F06"/>
    <w:rsid w:val="00FF075C"/>
    <w:rsid w:val="00FF1647"/>
    <w:rsid w:val="00FF167E"/>
    <w:rsid w:val="00FF1D19"/>
    <w:rsid w:val="00FF2A6C"/>
    <w:rsid w:val="00FF3055"/>
    <w:rsid w:val="00FF3124"/>
    <w:rsid w:val="00FF33EB"/>
    <w:rsid w:val="00FF3CAE"/>
    <w:rsid w:val="00FF4F88"/>
    <w:rsid w:val="00FF5C60"/>
    <w:rsid w:val="00FF6602"/>
    <w:rsid w:val="00FF7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P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DD4"/>
    <w:pPr>
      <w:spacing w:line="360" w:lineRule="auto"/>
      <w:jc w:val="both"/>
    </w:pPr>
    <w:rPr>
      <w:lang w:val="en-GB"/>
    </w:rPr>
  </w:style>
  <w:style w:type="paragraph" w:styleId="Heading1">
    <w:name w:val="heading 1"/>
    <w:basedOn w:val="Normal"/>
    <w:next w:val="Normal"/>
    <w:link w:val="Heading1Char"/>
    <w:uiPriority w:val="9"/>
    <w:qFormat/>
    <w:rsid w:val="006A5FDC"/>
    <w:pPr>
      <w:keepNext/>
      <w:numPr>
        <w:numId w:val="25"/>
      </w:numPr>
      <w:tabs>
        <w:tab w:val="clear" w:pos="9363"/>
        <w:tab w:val="num" w:pos="432"/>
      </w:tabs>
      <w:spacing w:before="240" w:after="60" w:line="240" w:lineRule="auto"/>
      <w:ind w:left="432"/>
      <w:outlineLvl w:val="0"/>
    </w:pPr>
    <w:rPr>
      <w:rFonts w:ascii="Arial" w:hAnsi="Arial"/>
      <w:b/>
      <w:kern w:val="28"/>
      <w:sz w:val="28"/>
    </w:rPr>
  </w:style>
  <w:style w:type="paragraph" w:styleId="Heading2">
    <w:name w:val="heading 2"/>
    <w:basedOn w:val="Normal"/>
    <w:next w:val="Normal"/>
    <w:link w:val="Heading2Char"/>
    <w:autoRedefine/>
    <w:uiPriority w:val="9"/>
    <w:qFormat/>
    <w:rsid w:val="0034075F"/>
    <w:pPr>
      <w:keepNext/>
      <w:numPr>
        <w:ilvl w:val="1"/>
        <w:numId w:val="25"/>
      </w:numPr>
      <w:spacing w:line="240" w:lineRule="auto"/>
      <w:outlineLvl w:val="1"/>
    </w:pPr>
    <w:rPr>
      <w:rFonts w:ascii="Arial" w:hAnsi="Arial" w:cs="Arial"/>
      <w:b/>
      <w:bCs/>
      <w:iCs/>
    </w:rPr>
  </w:style>
  <w:style w:type="paragraph" w:styleId="Heading3">
    <w:name w:val="heading 3"/>
    <w:basedOn w:val="Normal"/>
    <w:next w:val="Normal"/>
    <w:link w:val="Heading3Char"/>
    <w:uiPriority w:val="9"/>
    <w:qFormat/>
    <w:rsid w:val="0026382B"/>
    <w:pPr>
      <w:keepNext/>
      <w:numPr>
        <w:ilvl w:val="2"/>
        <w:numId w:val="25"/>
      </w:numPr>
      <w:spacing w:line="240" w:lineRule="auto"/>
      <w:outlineLvl w:val="2"/>
    </w:pPr>
    <w:rPr>
      <w:i/>
      <w:iCs/>
    </w:rPr>
  </w:style>
  <w:style w:type="paragraph" w:styleId="Heading4">
    <w:name w:val="heading 4"/>
    <w:basedOn w:val="Normal"/>
    <w:next w:val="Normal"/>
    <w:link w:val="Heading4Char"/>
    <w:qFormat/>
    <w:rsid w:val="00036DD4"/>
    <w:pPr>
      <w:keepNext/>
      <w:numPr>
        <w:ilvl w:val="3"/>
        <w:numId w:val="25"/>
      </w:numPr>
      <w:spacing w:before="240" w:after="60"/>
      <w:outlineLvl w:val="3"/>
    </w:pPr>
    <w:rPr>
      <w:rFonts w:ascii="Arial" w:hAnsi="Arial"/>
      <w:b/>
    </w:rPr>
  </w:style>
  <w:style w:type="paragraph" w:styleId="Heading5">
    <w:name w:val="heading 5"/>
    <w:basedOn w:val="Normal"/>
    <w:next w:val="Normal"/>
    <w:link w:val="Heading5Char"/>
    <w:qFormat/>
    <w:rsid w:val="00036DD4"/>
    <w:pPr>
      <w:numPr>
        <w:ilvl w:val="4"/>
        <w:numId w:val="25"/>
      </w:numPr>
      <w:spacing w:before="240" w:after="60"/>
      <w:outlineLvl w:val="4"/>
    </w:pPr>
    <w:rPr>
      <w:sz w:val="22"/>
    </w:rPr>
  </w:style>
  <w:style w:type="paragraph" w:styleId="Heading6">
    <w:name w:val="heading 6"/>
    <w:basedOn w:val="Normal"/>
    <w:next w:val="Normal"/>
    <w:link w:val="Heading6Char"/>
    <w:qFormat/>
    <w:rsid w:val="00036DD4"/>
    <w:pPr>
      <w:numPr>
        <w:ilvl w:val="5"/>
        <w:numId w:val="25"/>
      </w:numPr>
      <w:spacing w:before="240" w:after="60"/>
      <w:outlineLvl w:val="5"/>
    </w:pPr>
    <w:rPr>
      <w:i/>
      <w:sz w:val="22"/>
    </w:rPr>
  </w:style>
  <w:style w:type="paragraph" w:styleId="Heading7">
    <w:name w:val="heading 7"/>
    <w:basedOn w:val="Normal"/>
    <w:next w:val="Normal"/>
    <w:link w:val="Heading7Char"/>
    <w:qFormat/>
    <w:rsid w:val="00036DD4"/>
    <w:pPr>
      <w:numPr>
        <w:ilvl w:val="6"/>
        <w:numId w:val="25"/>
      </w:numPr>
      <w:spacing w:before="240" w:after="60"/>
      <w:outlineLvl w:val="6"/>
    </w:pPr>
    <w:rPr>
      <w:rFonts w:ascii="Arial" w:hAnsi="Arial"/>
    </w:rPr>
  </w:style>
  <w:style w:type="paragraph" w:styleId="Heading8">
    <w:name w:val="heading 8"/>
    <w:basedOn w:val="Normal"/>
    <w:next w:val="Normal"/>
    <w:link w:val="Heading8Char"/>
    <w:qFormat/>
    <w:rsid w:val="00036DD4"/>
    <w:pPr>
      <w:numPr>
        <w:ilvl w:val="7"/>
        <w:numId w:val="25"/>
      </w:numPr>
      <w:spacing w:before="240" w:after="60"/>
      <w:outlineLvl w:val="7"/>
    </w:pPr>
    <w:rPr>
      <w:rFonts w:ascii="Arial" w:hAnsi="Arial"/>
      <w:i/>
    </w:rPr>
  </w:style>
  <w:style w:type="paragraph" w:styleId="Heading9">
    <w:name w:val="heading 9"/>
    <w:basedOn w:val="Normal"/>
    <w:next w:val="Normal"/>
    <w:link w:val="Heading9Char"/>
    <w:qFormat/>
    <w:rsid w:val="00036DD4"/>
    <w:pPr>
      <w:numPr>
        <w:ilvl w:val="8"/>
        <w:numId w:val="25"/>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36DD4"/>
    <w:pPr>
      <w:widowControl w:val="0"/>
      <w:spacing w:after="120"/>
      <w:ind w:left="284" w:hanging="284"/>
    </w:pPr>
  </w:style>
  <w:style w:type="paragraph" w:styleId="TOC1">
    <w:name w:val="toc 1"/>
    <w:basedOn w:val="Normal"/>
    <w:next w:val="Normal"/>
    <w:autoRedefine/>
    <w:semiHidden/>
    <w:rsid w:val="00036DD4"/>
    <w:pPr>
      <w:spacing w:before="240"/>
    </w:pPr>
    <w:rPr>
      <w:b/>
      <w:caps/>
      <w:noProof/>
    </w:rPr>
  </w:style>
  <w:style w:type="paragraph" w:styleId="TOC2">
    <w:name w:val="toc 2"/>
    <w:basedOn w:val="Normal"/>
    <w:next w:val="Normal"/>
    <w:autoRedefine/>
    <w:semiHidden/>
    <w:rsid w:val="00036DD4"/>
    <w:rPr>
      <w:b/>
      <w:smallCaps/>
    </w:rPr>
  </w:style>
  <w:style w:type="paragraph" w:styleId="TOC3">
    <w:name w:val="toc 3"/>
    <w:basedOn w:val="Normal"/>
    <w:next w:val="Normal"/>
    <w:autoRedefine/>
    <w:semiHidden/>
    <w:rsid w:val="00036DD4"/>
    <w:rPr>
      <w:smallCaps/>
      <w:noProof/>
    </w:rPr>
  </w:style>
  <w:style w:type="paragraph" w:styleId="TOC4">
    <w:name w:val="toc 4"/>
    <w:basedOn w:val="Normal"/>
    <w:next w:val="Normal"/>
    <w:autoRedefine/>
    <w:semiHidden/>
    <w:rsid w:val="00036DD4"/>
    <w:rPr>
      <w:b/>
      <w:bCs/>
    </w:rPr>
  </w:style>
  <w:style w:type="paragraph" w:styleId="TOC5">
    <w:name w:val="toc 5"/>
    <w:basedOn w:val="Normal"/>
    <w:next w:val="Normal"/>
    <w:autoRedefine/>
    <w:semiHidden/>
    <w:rsid w:val="00036DD4"/>
    <w:pPr>
      <w:spacing w:line="240" w:lineRule="auto"/>
    </w:pPr>
    <w:rPr>
      <w:b/>
      <w:bCs/>
    </w:rPr>
  </w:style>
  <w:style w:type="paragraph" w:styleId="TOC6">
    <w:name w:val="toc 6"/>
    <w:basedOn w:val="Normal"/>
    <w:next w:val="Normal"/>
    <w:autoRedefine/>
    <w:semiHidden/>
    <w:rsid w:val="00036DD4"/>
  </w:style>
  <w:style w:type="paragraph" w:styleId="TOC7">
    <w:name w:val="toc 7"/>
    <w:basedOn w:val="Normal"/>
    <w:next w:val="Normal"/>
    <w:autoRedefine/>
    <w:semiHidden/>
    <w:rsid w:val="00036DD4"/>
  </w:style>
  <w:style w:type="paragraph" w:styleId="TOC8">
    <w:name w:val="toc 8"/>
    <w:basedOn w:val="Normal"/>
    <w:next w:val="Normal"/>
    <w:autoRedefine/>
    <w:semiHidden/>
    <w:rsid w:val="00036DD4"/>
  </w:style>
  <w:style w:type="paragraph" w:styleId="TOC9">
    <w:name w:val="toc 9"/>
    <w:basedOn w:val="Normal"/>
    <w:next w:val="Normal"/>
    <w:autoRedefine/>
    <w:semiHidden/>
    <w:rsid w:val="00036DD4"/>
  </w:style>
  <w:style w:type="paragraph" w:styleId="Footer">
    <w:name w:val="footer"/>
    <w:basedOn w:val="Normal"/>
    <w:link w:val="FooterChar"/>
    <w:uiPriority w:val="99"/>
    <w:rsid w:val="00036DD4"/>
    <w:pPr>
      <w:widowControl w:val="0"/>
      <w:tabs>
        <w:tab w:val="center" w:pos="4153"/>
        <w:tab w:val="right" w:pos="8306"/>
      </w:tabs>
    </w:pPr>
    <w:rPr>
      <w:rFonts w:ascii="Arial" w:hAnsi="Arial"/>
      <w:snapToGrid w:val="0"/>
    </w:rPr>
  </w:style>
  <w:style w:type="character" w:styleId="PageNumber">
    <w:name w:val="page number"/>
    <w:basedOn w:val="DefaultParagraphFont"/>
    <w:rsid w:val="00036DD4"/>
    <w:rPr>
      <w:sz w:val="20"/>
    </w:rPr>
  </w:style>
  <w:style w:type="paragraph" w:customStyle="1" w:styleId="Images-uoy">
    <w:name w:val="Images-uoy"/>
    <w:basedOn w:val="Normal"/>
    <w:rsid w:val="00036DD4"/>
    <w:pPr>
      <w:framePr w:wrap="auto" w:hAnchor="margin" w:yAlign="top"/>
      <w:widowControl w:val="0"/>
      <w:tabs>
        <w:tab w:val="left" w:pos="567"/>
      </w:tabs>
    </w:pPr>
    <w:rPr>
      <w:rFonts w:ascii="Palatino" w:hAnsi="Palatino"/>
      <w:snapToGrid w:val="0"/>
    </w:rPr>
  </w:style>
  <w:style w:type="paragraph" w:customStyle="1" w:styleId="DeptHead">
    <w:name w:val="DeptHead"/>
    <w:basedOn w:val="Normal"/>
    <w:rsid w:val="00036DD4"/>
    <w:pPr>
      <w:framePr w:w="2835" w:wrap="auto" w:hAnchor="margin" w:x="7089" w:yAlign="top"/>
      <w:widowControl w:val="0"/>
      <w:tabs>
        <w:tab w:val="left" w:pos="567"/>
      </w:tabs>
      <w:spacing w:line="240" w:lineRule="exact"/>
    </w:pPr>
    <w:rPr>
      <w:rFonts w:ascii="Palatino" w:hAnsi="Palatino"/>
      <w:smallCaps/>
      <w:snapToGrid w:val="0"/>
      <w:sz w:val="22"/>
    </w:rPr>
  </w:style>
  <w:style w:type="paragraph" w:customStyle="1" w:styleId="DeptAddr">
    <w:name w:val="DeptAddr"/>
    <w:basedOn w:val="Normal"/>
    <w:rsid w:val="00036DD4"/>
    <w:pPr>
      <w:framePr w:w="2835" w:wrap="auto" w:hAnchor="margin" w:x="7089" w:yAlign="top"/>
      <w:widowControl w:val="0"/>
      <w:tabs>
        <w:tab w:val="left" w:pos="567"/>
      </w:tabs>
      <w:spacing w:line="240" w:lineRule="exact"/>
    </w:pPr>
    <w:rPr>
      <w:rFonts w:ascii="Palatino" w:hAnsi="Palatino"/>
      <w:snapToGrid w:val="0"/>
      <w:sz w:val="16"/>
    </w:rPr>
  </w:style>
  <w:style w:type="paragraph" w:styleId="BodyTextIndent">
    <w:name w:val="Body Text Indent"/>
    <w:basedOn w:val="Normal"/>
    <w:link w:val="BodyTextIndentChar"/>
    <w:rsid w:val="00036DD4"/>
    <w:pPr>
      <w:ind w:left="720" w:hanging="720"/>
    </w:pPr>
  </w:style>
  <w:style w:type="paragraph" w:styleId="BodyTextIndent3">
    <w:name w:val="Body Text Indent 3"/>
    <w:basedOn w:val="Normal"/>
    <w:link w:val="BodyTextIndent3Char"/>
    <w:rsid w:val="00036DD4"/>
    <w:pPr>
      <w:ind w:left="360"/>
    </w:pPr>
  </w:style>
  <w:style w:type="paragraph" w:styleId="Caption">
    <w:name w:val="caption"/>
    <w:basedOn w:val="Normal"/>
    <w:next w:val="Normal"/>
    <w:uiPriority w:val="35"/>
    <w:qFormat/>
    <w:rsid w:val="00036DD4"/>
    <w:pPr>
      <w:spacing w:before="120" w:after="120"/>
    </w:pPr>
    <w:rPr>
      <w:b/>
    </w:rPr>
  </w:style>
  <w:style w:type="paragraph" w:styleId="FootnoteText">
    <w:name w:val="footnote text"/>
    <w:basedOn w:val="Normal"/>
    <w:link w:val="FootnoteTextChar"/>
    <w:uiPriority w:val="99"/>
    <w:semiHidden/>
    <w:rsid w:val="00036DD4"/>
    <w:rPr>
      <w:sz w:val="20"/>
    </w:rPr>
  </w:style>
  <w:style w:type="character" w:styleId="FootnoteReference">
    <w:name w:val="footnote reference"/>
    <w:basedOn w:val="DefaultParagraphFont"/>
    <w:uiPriority w:val="99"/>
    <w:semiHidden/>
    <w:rsid w:val="00036DD4"/>
    <w:rPr>
      <w:vertAlign w:val="superscript"/>
    </w:rPr>
  </w:style>
  <w:style w:type="character" w:styleId="Hyperlink">
    <w:name w:val="Hyperlink"/>
    <w:basedOn w:val="DefaultParagraphFont"/>
    <w:uiPriority w:val="99"/>
    <w:rsid w:val="00036DD4"/>
    <w:rPr>
      <w:color w:val="0000FF"/>
      <w:u w:val="single"/>
    </w:rPr>
  </w:style>
  <w:style w:type="character" w:customStyle="1" w:styleId="MTEquationSection">
    <w:name w:val="MTEquationSection"/>
    <w:basedOn w:val="DefaultParagraphFont"/>
    <w:rsid w:val="00036DD4"/>
    <w:rPr>
      <w:rFonts w:ascii="Arial" w:hAnsi="Arial"/>
      <w:b/>
      <w:vanish/>
      <w:color w:val="FF0000"/>
      <w:sz w:val="36"/>
    </w:rPr>
  </w:style>
  <w:style w:type="paragraph" w:styleId="BodyText">
    <w:name w:val="Body Text"/>
    <w:basedOn w:val="Normal"/>
    <w:link w:val="BodyTextChar"/>
    <w:rsid w:val="00036DD4"/>
    <w:pPr>
      <w:spacing w:line="240" w:lineRule="auto"/>
    </w:pPr>
    <w:rPr>
      <w:b/>
      <w:bCs/>
    </w:rPr>
  </w:style>
  <w:style w:type="character" w:styleId="FollowedHyperlink">
    <w:name w:val="FollowedHyperlink"/>
    <w:basedOn w:val="DefaultParagraphFont"/>
    <w:uiPriority w:val="99"/>
    <w:rsid w:val="00036DD4"/>
    <w:rPr>
      <w:color w:val="800080"/>
      <w:u w:val="single"/>
    </w:rPr>
  </w:style>
  <w:style w:type="paragraph" w:styleId="BodyText2">
    <w:name w:val="Body Text 2"/>
    <w:basedOn w:val="Normal"/>
    <w:link w:val="BodyText2Char"/>
    <w:rsid w:val="00036DD4"/>
    <w:pPr>
      <w:widowControl w:val="0"/>
      <w:spacing w:line="240" w:lineRule="auto"/>
      <w:jc w:val="left"/>
    </w:pPr>
  </w:style>
  <w:style w:type="character" w:styleId="Emphasis">
    <w:name w:val="Emphasis"/>
    <w:basedOn w:val="DefaultParagraphFont"/>
    <w:qFormat/>
    <w:rsid w:val="00036DD4"/>
    <w:rPr>
      <w:i/>
      <w:iCs/>
    </w:rPr>
  </w:style>
  <w:style w:type="character" w:styleId="Strong">
    <w:name w:val="Strong"/>
    <w:basedOn w:val="DefaultParagraphFont"/>
    <w:uiPriority w:val="22"/>
    <w:qFormat/>
    <w:rsid w:val="00036DD4"/>
    <w:rPr>
      <w:b/>
      <w:bCs/>
    </w:rPr>
  </w:style>
  <w:style w:type="paragraph" w:styleId="BodyText3">
    <w:name w:val="Body Text 3"/>
    <w:basedOn w:val="Normal"/>
    <w:link w:val="BodyText3Char"/>
    <w:rsid w:val="00036DD4"/>
    <w:pPr>
      <w:jc w:val="left"/>
    </w:pPr>
    <w:rPr>
      <w:b/>
      <w:bCs/>
    </w:rPr>
  </w:style>
  <w:style w:type="paragraph" w:styleId="BalloonText">
    <w:name w:val="Balloon Text"/>
    <w:basedOn w:val="Normal"/>
    <w:link w:val="BalloonTextChar"/>
    <w:uiPriority w:val="99"/>
    <w:semiHidden/>
    <w:rsid w:val="00C004C1"/>
    <w:rPr>
      <w:rFonts w:ascii="Tahoma" w:hAnsi="Tahoma" w:cs="Tahoma"/>
      <w:sz w:val="16"/>
      <w:szCs w:val="16"/>
    </w:rPr>
  </w:style>
  <w:style w:type="character" w:styleId="CommentReference">
    <w:name w:val="annotation reference"/>
    <w:basedOn w:val="DefaultParagraphFont"/>
    <w:uiPriority w:val="99"/>
    <w:semiHidden/>
    <w:rsid w:val="00C762CF"/>
    <w:rPr>
      <w:sz w:val="16"/>
      <w:szCs w:val="16"/>
    </w:rPr>
  </w:style>
  <w:style w:type="paragraph" w:styleId="CommentText">
    <w:name w:val="annotation text"/>
    <w:basedOn w:val="Normal"/>
    <w:link w:val="CommentTextChar"/>
    <w:uiPriority w:val="99"/>
    <w:semiHidden/>
    <w:rsid w:val="00C762CF"/>
    <w:rPr>
      <w:sz w:val="20"/>
    </w:rPr>
  </w:style>
  <w:style w:type="paragraph" w:styleId="CommentSubject">
    <w:name w:val="annotation subject"/>
    <w:basedOn w:val="CommentText"/>
    <w:next w:val="CommentText"/>
    <w:link w:val="CommentSubjectChar"/>
    <w:semiHidden/>
    <w:rsid w:val="00C762CF"/>
    <w:rPr>
      <w:b/>
      <w:bCs/>
    </w:rPr>
  </w:style>
  <w:style w:type="table" w:styleId="TableGrid">
    <w:name w:val="Table Grid"/>
    <w:basedOn w:val="TableNormal"/>
    <w:uiPriority w:val="59"/>
    <w:rsid w:val="001A1647"/>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aliases w:val="Table Simple 1a"/>
    <w:basedOn w:val="TableNormal"/>
    <w:rsid w:val="00B62441"/>
    <w:pPr>
      <w:spacing w:line="36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NormalLinespacingsingle">
    <w:name w:val="Normal + Line spacing:  single"/>
    <w:basedOn w:val="Normal"/>
    <w:link w:val="NormalLinespacingsingleChar"/>
    <w:rsid w:val="007D2537"/>
    <w:pPr>
      <w:spacing w:line="240" w:lineRule="auto"/>
    </w:pPr>
  </w:style>
  <w:style w:type="character" w:customStyle="1" w:styleId="NormalLinespacingsingleChar">
    <w:name w:val="Normal + Line spacing:  single Char"/>
    <w:basedOn w:val="DefaultParagraphFont"/>
    <w:link w:val="NormalLinespacingsingle"/>
    <w:rsid w:val="007D2537"/>
    <w:rPr>
      <w:sz w:val="24"/>
      <w:szCs w:val="24"/>
      <w:lang w:val="en-GB" w:eastAsia="en-US" w:bidi="ar-SA"/>
    </w:rPr>
  </w:style>
  <w:style w:type="paragraph" w:customStyle="1" w:styleId="Normal11pt">
    <w:name w:val="Normal + 11 pt"/>
    <w:aliases w:val="Left,Line spacing:  single"/>
    <w:basedOn w:val="Normal"/>
    <w:rsid w:val="00BB6A9E"/>
    <w:pPr>
      <w:widowControl w:val="0"/>
      <w:spacing w:line="240" w:lineRule="auto"/>
      <w:jc w:val="left"/>
    </w:pPr>
    <w:rPr>
      <w:sz w:val="22"/>
    </w:rPr>
  </w:style>
  <w:style w:type="paragraph" w:styleId="Revision">
    <w:name w:val="Revision"/>
    <w:hidden/>
    <w:uiPriority w:val="99"/>
    <w:semiHidden/>
    <w:rsid w:val="00803058"/>
    <w:rPr>
      <w:lang w:val="en-GB" w:eastAsia="en-US"/>
    </w:rPr>
  </w:style>
  <w:style w:type="character" w:customStyle="1" w:styleId="BalloonTextChar">
    <w:name w:val="Balloon Text Char"/>
    <w:basedOn w:val="DefaultParagraphFont"/>
    <w:link w:val="BalloonText"/>
    <w:uiPriority w:val="99"/>
    <w:semiHidden/>
    <w:rsid w:val="00D65F3F"/>
    <w:rPr>
      <w:rFonts w:ascii="Tahoma" w:hAnsi="Tahoma" w:cs="Tahoma"/>
      <w:sz w:val="16"/>
      <w:szCs w:val="16"/>
      <w:lang w:eastAsia="en-US"/>
    </w:rPr>
  </w:style>
  <w:style w:type="character" w:customStyle="1" w:styleId="CommentTextChar">
    <w:name w:val="Comment Text Char"/>
    <w:basedOn w:val="DefaultParagraphFont"/>
    <w:link w:val="CommentText"/>
    <w:uiPriority w:val="99"/>
    <w:semiHidden/>
    <w:rsid w:val="00D65F3F"/>
    <w:rPr>
      <w:lang w:eastAsia="en-US"/>
    </w:rPr>
  </w:style>
  <w:style w:type="table" w:customStyle="1" w:styleId="LightShading1">
    <w:name w:val="Light Shading1"/>
    <w:basedOn w:val="TableNormal"/>
    <w:uiPriority w:val="60"/>
    <w:rsid w:val="003C1554"/>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rsid w:val="00441211"/>
    <w:pPr>
      <w:tabs>
        <w:tab w:val="center" w:pos="4680"/>
        <w:tab w:val="right" w:pos="9360"/>
      </w:tabs>
    </w:pPr>
  </w:style>
  <w:style w:type="character" w:customStyle="1" w:styleId="HeaderChar">
    <w:name w:val="Header Char"/>
    <w:basedOn w:val="DefaultParagraphFont"/>
    <w:link w:val="Header"/>
    <w:rsid w:val="00441211"/>
    <w:rPr>
      <w:sz w:val="24"/>
      <w:lang w:val="en-GB"/>
    </w:rPr>
  </w:style>
  <w:style w:type="character" w:customStyle="1" w:styleId="FooterChar">
    <w:name w:val="Footer Char"/>
    <w:basedOn w:val="DefaultParagraphFont"/>
    <w:link w:val="Footer"/>
    <w:uiPriority w:val="99"/>
    <w:rsid w:val="00441211"/>
    <w:rPr>
      <w:rFonts w:ascii="Arial" w:hAnsi="Arial"/>
      <w:snapToGrid w:val="0"/>
      <w:sz w:val="24"/>
      <w:lang w:val="en-GB"/>
    </w:rPr>
  </w:style>
  <w:style w:type="paragraph" w:customStyle="1" w:styleId="MTDisplayEquation">
    <w:name w:val="MTDisplayEquation"/>
    <w:basedOn w:val="Normal"/>
    <w:next w:val="Normal"/>
    <w:link w:val="MTDisplayEquationChar"/>
    <w:rsid w:val="001824CB"/>
    <w:pPr>
      <w:tabs>
        <w:tab w:val="center" w:pos="4360"/>
        <w:tab w:val="right" w:pos="8700"/>
      </w:tabs>
    </w:pPr>
    <w:rPr>
      <w:b/>
      <w:i/>
      <w:color w:val="000000"/>
      <w:sz w:val="20"/>
    </w:rPr>
  </w:style>
  <w:style w:type="character" w:customStyle="1" w:styleId="MTDisplayEquationChar">
    <w:name w:val="MTDisplayEquation Char"/>
    <w:basedOn w:val="DefaultParagraphFont"/>
    <w:link w:val="MTDisplayEquation"/>
    <w:rsid w:val="001824CB"/>
    <w:rPr>
      <w:b/>
      <w:i/>
      <w:color w:val="000000"/>
      <w:lang w:eastAsia="en-US"/>
    </w:rPr>
  </w:style>
  <w:style w:type="character" w:customStyle="1" w:styleId="equals">
    <w:name w:val="equals"/>
    <w:basedOn w:val="DefaultParagraphFont"/>
    <w:rsid w:val="00A56B30"/>
  </w:style>
  <w:style w:type="character" w:styleId="PlaceholderText">
    <w:name w:val="Placeholder Text"/>
    <w:basedOn w:val="DefaultParagraphFont"/>
    <w:uiPriority w:val="99"/>
    <w:semiHidden/>
    <w:rsid w:val="00740EC1"/>
    <w:rPr>
      <w:color w:val="808080"/>
    </w:rPr>
  </w:style>
  <w:style w:type="character" w:customStyle="1" w:styleId="citation">
    <w:name w:val="citation"/>
    <w:basedOn w:val="DefaultParagraphFont"/>
    <w:rsid w:val="001F594E"/>
  </w:style>
  <w:style w:type="character" w:customStyle="1" w:styleId="ref-journal1">
    <w:name w:val="ref-journal1"/>
    <w:basedOn w:val="DefaultParagraphFont"/>
    <w:rsid w:val="001F594E"/>
    <w:rPr>
      <w:i/>
      <w:iCs/>
    </w:rPr>
  </w:style>
  <w:style w:type="character" w:customStyle="1" w:styleId="ref-vol1">
    <w:name w:val="ref-vol1"/>
    <w:basedOn w:val="DefaultParagraphFont"/>
    <w:rsid w:val="001F594E"/>
    <w:rPr>
      <w:b/>
      <w:bCs/>
    </w:rPr>
  </w:style>
  <w:style w:type="paragraph" w:customStyle="1" w:styleId="Default">
    <w:name w:val="Default"/>
    <w:rsid w:val="00BE4B00"/>
    <w:pPr>
      <w:autoSpaceDE w:val="0"/>
      <w:autoSpaceDN w:val="0"/>
      <w:adjustRightInd w:val="0"/>
    </w:pPr>
    <w:rPr>
      <w:rFonts w:ascii="Trebuchet MS" w:hAnsi="Trebuchet MS" w:cs="Trebuchet MS"/>
      <w:color w:val="000000"/>
      <w:lang w:val="en-US"/>
    </w:rPr>
  </w:style>
  <w:style w:type="paragraph" w:styleId="EndnoteText">
    <w:name w:val="endnote text"/>
    <w:basedOn w:val="Normal"/>
    <w:link w:val="EndnoteTextChar"/>
    <w:rsid w:val="00016D6B"/>
    <w:pPr>
      <w:spacing w:line="240" w:lineRule="auto"/>
    </w:pPr>
    <w:rPr>
      <w:sz w:val="20"/>
    </w:rPr>
  </w:style>
  <w:style w:type="character" w:customStyle="1" w:styleId="EndnoteTextChar">
    <w:name w:val="Endnote Text Char"/>
    <w:basedOn w:val="DefaultParagraphFont"/>
    <w:link w:val="EndnoteText"/>
    <w:rsid w:val="00016D6B"/>
    <w:rPr>
      <w:lang w:val="en-GB" w:eastAsia="en-US"/>
    </w:rPr>
  </w:style>
  <w:style w:type="character" w:styleId="EndnoteReference">
    <w:name w:val="endnote reference"/>
    <w:basedOn w:val="DefaultParagraphFont"/>
    <w:rsid w:val="00016D6B"/>
    <w:rPr>
      <w:vertAlign w:val="superscript"/>
    </w:rPr>
  </w:style>
  <w:style w:type="character" w:customStyle="1" w:styleId="Heading1Char">
    <w:name w:val="Heading 1 Char"/>
    <w:basedOn w:val="DefaultParagraphFont"/>
    <w:link w:val="Heading1"/>
    <w:uiPriority w:val="9"/>
    <w:rsid w:val="006A5FDC"/>
    <w:rPr>
      <w:rFonts w:ascii="Arial" w:hAnsi="Arial"/>
      <w:b/>
      <w:kern w:val="28"/>
      <w:sz w:val="28"/>
      <w:lang w:val="en-GB" w:eastAsia="en-US"/>
    </w:rPr>
  </w:style>
  <w:style w:type="character" w:customStyle="1" w:styleId="Heading2Char">
    <w:name w:val="Heading 2 Char"/>
    <w:basedOn w:val="DefaultParagraphFont"/>
    <w:link w:val="Heading2"/>
    <w:uiPriority w:val="9"/>
    <w:rsid w:val="0034075F"/>
    <w:rPr>
      <w:rFonts w:ascii="Arial" w:hAnsi="Arial" w:cs="Arial"/>
      <w:b/>
      <w:bCs/>
      <w:iCs/>
      <w:sz w:val="24"/>
      <w:szCs w:val="24"/>
      <w:lang w:val="en-GB" w:eastAsia="en-US"/>
    </w:rPr>
  </w:style>
  <w:style w:type="character" w:customStyle="1" w:styleId="Heading3Char">
    <w:name w:val="Heading 3 Char"/>
    <w:basedOn w:val="DefaultParagraphFont"/>
    <w:link w:val="Heading3"/>
    <w:uiPriority w:val="9"/>
    <w:rsid w:val="0026382B"/>
    <w:rPr>
      <w:i/>
      <w:iCs/>
      <w:sz w:val="24"/>
      <w:lang w:val="en-GB" w:eastAsia="en-US"/>
    </w:rPr>
  </w:style>
  <w:style w:type="character" w:customStyle="1" w:styleId="Heading4Char">
    <w:name w:val="Heading 4 Char"/>
    <w:basedOn w:val="DefaultParagraphFont"/>
    <w:link w:val="Heading4"/>
    <w:rsid w:val="00466367"/>
    <w:rPr>
      <w:rFonts w:ascii="Arial" w:hAnsi="Arial"/>
      <w:b/>
      <w:sz w:val="24"/>
      <w:lang w:val="en-GB" w:eastAsia="en-US"/>
    </w:rPr>
  </w:style>
  <w:style w:type="character" w:customStyle="1" w:styleId="Heading5Char">
    <w:name w:val="Heading 5 Char"/>
    <w:basedOn w:val="DefaultParagraphFont"/>
    <w:link w:val="Heading5"/>
    <w:rsid w:val="00466367"/>
    <w:rPr>
      <w:sz w:val="22"/>
      <w:lang w:val="en-GB" w:eastAsia="en-US"/>
    </w:rPr>
  </w:style>
  <w:style w:type="character" w:customStyle="1" w:styleId="Heading6Char">
    <w:name w:val="Heading 6 Char"/>
    <w:basedOn w:val="DefaultParagraphFont"/>
    <w:link w:val="Heading6"/>
    <w:rsid w:val="00466367"/>
    <w:rPr>
      <w:i/>
      <w:sz w:val="22"/>
      <w:lang w:val="en-GB" w:eastAsia="en-US"/>
    </w:rPr>
  </w:style>
  <w:style w:type="character" w:customStyle="1" w:styleId="Heading7Char">
    <w:name w:val="Heading 7 Char"/>
    <w:basedOn w:val="DefaultParagraphFont"/>
    <w:link w:val="Heading7"/>
    <w:rsid w:val="00466367"/>
    <w:rPr>
      <w:rFonts w:ascii="Arial" w:hAnsi="Arial"/>
      <w:sz w:val="24"/>
      <w:lang w:val="en-GB" w:eastAsia="en-US"/>
    </w:rPr>
  </w:style>
  <w:style w:type="character" w:customStyle="1" w:styleId="Heading8Char">
    <w:name w:val="Heading 8 Char"/>
    <w:basedOn w:val="DefaultParagraphFont"/>
    <w:link w:val="Heading8"/>
    <w:rsid w:val="00466367"/>
    <w:rPr>
      <w:rFonts w:ascii="Arial" w:hAnsi="Arial"/>
      <w:i/>
      <w:sz w:val="24"/>
      <w:lang w:val="en-GB" w:eastAsia="en-US"/>
    </w:rPr>
  </w:style>
  <w:style w:type="character" w:customStyle="1" w:styleId="Heading9Char">
    <w:name w:val="Heading 9 Char"/>
    <w:basedOn w:val="DefaultParagraphFont"/>
    <w:link w:val="Heading9"/>
    <w:rsid w:val="00466367"/>
    <w:rPr>
      <w:rFonts w:ascii="Arial" w:hAnsi="Arial"/>
      <w:b/>
      <w:i/>
      <w:sz w:val="18"/>
      <w:lang w:val="en-GB" w:eastAsia="en-US"/>
    </w:rPr>
  </w:style>
  <w:style w:type="character" w:customStyle="1" w:styleId="BodyTextIndent2Char">
    <w:name w:val="Body Text Indent 2 Char"/>
    <w:basedOn w:val="DefaultParagraphFont"/>
    <w:link w:val="BodyTextIndent2"/>
    <w:rsid w:val="00466367"/>
    <w:rPr>
      <w:sz w:val="24"/>
      <w:lang w:val="en-GB" w:eastAsia="en-US"/>
    </w:rPr>
  </w:style>
  <w:style w:type="character" w:customStyle="1" w:styleId="BodyTextIndentChar">
    <w:name w:val="Body Text Indent Char"/>
    <w:basedOn w:val="DefaultParagraphFont"/>
    <w:link w:val="BodyTextIndent"/>
    <w:rsid w:val="00466367"/>
    <w:rPr>
      <w:sz w:val="24"/>
      <w:lang w:val="en-GB" w:eastAsia="en-US"/>
    </w:rPr>
  </w:style>
  <w:style w:type="character" w:customStyle="1" w:styleId="BodyTextIndent3Char">
    <w:name w:val="Body Text Indent 3 Char"/>
    <w:basedOn w:val="DefaultParagraphFont"/>
    <w:link w:val="BodyTextIndent3"/>
    <w:rsid w:val="00466367"/>
    <w:rPr>
      <w:sz w:val="24"/>
      <w:lang w:val="en-GB" w:eastAsia="en-US"/>
    </w:rPr>
  </w:style>
  <w:style w:type="character" w:customStyle="1" w:styleId="FootnoteTextChar">
    <w:name w:val="Footnote Text Char"/>
    <w:basedOn w:val="DefaultParagraphFont"/>
    <w:link w:val="FootnoteText"/>
    <w:uiPriority w:val="99"/>
    <w:semiHidden/>
    <w:rsid w:val="00466367"/>
    <w:rPr>
      <w:lang w:val="en-GB" w:eastAsia="en-US"/>
    </w:rPr>
  </w:style>
  <w:style w:type="character" w:customStyle="1" w:styleId="BodyTextChar">
    <w:name w:val="Body Text Char"/>
    <w:basedOn w:val="DefaultParagraphFont"/>
    <w:link w:val="BodyText"/>
    <w:rsid w:val="00466367"/>
    <w:rPr>
      <w:b/>
      <w:bCs/>
      <w:sz w:val="24"/>
      <w:lang w:val="en-GB" w:eastAsia="en-US"/>
    </w:rPr>
  </w:style>
  <w:style w:type="character" w:customStyle="1" w:styleId="BodyText2Char">
    <w:name w:val="Body Text 2 Char"/>
    <w:basedOn w:val="DefaultParagraphFont"/>
    <w:link w:val="BodyText2"/>
    <w:rsid w:val="00466367"/>
    <w:rPr>
      <w:sz w:val="24"/>
      <w:lang w:val="en-GB" w:eastAsia="en-US"/>
    </w:rPr>
  </w:style>
  <w:style w:type="character" w:customStyle="1" w:styleId="BodyText3Char">
    <w:name w:val="Body Text 3 Char"/>
    <w:basedOn w:val="DefaultParagraphFont"/>
    <w:link w:val="BodyText3"/>
    <w:rsid w:val="00466367"/>
    <w:rPr>
      <w:b/>
      <w:bCs/>
      <w:sz w:val="24"/>
      <w:lang w:val="en-GB" w:eastAsia="en-US"/>
    </w:rPr>
  </w:style>
  <w:style w:type="character" w:customStyle="1" w:styleId="CommentSubjectChar">
    <w:name w:val="Comment Subject Char"/>
    <w:basedOn w:val="CommentTextChar"/>
    <w:link w:val="CommentSubject"/>
    <w:semiHidden/>
    <w:rsid w:val="00466367"/>
    <w:rPr>
      <w:b/>
      <w:bCs/>
      <w:lang w:val="en-GB" w:eastAsia="en-US"/>
    </w:rPr>
  </w:style>
  <w:style w:type="paragraph" w:styleId="NormalWeb">
    <w:name w:val="Normal (Web)"/>
    <w:basedOn w:val="Normal"/>
    <w:uiPriority w:val="99"/>
    <w:unhideWhenUsed/>
    <w:rsid w:val="00B538FD"/>
    <w:pPr>
      <w:spacing w:before="100" w:beforeAutospacing="1" w:after="100" w:afterAutospacing="1" w:line="240" w:lineRule="auto"/>
      <w:jc w:val="left"/>
    </w:pPr>
    <w:rPr>
      <w:lang w:eastAsia="en-GB"/>
    </w:rPr>
  </w:style>
  <w:style w:type="table" w:styleId="LightShading-Accent3">
    <w:name w:val="Light Shading Accent 3"/>
    <w:basedOn w:val="TableNormal"/>
    <w:uiPriority w:val="60"/>
    <w:rsid w:val="007A5755"/>
    <w:rPr>
      <w:rFonts w:asciiTheme="minorHAnsi" w:eastAsiaTheme="minorHAnsi" w:hAnsiTheme="minorHAnsi" w:cstheme="minorBidi"/>
      <w:color w:val="76923C" w:themeColor="accent3" w:themeShade="BF"/>
      <w:sz w:val="22"/>
      <w:szCs w:val="22"/>
      <w:lang w:val="en-GB"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pple-converted-space">
    <w:name w:val="apple-converted-space"/>
    <w:basedOn w:val="DefaultParagraphFont"/>
    <w:rsid w:val="00937910"/>
  </w:style>
  <w:style w:type="paragraph" w:styleId="ListBullet">
    <w:name w:val="List Bullet"/>
    <w:basedOn w:val="Normal"/>
    <w:rsid w:val="00E00C5D"/>
    <w:pPr>
      <w:numPr>
        <w:numId w:val="33"/>
      </w:numPr>
      <w:contextualSpacing/>
    </w:pPr>
  </w:style>
  <w:style w:type="character" w:customStyle="1" w:styleId="highwire-cite-article-type">
    <w:name w:val="highwire-cite-article-type"/>
    <w:basedOn w:val="DefaultParagraphFont"/>
    <w:rsid w:val="00957C39"/>
  </w:style>
  <w:style w:type="paragraph" w:customStyle="1" w:styleId="Pa20">
    <w:name w:val="Pa20"/>
    <w:basedOn w:val="Default"/>
    <w:next w:val="Default"/>
    <w:uiPriority w:val="99"/>
    <w:rsid w:val="00A85CB1"/>
    <w:pPr>
      <w:spacing w:line="221" w:lineRule="atLeast"/>
    </w:pPr>
    <w:rPr>
      <w:rFonts w:ascii="Minion" w:hAnsi="Minion" w:cs="Times New Roman"/>
      <w:color w:val="auto"/>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P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DD4"/>
    <w:pPr>
      <w:spacing w:line="360" w:lineRule="auto"/>
      <w:jc w:val="both"/>
    </w:pPr>
    <w:rPr>
      <w:lang w:val="en-GB"/>
    </w:rPr>
  </w:style>
  <w:style w:type="paragraph" w:styleId="Heading1">
    <w:name w:val="heading 1"/>
    <w:basedOn w:val="Normal"/>
    <w:next w:val="Normal"/>
    <w:link w:val="Heading1Char"/>
    <w:uiPriority w:val="9"/>
    <w:qFormat/>
    <w:rsid w:val="006A5FDC"/>
    <w:pPr>
      <w:keepNext/>
      <w:numPr>
        <w:numId w:val="25"/>
      </w:numPr>
      <w:tabs>
        <w:tab w:val="clear" w:pos="9363"/>
        <w:tab w:val="num" w:pos="432"/>
      </w:tabs>
      <w:spacing w:before="240" w:after="60" w:line="240" w:lineRule="auto"/>
      <w:ind w:left="432"/>
      <w:outlineLvl w:val="0"/>
    </w:pPr>
    <w:rPr>
      <w:rFonts w:ascii="Arial" w:hAnsi="Arial"/>
      <w:b/>
      <w:kern w:val="28"/>
      <w:sz w:val="28"/>
    </w:rPr>
  </w:style>
  <w:style w:type="paragraph" w:styleId="Heading2">
    <w:name w:val="heading 2"/>
    <w:basedOn w:val="Normal"/>
    <w:next w:val="Normal"/>
    <w:link w:val="Heading2Char"/>
    <w:autoRedefine/>
    <w:uiPriority w:val="9"/>
    <w:qFormat/>
    <w:rsid w:val="0034075F"/>
    <w:pPr>
      <w:keepNext/>
      <w:numPr>
        <w:ilvl w:val="1"/>
        <w:numId w:val="25"/>
      </w:numPr>
      <w:spacing w:line="240" w:lineRule="auto"/>
      <w:outlineLvl w:val="1"/>
    </w:pPr>
    <w:rPr>
      <w:rFonts w:ascii="Arial" w:hAnsi="Arial" w:cs="Arial"/>
      <w:b/>
      <w:bCs/>
      <w:iCs/>
    </w:rPr>
  </w:style>
  <w:style w:type="paragraph" w:styleId="Heading3">
    <w:name w:val="heading 3"/>
    <w:basedOn w:val="Normal"/>
    <w:next w:val="Normal"/>
    <w:link w:val="Heading3Char"/>
    <w:uiPriority w:val="9"/>
    <w:qFormat/>
    <w:rsid w:val="0026382B"/>
    <w:pPr>
      <w:keepNext/>
      <w:numPr>
        <w:ilvl w:val="2"/>
        <w:numId w:val="25"/>
      </w:numPr>
      <w:spacing w:line="240" w:lineRule="auto"/>
      <w:outlineLvl w:val="2"/>
    </w:pPr>
    <w:rPr>
      <w:i/>
      <w:iCs/>
    </w:rPr>
  </w:style>
  <w:style w:type="paragraph" w:styleId="Heading4">
    <w:name w:val="heading 4"/>
    <w:basedOn w:val="Normal"/>
    <w:next w:val="Normal"/>
    <w:link w:val="Heading4Char"/>
    <w:qFormat/>
    <w:rsid w:val="00036DD4"/>
    <w:pPr>
      <w:keepNext/>
      <w:numPr>
        <w:ilvl w:val="3"/>
        <w:numId w:val="25"/>
      </w:numPr>
      <w:spacing w:before="240" w:after="60"/>
      <w:outlineLvl w:val="3"/>
    </w:pPr>
    <w:rPr>
      <w:rFonts w:ascii="Arial" w:hAnsi="Arial"/>
      <w:b/>
    </w:rPr>
  </w:style>
  <w:style w:type="paragraph" w:styleId="Heading5">
    <w:name w:val="heading 5"/>
    <w:basedOn w:val="Normal"/>
    <w:next w:val="Normal"/>
    <w:link w:val="Heading5Char"/>
    <w:qFormat/>
    <w:rsid w:val="00036DD4"/>
    <w:pPr>
      <w:numPr>
        <w:ilvl w:val="4"/>
        <w:numId w:val="25"/>
      </w:numPr>
      <w:spacing w:before="240" w:after="60"/>
      <w:outlineLvl w:val="4"/>
    </w:pPr>
    <w:rPr>
      <w:sz w:val="22"/>
    </w:rPr>
  </w:style>
  <w:style w:type="paragraph" w:styleId="Heading6">
    <w:name w:val="heading 6"/>
    <w:basedOn w:val="Normal"/>
    <w:next w:val="Normal"/>
    <w:link w:val="Heading6Char"/>
    <w:qFormat/>
    <w:rsid w:val="00036DD4"/>
    <w:pPr>
      <w:numPr>
        <w:ilvl w:val="5"/>
        <w:numId w:val="25"/>
      </w:numPr>
      <w:spacing w:before="240" w:after="60"/>
      <w:outlineLvl w:val="5"/>
    </w:pPr>
    <w:rPr>
      <w:i/>
      <w:sz w:val="22"/>
    </w:rPr>
  </w:style>
  <w:style w:type="paragraph" w:styleId="Heading7">
    <w:name w:val="heading 7"/>
    <w:basedOn w:val="Normal"/>
    <w:next w:val="Normal"/>
    <w:link w:val="Heading7Char"/>
    <w:qFormat/>
    <w:rsid w:val="00036DD4"/>
    <w:pPr>
      <w:numPr>
        <w:ilvl w:val="6"/>
        <w:numId w:val="25"/>
      </w:numPr>
      <w:spacing w:before="240" w:after="60"/>
      <w:outlineLvl w:val="6"/>
    </w:pPr>
    <w:rPr>
      <w:rFonts w:ascii="Arial" w:hAnsi="Arial"/>
    </w:rPr>
  </w:style>
  <w:style w:type="paragraph" w:styleId="Heading8">
    <w:name w:val="heading 8"/>
    <w:basedOn w:val="Normal"/>
    <w:next w:val="Normal"/>
    <w:link w:val="Heading8Char"/>
    <w:qFormat/>
    <w:rsid w:val="00036DD4"/>
    <w:pPr>
      <w:numPr>
        <w:ilvl w:val="7"/>
        <w:numId w:val="25"/>
      </w:numPr>
      <w:spacing w:before="240" w:after="60"/>
      <w:outlineLvl w:val="7"/>
    </w:pPr>
    <w:rPr>
      <w:rFonts w:ascii="Arial" w:hAnsi="Arial"/>
      <w:i/>
    </w:rPr>
  </w:style>
  <w:style w:type="paragraph" w:styleId="Heading9">
    <w:name w:val="heading 9"/>
    <w:basedOn w:val="Normal"/>
    <w:next w:val="Normal"/>
    <w:link w:val="Heading9Char"/>
    <w:qFormat/>
    <w:rsid w:val="00036DD4"/>
    <w:pPr>
      <w:numPr>
        <w:ilvl w:val="8"/>
        <w:numId w:val="25"/>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36DD4"/>
    <w:pPr>
      <w:widowControl w:val="0"/>
      <w:spacing w:after="120"/>
      <w:ind w:left="284" w:hanging="284"/>
    </w:pPr>
  </w:style>
  <w:style w:type="paragraph" w:styleId="TOC1">
    <w:name w:val="toc 1"/>
    <w:basedOn w:val="Normal"/>
    <w:next w:val="Normal"/>
    <w:autoRedefine/>
    <w:semiHidden/>
    <w:rsid w:val="00036DD4"/>
    <w:pPr>
      <w:spacing w:before="240"/>
    </w:pPr>
    <w:rPr>
      <w:b/>
      <w:caps/>
      <w:noProof/>
    </w:rPr>
  </w:style>
  <w:style w:type="paragraph" w:styleId="TOC2">
    <w:name w:val="toc 2"/>
    <w:basedOn w:val="Normal"/>
    <w:next w:val="Normal"/>
    <w:autoRedefine/>
    <w:semiHidden/>
    <w:rsid w:val="00036DD4"/>
    <w:rPr>
      <w:b/>
      <w:smallCaps/>
    </w:rPr>
  </w:style>
  <w:style w:type="paragraph" w:styleId="TOC3">
    <w:name w:val="toc 3"/>
    <w:basedOn w:val="Normal"/>
    <w:next w:val="Normal"/>
    <w:autoRedefine/>
    <w:semiHidden/>
    <w:rsid w:val="00036DD4"/>
    <w:rPr>
      <w:smallCaps/>
      <w:noProof/>
    </w:rPr>
  </w:style>
  <w:style w:type="paragraph" w:styleId="TOC4">
    <w:name w:val="toc 4"/>
    <w:basedOn w:val="Normal"/>
    <w:next w:val="Normal"/>
    <w:autoRedefine/>
    <w:semiHidden/>
    <w:rsid w:val="00036DD4"/>
    <w:rPr>
      <w:b/>
      <w:bCs/>
    </w:rPr>
  </w:style>
  <w:style w:type="paragraph" w:styleId="TOC5">
    <w:name w:val="toc 5"/>
    <w:basedOn w:val="Normal"/>
    <w:next w:val="Normal"/>
    <w:autoRedefine/>
    <w:semiHidden/>
    <w:rsid w:val="00036DD4"/>
    <w:pPr>
      <w:spacing w:line="240" w:lineRule="auto"/>
    </w:pPr>
    <w:rPr>
      <w:b/>
      <w:bCs/>
    </w:rPr>
  </w:style>
  <w:style w:type="paragraph" w:styleId="TOC6">
    <w:name w:val="toc 6"/>
    <w:basedOn w:val="Normal"/>
    <w:next w:val="Normal"/>
    <w:autoRedefine/>
    <w:semiHidden/>
    <w:rsid w:val="00036DD4"/>
  </w:style>
  <w:style w:type="paragraph" w:styleId="TOC7">
    <w:name w:val="toc 7"/>
    <w:basedOn w:val="Normal"/>
    <w:next w:val="Normal"/>
    <w:autoRedefine/>
    <w:semiHidden/>
    <w:rsid w:val="00036DD4"/>
  </w:style>
  <w:style w:type="paragraph" w:styleId="TOC8">
    <w:name w:val="toc 8"/>
    <w:basedOn w:val="Normal"/>
    <w:next w:val="Normal"/>
    <w:autoRedefine/>
    <w:semiHidden/>
    <w:rsid w:val="00036DD4"/>
  </w:style>
  <w:style w:type="paragraph" w:styleId="TOC9">
    <w:name w:val="toc 9"/>
    <w:basedOn w:val="Normal"/>
    <w:next w:val="Normal"/>
    <w:autoRedefine/>
    <w:semiHidden/>
    <w:rsid w:val="00036DD4"/>
  </w:style>
  <w:style w:type="paragraph" w:styleId="Footer">
    <w:name w:val="footer"/>
    <w:basedOn w:val="Normal"/>
    <w:link w:val="FooterChar"/>
    <w:uiPriority w:val="99"/>
    <w:rsid w:val="00036DD4"/>
    <w:pPr>
      <w:widowControl w:val="0"/>
      <w:tabs>
        <w:tab w:val="center" w:pos="4153"/>
        <w:tab w:val="right" w:pos="8306"/>
      </w:tabs>
    </w:pPr>
    <w:rPr>
      <w:rFonts w:ascii="Arial" w:hAnsi="Arial"/>
      <w:snapToGrid w:val="0"/>
    </w:rPr>
  </w:style>
  <w:style w:type="character" w:styleId="PageNumber">
    <w:name w:val="page number"/>
    <w:basedOn w:val="DefaultParagraphFont"/>
    <w:rsid w:val="00036DD4"/>
    <w:rPr>
      <w:sz w:val="20"/>
    </w:rPr>
  </w:style>
  <w:style w:type="paragraph" w:customStyle="1" w:styleId="Images-uoy">
    <w:name w:val="Images-uoy"/>
    <w:basedOn w:val="Normal"/>
    <w:rsid w:val="00036DD4"/>
    <w:pPr>
      <w:framePr w:wrap="auto" w:hAnchor="margin" w:yAlign="top"/>
      <w:widowControl w:val="0"/>
      <w:tabs>
        <w:tab w:val="left" w:pos="567"/>
      </w:tabs>
    </w:pPr>
    <w:rPr>
      <w:rFonts w:ascii="Palatino" w:hAnsi="Palatino"/>
      <w:snapToGrid w:val="0"/>
    </w:rPr>
  </w:style>
  <w:style w:type="paragraph" w:customStyle="1" w:styleId="DeptHead">
    <w:name w:val="DeptHead"/>
    <w:basedOn w:val="Normal"/>
    <w:rsid w:val="00036DD4"/>
    <w:pPr>
      <w:framePr w:w="2835" w:wrap="auto" w:hAnchor="margin" w:x="7089" w:yAlign="top"/>
      <w:widowControl w:val="0"/>
      <w:tabs>
        <w:tab w:val="left" w:pos="567"/>
      </w:tabs>
      <w:spacing w:line="240" w:lineRule="exact"/>
    </w:pPr>
    <w:rPr>
      <w:rFonts w:ascii="Palatino" w:hAnsi="Palatino"/>
      <w:smallCaps/>
      <w:snapToGrid w:val="0"/>
      <w:sz w:val="22"/>
    </w:rPr>
  </w:style>
  <w:style w:type="paragraph" w:customStyle="1" w:styleId="DeptAddr">
    <w:name w:val="DeptAddr"/>
    <w:basedOn w:val="Normal"/>
    <w:rsid w:val="00036DD4"/>
    <w:pPr>
      <w:framePr w:w="2835" w:wrap="auto" w:hAnchor="margin" w:x="7089" w:yAlign="top"/>
      <w:widowControl w:val="0"/>
      <w:tabs>
        <w:tab w:val="left" w:pos="567"/>
      </w:tabs>
      <w:spacing w:line="240" w:lineRule="exact"/>
    </w:pPr>
    <w:rPr>
      <w:rFonts w:ascii="Palatino" w:hAnsi="Palatino"/>
      <w:snapToGrid w:val="0"/>
      <w:sz w:val="16"/>
    </w:rPr>
  </w:style>
  <w:style w:type="paragraph" w:styleId="BodyTextIndent">
    <w:name w:val="Body Text Indent"/>
    <w:basedOn w:val="Normal"/>
    <w:link w:val="BodyTextIndentChar"/>
    <w:rsid w:val="00036DD4"/>
    <w:pPr>
      <w:ind w:left="720" w:hanging="720"/>
    </w:pPr>
  </w:style>
  <w:style w:type="paragraph" w:styleId="BodyTextIndent3">
    <w:name w:val="Body Text Indent 3"/>
    <w:basedOn w:val="Normal"/>
    <w:link w:val="BodyTextIndent3Char"/>
    <w:rsid w:val="00036DD4"/>
    <w:pPr>
      <w:ind w:left="360"/>
    </w:pPr>
  </w:style>
  <w:style w:type="paragraph" w:styleId="Caption">
    <w:name w:val="caption"/>
    <w:basedOn w:val="Normal"/>
    <w:next w:val="Normal"/>
    <w:uiPriority w:val="35"/>
    <w:qFormat/>
    <w:rsid w:val="00036DD4"/>
    <w:pPr>
      <w:spacing w:before="120" w:after="120"/>
    </w:pPr>
    <w:rPr>
      <w:b/>
    </w:rPr>
  </w:style>
  <w:style w:type="paragraph" w:styleId="FootnoteText">
    <w:name w:val="footnote text"/>
    <w:basedOn w:val="Normal"/>
    <w:link w:val="FootnoteTextChar"/>
    <w:uiPriority w:val="99"/>
    <w:semiHidden/>
    <w:rsid w:val="00036DD4"/>
    <w:rPr>
      <w:sz w:val="20"/>
    </w:rPr>
  </w:style>
  <w:style w:type="character" w:styleId="FootnoteReference">
    <w:name w:val="footnote reference"/>
    <w:basedOn w:val="DefaultParagraphFont"/>
    <w:uiPriority w:val="99"/>
    <w:semiHidden/>
    <w:rsid w:val="00036DD4"/>
    <w:rPr>
      <w:vertAlign w:val="superscript"/>
    </w:rPr>
  </w:style>
  <w:style w:type="character" w:styleId="Hyperlink">
    <w:name w:val="Hyperlink"/>
    <w:basedOn w:val="DefaultParagraphFont"/>
    <w:uiPriority w:val="99"/>
    <w:rsid w:val="00036DD4"/>
    <w:rPr>
      <w:color w:val="0000FF"/>
      <w:u w:val="single"/>
    </w:rPr>
  </w:style>
  <w:style w:type="character" w:customStyle="1" w:styleId="MTEquationSection">
    <w:name w:val="MTEquationSection"/>
    <w:basedOn w:val="DefaultParagraphFont"/>
    <w:rsid w:val="00036DD4"/>
    <w:rPr>
      <w:rFonts w:ascii="Arial" w:hAnsi="Arial"/>
      <w:b/>
      <w:vanish/>
      <w:color w:val="FF0000"/>
      <w:sz w:val="36"/>
    </w:rPr>
  </w:style>
  <w:style w:type="paragraph" w:styleId="BodyText">
    <w:name w:val="Body Text"/>
    <w:basedOn w:val="Normal"/>
    <w:link w:val="BodyTextChar"/>
    <w:rsid w:val="00036DD4"/>
    <w:pPr>
      <w:spacing w:line="240" w:lineRule="auto"/>
    </w:pPr>
    <w:rPr>
      <w:b/>
      <w:bCs/>
    </w:rPr>
  </w:style>
  <w:style w:type="character" w:styleId="FollowedHyperlink">
    <w:name w:val="FollowedHyperlink"/>
    <w:basedOn w:val="DefaultParagraphFont"/>
    <w:uiPriority w:val="99"/>
    <w:rsid w:val="00036DD4"/>
    <w:rPr>
      <w:color w:val="800080"/>
      <w:u w:val="single"/>
    </w:rPr>
  </w:style>
  <w:style w:type="paragraph" w:styleId="BodyText2">
    <w:name w:val="Body Text 2"/>
    <w:basedOn w:val="Normal"/>
    <w:link w:val="BodyText2Char"/>
    <w:rsid w:val="00036DD4"/>
    <w:pPr>
      <w:widowControl w:val="0"/>
      <w:spacing w:line="240" w:lineRule="auto"/>
      <w:jc w:val="left"/>
    </w:pPr>
  </w:style>
  <w:style w:type="character" w:styleId="Emphasis">
    <w:name w:val="Emphasis"/>
    <w:basedOn w:val="DefaultParagraphFont"/>
    <w:qFormat/>
    <w:rsid w:val="00036DD4"/>
    <w:rPr>
      <w:i/>
      <w:iCs/>
    </w:rPr>
  </w:style>
  <w:style w:type="character" w:styleId="Strong">
    <w:name w:val="Strong"/>
    <w:basedOn w:val="DefaultParagraphFont"/>
    <w:uiPriority w:val="22"/>
    <w:qFormat/>
    <w:rsid w:val="00036DD4"/>
    <w:rPr>
      <w:b/>
      <w:bCs/>
    </w:rPr>
  </w:style>
  <w:style w:type="paragraph" w:styleId="BodyText3">
    <w:name w:val="Body Text 3"/>
    <w:basedOn w:val="Normal"/>
    <w:link w:val="BodyText3Char"/>
    <w:rsid w:val="00036DD4"/>
    <w:pPr>
      <w:jc w:val="left"/>
    </w:pPr>
    <w:rPr>
      <w:b/>
      <w:bCs/>
    </w:rPr>
  </w:style>
  <w:style w:type="paragraph" w:styleId="BalloonText">
    <w:name w:val="Balloon Text"/>
    <w:basedOn w:val="Normal"/>
    <w:link w:val="BalloonTextChar"/>
    <w:uiPriority w:val="99"/>
    <w:semiHidden/>
    <w:rsid w:val="00C004C1"/>
    <w:rPr>
      <w:rFonts w:ascii="Tahoma" w:hAnsi="Tahoma" w:cs="Tahoma"/>
      <w:sz w:val="16"/>
      <w:szCs w:val="16"/>
    </w:rPr>
  </w:style>
  <w:style w:type="character" w:styleId="CommentReference">
    <w:name w:val="annotation reference"/>
    <w:basedOn w:val="DefaultParagraphFont"/>
    <w:uiPriority w:val="99"/>
    <w:semiHidden/>
    <w:rsid w:val="00C762CF"/>
    <w:rPr>
      <w:sz w:val="16"/>
      <w:szCs w:val="16"/>
    </w:rPr>
  </w:style>
  <w:style w:type="paragraph" w:styleId="CommentText">
    <w:name w:val="annotation text"/>
    <w:basedOn w:val="Normal"/>
    <w:link w:val="CommentTextChar"/>
    <w:uiPriority w:val="99"/>
    <w:semiHidden/>
    <w:rsid w:val="00C762CF"/>
    <w:rPr>
      <w:sz w:val="20"/>
    </w:rPr>
  </w:style>
  <w:style w:type="paragraph" w:styleId="CommentSubject">
    <w:name w:val="annotation subject"/>
    <w:basedOn w:val="CommentText"/>
    <w:next w:val="CommentText"/>
    <w:link w:val="CommentSubjectChar"/>
    <w:semiHidden/>
    <w:rsid w:val="00C762CF"/>
    <w:rPr>
      <w:b/>
      <w:bCs/>
    </w:rPr>
  </w:style>
  <w:style w:type="table" w:styleId="TableGrid">
    <w:name w:val="Table Grid"/>
    <w:basedOn w:val="TableNormal"/>
    <w:uiPriority w:val="59"/>
    <w:rsid w:val="001A1647"/>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aliases w:val="Table Simple 1a"/>
    <w:basedOn w:val="TableNormal"/>
    <w:rsid w:val="00B62441"/>
    <w:pPr>
      <w:spacing w:line="36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NormalLinespacingsingle">
    <w:name w:val="Normal + Line spacing:  single"/>
    <w:basedOn w:val="Normal"/>
    <w:link w:val="NormalLinespacingsingleChar"/>
    <w:rsid w:val="007D2537"/>
    <w:pPr>
      <w:spacing w:line="240" w:lineRule="auto"/>
    </w:pPr>
  </w:style>
  <w:style w:type="character" w:customStyle="1" w:styleId="NormalLinespacingsingleChar">
    <w:name w:val="Normal + Line spacing:  single Char"/>
    <w:basedOn w:val="DefaultParagraphFont"/>
    <w:link w:val="NormalLinespacingsingle"/>
    <w:rsid w:val="007D2537"/>
    <w:rPr>
      <w:sz w:val="24"/>
      <w:szCs w:val="24"/>
      <w:lang w:val="en-GB" w:eastAsia="en-US" w:bidi="ar-SA"/>
    </w:rPr>
  </w:style>
  <w:style w:type="paragraph" w:customStyle="1" w:styleId="Normal11pt">
    <w:name w:val="Normal + 11 pt"/>
    <w:aliases w:val="Left,Line spacing:  single"/>
    <w:basedOn w:val="Normal"/>
    <w:rsid w:val="00BB6A9E"/>
    <w:pPr>
      <w:widowControl w:val="0"/>
      <w:spacing w:line="240" w:lineRule="auto"/>
      <w:jc w:val="left"/>
    </w:pPr>
    <w:rPr>
      <w:sz w:val="22"/>
    </w:rPr>
  </w:style>
  <w:style w:type="paragraph" w:styleId="Revision">
    <w:name w:val="Revision"/>
    <w:hidden/>
    <w:uiPriority w:val="99"/>
    <w:semiHidden/>
    <w:rsid w:val="00803058"/>
    <w:rPr>
      <w:lang w:val="en-GB" w:eastAsia="en-US"/>
    </w:rPr>
  </w:style>
  <w:style w:type="character" w:customStyle="1" w:styleId="BalloonTextChar">
    <w:name w:val="Balloon Text Char"/>
    <w:basedOn w:val="DefaultParagraphFont"/>
    <w:link w:val="BalloonText"/>
    <w:uiPriority w:val="99"/>
    <w:semiHidden/>
    <w:rsid w:val="00D65F3F"/>
    <w:rPr>
      <w:rFonts w:ascii="Tahoma" w:hAnsi="Tahoma" w:cs="Tahoma"/>
      <w:sz w:val="16"/>
      <w:szCs w:val="16"/>
      <w:lang w:eastAsia="en-US"/>
    </w:rPr>
  </w:style>
  <w:style w:type="character" w:customStyle="1" w:styleId="CommentTextChar">
    <w:name w:val="Comment Text Char"/>
    <w:basedOn w:val="DefaultParagraphFont"/>
    <w:link w:val="CommentText"/>
    <w:uiPriority w:val="99"/>
    <w:semiHidden/>
    <w:rsid w:val="00D65F3F"/>
    <w:rPr>
      <w:lang w:eastAsia="en-US"/>
    </w:rPr>
  </w:style>
  <w:style w:type="table" w:customStyle="1" w:styleId="LightShading1">
    <w:name w:val="Light Shading1"/>
    <w:basedOn w:val="TableNormal"/>
    <w:uiPriority w:val="60"/>
    <w:rsid w:val="003C1554"/>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rsid w:val="00441211"/>
    <w:pPr>
      <w:tabs>
        <w:tab w:val="center" w:pos="4680"/>
        <w:tab w:val="right" w:pos="9360"/>
      </w:tabs>
    </w:pPr>
  </w:style>
  <w:style w:type="character" w:customStyle="1" w:styleId="HeaderChar">
    <w:name w:val="Header Char"/>
    <w:basedOn w:val="DefaultParagraphFont"/>
    <w:link w:val="Header"/>
    <w:rsid w:val="00441211"/>
    <w:rPr>
      <w:sz w:val="24"/>
      <w:lang w:val="en-GB"/>
    </w:rPr>
  </w:style>
  <w:style w:type="character" w:customStyle="1" w:styleId="FooterChar">
    <w:name w:val="Footer Char"/>
    <w:basedOn w:val="DefaultParagraphFont"/>
    <w:link w:val="Footer"/>
    <w:uiPriority w:val="99"/>
    <w:rsid w:val="00441211"/>
    <w:rPr>
      <w:rFonts w:ascii="Arial" w:hAnsi="Arial"/>
      <w:snapToGrid w:val="0"/>
      <w:sz w:val="24"/>
      <w:lang w:val="en-GB"/>
    </w:rPr>
  </w:style>
  <w:style w:type="paragraph" w:customStyle="1" w:styleId="MTDisplayEquation">
    <w:name w:val="MTDisplayEquation"/>
    <w:basedOn w:val="Normal"/>
    <w:next w:val="Normal"/>
    <w:link w:val="MTDisplayEquationChar"/>
    <w:rsid w:val="001824CB"/>
    <w:pPr>
      <w:tabs>
        <w:tab w:val="center" w:pos="4360"/>
        <w:tab w:val="right" w:pos="8700"/>
      </w:tabs>
    </w:pPr>
    <w:rPr>
      <w:b/>
      <w:i/>
      <w:color w:val="000000"/>
      <w:sz w:val="20"/>
    </w:rPr>
  </w:style>
  <w:style w:type="character" w:customStyle="1" w:styleId="MTDisplayEquationChar">
    <w:name w:val="MTDisplayEquation Char"/>
    <w:basedOn w:val="DefaultParagraphFont"/>
    <w:link w:val="MTDisplayEquation"/>
    <w:rsid w:val="001824CB"/>
    <w:rPr>
      <w:b/>
      <w:i/>
      <w:color w:val="000000"/>
      <w:lang w:eastAsia="en-US"/>
    </w:rPr>
  </w:style>
  <w:style w:type="character" w:customStyle="1" w:styleId="equals">
    <w:name w:val="equals"/>
    <w:basedOn w:val="DefaultParagraphFont"/>
    <w:rsid w:val="00A56B30"/>
  </w:style>
  <w:style w:type="character" w:styleId="PlaceholderText">
    <w:name w:val="Placeholder Text"/>
    <w:basedOn w:val="DefaultParagraphFont"/>
    <w:uiPriority w:val="99"/>
    <w:semiHidden/>
    <w:rsid w:val="00740EC1"/>
    <w:rPr>
      <w:color w:val="808080"/>
    </w:rPr>
  </w:style>
  <w:style w:type="character" w:customStyle="1" w:styleId="citation">
    <w:name w:val="citation"/>
    <w:basedOn w:val="DefaultParagraphFont"/>
    <w:rsid w:val="001F594E"/>
  </w:style>
  <w:style w:type="character" w:customStyle="1" w:styleId="ref-journal1">
    <w:name w:val="ref-journal1"/>
    <w:basedOn w:val="DefaultParagraphFont"/>
    <w:rsid w:val="001F594E"/>
    <w:rPr>
      <w:i/>
      <w:iCs/>
    </w:rPr>
  </w:style>
  <w:style w:type="character" w:customStyle="1" w:styleId="ref-vol1">
    <w:name w:val="ref-vol1"/>
    <w:basedOn w:val="DefaultParagraphFont"/>
    <w:rsid w:val="001F594E"/>
    <w:rPr>
      <w:b/>
      <w:bCs/>
    </w:rPr>
  </w:style>
  <w:style w:type="paragraph" w:customStyle="1" w:styleId="Default">
    <w:name w:val="Default"/>
    <w:rsid w:val="00BE4B00"/>
    <w:pPr>
      <w:autoSpaceDE w:val="0"/>
      <w:autoSpaceDN w:val="0"/>
      <w:adjustRightInd w:val="0"/>
    </w:pPr>
    <w:rPr>
      <w:rFonts w:ascii="Trebuchet MS" w:hAnsi="Trebuchet MS" w:cs="Trebuchet MS"/>
      <w:color w:val="000000"/>
      <w:lang w:val="en-US"/>
    </w:rPr>
  </w:style>
  <w:style w:type="paragraph" w:styleId="EndnoteText">
    <w:name w:val="endnote text"/>
    <w:basedOn w:val="Normal"/>
    <w:link w:val="EndnoteTextChar"/>
    <w:rsid w:val="00016D6B"/>
    <w:pPr>
      <w:spacing w:line="240" w:lineRule="auto"/>
    </w:pPr>
    <w:rPr>
      <w:sz w:val="20"/>
    </w:rPr>
  </w:style>
  <w:style w:type="character" w:customStyle="1" w:styleId="EndnoteTextChar">
    <w:name w:val="Endnote Text Char"/>
    <w:basedOn w:val="DefaultParagraphFont"/>
    <w:link w:val="EndnoteText"/>
    <w:rsid w:val="00016D6B"/>
    <w:rPr>
      <w:lang w:val="en-GB" w:eastAsia="en-US"/>
    </w:rPr>
  </w:style>
  <w:style w:type="character" w:styleId="EndnoteReference">
    <w:name w:val="endnote reference"/>
    <w:basedOn w:val="DefaultParagraphFont"/>
    <w:rsid w:val="00016D6B"/>
    <w:rPr>
      <w:vertAlign w:val="superscript"/>
    </w:rPr>
  </w:style>
  <w:style w:type="character" w:customStyle="1" w:styleId="Heading1Char">
    <w:name w:val="Heading 1 Char"/>
    <w:basedOn w:val="DefaultParagraphFont"/>
    <w:link w:val="Heading1"/>
    <w:uiPriority w:val="9"/>
    <w:rsid w:val="006A5FDC"/>
    <w:rPr>
      <w:rFonts w:ascii="Arial" w:hAnsi="Arial"/>
      <w:b/>
      <w:kern w:val="28"/>
      <w:sz w:val="28"/>
      <w:lang w:val="en-GB" w:eastAsia="en-US"/>
    </w:rPr>
  </w:style>
  <w:style w:type="character" w:customStyle="1" w:styleId="Heading2Char">
    <w:name w:val="Heading 2 Char"/>
    <w:basedOn w:val="DefaultParagraphFont"/>
    <w:link w:val="Heading2"/>
    <w:uiPriority w:val="9"/>
    <w:rsid w:val="0034075F"/>
    <w:rPr>
      <w:rFonts w:ascii="Arial" w:hAnsi="Arial" w:cs="Arial"/>
      <w:b/>
      <w:bCs/>
      <w:iCs/>
      <w:sz w:val="24"/>
      <w:szCs w:val="24"/>
      <w:lang w:val="en-GB" w:eastAsia="en-US"/>
    </w:rPr>
  </w:style>
  <w:style w:type="character" w:customStyle="1" w:styleId="Heading3Char">
    <w:name w:val="Heading 3 Char"/>
    <w:basedOn w:val="DefaultParagraphFont"/>
    <w:link w:val="Heading3"/>
    <w:uiPriority w:val="9"/>
    <w:rsid w:val="0026382B"/>
    <w:rPr>
      <w:i/>
      <w:iCs/>
      <w:sz w:val="24"/>
      <w:lang w:val="en-GB" w:eastAsia="en-US"/>
    </w:rPr>
  </w:style>
  <w:style w:type="character" w:customStyle="1" w:styleId="Heading4Char">
    <w:name w:val="Heading 4 Char"/>
    <w:basedOn w:val="DefaultParagraphFont"/>
    <w:link w:val="Heading4"/>
    <w:rsid w:val="00466367"/>
    <w:rPr>
      <w:rFonts w:ascii="Arial" w:hAnsi="Arial"/>
      <w:b/>
      <w:sz w:val="24"/>
      <w:lang w:val="en-GB" w:eastAsia="en-US"/>
    </w:rPr>
  </w:style>
  <w:style w:type="character" w:customStyle="1" w:styleId="Heading5Char">
    <w:name w:val="Heading 5 Char"/>
    <w:basedOn w:val="DefaultParagraphFont"/>
    <w:link w:val="Heading5"/>
    <w:rsid w:val="00466367"/>
    <w:rPr>
      <w:sz w:val="22"/>
      <w:lang w:val="en-GB" w:eastAsia="en-US"/>
    </w:rPr>
  </w:style>
  <w:style w:type="character" w:customStyle="1" w:styleId="Heading6Char">
    <w:name w:val="Heading 6 Char"/>
    <w:basedOn w:val="DefaultParagraphFont"/>
    <w:link w:val="Heading6"/>
    <w:rsid w:val="00466367"/>
    <w:rPr>
      <w:i/>
      <w:sz w:val="22"/>
      <w:lang w:val="en-GB" w:eastAsia="en-US"/>
    </w:rPr>
  </w:style>
  <w:style w:type="character" w:customStyle="1" w:styleId="Heading7Char">
    <w:name w:val="Heading 7 Char"/>
    <w:basedOn w:val="DefaultParagraphFont"/>
    <w:link w:val="Heading7"/>
    <w:rsid w:val="00466367"/>
    <w:rPr>
      <w:rFonts w:ascii="Arial" w:hAnsi="Arial"/>
      <w:sz w:val="24"/>
      <w:lang w:val="en-GB" w:eastAsia="en-US"/>
    </w:rPr>
  </w:style>
  <w:style w:type="character" w:customStyle="1" w:styleId="Heading8Char">
    <w:name w:val="Heading 8 Char"/>
    <w:basedOn w:val="DefaultParagraphFont"/>
    <w:link w:val="Heading8"/>
    <w:rsid w:val="00466367"/>
    <w:rPr>
      <w:rFonts w:ascii="Arial" w:hAnsi="Arial"/>
      <w:i/>
      <w:sz w:val="24"/>
      <w:lang w:val="en-GB" w:eastAsia="en-US"/>
    </w:rPr>
  </w:style>
  <w:style w:type="character" w:customStyle="1" w:styleId="Heading9Char">
    <w:name w:val="Heading 9 Char"/>
    <w:basedOn w:val="DefaultParagraphFont"/>
    <w:link w:val="Heading9"/>
    <w:rsid w:val="00466367"/>
    <w:rPr>
      <w:rFonts w:ascii="Arial" w:hAnsi="Arial"/>
      <w:b/>
      <w:i/>
      <w:sz w:val="18"/>
      <w:lang w:val="en-GB" w:eastAsia="en-US"/>
    </w:rPr>
  </w:style>
  <w:style w:type="character" w:customStyle="1" w:styleId="BodyTextIndent2Char">
    <w:name w:val="Body Text Indent 2 Char"/>
    <w:basedOn w:val="DefaultParagraphFont"/>
    <w:link w:val="BodyTextIndent2"/>
    <w:rsid w:val="00466367"/>
    <w:rPr>
      <w:sz w:val="24"/>
      <w:lang w:val="en-GB" w:eastAsia="en-US"/>
    </w:rPr>
  </w:style>
  <w:style w:type="character" w:customStyle="1" w:styleId="BodyTextIndentChar">
    <w:name w:val="Body Text Indent Char"/>
    <w:basedOn w:val="DefaultParagraphFont"/>
    <w:link w:val="BodyTextIndent"/>
    <w:rsid w:val="00466367"/>
    <w:rPr>
      <w:sz w:val="24"/>
      <w:lang w:val="en-GB" w:eastAsia="en-US"/>
    </w:rPr>
  </w:style>
  <w:style w:type="character" w:customStyle="1" w:styleId="BodyTextIndent3Char">
    <w:name w:val="Body Text Indent 3 Char"/>
    <w:basedOn w:val="DefaultParagraphFont"/>
    <w:link w:val="BodyTextIndent3"/>
    <w:rsid w:val="00466367"/>
    <w:rPr>
      <w:sz w:val="24"/>
      <w:lang w:val="en-GB" w:eastAsia="en-US"/>
    </w:rPr>
  </w:style>
  <w:style w:type="character" w:customStyle="1" w:styleId="FootnoteTextChar">
    <w:name w:val="Footnote Text Char"/>
    <w:basedOn w:val="DefaultParagraphFont"/>
    <w:link w:val="FootnoteText"/>
    <w:uiPriority w:val="99"/>
    <w:semiHidden/>
    <w:rsid w:val="00466367"/>
    <w:rPr>
      <w:lang w:val="en-GB" w:eastAsia="en-US"/>
    </w:rPr>
  </w:style>
  <w:style w:type="character" w:customStyle="1" w:styleId="BodyTextChar">
    <w:name w:val="Body Text Char"/>
    <w:basedOn w:val="DefaultParagraphFont"/>
    <w:link w:val="BodyText"/>
    <w:rsid w:val="00466367"/>
    <w:rPr>
      <w:b/>
      <w:bCs/>
      <w:sz w:val="24"/>
      <w:lang w:val="en-GB" w:eastAsia="en-US"/>
    </w:rPr>
  </w:style>
  <w:style w:type="character" w:customStyle="1" w:styleId="BodyText2Char">
    <w:name w:val="Body Text 2 Char"/>
    <w:basedOn w:val="DefaultParagraphFont"/>
    <w:link w:val="BodyText2"/>
    <w:rsid w:val="00466367"/>
    <w:rPr>
      <w:sz w:val="24"/>
      <w:lang w:val="en-GB" w:eastAsia="en-US"/>
    </w:rPr>
  </w:style>
  <w:style w:type="character" w:customStyle="1" w:styleId="BodyText3Char">
    <w:name w:val="Body Text 3 Char"/>
    <w:basedOn w:val="DefaultParagraphFont"/>
    <w:link w:val="BodyText3"/>
    <w:rsid w:val="00466367"/>
    <w:rPr>
      <w:b/>
      <w:bCs/>
      <w:sz w:val="24"/>
      <w:lang w:val="en-GB" w:eastAsia="en-US"/>
    </w:rPr>
  </w:style>
  <w:style w:type="character" w:customStyle="1" w:styleId="CommentSubjectChar">
    <w:name w:val="Comment Subject Char"/>
    <w:basedOn w:val="CommentTextChar"/>
    <w:link w:val="CommentSubject"/>
    <w:semiHidden/>
    <w:rsid w:val="00466367"/>
    <w:rPr>
      <w:b/>
      <w:bCs/>
      <w:lang w:val="en-GB" w:eastAsia="en-US"/>
    </w:rPr>
  </w:style>
  <w:style w:type="paragraph" w:styleId="NormalWeb">
    <w:name w:val="Normal (Web)"/>
    <w:basedOn w:val="Normal"/>
    <w:uiPriority w:val="99"/>
    <w:unhideWhenUsed/>
    <w:rsid w:val="00B538FD"/>
    <w:pPr>
      <w:spacing w:before="100" w:beforeAutospacing="1" w:after="100" w:afterAutospacing="1" w:line="240" w:lineRule="auto"/>
      <w:jc w:val="left"/>
    </w:pPr>
    <w:rPr>
      <w:lang w:eastAsia="en-GB"/>
    </w:rPr>
  </w:style>
  <w:style w:type="table" w:styleId="LightShading-Accent3">
    <w:name w:val="Light Shading Accent 3"/>
    <w:basedOn w:val="TableNormal"/>
    <w:uiPriority w:val="60"/>
    <w:rsid w:val="007A5755"/>
    <w:rPr>
      <w:rFonts w:asciiTheme="minorHAnsi" w:eastAsiaTheme="minorHAnsi" w:hAnsiTheme="minorHAnsi" w:cstheme="minorBidi"/>
      <w:color w:val="76923C" w:themeColor="accent3" w:themeShade="BF"/>
      <w:sz w:val="22"/>
      <w:szCs w:val="22"/>
      <w:lang w:val="en-GB"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pple-converted-space">
    <w:name w:val="apple-converted-space"/>
    <w:basedOn w:val="DefaultParagraphFont"/>
    <w:rsid w:val="00937910"/>
  </w:style>
  <w:style w:type="paragraph" w:styleId="ListBullet">
    <w:name w:val="List Bullet"/>
    <w:basedOn w:val="Normal"/>
    <w:rsid w:val="00E00C5D"/>
    <w:pPr>
      <w:numPr>
        <w:numId w:val="33"/>
      </w:numPr>
      <w:contextualSpacing/>
    </w:pPr>
  </w:style>
  <w:style w:type="character" w:customStyle="1" w:styleId="highwire-cite-article-type">
    <w:name w:val="highwire-cite-article-type"/>
    <w:basedOn w:val="DefaultParagraphFont"/>
    <w:rsid w:val="00957C39"/>
  </w:style>
  <w:style w:type="paragraph" w:customStyle="1" w:styleId="Pa20">
    <w:name w:val="Pa20"/>
    <w:basedOn w:val="Default"/>
    <w:next w:val="Default"/>
    <w:uiPriority w:val="99"/>
    <w:rsid w:val="00A85CB1"/>
    <w:pPr>
      <w:spacing w:line="221" w:lineRule="atLeast"/>
    </w:pPr>
    <w:rPr>
      <w:rFonts w:ascii="Minion" w:hAnsi="Minion" w:cs="Times New Roman"/>
      <w:color w:va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6005">
      <w:bodyDiv w:val="1"/>
      <w:marLeft w:val="0"/>
      <w:marRight w:val="0"/>
      <w:marTop w:val="0"/>
      <w:marBottom w:val="0"/>
      <w:divBdr>
        <w:top w:val="none" w:sz="0" w:space="0" w:color="auto"/>
        <w:left w:val="none" w:sz="0" w:space="0" w:color="auto"/>
        <w:bottom w:val="none" w:sz="0" w:space="0" w:color="auto"/>
        <w:right w:val="none" w:sz="0" w:space="0" w:color="auto"/>
      </w:divBdr>
    </w:div>
    <w:div w:id="86194010">
      <w:bodyDiv w:val="1"/>
      <w:marLeft w:val="0"/>
      <w:marRight w:val="0"/>
      <w:marTop w:val="0"/>
      <w:marBottom w:val="0"/>
      <w:divBdr>
        <w:top w:val="none" w:sz="0" w:space="0" w:color="auto"/>
        <w:left w:val="none" w:sz="0" w:space="0" w:color="auto"/>
        <w:bottom w:val="none" w:sz="0" w:space="0" w:color="auto"/>
        <w:right w:val="none" w:sz="0" w:space="0" w:color="auto"/>
      </w:divBdr>
    </w:div>
    <w:div w:id="95489559">
      <w:bodyDiv w:val="1"/>
      <w:marLeft w:val="0"/>
      <w:marRight w:val="0"/>
      <w:marTop w:val="0"/>
      <w:marBottom w:val="0"/>
      <w:divBdr>
        <w:top w:val="none" w:sz="0" w:space="0" w:color="auto"/>
        <w:left w:val="none" w:sz="0" w:space="0" w:color="auto"/>
        <w:bottom w:val="none" w:sz="0" w:space="0" w:color="auto"/>
        <w:right w:val="none" w:sz="0" w:space="0" w:color="auto"/>
      </w:divBdr>
      <w:divsChild>
        <w:div w:id="1532958595">
          <w:marLeft w:val="0"/>
          <w:marRight w:val="0"/>
          <w:marTop w:val="0"/>
          <w:marBottom w:val="0"/>
          <w:divBdr>
            <w:top w:val="none" w:sz="0" w:space="0" w:color="auto"/>
            <w:left w:val="none" w:sz="0" w:space="0" w:color="auto"/>
            <w:bottom w:val="none" w:sz="0" w:space="0" w:color="auto"/>
            <w:right w:val="none" w:sz="0" w:space="0" w:color="auto"/>
          </w:divBdr>
          <w:divsChild>
            <w:div w:id="7519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7352">
      <w:bodyDiv w:val="1"/>
      <w:marLeft w:val="0"/>
      <w:marRight w:val="0"/>
      <w:marTop w:val="0"/>
      <w:marBottom w:val="0"/>
      <w:divBdr>
        <w:top w:val="none" w:sz="0" w:space="0" w:color="auto"/>
        <w:left w:val="none" w:sz="0" w:space="0" w:color="auto"/>
        <w:bottom w:val="none" w:sz="0" w:space="0" w:color="auto"/>
        <w:right w:val="none" w:sz="0" w:space="0" w:color="auto"/>
      </w:divBdr>
    </w:div>
    <w:div w:id="143738564">
      <w:bodyDiv w:val="1"/>
      <w:marLeft w:val="0"/>
      <w:marRight w:val="0"/>
      <w:marTop w:val="0"/>
      <w:marBottom w:val="0"/>
      <w:divBdr>
        <w:top w:val="none" w:sz="0" w:space="0" w:color="auto"/>
        <w:left w:val="none" w:sz="0" w:space="0" w:color="auto"/>
        <w:bottom w:val="none" w:sz="0" w:space="0" w:color="auto"/>
        <w:right w:val="none" w:sz="0" w:space="0" w:color="auto"/>
      </w:divBdr>
    </w:div>
    <w:div w:id="166332304">
      <w:bodyDiv w:val="1"/>
      <w:marLeft w:val="0"/>
      <w:marRight w:val="0"/>
      <w:marTop w:val="0"/>
      <w:marBottom w:val="0"/>
      <w:divBdr>
        <w:top w:val="none" w:sz="0" w:space="0" w:color="auto"/>
        <w:left w:val="none" w:sz="0" w:space="0" w:color="auto"/>
        <w:bottom w:val="none" w:sz="0" w:space="0" w:color="auto"/>
        <w:right w:val="none" w:sz="0" w:space="0" w:color="auto"/>
      </w:divBdr>
    </w:div>
    <w:div w:id="181359541">
      <w:bodyDiv w:val="1"/>
      <w:marLeft w:val="0"/>
      <w:marRight w:val="0"/>
      <w:marTop w:val="0"/>
      <w:marBottom w:val="0"/>
      <w:divBdr>
        <w:top w:val="none" w:sz="0" w:space="0" w:color="auto"/>
        <w:left w:val="none" w:sz="0" w:space="0" w:color="auto"/>
        <w:bottom w:val="none" w:sz="0" w:space="0" w:color="auto"/>
        <w:right w:val="none" w:sz="0" w:space="0" w:color="auto"/>
      </w:divBdr>
    </w:div>
    <w:div w:id="234972774">
      <w:bodyDiv w:val="1"/>
      <w:marLeft w:val="0"/>
      <w:marRight w:val="0"/>
      <w:marTop w:val="0"/>
      <w:marBottom w:val="0"/>
      <w:divBdr>
        <w:top w:val="none" w:sz="0" w:space="0" w:color="auto"/>
        <w:left w:val="none" w:sz="0" w:space="0" w:color="auto"/>
        <w:bottom w:val="none" w:sz="0" w:space="0" w:color="auto"/>
        <w:right w:val="none" w:sz="0" w:space="0" w:color="auto"/>
      </w:divBdr>
    </w:div>
    <w:div w:id="255017927">
      <w:bodyDiv w:val="1"/>
      <w:marLeft w:val="0"/>
      <w:marRight w:val="0"/>
      <w:marTop w:val="0"/>
      <w:marBottom w:val="0"/>
      <w:divBdr>
        <w:top w:val="none" w:sz="0" w:space="0" w:color="auto"/>
        <w:left w:val="none" w:sz="0" w:space="0" w:color="auto"/>
        <w:bottom w:val="none" w:sz="0" w:space="0" w:color="auto"/>
        <w:right w:val="none" w:sz="0" w:space="0" w:color="auto"/>
      </w:divBdr>
    </w:div>
    <w:div w:id="387993900">
      <w:bodyDiv w:val="1"/>
      <w:marLeft w:val="0"/>
      <w:marRight w:val="0"/>
      <w:marTop w:val="0"/>
      <w:marBottom w:val="0"/>
      <w:divBdr>
        <w:top w:val="none" w:sz="0" w:space="0" w:color="auto"/>
        <w:left w:val="none" w:sz="0" w:space="0" w:color="auto"/>
        <w:bottom w:val="none" w:sz="0" w:space="0" w:color="auto"/>
        <w:right w:val="none" w:sz="0" w:space="0" w:color="auto"/>
      </w:divBdr>
    </w:div>
    <w:div w:id="430588942">
      <w:bodyDiv w:val="1"/>
      <w:marLeft w:val="0"/>
      <w:marRight w:val="0"/>
      <w:marTop w:val="0"/>
      <w:marBottom w:val="0"/>
      <w:divBdr>
        <w:top w:val="none" w:sz="0" w:space="0" w:color="auto"/>
        <w:left w:val="none" w:sz="0" w:space="0" w:color="auto"/>
        <w:bottom w:val="none" w:sz="0" w:space="0" w:color="auto"/>
        <w:right w:val="none" w:sz="0" w:space="0" w:color="auto"/>
      </w:divBdr>
    </w:div>
    <w:div w:id="475876571">
      <w:bodyDiv w:val="1"/>
      <w:marLeft w:val="0"/>
      <w:marRight w:val="0"/>
      <w:marTop w:val="0"/>
      <w:marBottom w:val="0"/>
      <w:divBdr>
        <w:top w:val="none" w:sz="0" w:space="0" w:color="auto"/>
        <w:left w:val="none" w:sz="0" w:space="0" w:color="auto"/>
        <w:bottom w:val="none" w:sz="0" w:space="0" w:color="auto"/>
        <w:right w:val="none" w:sz="0" w:space="0" w:color="auto"/>
      </w:divBdr>
    </w:div>
    <w:div w:id="541672967">
      <w:bodyDiv w:val="1"/>
      <w:marLeft w:val="0"/>
      <w:marRight w:val="0"/>
      <w:marTop w:val="0"/>
      <w:marBottom w:val="0"/>
      <w:divBdr>
        <w:top w:val="none" w:sz="0" w:space="0" w:color="auto"/>
        <w:left w:val="none" w:sz="0" w:space="0" w:color="auto"/>
        <w:bottom w:val="none" w:sz="0" w:space="0" w:color="auto"/>
        <w:right w:val="none" w:sz="0" w:space="0" w:color="auto"/>
      </w:divBdr>
    </w:div>
    <w:div w:id="573050700">
      <w:bodyDiv w:val="1"/>
      <w:marLeft w:val="0"/>
      <w:marRight w:val="0"/>
      <w:marTop w:val="0"/>
      <w:marBottom w:val="0"/>
      <w:divBdr>
        <w:top w:val="none" w:sz="0" w:space="0" w:color="auto"/>
        <w:left w:val="none" w:sz="0" w:space="0" w:color="auto"/>
        <w:bottom w:val="none" w:sz="0" w:space="0" w:color="auto"/>
        <w:right w:val="none" w:sz="0" w:space="0" w:color="auto"/>
      </w:divBdr>
    </w:div>
    <w:div w:id="579560073">
      <w:bodyDiv w:val="1"/>
      <w:marLeft w:val="0"/>
      <w:marRight w:val="0"/>
      <w:marTop w:val="0"/>
      <w:marBottom w:val="0"/>
      <w:divBdr>
        <w:top w:val="none" w:sz="0" w:space="0" w:color="auto"/>
        <w:left w:val="none" w:sz="0" w:space="0" w:color="auto"/>
        <w:bottom w:val="none" w:sz="0" w:space="0" w:color="auto"/>
        <w:right w:val="none" w:sz="0" w:space="0" w:color="auto"/>
      </w:divBdr>
    </w:div>
    <w:div w:id="599219471">
      <w:bodyDiv w:val="1"/>
      <w:marLeft w:val="0"/>
      <w:marRight w:val="0"/>
      <w:marTop w:val="0"/>
      <w:marBottom w:val="0"/>
      <w:divBdr>
        <w:top w:val="none" w:sz="0" w:space="0" w:color="auto"/>
        <w:left w:val="none" w:sz="0" w:space="0" w:color="auto"/>
        <w:bottom w:val="none" w:sz="0" w:space="0" w:color="auto"/>
        <w:right w:val="none" w:sz="0" w:space="0" w:color="auto"/>
      </w:divBdr>
    </w:div>
    <w:div w:id="671614041">
      <w:bodyDiv w:val="1"/>
      <w:marLeft w:val="0"/>
      <w:marRight w:val="0"/>
      <w:marTop w:val="0"/>
      <w:marBottom w:val="0"/>
      <w:divBdr>
        <w:top w:val="none" w:sz="0" w:space="0" w:color="auto"/>
        <w:left w:val="none" w:sz="0" w:space="0" w:color="auto"/>
        <w:bottom w:val="none" w:sz="0" w:space="0" w:color="auto"/>
        <w:right w:val="none" w:sz="0" w:space="0" w:color="auto"/>
      </w:divBdr>
    </w:div>
    <w:div w:id="771976365">
      <w:bodyDiv w:val="1"/>
      <w:marLeft w:val="0"/>
      <w:marRight w:val="0"/>
      <w:marTop w:val="0"/>
      <w:marBottom w:val="0"/>
      <w:divBdr>
        <w:top w:val="none" w:sz="0" w:space="0" w:color="auto"/>
        <w:left w:val="none" w:sz="0" w:space="0" w:color="auto"/>
        <w:bottom w:val="none" w:sz="0" w:space="0" w:color="auto"/>
        <w:right w:val="none" w:sz="0" w:space="0" w:color="auto"/>
      </w:divBdr>
    </w:div>
    <w:div w:id="835414230">
      <w:bodyDiv w:val="1"/>
      <w:marLeft w:val="0"/>
      <w:marRight w:val="0"/>
      <w:marTop w:val="0"/>
      <w:marBottom w:val="0"/>
      <w:divBdr>
        <w:top w:val="none" w:sz="0" w:space="0" w:color="auto"/>
        <w:left w:val="none" w:sz="0" w:space="0" w:color="auto"/>
        <w:bottom w:val="none" w:sz="0" w:space="0" w:color="auto"/>
        <w:right w:val="none" w:sz="0" w:space="0" w:color="auto"/>
      </w:divBdr>
    </w:div>
    <w:div w:id="858465556">
      <w:bodyDiv w:val="1"/>
      <w:marLeft w:val="0"/>
      <w:marRight w:val="0"/>
      <w:marTop w:val="0"/>
      <w:marBottom w:val="0"/>
      <w:divBdr>
        <w:top w:val="none" w:sz="0" w:space="0" w:color="auto"/>
        <w:left w:val="none" w:sz="0" w:space="0" w:color="auto"/>
        <w:bottom w:val="none" w:sz="0" w:space="0" w:color="auto"/>
        <w:right w:val="none" w:sz="0" w:space="0" w:color="auto"/>
      </w:divBdr>
    </w:div>
    <w:div w:id="907037054">
      <w:bodyDiv w:val="1"/>
      <w:marLeft w:val="0"/>
      <w:marRight w:val="0"/>
      <w:marTop w:val="0"/>
      <w:marBottom w:val="0"/>
      <w:divBdr>
        <w:top w:val="none" w:sz="0" w:space="0" w:color="auto"/>
        <w:left w:val="none" w:sz="0" w:space="0" w:color="auto"/>
        <w:bottom w:val="none" w:sz="0" w:space="0" w:color="auto"/>
        <w:right w:val="none" w:sz="0" w:space="0" w:color="auto"/>
      </w:divBdr>
    </w:div>
    <w:div w:id="941915822">
      <w:bodyDiv w:val="1"/>
      <w:marLeft w:val="0"/>
      <w:marRight w:val="0"/>
      <w:marTop w:val="0"/>
      <w:marBottom w:val="0"/>
      <w:divBdr>
        <w:top w:val="none" w:sz="0" w:space="0" w:color="auto"/>
        <w:left w:val="none" w:sz="0" w:space="0" w:color="auto"/>
        <w:bottom w:val="none" w:sz="0" w:space="0" w:color="auto"/>
        <w:right w:val="none" w:sz="0" w:space="0" w:color="auto"/>
      </w:divBdr>
      <w:divsChild>
        <w:div w:id="1748991129">
          <w:marLeft w:val="0"/>
          <w:marRight w:val="0"/>
          <w:marTop w:val="0"/>
          <w:marBottom w:val="0"/>
          <w:divBdr>
            <w:top w:val="none" w:sz="0" w:space="0" w:color="auto"/>
            <w:left w:val="none" w:sz="0" w:space="0" w:color="auto"/>
            <w:bottom w:val="none" w:sz="0" w:space="0" w:color="auto"/>
            <w:right w:val="none" w:sz="0" w:space="0" w:color="auto"/>
          </w:divBdr>
          <w:divsChild>
            <w:div w:id="1001589169">
              <w:marLeft w:val="0"/>
              <w:marRight w:val="0"/>
              <w:marTop w:val="0"/>
              <w:marBottom w:val="0"/>
              <w:divBdr>
                <w:top w:val="none" w:sz="0" w:space="0" w:color="auto"/>
                <w:left w:val="none" w:sz="0" w:space="0" w:color="auto"/>
                <w:bottom w:val="none" w:sz="0" w:space="0" w:color="auto"/>
                <w:right w:val="none" w:sz="0" w:space="0" w:color="auto"/>
              </w:divBdr>
              <w:divsChild>
                <w:div w:id="659967693">
                  <w:marLeft w:val="0"/>
                  <w:marRight w:val="0"/>
                  <w:marTop w:val="0"/>
                  <w:marBottom w:val="0"/>
                  <w:divBdr>
                    <w:top w:val="none" w:sz="0" w:space="0" w:color="auto"/>
                    <w:left w:val="none" w:sz="0" w:space="0" w:color="auto"/>
                    <w:bottom w:val="none" w:sz="0" w:space="0" w:color="auto"/>
                    <w:right w:val="none" w:sz="0" w:space="0" w:color="auto"/>
                  </w:divBdr>
                  <w:divsChild>
                    <w:div w:id="910116389">
                      <w:marLeft w:val="0"/>
                      <w:marRight w:val="0"/>
                      <w:marTop w:val="0"/>
                      <w:marBottom w:val="0"/>
                      <w:divBdr>
                        <w:top w:val="none" w:sz="0" w:space="0" w:color="auto"/>
                        <w:left w:val="none" w:sz="0" w:space="0" w:color="auto"/>
                        <w:bottom w:val="none" w:sz="0" w:space="0" w:color="auto"/>
                        <w:right w:val="none" w:sz="0" w:space="0" w:color="auto"/>
                      </w:divBdr>
                      <w:divsChild>
                        <w:div w:id="1922524635">
                          <w:marLeft w:val="0"/>
                          <w:marRight w:val="0"/>
                          <w:marTop w:val="0"/>
                          <w:marBottom w:val="0"/>
                          <w:divBdr>
                            <w:top w:val="none" w:sz="0" w:space="0" w:color="auto"/>
                            <w:left w:val="none" w:sz="0" w:space="0" w:color="auto"/>
                            <w:bottom w:val="none" w:sz="0" w:space="0" w:color="auto"/>
                            <w:right w:val="none" w:sz="0" w:space="0" w:color="auto"/>
                          </w:divBdr>
                          <w:divsChild>
                            <w:div w:id="1277371120">
                              <w:marLeft w:val="0"/>
                              <w:marRight w:val="0"/>
                              <w:marTop w:val="0"/>
                              <w:marBottom w:val="0"/>
                              <w:divBdr>
                                <w:top w:val="none" w:sz="0" w:space="0" w:color="auto"/>
                                <w:left w:val="none" w:sz="0" w:space="0" w:color="auto"/>
                                <w:bottom w:val="none" w:sz="0" w:space="0" w:color="auto"/>
                                <w:right w:val="none" w:sz="0" w:space="0" w:color="auto"/>
                              </w:divBdr>
                              <w:divsChild>
                                <w:div w:id="239214765">
                                  <w:marLeft w:val="0"/>
                                  <w:marRight w:val="0"/>
                                  <w:marTop w:val="0"/>
                                  <w:marBottom w:val="0"/>
                                  <w:divBdr>
                                    <w:top w:val="none" w:sz="0" w:space="0" w:color="auto"/>
                                    <w:left w:val="none" w:sz="0" w:space="0" w:color="auto"/>
                                    <w:bottom w:val="none" w:sz="0" w:space="0" w:color="auto"/>
                                    <w:right w:val="none" w:sz="0" w:space="0" w:color="auto"/>
                                  </w:divBdr>
                                </w:div>
                                <w:div w:id="132023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166919">
      <w:bodyDiv w:val="1"/>
      <w:marLeft w:val="0"/>
      <w:marRight w:val="0"/>
      <w:marTop w:val="0"/>
      <w:marBottom w:val="0"/>
      <w:divBdr>
        <w:top w:val="none" w:sz="0" w:space="0" w:color="auto"/>
        <w:left w:val="none" w:sz="0" w:space="0" w:color="auto"/>
        <w:bottom w:val="none" w:sz="0" w:space="0" w:color="auto"/>
        <w:right w:val="none" w:sz="0" w:space="0" w:color="auto"/>
      </w:divBdr>
    </w:div>
    <w:div w:id="1021669506">
      <w:bodyDiv w:val="1"/>
      <w:marLeft w:val="0"/>
      <w:marRight w:val="0"/>
      <w:marTop w:val="0"/>
      <w:marBottom w:val="0"/>
      <w:divBdr>
        <w:top w:val="none" w:sz="0" w:space="0" w:color="auto"/>
        <w:left w:val="none" w:sz="0" w:space="0" w:color="auto"/>
        <w:bottom w:val="none" w:sz="0" w:space="0" w:color="auto"/>
        <w:right w:val="none" w:sz="0" w:space="0" w:color="auto"/>
      </w:divBdr>
    </w:div>
    <w:div w:id="1032805112">
      <w:bodyDiv w:val="1"/>
      <w:marLeft w:val="0"/>
      <w:marRight w:val="0"/>
      <w:marTop w:val="0"/>
      <w:marBottom w:val="0"/>
      <w:divBdr>
        <w:top w:val="none" w:sz="0" w:space="0" w:color="auto"/>
        <w:left w:val="none" w:sz="0" w:space="0" w:color="auto"/>
        <w:bottom w:val="none" w:sz="0" w:space="0" w:color="auto"/>
        <w:right w:val="none" w:sz="0" w:space="0" w:color="auto"/>
      </w:divBdr>
    </w:div>
    <w:div w:id="1101220320">
      <w:bodyDiv w:val="1"/>
      <w:marLeft w:val="0"/>
      <w:marRight w:val="0"/>
      <w:marTop w:val="0"/>
      <w:marBottom w:val="0"/>
      <w:divBdr>
        <w:top w:val="none" w:sz="0" w:space="0" w:color="auto"/>
        <w:left w:val="none" w:sz="0" w:space="0" w:color="auto"/>
        <w:bottom w:val="none" w:sz="0" w:space="0" w:color="auto"/>
        <w:right w:val="none" w:sz="0" w:space="0" w:color="auto"/>
      </w:divBdr>
    </w:div>
    <w:div w:id="1122504042">
      <w:bodyDiv w:val="1"/>
      <w:marLeft w:val="0"/>
      <w:marRight w:val="0"/>
      <w:marTop w:val="0"/>
      <w:marBottom w:val="0"/>
      <w:divBdr>
        <w:top w:val="none" w:sz="0" w:space="0" w:color="auto"/>
        <w:left w:val="none" w:sz="0" w:space="0" w:color="auto"/>
        <w:bottom w:val="none" w:sz="0" w:space="0" w:color="auto"/>
        <w:right w:val="none" w:sz="0" w:space="0" w:color="auto"/>
      </w:divBdr>
    </w:div>
    <w:div w:id="1202985003">
      <w:bodyDiv w:val="1"/>
      <w:marLeft w:val="0"/>
      <w:marRight w:val="0"/>
      <w:marTop w:val="0"/>
      <w:marBottom w:val="0"/>
      <w:divBdr>
        <w:top w:val="none" w:sz="0" w:space="0" w:color="auto"/>
        <w:left w:val="none" w:sz="0" w:space="0" w:color="auto"/>
        <w:bottom w:val="none" w:sz="0" w:space="0" w:color="auto"/>
        <w:right w:val="none" w:sz="0" w:space="0" w:color="auto"/>
      </w:divBdr>
    </w:div>
    <w:div w:id="1275479387">
      <w:bodyDiv w:val="1"/>
      <w:marLeft w:val="0"/>
      <w:marRight w:val="0"/>
      <w:marTop w:val="0"/>
      <w:marBottom w:val="0"/>
      <w:divBdr>
        <w:top w:val="none" w:sz="0" w:space="0" w:color="auto"/>
        <w:left w:val="none" w:sz="0" w:space="0" w:color="auto"/>
        <w:bottom w:val="none" w:sz="0" w:space="0" w:color="auto"/>
        <w:right w:val="none" w:sz="0" w:space="0" w:color="auto"/>
      </w:divBdr>
    </w:div>
    <w:div w:id="1305158728">
      <w:bodyDiv w:val="1"/>
      <w:marLeft w:val="0"/>
      <w:marRight w:val="0"/>
      <w:marTop w:val="0"/>
      <w:marBottom w:val="0"/>
      <w:divBdr>
        <w:top w:val="none" w:sz="0" w:space="0" w:color="auto"/>
        <w:left w:val="none" w:sz="0" w:space="0" w:color="auto"/>
        <w:bottom w:val="none" w:sz="0" w:space="0" w:color="auto"/>
        <w:right w:val="none" w:sz="0" w:space="0" w:color="auto"/>
      </w:divBdr>
    </w:div>
    <w:div w:id="1407678885">
      <w:bodyDiv w:val="1"/>
      <w:marLeft w:val="0"/>
      <w:marRight w:val="0"/>
      <w:marTop w:val="0"/>
      <w:marBottom w:val="0"/>
      <w:divBdr>
        <w:top w:val="none" w:sz="0" w:space="0" w:color="auto"/>
        <w:left w:val="none" w:sz="0" w:space="0" w:color="auto"/>
        <w:bottom w:val="none" w:sz="0" w:space="0" w:color="auto"/>
        <w:right w:val="none" w:sz="0" w:space="0" w:color="auto"/>
      </w:divBdr>
    </w:div>
    <w:div w:id="1446345537">
      <w:bodyDiv w:val="1"/>
      <w:marLeft w:val="0"/>
      <w:marRight w:val="0"/>
      <w:marTop w:val="0"/>
      <w:marBottom w:val="0"/>
      <w:divBdr>
        <w:top w:val="none" w:sz="0" w:space="0" w:color="auto"/>
        <w:left w:val="none" w:sz="0" w:space="0" w:color="auto"/>
        <w:bottom w:val="none" w:sz="0" w:space="0" w:color="auto"/>
        <w:right w:val="none" w:sz="0" w:space="0" w:color="auto"/>
      </w:divBdr>
    </w:div>
    <w:div w:id="1471705916">
      <w:bodyDiv w:val="1"/>
      <w:marLeft w:val="0"/>
      <w:marRight w:val="0"/>
      <w:marTop w:val="0"/>
      <w:marBottom w:val="0"/>
      <w:divBdr>
        <w:top w:val="none" w:sz="0" w:space="0" w:color="auto"/>
        <w:left w:val="none" w:sz="0" w:space="0" w:color="auto"/>
        <w:bottom w:val="none" w:sz="0" w:space="0" w:color="auto"/>
        <w:right w:val="none" w:sz="0" w:space="0" w:color="auto"/>
      </w:divBdr>
    </w:div>
    <w:div w:id="1474910943">
      <w:bodyDiv w:val="1"/>
      <w:marLeft w:val="0"/>
      <w:marRight w:val="0"/>
      <w:marTop w:val="0"/>
      <w:marBottom w:val="0"/>
      <w:divBdr>
        <w:top w:val="none" w:sz="0" w:space="0" w:color="auto"/>
        <w:left w:val="none" w:sz="0" w:space="0" w:color="auto"/>
        <w:bottom w:val="none" w:sz="0" w:space="0" w:color="auto"/>
        <w:right w:val="none" w:sz="0" w:space="0" w:color="auto"/>
      </w:divBdr>
    </w:div>
    <w:div w:id="1487433201">
      <w:bodyDiv w:val="1"/>
      <w:marLeft w:val="0"/>
      <w:marRight w:val="0"/>
      <w:marTop w:val="0"/>
      <w:marBottom w:val="0"/>
      <w:divBdr>
        <w:top w:val="none" w:sz="0" w:space="0" w:color="auto"/>
        <w:left w:val="none" w:sz="0" w:space="0" w:color="auto"/>
        <w:bottom w:val="none" w:sz="0" w:space="0" w:color="auto"/>
        <w:right w:val="none" w:sz="0" w:space="0" w:color="auto"/>
      </w:divBdr>
    </w:div>
    <w:div w:id="1497577727">
      <w:bodyDiv w:val="1"/>
      <w:marLeft w:val="0"/>
      <w:marRight w:val="0"/>
      <w:marTop w:val="0"/>
      <w:marBottom w:val="0"/>
      <w:divBdr>
        <w:top w:val="none" w:sz="0" w:space="0" w:color="auto"/>
        <w:left w:val="none" w:sz="0" w:space="0" w:color="auto"/>
        <w:bottom w:val="none" w:sz="0" w:space="0" w:color="auto"/>
        <w:right w:val="none" w:sz="0" w:space="0" w:color="auto"/>
      </w:divBdr>
    </w:div>
    <w:div w:id="1512911722">
      <w:bodyDiv w:val="1"/>
      <w:marLeft w:val="0"/>
      <w:marRight w:val="0"/>
      <w:marTop w:val="0"/>
      <w:marBottom w:val="0"/>
      <w:divBdr>
        <w:top w:val="none" w:sz="0" w:space="0" w:color="auto"/>
        <w:left w:val="none" w:sz="0" w:space="0" w:color="auto"/>
        <w:bottom w:val="none" w:sz="0" w:space="0" w:color="auto"/>
        <w:right w:val="none" w:sz="0" w:space="0" w:color="auto"/>
      </w:divBdr>
    </w:div>
    <w:div w:id="1552576834">
      <w:bodyDiv w:val="1"/>
      <w:marLeft w:val="0"/>
      <w:marRight w:val="0"/>
      <w:marTop w:val="0"/>
      <w:marBottom w:val="0"/>
      <w:divBdr>
        <w:top w:val="none" w:sz="0" w:space="0" w:color="auto"/>
        <w:left w:val="none" w:sz="0" w:space="0" w:color="auto"/>
        <w:bottom w:val="none" w:sz="0" w:space="0" w:color="auto"/>
        <w:right w:val="none" w:sz="0" w:space="0" w:color="auto"/>
      </w:divBdr>
      <w:divsChild>
        <w:div w:id="2007440935">
          <w:marLeft w:val="0"/>
          <w:marRight w:val="0"/>
          <w:marTop w:val="0"/>
          <w:marBottom w:val="0"/>
          <w:divBdr>
            <w:top w:val="none" w:sz="0" w:space="0" w:color="auto"/>
            <w:left w:val="none" w:sz="0" w:space="0" w:color="auto"/>
            <w:bottom w:val="none" w:sz="0" w:space="0" w:color="auto"/>
            <w:right w:val="none" w:sz="0" w:space="0" w:color="auto"/>
          </w:divBdr>
          <w:divsChild>
            <w:div w:id="8238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6374">
      <w:bodyDiv w:val="1"/>
      <w:marLeft w:val="0"/>
      <w:marRight w:val="0"/>
      <w:marTop w:val="0"/>
      <w:marBottom w:val="0"/>
      <w:divBdr>
        <w:top w:val="none" w:sz="0" w:space="0" w:color="auto"/>
        <w:left w:val="none" w:sz="0" w:space="0" w:color="auto"/>
        <w:bottom w:val="none" w:sz="0" w:space="0" w:color="auto"/>
        <w:right w:val="none" w:sz="0" w:space="0" w:color="auto"/>
      </w:divBdr>
    </w:div>
    <w:div w:id="1604604843">
      <w:bodyDiv w:val="1"/>
      <w:marLeft w:val="0"/>
      <w:marRight w:val="0"/>
      <w:marTop w:val="0"/>
      <w:marBottom w:val="0"/>
      <w:divBdr>
        <w:top w:val="none" w:sz="0" w:space="0" w:color="auto"/>
        <w:left w:val="none" w:sz="0" w:space="0" w:color="auto"/>
        <w:bottom w:val="none" w:sz="0" w:space="0" w:color="auto"/>
        <w:right w:val="none" w:sz="0" w:space="0" w:color="auto"/>
      </w:divBdr>
    </w:div>
    <w:div w:id="1623345823">
      <w:bodyDiv w:val="1"/>
      <w:marLeft w:val="0"/>
      <w:marRight w:val="0"/>
      <w:marTop w:val="0"/>
      <w:marBottom w:val="0"/>
      <w:divBdr>
        <w:top w:val="none" w:sz="0" w:space="0" w:color="auto"/>
        <w:left w:val="none" w:sz="0" w:space="0" w:color="auto"/>
        <w:bottom w:val="none" w:sz="0" w:space="0" w:color="auto"/>
        <w:right w:val="none" w:sz="0" w:space="0" w:color="auto"/>
      </w:divBdr>
    </w:div>
    <w:div w:id="1732263545">
      <w:bodyDiv w:val="1"/>
      <w:marLeft w:val="0"/>
      <w:marRight w:val="0"/>
      <w:marTop w:val="0"/>
      <w:marBottom w:val="0"/>
      <w:divBdr>
        <w:top w:val="none" w:sz="0" w:space="0" w:color="auto"/>
        <w:left w:val="none" w:sz="0" w:space="0" w:color="auto"/>
        <w:bottom w:val="none" w:sz="0" w:space="0" w:color="auto"/>
        <w:right w:val="none" w:sz="0" w:space="0" w:color="auto"/>
      </w:divBdr>
    </w:div>
    <w:div w:id="1734084790">
      <w:bodyDiv w:val="1"/>
      <w:marLeft w:val="0"/>
      <w:marRight w:val="0"/>
      <w:marTop w:val="0"/>
      <w:marBottom w:val="0"/>
      <w:divBdr>
        <w:top w:val="none" w:sz="0" w:space="0" w:color="auto"/>
        <w:left w:val="none" w:sz="0" w:space="0" w:color="auto"/>
        <w:bottom w:val="none" w:sz="0" w:space="0" w:color="auto"/>
        <w:right w:val="none" w:sz="0" w:space="0" w:color="auto"/>
      </w:divBdr>
    </w:div>
    <w:div w:id="1769737030">
      <w:bodyDiv w:val="1"/>
      <w:marLeft w:val="0"/>
      <w:marRight w:val="0"/>
      <w:marTop w:val="0"/>
      <w:marBottom w:val="0"/>
      <w:divBdr>
        <w:top w:val="none" w:sz="0" w:space="0" w:color="auto"/>
        <w:left w:val="none" w:sz="0" w:space="0" w:color="auto"/>
        <w:bottom w:val="none" w:sz="0" w:space="0" w:color="auto"/>
        <w:right w:val="none" w:sz="0" w:space="0" w:color="auto"/>
      </w:divBdr>
    </w:div>
    <w:div w:id="1784424236">
      <w:bodyDiv w:val="1"/>
      <w:marLeft w:val="0"/>
      <w:marRight w:val="0"/>
      <w:marTop w:val="0"/>
      <w:marBottom w:val="0"/>
      <w:divBdr>
        <w:top w:val="none" w:sz="0" w:space="0" w:color="auto"/>
        <w:left w:val="none" w:sz="0" w:space="0" w:color="auto"/>
        <w:bottom w:val="none" w:sz="0" w:space="0" w:color="auto"/>
        <w:right w:val="none" w:sz="0" w:space="0" w:color="auto"/>
      </w:divBdr>
      <w:divsChild>
        <w:div w:id="1569462256">
          <w:marLeft w:val="0"/>
          <w:marRight w:val="0"/>
          <w:marTop w:val="0"/>
          <w:marBottom w:val="0"/>
          <w:divBdr>
            <w:top w:val="none" w:sz="0" w:space="0" w:color="auto"/>
            <w:left w:val="none" w:sz="0" w:space="0" w:color="auto"/>
            <w:bottom w:val="none" w:sz="0" w:space="0" w:color="auto"/>
            <w:right w:val="none" w:sz="0" w:space="0" w:color="auto"/>
          </w:divBdr>
          <w:divsChild>
            <w:div w:id="1645812493">
              <w:marLeft w:val="0"/>
              <w:marRight w:val="0"/>
              <w:marTop w:val="0"/>
              <w:marBottom w:val="0"/>
              <w:divBdr>
                <w:top w:val="none" w:sz="0" w:space="0" w:color="auto"/>
                <w:left w:val="none" w:sz="0" w:space="0" w:color="auto"/>
                <w:bottom w:val="none" w:sz="0" w:space="0" w:color="auto"/>
                <w:right w:val="none" w:sz="0" w:space="0" w:color="auto"/>
              </w:divBdr>
              <w:divsChild>
                <w:div w:id="1143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00235">
      <w:bodyDiv w:val="1"/>
      <w:marLeft w:val="0"/>
      <w:marRight w:val="0"/>
      <w:marTop w:val="0"/>
      <w:marBottom w:val="0"/>
      <w:divBdr>
        <w:top w:val="none" w:sz="0" w:space="0" w:color="auto"/>
        <w:left w:val="none" w:sz="0" w:space="0" w:color="auto"/>
        <w:bottom w:val="none" w:sz="0" w:space="0" w:color="auto"/>
        <w:right w:val="none" w:sz="0" w:space="0" w:color="auto"/>
      </w:divBdr>
    </w:div>
    <w:div w:id="1876581485">
      <w:bodyDiv w:val="1"/>
      <w:marLeft w:val="0"/>
      <w:marRight w:val="0"/>
      <w:marTop w:val="0"/>
      <w:marBottom w:val="0"/>
      <w:divBdr>
        <w:top w:val="none" w:sz="0" w:space="0" w:color="auto"/>
        <w:left w:val="none" w:sz="0" w:space="0" w:color="auto"/>
        <w:bottom w:val="none" w:sz="0" w:space="0" w:color="auto"/>
        <w:right w:val="none" w:sz="0" w:space="0" w:color="auto"/>
      </w:divBdr>
    </w:div>
    <w:div w:id="1881819672">
      <w:bodyDiv w:val="1"/>
      <w:marLeft w:val="0"/>
      <w:marRight w:val="0"/>
      <w:marTop w:val="0"/>
      <w:marBottom w:val="0"/>
      <w:divBdr>
        <w:top w:val="none" w:sz="0" w:space="0" w:color="auto"/>
        <w:left w:val="none" w:sz="0" w:space="0" w:color="auto"/>
        <w:bottom w:val="none" w:sz="0" w:space="0" w:color="auto"/>
        <w:right w:val="none" w:sz="0" w:space="0" w:color="auto"/>
      </w:divBdr>
    </w:div>
    <w:div w:id="1886523119">
      <w:bodyDiv w:val="1"/>
      <w:marLeft w:val="0"/>
      <w:marRight w:val="0"/>
      <w:marTop w:val="0"/>
      <w:marBottom w:val="0"/>
      <w:divBdr>
        <w:top w:val="none" w:sz="0" w:space="0" w:color="auto"/>
        <w:left w:val="none" w:sz="0" w:space="0" w:color="auto"/>
        <w:bottom w:val="none" w:sz="0" w:space="0" w:color="auto"/>
        <w:right w:val="none" w:sz="0" w:space="0" w:color="auto"/>
      </w:divBdr>
    </w:div>
    <w:div w:id="1902058194">
      <w:bodyDiv w:val="1"/>
      <w:marLeft w:val="0"/>
      <w:marRight w:val="0"/>
      <w:marTop w:val="0"/>
      <w:marBottom w:val="0"/>
      <w:divBdr>
        <w:top w:val="none" w:sz="0" w:space="0" w:color="auto"/>
        <w:left w:val="none" w:sz="0" w:space="0" w:color="auto"/>
        <w:bottom w:val="none" w:sz="0" w:space="0" w:color="auto"/>
        <w:right w:val="none" w:sz="0" w:space="0" w:color="auto"/>
      </w:divBdr>
    </w:div>
    <w:div w:id="1932662975">
      <w:bodyDiv w:val="1"/>
      <w:marLeft w:val="0"/>
      <w:marRight w:val="0"/>
      <w:marTop w:val="0"/>
      <w:marBottom w:val="0"/>
      <w:divBdr>
        <w:top w:val="none" w:sz="0" w:space="0" w:color="auto"/>
        <w:left w:val="none" w:sz="0" w:space="0" w:color="auto"/>
        <w:bottom w:val="none" w:sz="0" w:space="0" w:color="auto"/>
        <w:right w:val="none" w:sz="0" w:space="0" w:color="auto"/>
      </w:divBdr>
    </w:div>
    <w:div w:id="1965426579">
      <w:bodyDiv w:val="1"/>
      <w:marLeft w:val="0"/>
      <w:marRight w:val="0"/>
      <w:marTop w:val="0"/>
      <w:marBottom w:val="0"/>
      <w:divBdr>
        <w:top w:val="none" w:sz="0" w:space="0" w:color="auto"/>
        <w:left w:val="none" w:sz="0" w:space="0" w:color="auto"/>
        <w:bottom w:val="none" w:sz="0" w:space="0" w:color="auto"/>
        <w:right w:val="none" w:sz="0" w:space="0" w:color="auto"/>
      </w:divBdr>
    </w:div>
    <w:div w:id="1968319695">
      <w:bodyDiv w:val="1"/>
      <w:marLeft w:val="0"/>
      <w:marRight w:val="0"/>
      <w:marTop w:val="0"/>
      <w:marBottom w:val="0"/>
      <w:divBdr>
        <w:top w:val="none" w:sz="0" w:space="0" w:color="auto"/>
        <w:left w:val="none" w:sz="0" w:space="0" w:color="auto"/>
        <w:bottom w:val="none" w:sz="0" w:space="0" w:color="auto"/>
        <w:right w:val="none" w:sz="0" w:space="0" w:color="auto"/>
      </w:divBdr>
    </w:div>
    <w:div w:id="2019768756">
      <w:bodyDiv w:val="1"/>
      <w:marLeft w:val="0"/>
      <w:marRight w:val="0"/>
      <w:marTop w:val="0"/>
      <w:marBottom w:val="0"/>
      <w:divBdr>
        <w:top w:val="none" w:sz="0" w:space="0" w:color="auto"/>
        <w:left w:val="none" w:sz="0" w:space="0" w:color="auto"/>
        <w:bottom w:val="none" w:sz="0" w:space="0" w:color="auto"/>
        <w:right w:val="none" w:sz="0" w:space="0" w:color="auto"/>
      </w:divBdr>
    </w:div>
    <w:div w:id="2020083704">
      <w:bodyDiv w:val="1"/>
      <w:marLeft w:val="0"/>
      <w:marRight w:val="0"/>
      <w:marTop w:val="0"/>
      <w:marBottom w:val="0"/>
      <w:divBdr>
        <w:top w:val="none" w:sz="0" w:space="0" w:color="auto"/>
        <w:left w:val="none" w:sz="0" w:space="0" w:color="auto"/>
        <w:bottom w:val="none" w:sz="0" w:space="0" w:color="auto"/>
        <w:right w:val="none" w:sz="0" w:space="0" w:color="auto"/>
      </w:divBdr>
    </w:div>
    <w:div w:id="2094157341">
      <w:bodyDiv w:val="1"/>
      <w:marLeft w:val="0"/>
      <w:marRight w:val="0"/>
      <w:marTop w:val="0"/>
      <w:marBottom w:val="0"/>
      <w:divBdr>
        <w:top w:val="none" w:sz="0" w:space="0" w:color="auto"/>
        <w:left w:val="none" w:sz="0" w:space="0" w:color="auto"/>
        <w:bottom w:val="none" w:sz="0" w:space="0" w:color="auto"/>
        <w:right w:val="none" w:sz="0" w:space="0" w:color="auto"/>
      </w:divBdr>
    </w:div>
    <w:div w:id="2128741921">
      <w:bodyDiv w:val="1"/>
      <w:marLeft w:val="0"/>
      <w:marRight w:val="0"/>
      <w:marTop w:val="0"/>
      <w:marBottom w:val="0"/>
      <w:divBdr>
        <w:top w:val="none" w:sz="0" w:space="0" w:color="auto"/>
        <w:left w:val="none" w:sz="0" w:space="0" w:color="auto"/>
        <w:bottom w:val="none" w:sz="0" w:space="0" w:color="auto"/>
        <w:right w:val="none" w:sz="0" w:space="0" w:color="auto"/>
      </w:divBdr>
    </w:div>
    <w:div w:id="21412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1.wmf"/><Relationship Id="rId3" Type="http://schemas.openxmlformats.org/officeDocument/2006/relationships/numbering" Target="numbering.xml"/><Relationship Id="rId21" Type="http://schemas.openxmlformats.org/officeDocument/2006/relationships/image" Target="media/image8.wmf"/><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10.w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4.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oleObject" Target="embeddings/oleObject6.bin"/><Relationship Id="rId32"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hscic.gov.uk/hes" TargetMode="External"/><Relationship Id="rId23" Type="http://schemas.openxmlformats.org/officeDocument/2006/relationships/image" Target="media/image9.wmf"/><Relationship Id="rId28" Type="http://schemas.openxmlformats.org/officeDocument/2006/relationships/oleObject" Target="embeddings/oleObject8.bin"/><Relationship Id="rId10" Type="http://schemas.openxmlformats.org/officeDocument/2006/relationships/image" Target="media/image1.wmf"/><Relationship Id="rId19" Type="http://schemas.openxmlformats.org/officeDocument/2006/relationships/image" Target="media/image7.wmf"/><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gov.uk/government/uploads/system/uploads/attachment_data/file/205687/Benefits_statement.pdf" TargetMode="External"/><Relationship Id="rId22" Type="http://schemas.openxmlformats.org/officeDocument/2006/relationships/oleObject" Target="embeddings/oleObject5.bin"/><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oleObject" Target="embeddings/oleObject3.bin"/><Relationship Id="rId2" Type="http://schemas.openxmlformats.org/officeDocument/2006/relationships/image" Target="media/image3.wmf"/><Relationship Id="rId1" Type="http://schemas.openxmlformats.org/officeDocument/2006/relationships/hyperlink" Target="http://www.qualitywatch.org.uk/indicator/waiting-times-outpatient-appointment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rgbClr val="002060"/>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35991-DD75-49EE-81B4-C2E48CC88C5C}">
  <ds:schemaRefs>
    <ds:schemaRef ds:uri="http://schemas.openxmlformats.org/officeDocument/2006/bibliography"/>
  </ds:schemaRefs>
</ds:datastoreItem>
</file>

<file path=customXml/itemProps2.xml><?xml version="1.0" encoding="utf-8"?>
<ds:datastoreItem xmlns:ds="http://schemas.openxmlformats.org/officeDocument/2006/customXml" ds:itemID="{B638AC20-0DCF-4288-B061-5EDF4D424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33</Pages>
  <Words>9141</Words>
  <Characters>52105</Characters>
  <Application>Microsoft Office Word</Application>
  <DocSecurity>0</DocSecurity>
  <Lines>434</Lines>
  <Paragraphs>122</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FH - Natural Experiment</vt:lpstr>
      <vt:lpstr>FH - Natural Experiment</vt:lpstr>
      <vt:lpstr>FH - Natural Experiment</vt:lpstr>
    </vt:vector>
  </TitlesOfParts>
  <Company>TOSHIBA</Company>
  <LinksUpToDate>false</LinksUpToDate>
  <CharactersWithSpaces>61124</CharactersWithSpaces>
  <SharedDoc>false</SharedDoc>
  <HLinks>
    <vt:vector size="24" baseType="variant">
      <vt:variant>
        <vt:i4>8060981</vt:i4>
      </vt:variant>
      <vt:variant>
        <vt:i4>350</vt:i4>
      </vt:variant>
      <vt:variant>
        <vt:i4>0</vt:i4>
      </vt:variant>
      <vt:variant>
        <vt:i4>5</vt:i4>
      </vt:variant>
      <vt:variant>
        <vt:lpwstr>http://www.ic.nhs.uk/statistics-and-data-collections/workforce/nhs-staff-numbers/nhs-staff-1998--2008-general-practice</vt:lpwstr>
      </vt:variant>
      <vt:variant>
        <vt:lpwstr/>
      </vt:variant>
      <vt:variant>
        <vt:i4>1900551</vt:i4>
      </vt:variant>
      <vt:variant>
        <vt:i4>347</vt:i4>
      </vt:variant>
      <vt:variant>
        <vt:i4>0</vt:i4>
      </vt:variant>
      <vt:variant>
        <vt:i4>5</vt:i4>
      </vt:variant>
      <vt:variant>
        <vt:lpwstr>http://www.npcrdc.ac.uk/PublicationResults.cfm?Type=2</vt:lpwstr>
      </vt:variant>
      <vt:variant>
        <vt:lpwstr/>
      </vt:variant>
      <vt:variant>
        <vt:i4>7143466</vt:i4>
      </vt:variant>
      <vt:variant>
        <vt:i4>344</vt:i4>
      </vt:variant>
      <vt:variant>
        <vt:i4>0</vt:i4>
      </vt:variant>
      <vt:variant>
        <vt:i4>5</vt:i4>
      </vt:variant>
      <vt:variant>
        <vt:lpwstr>http://www.human-resources-health.com/content/1/1/5</vt:lpwstr>
      </vt:variant>
      <vt:variant>
        <vt:lpwstr/>
      </vt:variant>
      <vt:variant>
        <vt:i4>65574</vt:i4>
      </vt:variant>
      <vt:variant>
        <vt:i4>0</vt:i4>
      </vt:variant>
      <vt:variant>
        <vt:i4>0</vt:i4>
      </vt:variant>
      <vt:variant>
        <vt:i4>5</vt:i4>
      </vt:variant>
      <vt:variant>
        <vt:lpwstr>mailto:hg8@york.ac.uk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 Natural Experiment</dc:title>
  <dc:creator>Hugh Gravelle  (hg8)</dc:creator>
  <cp:lastModifiedBy>Hugh Gravelle</cp:lastModifiedBy>
  <cp:revision>7</cp:revision>
  <cp:lastPrinted>2017-02-02T18:45:00Z</cp:lastPrinted>
  <dcterms:created xsi:type="dcterms:W3CDTF">2017-02-02T18:20:00Z</dcterms:created>
  <dcterms:modified xsi:type="dcterms:W3CDTF">2017-06-23T16:37:00Z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nNumsOnRight">
    <vt:bool>true</vt:bool>
  </property>
  <property fmtid="{D5CDD505-2E9C-101B-9397-08002B2CF9AE}" pid="5" name="MTEquationNumber2">
    <vt:lpwstr>(#E1)</vt:lpwstr>
  </property>
</Properties>
</file>