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5C825" w14:textId="29DDC7FA" w:rsidR="003872DB" w:rsidRPr="00D039E9" w:rsidRDefault="003872DB" w:rsidP="003872DB">
      <w:pPr>
        <w:pStyle w:val="BBAuthorName"/>
        <w:rPr>
          <w:rFonts w:cs="Times"/>
          <w:i w:val="0"/>
          <w:sz w:val="44"/>
          <w:lang w:val="en-CA"/>
        </w:rPr>
      </w:pPr>
      <w:r w:rsidRPr="00D039E9">
        <w:rPr>
          <w:rFonts w:cs="Times"/>
          <w:i w:val="0"/>
          <w:sz w:val="44"/>
          <w:lang w:val="en-CA"/>
        </w:rPr>
        <w:t xml:space="preserve">Quantifying non-specific interactions between flavour and food biomolecules </w:t>
      </w:r>
    </w:p>
    <w:p w14:paraId="662BFBAC" w14:textId="0B5AB4A8" w:rsidR="003872DB" w:rsidRPr="00D039E9" w:rsidRDefault="003872DB" w:rsidP="003872DB">
      <w:pPr>
        <w:jc w:val="center"/>
        <w:rPr>
          <w:rFonts w:cs="Times"/>
          <w:i/>
          <w:lang w:val="en-CA"/>
        </w:rPr>
      </w:pPr>
      <w:r w:rsidRPr="00D039E9">
        <w:rPr>
          <w:rFonts w:cs="Times"/>
          <w:i/>
          <w:lang w:val="en-CA"/>
        </w:rPr>
        <w:t>Seishi Shimizu,</w:t>
      </w:r>
      <w:r w:rsidRPr="00D039E9">
        <w:rPr>
          <w:rFonts w:cs="Times"/>
          <w:i/>
          <w:vertAlign w:val="superscript"/>
          <w:lang w:val="en-CA"/>
        </w:rPr>
        <w:t>1</w:t>
      </w:r>
      <w:r w:rsidR="0086721A" w:rsidRPr="00D039E9">
        <w:rPr>
          <w:rFonts w:cs="Times"/>
          <w:i/>
          <w:vertAlign w:val="superscript"/>
          <w:lang w:val="en-CA"/>
        </w:rPr>
        <w:t>,</w:t>
      </w:r>
      <w:r w:rsidRPr="00D039E9">
        <w:rPr>
          <w:rFonts w:cs="Times"/>
          <w:i/>
          <w:lang w:val="en-CA"/>
        </w:rPr>
        <w:t>* Steven Abbott</w:t>
      </w:r>
      <w:r w:rsidRPr="00D039E9">
        <w:rPr>
          <w:rFonts w:cs="Times"/>
          <w:i/>
          <w:vertAlign w:val="superscript"/>
          <w:lang w:val="en-CA"/>
        </w:rPr>
        <w:t>2</w:t>
      </w:r>
      <w:r w:rsidR="00AD2802" w:rsidRPr="00D039E9">
        <w:rPr>
          <w:rFonts w:cs="Times"/>
          <w:i/>
          <w:vertAlign w:val="superscript"/>
          <w:lang w:val="en-CA"/>
        </w:rPr>
        <w:t>,3</w:t>
      </w:r>
      <w:r w:rsidRPr="00D039E9">
        <w:rPr>
          <w:rFonts w:cs="Times"/>
          <w:i/>
          <w:lang w:val="en-CA"/>
        </w:rPr>
        <w:t xml:space="preserve"> and Nobuyuki Matubayasi</w:t>
      </w:r>
      <w:r w:rsidR="00AD2802" w:rsidRPr="00D039E9">
        <w:rPr>
          <w:rFonts w:cs="Times"/>
          <w:i/>
          <w:vertAlign w:val="superscript"/>
          <w:lang w:val="en-CA"/>
        </w:rPr>
        <w:t>4,5</w:t>
      </w:r>
    </w:p>
    <w:p w14:paraId="4062D338" w14:textId="77777777" w:rsidR="003872DB" w:rsidRPr="00D039E9" w:rsidRDefault="003872DB" w:rsidP="003872DB">
      <w:pPr>
        <w:pStyle w:val="BCAuthorAddress"/>
        <w:jc w:val="both"/>
        <w:rPr>
          <w:rFonts w:cs="Times"/>
          <w:vertAlign w:val="superscript"/>
          <w:lang w:val="en-CA" w:eastAsia="ja-JP"/>
        </w:rPr>
      </w:pPr>
    </w:p>
    <w:p w14:paraId="2A4DEE1A" w14:textId="23DBC291" w:rsidR="003872DB" w:rsidRPr="00D039E9" w:rsidRDefault="003872DB" w:rsidP="003872DB">
      <w:pPr>
        <w:pStyle w:val="BCAuthorAddress"/>
        <w:jc w:val="left"/>
        <w:rPr>
          <w:rFonts w:cs="Times"/>
          <w:lang w:val="en-CA" w:eastAsia="ja-JP"/>
        </w:rPr>
      </w:pPr>
      <w:r w:rsidRPr="00D039E9">
        <w:rPr>
          <w:rFonts w:cs="Times"/>
          <w:vertAlign w:val="superscript"/>
          <w:lang w:val="en-CA" w:eastAsia="ja-JP"/>
        </w:rPr>
        <w:t>1</w:t>
      </w:r>
      <w:r w:rsidRPr="00D039E9">
        <w:rPr>
          <w:rFonts w:cs="Times"/>
          <w:lang w:val="en-CA" w:eastAsia="ja-JP"/>
        </w:rPr>
        <w:t>York Structural Biology Laboratory, Department of Chemistry, University of York, Heslington, York YO10 5DD, United Kingdom</w:t>
      </w:r>
      <w:r w:rsidR="00AD2802" w:rsidRPr="00D039E9">
        <w:rPr>
          <w:rFonts w:cs="Times"/>
          <w:lang w:val="en-CA" w:eastAsia="ja-JP"/>
        </w:rPr>
        <w:t xml:space="preserve">. </w:t>
      </w:r>
    </w:p>
    <w:p w14:paraId="0CE479A2" w14:textId="77777777" w:rsidR="00DD36F1" w:rsidRPr="00D039E9" w:rsidRDefault="00DD36F1" w:rsidP="00DD36F1">
      <w:pPr>
        <w:pStyle w:val="BCAuthorAddress"/>
        <w:jc w:val="left"/>
        <w:rPr>
          <w:rFonts w:cs="Times"/>
          <w:lang w:eastAsia="ja-JP"/>
        </w:rPr>
      </w:pPr>
      <w:r w:rsidRPr="00D039E9">
        <w:rPr>
          <w:rFonts w:cs="Times"/>
          <w:vertAlign w:val="superscript"/>
          <w:lang w:eastAsia="ja-JP"/>
        </w:rPr>
        <w:t>2</w:t>
      </w:r>
      <w:r w:rsidRPr="00D039E9">
        <w:rPr>
          <w:rFonts w:cs="Times"/>
          <w:lang w:eastAsia="ja-JP"/>
        </w:rPr>
        <w:t xml:space="preserve">Steven Abbott TCNF Ltd., 7 Elsmere Road, Ipswich, Suffolk IP1 3SZ, United Kingdom. </w:t>
      </w:r>
    </w:p>
    <w:p w14:paraId="198D4281" w14:textId="56CCB173" w:rsidR="00AD2802" w:rsidRPr="00D039E9" w:rsidRDefault="00DD36F1" w:rsidP="00AD2802">
      <w:pPr>
        <w:pStyle w:val="BCAuthorAddress"/>
        <w:jc w:val="left"/>
        <w:rPr>
          <w:rFonts w:cs="Times"/>
          <w:lang w:eastAsia="ja-JP"/>
        </w:rPr>
      </w:pPr>
      <w:r w:rsidRPr="00D039E9">
        <w:rPr>
          <w:rFonts w:cs="Times"/>
          <w:vertAlign w:val="superscript"/>
          <w:lang w:eastAsia="ja-JP"/>
        </w:rPr>
        <w:t>3</w:t>
      </w:r>
      <w:r w:rsidRPr="00D039E9">
        <w:rPr>
          <w:rFonts w:cs="Times"/>
          <w:lang w:eastAsia="ja-JP"/>
        </w:rPr>
        <w:t>School of Mechanical Engineering, University of Leeds, Leeds LS2 9JT, United Kingdom.</w:t>
      </w:r>
    </w:p>
    <w:p w14:paraId="5B3D1020" w14:textId="4BFC1CF2" w:rsidR="00AD2802" w:rsidRPr="00D039E9" w:rsidRDefault="00AD2802" w:rsidP="00AD2802">
      <w:pPr>
        <w:pStyle w:val="BIEmailAddress"/>
        <w:rPr>
          <w:rFonts w:cs="Times"/>
          <w:lang w:val="en-CA" w:eastAsia="ja-JP"/>
        </w:rPr>
      </w:pPr>
      <w:r w:rsidRPr="00D039E9">
        <w:rPr>
          <w:rFonts w:cs="Times"/>
          <w:vertAlign w:val="superscript"/>
          <w:lang w:val="en-CA" w:eastAsia="ja-JP"/>
        </w:rPr>
        <w:t>4</w:t>
      </w:r>
      <w:r w:rsidRPr="00D039E9">
        <w:rPr>
          <w:rFonts w:cs="Times"/>
          <w:lang w:val="en-CA" w:eastAsia="ja-JP"/>
        </w:rPr>
        <w:t>Division of Chemical Engineering, Graduate School of Engineering Science, Osaka University, Toyonaka, Osaka 560-8531, Japan</w:t>
      </w:r>
      <w:r w:rsidR="00FD069C" w:rsidRPr="00D039E9">
        <w:rPr>
          <w:rFonts w:cs="Times"/>
          <w:lang w:val="en-CA" w:eastAsia="ja-JP"/>
        </w:rPr>
        <w:t>.</w:t>
      </w:r>
    </w:p>
    <w:p w14:paraId="50A07D7B" w14:textId="34FF12DF" w:rsidR="00AD2802" w:rsidRPr="00D039E9" w:rsidRDefault="00AD2802" w:rsidP="00AD2802">
      <w:pPr>
        <w:pStyle w:val="BIEmailAddress"/>
        <w:rPr>
          <w:rFonts w:cs="Times"/>
          <w:lang w:val="en-CA" w:eastAsia="ja-JP"/>
        </w:rPr>
      </w:pPr>
      <w:r w:rsidRPr="00D039E9">
        <w:rPr>
          <w:rFonts w:cs="Times"/>
          <w:vertAlign w:val="superscript"/>
          <w:lang w:val="en-CA" w:eastAsia="ja-JP"/>
        </w:rPr>
        <w:t>5</w:t>
      </w:r>
      <w:r w:rsidRPr="00D039E9">
        <w:rPr>
          <w:rFonts w:cs="Times"/>
          <w:lang w:val="en-CA" w:eastAsia="ja-JP"/>
        </w:rPr>
        <w:t>Elements Strategy Initiative for Catalysts and Batteries, Kyoto University, Katsura, Kyoto 615-8520, Japan</w:t>
      </w:r>
      <w:r w:rsidR="00FD069C" w:rsidRPr="00D039E9">
        <w:rPr>
          <w:rFonts w:cs="Times"/>
          <w:lang w:val="en-CA" w:eastAsia="ja-JP"/>
        </w:rPr>
        <w:t>.</w:t>
      </w:r>
    </w:p>
    <w:p w14:paraId="0AB41E5C" w14:textId="77777777" w:rsidR="003872DB" w:rsidRPr="00D039E9" w:rsidRDefault="003872DB" w:rsidP="003872DB">
      <w:pPr>
        <w:pStyle w:val="TAMainText"/>
        <w:ind w:firstLine="0"/>
        <w:rPr>
          <w:rFonts w:cs="Times"/>
          <w:lang w:val="en-CA"/>
        </w:rPr>
      </w:pPr>
    </w:p>
    <w:p w14:paraId="3AFD6AC4" w14:textId="0E0D59AA" w:rsidR="003872DB" w:rsidRPr="00D039E9" w:rsidRDefault="003872DB" w:rsidP="003872DB">
      <w:pPr>
        <w:pStyle w:val="TAMainText"/>
        <w:ind w:firstLine="0"/>
        <w:rPr>
          <w:rFonts w:cs="Times"/>
          <w:lang w:val="en-CA"/>
        </w:rPr>
      </w:pPr>
      <w:r w:rsidRPr="00D039E9">
        <w:rPr>
          <w:rFonts w:cs="Times"/>
          <w:b/>
          <w:lang w:val="en-CA"/>
        </w:rPr>
        <w:t>KEYWORDS:</w:t>
      </w:r>
      <w:r w:rsidRPr="00D039E9">
        <w:rPr>
          <w:rFonts w:cs="Times"/>
          <w:lang w:val="en-CA"/>
        </w:rPr>
        <w:t xml:space="preserve">  statistical thermodyn</w:t>
      </w:r>
      <w:r w:rsidR="00FD069C" w:rsidRPr="00D039E9">
        <w:rPr>
          <w:rFonts w:cs="Times"/>
          <w:lang w:val="en-CA"/>
        </w:rPr>
        <w:t>amics; Kirkwood-Buff theory; flavour; headspace; binding; denaturation</w:t>
      </w:r>
    </w:p>
    <w:p w14:paraId="26F5B5A6" w14:textId="77777777" w:rsidR="003872DB" w:rsidRPr="00D039E9" w:rsidRDefault="003872DB" w:rsidP="003872DB">
      <w:pPr>
        <w:pStyle w:val="TAMainText"/>
        <w:ind w:firstLine="0"/>
        <w:rPr>
          <w:rFonts w:cs="Times"/>
          <w:lang w:val="en-CA"/>
        </w:rPr>
      </w:pPr>
    </w:p>
    <w:p w14:paraId="3B466FFB" w14:textId="77777777" w:rsidR="003872DB" w:rsidRPr="00D039E9" w:rsidRDefault="003872DB" w:rsidP="003872DB">
      <w:pPr>
        <w:pStyle w:val="BGKeywords"/>
        <w:rPr>
          <w:rFonts w:cs="Times"/>
          <w:b/>
          <w:lang w:val="en-CA"/>
        </w:rPr>
      </w:pPr>
      <w:r w:rsidRPr="00D039E9">
        <w:rPr>
          <w:rFonts w:cs="Times"/>
          <w:b/>
          <w:lang w:val="en-CA"/>
        </w:rPr>
        <w:t>AUTHOR INFORMATION</w:t>
      </w:r>
    </w:p>
    <w:p w14:paraId="1842BF63" w14:textId="77777777" w:rsidR="003872DB" w:rsidRPr="00D039E9" w:rsidRDefault="003872DB" w:rsidP="003872DB">
      <w:pPr>
        <w:pStyle w:val="FACorrespondingAuthorFootnote"/>
        <w:spacing w:after="0"/>
        <w:jc w:val="left"/>
        <w:rPr>
          <w:rFonts w:cs="Times"/>
          <w:b/>
          <w:lang w:val="en-CA"/>
        </w:rPr>
      </w:pPr>
      <w:r w:rsidRPr="00D039E9">
        <w:rPr>
          <w:rFonts w:cs="Times"/>
          <w:b/>
          <w:lang w:val="en-CA"/>
        </w:rPr>
        <w:t xml:space="preserve">Corresponding Author: </w:t>
      </w:r>
    </w:p>
    <w:p w14:paraId="53B4EC37" w14:textId="77777777" w:rsidR="003872DB" w:rsidRPr="00D039E9" w:rsidRDefault="003872DB" w:rsidP="003872DB">
      <w:pPr>
        <w:pStyle w:val="FACorrespondingAuthorFootnote"/>
        <w:spacing w:after="0"/>
        <w:jc w:val="left"/>
        <w:rPr>
          <w:rFonts w:cs="Times"/>
          <w:lang w:val="en-CA"/>
        </w:rPr>
      </w:pPr>
      <w:r w:rsidRPr="00D039E9">
        <w:rPr>
          <w:rFonts w:cs="Times"/>
          <w:lang w:val="en-CA"/>
        </w:rPr>
        <w:t xml:space="preserve">Seishi Shimizu </w:t>
      </w:r>
    </w:p>
    <w:p w14:paraId="5ED6DD1C" w14:textId="77777777" w:rsidR="003872DB" w:rsidRPr="00D039E9" w:rsidRDefault="003872DB" w:rsidP="003872DB">
      <w:pPr>
        <w:pStyle w:val="FACorrespondingAuthorFootnote"/>
        <w:rPr>
          <w:rFonts w:cs="Times"/>
          <w:lang w:val="en-CA"/>
        </w:rPr>
      </w:pPr>
      <w:r w:rsidRPr="00D039E9">
        <w:rPr>
          <w:rFonts w:cs="Times"/>
          <w:lang w:val="en-CA"/>
        </w:rPr>
        <w:lastRenderedPageBreak/>
        <w:t>York Structural Biology Laboratory, Department of Chemistry, University of York, Heslington, York YO10 5DD, United Kingdom</w:t>
      </w:r>
    </w:p>
    <w:p w14:paraId="73ED60EC" w14:textId="77777777" w:rsidR="003872DB" w:rsidRPr="00D039E9" w:rsidRDefault="003872DB" w:rsidP="003872DB">
      <w:pPr>
        <w:pStyle w:val="FACorrespondingAuthorFootnote"/>
        <w:rPr>
          <w:rFonts w:cs="Times"/>
          <w:lang w:val="en-CA"/>
        </w:rPr>
      </w:pPr>
      <w:r w:rsidRPr="00D039E9">
        <w:rPr>
          <w:rFonts w:cs="Times"/>
          <w:lang w:val="en-CA"/>
        </w:rPr>
        <w:t xml:space="preserve">Tel: +44 1904 328281, Fax: +44 1904 328281, Email: </w:t>
      </w:r>
      <w:hyperlink r:id="rId8" w:history="1">
        <w:r w:rsidRPr="00D039E9">
          <w:rPr>
            <w:rStyle w:val="Hyperlink"/>
            <w:rFonts w:cs="Times"/>
            <w:color w:val="auto"/>
            <w:lang w:val="en-CA"/>
          </w:rPr>
          <w:t>seishi.shimizu@york.ac.uk</w:t>
        </w:r>
      </w:hyperlink>
    </w:p>
    <w:p w14:paraId="74AC3132" w14:textId="77777777" w:rsidR="003872DB" w:rsidRPr="00D039E9" w:rsidRDefault="003872DB" w:rsidP="003872DB">
      <w:pPr>
        <w:pStyle w:val="TAMainText"/>
        <w:ind w:firstLine="0"/>
        <w:rPr>
          <w:rFonts w:cs="Times"/>
          <w:lang w:val="en-CA"/>
        </w:rPr>
      </w:pPr>
    </w:p>
    <w:p w14:paraId="0CE847EC" w14:textId="77777777" w:rsidR="003872DB" w:rsidRPr="00D039E9" w:rsidRDefault="003872DB" w:rsidP="003872DB">
      <w:pPr>
        <w:pStyle w:val="TAMainText"/>
        <w:ind w:firstLine="0"/>
        <w:rPr>
          <w:rFonts w:cs="Times"/>
          <w:b/>
          <w:lang w:val="en-CA"/>
        </w:rPr>
      </w:pPr>
      <w:r w:rsidRPr="00D039E9">
        <w:rPr>
          <w:rFonts w:cs="Times"/>
          <w:b/>
          <w:lang w:val="en-CA"/>
        </w:rPr>
        <w:t>ABBREVIATIONS</w:t>
      </w:r>
    </w:p>
    <w:p w14:paraId="461BECD8" w14:textId="77777777" w:rsidR="003872DB" w:rsidRPr="00D039E9" w:rsidRDefault="003872DB" w:rsidP="003872DB">
      <w:pPr>
        <w:pStyle w:val="TAMainText"/>
        <w:ind w:firstLine="0"/>
        <w:rPr>
          <w:rFonts w:cs="Times"/>
          <w:lang w:val="en-CA"/>
        </w:rPr>
      </w:pPr>
      <w:r w:rsidRPr="00D039E9">
        <w:rPr>
          <w:rFonts w:cs="Times"/>
          <w:lang w:val="en-CA"/>
        </w:rPr>
        <w:t xml:space="preserve">KB, Kirkwood-Buff. </w:t>
      </w:r>
    </w:p>
    <w:p w14:paraId="3859F894" w14:textId="77777777" w:rsidR="003872DB" w:rsidRPr="00D039E9" w:rsidRDefault="003872DB" w:rsidP="003872DB">
      <w:pPr>
        <w:pStyle w:val="TAMainText"/>
        <w:ind w:firstLine="0"/>
        <w:rPr>
          <w:rFonts w:cs="Times"/>
          <w:b/>
          <w:lang w:val="en-CA"/>
        </w:rPr>
      </w:pPr>
    </w:p>
    <w:p w14:paraId="2F962F65" w14:textId="266DED05" w:rsidR="00903467" w:rsidRPr="00D039E9" w:rsidRDefault="003872DB" w:rsidP="00903467">
      <w:pPr>
        <w:spacing w:after="0" w:line="480" w:lineRule="auto"/>
        <w:jc w:val="left"/>
        <w:rPr>
          <w:rFonts w:cs="Times"/>
          <w:b/>
          <w:lang w:val="en-CA"/>
        </w:rPr>
      </w:pPr>
      <w:r w:rsidRPr="00D039E9">
        <w:rPr>
          <w:rFonts w:cs="Times"/>
          <w:b/>
          <w:lang w:val="en-CA"/>
        </w:rPr>
        <w:t>ABSTRACT</w:t>
      </w:r>
    </w:p>
    <w:p w14:paraId="25120559" w14:textId="77777777" w:rsidR="00903467" w:rsidRPr="00D039E9" w:rsidRDefault="00903467" w:rsidP="00903467">
      <w:pPr>
        <w:pStyle w:val="TAMainText"/>
        <w:rPr>
          <w:rFonts w:cs="Times"/>
          <w:lang w:val="en-CA"/>
        </w:rPr>
      </w:pPr>
    </w:p>
    <w:p w14:paraId="451F0978" w14:textId="5D3ED1F1" w:rsidR="002C6238" w:rsidRPr="00D039E9" w:rsidRDefault="003954FF" w:rsidP="002C6238">
      <w:pPr>
        <w:pStyle w:val="TAMainText"/>
        <w:rPr>
          <w:rFonts w:cs="Times"/>
          <w:lang w:val="en-CA"/>
        </w:rPr>
      </w:pPr>
      <w:r w:rsidRPr="00D039E9">
        <w:rPr>
          <w:rFonts w:cs="Times"/>
          <w:lang w:val="en-CA"/>
        </w:rPr>
        <w:t xml:space="preserve">The ways in which flavour molecules interact with proteins in foods have an impact on flavour and aroma and on the (in)stability of the proteins. There is a long history of analysing these interactions using a “specific binding model” that gives values for the number of molecules, </w:t>
      </w:r>
      <w:r w:rsidRPr="00D039E9">
        <w:rPr>
          <w:rFonts w:cs="Times"/>
          <w:i/>
          <w:lang w:val="en-CA"/>
        </w:rPr>
        <w:t>n</w:t>
      </w:r>
      <w:r w:rsidRPr="00D039E9">
        <w:rPr>
          <w:rFonts w:cs="Times"/>
          <w:lang w:val="en-CA"/>
        </w:rPr>
        <w:t xml:space="preserve">, bound to the proteins with a binding constant </w:t>
      </w:r>
      <w:r w:rsidRPr="00D039E9">
        <w:rPr>
          <w:rFonts w:cs="Times"/>
          <w:i/>
          <w:lang w:val="en-CA"/>
        </w:rPr>
        <w:t>K</w:t>
      </w:r>
      <w:r w:rsidR="00814114" w:rsidRPr="00D039E9">
        <w:rPr>
          <w:rFonts w:cs="Times"/>
          <w:i/>
          <w:vertAlign w:val="subscript"/>
          <w:lang w:val="en-CA"/>
        </w:rPr>
        <w:t>b</w:t>
      </w:r>
      <w:r w:rsidRPr="00D039E9">
        <w:rPr>
          <w:rFonts w:cs="Times"/>
          <w:lang w:val="en-CA"/>
        </w:rPr>
        <w:t xml:space="preserve">. </w:t>
      </w:r>
      <w:r w:rsidR="00903467" w:rsidRPr="00D039E9">
        <w:rPr>
          <w:rFonts w:cs="Times"/>
          <w:lang w:val="en-CA"/>
        </w:rPr>
        <w:t>However, recent progress in molecular thermodynamics forced us to reconsider this approach</w:t>
      </w:r>
      <w:r w:rsidRPr="00D039E9">
        <w:rPr>
          <w:rFonts w:cs="Times"/>
          <w:lang w:val="en-CA"/>
        </w:rPr>
        <w:t>. In addition, there are a number of methods for determining these values and it is not at all clear whether the various assumptions behind the various methods allow legitimate comparisons between techniques. By adopting an assumption-free molecular thermodynamics approach, Kirkwood-Buff theory, we find that we gain a welcome universality, simplicity and deep understanding of what is happening at the molecular level. Here we look at three differen</w:t>
      </w:r>
      <w:r w:rsidR="00903467" w:rsidRPr="00D039E9">
        <w:rPr>
          <w:rFonts w:cs="Times"/>
          <w:lang w:val="en-CA"/>
        </w:rPr>
        <w:t>t methods for examining flavour-</w:t>
      </w:r>
      <w:r w:rsidRPr="00D039E9">
        <w:rPr>
          <w:rFonts w:cs="Times"/>
          <w:lang w:val="en-CA"/>
        </w:rPr>
        <w:t xml:space="preserve">protein interactions (vapour pressure, </w:t>
      </w:r>
      <w:r w:rsidR="00E11AD9" w:rsidRPr="00D039E9">
        <w:rPr>
          <w:rFonts w:cs="Times"/>
          <w:lang w:val="en-CA"/>
        </w:rPr>
        <w:t>dialysis equilibrium</w:t>
      </w:r>
      <w:r w:rsidR="00903467" w:rsidRPr="00D039E9">
        <w:rPr>
          <w:rFonts w:cs="Times"/>
          <w:lang w:val="en-CA"/>
        </w:rPr>
        <w:t xml:space="preserve"> and</w:t>
      </w:r>
      <w:r w:rsidR="00EF3D91" w:rsidRPr="00D039E9">
        <w:rPr>
          <w:rFonts w:cs="Times"/>
          <w:lang w:val="en-CA"/>
        </w:rPr>
        <w:t xml:space="preserve"> melting temperature changes), </w:t>
      </w:r>
      <w:r w:rsidRPr="00D039E9">
        <w:rPr>
          <w:rFonts w:cs="Times"/>
          <w:lang w:val="en-CA"/>
        </w:rPr>
        <w:t>show how historical data can be re-cast into the universal language of Kirkwood-Buff and provide a free, open-source app that can</w:t>
      </w:r>
      <w:r w:rsidR="00B808AB" w:rsidRPr="00D039E9">
        <w:rPr>
          <w:rFonts w:cs="Times"/>
          <w:lang w:val="en-CA"/>
        </w:rPr>
        <w:t xml:space="preserve"> both</w:t>
      </w:r>
      <w:r w:rsidRPr="00D039E9">
        <w:rPr>
          <w:rFonts w:cs="Times"/>
          <w:lang w:val="en-CA"/>
        </w:rPr>
        <w:t xml:space="preserve"> re-analyze historical data and </w:t>
      </w:r>
      <w:r w:rsidR="00B808AB" w:rsidRPr="00D039E9">
        <w:rPr>
          <w:rFonts w:cs="Times"/>
          <w:lang w:val="en-CA"/>
        </w:rPr>
        <w:t>be a platform for analyzing fresh data.</w:t>
      </w:r>
      <w:r w:rsidR="00647BF3" w:rsidRPr="00D039E9">
        <w:rPr>
          <w:rFonts w:cs="Times"/>
          <w:lang w:val="en-CA"/>
        </w:rPr>
        <w:t xml:space="preserve"> In each case </w:t>
      </w:r>
      <w:r w:rsidR="00F51249" w:rsidRPr="00D039E9">
        <w:rPr>
          <w:rFonts w:cs="Times"/>
          <w:lang w:val="en-CA"/>
        </w:rPr>
        <w:t>the fundamental</w:t>
      </w:r>
      <w:r w:rsidR="00993D78" w:rsidRPr="00D039E9">
        <w:rPr>
          <w:rFonts w:cs="Times"/>
          <w:lang w:val="en-CA"/>
        </w:rPr>
        <w:t xml:space="preserve"> theory is described along with a</w:t>
      </w:r>
      <w:r w:rsidR="00647BF3" w:rsidRPr="00D039E9">
        <w:rPr>
          <w:rFonts w:cs="Times"/>
          <w:lang w:val="en-CA"/>
        </w:rPr>
        <w:t xml:space="preserve"> pragmatic implementation</w:t>
      </w:r>
      <w:r w:rsidR="00993D78" w:rsidRPr="00D039E9">
        <w:rPr>
          <w:rFonts w:cs="Times"/>
          <w:lang w:val="en-CA"/>
        </w:rPr>
        <w:t xml:space="preserve"> accepting the realities of experimentation.</w:t>
      </w:r>
      <w:r w:rsidR="00B808AB" w:rsidRPr="00D039E9">
        <w:rPr>
          <w:rFonts w:cs="Times"/>
          <w:lang w:val="en-CA"/>
        </w:rPr>
        <w:t xml:space="preserve"> One key insight is that the </w:t>
      </w:r>
      <w:r w:rsidR="00EF3D91" w:rsidRPr="00D039E9">
        <w:rPr>
          <w:rFonts w:cs="Times"/>
          <w:i/>
          <w:lang w:val="en-CA"/>
        </w:rPr>
        <w:t>n</w:t>
      </w:r>
      <w:r w:rsidR="00EF3D91" w:rsidRPr="00D039E9">
        <w:rPr>
          <w:rFonts w:cs="Times"/>
          <w:lang w:val="en-CA"/>
        </w:rPr>
        <w:t xml:space="preserve"> and </w:t>
      </w:r>
      <w:r w:rsidR="00B808AB" w:rsidRPr="00D039E9">
        <w:rPr>
          <w:rFonts w:cs="Times"/>
          <w:i/>
          <w:lang w:val="en-CA"/>
        </w:rPr>
        <w:t>K</w:t>
      </w:r>
      <w:r w:rsidR="00814114" w:rsidRPr="00D039E9">
        <w:rPr>
          <w:rFonts w:cs="Times"/>
          <w:i/>
          <w:vertAlign w:val="subscript"/>
          <w:lang w:val="en-CA"/>
        </w:rPr>
        <w:t>b</w:t>
      </w:r>
      <w:r w:rsidR="00EF3D91" w:rsidRPr="00D039E9">
        <w:rPr>
          <w:rFonts w:cs="Times"/>
          <w:lang w:val="en-CA"/>
        </w:rPr>
        <w:t xml:space="preserve"> parameters of the classical binding models</w:t>
      </w:r>
      <w:r w:rsidR="00B808AB" w:rsidRPr="00D039E9">
        <w:rPr>
          <w:rFonts w:cs="Times"/>
          <w:lang w:val="en-CA"/>
        </w:rPr>
        <w:t xml:space="preserve"> c</w:t>
      </w:r>
      <w:r w:rsidR="00EF3D91" w:rsidRPr="00D039E9">
        <w:rPr>
          <w:rFonts w:cs="Times"/>
          <w:lang w:val="en-CA"/>
        </w:rPr>
        <w:t>an be turned directly</w:t>
      </w:r>
      <w:r w:rsidR="00993D78" w:rsidRPr="00D039E9">
        <w:rPr>
          <w:rFonts w:cs="Times"/>
          <w:lang w:val="en-CA"/>
        </w:rPr>
        <w:t>,</w:t>
      </w:r>
      <w:r w:rsidR="00EF3D91" w:rsidRPr="00D039E9">
        <w:rPr>
          <w:rFonts w:cs="Times"/>
          <w:lang w:val="en-CA"/>
        </w:rPr>
        <w:t xml:space="preserve"> </w:t>
      </w:r>
      <w:r w:rsidR="00993D78" w:rsidRPr="00D039E9">
        <w:rPr>
          <w:rFonts w:cs="Times"/>
          <w:lang w:val="en-CA"/>
        </w:rPr>
        <w:t xml:space="preserve">via simple arithmetic, </w:t>
      </w:r>
      <w:r w:rsidR="00EF3D91" w:rsidRPr="00D039E9">
        <w:rPr>
          <w:rFonts w:cs="Times"/>
          <w:lang w:val="en-CA"/>
        </w:rPr>
        <w:t>into the Kirkwood-Buff integrals that accurately capture non-specific flavour-protein interactions</w:t>
      </w:r>
      <w:r w:rsidR="00B808AB" w:rsidRPr="00D039E9">
        <w:rPr>
          <w:rFonts w:cs="Times"/>
          <w:lang w:val="en-CA"/>
        </w:rPr>
        <w:t>.</w:t>
      </w:r>
    </w:p>
    <w:p w14:paraId="29BBC4F3" w14:textId="77777777" w:rsidR="002C6238" w:rsidRPr="00D039E9" w:rsidRDefault="002C6238" w:rsidP="002C6238">
      <w:pPr>
        <w:pStyle w:val="TAMainText"/>
        <w:ind w:firstLine="0"/>
        <w:rPr>
          <w:rFonts w:cs="Times"/>
          <w:lang w:val="en-CA"/>
        </w:rPr>
      </w:pPr>
    </w:p>
    <w:p w14:paraId="173FFEE3" w14:textId="77777777" w:rsidR="002C6238" w:rsidRPr="00D039E9" w:rsidRDefault="002C6238" w:rsidP="002C6238">
      <w:pPr>
        <w:pStyle w:val="TAMainText"/>
        <w:ind w:firstLine="0"/>
        <w:rPr>
          <w:rFonts w:cs="Times"/>
          <w:lang w:val="en-CA"/>
        </w:rPr>
      </w:pPr>
    </w:p>
    <w:p w14:paraId="66463FF7" w14:textId="357CFE99" w:rsidR="003872DB" w:rsidRPr="00D039E9" w:rsidRDefault="003872DB" w:rsidP="002C6238">
      <w:pPr>
        <w:pStyle w:val="TAMainText"/>
        <w:ind w:firstLine="0"/>
        <w:rPr>
          <w:rFonts w:cs="Times"/>
          <w:lang w:val="en-CA"/>
        </w:rPr>
      </w:pPr>
      <w:r w:rsidRPr="00D039E9">
        <w:rPr>
          <w:rFonts w:cs="Times"/>
          <w:b/>
          <w:lang w:val="en-CA"/>
        </w:rPr>
        <w:t xml:space="preserve">1. Introduction: A clear guideline is needed to interpret experiments on flavour-protein interaction  </w:t>
      </w:r>
    </w:p>
    <w:p w14:paraId="3010DF97" w14:textId="77777777" w:rsidR="003872DB" w:rsidRPr="00D039E9" w:rsidRDefault="003872DB" w:rsidP="003872DB">
      <w:pPr>
        <w:pStyle w:val="TAMainText"/>
        <w:ind w:firstLine="0"/>
        <w:rPr>
          <w:rFonts w:cs="Times"/>
          <w:lang w:val="en-CA"/>
        </w:rPr>
      </w:pPr>
    </w:p>
    <w:p w14:paraId="125E7D2C" w14:textId="4E8BFD46" w:rsidR="003872DB" w:rsidRPr="00D039E9" w:rsidRDefault="003872DB" w:rsidP="003872DB">
      <w:pPr>
        <w:pStyle w:val="TAMainText"/>
        <w:ind w:firstLine="0"/>
        <w:rPr>
          <w:rFonts w:cs="Times"/>
          <w:lang w:val="en-CA"/>
        </w:rPr>
      </w:pPr>
      <w:r w:rsidRPr="00D039E9">
        <w:rPr>
          <w:rFonts w:cs="Times"/>
          <w:lang w:val="en-CA"/>
        </w:rPr>
        <w:t>Food flavour is one of the important sensory property of food.</w:t>
      </w:r>
      <w:r w:rsidR="006B3028" w:rsidRPr="00D039E9">
        <w:rPr>
          <w:rFonts w:cs="Times"/>
          <w:lang w:val="en-CA"/>
        </w:rPr>
        <w:t xml:space="preserve"> </w:t>
      </w:r>
      <w:r w:rsidRPr="00D039E9">
        <w:rPr>
          <w:rFonts w:cs="Times"/>
          <w:lang w:val="en-CA"/>
        </w:rPr>
        <w:t>Hence the aim of this review is to provide a foundation for understanding how flavour molecules interact with food, particularly with macromolecules and their assemblies that constitute food.</w:t>
      </w:r>
      <w:r w:rsidR="006B3028" w:rsidRPr="00D039E9">
        <w:rPr>
          <w:rFonts w:cs="Times"/>
          <w:lang w:val="en-CA"/>
        </w:rPr>
        <w:fldChar w:fldCharType="begin" w:fldLock="1"/>
      </w:r>
      <w:r w:rsidR="00A3111B" w:rsidRPr="00D039E9">
        <w:rPr>
          <w:rFonts w:cs="Times"/>
          <w:lang w:val="en-CA"/>
        </w:rPr>
        <w:instrText>ADDIN CSL_CITATION { "citationItems" : [ { "id" : "ITEM-1", "itemData" : { "author" : [ { "dropping-particle" : "", "family" : "Damodaran", "given" : "Srinivasan", "non-dropping-particle" : "", "parse-names" : false, "suffix" : "" }, { "dropping-particle" : "", "family" : "Kinsella", "given" : "John E", "non-dropping-particle" : "", "parse-names" : false, "suffix" : "" } ], "container-title" : "Journal of Agricultural and Food Chemistry", "id" : "ITEM-1", "issued" : { "date-parts" : [ [ "1981" ] ] }, "page" : "1249-1253", "title" : "Interaction of Carbonyls with Soy Protein : Thermodynamic Effects", "type" : "article-journal", "volume" : "29" }, "uris" : [ "http://www.mendeley.com/documents/?uuid=291dd796-f27e-4bd0-89da-05dcbfeab0d6" ] }, { "id" : "ITEM-2", "itemData" : { "author" : [ { "dropping-particle" : "", "family" : "Damodaran", "given" : "Srinivasan", "non-dropping-particle" : "", "parse-names" : false, "suffix" : "" }, { "dropping-particle" : "", "family" : "Kinsella", "given" : "John E", "non-dropping-particle" : "", "parse-names" : false, "suffix" : "" } ], "container-title" : "Journal of Agricultural and Food Chemistry", "id" : "ITEM-2", "issued" : { "date-parts" : [ [ "1981" ] ] }, "page" : "1253-1257", "title" : "Interaction of Carbonyls with Soy Protein : Conformational Effects", "type" : "article-journal", "volume" : "29" }, "uris" : [ "http://www.mendeley.com/documents/?uuid=e888460f-0763-4b21-a7d1-df22f4f6d68b" ] }, { "id" : "ITEM-3", "itemData" : { "DOI" : "10.1021/bk-1996-0633", "ISBN" : "0-8412-3409-4", "collection-title" : "ACS Symposium Series", "editor" : [ { "dropping-particle" : "", "family" : "McGorrin", "given" : "Robert J.", "non-dropping-particle" : "", "parse-names" : false, "suffix" : "" }, { "dropping-particle" : "V.", "family" : "Leland", "given" : "Jane", "non-dropping-particle" : "", "parse-names" : false, "suffix" : "" } ], "id" : "ITEM-3", "issued" : { "date-parts" : [ [ "1996", "5", "5" ] ] }, "publisher" : "American Chemical Society", "publisher-place" : "Washington, DC", "title" : "Flavor-Food Interactions", "type" : "book", "volume" : "633" }, "uris" : [ "http://www.mendeley.com/documents/?uuid=7c257cbc-b2ff-3405-a2d0-76278ea6eb33" ] }, { "id" : "ITEM-4", "itemData" : { "ISBN" : "0065-2598 (Print)", "ISSN" : "00652598", "PMID" : "9131183", "abstract" : "The effect of sodium caseinate and whey protein concentrate on vanillin, benzaldehyde, citral, and d-limonene was determined by quantitative descriptive analysis deviation from reference. A trained taste panel evaluated samples containing a single flavor compound in 2.5% sucrose solution against a reference sample. Vanillin, benzaldehyde, and d-limonene flavor intensity decreased as the concentration of whey protein concentrate increased. In a separate study, the ability of delipidated methyl ketones to bind straight and branched chain methyl ketones was determined. The concentration of straight chain methyl ketones bound by the milk protein powder was inversely proportional to the size of the ligand. Branched chain methyl ketones did not exhibit a trend in binding based on ligand size.", "author" : [ { "dropping-particle" : "", "family" : "Hansen", "given" : "A P", "non-dropping-particle" : "", "parse-names" : false, "suffix" : "" } ], "container-title" : "Adv Exp Med Biol", "id" : "ITEM-4", "issued" : { "date-parts" : [ [ "1997" ] ] }, "page" : "67-76", "title" : "A review of the interactions between milk proteins and dairy flavor compounds", "type" : "article-journal", "volume" : "415" }, "uris" : [ "http://www.mendeley.com/documents/?uuid=1bde947a-7f63-42d0-9b0e-9ff6eb5804e5" ] }, { "id" : "ITEM-5", "itemData" : { "DOI" : "10.1111/j.1750-3841.2006.00051.x", "author" : [ { "dropping-particle" : "", "family" : "Kuhn", "given" : "Janina", "non-dropping-particle" : "", "parse-names" : false, "suffix" : "" }, { "dropping-particle" : "", "family" : "Considine", "given" : "Therese", "non-dropping-particle" : "", "parse-names" : false, "suffix" : "" }, { "dropping-particle" : "", "family" : "Singh", "given" : "Harjinder", "non-dropping-particle" : "", "parse-names" : false, "suffix" : "" } ], "container-title" : "Journal of Food Science", "id" : "ITEM-5", "issue" : "5", "issued" : { "date-parts" : [ [ "2006" ] ] }, "page" : "R72-R82", "title" : "Interactions of Milk Proteins and Volatile Flavor Compounds : Implications in the Development of Protein Foods", "type" : "article-journal", "volume" : "71" }, "uris" : [ "http://www.mendeley.com/documents/?uuid=4d3627d0-ef15-4c49-9d6d-9fd901f3cebb" ] }, { "id" : "ITEM-6", "itemData" : { "editor" : [ { "dropping-particle" : "", "family" : "Voilley", "given" : "Andree", "non-dropping-particle" : "", "parse-names" : false, "suffix" : "" }, { "dropping-particle" : "", "family" : "Etievant", "given" : "Patrick", "non-dropping-particle" : "", "parse-names" : false, "suffix" : "" } ], "id" : "ITEM-6", "issued" : { "date-parts" : [ [ "2006" ] ] }, "publisher" : "CRC Press", "publisher-place" : "Boca Raton, Fl", "title" : "Flavour in Food", "type" : "book" }, "uris" : [ "http://www.mendeley.com/documents/?uuid=fd219b39-eb95-354f-adec-cd72ebc358b7" ] }, { "id" : "ITEM-7", "itemData" : { "DOI" : "10.1021/jf801810b", "ISSN" : "0021-8561", "abstract" : "The interactions of whey protein isolate (WPI) and flavor compounds (2-nonanone, 1-nonanal, and trans-2-nonenal) were investigated, and the influence of flavor compound structure and heat and high pressure denaturation on the interactions were determined by using headspace solid-phase microextraction (SPME) and gas chromatography (GC). The binding of WPI and the flavor compounds decreased in the order trans-2-nonenal &gt; 1-nonanal &gt; 2-nonanone. The differences in binding can be explained with hydrophobic interactions only in the case of 2-nonanone, whereas the aldehydes, in particular trans-2-nonenal, can also react covalently. Heat and high pressure treatment affected protein\u2212flavor interactions depending on the structure of the flavor compound. Upon both heat and high pressure denaturation, the binding of 2-nonanone to WPI decreased, while the binding of 1-nonanal remained unchanged, and the affinity for trans-2-nonenal increased rapidly. The results suggest that hydrophobic interactions are weakened upon...", "author" : [ { "dropping-particle" : "", "family" : "Ku\u0308hn", "given" : "Janina", "non-dropping-particle" : "", "parse-names" : false, "suffix" : "" }, { "dropping-particle" : "", "family" : "Considine", "given" : "The\u0301re\u0300se", "non-dropping-particle" : "", "parse-names" : false, "suffix" : "" }, { "dropping-particle" : "", "family" : "Singh", "given" : "Harjinder", "non-dropping-particle" : "", "parse-names" : false, "suffix" : "" } ], "container-title" : "Journal of Agricultural and Food Chemistry", "id" : "ITEM-7", "issue" : "21", "issued" : { "date-parts" : [ [ "2008", "11", "12" ] ] }, "page" : "10218-10224", "publisher" : " American Chemical Society", "title" : "Binding of Flavor Compounds and Whey Protein Isolate as Affected by Heat and High Pressure Treatments", "type" : "article-journal", "volume" : "56" }, "uris" : [ "http://www.mendeley.com/documents/?uuid=291cbd17-1bcd-3bfb-a6bf-528ba4be8561" ] }, { "id" : "ITEM-8", "itemData" : { "DOI" : "10.1002/ffj.3365", "ISSN" : "08825734", "author" : [ { "dropping-particle" : "", "family" : "Wang", "given" : "Kun", "non-dropping-particle" : "", "parse-names" : false, "suffix" : "" }, { "dropping-particle" : "", "family" : "Arntfield", "given" : "Susan D.", "non-dropping-particle" : "", "parse-names" : false, "suffix" : "" } ], "container-title" : "Flavour and Fragrance Journal", "id" : "ITEM-8", "issued" : { "date-parts" : [ [ "2016" ] ] }, "title" : "Effect of protein-flavour binding on flavour delivery and protein functional properties: A special emphasis on plant-based proteins", "type" : "article-journal" }, "uris" : [ "http://www.mendeley.com/documents/?uuid=b7a42c7e-33fd-310c-8f57-e7fdae82f1a0" ] } ], "mendeley" : { "formattedCitation" : "&lt;sup&gt;1\u20138&lt;/sup&gt;", "plainTextFormattedCitation" : "1\u20138", "previouslyFormattedCitation" : "&lt;sup&gt;1\u20138&lt;/sup&gt;" }, "properties" : { "noteIndex" : 0 }, "schema" : "https://github.com/citation-style-language/schema/raw/master/csl-citation.json" }</w:instrText>
      </w:r>
      <w:r w:rsidR="006B3028" w:rsidRPr="00D039E9">
        <w:rPr>
          <w:rFonts w:cs="Times"/>
          <w:lang w:val="en-CA"/>
        </w:rPr>
        <w:fldChar w:fldCharType="separate"/>
      </w:r>
      <w:r w:rsidR="003E67FA" w:rsidRPr="00D039E9">
        <w:rPr>
          <w:rFonts w:cs="Times"/>
          <w:noProof/>
          <w:vertAlign w:val="superscript"/>
          <w:lang w:val="en-CA"/>
        </w:rPr>
        <w:t>1–8</w:t>
      </w:r>
      <w:r w:rsidR="006B3028" w:rsidRPr="00D039E9">
        <w:rPr>
          <w:rFonts w:cs="Times"/>
          <w:lang w:val="en-CA"/>
        </w:rPr>
        <w:fldChar w:fldCharType="end"/>
      </w:r>
      <w:r w:rsidRPr="00D039E9">
        <w:rPr>
          <w:rFonts w:cs="Times"/>
          <w:lang w:val="en-CA"/>
        </w:rPr>
        <w:t xml:space="preserve"> The objectives of this review</w:t>
      </w:r>
      <w:r w:rsidR="009579AC" w:rsidRPr="00D039E9">
        <w:rPr>
          <w:rFonts w:cs="Times"/>
          <w:lang w:val="en-CA"/>
        </w:rPr>
        <w:t xml:space="preserve"> is</w:t>
      </w:r>
      <w:r w:rsidR="006B3028" w:rsidRPr="00D039E9">
        <w:rPr>
          <w:rFonts w:cs="Times"/>
          <w:lang w:val="en-CA"/>
        </w:rPr>
        <w:t xml:space="preserve"> to show that</w:t>
      </w:r>
    </w:p>
    <w:p w14:paraId="4DF4C83E" w14:textId="2EC2EB5E" w:rsidR="003872DB" w:rsidRPr="00D039E9" w:rsidRDefault="003872DB" w:rsidP="007F05BE">
      <w:pPr>
        <w:pStyle w:val="TAMainText"/>
        <w:numPr>
          <w:ilvl w:val="0"/>
          <w:numId w:val="12"/>
        </w:numPr>
        <w:rPr>
          <w:rFonts w:cs="Times"/>
          <w:lang w:val="en-CA"/>
        </w:rPr>
      </w:pPr>
      <w:r w:rsidRPr="00D039E9">
        <w:rPr>
          <w:rFonts w:cs="Times"/>
          <w:lang w:val="en-CA"/>
        </w:rPr>
        <w:t xml:space="preserve">experiments aiming at the characterization of flavour-macromolecule interaction require a sound basis for analysis;  </w:t>
      </w:r>
    </w:p>
    <w:p w14:paraId="42B2C266" w14:textId="11815799" w:rsidR="003872DB" w:rsidRPr="00D039E9" w:rsidRDefault="003872DB" w:rsidP="003872DB">
      <w:pPr>
        <w:pStyle w:val="TAMainText"/>
        <w:numPr>
          <w:ilvl w:val="0"/>
          <w:numId w:val="12"/>
        </w:numPr>
        <w:rPr>
          <w:rFonts w:cs="Times"/>
          <w:lang w:val="en-CA"/>
        </w:rPr>
      </w:pPr>
      <w:r w:rsidRPr="00D039E9">
        <w:rPr>
          <w:rFonts w:cs="Times"/>
          <w:lang w:val="en-CA"/>
        </w:rPr>
        <w:t>existing thermodynamic models</w:t>
      </w:r>
      <w:r w:rsidR="00C1095C" w:rsidRPr="00D039E9">
        <w:rPr>
          <w:rFonts w:cs="Times"/>
          <w:lang w:val="en-CA"/>
        </w:rPr>
        <w:fldChar w:fldCharType="begin" w:fldLock="1"/>
      </w:r>
      <w:r w:rsidR="003E67FA" w:rsidRPr="00D039E9">
        <w:rPr>
          <w:rFonts w:cs="Times"/>
          <w:lang w:val="en-CA"/>
        </w:rPr>
        <w:instrText>ADDIN CSL_CITATION { "citationItems" : [ { "id" : "ITEM-1", "itemData" : { "ISBN" : "0471176265", "abstract" : "\"A Wiley-Interscience publication.\" 1. Number of Liganded Molecules -- 2. Affinities: From a Site Perspective -- 3. Affinities: From a Stoichiometric Perspective -- 4. Affinities: From a Ghost-Site Perspective -- 5. Facts and Fantasies from Graphical Analyses -- 6. Numerical Evaluations of Stoichiometric Binding Constants -- 7. Affinity Profiles -- 8. Thermodynamic Perspectives -- 9. Forces of Interaction -- 10. Molecular Scenarios -- App. A1. Experimental Procedures in Equilibrium Dialysis -- App. A2. Properties of Graphical Representations of Multiple Classes of Independent Binding Sites -- App. A3. Relationships Between Stoichiometric Binding Constants and Site-Binding Constants -- App. A4. Relationships Between Stoichiometric Binding Constants and Ghost-Site Binding Constants.", "author" : [ { "dropping-particle" : "", "family" : "Klotz", "given" : "Irving M.", "non-dropping-particle" : "", "parse-names" : false, "suffix" : "" } ], "id" : "ITEM-1", "issued" : { "date-parts" : [ [ "1997" ] ] }, "number-of-pages" : "170", "publisher" : "Wiley", "publisher-place" : "New York", "title" : "Ligand-receptor energetics : a guide for the perplexed", "type" : "book" }, "uris" : [ "http://www.mendeley.com/documents/?uuid=dd952269-684f-3ac3-8305-432524b1ebd4" ] }, { "id" : "ITEM-2", "itemData" : { "ISBN" : "0935702563", "author" : [ { "dropping-particle" : "", "family" : "Wyman", "given" : "Jeffries.", "non-dropping-particle" : "", "parse-names" : false, "suffix" : "" }, { "dropping-particle" : "", "family" : "Gill", "given" : "Stanley J.", "non-dropping-particle" : "", "parse-names" : false, "suffix" : "" } ], "id" : "ITEM-2", "issued" : { "date-parts" : [ [ "1990" ] ] }, "number-of-pages" : "330", "publisher" : "University Science Books", "publisher-place" : "Mill Valley, CA", "title" : "Binding and linkage : functional chemistry of biological macromolecules", "type" : "book" }, "uris" : [ "http://www.mendeley.com/documents/?uuid=018c2dc4-bd6d-31b5-abf5-f47e336b6a74" ] } ], "mendeley" : { "formattedCitation" : "&lt;sup&gt;9,10&lt;/sup&gt;", "plainTextFormattedCitation" : "9,10", "previouslyFormattedCitation" : "&lt;sup&gt;9,10&lt;/sup&gt;" }, "properties" : { "noteIndex" : 0 }, "schema" : "https://github.com/citation-style-language/schema/raw/master/csl-citation.json" }</w:instrText>
      </w:r>
      <w:r w:rsidR="00C1095C" w:rsidRPr="00D039E9">
        <w:rPr>
          <w:rFonts w:cs="Times"/>
          <w:lang w:val="en-CA"/>
        </w:rPr>
        <w:fldChar w:fldCharType="separate"/>
      </w:r>
      <w:r w:rsidR="003E67FA" w:rsidRPr="00D039E9">
        <w:rPr>
          <w:rFonts w:cs="Times"/>
          <w:noProof/>
          <w:vertAlign w:val="superscript"/>
          <w:lang w:val="en-CA"/>
        </w:rPr>
        <w:t>9,10</w:t>
      </w:r>
      <w:r w:rsidR="00C1095C" w:rsidRPr="00D039E9">
        <w:rPr>
          <w:rFonts w:cs="Times"/>
          <w:lang w:val="en-CA"/>
        </w:rPr>
        <w:fldChar w:fldCharType="end"/>
      </w:r>
      <w:r w:rsidRPr="00D039E9">
        <w:rPr>
          <w:rFonts w:cs="Times"/>
          <w:lang w:val="en-CA"/>
        </w:rPr>
        <w:t xml:space="preserve"> proposed for the purpose require many assumptions which are unrealistic and cannot grasp</w:t>
      </w:r>
      <w:r w:rsidR="00482477" w:rsidRPr="00D039E9">
        <w:rPr>
          <w:rFonts w:cs="Times"/>
          <w:lang w:val="en-CA"/>
        </w:rPr>
        <w:t xml:space="preserve"> the</w:t>
      </w:r>
      <w:r w:rsidRPr="00D039E9">
        <w:rPr>
          <w:rFonts w:cs="Times"/>
          <w:lang w:val="en-CA"/>
        </w:rPr>
        <w:t xml:space="preserve"> non-specific and dynamic nature of the interactions;</w:t>
      </w:r>
      <w:r w:rsidR="00C1095C" w:rsidRPr="00D039E9">
        <w:rPr>
          <w:rFonts w:cs="Times"/>
          <w:lang w:val="en-CA"/>
        </w:rPr>
        <w:t xml:space="preserve"> </w:t>
      </w:r>
    </w:p>
    <w:p w14:paraId="5ED88EA8" w14:textId="52A42408" w:rsidR="003872DB" w:rsidRPr="00D039E9" w:rsidRDefault="003872DB" w:rsidP="003872DB">
      <w:pPr>
        <w:pStyle w:val="TAMainText"/>
        <w:numPr>
          <w:ilvl w:val="0"/>
          <w:numId w:val="12"/>
        </w:numPr>
        <w:rPr>
          <w:rFonts w:cs="Times"/>
          <w:lang w:val="en-CA"/>
        </w:rPr>
      </w:pPr>
      <w:r w:rsidRPr="00D039E9">
        <w:rPr>
          <w:rFonts w:cs="Times"/>
          <w:lang w:val="en-CA"/>
        </w:rPr>
        <w:t xml:space="preserve"> a novel theory, which is rigorous, free of assumptions, yet surprisingly easy to implement, should replace the old thermodynamic models.</w:t>
      </w:r>
      <w:r w:rsidR="00C1095C" w:rsidRPr="00D039E9">
        <w:rPr>
          <w:rFonts w:cs="Times"/>
          <w:lang w:val="en-CA"/>
        </w:rPr>
        <w:fldChar w:fldCharType="begin" w:fldLock="1"/>
      </w:r>
      <w:r w:rsidR="003E67FA" w:rsidRPr="00D039E9">
        <w:rPr>
          <w:rFonts w:cs="Times"/>
          <w:lang w:val="en-CA"/>
        </w:rPr>
        <w:instrText>ADDIN CSL_CITATION { "citationItems" : [ { "id" : "ITEM-1",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"ITEM-1",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"id" : "ITEM-2", "itemData" : { "DOI" : "10.1063/1.1806402", "ISSN" : "00219606", "PMID" : "15527383", "abstract" : "Cosolvents added to aqueous solutions of biomolecules profoundly affect protein stability, as well as biochemical equilibria. Some cosolvents, such as urea and guanidine hydrochloride, denature proteins, whereas others, such as osmolytes and crowders, stabilize the native structures of proteins. The way cosolvents interact with biomolecules is crucial information required to understand the cosolvent effect at a molecular level. We present a statistical mechanical framework based upon Kirkwood-Buff theory, which enables one to extract this picture from experimental data. The combination of two experimental results, namely, the cosolvent-induced equilibrium shift and the partial molar volume change upon the reaction, supplimented by the structural change, is shown to yield the number of water and cosolvent molecules bound or released during a reaction. Previously, denaturation experiments (e.g., m-value analysis) were analyzed by empirical and stoichiometric solvent-binding models, while the effects of osmolytes and crowders were analyzed by the approximate molecular crowding approach for low cosolvent concentration. Here we synthesize these previous approaches in a rigorous statistical mechanical treatment, which is applicable at any cosolvent concentration. The usefulness and accuracy of previous approaches was also evaluated.", "author" : [ { "dropping-particle" : "", "family" : "Shimizu", "given" : "Seishi", "non-dropping-particle" : "", "parse-names" : false, "suffix" : "" }, { "dropping-particle" : "", "family" : "Boon", "given" : "Chandra L.", "non-dropping-particle" : "", "parse-names" : false, "suffix" : "" } ], "container-title" : "Journal of Chemical Physics", "id" : "ITEM-2", "issue" : "18", "issued" : { "date-parts" : [ [ "2004" ] ] }, "page" : "9147-9155", "title" : "The Kirkwood-Buff theory and the effect of cosolvents on biochemical reactions", "type" : "article-journal", "volume" : "121" }, "uris" : [ "http://www.mendeley.com/documents/?uuid=773d4c28-f2d5-421b-a5a5-0066df199fbe" ] }, { "id" : "ITEM-3", "itemData" : { "DOI" : "10.1063/1.2206174", "ISBN" : "0021-9606 (Print)\\r0021-9606 (Linking)", "ISSN" : "00219606", "PMID" : "16821951", "abstract" : "In order to understand the origin of the Hofmeister series, a statistical-mechanical analysis, based upon the Kirkwood-Buff (KB) theory, has been performed to extract information regarding protein hydration and water-mediated protein-salt interactions from published experimental data-preferential hydration and volumetric data for bovine serum albumin in the presence of a wide range of salts. The analysis showed a linear correlation between the preferential hydration parameter and the protein-cosolvent KB parameter. The same linear correlation holds even when nonelectrolyte cosolvents, such as polyethelene glycol, have been incorporated. These results suggest that the Hofmeister series is due to a wide variation of the water-mediated protein-cosolvent interaction (but not the change of protein hydration) and that this mechanism is a special case of a more general scenario common even to the macromolecular crowding.", "author" : [ { "dropping-particle" : "", "family" : "Shimizu", "given" : "Seishi", "non-dropping-particle" : "", "parse-names" : false, "suffix" : "" }, { "dropping-particle" : "", "family" : "McLaren", "given" : "William M.", "non-dropping-particle" : "", "parse-names" : false, "suffix" : "" }, { "dropping-particle" : "", "family" : "Matubayasi", "given" : "Nobuyuki", "non-dropping-particle" : "", "parse-names" : false, "suffix" : "" } ], "container-title" : "Journal of Chemical Physics", "id" : "ITEM-3", "issue" : "23", "issued" : { "date-parts" : [ [ "2006" ] ] }, "page" : "234905/1-234905/4", "title" : "The Hofmeister series and protein-salt interactions", "type" : "article-journal", "volume" : "124" }, "uris" : [ "http://www.mendeley.com/documents/?uuid=0a70a1b5-2739-4d43-a695-db256c211fdf" ] }, { "id" : "ITEM-4", "itemData" : { "DOI" : "10.1016/j.cplett.2011.08.038", "ISSN" : "00092614", "abstract" : "Various cosolvents are known to modulate the thermal stability of the proteins. To understand its molecular origin, a statistical thermodynamic analysis, based upon the Kirkwood-Buff (KB) theory, has been performed to obtain information regarding the accumulation or depletion of solvent molecules around proteins, based upon published experimental data. The analysis shows the dominant importance of cosolvent's accumulation or depletion around the proteins, whereas the role of protein hydration is minor. ?? 2011 Elsevier B.V. All rights reserved.", "author" : [ { "dropping-particle" : "", "family" : "Shimizu", "given" : "Seishi", "non-dropping-particle" : "", "parse-names" : false, "suffix" : "" } ], "container-title" : "Chemical Physics Letters", "id" : "ITEM-4", "issue" : "1-3", "issued" : { "date-parts" : [ [ "2011" ] ] }, "page" : "156-158", "publisher" : "Elsevier B.V.", "title" : "Molecular origin of the cosolvent-induced changes in the thermal stability of proteins", "type" : "article-journal", "volume" : "514" }, "uris" : [ "http://www.mendeley.com/documents/?uuid=f72a9936-cbbc-4fe0-8a8f-d5f1c1425260" ] }, { "id" : "ITEM-5", "itemData" : { "DOI" : "10.1021/jp309819r", "ISBN" : "1520-6106", "ISSN" : "15205207", "PMID" : "23236952", "abstract" : "Drugs that are poorly soluble in water can be solubilized by the addition of hydrotropes. Albeit known for almost a century, how they work at a molecular basis is still controversial due to the lack of a rigorous theoretical basis. To clear up this situation, a combination of experimental data and Fluctuation Theory of Solutions (FTS) has been employed; information on the interactions between all the molecular species present in the solution has been evaluated directly. FTS has identified two major factors of hydrotrope-induced solubilization: preferential hydrotrope-solute interaction and water activity depression. The former is dominated by hydrotrope-solute association, and the latter is enhanced by ionic dissociation and hindered by the self-aggregation of the hydrotropes. Moreover, in stark contrast to previous hypotheses, neither the change of solute hydration nor the water structure accounts for hydrotropy. Indeed, the rigorous FTS poses serious doubts over the other common hypothesis: self-aggregation of the hydrotrope hinders, rather than promotes, solubilization.", "author" : [ { "dropping-particle" : "", "family" : "Booth", "given" : "Jonathan J.", "non-dropping-particle" : "", "parse-names" : false, "suffix" : "" }, { "dropping-particle" : "", "family" : "Abbott", "given" : "Steven", "non-dropping-particle" : "", "parse-names" : false, "suffix" : "" }, { "dropping-particle" : "", "family" : "Shimizu", "given" : "Seishi", "non-dropping-particle" : "", "parse-names" : false, "suffix" : "" } ], "container-title" : "Journal of Physical Chemistry B", "id" : "ITEM-5", "issue" : "51", "issued" : { "date-parts" : [ [ "2012" ] ] }, "page" : "14915-14921", "title" : "Mechanism of hydrophobic drug solubilization by small molecule hydrotropes", "type" : "article-journal", "volume" : "116" }, "uris" : [ "http://www.mendeley.com/documents/?uuid=33c3cbc9-707a-4097-91a4-e91008bc3dd6" ] }, { "id" : "ITEM-6", "itemData" : { "DOI" : "10.1039/c3cp53791a", "ISBN" : "1463-9076", "ISSN" : "1463-9084", "PMID" : "24189644", "abstract" : "Hydrophobic drugs can often be solubilized by the addition of hydrotropes. We have previously shown that preferential drug-hydrotrope association is one of the major factors of increased solubility (but not \"hydrotrope clustering\" or changes in \"water structure\"). How, then, can we understand this drug-hydrotrope interaction at a molecular level? Thermodynamic models based upon stoichiometric solute-water and solute-hydrotrope binding have long been used to understand solubilization microscopically. Such binding models have shown that the solvation numbers or coordination numbers of the water and hydrotrope molecules around the drug solute is the key quantity for solute-water and solute-hydrotrope interaction. However, we show that a rigorous statistical thermodynamic theory (the fluctuation solution theory originated by Kirkwood and Buff) requires the total reconsideration of such a paradigm. Here we show that (i) the excess solvation number (the net increase or decrease, relative to the bulk, of the solvent molecules around the solute), not the coordination number, is the key quantity for describing the solute-hydrotrope interaction; (ii) solute-hydrotrope binding is beyond the reach of the stoichiometric models because long-range solvation structure plays an important role.", "author" : [ { "dropping-particle" : "", "family" : "Shimizu", "given" : "Seishi", "non-dropping-particle" : "", "parse-names" : false, "suffix" : "" }, { "dropping-particle" : "", "family" : "Booth", "given" : "Jonathan J", "non-dropping-particle" : "", "parse-names" : false, "suffix" : "" }, { "dropping-particle" : "", "family" : "Abbott", "given" : "Steven", "non-dropping-particle" : "", "parse-names" : false, "suffix" : "" } ], "container-title" : "Physical chemistry chemical physics : PCCP", "id" : "ITEM-6", "issue" : "47", "issued" : { "date-parts" : [ [ "2013" ] ] }, "page" : "20625-20632", "title" : "Hydrotropy: binding models vs. statistical thermodynamics.", "type" : "article-journal", "volume" : "15" }, "uris" : [ "http://www.mendeley.com/documents/?uuid=d239f09f-553e-48eb-882f-c22d5aa8ac8c" ] }, { "id" : "ITEM-7",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"ITEM-7", "issue" : "14", "issued" : { "date-parts" : [ [ "2014" ] ] }, "page" : "3922-3930", "title" : "Preferential solvation: Dividing surface vs excess numbers", "type" : "article-journal", "volume" : "118" }, "uris" : [ "http://www.mendeley.com/documents/?uuid=896fec6b-354e-41cd-a8de-55bd371a22f5" ] }, { "id" : "ITEM-8", "itemData" : { "DOI" : "10.1021/jp505869m", "ISBN" : "1520-5207 (Electronic)\\r1520-5207 (Linking)", "ISSN" : "15205207", "PMID" : "25144510", "abstract" : "Drug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 "author" : [ { "dropping-particle" : "", "family" : "Shimizu", "given" : "Seishi", "non-dropping-particle" : "", "parse-names" : false, "suffix" : "" }, { "dropping-particle" : "", "family" : "Matubayasi", "given" : "Nobuyuki", "non-dropping-particle" : "", "parse-names" : false, "suffix" : "" } ], "container-title" : "Journal of Physical Chemistry B", "id" : "ITEM-8", "issue" : "35", "issued" : { "date-parts" : [ [ "2014" ] ] }, "page" : "10515-10524", "title" : "Hydrotropy: Monomer-micelle equilibrium and minimum hydrotrope concentration", "type" : "article-journal", "volume" : "118" }, "uris" : [ "http://www.mendeley.com/documents/?uuid=0cd1508f-d197-4e8d-a474-504cfaeae922" ] }, { "id" : "ITEM-9", "itemData" : { "DOI" : "10.1021/jp509099h", "ISSN" : "15205207", "PMID" : "25375260", "abstract" : "Gelation is enhanced by the addition of sugars and polyols. How, at a microscopic level, do such cosolvents enhance gelation? The following two different hypotheses have been proposed so far to answer this question: (i) enhancement of water structure around the biopolymer induced by cosolvents; (ii) exclusion of cosolvents from biopolymer surfaces. To examine the validity of the above hypotheses, as well as to quantify the driving forces of cosolvent-induced gelation, we have constructed a statistical thermodynamic theory of gelation, by extending our Kirkwood-Buff theory of cosolvency; biopolymer-water and biopolymer-cosolvent interactions can both be determined from thermodynamic data. The exclusion of cosolvents is shown to be the dominant contribution, whereas the hydration change is a minor contribution, which may be important only so far as to mediate the exclusion of cosolvents.", "author" : [ { "dropping-particle" : "", "family" : "Shimizu", "given" : "Seishi", "non-dropping-particle" : "", "parse-names" : false, "suffix" : "" }, { "dropping-particle" : "", "family" : "Matubayasi", "given" : "Nobuyuki", "non-dropping-particle" : "", "parse-names" : false, "suffix" : "" } ], "container-title" : "Journal of Physical Chemistry B", "id" : "ITEM-9", "issue" : "46", "issued" : { "date-parts" : [ [ "2014" ] ] }, "page" : "13210-13216", "title" : "Gelation: The role of sugars and polyols on gelatin and agarose", "type" : "article-journal", "volume" : "118" }, "uris" : [ "http://www.mendeley.com/documents/?uuid=3f487fe1-7c16-485b-971c-d2e69e2da704" ] }, { "id" : "ITEM-10", "itemData" : { "DOI" : "10.1039/C4CP05414H", "ISBN" : "1463-9084", "ISSN" : "1463-9076", "abstract" : "Nicotinamide is an effective non-micellar hydrotrope (solubilizer) for drugs with low aqueous solubility. To clarify the molecular basis of nicotinamide's hydrotropic effectiveness, we present here a rigorous statistical thermodynamic theory, based on the Kirkwood-Buff theory of solutions, and our recent application of it to hydrotropy. We have shown that (i) nicotinamide self-association reduces solubilization efficiency, contrary to the previous hypothesis which claimed that self-association drives solubilization and (ii) the minimum hydrotrope concentration (MHC), namely, the threshold concentration above which solubility suddenly increases, is caused not by the bulk-phase self-association of nicotinamides as has been postulated previously, but by the enhancement of nicotinamide-nicotinamide interaction around the drug molecules. We have thus established a new view of hydrotropy - it is nicotinamide's non-stoichiometric accumulation around the drug that is the basis of solubility increase above MHC.[on SciFinder (R)]", "author" : [ { "dropping-particle" : "", "family" : "Booth", "given" : "Jonathan J", "non-dropping-particle" : "", "parse-names" : false, "suffix" : "" }, { "dropping-particle" : "", "family" : "Omar", "given" : "Muhiadin", "non-dropping-particle" : "", "parse-names" : false, "suffix" : "" }, { "dropping-particle" : "", "family" : "Abbott", "given" : "Steven", "non-dropping-particle" : "", "parse-names" : false, "suffix" : "" }, { "dropping-particle" : "", "family" : "Shimizu", "given" : "Seishi", "non-dropping-particle" : "", "parse-names" : false, "suffix" : "" } ], "container-title" : "Phys Chem Chem Phys", "id" : "ITEM-10", "issue" : "12", "issued" : { "date-parts" : [ [ "2015" ] ] }, "page" : "8028-8037", "publisher" : "Royal Society of Chemistry", "title" : "Hydrotrope accumulation around the drug: the driving force for solubilization and minimum hydrotrope concentration for nicotinamide and urea", "type" : "article-journal", "volume" : "17" }, "uris" : [ "http://www.mendeley.com/documents/?uuid=5c6e1dca-c577-4d43-8836-d1f313635128" ] }, { "id" : "ITEM-11", "itemData" : { "DOI" : "10.1016/j.foodhyd.2015.10.007", "ISSN" : "0268005X", "abstract" : "The gelation of ??-carrageenan, a common polysaccharide for food gelling and thickening, is enhanced by the addition of sugars and polyols. Three different hypotheses have been proposed to explain this phenomenon: (i) the enhancement of the water structure around polysaccharides, and the concurrent change in polysaccharide hydration, induced by the cosolvent; (ii) exclusion of cosolvents from polysaccharide surfaces; (iii) binding between sugars/polyols and polysaccharides in the gel phase. To examine the above hypotheses, as well as to reveal the true driving forces responsible for gelation enhancement, we applied our recent statistical thermodynamic theory of gelation, derived from the rigorous Kirkwood-Buff theory. The hydration change is shown to be negligibly small relative to cosolvent exclusion and cosolvent-biopolymer binding, which can be rationalized by considering a sol-gel equilibrium in which (1) the exclusion of sugars/polyols from ??-carrageenan's surface in the sol phase, and (2) the binding of sugars and polyols in the gel phase, shift the sol-gel equilibrium of ??-carrageenan to the gel state. This novel picture is consistent with a wealth of experimental evidence and provides a mechanistic insight into how polyol and sugar cosolvents influence the gelation of ??-carrageenan on a molecular level.", "author" : [ { "dropping-particle" : "", "family" : "Stenner", "given" : "Richard", "non-dropping-particle" : "", "parse-names" : false, "suffix" : "" }, { "dropping-particle" : "", "family" : "Matubayasi", "given" : "Nobuyuki", "non-dropping-particle" : "", "parse-names" : false, "suffix" : "" }, { "dropping-particle" : "", "family" : "Shimizu", "given" : "Seishi", "non-dropping-particle" : "", "parse-names" : false, "suffix" : "" } ], "container-title" : "Food Hydrocolloids", "id" : "ITEM-11", "issued" : { "date-parts" : [ [ "2016" ] ] }, "page" : "284-292", "publisher" : "Elsevier Ltd", "title" : "Gelation of carrageenan: Effects of sugars and polyols", "type" : "article-journal", "volume" : "54" }, "uris" : [ "http://www.mendeley.com/documents/?uuid=1ba0dc87-aef9-4f66-a843-a82ff360fd80" ] }, { "id" : "ITEM-12",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"ITEM-12",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"mendeley" : { "formattedCitation" : "&lt;sup&gt;11\u201322&lt;/sup&gt;", "plainTextFormattedCitation" : "11\u201322", "previouslyFormattedCitation" : "&lt;sup&gt;11\u201322&lt;/sup&gt;" }, "properties" : { "noteIndex" : 0 }, "schema" : "https://github.com/citation-style-language/schema/raw/master/csl-citation.json" }</w:instrText>
      </w:r>
      <w:r w:rsidR="00C1095C" w:rsidRPr="00D039E9">
        <w:rPr>
          <w:rFonts w:cs="Times"/>
          <w:lang w:val="en-CA"/>
        </w:rPr>
        <w:fldChar w:fldCharType="separate"/>
      </w:r>
      <w:r w:rsidR="003E67FA" w:rsidRPr="00D039E9">
        <w:rPr>
          <w:rFonts w:cs="Times"/>
          <w:noProof/>
          <w:vertAlign w:val="superscript"/>
          <w:lang w:val="en-CA"/>
        </w:rPr>
        <w:t>11–22</w:t>
      </w:r>
      <w:r w:rsidR="00C1095C" w:rsidRPr="00D039E9">
        <w:rPr>
          <w:rFonts w:cs="Times"/>
          <w:lang w:val="en-CA"/>
        </w:rPr>
        <w:fldChar w:fldCharType="end"/>
      </w:r>
      <w:r w:rsidRPr="00D039E9">
        <w:rPr>
          <w:rFonts w:cs="Times"/>
          <w:lang w:val="en-CA"/>
        </w:rPr>
        <w:t xml:space="preserve">  </w:t>
      </w:r>
    </w:p>
    <w:p w14:paraId="34E5A770" w14:textId="77777777" w:rsidR="003872DB" w:rsidRPr="00D039E9" w:rsidRDefault="003872DB" w:rsidP="003872DB">
      <w:pPr>
        <w:pStyle w:val="TAMainText"/>
        <w:ind w:left="720" w:firstLine="0"/>
        <w:rPr>
          <w:rFonts w:cs="Times"/>
          <w:lang w:val="en-CA"/>
        </w:rPr>
      </w:pPr>
    </w:p>
    <w:p w14:paraId="69553672" w14:textId="4DB00F01" w:rsidR="003872DB" w:rsidRPr="00D039E9" w:rsidRDefault="003872DB" w:rsidP="003872DB">
      <w:pPr>
        <w:pStyle w:val="TAMainText"/>
        <w:rPr>
          <w:lang w:val="en-CA"/>
        </w:rPr>
      </w:pPr>
      <w:r w:rsidRPr="00D039E9">
        <w:rPr>
          <w:lang w:val="en-CA"/>
        </w:rPr>
        <w:t>The study of flavour-macromolecule interactions in food science has been motivated by the need for the enhancement and controlled release of</w:t>
      </w:r>
      <w:r w:rsidRPr="00D039E9">
        <w:rPr>
          <w:rFonts w:cs="Times"/>
          <w:lang w:val="en-CA"/>
        </w:rPr>
        <w:t xml:space="preserve"> food flavoring in general,</w:t>
      </w:r>
      <w:r w:rsidR="00A3111B" w:rsidRPr="00D039E9">
        <w:rPr>
          <w:rFonts w:cs="Times"/>
          <w:lang w:val="en-CA"/>
        </w:rPr>
        <w:fldChar w:fldCharType="begin" w:fldLock="1"/>
      </w:r>
      <w:r w:rsidR="00A3111B" w:rsidRPr="00D039E9">
        <w:rPr>
          <w:rFonts w:cs="Times"/>
          <w:lang w:val="en-CA"/>
        </w:rPr>
        <w:instrText>ADDIN CSL_CITATION { "citationItems" : [ { "id" : "ITEM-1", "itemData" : { "author" : [ { "dropping-particle" : "", "family" : "Damodaran", "given" : "Srinivasan", "non-dropping-particle" : "", "parse-names" : false, "suffix" : "" }, { "dropping-particle" : "", "family" : "Kinsella", "given" : "John E", "non-dropping-particle" : "", "parse-names" : false, "suffix" : "" } ], "container-title" : "Journal of Agricultural and Food Chemistry", "id" : "ITEM-1", "issued" : { "date-parts" : [ [ "1981" ] ] }, "page" : "1249-1253", "title" : "Interaction of Carbonyls with Soy Protein : Thermodynamic Effects", "type" : "article-journal", "volume" : "29" }, "uris" : [ "http://www.mendeley.com/documents/?uuid=291dd796-f27e-4bd0-89da-05dcbfeab0d6" ] }, { "id" : "ITEM-2", "itemData" : { "author" : [ { "dropping-particle" : "", "family" : "Damodaran", "given" : "Srinivasan", "non-dropping-particle" : "", "parse-names" : false, "suffix" : "" }, { "dropping-particle" : "", "family" : "Kinsella", "given" : "John E", "non-dropping-particle" : "", "parse-names" : false, "suffix" : "" } ], "container-title" : "Journal of Agricultural and Food Chemistry", "id" : "ITEM-2", "issued" : { "date-parts" : [ [ "1981" ] ] }, "page" : "1253-1257", "title" : "Interaction of Carbonyls with Soy Protein : Conformational Effects", "type" : "article-journal", "volume" : "29" }, "uris" : [ "http://www.mendeley.com/documents/?uuid=e888460f-0763-4b21-a7d1-df22f4f6d68b" ] }, { "id" : "ITEM-3", "itemData" : { "DOI" : "10.1021/bk-1996-0633", "ISBN" : "0-8412-3409-4", "collection-title" : "ACS Symposium Series", "editor" : [ { "dropping-particle" : "", "family" : "McGorrin", "given" : "Robert J.", "non-dropping-particle" : "", "parse-names" : false, "suffix" : "" }, { "dropping-particle" : "V.", "family" : "Leland", "given" : "Jane", "non-dropping-particle" : "", "parse-names" : false, "suffix" : "" } ], "id" : "ITEM-3", "issued" : { "date-parts" : [ [ "1996", "5", "5" ] ] }, "publisher" : "American Chemical Society", "publisher-place" : "Washington, DC", "title" : "Flavor-Food Interactions", "type" : "book", "volume" : "633" }, "uris" : [ "http://www.mendeley.com/documents/?uuid=7c257cbc-b2ff-3405-a2d0-76278ea6eb33" ] }, { "id" : "ITEM-4", "itemData" : { "ISBN" : "0065-2598 (Print)", "ISSN" : "00652598", "PMID" : "9131183", "abstract" : "The effect of sodium caseinate and whey protein concentrate on vanillin, benzaldehyde, citral, and d-limonene was determined by quantitative descriptive analysis deviation from reference. A trained taste panel evaluated samples containing a single flavor compound in 2.5% sucrose solution against a reference sample. Vanillin, benzaldehyde, and d-limonene flavor intensity decreased as the concentration of whey protein concentrate increased. In a separate study, the ability of delipidated methyl ketones to bind straight and branched chain methyl ketones was determined. The concentration of straight chain methyl ketones bound by the milk protein powder was inversely proportional to the size of the ligand. Branched chain methyl ketones did not exhibit a trend in binding based on ligand size.", "author" : [ { "dropping-particle" : "", "family" : "Hansen", "given" : "A P", "non-dropping-particle" : "", "parse-names" : false, "suffix" : "" } ], "container-title" : "Adv Exp Med Biol", "id" : "ITEM-4", "issued" : { "date-parts" : [ [ "1997" ] ] }, "page" : "67-76", "title" : "A review of the interactions between milk proteins and dairy flavor compounds", "type" : "article-journal", "volume" : "415" }, "uris" : [ "http://www.mendeley.com/documents/?uuid=1bde947a-7f63-42d0-9b0e-9ff6eb5804e5" ] }, { "id" : "ITEM-5", "itemData" : { "DOI" : "10.1111/j.1750-3841.2006.00051.x", "author" : [ { "dropping-particle" : "", "family" : "Kuhn", "given" : "Janina", "non-dropping-particle" : "", "parse-names" : false, "suffix" : "" }, { "dropping-particle" : "", "family" : "Considine", "given" : "Therese", "non-dropping-particle" : "", "parse-names" : false, "suffix" : "" }, { "dropping-particle" : "", "family" : "Singh", "given" : "Harjinder", "non-dropping-particle" : "", "parse-names" : false, "suffix" : "" } ], "container-title" : "Journal of Food Science", "id" : "ITEM-5", "issue" : "5", "issued" : { "date-parts" : [ [ "2006" ] ] }, "page" : "R72-R82", "title" : "Interactions of Milk Proteins and Volatile Flavor Compounds : Implications in the Development of Protein Foods", "type" : "article-journal", "volume" : "71" }, "uris" : [ "http://www.mendeley.com/documents/?uuid=4d3627d0-ef15-4c49-9d6d-9fd901f3cebb" ] }, { "id" : "ITEM-6", "itemData" : { "editor" : [ { "dropping-particle" : "", "family" : "Voilley", "given" : "Andree", "non-dropping-particle" : "", "parse-names" : false, "suffix" : "" }, { "dropping-particle" : "", "family" : "Etievant", "given" : "Patrick", "non-dropping-particle" : "", "parse-names" : false, "suffix" : "" } ], "id" : "ITEM-6", "issued" : { "date-parts" : [ [ "2006" ] ] }, "publisher" : "CRC Press", "publisher-place" : "Boca Raton, Fl", "title" : "Flavour in Food", "type" : "book" }, "uris" : [ "http://www.mendeley.com/documents/?uuid=fd219b39-eb95-354f-adec-cd72ebc358b7" ] }, { "id" : "ITEM-7", "itemData" : { "DOI" : "10.1021/jf801810b", "ISSN" : "0021-8561", "abstract" : "The interactions of whey protein isolate (WPI) and flavor compounds (2-nonanone, 1-nonanal, and trans-2-nonenal) were investigated, and the influence of flavor compound structure and heat and high pressure denaturation on the interactions were determined by using headspace solid-phase microextraction (SPME) and gas chromatography (GC). The binding of WPI and the flavor compounds decreased in the order trans-2-nonenal &gt; 1-nonanal &gt; 2-nonanone. The differences in binding can be explained with hydrophobic interactions only in the case of 2-nonanone, whereas the aldehydes, in particular trans-2-nonenal, can also react covalently. Heat and high pressure treatment affected protein\u2212flavor interactions depending on the structure of the flavor compound. Upon both heat and high pressure denaturation, the binding of 2-nonanone to WPI decreased, while the binding of 1-nonanal remained unchanged, and the affinity for trans-2-nonenal increased rapidly. The results suggest that hydrophobic interactions are weakened upon...", "author" : [ { "dropping-particle" : "", "family" : "Ku\u0308hn", "given" : "Janina", "non-dropping-particle" : "", "parse-names" : false, "suffix" : "" }, { "dropping-particle" : "", "family" : "Considine", "given" : "The\u0301re\u0300se", "non-dropping-particle" : "", "parse-names" : false, "suffix" : "" }, { "dropping-particle" : "", "family" : "Singh", "given" : "Harjinder", "non-dropping-particle" : "", "parse-names" : false, "suffix" : "" } ], "container-title" : "Journal of Agricultural and Food Chemistry", "id" : "ITEM-7", "issue" : "21", "issued" : { "date-parts" : [ [ "2008", "11", "12" ] ] }, "page" : "10218-10224", "publisher" : " American Chemical Society", "title" : "Binding of Flavor Compounds and Whey Protein Isolate as Affected by Heat and High Pressure Treatments", "type" : "article-journal", "volume" : "56" }, "uris" : [ "http://www.mendeley.com/documents/?uuid=291cbd17-1bcd-3bfb-a6bf-528ba4be8561" ] }, { "id" : "ITEM-8", "itemData" : { "DOI" : "10.1002/ffj.3365", "ISSN" : "08825734", "author" : [ { "dropping-particle" : "", "family" : "Wang", "given" : "Kun", "non-dropping-particle" : "", "parse-names" : false, "suffix" : "" }, { "dropping-particle" : "", "family" : "Arntfield", "given" : "Susan D.", "non-dropping-particle" : "", "parse-names" : false, "suffix" : "" } ], "container-title" : "Flavour and Fragrance Journal", "id" : "ITEM-8", "issued" : { "date-parts" : [ [ "2016" ] ] }, "title" : "Effect of protein-flavour binding on flavour delivery and protein functional properties: A special emphasis on plant-based proteins", "type" : "article-journal" }, "uris" : [ "http://www.mendeley.com/documents/?uuid=b7a42c7e-33fd-310c-8f57-e7fdae82f1a0" ] } ], "mendeley" : { "formattedCitation" : "&lt;sup&gt;1\u20138&lt;/sup&gt;", "plainTextFormattedCitation" : "1\u20138", "previouslyFormattedCitation" : "&lt;sup&gt;1\u20138&lt;/sup&gt;" }, "properties" : { "noteIndex" : 0 }, "schema" : "https://github.com/citation-style-language/schema/raw/master/csl-citation.json" }</w:instrText>
      </w:r>
      <w:r w:rsidR="00A3111B" w:rsidRPr="00D039E9">
        <w:rPr>
          <w:rFonts w:cs="Times"/>
          <w:lang w:val="en-CA"/>
        </w:rPr>
        <w:fldChar w:fldCharType="separate"/>
      </w:r>
      <w:r w:rsidR="00A3111B" w:rsidRPr="00D039E9">
        <w:rPr>
          <w:rFonts w:cs="Times"/>
          <w:noProof/>
          <w:vertAlign w:val="superscript"/>
          <w:lang w:val="en-CA"/>
        </w:rPr>
        <w:t>1–8</w:t>
      </w:r>
      <w:r w:rsidR="00A3111B" w:rsidRPr="00D039E9">
        <w:rPr>
          <w:rFonts w:cs="Times"/>
          <w:lang w:val="en-CA"/>
        </w:rPr>
        <w:fldChar w:fldCharType="end"/>
      </w:r>
      <w:r w:rsidRPr="00D039E9">
        <w:rPr>
          <w:rFonts w:cs="Times"/>
          <w:lang w:val="en-CA"/>
        </w:rPr>
        <w:t xml:space="preserve"> as well as </w:t>
      </w:r>
      <w:r w:rsidRPr="00D039E9">
        <w:rPr>
          <w:lang w:val="en-CA"/>
        </w:rPr>
        <w:t>the reduction of off-flavours, e.g. for the utilization of oilseed prote</w:t>
      </w:r>
      <w:r w:rsidR="00A82062" w:rsidRPr="00D039E9">
        <w:rPr>
          <w:lang w:val="en-CA"/>
        </w:rPr>
        <w:t>ins</w:t>
      </w:r>
      <w:r w:rsidRPr="00D039E9">
        <w:rPr>
          <w:lang w:val="en-CA"/>
        </w:rPr>
        <w:t>.</w:t>
      </w:r>
      <w:r w:rsidR="00A82062" w:rsidRPr="00D039E9">
        <w:rPr>
          <w:lang w:val="en-CA"/>
        </w:rPr>
        <w:fldChar w:fldCharType="begin" w:fldLock="1"/>
      </w:r>
      <w:r w:rsidR="003E67FA" w:rsidRPr="00D039E9">
        <w:rPr>
          <w:lang w:val="en-CA"/>
        </w:rPr>
        <w:instrText>ADDIN CSL_CITATION { "citationItems" : [ { "id" : "ITEM-1", "itemData" : { "author" : [ { "dropping-particle" : "", "family" : "Damodaran", "given" : "Srinivasan", "non-dropping-particle" : "", "parse-names" : false, "suffix" : "" }, { "dropping-particle" : "", "family" : "Kinsella", "given" : "John E", "non-dropping-particle" : "", "parse-names" : false, "suffix" : "" } ], "container-title" : "Journal of Agricultural and Food Chemistry", "id" : "ITEM-1", "issued" : { "date-parts" : [ [ "1981" ] ] }, "page" : "1249-1253", "title" : "Interaction of Carbonyls with Soy Protein : Thermodynamic Effects", "type" : "article-journal", "volume" : "29" }, "uris" : [ "http://www.mendeley.com/documents/?uuid=291dd796-f27e-4bd0-89da-05dcbfeab0d6" ] }, { "id" : "ITEM-2", "itemData" : { "author" : [ { "dropping-particle" : "", "family" : "Damodaran", "given" : "Srinivasan", "non-dropping-particle" : "", "parse-names" : false, "suffix" : "" }, { "dropping-particle" : "", "family" : "Kinsella", "given" : "John E", "non-dropping-particle" : "", "parse-names" : false, "suffix" : "" } ], "container-title" : "Journal of Agricultural and Food Chemistry", "id" : "ITEM-2", "issued" : { "date-parts" : [ [ "1981" ] ] }, "page" : "1253-1257", "title" : "Interaction of Carbonyls with Soy Protein : Conformational Effects", "type" : "article-journal", "volume" : "29" }, "uris" : [ "http://www.mendeley.com/documents/?uuid=e888460f-0763-4b21-a7d1-df22f4f6d68b" ] } ], "mendeley" : { "formattedCitation" : "&lt;sup&gt;1,2&lt;/sup&gt;", "plainTextFormattedCitation" : "1,2", "previouslyFormattedCitation" : "&lt;sup&gt;1,2&lt;/sup&gt;" }, "properties" : { "noteIndex" : 0 }, "schema" : "https://github.com/citation-style-language/schema/raw/master/csl-citation.json" }</w:instrText>
      </w:r>
      <w:r w:rsidR="00A82062" w:rsidRPr="00D039E9">
        <w:rPr>
          <w:lang w:val="en-CA"/>
        </w:rPr>
        <w:fldChar w:fldCharType="separate"/>
      </w:r>
      <w:r w:rsidR="003E67FA" w:rsidRPr="00D039E9">
        <w:rPr>
          <w:noProof/>
          <w:vertAlign w:val="superscript"/>
          <w:lang w:val="en-CA"/>
        </w:rPr>
        <w:t>1,2</w:t>
      </w:r>
      <w:r w:rsidR="00A82062" w:rsidRPr="00D039E9">
        <w:rPr>
          <w:lang w:val="en-CA"/>
        </w:rPr>
        <w:fldChar w:fldCharType="end"/>
      </w:r>
      <w:r w:rsidRPr="00D039E9">
        <w:rPr>
          <w:lang w:val="en-CA"/>
        </w:rPr>
        <w:t xml:space="preserve"> In addition, </w:t>
      </w:r>
      <w:r w:rsidRPr="00D039E9">
        <w:rPr>
          <w:rFonts w:cs="Times"/>
          <w:lang w:val="en-CA"/>
        </w:rPr>
        <w:t>flavour molecules, through their interaction with the protein, affect the denaturation and gel melting temperatures of proteins, thereby</w:t>
      </w:r>
      <w:r w:rsidR="00A82062" w:rsidRPr="00D039E9">
        <w:rPr>
          <w:rFonts w:cs="Times"/>
          <w:lang w:val="en-CA"/>
        </w:rPr>
        <w:t xml:space="preserve"> influencing cooking processes.</w:t>
      </w:r>
      <w:r w:rsidR="00A82062" w:rsidRPr="00D039E9">
        <w:rPr>
          <w:rFonts w:cs="Times"/>
          <w:lang w:val="en-CA"/>
        </w:rPr>
        <w:fldChar w:fldCharType="begin" w:fldLock="1"/>
      </w:r>
      <w:r w:rsidR="00E774D1" w:rsidRPr="00D039E9">
        <w:rPr>
          <w:rFonts w:cs="Times"/>
          <w:lang w:val="en-CA"/>
        </w:rPr>
        <w:instrText>ADDIN CSL_CITATION { "citationItems" : [ { "id" : "ITEM-1", "itemData" : { "author" : [ { "dropping-particle" : "", "family" : "Mikheeva", "given" : "L M", "non-dropping-particle" : "", "parse-names" : false, "suffix" : "" }, { "dropping-particle" : "V", "family" : "Grinberg", "given" : "N", "non-dropping-particle" : "", "parse-names" : false, "suffix" : "" }, { "dropping-particle" : "", "family" : "Grinberg", "given" : "V Ya", "non-dropping-particle" : "", "parse-names" : false, "suffix" : "" }, { "dropping-particle" : "", "family" : "Tolstoguzov", "given" : "V B", "non-dropping-particle" : "", "parse-names" : false, "suffix" : "" } ], "container-title" : "Nahrung", "id" : "ITEM-1", "issued" : { "date-parts" : [ [ "1998" ] ] }, "page" : "185-186", "title" : "Effect of thermal denaturation on vanillin binding to some food proteins", "type" : "article-journal", "volume" : "42" }, "uris" : [ "http://www.mendeley.com/documents/?uuid=c5eab56b-aa32-4ecc-b8ab-8ab9644b35a1" ] }, { "id" : "ITEM-2", "itemData" : { "DOI" : "10.1016/S0268-005X(98)00059-9", "ISBN" : "0268-005X", "ISSN" : "0268005X", "abstract" : "The release of 2-octanone bound by bovine serum albumin (BSA)/pectin complexes in aqueous solutions was induced by shift of pH from neutral (pH 6.4) to acid (pH 4.3). The release of 2-octanone was due to BSA unfolding on the oppositely charged rigid polysaccharide matrix at pHs below BSA's isoelectric point (IEP). The amount of released and freely available flavour was estimated by the effect of 2-octanone on the conformational stability of BSA, i.e. using BSA added to 2-octanone solution as an internal molecular detector. DSC was used to study the effects of: (i) protein denaturation on flavour binding capacity, (ii) binding of flavour on conformational stability of the protein and (iii) to develop an instrumental technique to measure the flavour release.", "author" : [ { "dropping-particle" : "", "family" : "Burova", "given" : "T.V", "non-dropping-particle" : "", "parse-names" : false, "suffix" : "" }, { "dropping-particle" : "", "family" : "Grinberg", "given" : "N.V", "non-dropping-particle" : "", "parse-names" : false, "suffix" : "" }, { "dropping-particle" : "", "family" : "Golubeva", "given" : "I.a", "non-dropping-particle" : "", "parse-names" : false, "suffix" : "" }, { "dropping-particle" : "", "family" : "Mashkevich", "given" : "A.Ya", "non-dropping-particle" : "", "parse-names" : false, "suffix" : "" }, { "dropping-particle" : "", "family" : "Grinberg", "given" : "V.Ya", "non-dropping-particle" : "", "parse-names" : false, "suffix" : "" }, { "dropping-particle" : "", "family" : "Tolstoguzov", "given" : "V.B", "non-dropping-particle" : "", "parse-names" : false, "suffix" : "" } ], "container-title" : "Food Hydrocolloids", "id" : "ITEM-2", "issue" : "1", "issued" : { "date-parts" : [ [ "1999" ] ] }, "page" : "7-14", "title" : "Flavour release in model bovine serum albumin/pectin/2-octanone systems", "type" : "article-journal", "volume" : "13" }, "uris" : [ "http://www.mendeley.com/documents/?uuid=0dbd056c-fea3-46d9-9aac-b988588577f1" ] }, { "id" : "ITEM-3", "itemData" : { "DOI" : "10.1016/S0268-005X(01)00111-4", "ISBN" : "0268-005X", "ISSN" : "0268005X", "PMID" : "65", "abstract" : "Several factors underlie the thermodynamic similarity of foods. First is the common physiological storage function of most important components of food raw materials. Second is the general character of non-specific intermolecular interactions of food macromolecules. Third is the mimicry of biopolymers that underlie quite similar physico-chemical properties of biopolymer species. Molecular mimicry and molecular symbiosis affect phase behaviour and rheology of biopolymer mixtures. Molecular mimicry implies the chemical and structural similarity of hydrophilic surfaces of globular proteins with their chemical information hidden in the hydrophobic interior, and the low excluded volume of the globules. Another mimicry technique is the binding of different biopolymers into a new hybrid (e.g. conjugates) macromolecule acquiring an affinity to the macromolecular constituents as co-solutes. Molecular symbiosis means that interactions (attraction or repulsion) between biopolymer molecules greatly differing in conformation (globular and rod-like), favour the biological efficiency of one of them, at least. Thermodynamic incompatibility is typical of food macromolecules, whose denaturation, association, complexing and chemical modification reduce their mimicry and co-solubility. Biopolymer incompatibility, self-association and interbiopolymer complexing contribute to synergistic and antagonistic effects of food formulation. The thermodynamic approach is highly promising for modelling of food formulation. Food formulation aims to control interactions between proteins, polysaccharides and their interactions with other food components. Thermodynamic aspects of food digestion mechanisms and the multifunctionality of exopolysaccharides, prebiotics, storage proteins and other chyme components are considered in terms of food formulation. Normally, food and chyme are phase-separated systems. Thermodynamic similarity, which is a fundamental feature of processed food systems determines the high efficiency of empirically developed food technologies and the low sensitivity of structural and mechanical properties of the chyme to the composition of diets. ?? 2002 Elsevier Science Ltd. All rights reserved.", "author" : [ { "dropping-particle" : "", "family" : "Tolstoguzov", "given" : "Vladimir", "non-dropping-particle" : "", "parse-names" : false, "suffix" : "" } ], "container-title" : "Food Hydrocolloids", "id" : "ITEM-3", "issue" : "1", "issued" : { "date-parts" : [ [ "2003" ] ] }, "page" : "1-23", "title" : "Some thermodynamic considerations in food formulation", "type" : "article-journal", "volume" : "17" }, "uris" : [ "http://www.mendeley.com/documents/?uuid=b60143fc-92e0-49db-9551-7990ec90c02c" ] }, { "id" : "ITEM-4", "itemData" : { "DOI" : "10.1016/S0268-005X(01)00106-0", "ISBN" : "0268-005X", "ISSN" : "0268005X", "abstract" : "The effect of vanillin on thermal denaturation of ovalbumin was studied using high-sensitivity differential scanning calorimetry. At neutral and acidic (6.7 and 3.0) pH values thermal denaturation of ovalbumin depends on the heating rate and is irreversible. The experimental denaturation thermograms of ovalbumin were compared with thermograms simulated according to the Lumry-Eyring model of irreversible protein denaturation (N ??? D ??? A). It was shown that general tendencies of changes in the calorimetric parameters of ovalbumin denaturation as a function of the heating rate are in accordance with those predicted by this model. It was concluded that the heating rate could be considered as a factor shifting the denaturation equilibrium of ovalbumin (N ??? D) similarly to its shifts caused by such physicochemical factors as pH, ionic strength or ligand concentration. Both the temperature and the enthalpy of ovalbumin denaturation decrease with an increase in the vanillin concentration within the pH range from 3.0 to 9.0. This effect of vanillin binding does not depend on the heating rate. The equilibrium parameters of ovalbumin denaturation have been determined by an extrapolation procedure at different vanillin concentrations. The equilibrium denaturation parameters have been used for calculation of the excess free energy of denaturation as a function of vanillin concentration. The vanillin binding constant Kb equals 5 M-1 at pH 6.7 and 33 M-1 at pH 3.0. The denaturation increment of the numbers of binding sites is ??d?? = 20 at pH 6.7 and ??d?? = 3 at pH 3.0. Possible mechanism of the vanillin binding to ovalbumin and its applied aspects are discussed. ?? 2002 Elsevier Science Ltd. All rights reserved.", "author" : [ { "dropping-particle" : "", "family" : "Grinberg", "given" : "V. Ya", "non-dropping-particle" : "", "parse-names" : false, "suffix" : "" }, { "dropping-particle" : "V.", "family" : "Grinberg", "given" : "N.", "non-dropping-particle" : "", "parse-names" : false, "suffix" : "" }, { "dropping-particle" : "", "family" : "Mashkevich", "given" : "A. Ya", "non-dropping-particle" : "", "parse-names" : false, "suffix" : "" }, { "dropping-particle" : "V.", "family" : "Burova", "given" : "T.", "non-dropping-particle" : "", "parse-names" : false, "suffix" : "" }, { "dropping-particle" : "", "family" : "Tolstoguzov", "given" : "V. B.", "non-dropping-particle" : "", "parse-names" : false, "suffix" : "" } ], "container-title" : "Food Hydrocolloids", "id" : "ITEM-4", "issue" : "4", "issued" : { "date-parts" : [ [ "2002" ] ] }, "page" : "333-343", "title" : "Calorimetric study of interaction of ovalbumin with vanillin", "type" : "article-journal", "volume" : "16" }, "uris" : [ "http://www.mendeley.com/documents/?uuid=f8afb1a8-1f26-4c53-98af-9584e02d22a5" ] }, { "id" : "ITEM-5", "itemData" : { "DOI" : "10.1016/S0927-7757(02)00516-2", "ISSN" : "09277757", "abstract" : "The unfolding-association-refolding behaviour of proteins and their interactions with odorants are significant to the processing and flavoring of foods. Interactions of 2-octanone and vanillin (aliphatic and aromatic odorants) with individual proteins and their mixtures have been studied using: native, acid and thermally denatured bovine serum albumin (BSA), native and thermally denatured ovalbumin (OA) and bovine \u03b2-casein (BC). Equilibrium dialysis and differential scanning calorimetry methods were used to study flavor binding and flavor release in protein solutions. The binding of vanillin to native BSA exhibited two equivalent binding sites with binding constants in the order of 103 M-1 and these binding parameters were not markedly changed within the range of temperature from 25 to 63\u00b0C. The binding site number was monotonously reduced to about zero as the pH was decreased from 6.4 to 2.5, consistent with the N\u21d4F transition of BSA. The complete loss of vanillin binding activity was also coupled with both acid and thermal denaturation of BSA. Neither the associated BC nor thermally denatured OA produced a detectable competition with BSA for the binding of vanillin or octanone. The associated BC did not bind vanillin. It has been proposed that the adsorption of hydrophobic low-molecular weight compounds acts to plasticize the globule state of the protein. Plasticized globular proteins seem to tend towards self-association and refolding with separation of hydrophobic ligands (e.g. odorants). \u00a9 2002 Elsevier Science B.V. All rights reserved.", "author" : [ { "dropping-particle" : "V.", "family" : "Burova", "given" : "Tatiana", "non-dropping-particle" : "", "parse-names" : false, "suffix" : "" }, { "dropping-particle" : "V.", "family" : "Grinberg", "given" : "Natalia", "non-dropping-particle" : "", "parse-names" : false, "suffix" : "" }, { "dropping-particle" : "", "family" : "Grinberg", "given" : "Valerij Ya", "non-dropping-particle" : "", "parse-names" : false, "suffix" : "" }, { "dropping-particle" : "", "family" : "Tolstoguzov", "given" : "Vladimir B.", "non-dropping-particle" : "", "parse-names" : false, "suffix" : "" } ], "container-title" : "Colloids and Surfaces A: Physicochemical and Engineering Aspects", "id" : "ITEM-5", "issue" : "2-3", "issued" : { "date-parts" : [ [ "2003" ] ] }, "page" : "235-244", "title" : "Binding of odorants to individual proteins and their mixtures. Effects of protein denaturation and association. A plasticized globule state", "type" : "article-journal", "volume" : "213" }, "uris" : [ "http://www.mendeley.com/documents/?uuid=1895ed0f-5b04-40e3-a583-74ccb973fe40" ] }, { "id" : "ITEM-6", "itemData" : { "DOI" : "10.1016/S0268-005X(97)80024-0", "ISBN" : "0268-005X", "ISSN" : "0268005X", "PMID" : "73", "abstract" : "The thermodynamic incompatibility of proteins and polysaccharides is of a general nature. This phenomenon is observed under conditions which inhibit complexing between proteins and polysaccharides and promote association between macromolecules of the same type, i.e. provide self-association of biopolymers. Conditions for incompatibility are dependent on the structure and composition of a given biopolymer pair. Incompatibility decreases in the order: carboxyl-containing polysaccharides &gt; neutral polysaccharides &gt; sulphate-containing polysaccharides. Normally, linear polysaccharides are more incompatible with proteins than branched polysaccharides. The difference in hydrophilicity between proteins and polysaccharides, the so-called \u0394\u03c7-effect, is of great importance for phase equilibria in protein\u2014polysaccharide\u2014water systems and significantly affects this phenomenon. This is reflected in the marked tie slope asymmetry of the phase diagrams of mixed pro tein\u2014polysaccharide solutions.", "author" : [ { "dropping-particle" : "", "family" : "Polyakov", "given" : "V.I.", "non-dropping-particle" : "", "parse-names" : false, "suffix" : "" }, { "dropping-particle" : "", "family" : "Grinberg", "given" : "V.Ya.", "non-dropping-particle" : "", "parse-names" : false, "suffix" : "" }, { "dropping-particle" : "", "family" : "Tolstoguzov", "given" : "V.B.", "non-dropping-particle" : "", "parse-names" : false, "suffix" : "" } ], "container-title" : "Food Hydrocolloids", "id" : "ITEM-6", "issue" : "2", "issued" : { "date-parts" : [ [ "1997" ] ] }, "page" : "171-180", "title" : "Thermodynamic incompatibility of proteins", "type" : "article-journal", "volume" : "11" }, "uris" : [ "http://www.mendeley.com/documents/?uuid=98e61668-e154-4bdc-8ddb-4805986f51e2" ] } ], "mendeley" : { "formattedCitation" : "&lt;sup&gt;23\u201328&lt;/sup&gt;", "plainTextFormattedCitation" : "23\u201328", "previouslyFormattedCitation" : "&lt;sup&gt;23\u201328&lt;/sup&gt;" }, "properties" : { "noteIndex" : 0 }, "schema" : "https://github.com/citation-style-language/schema/raw/master/csl-citation.json" }</w:instrText>
      </w:r>
      <w:r w:rsidR="00A82062" w:rsidRPr="00D039E9">
        <w:rPr>
          <w:rFonts w:cs="Times"/>
          <w:lang w:val="en-CA"/>
        </w:rPr>
        <w:fldChar w:fldCharType="separate"/>
      </w:r>
      <w:r w:rsidR="00A3111B" w:rsidRPr="00D039E9">
        <w:rPr>
          <w:rFonts w:cs="Times"/>
          <w:noProof/>
          <w:vertAlign w:val="superscript"/>
          <w:lang w:val="en-CA"/>
        </w:rPr>
        <w:t>23–28</w:t>
      </w:r>
      <w:r w:rsidR="00A82062" w:rsidRPr="00D039E9">
        <w:rPr>
          <w:rFonts w:cs="Times"/>
          <w:lang w:val="en-CA"/>
        </w:rPr>
        <w:fldChar w:fldCharType="end"/>
      </w:r>
      <w:r w:rsidR="00A82062" w:rsidRPr="00D039E9">
        <w:rPr>
          <w:rFonts w:cs="Times"/>
          <w:lang w:val="en-CA"/>
        </w:rPr>
        <w:t xml:space="preserve"> </w:t>
      </w:r>
      <w:r w:rsidRPr="00D039E9">
        <w:rPr>
          <w:rFonts w:cs="Times"/>
          <w:lang w:val="en-CA"/>
        </w:rPr>
        <w:t xml:space="preserve">Control over these processes require quantitative information on flavour-macromolecule interactions.  </w:t>
      </w:r>
    </w:p>
    <w:p w14:paraId="0516AD8D" w14:textId="77777777" w:rsidR="003872DB" w:rsidRPr="00D039E9" w:rsidRDefault="003872DB" w:rsidP="003872DB">
      <w:pPr>
        <w:pStyle w:val="TAMainText"/>
        <w:ind w:firstLine="0"/>
        <w:rPr>
          <w:rFonts w:cs="Times"/>
          <w:lang w:val="en-CA"/>
        </w:rPr>
      </w:pPr>
    </w:p>
    <w:p w14:paraId="520CB08B" w14:textId="77777777" w:rsidR="003872DB" w:rsidRPr="00D039E9" w:rsidRDefault="003872DB" w:rsidP="003872DB">
      <w:pPr>
        <w:pStyle w:val="TAMainText"/>
        <w:rPr>
          <w:lang w:val="en-CA"/>
        </w:rPr>
      </w:pPr>
      <w:r w:rsidRPr="00D039E9">
        <w:rPr>
          <w:lang w:val="en-CA"/>
        </w:rPr>
        <w:t xml:space="preserve">Several different experimental techniques have been employed so far to quantify flavour-macromolecule interactions. The most common approaches seem to be the following:  </w:t>
      </w:r>
    </w:p>
    <w:p w14:paraId="4BDDB8C9" w14:textId="31D0DC10" w:rsidR="003872DB" w:rsidRPr="00D039E9" w:rsidRDefault="003872DB" w:rsidP="007F05BE">
      <w:pPr>
        <w:pStyle w:val="TAMainText"/>
        <w:numPr>
          <w:ilvl w:val="0"/>
          <w:numId w:val="8"/>
        </w:numPr>
        <w:rPr>
          <w:lang w:val="en-CA"/>
        </w:rPr>
      </w:pPr>
      <w:r w:rsidRPr="00D039E9">
        <w:rPr>
          <w:rFonts w:cs="Times"/>
          <w:lang w:val="en-CA"/>
        </w:rPr>
        <w:t>Estimation of the binding constant via dialysis equilibria using semi-p</w:t>
      </w:r>
      <w:r w:rsidR="00A82062" w:rsidRPr="00D039E9">
        <w:rPr>
          <w:rFonts w:cs="Times"/>
          <w:lang w:val="en-CA"/>
        </w:rPr>
        <w:t>ermeable membranes</w:t>
      </w:r>
      <w:r w:rsidR="00A82062" w:rsidRPr="00D039E9">
        <w:rPr>
          <w:rFonts w:cs="Times"/>
          <w:lang w:val="en-CA"/>
        </w:rPr>
        <w:fldChar w:fldCharType="begin" w:fldLock="1"/>
      </w:r>
      <w:r w:rsidR="00C65F5C" w:rsidRPr="00D039E9">
        <w:rPr>
          <w:rFonts w:cs="Times"/>
          <w:lang w:val="en-CA"/>
        </w:rPr>
        <w:instrText>ADDIN CSL_CITATION { "citationItems" : [ { "id" : "ITEM-1", "itemData" : { "author" : [ { "dropping-particle" : "", "family" : "Damodaran", "given" : "Srinivasan", "non-dropping-particle" : "", "parse-names" : false, "suffix" : "" }, { "dropping-particle" : "", "family" : "Kinsella", "given" : "John E", "non-dropping-particle" : "", "parse-names" : false, "suffix" : "" } ], "container-title" : "Journal of Agricultural and Food Chemistry", "id" : "ITEM-1", "issued" : { "date-parts" : [ [ "1981" ] ] }, "page" : "1249-1253", "title" : "Interaction of Carbonyls with Soy Protein : Thermodynamic Effects", "type" : "article-journal", "volume" : "29" }, "uris" : [ "http://www.mendeley.com/documents/?uuid=291dd796-f27e-4bd0-89da-05dcbfeab0d6" ] }, { "id" : "ITEM-2", "itemData" : { "author" : [ { "dropping-particle" : "", "family" : "Damodaran", "given" : "Srinivasan", "non-dropping-particle" : "", "parse-names" : false, "suffix" : "" }, { "dropping-particle" : "", "family" : "Kinsella", "given" : "John E", "non-dropping-particle" : "", "parse-names" : false, "suffix" : "" } ], "container-title" : "Journal of Agricultural and Food Chemistry", "id" : "ITEM-2", "issued" : { "date-parts" : [ [ "1981" ] ] }, "page" : "1253-1257", "title" : "Interaction of Carbonyls with Soy Protein : Conformational Effects", "type" : "article-journal", "volume" : "29" }, "uris" : [ "http://www.mendeley.com/documents/?uuid=e888460f-0763-4b21-a7d1-df22f4f6d68b" ] }, { "id" : "ITEM-3", "itemData" : { "DOI" : "10.1111/j.1365-2621.1987.tb13980.x", "ISSN" : "0022-1147", "author" : [ { "dropping-particle" : "", "family" : "O'Neill", "given" : "Timothy E.", "non-dropping-particle" : "", "parse-names" : false, "suffix" : "" }, { "dropping-particle" : "", "family" : "Kinsella", "given" : "John E.", "non-dropping-particle" : "", "parse-names" : false, "suffix" : "" } ], "container-title" : "Journal of Food Science", "id" : "ITEM-3", "issue" : "1", "issued" : { "date-parts" : [ [ "1987", "1" ] ] }, "page" : "98-101", "publisher" : "Blackwell Publishing Ltd", "title" : "Flavor Protein Interactions: Characteristics of 2-Nonanone Binding to Isolated Soy Protein Fractions", "type" : "article-journal", "volume" : "52" }, "uris" : [ "http://www.mendeley.com/documents/?uuid=9a4f6aeb-bac1-3809-afbf-3c12c4f180dc" ] }, { "id" : "ITEM-4", "itemData" : { "DOI" : "10.1021/bk-1996-0633.ch006", "author" : [ { "dropping-particle" : "", "family" : "O'Neill", "given" : "Timothy E.", "non-dropping-particle" : "", "parse-names" : false, "suffix" : "" } ], "id" : "ITEM-4", "issued" : { "date-parts" : [ [ "1996", "5", "5" ] ] }, "page" : "59-74", "title" : "Flavor Binding by Food Proteins: An Overview", "type" : "chapter" }, "uris" : [ "http://www.mendeley.com/documents/?uuid=48481a29-3c8c-3969-b38a-5c673b671ff9" ] }, { "id" : "ITEM-5", "itemData" : { "author" : [ { "dropping-particle" : "", "family" : "Guichard", "given" : "E", "non-dropping-particle" : "", "parse-names" : false, "suffix" : "" }, { "dropping-particle" : "", "family" : "Langourieux", "given" : "S", "non-dropping-particle" : "", "parse-names" : false, "suffix" : "" } ], "container-title" : "Food Chemistry", "id" : "ITEM-5", "issued" : { "date-parts" : [ [ "2000" ] ] }, "page" : "301-308", "title" : "Interactions between b -lactoglobulin and \u00af avour compounds", "type" : "article-journal", "volume" : "71" }, "uris" : [ "http://www.mendeley.com/documents/?uuid=ec402924-8f58-4cb7-9815-c67ed89e3a69" ] }, { "id" : "ITEM-6", "itemData" : { "DOI" : "10.1021/jf0012188", "ISBN" : "0021-8561 (Print)\\r0021-8561 (Linking)", "ISSN" : "00218561", "PMID" : "11368643", "abstract" : "Although a thorough characterization of binding parameters is essential for application of beta-lactoglobulin as a carrier for a variety of small hydrophobic ligands, the binding parameters derived in various studies using various techniques are inconsistent. The bindings of several small ligands as detected by fluorometry and equilibrium dialysis were compared. Fluorescence spectroscopy showed that beta-ionone, retinol, and fatty acid lactones all bound in the vicinity of a tryptophan residue. Retinol and fatty acid lactone competed for the same binding site. Exclusively for ligands that quench the beta-lactoglobulin fluorescence through a resonance energy transfer mechanism, fluorometry yielded a systematically higher binding affinity than equilibrium dialysis. The binding overestimation in fluorometric measurements can be explained by oligomer formation of protein, together with an underestimation of the limiting quenching level at saturating ligand concentrations due to the use of a limited set of data points.", "author" : [ { "dropping-particle" : "", "family" : "Muresan", "given" : "Sorel", "non-dropping-particle" : "", "parse-names" : false, "suffix" : "" }, { "dropping-particle" : "", "family" : "Bent", "given" : "A", "non-dropping-particle" : "van der", "parse-names" : false, "suffix" : "" }, { "dropping-particle" : "", "family" : "Wolf", "given" : "Frits A.", "non-dropping-particle" : "De", "parse-names" : false, "suffix" : "" } ], "container-title" : "Journal of Agricultural and Food Chemistry", "id" : "ITEM-6", "issue" : "5", "issued" : { "date-parts" : [ [ "2001" ] ] }, "page" : "2609-2618", "publisher" : "American Chemical Society", "title" : "Interaction of ??-lactoglobulin with small hydrophobic ligands as monitored by fluorometry and equilibrium dialysis: Nonlinear quenching effects related to protein - Protein association", "type" : "article-journal", "volume" : "49" }, "uris" : [ "http://www.mendeley.com/documents/?uuid=71b6d8b8-29a9-3511-bc48-c4b0bfc15fda" ] }, { "id" : "ITEM-7", "itemData" : { "DOI" : "10.1007/s11746-009-1535-8", "ISSN" : "0003-021X", "author" : [ { "dropping-particle" : "", "family" : "Arora", "given" : "Akshay", "non-dropping-particle" : "", "parse-names" : false, "suffix" : "" }, { "dropping-particle" : "", "family" : "Damodaran", "given" : "Srinivasan", "non-dropping-particle" : "", "parse-names" : false, "suffix" : "" } ], "container-title" : "Journal of the American Oil Chemists' Society", "id" : "ITEM-7", "issue" : "6", "issued" : { "date-parts" : [ [ "2010", "6", "19" ] ] }, "page" : "673-679", "publisher" : "Springer-Verlag", "title" : "Competitive Binding of Off-Flavor Compounds with Soy Protein and \u03b2-Cyclodextrin in a Ternary System: A Model Study", "type" : "article-journal", "volume" : "87" }, "uris" : [ "http://www.mendeley.com/documents/?uuid=4d072e3e-e9a4-39b7-b1a3-dda4f90eaf52" ] } ], "mendeley" : { "formattedCitation" : "&lt;sup&gt;1,2,29\u201333&lt;/sup&gt;", "plainTextFormattedCitation" : "1,2,29\u201333", "previouslyFormattedCitation" : "&lt;sup&gt;1,2,29\u201333&lt;/sup&gt;" }, "properties" : { "noteIndex" : 0 }, "schema" : "https://github.com/citation-style-language/schema/raw/master/csl-citation.json" }</w:instrText>
      </w:r>
      <w:r w:rsidR="00A82062" w:rsidRPr="00D039E9">
        <w:rPr>
          <w:rFonts w:cs="Times"/>
          <w:lang w:val="en-CA"/>
        </w:rPr>
        <w:fldChar w:fldCharType="separate"/>
      </w:r>
      <w:r w:rsidR="00BB3004" w:rsidRPr="00D039E9">
        <w:rPr>
          <w:rFonts w:cs="Times"/>
          <w:noProof/>
          <w:vertAlign w:val="superscript"/>
          <w:lang w:val="en-CA"/>
        </w:rPr>
        <w:t>1,2,29–33</w:t>
      </w:r>
      <w:r w:rsidR="00A82062" w:rsidRPr="00D039E9">
        <w:rPr>
          <w:rFonts w:cs="Times"/>
          <w:lang w:val="en-CA"/>
        </w:rPr>
        <w:fldChar w:fldCharType="end"/>
      </w:r>
      <w:r w:rsidRPr="00D039E9">
        <w:rPr>
          <w:rFonts w:cs="Times"/>
          <w:lang w:val="en-CA"/>
        </w:rPr>
        <w:t xml:space="preserve">  </w:t>
      </w:r>
    </w:p>
    <w:p w14:paraId="1406CD44" w14:textId="09A37CB8" w:rsidR="003872DB" w:rsidRPr="00D039E9" w:rsidRDefault="003872DB" w:rsidP="003872DB">
      <w:pPr>
        <w:pStyle w:val="TAMainText"/>
        <w:numPr>
          <w:ilvl w:val="0"/>
          <w:numId w:val="8"/>
        </w:numPr>
        <w:rPr>
          <w:rFonts w:cs="Times"/>
          <w:lang w:val="en-CA"/>
        </w:rPr>
      </w:pPr>
      <w:r w:rsidRPr="00D039E9">
        <w:rPr>
          <w:rFonts w:cs="Times"/>
          <w:lang w:val="en-CA"/>
        </w:rPr>
        <w:t>Headspace vapour pressure measurements of flavour molecules,</w:t>
      </w:r>
      <w:r w:rsidR="00317D55" w:rsidRPr="00D039E9">
        <w:rPr>
          <w:rFonts w:cs="Times"/>
          <w:lang w:val="en-CA"/>
        </w:rPr>
        <w:fldChar w:fldCharType="begin" w:fldLock="1"/>
      </w:r>
      <w:r w:rsidR="00C65F5C" w:rsidRPr="00D039E9">
        <w:rPr>
          <w:rFonts w:cs="Times"/>
          <w:lang w:val="en-CA"/>
        </w:rPr>
        <w:instrText>ADDIN CSL_CITATION { "citationItems" : [ { "id" : "ITEM-1", "itemData" : { "DOI" : "10.1111/j.1750-3841.2006.00051.x", "author" : [ { "dropping-particle" : "", "family" : "Kuhn", "given" : "Janina", "non-dropping-particle" : "", "parse-names" : false, "suffix" : "" }, { "dropping-particle" : "", "family" : "Considine", "given" : "Therese", "non-dropping-particle" : "", "parse-names" : false, "suffix" : "" }, { "dropping-particle" : "", "family" : "Singh", "given" : "Harjinder", "non-dropping-particle" : "", "parse-names" : false, "suffix" : "" } ], "container-title" : "Journal of Food Science", "id" : "ITEM-1", "issue" : "5", "issued" : { "date-parts" : [ [ "2006" ] ] }, "page" : "R72-R82", "title" : "Interactions of Milk Proteins and Volatile Flavor Compounds : Implications in the Development of Protein Foods", "type" : "article-journal", "volume" : "71" }, "uris" : [ "http://www.mendeley.com/documents/?uuid=4d3627d0-ef15-4c49-9d6d-9fd901f3cebb" ] }, { "id" : "ITEM-2", "itemData" : { "author" : [ { "dropping-particle" : "", "family" : "O'Neill", "given" : "Timothy E.", "non-dropping-particle" : "", "parse-names" : false, "suffix" : "" }, { "dropping-particle" : "", "family" : "Kinsella", "given" : "John E", "non-dropping-particle" : "", "parse-names" : false, "suffix" : "" } ], "container-title" : "Journal of Agricultural and Food Chemistry", "id" : "ITEM-2", "issued" : { "date-parts" : [ [ "1987" ] ] }, "page" : "770-774", "title" : "Binding of alkanone flavors to beta lactoglobulin: effects of conformational and chemical modification", "type" : "article-journal", "volume" : "35" }, "uris" : [ "http://www.mendeley.com/documents/?uuid=82fb005b-c6cc-489f-bb13-0c1da8e839a7" ] }, { "id" : "ITEM-3", "itemData" : { "DOI" : "10.1051/lait:1999647", "ISSN" : "0023-7302", "author" : [ { "dropping-particle" : "", "family" : "Andriot", "given" : "Isabelle", "non-dropping-particle" : "", "parse-names" : false, "suffix" : "" }, { "dropping-particle" : "", "family" : "Marin", "given" : "Isabelle", "non-dropping-particle" : "", "parse-names" : false, "suffix" : "" }, { "dropping-particle" : "", "family" : "Feron", "given" : "Gilles", "non-dropping-particle" : "", "parse-names" : false, "suffix" : "" }, { "dropping-particle" : "", "family" : "Relkin", "given" : "Perla", "non-dropping-particle" : "", "parse-names" : false, "suffix" : "" }, { "dropping-particle" : "", "family" : "Guichard", "given" : "Elisabeth", "non-dropping-particle" : "", "parse-names" : false, "suffix" : "" } ], "container-title" : "Le Lait", "id" : "ITEM-3", "issue" : "6", "issued" : { "date-parts" : [ [ "1999" ] ] }, "page" : "577-586", "publisher" : "EDP Sciences", "title" : "Binding of benzaldehyde by \u03b2-lactoglobulin, by static headspace and high performance liquid chromatography in different physico-chemical conditions", "type" : "article-journal", "volume" : "79" }, "uris" : [ "http://www.mendeley.com/documents/?uuid=889c40e6-61af-3968-9207-e9a703dbfad7" ] }, { "id" : "ITEM-4", "itemData" : { "author" : [ { "dropping-particle" : "", "family" : "Andriot", "given" : "Isabelle", "non-dropping-particle" : "", "parse-names" : false, "suffix" : "" }, { "dropping-particle" : "", "family" : "Harrison", "given" : "Marcus", "non-dropping-particle" : "", "parse-names" : false, "suffix" : "" }, { "dropping-particle" : "", "family" : "Fournier", "given" : "Nicole", "non-dropping-particle" : "", "parse-names" : false, "suffix" : "" }, { "dropping-particle" : "", "family" : "Guichard", "given" : "Elisabeth", "non-dropping-particle" : "", "parse-names" : false, "suffix" : "" } ], "container-title" : "Journal of Agricultural and Food Chemistry", "id" : "ITEM-4", "issued" : { "date-parts" : [ [ "2000" ] ] }, "page" : "4246-4251", "title" : "Interactions between Methyl Ketones and -Lactoglobulin: Sensory Analysis, Headspace Analysis, and Mathematical Modeling", "type" : "article-journal", "volume" : "48" }, "uris" : [ "http://www.mendeley.com/documents/?uuid=4c13c57a-9a56-4a3f-bc6b-01c7c12955ab" ] }, { "id" : "ITEM-5", "itemData" : { "DOI" : "10.1021/JF010706S", "abstract" : "Interactions between 10 aroma compounds from different chemical classes and 5 mixtures of milk proteins have been studied using static or dynamic headspace gas chromatography and solid-phase microextraction (SPME). Static headspace analysis allows the quantification of the release of only the most abundant compounds. Dynamic headspace analysis does not allow the discrimination of flavor release from the different protein mixtures, probably due to a displacement of headspace equilibrium. By SPME analysis and quantification by GC-MS (SIM mode) all of the volatiles were quantified. This method was optimized to better discriminate aroma release from the different milk protein mixtures and then from oil/water emulsions made with these proteins. The highest difference between the release in different proteins was observed for ethyl hexanoate, which has a great affinity for \u03b2-lactoglobulin. Ethyl hexanoate is thus less released from models and emulsions containing this protein. Keywords: Flavor compounds; milk p...", "author" : [ { "dropping-particle" : "", "family" : "Fabre", "given" : "M.", "non-dropping-particle" : "", "parse-names" : false, "suffix" : "" }, { "dropping-particle" : "", "family" : "Aubry", "given" : "V.", "non-dropping-particle" : "", "parse-names" : false, "suffix" : "" }, { "dropping-particle" : "", "family" : "Guichard", "given" : "E.", "non-dropping-particle" : "", "parse-names" : false, "suffix" : "" } ], "container-title" : "Journal of Agricultural and Food Chemistry", "id" : "ITEM-5", "issued" : { "date-parts" : [ [ "2002" ] ] }, "page" : "1497-1501", "publisher" : "American Chemical Society", "title" : "Comparison of Different Methods: Static and Dynamic Headspace and Solid-Phase Microextraction for the Measurement of Interactions between Milk Proteins and Flavor Compounds with an Application to Emulsions", "type" : "article-journal", "volume" : "50" }, "uris" : [ "http://www.mendeley.com/documents/?uuid=56c12750-8efd-3fbf-ae31-446bb291dba2" ] }, { "id" : "ITEM-6", "itemData" : { "DOI" : "10.1016/S0308-8146(02)00124-3", "ISSN" : "03088146", "abstract" : "The air/water partition coefficients of 20 aroma compounds varying in functional group and chain length were determined as a function of \u03b2-lactoglobulin concentration (0, 0.5, 0.7, 1.0, 2.0%), pH (3, 6, 9) and presence of other aroma compounds in the matrix. Air/liquid partition coefficients of dimethyl sulphide, 1-propanol, diacetyl, 2-butanone, ethyl acetate, 1-butanol, 2-pentanol, propyl acetate, 3-methyl-1-butanol, ethyl butyrate, hexanal, butyl acetate, 1-hexanol, 2-heptanone, heptanal, \u03b1-pinene, 2-octanone, octanal, 2-nonanol and 2-decanone were determined by static headspace gas chromatography. The majority of the compounds\u2019 partition coefficients decreased with \u03b2-lactoglobulin concentration, although not proportionally. Air/liquid partition coefficients of aldehydes and esters demonstrated a decline up to 90%, whereas alcohols were hardly affected by \u03b2-lactoglobulin. Larger chain length coincided with lower partition coefficients and thus more efficient retention. Increase in pH generally resulted in a more pronounced decrease in headspace concentrations, although \u03b1-pinene and alcohols showed diverting behaviour. The \u03b2-lactoglobulin concentration and pH did not demonstrate complementary effects but interacted with each other. Propyl acetate, ethyl butyrate, hexanal, heptanal and octanal increased each other\u2019s air/liquid partition coefficients.", "author" : [ { "dropping-particle" : "", "family" : "Ruth", "given" : "Saskia M.", "non-dropping-particle" : "van", "parse-names" : false, "suffix" : "" }, { "dropping-particle" : "", "family" : "Villeneuve", "given" : "Elise", "non-dropping-particle" : "", "parse-names" : false, "suffix" : "" } ], "container-title" : "Food Chemistry", "id" : "ITEM-6", "issue" : "2", "issued" : { "date-parts" : [ [ "2002" ] ] }, "page" : "157-164", "title" : "Influence of \u03b2-lactoglobulin, pH and presence of other aroma compounds on the air/liquid partition coefficients of 20 aroma compounds varying in functional group and chain length", "type" : "article-journal", "volume" : "79" }, "uris" : [ "http://www.mendeley.com/documents/?uuid=3858d8da-18ca-3413-821d-46ede96f2467" ] }, { "id" : "ITEM-7", "itemData" : { "author" : [ { "dropping-particle" : "Van", "family" : "Ruth", "given" : "Saskia M", "non-dropping-particle" : "", "parse-names" : false, "suffix" : "" } ], "container-title" : "Biomolecular Engineering", "id" : "ITEM-7", "issued" : { "date-parts" : [ [ "2001" ] ] }, "page" : "121-128", "title" : "Methods for gas chromatography-olfactometry : a review", "type" : "article-journal", "volume" : "17" }, "uris" : [ "http://www.mendeley.com/documents/?uuid=a25db969-8bec-4f73-a4a7-317521c41d7b" ] }, { "id" : "ITEM-8", "itemData" : { "DOI" : "10.1021/JF020651+", "abstract" : "Changes in the volatility of selected flavor compounds in the presence of nonvolatile food matrix components were studied using headspace solid-phase microextraction (HS-SPME) combined with GC-MS quantification. Time-dependent adsorption profiles to the SPME fiber and the partition coefficients between different phases were obtained for several individual volatiles, showing that HS-SPME analysis with a short sampling time can be used to determine the \u201ctrue\u201d headspace concentration at equilibrium between the headspace and a sample matrix. Equilibrium dialysis followed by HS-SPME/GC-MS was carried out to confirm the ability of HS-SPME extraction for monitoring the free volatile compounds in the presence of proteins. In particular, a short sampling time (1 min) avoided additional extraction of volatiles bound to the protein. Interactions between several selected flavor compounds and nonvolatile food matrix components [\u03b2-lactoglobulin or (+)-catechin] were also studied by means of HS-SPME/GC-MS analysis. The ...", "author" : [ { "dropping-particle" : "", "family" : "Jung", "given" : "Da-Mi", "non-dropping-particle" : "", "parse-names" : false, "suffix" : "" }, { "dropping-particle" : "", "family" : "Ebeler", "given" : "Susan E.", "non-dropping-particle" : "", "parse-names" : false, "suffix" : "" } ], "container-title" : "Journal of Agricultural and Food Chemistry", "id" : "ITEM-8", "issued" : { "date-parts" : [ [ "2003" ] ] }, "page" : "200-205", "publisher" : "American Chemical Society", "title" : "Headspace Solid-Phase Microextraction Method for the Study of the Volatility of Selected Flavor Compounds", "type" : "article-journal", "volume" : "51" }, "uris" : [ "http://www.mendeley.com/documents/?uuid=e398260b-08ed-326d-a3f6-3da426bfef62" ] } ], "mendeley" : { "formattedCitation" : "&lt;sup&gt;5,34\u201340&lt;/sup&gt;", "plainTextFormattedCitation" : "5,34\u201340", "previouslyFormattedCitation" : "&lt;sup&gt;5,34\u201340&lt;/sup&gt;" }, "properties" : { "noteIndex" : 0 }, "schema" : "https://github.com/citation-style-language/schema/raw/master/csl-citation.json" }</w:instrText>
      </w:r>
      <w:r w:rsidR="00317D55" w:rsidRPr="00D039E9">
        <w:rPr>
          <w:rFonts w:cs="Times"/>
          <w:lang w:val="en-CA"/>
        </w:rPr>
        <w:fldChar w:fldCharType="separate"/>
      </w:r>
      <w:r w:rsidR="00BB3004" w:rsidRPr="00D039E9">
        <w:rPr>
          <w:rFonts w:cs="Times"/>
          <w:noProof/>
          <w:vertAlign w:val="superscript"/>
          <w:lang w:val="en-CA"/>
        </w:rPr>
        <w:t>5,34–40</w:t>
      </w:r>
      <w:r w:rsidR="00317D55" w:rsidRPr="00D039E9">
        <w:rPr>
          <w:rFonts w:cs="Times"/>
          <w:lang w:val="en-CA"/>
        </w:rPr>
        <w:fldChar w:fldCharType="end"/>
      </w:r>
      <w:r w:rsidRPr="00D039E9">
        <w:rPr>
          <w:rFonts w:cs="Times"/>
          <w:lang w:val="en-CA"/>
        </w:rPr>
        <w:t xml:space="preserve"> including static headspace solid-phase</w:t>
      </w:r>
      <w:r w:rsidR="00A82062" w:rsidRPr="00D039E9">
        <w:rPr>
          <w:rFonts w:cs="Times"/>
          <w:lang w:val="en-CA"/>
        </w:rPr>
        <w:t xml:space="preserve"> extraction (SPME).</w:t>
      </w:r>
      <w:r w:rsidR="00A82062" w:rsidRPr="00D039E9">
        <w:rPr>
          <w:rFonts w:cs="Times"/>
          <w:lang w:val="en-CA"/>
        </w:rPr>
        <w:fldChar w:fldCharType="begin" w:fldLock="1"/>
      </w:r>
      <w:r w:rsidR="003E67FA" w:rsidRPr="00D039E9">
        <w:rPr>
          <w:rFonts w:cs="Times"/>
          <w:lang w:val="en-CA"/>
        </w:rPr>
        <w:instrText>ADDIN CSL_CITATION { "citationItems" : [ { "id" : "ITEM-1", "itemData" : { "DOI" : "10.1111/j.1750-3841.2006.00051.x", "author" : [ { "dropping-particle" : "", "family" : "Kuhn", "given" : "Janina", "non-dropping-particle" : "", "parse-names" : false, "suffix" : "" }, { "dropping-particle" : "", "family" : "Considine", "given" : "Therese", "non-dropping-particle" : "", "parse-names" : false, "suffix" : "" }, { "dropping-particle" : "", "family" : "Singh", "given" : "Harjinder", "non-dropping-particle" : "", "parse-names" : false, "suffix" : "" } ], "container-title" : "Journal of Food Science", "id" : "ITEM-1", "issue" : "5", "issued" : { "date-parts" : [ [ "2006" ] ] }, "page" : "R72-R82", "title" : "Interactions of Milk Proteins and Volatile Flavor Compounds : Implications in the Development of Protein Foods", "type" : "article-journal", "volume" : "71" }, "uris" : [ "http://www.mendeley.com/documents/?uuid=4d3627d0-ef15-4c49-9d6d-9fd901f3cebb" ] } ], "mendeley" : { "formattedCitation" : "&lt;sup&gt;5&lt;/sup&gt;", "plainTextFormattedCitation" : "5", "previouslyFormattedCitation" : "&lt;sup&gt;5&lt;/sup&gt;" }, "properties" : { "noteIndex" : 0 }, "schema" : "https://github.com/citation-style-language/schema/raw/master/csl-citation.json" }</w:instrText>
      </w:r>
      <w:r w:rsidR="00A82062" w:rsidRPr="00D039E9">
        <w:rPr>
          <w:rFonts w:cs="Times"/>
          <w:lang w:val="en-CA"/>
        </w:rPr>
        <w:fldChar w:fldCharType="separate"/>
      </w:r>
      <w:r w:rsidR="003E67FA" w:rsidRPr="00D039E9">
        <w:rPr>
          <w:rFonts w:cs="Times"/>
          <w:noProof/>
          <w:vertAlign w:val="superscript"/>
          <w:lang w:val="en-CA"/>
        </w:rPr>
        <w:t>5</w:t>
      </w:r>
      <w:r w:rsidR="00A82062" w:rsidRPr="00D039E9">
        <w:rPr>
          <w:rFonts w:cs="Times"/>
          <w:lang w:val="en-CA"/>
        </w:rPr>
        <w:fldChar w:fldCharType="end"/>
      </w:r>
    </w:p>
    <w:p w14:paraId="63FD5FCD" w14:textId="569CCECE" w:rsidR="003872DB" w:rsidRPr="00D039E9" w:rsidRDefault="003872DB" w:rsidP="003872DB">
      <w:pPr>
        <w:pStyle w:val="TAMainText"/>
        <w:numPr>
          <w:ilvl w:val="0"/>
          <w:numId w:val="8"/>
        </w:numPr>
        <w:rPr>
          <w:rFonts w:cs="Times"/>
          <w:lang w:val="en-CA"/>
        </w:rPr>
      </w:pPr>
      <w:r w:rsidRPr="00D039E9">
        <w:rPr>
          <w:rFonts w:cs="Times"/>
          <w:lang w:val="en-CA"/>
        </w:rPr>
        <w:t>Denaturation temperature change</w:t>
      </w:r>
      <w:r w:rsidR="00317D55" w:rsidRPr="00D039E9">
        <w:rPr>
          <w:rFonts w:cs="Times"/>
          <w:lang w:val="en-CA"/>
        </w:rPr>
        <w:t>s induced by flavour molecules</w:t>
      </w:r>
      <w:r w:rsidRPr="00D039E9">
        <w:rPr>
          <w:rFonts w:cs="Times"/>
          <w:lang w:val="en-CA"/>
        </w:rPr>
        <w:t>.</w:t>
      </w:r>
      <w:r w:rsidR="00317D55" w:rsidRPr="00D039E9">
        <w:rPr>
          <w:rFonts w:cs="Times"/>
          <w:lang w:val="en-CA"/>
        </w:rPr>
        <w:fldChar w:fldCharType="begin" w:fldLock="1"/>
      </w:r>
      <w:r w:rsidR="00E774D1" w:rsidRPr="00D039E9">
        <w:rPr>
          <w:rFonts w:cs="Times"/>
          <w:lang w:val="en-CA"/>
        </w:rPr>
        <w:instrText>ADDIN CSL_CITATION { "citationItems" : [ { "id" : "ITEM-1", "itemData" : { "DOI" : "10.1016/S0268-005X(97)80024-0", "ISBN" : "0268-005X", "ISSN" : "0268005X", "PMID" : "73", "abstract" : "The thermodynamic incompatibility of proteins and polysaccharides is of a general nature. This phenomenon is observed under conditions which inhibit complexing between proteins and polysaccharides and promote association between macromolecules of the same type, i.e. provide self-association of biopolymers. Conditions for incompatibility are dependent on the structure and composition of a given biopolymer pair. Incompatibility decreases in the order: carboxyl-containing polysaccharides &gt; neutral polysaccharides &gt; sulphate-containing polysaccharides. Normally, linear polysaccharides are more incompatible with proteins than branched polysaccharides. The difference in hydrophilicity between proteins and polysaccharides, the so-called \u0394\u03c7-effect, is of great importance for phase equilibria in protein\u2014polysaccharide\u2014water systems and significantly affects this phenomenon. This is reflected in the marked tie slope asymmetry of the phase diagrams of mixed pro tein\u2014polysaccharide solutions.", "author" : [ { "dropping-particle" : "", "family" : "Polyakov", "given" : "V.I.", "non-dropping-particle" : "", "parse-names" : false, "suffix" : "" }, { "dropping-particle" : "", "family" : "Grinberg", "given" : "V.Ya.", "non-dropping-particle" : "", "parse-names" : false, "suffix" : "" }, { "dropping-particle" : "", "family" : "Tolstoguzov", "given" : "V.B.", "non-dropping-particle" : "", "parse-names" : false, "suffix" : "" } ], "container-title" : "Food Hydrocolloids", "id" : "ITEM-1", "issue" : "2", "issued" : { "date-parts" : [ [ "1997" ] ] }, "page" : "171-180", "title" : "Thermodynamic incompatibility of proteins", "type" : "article-journal", "volume" : "11" }, "uris" : [ "http://www.mendeley.com/documents/?uuid=98e61668-e154-4bdc-8ddb-4805986f51e2" ] }, { "id" : "ITEM-2", "itemData" : { "author" : [ { "dropping-particle" : "", "family" : "Mikheeva", "given" : "L M", "non-dropping-particle" : "", "parse-names" : false, "suffix" : "" }, { "dropping-particle" : "V", "family" : "Grinberg", "given" : "N", "non-dropping-particle" : "", "parse-names" : false, "suffix" : "" }, { "dropping-particle" : "", "family" : "Grinberg", "given" : "V Ya", "non-dropping-particle" : "", "parse-names" : false, "suffix" : "" }, { "dropping-particle" : "", "family" : "Tolstoguzov", "given" : "V B", "non-dropping-particle" : "", "parse-names" : false, "suffix" : "" } ], "container-title" : "Nahrung", "id" : "ITEM-2", "issued" : { "date-parts" : [ [ "1998" ] ] }, "page" : "185-186", "title" : "Effect of thermal denaturation on vanillin binding to some food proteins", "type" : "article-journal", "volume" : "42" }, "uris" : [ "http://www.mendeley.com/documents/?uuid=c5eab56b-aa32-4ecc-b8ab-8ab9644b35a1" ] }, { "id" : "ITEM-3", "itemData" : { "DOI" : "10.1016/S0268-005X(98)00059-9", "ISBN" : "0268-005X", "ISSN" : "0268005X", "abstract" : "The release of 2-octanone bound by bovine serum albumin (BSA)/pectin complexes in aqueous solutions was induced by shift of pH from neutral (pH 6.4) to acid (pH 4.3). The release of 2-octanone was due to BSA unfolding on the oppositely charged rigid polysaccharide matrix at pHs below BSA's isoelectric point (IEP). The amount of released and freely available flavour was estimated by the effect of 2-octanone on the conformational stability of BSA, i.e. using BSA added to 2-octanone solution as an internal molecular detector. DSC was used to study the effects of: (i) protein denaturation on flavour binding capacity, (ii) binding of flavour on conformational stability of the protein and (iii) to develop an instrumental technique to measure the flavour release.", "author" : [ { "dropping-particle" : "", "family" : "Burova", "given" : "T.V", "non-dropping-particle" : "", "parse-names" : false, "suffix" : "" }, { "dropping-particle" : "", "family" : "Grinberg", "given" : "N.V", "non-dropping-particle" : "", "parse-names" : false, "suffix" : "" }, { "dropping-particle" : "", "family" : "Golubeva", "given" : "I.a", "non-dropping-particle" : "", "parse-names" : false, "suffix" : "" }, { "dropping-particle" : "", "family" : "Mashkevich", "given" : "A.Ya", "non-dropping-particle" : "", "parse-names" : false, "suffix" : "" }, { "dropping-particle" : "", "family" : "Grinberg", "given" : "V.Ya", "non-dropping-particle" : "", "parse-names" : false, "suffix" : "" }, { "dropping-particle" : "", "family" : "Tolstoguzov", "given" : "V.B", "non-dropping-particle" : "", "parse-names" : false, "suffix" : "" } ], "container-title" : "Food Hydrocolloids", "id" : "ITEM-3", "issue" : "1", "issued" : { "date-parts" : [ [ "1999" ] ] }, "page" : "7-14", "title" : "Flavour release in model bovine serum albumin/pectin/2-octanone systems", "type" : "article-journal", "volume" : "13" }, "uris" : [ "http://www.mendeley.com/documents/?uuid=0dbd056c-fea3-46d9-9aac-b988588577f1" ] }, { "id" : "ITEM-4", "itemData" : { "DOI" : "10.1016/S0268-005X(01)00106-0", "ISBN" : "0268-005X", "ISSN" : "0268005X", "abstract" : "The effect of vanillin on thermal denaturation of ovalbumin was studied using high-sensitivity differential scanning calorimetry. At neutral and acidic (6.7 and 3.0) pH values thermal denaturation of ovalbumin depends on the heating rate and is irreversible. The experimental denaturation thermograms of ovalbumin were compared with thermograms simulated according to the Lumry-Eyring model of irreversible protein denaturation (N ??? D ??? A). It was shown that general tendencies of changes in the calorimetric parameters of ovalbumin denaturation as a function of the heating rate are in accordance with those predicted by this model. It was concluded that the heating rate could be considered as a factor shifting the denaturation equilibrium of ovalbumin (N ??? D) similarly to its shifts caused by such physicochemical factors as pH, ionic strength or ligand concentration. Both the temperature and the enthalpy of ovalbumin denaturation decrease with an increase in the vanillin concentration within the pH range from 3.0 to 9.0. This effect of vanillin binding does not depend on the heating rate. The equilibrium parameters of ovalbumin denaturation have been determined by an extrapolation procedure at different vanillin concentrations. The equilibrium denaturation parameters have been used for calculation of the excess free energy of denaturation as a function of vanillin concentration. The vanillin binding constant Kb equals 5 M-1 at pH 6.7 and 33 M-1 at pH 3.0. The denaturation increment of the numbers of binding sites is ??d?? = 20 at pH 6.7 and ??d?? = 3 at pH 3.0. Possible mechanism of the vanillin binding to ovalbumin and its applied aspects are discussed. ?? 2002 Elsevier Science Ltd. All rights reserved.", "author" : [ { "dropping-particle" : "", "family" : "Grinberg", "given" : "V. Ya", "non-dropping-particle" : "", "parse-names" : false, "suffix" : "" }, { "dropping-particle" : "V.", "family" : "Grinberg", "given" : "N.", "non-dropping-particle" : "", "parse-names" : false, "suffix" : "" }, { "dropping-particle" : "", "family" : "Mashkevich", "given" : "A. Ya", "non-dropping-particle" : "", "parse-names" : false, "suffix" : "" }, { "dropping-particle" : "V.", "family" : "Burova", "given" : "T.", "non-dropping-particle" : "", "parse-names" : false, "suffix" : "" }, { "dropping-particle" : "", "family" : "Tolstoguzov", "given" : "V. B.", "non-dropping-particle" : "", "parse-names" : false, "suffix" : "" } ], "container-title" : "Food Hydrocolloids", "id" : "ITEM-4", "issue" : "4", "issued" : { "date-parts" : [ [ "2002" ] ] }, "page" : "333-343", "title" : "Calorimetric study of interaction of ovalbumin with vanillin", "type" : "article-journal", "volume" : "16" }, "uris" : [ "http://www.mendeley.com/documents/?uuid=f8afb1a8-1f26-4c53-98af-9584e02d22a5" ] }, { "id" : "ITEM-5", "itemData" : { "DOI" : "10.1016/S0268-005X(01)00111-4", "ISBN" : "0268-005X", "ISSN" : "0268005X", "PMID" : "65", "abstract" : "Several factors underlie the thermodynamic similarity of foods. First is the common physiological storage function of most important components of food raw materials. Second is the general character of non-specific intermolecular interactions of food macromolecules. Third is the mimicry of biopolymers that underlie quite similar physico-chemical properties of biopolymer species. Molecular mimicry and molecular symbiosis affect phase behaviour and rheology of biopolymer mixtures. Molecular mimicry implies the chemical and structural similarity of hydrophilic surfaces of globular proteins with their chemical information hidden in the hydrophobic interior, and the low excluded volume of the globules. Another mimicry technique is the binding of different biopolymers into a new hybrid (e.g. conjugates) macromolecule acquiring an affinity to the macromolecular constituents as co-solutes. Molecular symbiosis means that interactions (attraction or repulsion) between biopolymer molecules greatly differing in conformation (globular and rod-like), favour the biological efficiency of one of them, at least. Thermodynamic incompatibility is typical of food macromolecules, whose denaturation, association, complexing and chemical modification reduce their mimicry and co-solubility. Biopolymer incompatibility, self-association and interbiopolymer complexing contribute to synergistic and antagonistic effects of food formulation. The thermodynamic approach is highly promising for modelling of food formulation. Food formulation aims to control interactions between proteins, polysaccharides and their interactions with other food components. Thermodynamic aspects of food digestion mechanisms and the multifunctionality of exopolysaccharides, prebiotics, storage proteins and other chyme components are considered in terms of food formulation. Normally, food and chyme are phase-separated systems. Thermodynamic similarity, which is a fundamental feature of processed food systems determines the high efficiency of empirically developed food technologies and the low sensitivity of structural and mechanical properties of the chyme to the composition of diets. ?? 2002 Elsevier Science Ltd. All rights reserved.", "author" : [ { "dropping-particle" : "", "family" : "Tolstoguzov", "given" : "Vladimir", "non-dropping-particle" : "", "parse-names" : false, "suffix" : "" } ], "container-title" : "Food Hydrocolloids", "id" : "ITEM-5", "issue" : "1", "issued" : { "date-parts" : [ [ "2003" ] ] }, "page" : "1-23", "title" : "Some thermodynamic considerations in food formulation", "type" : "article-journal", "volume" : "17" }, "uris" : [ "http://www.mendeley.com/documents/?uuid=b60143fc-92e0-49db-9551-7990ec90c02c" ] }, { "id" : "ITEM-6", "itemData" : { "DOI" : "10.1016/S0927-7757(02)00516-2", "ISSN" : "09277757", "abstract" : "The unfolding-association-refolding behaviour of proteins and their interactions with odorants are significant to the processing and flavoring of foods. Interactions of 2-octanone and vanillin (aliphatic and aromatic odorants) with individual proteins and their mixtures have been studied using: native, acid and thermally denatured bovine serum albumin (BSA), native and thermally denatured ovalbumin (OA) and bovine \u03b2-casein (BC). Equilibrium dialysis and differential scanning calorimetry methods were used to study flavor binding and flavor release in protein solutions. The binding of vanillin to native BSA exhibited two equivalent binding sites with binding constants in the order of 103 M-1 and these binding parameters were not markedly changed within the range of temperature from 25 to 63\u00b0C. The binding site number was monotonously reduced to about zero as the pH was decreased from 6.4 to 2.5, consistent with the N\u21d4F transition of BSA. The complete loss of vanillin binding activity was also coupled with both acid and thermal denaturation of BSA. Neither the associated BC nor thermally denatured OA produced a detectable competition with BSA for the binding of vanillin or octanone. The associated BC did not bind vanillin. It has been proposed that the adsorption of hydrophobic low-molecular weight compounds acts to plasticize the globule state of the protein. Plasticized globular proteins seem to tend towards self-association and refolding with separation of hydrophobic ligands (e.g. odorants). \u00a9 2002 Elsevier Science B.V. All rights reserved.", "author" : [ { "dropping-particle" : "V.", "family" : "Burova", "given" : "Tatiana", "non-dropping-particle" : "", "parse-names" : false, "suffix" : "" }, { "dropping-particle" : "V.", "family" : "Grinberg", "given" : "Natalia", "non-dropping-particle" : "", "parse-names" : false, "suffix" : "" }, { "dropping-particle" : "", "family" : "Grinberg", "given" : "Valerij Ya", "non-dropping-particle" : "", "parse-names" : false, "suffix" : "" }, { "dropping-particle" : "", "family" : "Tolstoguzov", "given" : "Vladimir B.", "non-dropping-particle" : "", "parse-names" : false, "suffix" : "" } ], "container-title" : "Colloids and Surfaces A: Physicochemical and Engineering Aspects", "id" : "ITEM-6", "issue" : "2-3", "issued" : { "date-parts" : [ [ "2003" ] ] }, "page" : "235-244", "title" : "Binding of odorants to individual proteins and their mixtures. Effects of protein denaturation and association. A plasticized globule state", "type" : "article-journal", "volume" : "213" }, "uris" : [ "http://www.mendeley.com/documents/?uuid=1895ed0f-5b04-40e3-a583-74ccb973fe40" ] } ], "mendeley" : { "formattedCitation" : "&lt;sup&gt;23\u201328&lt;/sup&gt;", "plainTextFormattedCitation" : "23\u201328", "previouslyFormattedCitation" : "&lt;sup&gt;23\u201328&lt;/sup&gt;" }, "properties" : { "noteIndex" : 0 }, "schema" : "https://github.com/citation-style-language/schema/raw/master/csl-citation.json" }</w:instrText>
      </w:r>
      <w:r w:rsidR="00317D55" w:rsidRPr="00D039E9">
        <w:rPr>
          <w:rFonts w:cs="Times"/>
          <w:lang w:val="en-CA"/>
        </w:rPr>
        <w:fldChar w:fldCharType="separate"/>
      </w:r>
      <w:r w:rsidR="00A3111B" w:rsidRPr="00D039E9">
        <w:rPr>
          <w:rFonts w:cs="Times"/>
          <w:noProof/>
          <w:vertAlign w:val="superscript"/>
          <w:lang w:val="en-CA"/>
        </w:rPr>
        <w:t>23–28</w:t>
      </w:r>
      <w:r w:rsidR="00317D55" w:rsidRPr="00D039E9">
        <w:rPr>
          <w:rFonts w:cs="Times"/>
          <w:lang w:val="en-CA"/>
        </w:rPr>
        <w:fldChar w:fldCharType="end"/>
      </w:r>
      <w:r w:rsidRPr="00D039E9">
        <w:rPr>
          <w:rFonts w:cs="Times"/>
          <w:lang w:val="en-CA"/>
        </w:rPr>
        <w:t xml:space="preserve"> </w:t>
      </w:r>
    </w:p>
    <w:p w14:paraId="0A511ADC" w14:textId="77777777" w:rsidR="003872DB" w:rsidRPr="00D039E9" w:rsidRDefault="003872DB" w:rsidP="003872DB">
      <w:pPr>
        <w:pStyle w:val="TAMainText"/>
        <w:ind w:firstLine="0"/>
        <w:rPr>
          <w:rFonts w:cs="Times"/>
          <w:lang w:val="en-CA"/>
        </w:rPr>
      </w:pPr>
    </w:p>
    <w:p w14:paraId="6480262A" w14:textId="213B77FC" w:rsidR="003872DB" w:rsidRPr="00D039E9" w:rsidRDefault="003872DB" w:rsidP="003872DB">
      <w:pPr>
        <w:pStyle w:val="TAMainText"/>
        <w:rPr>
          <w:lang w:val="en-CA"/>
        </w:rPr>
      </w:pPr>
      <w:r w:rsidRPr="00D039E9">
        <w:rPr>
          <w:lang w:val="en-CA"/>
        </w:rPr>
        <w:t>All the above measurements yield the flavour-macromolecule binding constant. This means, however, that several assumptions have crept in, explicitly or implicitly, in the proc</w:t>
      </w:r>
      <w:r w:rsidR="00643011" w:rsidRPr="00D039E9">
        <w:rPr>
          <w:lang w:val="en-CA"/>
        </w:rPr>
        <w:t>ess of data analysis, which are</w:t>
      </w:r>
    </w:p>
    <w:p w14:paraId="2344F499" w14:textId="56C8E788" w:rsidR="003872DB" w:rsidRPr="00D039E9" w:rsidRDefault="003872DB" w:rsidP="007F05BE">
      <w:pPr>
        <w:pStyle w:val="TAMainText"/>
        <w:numPr>
          <w:ilvl w:val="0"/>
          <w:numId w:val="14"/>
        </w:numPr>
        <w:rPr>
          <w:lang w:val="en-CA"/>
        </w:rPr>
      </w:pPr>
      <w:r w:rsidRPr="00D039E9">
        <w:rPr>
          <w:lang w:val="en-CA"/>
        </w:rPr>
        <w:t>There are specific binding sites for flavour molecules and water on macromolecular surfaces;</w:t>
      </w:r>
      <w:r w:rsidR="00317D55" w:rsidRPr="00D039E9">
        <w:rPr>
          <w:lang w:val="en-CA"/>
        </w:rPr>
        <w:fldChar w:fldCharType="begin" w:fldLock="1"/>
      </w:r>
      <w:r w:rsidR="00C65F5C" w:rsidRPr="00D039E9">
        <w:rPr>
          <w:lang w:val="en-CA"/>
        </w:rPr>
        <w:instrText>ADDIN CSL_CITATION { "citationItems" : [ { "id" : "ITEM-1", "itemData" : { "DOI" : "10.1016/S0065-3233(08)60011-X", "ISBN" : "978-0-12-443710-4", "ISSN" : "00653233", "author" : [ { "dropping-particle" : "", "family" : "Wyman", "given" : "Jeffries.", "non-dropping-particle" : "", "parse-names" : false, "suffix" : "" } ], "container-title" : "Advances in Protein Chemistry", "id" : "ITEM-1", "issued" : { "date-parts" : [ [ "1948" ] ] }, "page" : "407-531", "title" : "Heme Proteins", "type" : "article-journal", "volume" : "4" }, "uris" : [ "http://www.mendeley.com/documents/?uuid=983dd11f-6f3d-4466-9364-65033791c196" ] }, { "id" : "ITEM-2", "itemData" : { "DOI" : "10.1016/S0065-3233(08)60190-4", "ISBN" : "9780120342198", "ISSN" : "00653233", "PMID" : "14268785", "abstract" : "This chapter discusses linked functions and reciprocal effects in hemoglobin. Because the components are defined thermodynamically in terms of independently variable chemical entities and, therefore, a given component may exist in any number of different forms in equilibrium with one another, these considerations show that not only do the linkage relations apply irrespective of whether the macromolecules undergo chemical change or polymerization, but also irrespective of whether the ligands themselves associate and dissociate, possibly as macromolecules. From a formal point of view the distinction between ligand and macromolecule breaks down. This principle may be useful in the application of linkage relations to antibody\u2013antigen systems and to enzyme systems when both enzyme and substrate are proteins. Another more general, and perhaps more interesting, question is whether the dissociation process is also dependent on oxygenation, i.e., whether the protons involved are oxygen-linked. There is now strong evidence that the dissociation at acidic pH is, indeed, dependent on oxygenation.", "author" : [ { "dropping-particle" : "", "family" : "Wyman", "given" : "Jeffries", "non-dropping-particle" : "", "parse-names" : false, "suffix" : "" } ], "container-title" : "Advances in Protein Chemistry", "id" : "ITEM-2", "issue" : "C", "issued" : { "date-parts" : [ [ "1964" ] ] }, "page" : "223-286", "title" : "Linked Functions and Reciprocal Effects in Hemoglobin: A Second Look", "type" : "article-journal", "volume" : "19" }, "uris" : [ "http://www.mendeley.com/documents/?uuid=92b8c6a0-2428-4f1a-9970-58f389d26542" ] }, { "id" : "ITEM-3", "itemData" : { "DOI" : "10.1016/S0065-3233(08)60191-6", "ISBN" : "9780120342198", "ISSN" : "00653233", "PMID" : "14268786", "abstract" : "This chapter discusses thermodynamic analysis of multicomponent solutions. An exhaustive consideration of the properties of solutions and theory of electrolytes requires a treatise far beyond the scope of this chapter, in which one shall be concerned primarily with only certain thermodynamic problems specifically implied by the presence of at least three components, some diffusible and some nondiffusible. Because the classic equilibrium thermodynamics of fluid systems can be regarded as complete science, now in no way tentative and not expected to conceal as yet unrevealed profundities, it is not unrealistic to expect to formulate statements that are precise and definitive, so far as thermodynamics is concerned, of relations among experimental quantities important in the study of dilute solutions. Another situation of considerable importance arises when there are several diffusible and several nondiffusible solutes, but the relative amounts of the latter are kept unchanged as their total concentration is altered at constant potential of nondiffusible components.", "author" : [ { "dropping-particle" : "", "family" : "Casassa", "given" : "Edward F.", "non-dropping-particle" : "", "parse-names" : false, "suffix" : "" }, { "dropping-particle" : "", "family" : "Eisenberg", "given" : "Henryk", "non-dropping-particle" : "", "parse-names" : false, "suffix" : "" } ], "container-title" : "Advances in Protein Chemistry", "id" : "ITEM-3", "issue" : "C", "issued" : { "date-parts" : [ [ "1964" ] ] }, "page" : "287-395", "title" : "Thermodynamic Analysis of Multicomponent Solutions", "type" : "article-journal", "volume" : "19" }, "uris" : [ "http://www.mendeley.com/documents/?uuid=dc90fad4-653b-4f37-ba7c-e1e0dbd8e2a2" ] }, { "id" : "ITEM-4", "itemData" : { "DOI" : "10.1021/la200704s", "ISBN" : "0065-3233 (Print)\\r0065-3233 (Linking)", "ISSN" : "1520-5827", "PMID" : "4882248", "abstract" : "The first of the two classic papers (books) written about the experimental studies of denaturation by Tanford", "author" : [ { "dropping-particle" : "", "family" : "Tanford", "given" : "C", "non-dropping-particle" : "", "parse-names" : false, "suffix" : "" } ], "container-title" : "Adv. Protein Chem.", "id" : "ITEM-4", "issued" : { "date-parts" : [ [ "1968" ] ] }, "page" : "121-282", "title" : "Protein Denaturation", "type" : "article-journal", "volume" : "23" }, "uris" : [ "http://www.mendeley.com/documents/?uuid=837ca73d-629c-4e7c-acc6-daca305037cd" ] }, { "id" : "ITEM-5", "itemData" : { "DOI" : "10.1016/S0065-3233(08)60241-7", "ISBN" : "0065-3233", "ISSN" : "00653233", "PMID" : "4912353", "abstract" : "Publisher Summary This chapter reviews theoretical models that may be constructed and equations that may be derived from them to understand the process of protein denaturation. Given that the native state is stable under physiological conditions, the question arises whether the effects of environmental changes on the equilibrium between native and denatured states can be predicted, so as to account for the loss of stability of the native state and the appearance of different denatured states under specified conditions. This question involves not the absolute values for the free energies and other thermodynamic parameters for denaturation processes, but the changes in these parameters, along with changes in environmental variables. These changes can be predicted semiquantitatively. Furthermore, one can account both for the products formed under different conditions and for the character of the transitions from native to denatured state, at least for the simple proteins that have been studied in detail.", "author" : [ { "dropping-particle" : "", "family" : "Tanford", "given" : "Charles", "non-dropping-particle" : "", "parse-names" : false, "suffix" : "" } ], "container-title" : "Advances in Protein Chemistry", "id" : "ITEM-5", "issue" : "C", "issued" : { "date-parts" : [ [ "1970" ] ] }, "page" : "1-95", "title" : "Protein Denaturation. Part C. Theoretical Models for The Mechanism of Denaturation", "type" : "article-journal", "volume" : "24" }, "uris" : [ "http://www.mendeley.com/documents/?uuid=4b4d86e9-cd5d-40fe-af36-6958cc3f59fe" ] }, { "id" : "ITEM-6", "itemData" : { "DOI" : "10.1002/bip.1975.360140509", "ISBN" : "1097-0282", "ISSN" : "10970282", "abstract" : "Formulas for the free energy of binding to a macromolecule are obtained by thermodynamic and statistical mechanical methods, and it is shown that the free energy of binding is intimately related with the binding polynomial and Wyman's binding potential. The expression for the free energy of binding is applied to a number of cases of ligand-induced conformational changes, cooperativity, association reactions, etc.", "author" : [ { "dropping-particle" : "", "family" : "Schellman", "given" : "John A.", "non-dropping-particle" : "", "parse-names" : false, "suffix" : "" } ], "container-title" : "Biopolymers", "id" : "ITEM-6", "issue" : "5", "issued" : { "date-parts" : [ [ "1975" ] ] }, "page" : "999-1018", "title" : "Macromolecular binding", "type" : "article-journal", "volume" : "14" }, "uris" : [ "http://www.mendeley.com/documents/?uuid=8d95941e-fce7-48bf-80c7-c3db2e72fb86" ] }, { "id" : "ITEM-7", "itemData" : { "DOI" : "10.1002/bip.1978.360170515", "ISSN" : "0006-3525", "abstract" : "Solvent denaturation is developed along thermodynamic lines rather than from multiple-binding theory. Almost all the relations derivable from site-binding theory have their counterparts in the thermodynamic formulation showing that the details of binding models may be sufficient but are not necessary for the general description of solvent denaturation. Equations are derived for the effect of denaturant concentration on stability at constant temperature and on tm. It is recommended that the thermodynamic treatment be used instead of binding models unless stoichiometric interactions are demonstrable experimentally.", "author" : [ { "dropping-particle" : "", "family" : "Schellman", "given" : "John A", "non-dropping-particle" : "", "parse-names" : false, "suffix" : "" } ], "container-title" : "Biopolymers", "id" : "ITEM-7", "issue" : "2", "issued" : { "date-parts" : [ [ "1978" ] ] }, "page" : "1305-1322", "title" : "Solvent Denaturation", "type" : "article-journal", "volume" : "17" }, "uris" : [ "http://www.mendeley.com/documents/?uuid=e4b261f8-5480-4153-b89b-91de2afa6d43" ] }, { "id" : "ITEM-8", "itemData" : { "DOI" : "10.1002/bip.360260408", "ISBN" : "0006-3525", "ISSN" : "10970282", "PMID" : "3567326", "abstract" : "A primitive model for solvent denaturation is that the denaturant binds independently to sites exposed by the unfolding of the protein. For reagents like urea and guanidinium salts, this binding must be very weak since denaturation occurs only at very high concentrations. Standard formulas for very weak binding lead to thermodynamic inconsistencies. In this paper, binding by denaturants is treated as selective solvation. This introduces a factor of K 1 into the binding isotherm and binding free energy, where K is the equilibrium constant for selective interaction with the sites. This leads to a thermodynamically consistent description of the binding and the denaturation since, when K = 1, there is no selective interaction and no effect on denaturation, even in concentrated solutions where site occupancy is inevitable.", "author" : [ { "dropping-particle" : "", "family" : "Schellman", "given" : "John A.", "non-dropping-particle" : "", "parse-names" : false, "suffix" : "" } ], "container-title" : "Biopolymers", "id" : "ITEM-8", "issue" : "4", "issued" : { "date-parts" : [ [ "1987" ] ] }, "page" : "549-559", "title" : "Selective binding and solvent denaturation", "type" : "article-journal", "volume" : "26" }, "uris" : [ "http://www.mendeley.com/documents/?uuid=3ff0bebd-c006-4655-9fac-c69d9656b2ba" ] }, { "id" : "ITEM-9", "itemData" : { "ISBN" : "0471176265", "abstract" : "\"A Wiley-Interscience publication.\" 1. Number of Liganded Molecules -- 2. Affinities: From a Site Perspective -- 3. Affinities: From a Stoichiometric Perspective -- 4. Affinities: From a Ghost-Site Perspective -- 5. Facts and Fantasies from Graphical Analyses -- 6. Numerical Evaluations of Stoichiometric Binding Constants -- 7. Affinity Profiles -- 8. Thermodynamic Perspectives -- 9. Forces of Interaction -- 10. Molecular Scenarios -- App. A1. Experimental Procedures in Equilibrium Dialysis -- App. A2. Properties of Graphical Representations of Multiple Classes of Independent Binding Sites -- App. A3. Relationships Between Stoichiometric Binding Constants and Site-Binding Constants -- App. A4. Relationships Between Stoichiometric Binding Constants and Ghost-Site Binding Constants.", "author" : [ { "dropping-particle" : "", "family" : "Klotz", "given" : "Irving M.", "non-dropping-particle" : "", "parse-names" : false, "suffix" : "" } ], "id" : "ITEM-9", "issued" : { "date-parts" : [ [ "1997" ] ] }, "number-of-pages" : "170", "publisher" : "Wiley", "publisher-place" : "New York", "title" : "Ligand-receptor energetics : a guide for the perplexed", "type" : "book" }, "uris" : [ "http://www.mendeley.com/documents/?uuid=dd952269-684f-3ac3-8305-432524b1ebd4" ] }, { "id" : "ITEM-10", "itemData" : { "ISBN" : "0935702563", "author" : [ { "dropping-particle" : "", "family" : "Wyman", "given" : "Jeffries.", "non-dropping-particle" : "", "parse-names" : false, "suffix" : "" }, { "dropping-particle" : "", "family" : "Gill", "given" : "Stanley J.", "non-dropping-particle" : "", "parse-names" : false, "suffix" : "" } ], "id" : "ITEM-10", "issued" : { "date-parts" : [ [ "1990" ] ] }, "number-of-pages" : "330", "publisher" : "University Science Books", "publisher-place" : "Mill Valley, CA", "title" : "Binding and linkage : functional chemistry of biological macromolecules", "type" : "book" }, "uris" : [ "http://www.mendeley.com/documents/?uuid=018c2dc4-bd6d-31b5-abf5-f47e336b6a74" ] } ], "mendeley" : { "formattedCitation" : "&lt;sup&gt;9,10,41\u201348&lt;/sup&gt;", "plainTextFormattedCitation" : "9,10,41\u201348", "previouslyFormattedCitation" : "&lt;sup&gt;9,10,41\u201348&lt;/sup&gt;" }, "properties" : { "noteIndex" : 0 }, "schema" : "https://github.com/citation-style-language/schema/raw/master/csl-citation.json" }</w:instrText>
      </w:r>
      <w:r w:rsidR="00317D55" w:rsidRPr="00D039E9">
        <w:rPr>
          <w:lang w:val="en-CA"/>
        </w:rPr>
        <w:fldChar w:fldCharType="separate"/>
      </w:r>
      <w:r w:rsidR="00BB3004" w:rsidRPr="00D039E9">
        <w:rPr>
          <w:noProof/>
          <w:vertAlign w:val="superscript"/>
          <w:lang w:val="en-CA"/>
        </w:rPr>
        <w:t>9,10,41–48</w:t>
      </w:r>
      <w:r w:rsidR="00317D55" w:rsidRPr="00D039E9">
        <w:rPr>
          <w:lang w:val="en-CA"/>
        </w:rPr>
        <w:fldChar w:fldCharType="end"/>
      </w:r>
      <w:r w:rsidRPr="00D039E9">
        <w:rPr>
          <w:lang w:val="en-CA"/>
        </w:rPr>
        <w:t xml:space="preserve"> </w:t>
      </w:r>
    </w:p>
    <w:p w14:paraId="2768552B" w14:textId="1C0659B3" w:rsidR="003872DB" w:rsidRPr="00D039E9" w:rsidRDefault="003872DB" w:rsidP="003872DB">
      <w:pPr>
        <w:pStyle w:val="TAMainText"/>
        <w:numPr>
          <w:ilvl w:val="0"/>
          <w:numId w:val="14"/>
        </w:numPr>
        <w:rPr>
          <w:lang w:val="en-CA"/>
        </w:rPr>
      </w:pPr>
      <w:r w:rsidRPr="00D039E9">
        <w:rPr>
          <w:lang w:val="en-CA"/>
        </w:rPr>
        <w:t>There are stoichiometric binding reactions (</w:t>
      </w:r>
      <m:oMath>
        <m:r>
          <m:rPr>
            <m:sty m:val="p"/>
          </m:rPr>
          <w:rPr>
            <w:rFonts w:ascii="Cambria Math" w:hAnsi="Cambria Math"/>
            <w:lang w:val="en-CA"/>
          </w:rPr>
          <m:t>f+s→fs</m:t>
        </m:r>
      </m:oMath>
      <w:r w:rsidRPr="00D039E9">
        <w:rPr>
          <w:lang w:val="en-CA"/>
        </w:rPr>
        <w:t>, where f is the flavour molecule and s is the binding site) for each binding sites whose equilibrium constants in principle have different values and may be related to one another;</w:t>
      </w:r>
      <w:r w:rsidR="00317D55" w:rsidRPr="00D039E9">
        <w:rPr>
          <w:lang w:val="en-CA"/>
        </w:rPr>
        <w:t xml:space="preserve"> </w:t>
      </w:r>
      <w:r w:rsidR="00317D55" w:rsidRPr="00D039E9">
        <w:rPr>
          <w:lang w:val="en-CA"/>
        </w:rPr>
        <w:fldChar w:fldCharType="begin" w:fldLock="1"/>
      </w:r>
      <w:r w:rsidR="00C65F5C" w:rsidRPr="00D039E9">
        <w:rPr>
          <w:lang w:val="en-CA"/>
        </w:rPr>
        <w:instrText>ADDIN CSL_CITATION { "citationItems" : [ { "id" : "ITEM-1", "itemData" : { "DOI" : "10.1016/S0065-3233(08)60011-X", "ISBN" : "978-0-12-443710-4", "ISSN" : "00653233", "author" : [ { "dropping-particle" : "", "family" : "Wyman", "given" : "Jeffries.", "non-dropping-particle" : "", "parse-names" : false, "suffix" : "" } ], "container-title" : "Advances in Protein Chemistry", "id" : "ITEM-1", "issued" : { "date-parts" : [ [ "1948" ] ] }, "page" : "407-531", "title" : "Heme Proteins", "type" : "article-journal", "volume" : "4" }, "uris" : [ "http://www.mendeley.com/documents/?uuid=983dd11f-6f3d-4466-9364-65033791c196" ] }, { "id" : "ITEM-2", "itemData" : { "DOI" : "10.1016/S0065-3233(08)60190-4", "ISBN" : "9780120342198", "ISSN" : "00653233", "PMID" : "14268785", "abstract" : "This chapter discusses linked functions and reciprocal effects in hemoglobin. Because the components are defined thermodynamically in terms of independently variable chemical entities and, therefore, a given component may exist in any number of different forms in equilibrium with one another, these considerations show that not only do the linkage relations apply irrespective of whether the macromolecules undergo chemical change or polymerization, but also irrespective of whether the ligands themselves associate and dissociate, possibly as macromolecules. From a formal point of view the distinction between ligand and macromolecule breaks down. This principle may be useful in the application of linkage relations to antibody\u2013antigen systems and to enzyme systems when both enzyme and substrate are proteins. Another more general, and perhaps more interesting, question is whether the dissociation process is also dependent on oxygenation, i.e., whether the protons involved are oxygen-linked. There is now strong evidence that the dissociation at acidic pH is, indeed, dependent on oxygenation.", "author" : [ { "dropping-particle" : "", "family" : "Wyman", "given" : "Jeffries", "non-dropping-particle" : "", "parse-names" : false, "suffix" : "" } ], "container-title" : "Advances in Protein Chemistry", "id" : "ITEM-2", "issue" : "C", "issued" : { "date-parts" : [ [ "1964" ] ] }, "page" : "223-286", "title" : "Linked Functions and Reciprocal Effects in Hemoglobin: A Second Look", "type" : "article-journal", "volume" : "19" }, "uris" : [ "http://www.mendeley.com/documents/?uuid=92b8c6a0-2428-4f1a-9970-58f389d26542" ] }, { "id" : "ITEM-3", "itemData" : { "DOI" : "10.1016/S0065-3233(08)60191-6", "ISBN" : "9780120342198", "ISSN" : "00653233", "PMID" : "14268786", "abstract" : "This chapter discusses thermodynamic analysis of multicomponent solutions. An exhaustive consideration of the properties of solutions and theory of electrolytes requires a treatise far beyond the scope of this chapter, in which one shall be concerned primarily with only certain thermodynamic problems specifically implied by the presence of at least three components, some diffusible and some nondiffusible. Because the classic equilibrium thermodynamics of fluid systems can be regarded as complete science, now in no way tentative and not expected to conceal as yet unrevealed profundities, it is not unrealistic to expect to formulate statements that are precise and definitive, so far as thermodynamics is concerned, of relations among experimental quantities important in the study of dilute solutions. Another situation of considerable importance arises when there are several diffusible and several nondiffusible solutes, but the relative amounts of the latter are kept unchanged as their total concentration is altered at constant potential of nondiffusible components.", "author" : [ { "dropping-particle" : "", "family" : "Casassa", "given" : "Edward F.", "non-dropping-particle" : "", "parse-names" : false, "suffix" : "" }, { "dropping-particle" : "", "family" : "Eisenberg", "given" : "Henryk", "non-dropping-particle" : "", "parse-names" : false, "suffix" : "" } ], "container-title" : "Advances in Protein Chemistry", "id" : "ITEM-3", "issue" : "C", "issued" : { "date-parts" : [ [ "1964" ] ] }, "page" : "287-395", "title" : "Thermodynamic Analysis of Multicomponent Solutions", "type" : "article-journal", "volume" : "19" }, "uris" : [ "http://www.mendeley.com/documents/?uuid=dc90fad4-653b-4f37-ba7c-e1e0dbd8e2a2" ] }, { "id" : "ITEM-4", "itemData" : { "DOI" : "10.1021/la200704s", "ISBN" : "0065-3233 (Print)\\r0065-3233 (Linking)", "ISSN" : "1520-5827", "PMID" : "4882248", "abstract" : "The first of the two classic papers (books) written about the experimental studies of denaturation by Tanford", "author" : [ { "dropping-particle" : "", "family" : "Tanford", "given" : "C", "non-dropping-particle" : "", "parse-names" : false, "suffix" : "" } ], "container-title" : "Adv. Protein Chem.", "id" : "ITEM-4", "issued" : { "date-parts" : [ [ "1968" ] ] }, "page" : "121-282", "title" : "Protein Denaturation", "type" : "article-journal", "volume" : "23" }, "uris" : [ "http://www.mendeley.com/documents/?uuid=837ca73d-629c-4e7c-acc6-daca305037cd" ] }, { "id" : "ITEM-5", "itemData" : { "DOI" : "10.1016/S0065-3233(08)60241-7", "ISBN" : "0065-3233", "ISSN" : "00653233", "PMID" : "4912353", "abstract" : "Publisher Summary This chapter reviews theoretical models that may be constructed and equations that may be derived from them to understand the process of protein denaturation. Given that the native state is stable under physiological conditions, the question arises whether the effects of environmental changes on the equilibrium between native and denatured states can be predicted, so as to account for the loss of stability of the native state and the appearance of different denatured states under specified conditions. This question involves not the absolute values for the free energies and other thermodynamic parameters for denaturation processes, but the changes in these parameters, along with changes in environmental variables. These changes can be predicted semiquantitatively. Furthermore, one can account both for the products formed under different conditions and for the character of the transitions from native to denatured state, at least for the simple proteins that have been studied in detail.", "author" : [ { "dropping-particle" : "", "family" : "Tanford", "given" : "Charles", "non-dropping-particle" : "", "parse-names" : false, "suffix" : "" } ], "container-title" : "Advances in Protein Chemistry", "id" : "ITEM-5", "issue" : "C", "issued" : { "date-parts" : [ [ "1970" ] ] }, "page" : "1-95", "title" : "Protein Denaturation. Part C. Theoretical Models for The Mechanism of Denaturation", "type" : "article-journal", "volume" : "24" }, "uris" : [ "http://www.mendeley.com/documents/?uuid=4b4d86e9-cd5d-40fe-af36-6958cc3f59fe" ] }, { "id" : "ITEM-6", "itemData" : { "DOI" : "10.1002/bip.1975.360140509", "ISBN" : "1097-0282", "ISSN" : "10970282", "abstract" : "Formulas for the free energy of binding to a macromolecule are obtained by thermodynamic and statistical mechanical methods, and it is shown that the free energy of binding is intimately related with the binding polynomial and Wyman's binding potential. The expression for the free energy of binding is applied to a number of cases of ligand-induced conformational changes, cooperativity, association reactions, etc.", "author" : [ { "dropping-particle" : "", "family" : "Schellman", "given" : "John A.", "non-dropping-particle" : "", "parse-names" : false, "suffix" : "" } ], "container-title" : "Biopolymers", "id" : "ITEM-6", "issue" : "5", "issued" : { "date-parts" : [ [ "1975" ] ] }, "page" : "999-1018", "title" : "Macromolecular binding", "type" : "article-journal", "volume" : "14" }, "uris" : [ "http://www.mendeley.com/documents/?uuid=8d95941e-fce7-48bf-80c7-c3db2e72fb86" ] }, { "id" : "ITEM-7", "itemData" : { "DOI" : "10.1002/bip.1978.360170515", "ISSN" : "0006-3525", "abstract" : "Solvent denaturation is developed along thermodynamic lines rather than from multiple-binding theory. Almost all the relations derivable from site-binding theory have their counterparts in the thermodynamic formulation showing that the details of binding models may be sufficient but are not necessary for the general description of solvent denaturation. Equations are derived for the effect of denaturant concentration on stability at constant temperature and on tm. It is recommended that the thermodynamic treatment be used instead of binding models unless stoichiometric interactions are demonstrable experimentally.", "author" : [ { "dropping-particle" : "", "family" : "Schellman", "given" : "John A", "non-dropping-particle" : "", "parse-names" : false, "suffix" : "" } ], "container-title" : "Biopolymers", "id" : "ITEM-7", "issue" : "2", "issued" : { "date-parts" : [ [ "1978" ] ] }, "page" : "1305-1322", "title" : "Solvent Denaturation", "type" : "article-journal", "volume" : "17" }, "uris" : [ "http://www.mendeley.com/documents/?uuid=e4b261f8-5480-4153-b89b-91de2afa6d43" ] }, { "id" : "ITEM-8", "itemData" : { "DOI" : "10.1002/bip.360260408", "ISBN" : "0006-3525", "ISSN" : "10970282", "PMID" : "3567326", "abstract" : "A primitive model for solvent denaturation is that the denaturant binds independently to sites exposed by the unfolding of the protein. For reagents like urea and guanidinium salts, this binding must be very weak since denaturation occurs only at very high concentrations. Standard formulas for very weak binding lead to thermodynamic inconsistencies. In this paper, binding by denaturants is treated as selective solvation. This introduces a factor of K 1 into the binding isotherm and binding free energy, where K is the equilibrium constant for selective interaction with the sites. This leads to a thermodynamically consistent description of the binding and the denaturation since, when K = 1, there is no selective interaction and no effect on denaturation, even in concentrated solutions where site occupancy is inevitable.", "author" : [ { "dropping-particle" : "", "family" : "Schellman", "given" : "John A.", "non-dropping-particle" : "", "parse-names" : false, "suffix" : "" } ], "container-title" : "Biopolymers", "id" : "ITEM-8", "issue" : "4", "issued" : { "date-parts" : [ [ "1987" ] ] }, "page" : "549-559", "title" : "Selective binding and solvent denaturation", "type" : "article-journal", "volume" : "26" }, "uris" : [ "http://www.mendeley.com/documents/?uuid=3ff0bebd-c006-4655-9fac-c69d9656b2ba" ] }, { "id" : "ITEM-9", "itemData" : { "ISBN" : "0471176265", "abstract" : "\"A Wiley-Interscience publication.\" 1. Number of Liganded Molecules -- 2. Affinities: From a Site Perspective -- 3. Affinities: From a Stoichiometric Perspective -- 4. Affinities: From a Ghost-Site Perspective -- 5. Facts and Fantasies from Graphical Analyses -- 6. Numerical Evaluations of Stoichiometric Binding Constants -- 7. Affinity Profiles -- 8. Thermodynamic Perspectives -- 9. Forces of Interaction -- 10. Molecular Scenarios -- App. A1. Experimental Procedures in Equilibrium Dialysis -- App. A2. Properties of Graphical Representations of Multiple Classes of Independent Binding Sites -- App. A3. Relationships Between Stoichiometric Binding Constants and Site-Binding Constants -- App. A4. Relationships Between Stoichiometric Binding Constants and Ghost-Site Binding Constants.", "author" : [ { "dropping-particle" : "", "family" : "Klotz", "given" : "Irving M.", "non-dropping-particle" : "", "parse-names" : false, "suffix" : "" } ], "id" : "ITEM-9", "issued" : { "date-parts" : [ [ "1997" ] ] }, "number-of-pages" : "170", "publisher" : "Wiley", "publisher-place" : "New York", "title" : "Ligand-receptor energetics : a guide for the perplexed", "type" : "book" }, "uris" : [ "http://www.mendeley.com/documents/?uuid=dd952269-684f-3ac3-8305-432524b1ebd4" ] }, { "id" : "ITEM-10", "itemData" : { "ISBN" : "0935702563", "author" : [ { "dropping-particle" : "", "family" : "Wyman", "given" : "Jeffries.", "non-dropping-particle" : "", "parse-names" : false, "suffix" : "" }, { "dropping-particle" : "", "family" : "Gill", "given" : "Stanley J.", "non-dropping-particle" : "", "parse-names" : false, "suffix" : "" } ], "id" : "ITEM-10", "issued" : { "date-parts" : [ [ "1990" ] ] }, "number-of-pages" : "330", "publisher" : "University Science Books", "publisher-place" : "Mill Valley, CA", "title" : "Binding and linkage : functional chemistry of biological macromolecules", "type" : "book" }, "uris" : [ "http://www.mendeley.com/documents/?uuid=018c2dc4-bd6d-31b5-abf5-f47e336b6a74" ] } ], "mendeley" : { "formattedCitation" : "&lt;sup&gt;9,10,41\u201348&lt;/sup&gt;", "plainTextFormattedCitation" : "9,10,41\u201348", "previouslyFormattedCitation" : "&lt;sup&gt;9,10,41\u201348&lt;/sup&gt;" }, "properties" : { "noteIndex" : 0 }, "schema" : "https://github.com/citation-style-language/schema/raw/master/csl-citation.json" }</w:instrText>
      </w:r>
      <w:r w:rsidR="00317D55" w:rsidRPr="00D039E9">
        <w:rPr>
          <w:lang w:val="en-CA"/>
        </w:rPr>
        <w:fldChar w:fldCharType="separate"/>
      </w:r>
      <w:r w:rsidR="00BB3004" w:rsidRPr="00D039E9">
        <w:rPr>
          <w:noProof/>
          <w:vertAlign w:val="superscript"/>
          <w:lang w:val="en-CA"/>
        </w:rPr>
        <w:t>9,10,41–48</w:t>
      </w:r>
      <w:r w:rsidR="00317D55" w:rsidRPr="00D039E9">
        <w:rPr>
          <w:lang w:val="en-CA"/>
        </w:rPr>
        <w:fldChar w:fldCharType="end"/>
      </w:r>
      <w:r w:rsidR="00317D55" w:rsidRPr="00D039E9">
        <w:rPr>
          <w:lang w:val="en-CA"/>
        </w:rPr>
        <w:t xml:space="preserve"> </w:t>
      </w:r>
      <w:r w:rsidRPr="00D039E9">
        <w:rPr>
          <w:lang w:val="en-CA"/>
        </w:rPr>
        <w:t xml:space="preserve">  </w:t>
      </w:r>
    </w:p>
    <w:p w14:paraId="68982650" w14:textId="5947B38A" w:rsidR="003872DB" w:rsidRPr="00D039E9" w:rsidRDefault="003872DB" w:rsidP="003872DB">
      <w:pPr>
        <w:pStyle w:val="TAMainText"/>
        <w:numPr>
          <w:ilvl w:val="0"/>
          <w:numId w:val="14"/>
        </w:numPr>
        <w:rPr>
          <w:lang w:val="en-CA"/>
        </w:rPr>
      </w:pPr>
      <w:r w:rsidRPr="00D039E9">
        <w:rPr>
          <w:lang w:val="en-CA"/>
        </w:rPr>
        <w:t>There is, in practice, the same binding constant for all the binding sites.</w:t>
      </w:r>
      <w:r w:rsidR="00317D55" w:rsidRPr="00D039E9">
        <w:rPr>
          <w:lang w:val="en-CA"/>
        </w:rPr>
        <w:t xml:space="preserve"> </w:t>
      </w:r>
      <w:r w:rsidR="00317D55" w:rsidRPr="00D039E9">
        <w:rPr>
          <w:lang w:val="en-CA"/>
        </w:rPr>
        <w:fldChar w:fldCharType="begin" w:fldLock="1"/>
      </w:r>
      <w:r w:rsidR="00C65F5C" w:rsidRPr="00D039E9">
        <w:rPr>
          <w:lang w:val="en-CA"/>
        </w:rPr>
        <w:instrText>ADDIN CSL_CITATION { "citationItems" : [ { "id" : "ITEM-1", "itemData" : { "DOI" : "10.1016/S0065-3233(08)60011-X", "ISBN" : "978-0-12-443710-4", "ISSN" : "00653233", "author" : [ { "dropping-particle" : "", "family" : "Wyman", "given" : "Jeffries.", "non-dropping-particle" : "", "parse-names" : false, "suffix" : "" } ], "container-title" : "Advances in Protein Chemistry", "id" : "ITEM-1", "issued" : { "date-parts" : [ [ "1948" ] ] }, "page" : "407-531", "title" : "Heme Proteins", "type" : "article-journal", "volume" : "4" }, "uris" : [ "http://www.mendeley.com/documents/?uuid=983dd11f-6f3d-4466-9364-65033791c196" ] }, { "id" : "ITEM-2", "itemData" : { "DOI" : "10.1016/S0065-3233(08)60190-4", "ISBN" : "9780120342198", "ISSN" : "00653233", "PMID" : "14268785", "abstract" : "This chapter discusses linked functions and reciprocal effects in hemoglobin. Because the components are defined thermodynamically in terms of independently variable chemical entities and, therefore, a given component may exist in any number of different forms in equilibrium with one another, these considerations show that not only do the linkage relations apply irrespective of whether the macromolecules undergo chemical change or polymerization, but also irrespective of whether the ligands themselves associate and dissociate, possibly as macromolecules. From a formal point of view the distinction between ligand and macromolecule breaks down. This principle may be useful in the application of linkage relations to antibody\u2013antigen systems and to enzyme systems when both enzyme and substrate are proteins. Another more general, and perhaps more interesting, question is whether the dissociation process is also dependent on oxygenation, i.e., whether the protons involved are oxygen-linked. There is now strong evidence that the dissociation at acidic pH is, indeed, dependent on oxygenation.", "author" : [ { "dropping-particle" : "", "family" : "Wyman", "given" : "Jeffries", "non-dropping-particle" : "", "parse-names" : false, "suffix" : "" } ], "container-title" : "Advances in Protein Chemistry", "id" : "ITEM-2", "issue" : "C", "issued" : { "date-parts" : [ [ "1964" ] ] }, "page" : "223-286", "title" : "Linked Functions and Reciprocal Effects in Hemoglobin: A Second Look", "type" : "article-journal", "volume" : "19" }, "uris" : [ "http://www.mendeley.com/documents/?uuid=92b8c6a0-2428-4f1a-9970-58f389d26542" ] }, { "id" : "ITEM-3", "itemData" : { "DOI" : "10.1016/S0065-3233(08)60191-6", "ISBN" : "9780120342198", "ISSN" : "00653233", "PMID" : "14268786", "abstract" : "This chapter discusses thermodynamic analysis of multicomponent solutions. An exhaustive consideration of the properties of solutions and theory of electrolytes requires a treatise far beyond the scope of this chapter, in which one shall be concerned primarily with only certain thermodynamic problems specifically implied by the presence of at least three components, some diffusible and some nondiffusible. Because the classic equilibrium thermodynamics of fluid systems can be regarded as complete science, now in no way tentative and not expected to conceal as yet unrevealed profundities, it is not unrealistic to expect to formulate statements that are precise and definitive, so far as thermodynamics is concerned, of relations among experimental quantities important in the study of dilute solutions. Another situation of considerable importance arises when there are several diffusible and several nondiffusible solutes, but the relative amounts of the latter are kept unchanged as their total concentration is altered at constant potential of nondiffusible components.", "author" : [ { "dropping-particle" : "", "family" : "Casassa", "given" : "Edward F.", "non-dropping-particle" : "", "parse-names" : false, "suffix" : "" }, { "dropping-particle" : "", "family" : "Eisenberg", "given" : "Henryk", "non-dropping-particle" : "", "parse-names" : false, "suffix" : "" } ], "container-title" : "Advances in Protein Chemistry", "id" : "ITEM-3", "issue" : "C", "issued" : { "date-parts" : [ [ "1964" ] ] }, "page" : "287-395", "title" : "Thermodynamic Analysis of Multicomponent Solutions", "type" : "article-journal", "volume" : "19" }, "uris" : [ "http://www.mendeley.com/documents/?uuid=dc90fad4-653b-4f37-ba7c-e1e0dbd8e2a2" ] }, { "id" : "ITEM-4", "itemData" : { "DOI" : "10.1021/la200704s", "ISBN" : "0065-3233 (Print)\\r0065-3233 (Linking)", "ISSN" : "1520-5827", "PMID" : "4882248", "abstract" : "The first of the two classic papers (books) written about the experimental studies of denaturation by Tanford", "author" : [ { "dropping-particle" : "", "family" : "Tanford", "given" : "C", "non-dropping-particle" : "", "parse-names" : false, "suffix" : "" } ], "container-title" : "Adv. Protein Chem.", "id" : "ITEM-4", "issued" : { "date-parts" : [ [ "1968" ] ] }, "page" : "121-282", "title" : "Protein Denaturation", "type" : "article-journal", "volume" : "23" }, "uris" : [ "http://www.mendeley.com/documents/?uuid=837ca73d-629c-4e7c-acc6-daca305037cd" ] }, { "id" : "ITEM-5", "itemData" : { "DOI" : "10.1016/S0065-3233(08)60241-7", "ISBN" : "0065-3233", "ISSN" : "00653233", "PMID" : "4912353", "abstract" : "Publisher Summary This chapter reviews theoretical models that may be constructed and equations that may be derived from them to understand the process of protein denaturation. Given that the native state is stable under physiological conditions, the question arises whether the effects of environmental changes on the equilibrium between native and denatured states can be predicted, so as to account for the loss of stability of the native state and the appearance of different denatured states under specified conditions. This question involves not the absolute values for the free energies and other thermodynamic parameters for denaturation processes, but the changes in these parameters, along with changes in environmental variables. These changes can be predicted semiquantitatively. Furthermore, one can account both for the products formed under different conditions and for the character of the transitions from native to denatured state, at least for the simple proteins that have been studied in detail.", "author" : [ { "dropping-particle" : "", "family" : "Tanford", "given" : "Charles", "non-dropping-particle" : "", "parse-names" : false, "suffix" : "" } ], "container-title" : "Advances in Protein Chemistry", "id" : "ITEM-5", "issue" : "C", "issued" : { "date-parts" : [ [ "1970" ] ] }, "page" : "1-95", "title" : "Protein Denaturation. Part C. Theoretical Models for The Mechanism of Denaturation", "type" : "article-journal", "volume" : "24" }, "uris" : [ "http://www.mendeley.com/documents/?uuid=4b4d86e9-cd5d-40fe-af36-6958cc3f59fe" ] }, { "id" : "ITEM-6", "itemData" : { "DOI" : "10.1002/bip.1975.360140509", "ISBN" : "1097-0282", "ISSN" : "10970282", "abstract" : "Formulas for the free energy of binding to a macromolecule are obtained by thermodynamic and statistical mechanical methods, and it is shown that the free energy of binding is intimately related with the binding polynomial and Wyman's binding potential. The expression for the free energy of binding is applied to a number of cases of ligand-induced conformational changes, cooperativity, association reactions, etc.", "author" : [ { "dropping-particle" : "", "family" : "Schellman", "given" : "John A.", "non-dropping-particle" : "", "parse-names" : false, "suffix" : "" } ], "container-title" : "Biopolymers", "id" : "ITEM-6", "issue" : "5", "issued" : { "date-parts" : [ [ "1975" ] ] }, "page" : "999-1018", "title" : "Macromolecular binding", "type" : "article-journal", "volume" : "14" }, "uris" : [ "http://www.mendeley.com/documents/?uuid=8d95941e-fce7-48bf-80c7-c3db2e72fb86" ] }, { "id" : "ITEM-7", "itemData" : { "DOI" : "10.1002/bip.1978.360170515", "ISSN" : "0006-3525", "abstract" : "Solvent denaturation is developed along thermodynamic lines rather than from multiple-binding theory. Almost all the relations derivable from site-binding theory have their counterparts in the thermodynamic formulation showing that the details of binding models may be sufficient but are not necessary for the general description of solvent denaturation. Equations are derived for the effect of denaturant concentration on stability at constant temperature and on tm. It is recommended that the thermodynamic treatment be used instead of binding models unless stoichiometric interactions are demonstrable experimentally.", "author" : [ { "dropping-particle" : "", "family" : "Schellman", "given" : "John A", "non-dropping-particle" : "", "parse-names" : false, "suffix" : "" } ], "container-title" : "Biopolymers", "id" : "ITEM-7", "issue" : "2", "issued" : { "date-parts" : [ [ "1978" ] ] }, "page" : "1305-1322", "title" : "Solvent Denaturation", "type" : "article-journal", "volume" : "17" }, "uris" : [ "http://www.mendeley.com/documents/?uuid=e4b261f8-5480-4153-b89b-91de2afa6d43" ] }, { "id" : "ITEM-8", "itemData" : { "DOI" : "10.1002/bip.360260408", "ISBN" : "0006-3525", "ISSN" : "10970282", "PMID" : "3567326", "abstract" : "A primitive model for solvent denaturation is that the denaturant binds independently to sites exposed by the unfolding of the protein. For reagents like urea and guanidinium salts, this binding must be very weak since denaturation occurs only at very high concentrations. Standard formulas for very weak binding lead to thermodynamic inconsistencies. In this paper, binding by denaturants is treated as selective solvation. This introduces a factor of K 1 into the binding isotherm and binding free energy, where K is the equilibrium constant for selective interaction with the sites. This leads to a thermodynamically consistent description of the binding and the denaturation since, when K = 1, there is no selective interaction and no effect on denaturation, even in concentrated solutions where site occupancy is inevitable.", "author" : [ { "dropping-particle" : "", "family" : "Schellman", "given" : "John A.", "non-dropping-particle" : "", "parse-names" : false, "suffix" : "" } ], "container-title" : "Biopolymers", "id" : "ITEM-8", "issue" : "4", "issued" : { "date-parts" : [ [ "1987" ] ] }, "page" : "549-559", "title" : "Selective binding and solvent denaturation", "type" : "article-journal", "volume" : "26" }, "uris" : [ "http://www.mendeley.com/documents/?uuid=3ff0bebd-c006-4655-9fac-c69d9656b2ba" ] }, { "id" : "ITEM-9", "itemData" : { "ISBN" : "0471176265", "abstract" : "\"A Wiley-Interscience publication.\" 1. Number of Liganded Molecules -- 2. Affinities: From a Site Perspective -- 3. Affinities: From a Stoichiometric Perspective -- 4. Affinities: From a Ghost-Site Perspective -- 5. Facts and Fantasies from Graphical Analyses -- 6. Numerical Evaluations of Stoichiometric Binding Constants -- 7. Affinity Profiles -- 8. Thermodynamic Perspectives -- 9. Forces of Interaction -- 10. Molecular Scenarios -- App. A1. Experimental Procedures in Equilibrium Dialysis -- App. A2. Properties of Graphical Representations of Multiple Classes of Independent Binding Sites -- App. A3. Relationships Between Stoichiometric Binding Constants and Site-Binding Constants -- App. A4. Relationships Between Stoichiometric Binding Constants and Ghost-Site Binding Constants.", "author" : [ { "dropping-particle" : "", "family" : "Klotz", "given" : "Irving M.", "non-dropping-particle" : "", "parse-names" : false, "suffix" : "" } ], "id" : "ITEM-9", "issued" : { "date-parts" : [ [ "1997" ] ] }, "number-of-pages" : "170", "publisher" : "Wiley", "publisher-place" : "New York", "title" : "Ligand-receptor energetics : a guide for the perplexed", "type" : "book" }, "uris" : [ "http://www.mendeley.com/documents/?uuid=dd952269-684f-3ac3-8305-432524b1ebd4" ] }, { "id" : "ITEM-10", "itemData" : { "ISBN" : "0935702563", "author" : [ { "dropping-particle" : "", "family" : "Wyman", "given" : "Jeffries.", "non-dropping-particle" : "", "parse-names" : false, "suffix" : "" }, { "dropping-particle" : "", "family" : "Gill", "given" : "Stanley J.", "non-dropping-particle" : "", "parse-names" : false, "suffix" : "" } ], "id" : "ITEM-10", "issued" : { "date-parts" : [ [ "1990" ] ] }, "number-of-pages" : "330", "publisher" : "University Science Books", "publisher-place" : "Mill Valley, CA", "title" : "Binding and linkage : functional chemistry of biological macromolecules", "type" : "book" }, "uris" : [ "http://www.mendeley.com/documents/?uuid=018c2dc4-bd6d-31b5-abf5-f47e336b6a74" ] } ], "mendeley" : { "formattedCitation" : "&lt;sup&gt;9,10,41\u201348&lt;/sup&gt;", "plainTextFormattedCitation" : "9,10,41\u201348", "previouslyFormattedCitation" : "&lt;sup&gt;9,10,41\u201348&lt;/sup&gt;" }, "properties" : { "noteIndex" : 0 }, "schema" : "https://github.com/citation-style-language/schema/raw/master/csl-citation.json" }</w:instrText>
      </w:r>
      <w:r w:rsidR="00317D55" w:rsidRPr="00D039E9">
        <w:rPr>
          <w:lang w:val="en-CA"/>
        </w:rPr>
        <w:fldChar w:fldCharType="separate"/>
      </w:r>
      <w:r w:rsidR="00BB3004" w:rsidRPr="00D039E9">
        <w:rPr>
          <w:noProof/>
          <w:vertAlign w:val="superscript"/>
          <w:lang w:val="en-CA"/>
        </w:rPr>
        <w:t>9,10,41–48</w:t>
      </w:r>
      <w:r w:rsidR="00317D55" w:rsidRPr="00D039E9">
        <w:rPr>
          <w:lang w:val="en-CA"/>
        </w:rPr>
        <w:fldChar w:fldCharType="end"/>
      </w:r>
      <w:r w:rsidR="00317D55" w:rsidRPr="00D039E9">
        <w:rPr>
          <w:lang w:val="en-CA"/>
        </w:rPr>
        <w:t xml:space="preserve"> </w:t>
      </w:r>
      <w:r w:rsidRPr="00D039E9">
        <w:rPr>
          <w:lang w:val="en-CA"/>
        </w:rPr>
        <w:t xml:space="preserve"> </w:t>
      </w:r>
    </w:p>
    <w:p w14:paraId="3002C725" w14:textId="77777777" w:rsidR="003872DB" w:rsidRPr="00D039E9" w:rsidRDefault="003872DB" w:rsidP="003872DB">
      <w:pPr>
        <w:pStyle w:val="TAMainText"/>
        <w:rPr>
          <w:rFonts w:cs="Times"/>
          <w:lang w:val="en-CA"/>
        </w:rPr>
      </w:pPr>
      <w:r w:rsidRPr="00D039E9">
        <w:rPr>
          <w:rFonts w:cs="Times"/>
          <w:lang w:val="en-CA"/>
        </w:rPr>
        <w:t xml:space="preserve"> </w:t>
      </w:r>
    </w:p>
    <w:p w14:paraId="759EA87C" w14:textId="1E687503" w:rsidR="003872DB" w:rsidRPr="00D039E9" w:rsidRDefault="003872DB" w:rsidP="003872DB">
      <w:pPr>
        <w:pStyle w:val="TAMainText"/>
        <w:rPr>
          <w:rFonts w:cs="Times"/>
          <w:lang w:val="en-CA"/>
        </w:rPr>
      </w:pPr>
      <w:r w:rsidRPr="00D039E9">
        <w:rPr>
          <w:rFonts w:cs="Times"/>
          <w:lang w:val="en-CA"/>
        </w:rPr>
        <w:t>These assumptions are the basis for the classical binding approaches established by Wyman,</w:t>
      </w:r>
      <w:r w:rsidR="00025D4E" w:rsidRPr="00D039E9">
        <w:rPr>
          <w:rFonts w:cs="Times"/>
          <w:lang w:val="en-CA"/>
        </w:rPr>
        <w:fldChar w:fldCharType="begin" w:fldLock="1"/>
      </w:r>
      <w:r w:rsidR="00C65F5C" w:rsidRPr="00D039E9">
        <w:rPr>
          <w:rFonts w:cs="Times"/>
          <w:lang w:val="en-CA"/>
        </w:rPr>
        <w:instrText>ADDIN CSL_CITATION { "citationItems" : [ { "id" : "ITEM-1", "itemData" : { "DOI" : "10.1016/S0065-3233(08)60011-X", "ISBN" : "978-0-12-443710-4", "ISSN" : "00653233", "author" : [ { "dropping-particle" : "", "family" : "Wyman", "given" : "Jeffries.", "non-dropping-particle" : "", "parse-names" : false, "suffix" : "" } ], "container-title" : "Advances in Protein Chemistry", "id" : "ITEM-1", "issued" : { "date-parts" : [ [ "1948" ] ] }, "page" : "407-531", "title" : "Heme Proteins", "type" : "article-journal", "volume" : "4" }, "uris" : [ "http://www.mendeley.com/documents/?uuid=983dd11f-6f3d-4466-9364-65033791c196" ] }, { "id" : "ITEM-2", "itemData" : { "DOI" : "10.1016/S0065-3233(08)60190-4", "ISBN" : "9780120342198", "ISSN" : "00653233", "PMID" : "14268785", "abstract" : "This chapter discusses linked functions and reciprocal effects in hemoglobin. Because the components are defined thermodynamically in terms of independently variable chemical entities and, therefore, a given component may exist in any number of different forms in equilibrium with one another, these considerations show that not only do the linkage relations apply irrespective of whether the macromolecules undergo chemical change or polymerization, but also irrespective of whether the ligands themselves associate and dissociate, possibly as macromolecules. From a formal point of view the distinction between ligand and macromolecule breaks down. This principle may be useful in the application of linkage relations to antibody\u2013antigen systems and to enzyme systems when both enzyme and substrate are proteins. Another more general, and perhaps more interesting, question is whether the dissociation process is also dependent on oxygenation, i.e., whether the protons involved are oxygen-linked. There is now strong evidence that the dissociation at acidic pH is, indeed, dependent on oxygenation.", "author" : [ { "dropping-particle" : "", "family" : "Wyman", "given" : "Jeffries", "non-dropping-particle" : "", "parse-names" : false, "suffix" : "" } ], "container-title" : "Advances in Protein Chemistry", "id" : "ITEM-2", "issue" : "C", "issued" : { "date-parts" : [ [ "1964" ] ] }, "page" : "223-286", "title" : "Linked Functions and Reciprocal Effects in Hemoglobin: A Second Look", "type" : "article-journal", "volume" : "19" }, "uris" : [ "http://www.mendeley.com/documents/?uuid=92b8c6a0-2428-4f1a-9970-58f389d26542" ] } ], "mendeley" : { "formattedCitation" : "&lt;sup&gt;41,42&lt;/sup&gt;", "plainTextFormattedCitation" : "41,42", "previouslyFormattedCitation" : "&lt;sup&gt;41,42&lt;/sup&gt;" }, "properties" : { "noteIndex" : 0 }, "schema" : "https://github.com/citation-style-language/schema/raw/master/csl-citation.json" }</w:instrText>
      </w:r>
      <w:r w:rsidR="00025D4E" w:rsidRPr="00D039E9">
        <w:rPr>
          <w:rFonts w:cs="Times"/>
          <w:lang w:val="en-CA"/>
        </w:rPr>
        <w:fldChar w:fldCharType="separate"/>
      </w:r>
      <w:r w:rsidR="00BB3004" w:rsidRPr="00D039E9">
        <w:rPr>
          <w:rFonts w:cs="Times"/>
          <w:noProof/>
          <w:vertAlign w:val="superscript"/>
          <w:lang w:val="en-CA"/>
        </w:rPr>
        <w:t>41,42</w:t>
      </w:r>
      <w:r w:rsidR="00025D4E" w:rsidRPr="00D039E9">
        <w:rPr>
          <w:rFonts w:cs="Times"/>
          <w:lang w:val="en-CA"/>
        </w:rPr>
        <w:fldChar w:fldCharType="end"/>
      </w:r>
      <w:r w:rsidR="00025D4E" w:rsidRPr="00D039E9">
        <w:rPr>
          <w:rFonts w:cs="Times"/>
          <w:lang w:val="en-CA"/>
        </w:rPr>
        <w:t xml:space="preserve"> Cassassa and</w:t>
      </w:r>
      <w:r w:rsidRPr="00D039E9">
        <w:rPr>
          <w:rFonts w:cs="Times"/>
          <w:lang w:val="en-CA"/>
        </w:rPr>
        <w:t xml:space="preserve"> Eisenberg,</w:t>
      </w:r>
      <w:r w:rsidR="00025D4E" w:rsidRPr="00D039E9">
        <w:rPr>
          <w:rFonts w:cs="Times"/>
          <w:lang w:val="en-CA"/>
        </w:rPr>
        <w:fldChar w:fldCharType="begin" w:fldLock="1"/>
      </w:r>
      <w:r w:rsidR="00C65F5C" w:rsidRPr="00D039E9">
        <w:rPr>
          <w:rFonts w:cs="Times"/>
          <w:lang w:val="en-CA"/>
        </w:rPr>
        <w:instrText>ADDIN CSL_CITATION { "citationItems" : [ { "id" : "ITEM-1", "itemData" : { "DOI" : "10.1016/S0065-3233(08)60191-6", "ISBN" : "9780120342198", "ISSN" : "00653233", "PMID" : "14268786", "abstract" : "This chapter discusses thermodynamic analysis of multicomponent solutions. An exhaustive consideration of the properties of solutions and theory of electrolytes requires a treatise far beyond the scope of this chapter, in which one shall be concerned primarily with only certain thermodynamic problems specifically implied by the presence of at least three components, some diffusible and some nondiffusible. Because the classic equilibrium thermodynamics of fluid systems can be regarded as complete science, now in no way tentative and not expected to conceal as yet unrevealed profundities, it is not unrealistic to expect to formulate statements that are precise and definitive, so far as thermodynamics is concerned, of relations among experimental quantities important in the study of dilute solutions. Another situation of considerable importance arises when there are several diffusible and several nondiffusible solutes, but the relative amounts of the latter are kept unchanged as their total concentration is altered at constant potential of nondiffusible components.", "author" : [ { "dropping-particle" : "", "family" : "Casassa", "given" : "Edward F.", "non-dropping-particle" : "", "parse-names" : false, "suffix" : "" }, { "dropping-particle" : "", "family" : "Eisenberg", "given" : "Henryk", "non-dropping-particle" : "", "parse-names" : false, "suffix" : "" } ], "container-title" : "Advances in Protein Chemistry", "id" : "ITEM-1", "issue" : "C", "issued" : { "date-parts" : [ [ "1964" ] ] }, "page" : "287-395", "title" : "Thermodynamic Analysis of Multicomponent Solutions", "type" : "article-journal", "volume" : "19" }, "uris" : [ "http://www.mendeley.com/documents/?uuid=dc90fad4-653b-4f37-ba7c-e1e0dbd8e2a2" ] } ], "mendeley" : { "formattedCitation" : "&lt;sup&gt;43&lt;/sup&gt;", "plainTextFormattedCitation" : "43", "previouslyFormattedCitation" : "&lt;sup&gt;43&lt;/sup&gt;" }, "properties" : { "noteIndex" : 0 }, "schema" : "https://github.com/citation-style-language/schema/raw/master/csl-citation.json" }</w:instrText>
      </w:r>
      <w:r w:rsidR="00025D4E" w:rsidRPr="00D039E9">
        <w:rPr>
          <w:rFonts w:cs="Times"/>
          <w:lang w:val="en-CA"/>
        </w:rPr>
        <w:fldChar w:fldCharType="separate"/>
      </w:r>
      <w:r w:rsidR="00BB3004" w:rsidRPr="00D039E9">
        <w:rPr>
          <w:rFonts w:cs="Times"/>
          <w:noProof/>
          <w:vertAlign w:val="superscript"/>
          <w:lang w:val="en-CA"/>
        </w:rPr>
        <w:t>43</w:t>
      </w:r>
      <w:r w:rsidR="00025D4E" w:rsidRPr="00D039E9">
        <w:rPr>
          <w:rFonts w:cs="Times"/>
          <w:lang w:val="en-CA"/>
        </w:rPr>
        <w:fldChar w:fldCharType="end"/>
      </w:r>
      <w:r w:rsidRPr="00D039E9">
        <w:rPr>
          <w:rFonts w:cs="Times"/>
          <w:lang w:val="en-CA"/>
        </w:rPr>
        <w:t xml:space="preserve"> Tanford,</w:t>
      </w:r>
      <w:r w:rsidR="00025D4E" w:rsidRPr="00D039E9">
        <w:rPr>
          <w:rFonts w:cs="Times"/>
          <w:lang w:val="en-CA"/>
        </w:rPr>
        <w:fldChar w:fldCharType="begin" w:fldLock="1"/>
      </w:r>
      <w:r w:rsidR="00C65F5C" w:rsidRPr="00D039E9">
        <w:rPr>
          <w:rFonts w:cs="Times"/>
          <w:lang w:val="en-CA"/>
        </w:rPr>
        <w:instrText>ADDIN CSL_CITATION { "citationItems" : [ { "id" : "ITEM-1", "itemData" : { "DOI" : "10.1021/la200704s", "ISBN" : "0065-3233 (Print)\\r0065-3233 (Linking)", "ISSN" : "1520-5827", "PMID" : "4882248", "abstract" : "The first of the two classic papers (books) written about the experimental studies of denaturation by Tanford", "author" : [ { "dropping-particle" : "", "family" : "Tanford", "given" : "C", "non-dropping-particle" : "", "parse-names" : false, "suffix" : "" } ], "container-title" : "Adv. Protein Chem.", "id" : "ITEM-1", "issued" : { "date-parts" : [ [ "1968" ] ] }, "page" : "121-282", "title" : "Protein Denaturation", "type" : "article-journal", "volume" : "23" }, "uris" : [ "http://www.mendeley.com/documents/?uuid=837ca73d-629c-4e7c-acc6-daca305037cd" ] }, { "id" : "ITEM-2", "itemData" : { "DOI" : "10.1016/S0065-3233(08)60241-7", "ISBN" : "0065-3233", "ISSN" : "00653233", "PMID" : "4912353", "abstract" : "Publisher Summary This chapter reviews theoretical models that may be constructed and equations that may be derived from them to understand the process of protein denaturation. Given that the native state is stable under physiological conditions, the question arises whether the effects of environmental changes on the equilibrium between native and denatured states can be predicted, so as to account for the loss of stability of the native state and the appearance of different denatured states under specified conditions. This question involves not the absolute values for the free energies and other thermodynamic parameters for denaturation processes, but the changes in these parameters, along with changes in environmental variables. These changes can be predicted semiquantitatively. Furthermore, one can account both for the products formed under different conditions and for the character of the transitions from native to denatured state, at least for the simple proteins that have been studied in detail.", "author" : [ { "dropping-particle" : "", "family" : "Tanford", "given" : "Charles", "non-dropping-particle" : "", "parse-names" : false, "suffix" : "" } ], "container-title" : "Advances in Protein Chemistry", "id" : "ITEM-2", "issue" : "C", "issued" : { "date-parts" : [ [ "1970" ] ] }, "page" : "1-95", "title" : "Protein Denaturation. Part C. Theoretical Models for The Mechanism of Denaturation", "type" : "article-journal", "volume" : "24" }, "uris" : [ "http://www.mendeley.com/documents/?uuid=4b4d86e9-cd5d-40fe-af36-6958cc3f59fe" ] } ], "mendeley" : { "formattedCitation" : "&lt;sup&gt;44,45&lt;/sup&gt;", "plainTextFormattedCitation" : "44,45", "previouslyFormattedCitation" : "&lt;sup&gt;44,45&lt;/sup&gt;" }, "properties" : { "noteIndex" : 0 }, "schema" : "https://github.com/citation-style-language/schema/raw/master/csl-citation.json" }</w:instrText>
      </w:r>
      <w:r w:rsidR="00025D4E" w:rsidRPr="00D039E9">
        <w:rPr>
          <w:rFonts w:cs="Times"/>
          <w:lang w:val="en-CA"/>
        </w:rPr>
        <w:fldChar w:fldCharType="separate"/>
      </w:r>
      <w:r w:rsidR="00BB3004" w:rsidRPr="00D039E9">
        <w:rPr>
          <w:rFonts w:cs="Times"/>
          <w:noProof/>
          <w:vertAlign w:val="superscript"/>
          <w:lang w:val="en-CA"/>
        </w:rPr>
        <w:t>44,45</w:t>
      </w:r>
      <w:r w:rsidR="00025D4E" w:rsidRPr="00D039E9">
        <w:rPr>
          <w:rFonts w:cs="Times"/>
          <w:lang w:val="en-CA"/>
        </w:rPr>
        <w:fldChar w:fldCharType="end"/>
      </w:r>
      <w:r w:rsidRPr="00D039E9">
        <w:rPr>
          <w:rFonts w:cs="Times"/>
          <w:lang w:val="en-CA"/>
        </w:rPr>
        <w:t xml:space="preserve"> and Schellman.</w:t>
      </w:r>
      <w:r w:rsidR="00025D4E" w:rsidRPr="00D039E9">
        <w:rPr>
          <w:rFonts w:cs="Times"/>
          <w:lang w:val="en-CA"/>
        </w:rPr>
        <w:fldChar w:fldCharType="begin" w:fldLock="1"/>
      </w:r>
      <w:r w:rsidR="00C65F5C" w:rsidRPr="00D039E9">
        <w:rPr>
          <w:rFonts w:cs="Times"/>
          <w:lang w:val="en-CA"/>
        </w:rPr>
        <w:instrText>ADDIN CSL_CITATION { "citationItems" : [ { "id" : "ITEM-1", "itemData" : { "DOI" : "10.1002/bip.1975.360140509", "ISBN" : "1097-0282", "ISSN" : "10970282", "abstract" : "Formulas for the free energy of binding to a macromolecule are obtained by thermodynamic and statistical mechanical methods, and it is shown that the free energy of binding is intimately related with the binding polynomial and Wyman's binding potential. The expression for the free energy of binding is applied to a number of cases of ligand-induced conformational changes, cooperativity, association reactions, etc.", "author" : [ { "dropping-particle" : "", "family" : "Schellman", "given" : "John A.", "non-dropping-particle" : "", "parse-names" : false, "suffix" : "" } ], "container-title" : "Biopolymers", "id" : "ITEM-1", "issue" : "5", "issued" : { "date-parts" : [ [ "1975" ] ] }, "page" : "999-1018", "title" : "Macromolecular binding", "type" : "article-journal", "volume" : "14" }, "uris" : [ "http://www.mendeley.com/documents/?uuid=8d95941e-fce7-48bf-80c7-c3db2e72fb86" ] }, { "id" : "ITEM-2", "itemData" : { "DOI" : "10.1002/bip.1978.360170515", "ISSN" : "0006-3525", "abstract" : "Solvent denaturation is developed along thermodynamic lines rather than from multiple-binding theory. Almost all the relations derivable from site-binding theory have their counterparts in the thermodynamic formulation showing that the details of binding models may be sufficient but are not necessary for the general description of solvent denaturation. Equations are derived for the effect of denaturant concentration on stability at constant temperature and on tm. It is recommended that the thermodynamic treatment be used instead of binding models unless stoichiometric interactions are demonstrable experimentally.", "author" : [ { "dropping-particle" : "", "family" : "Schellman", "given" : "John A", "non-dropping-particle" : "", "parse-names" : false, "suffix" : "" } ], "container-title" : "Biopolymers", "id" : "ITEM-2", "issue" : "2", "issued" : { "date-parts" : [ [ "1978" ] ] }, "page" : "1305-1322", "title" : "Solvent Denaturation", "type" : "article-journal", "volume" : "17" }, "uris" : [ "http://www.mendeley.com/documents/?uuid=e4b261f8-5480-4153-b89b-91de2afa6d43" ] }, { "id" : "ITEM-3", "itemData" : { "DOI" : "10.1002/bip.360260408", "ISBN" : "0006-3525", "ISSN" : "10970282", "PMID" : "3567326", "abstract" : "A primitive model for solvent denaturation is that the denaturant binds independently to sites exposed by the unfolding of the protein. For reagents like urea and guanidinium salts, this binding must be very weak since denaturation occurs only at very high concentrations. Standard formulas for very weak binding lead to thermodynamic inconsistencies. In this paper, binding by denaturants is treated as selective solvation. This introduces a factor of K 1 into the binding isotherm and binding free energy, where K is the equilibrium constant for selective interaction with the sites. This leads to a thermodynamically consistent description of the binding and the denaturation since, when K = 1, there is no selective interaction and no effect on denaturation, even in concentrated solutions where site occupancy is inevitable.", "author" : [ { "dropping-particle" : "", "family" : "Schellman", "given" : "John A.", "non-dropping-particle" : "", "parse-names" : false, "suffix" : "" } ], "container-title" : "Biopolymers", "id" : "ITEM-3", "issue" : "4", "issued" : { "date-parts" : [ [ "1987" ] ] }, "page" : "549-559", "title" : "Selective binding and solvent denaturation", "type" : "article-journal", "volume" : "26" }, "uris" : [ "http://www.mendeley.com/documents/?uuid=3ff0bebd-c006-4655-9fac-c69d9656b2ba" ] } ], "mendeley" : { "formattedCitation" : "&lt;sup&gt;46\u201348&lt;/sup&gt;", "plainTextFormattedCitation" : "46\u201348", "previouslyFormattedCitation" : "&lt;sup&gt;46\u201348&lt;/sup&gt;" }, "properties" : { "noteIndex" : 0 }, "schema" : "https://github.com/citation-style-language/schema/raw/master/csl-citation.json" }</w:instrText>
      </w:r>
      <w:r w:rsidR="00025D4E" w:rsidRPr="00D039E9">
        <w:rPr>
          <w:rFonts w:cs="Times"/>
          <w:lang w:val="en-CA"/>
        </w:rPr>
        <w:fldChar w:fldCharType="separate"/>
      </w:r>
      <w:r w:rsidR="00BB3004" w:rsidRPr="00D039E9">
        <w:rPr>
          <w:rFonts w:cs="Times"/>
          <w:noProof/>
          <w:vertAlign w:val="superscript"/>
          <w:lang w:val="en-CA"/>
        </w:rPr>
        <w:t>46–48</w:t>
      </w:r>
      <w:r w:rsidR="00025D4E" w:rsidRPr="00D039E9">
        <w:rPr>
          <w:rFonts w:cs="Times"/>
          <w:lang w:val="en-CA"/>
        </w:rPr>
        <w:fldChar w:fldCharType="end"/>
      </w:r>
      <w:r w:rsidRPr="00D039E9">
        <w:rPr>
          <w:rFonts w:cs="Times"/>
          <w:lang w:val="en-CA"/>
        </w:rPr>
        <w:t xml:space="preserve"> Their goal was to capture the non-specific interactions between biomolecules and solvent species, but the approach was limited by the language of stoichiometric binding applied to the modelling of such interactions.</w:t>
      </w:r>
      <w:r w:rsidR="00317D55" w:rsidRPr="00D039E9">
        <w:rPr>
          <w:rFonts w:cs="Times"/>
          <w:lang w:val="en-CA"/>
        </w:rPr>
        <w:fldChar w:fldCharType="begin" w:fldLock="1"/>
      </w:r>
      <w:r w:rsidR="003E67FA" w:rsidRPr="00D039E9">
        <w:rPr>
          <w:rFonts w:cs="Times"/>
          <w:lang w:val="en-CA"/>
        </w:rPr>
        <w:instrText>ADDIN CSL_CITATION { "citationItems" : [ { "id" : "ITEM-1",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"ITEM-1",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"id" : "ITEM-2", "itemData" : { "DOI" : "10.1063/1.1806402", "ISSN" : "00219606", "PMID" : "15527383", "abstract" : "Cosolvents added to aqueous solutions of biomolecules profoundly affect protein stability, as well as biochemical equilibria. Some cosolvents, such as urea and guanidine hydrochloride, denature proteins, whereas others, such as osmolytes and crowders, stabilize the native structures of proteins. The way cosolvents interact with biomolecules is crucial information required to understand the cosolvent effect at a molecular level. We present a statistical mechanical framework based upon Kirkwood-Buff theory, which enables one to extract this picture from experimental data. The combination of two experimental results, namely, the cosolvent-induced equilibrium shift and the partial molar volume change upon the reaction, supplimented by the structural change, is shown to yield the number of water and cosolvent molecules bound or released during a reaction. Previously, denaturation experiments (e.g., m-value analysis) were analyzed by empirical and stoichiometric solvent-binding models, while the effects of osmolytes and crowders were analyzed by the approximate molecular crowding approach for low cosolvent concentration. Here we synthesize these previous approaches in a rigorous statistical mechanical treatment, which is applicable at any cosolvent concentration. The usefulness and accuracy of previous approaches was also evaluated.", "author" : [ { "dropping-particle" : "", "family" : "Shimizu", "given" : "Seishi", "non-dropping-particle" : "", "parse-names" : false, "suffix" : "" }, { "dropping-particle" : "", "family" : "Boon", "given" : "Chandra L.", "non-dropping-particle" : "", "parse-names" : false, "suffix" : "" } ], "container-title" : "Journal of Chemical Physics", "id" : "ITEM-2", "issue" : "18", "issued" : { "date-parts" : [ [ "2004" ] ] }, "page" : "9147-9155", "title" : "The Kirkwood-Buff theory and the effect of cosolvents on biochemical reactions", "type" : "article-journal", "volume" : "121" }, "uris" : [ "http://www.mendeley.com/documents/?uuid=773d4c28-f2d5-421b-a5a5-0066df199fbe" ] }, { "id" : "ITEM-3", "itemData" : { "DOI" : "10.1039/c3cp53791a", "ISBN" : "1463-9076", "ISSN" : "1463-9084", "PMID" : "24189644", "abstract" : "Hydrophobic drugs can often be solubilized by the addition of hydrotropes. We have previously shown that preferential drug-hydrotrope association is one of the major factors of increased solubility (but not \"hydrotrope clustering\" or changes in \"water structure\"). How, then, can we understand this drug-hydrotrope interaction at a molecular level? Thermodynamic models based upon stoichiometric solute-water and solute-hydrotrope binding have long been used to understand solubilization microscopically. Such binding models have shown that the solvation numbers or coordination numbers of the water and hydrotrope molecules around the drug solute is the key quantity for solute-water and solute-hydrotrope interaction. However, we show that a rigorous statistical thermodynamic theory (the fluctuation solution theory originated by Kirkwood and Buff) requires the total reconsideration of such a paradigm. Here we show that (i) the excess solvation number (the net increase or decrease, relative to the bulk, of the solvent molecules around the solute), not the coordination number, is the key quantity for describing the solute-hydrotrope interaction; (ii) solute-hydrotrope binding is beyond the reach of the stoichiometric models because long-range solvation structure plays an important role.", "author" : [ { "dropping-particle" : "", "family" : "Shimizu", "given" : "Seishi", "non-dropping-particle" : "", "parse-names" : false, "suffix" : "" }, { "dropping-particle" : "", "family" : "Booth", "given" : "Jonathan J", "non-dropping-particle" : "", "parse-names" : false, "suffix" : "" }, { "dropping-particle" : "", "family" : "Abbott", "given" : "Steven", "non-dropping-particle" : "", "parse-names" : false, "suffix" : "" } ], "container-title" : "Physical chemistry chemical physics : PCCP", "id" : "ITEM-3", "issue" : "47", "issued" : { "date-parts" : [ [ "2013" ] ] }, "page" : "20625-20632", "title" : "Hydrotropy: binding models vs. statistical thermodynamics.", "type" : "article-journal", "volume" : "15" }, "uris" : [ "http://www.mendeley.com/documents/?uuid=d239f09f-553e-48eb-882f-c22d5aa8ac8c" ] }, { "id" : "ITEM-4",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"ITEM-4",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"mendeley" : { "formattedCitation" : "&lt;sup&gt;11,12,16,22&lt;/sup&gt;", "plainTextFormattedCitation" : "11,12,16,22", "previouslyFormattedCitation" : "&lt;sup&gt;11,12,16,22&lt;/sup&gt;" }, "properties" : { "noteIndex" : 0 }, "schema" : "https://github.com/citation-style-language/schema/raw/master/csl-citation.json" }</w:instrText>
      </w:r>
      <w:r w:rsidR="00317D55" w:rsidRPr="00D039E9">
        <w:rPr>
          <w:rFonts w:cs="Times"/>
          <w:lang w:val="en-CA"/>
        </w:rPr>
        <w:fldChar w:fldCharType="separate"/>
      </w:r>
      <w:r w:rsidR="003E67FA" w:rsidRPr="00D039E9">
        <w:rPr>
          <w:rFonts w:cs="Times"/>
          <w:noProof/>
          <w:vertAlign w:val="superscript"/>
          <w:lang w:val="en-CA"/>
        </w:rPr>
        <w:t>11,12,16,22</w:t>
      </w:r>
      <w:r w:rsidR="00317D55" w:rsidRPr="00D039E9">
        <w:rPr>
          <w:rFonts w:cs="Times"/>
          <w:lang w:val="en-CA"/>
        </w:rPr>
        <w:fldChar w:fldCharType="end"/>
      </w:r>
      <w:r w:rsidRPr="00D039E9">
        <w:rPr>
          <w:rFonts w:cs="Times"/>
          <w:lang w:val="en-CA"/>
        </w:rPr>
        <w:t xml:space="preserve"> The motivation and limitation have subsequently been shared by food scientists working on fla</w:t>
      </w:r>
      <w:r w:rsidR="006B3028" w:rsidRPr="00D039E9">
        <w:rPr>
          <w:rFonts w:cs="Times"/>
          <w:lang w:val="en-CA"/>
        </w:rPr>
        <w:t xml:space="preserve">vour-biomolecule interactions. </w:t>
      </w:r>
      <w:r w:rsidRPr="00D039E9">
        <w:rPr>
          <w:rFonts w:cs="Times"/>
          <w:lang w:val="en-CA"/>
        </w:rPr>
        <w:t>The contradiction between the nonspecific interactions and stoichiometric binding (based on the assumptions (i)-(iii)) led to many paradoxes and controversies in the study of protein thermodynamics, which has forced us to abandon the classical approach (see below).</w:t>
      </w:r>
      <w:r w:rsidR="00317D55" w:rsidRPr="00D039E9">
        <w:rPr>
          <w:rFonts w:cs="Times"/>
          <w:lang w:val="en-CA"/>
        </w:rPr>
        <w:fldChar w:fldCharType="begin" w:fldLock="1"/>
      </w:r>
      <w:r w:rsidR="003E67FA" w:rsidRPr="00D039E9">
        <w:rPr>
          <w:rFonts w:cs="Times"/>
          <w:lang w:val="en-CA"/>
        </w:rPr>
        <w:instrText>ADDIN CSL_CITATION { "citationItems" : [ { "id" : "ITEM-1",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"ITEM-1",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"id" : "ITEM-2", "itemData" : { "DOI" : "10.1063/1.1806402", "ISSN" : "00219606", "PMID" : "15527383", "abstract" : "Cosolvents added to aqueous solutions of biomolecules profoundly affect protein stability, as well as biochemical equilibria. Some cosolvents, such as urea and guanidine hydrochloride, denature proteins, whereas others, such as osmolytes and crowders, stabilize the native structures of proteins. The way cosolvents interact with biomolecules is crucial information required to understand the cosolvent effect at a molecular level. We present a statistical mechanical framework based upon Kirkwood-Buff theory, which enables one to extract this picture from experimental data. The combination of two experimental results, namely, the cosolvent-induced equilibrium shift and the partial molar volume change upon the reaction, supplimented by the structural change, is shown to yield the number of water and cosolvent molecules bound or released during a reaction. Previously, denaturation experiments (e.g., m-value analysis) were analyzed by empirical and stoichiometric solvent-binding models, while the effects of osmolytes and crowders were analyzed by the approximate molecular crowding approach for low cosolvent concentration. Here we synthesize these previous approaches in a rigorous statistical mechanical treatment, which is applicable at any cosolvent concentration. The usefulness and accuracy of previous approaches was also evaluated.", "author" : [ { "dropping-particle" : "", "family" : "Shimizu", "given" : "Seishi", "non-dropping-particle" : "", "parse-names" : false, "suffix" : "" }, { "dropping-particle" : "", "family" : "Boon", "given" : "Chandra L.", "non-dropping-particle" : "", "parse-names" : false, "suffix" : "" } ], "container-title" : "Journal of Chemical Physics", "id" : "ITEM-2", "issue" : "18", "issued" : { "date-parts" : [ [ "2004" ] ] }, "page" : "9147-9155", "title" : "The Kirkwood-Buff theory and the effect of cosolvents on biochemical reactions", "type" : "article-journal", "volume" : "121" }, "uris" : [ "http://www.mendeley.com/documents/?uuid=773d4c28-f2d5-421b-a5a5-0066df199fbe" ] }, { "id" : "ITEM-3", "itemData" : { "DOI" : "10.1039/c3cp53791a", "ISBN" : "1463-9076", "ISSN" : "1463-9084", "PMID" : "24189644", "abstract" : "Hydrophobic drugs can often be solubilized by the addition of hydrotropes. We have previously shown that preferential drug-hydrotrope association is one of the major factors of increased solubility (but not \"hydrotrope clustering\" or changes in \"water structure\"). How, then, can we understand this drug-hydrotrope interaction at a molecular level? Thermodynamic models based upon stoichiometric solute-water and solute-hydrotrope binding have long been used to understand solubilization microscopically. Such binding models have shown that the solvation numbers or coordination numbers of the water and hydrotrope molecules around the drug solute is the key quantity for solute-water and solute-hydrotrope interaction. However, we show that a rigorous statistical thermodynamic theory (the fluctuation solution theory originated by Kirkwood and Buff) requires the total reconsideration of such a paradigm. Here we show that (i) the excess solvation number (the net increase or decrease, relative to the bulk, of the solvent molecules around the solute), not the coordination number, is the key quantity for describing the solute-hydrotrope interaction; (ii) solute-hydrotrope binding is beyond the reach of the stoichiometric models because long-range solvation structure plays an important role.", "author" : [ { "dropping-particle" : "", "family" : "Shimizu", "given" : "Seishi", "non-dropping-particle" : "", "parse-names" : false, "suffix" : "" }, { "dropping-particle" : "", "family" : "Booth", "given" : "Jonathan J", "non-dropping-particle" : "", "parse-names" : false, "suffix" : "" }, { "dropping-particle" : "", "family" : "Abbott", "given" : "Steven", "non-dropping-particle" : "", "parse-names" : false, "suffix" : "" } ], "container-title" : "Physical chemistry chemical physics : PCCP", "id" : "ITEM-3", "issue" : "47", "issued" : { "date-parts" : [ [ "2013" ] ] }, "page" : "20625-20632", "title" : "Hydrotropy: binding models vs. statistical thermodynamics.", "type" : "article-journal", "volume" : "15" }, "uris" : [ "http://www.mendeley.com/documents/?uuid=d239f09f-553e-48eb-882f-c22d5aa8ac8c" ] }, { "id" : "ITEM-4",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"ITEM-4",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"mendeley" : { "formattedCitation" : "&lt;sup&gt;11,12,16,22&lt;/sup&gt;", "plainTextFormattedCitation" : "11,12,16,22", "previouslyFormattedCitation" : "&lt;sup&gt;11,12,16,22&lt;/sup&gt;" }, "properties" : { "noteIndex" : 0 }, "schema" : "https://github.com/citation-style-language/schema/raw/master/csl-citation.json" }</w:instrText>
      </w:r>
      <w:r w:rsidR="00317D55" w:rsidRPr="00D039E9">
        <w:rPr>
          <w:rFonts w:cs="Times"/>
          <w:lang w:val="en-CA"/>
        </w:rPr>
        <w:fldChar w:fldCharType="separate"/>
      </w:r>
      <w:r w:rsidR="003E67FA" w:rsidRPr="00D039E9">
        <w:rPr>
          <w:rFonts w:cs="Times"/>
          <w:noProof/>
          <w:vertAlign w:val="superscript"/>
          <w:lang w:val="en-CA"/>
        </w:rPr>
        <w:t>11,12,16,22</w:t>
      </w:r>
      <w:r w:rsidR="00317D55" w:rsidRPr="00D039E9">
        <w:rPr>
          <w:rFonts w:cs="Times"/>
          <w:lang w:val="en-CA"/>
        </w:rPr>
        <w:fldChar w:fldCharType="end"/>
      </w:r>
      <w:r w:rsidRPr="00D039E9">
        <w:rPr>
          <w:rFonts w:cs="Times"/>
          <w:lang w:val="en-CA"/>
        </w:rPr>
        <w:t xml:space="preserve">  Only fairly recently a unified theoretical framework has been established from a rigorous molecular thermodynamic theory.</w:t>
      </w:r>
      <w:r w:rsidR="00025D4E" w:rsidRPr="00D039E9">
        <w:rPr>
          <w:rFonts w:cs="Times"/>
          <w:lang w:val="en-CA"/>
        </w:rPr>
        <w:fldChar w:fldCharType="begin" w:fldLock="1"/>
      </w:r>
      <w:r w:rsidR="00C65F5C" w:rsidRPr="00D039E9">
        <w:rPr>
          <w:rFonts w:cs="Times"/>
          <w:lang w:val="en-CA"/>
        </w:rPr>
        <w:instrText>ADDIN CSL_CITATION { "citationItems" : [ { "id" : "ITEM-1",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"ITEM-1",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"id" : "ITEM-2", "itemData" : { "DOI" : "10.1063/1.1806402", "ISSN" : "00219606", "PMID" : "15527383", "abstract" : "Cosolvents added to aqueous solutions of biomolecules profoundly affect protein stability, as well as biochemical equilibria. Some cosolvents, such as urea and guanidine hydrochloride, denature proteins, whereas others, such as osmolytes and crowders, stabilize the native structures of proteins. The way cosolvents interact with biomolecules is crucial information required to understand the cosolvent effect at a molecular level. We present a statistical mechanical framework based upon Kirkwood-Buff theory, which enables one to extract this picture from experimental data. The combination of two experimental results, namely, the cosolvent-induced equilibrium shift and the partial molar volume change upon the reaction, supplimented by the structural change, is shown to yield the number of water and cosolvent molecules bound or released during a reaction. Previously, denaturation experiments (e.g., m-value analysis) were analyzed by empirical and stoichiometric solvent-binding models, while the effects of osmolytes and crowders were analyzed by the approximate molecular crowding approach for low cosolvent concentration. Here we synthesize these previous approaches in a rigorous statistical mechanical treatment, which is applicable at any cosolvent concentration. The usefulness and accuracy of previous approaches was also evaluated.", "author" : [ { "dropping-particle" : "", "family" : "Shimizu", "given" : "Seishi", "non-dropping-particle" : "", "parse-names" : false, "suffix" : "" }, { "dropping-particle" : "", "family" : "Boon", "given" : "Chandra L.", "non-dropping-particle" : "", "parse-names" : false, "suffix" : "" } ], "container-title" : "Journal of Chemical Physics", "id" : "ITEM-2", "issue" : "18", "issued" : { "date-parts" : [ [ "2004" ] ] }, "page" : "9147-9155", "title" : "The Kirkwood-Buff theory and the effect of cosolvents on biochemical reactions", "type" : "article-journal", "volume" : "121" }, "uris" : [ "http://www.mendeley.com/documents/?uuid=773d4c28-f2d5-421b-a5a5-0066df199fbe" ] }, { "id" : "ITEM-3", "itemData" : { "DOI" : "10.1063/1.2206174", "ISBN" : "0021-9606 (Print)\\r0021-9606 (Linking)", "ISSN" : "00219606", "PMID" : "16821951", "abstract" : "In order to understand the origin of the Hofmeister series, a statistical-mechanical analysis, based upon the Kirkwood-Buff (KB) theory, has been performed to extract information regarding protein hydration and water-mediated protein-salt interactions from published experimental data-preferential hydration and volumetric data for bovine serum albumin in the presence of a wide range of salts. The analysis showed a linear correlation between the preferential hydration parameter and the protein-cosolvent KB parameter. The same linear correlation holds even when nonelectrolyte cosolvents, such as polyethelene glycol, have been incorporated. These results suggest that the Hofmeister series is due to a wide variation of the water-mediated protein-cosolvent interaction (but not the change of protein hydration) and that this mechanism is a special case of a more general scenario common even to the macromolecular crowding.", "author" : [ { "dropping-particle" : "", "family" : "Shimizu", "given" : "Seishi", "non-dropping-particle" : "", "parse-names" : false, "suffix" : "" }, { "dropping-particle" : "", "family" : "McLaren", "given" : "William M.", "non-dropping-particle" : "", "parse-names" : false, "suffix" : "" }, { "dropping-particle" : "", "family" : "Matubayasi", "given" : "Nobuyuki", "non-dropping-particle" : "", "parse-names" : false, "suffix" : "" } ], "container-title" : "Journal of Chemical Physics", "id" : "ITEM-3", "issue" : "23", "issued" : { "date-parts" : [ [ "2006" ] ] }, "page" : "234905/1-234905/4", "title" : "The Hofmeister series and protein-salt interactions", "type" : "article-journal", "volume" : "124" }, "uris" : [ "http://www.mendeley.com/documents/?uuid=0a70a1b5-2739-4d43-a695-db256c211fdf" ] }, { "id" : "ITEM-4", "itemData" : { "DOI" : "10.1016/j.cplett.2011.08.038", "ISSN" : "00092614", "abstract" : "Various cosolvents are known to modulate the thermal stability of the proteins. To understand its molecular origin, a statistical thermodynamic analysis, based upon the Kirkwood-Buff (KB) theory, has been performed to obtain information regarding the accumulation or depletion of solvent molecules around proteins, based upon published experimental data. The analysis shows the dominant importance of cosolvent's accumulation or depletion around the proteins, whereas the role of protein hydration is minor. ?? 2011 Elsevier B.V. All rights reserved.", "author" : [ { "dropping-particle" : "", "family" : "Shimizu", "given" : "Seishi", "non-dropping-particle" : "", "parse-names" : false, "suffix" : "" } ], "container-title" : "Chemical Physics Letters", "id" : "ITEM-4", "issue" : "1-3", "issued" : { "date-parts" : [ [ "2011" ] ] }, "page" : "156-158", "publisher" : "Elsevier B.V.", "title" : "Molecular origin of the cosolvent-induced changes in the thermal stability of proteins", "type" : "article-journal", "volume" : "514" }, "uris" : [ "http://www.mendeley.com/documents/?uuid=f72a9936-cbbc-4fe0-8a8f-d5f1c1425260" ] }, { "id" : "ITEM-5", "itemData" : { "DOI" : "10.1021/jp309819r", "ISBN" : "1520-6106", "ISSN" : "15205207", "PMID" : "23236952", "abstract" : "Drugs that are poorly soluble in water can be solubilized by the addition of hydrotropes. Albeit known for almost a century, how they work at a molecular basis is still controversial due to the lack of a rigorous theoretical basis. To clear up this situation, a combination of experimental data and Fluctuation Theory of Solutions (FTS) has been employed; information on the interactions between all the molecular species present in the solution has been evaluated directly. FTS has identified two major factors of hydrotrope-induced solubilization: preferential hydrotrope-solute interaction and water activity depression. The former is dominated by hydrotrope-solute association, and the latter is enhanced by ionic dissociation and hindered by the self-aggregation of the hydrotropes. Moreover, in stark contrast to previous hypotheses, neither the change of solute hydration nor the water structure accounts for hydrotropy. Indeed, the rigorous FTS poses serious doubts over the other common hypothesis: self-aggregation of the hydrotrope hinders, rather than promotes, solubilization.", "author" : [ { "dropping-particle" : "", "family" : "Booth", "given" : "Jonathan J.", "non-dropping-particle" : "", "parse-names" : false, "suffix" : "" }, { "dropping-particle" : "", "family" : "Abbott", "given" : "Steven", "non-dropping-particle" : "", "parse-names" : false, "suffix" : "" }, { "dropping-particle" : "", "family" : "Shimizu", "given" : "Seishi", "non-dropping-particle" : "", "parse-names" : false, "suffix" : "" } ], "container-title" : "Journal of Physical Chemistry B", "id" : "ITEM-5", "issue" : "51", "issued" : { "date-parts" : [ [ "2012" ] ] }, "page" : "14915-14921", "title" : "Mechanism of hydrophobic drug solubilization by small molecule hydrotropes", "type" : "article-journal", "volume" : "116" }, "uris" : [ "http://www.mendeley.com/documents/?uuid=33c3cbc9-707a-4097-91a4-e91008bc3dd6" ] }, { "id" : "ITEM-6", "itemData" : { "DOI" : "10.1039/c3cp53791a", "ISBN" : "1463-9076", "ISSN" : "1463-9084", "PMID" : "24189644", "abstract" : "Hydrophobic drugs can often be solubilized by the addition of hydrotropes. We have previously shown that preferential drug-hydrotrope association is one of the major factors of increased solubility (but not \"hydrotrope clustering\" or changes in \"water structure\"). How, then, can we understand this drug-hydrotrope interaction at a molecular level? Thermodynamic models based upon stoichiometric solute-water and solute-hydrotrope binding have long been used to understand solubilization microscopically. Such binding models have shown that the solvation numbers or coordination numbers of the water and hydrotrope molecules around the drug solute is the key quantity for solute-water and solute-hydrotrope interaction. However, we show that a rigorous statistical thermodynamic theory (the fluctuation solution theory originated by Kirkwood and Buff) requires the total reconsideration of such a paradigm. Here we show that (i) the excess solvation number (the net increase or decrease, relative to the bulk, of the solvent molecules around the solute), not the coordination number, is the key quantity for describing the solute-hydrotrope interaction; (ii) solute-hydrotrope binding is beyond the reach of the stoichiometric models because long-range solvation structure plays an important role.", "author" : [ { "dropping-particle" : "", "family" : "Shimizu", "given" : "Seishi", "non-dropping-particle" : "", "parse-names" : false, "suffix" : "" }, { "dropping-particle" : "", "family" : "Booth", "given" : "Jonathan J", "non-dropping-particle" : "", "parse-names" : false, "suffix" : "" }, { "dropping-particle" : "", "family" : "Abbott", "given" : "Steven", "non-dropping-particle" : "", "parse-names" : false, "suffix" : "" } ], "container-title" : "Physical chemistry chemical physics : PCCP", "id" : "ITEM-6", "issue" : "47", "issued" : { "date-parts" : [ [ "2013" ] ] }, "page" : "20625-20632", "title" : "Hydrotropy: binding models vs. statistical thermodynamics.", "type" : "article-journal", "volume" : "15" }, "uris" : [ "http://www.mendeley.com/documents/?uuid=d239f09f-553e-48eb-882f-c22d5aa8ac8c" ] }, { "id" : "ITEM-7",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"ITEM-7", "issue" : "14", "issued" : { "date-parts" : [ [ "2014" ] ] }, "page" : "3922-3930", "title" : "Preferential solvation: Dividing surface vs excess numbers", "type" : "article-journal", "volume" : "118" }, "uris" : [ "http://www.mendeley.com/documents/?uuid=896fec6b-354e-41cd-a8de-55bd371a22f5" ] }, { "id" : "ITEM-8", "itemData" : { "DOI" : "10.1021/jp505869m", "ISBN" : "1520-5207 (Electronic)\\r1520-5207 (Linking)", "ISSN" : "15205207", "PMID" : "25144510", "abstract" : "Drug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 "author" : [ { "dropping-particle" : "", "family" : "Shimizu", "given" : "Seishi", "non-dropping-particle" : "", "parse-names" : false, "suffix" : "" }, { "dropping-particle" : "", "family" : "Matubayasi", "given" : "Nobuyuki", "non-dropping-particle" : "", "parse-names" : false, "suffix" : "" } ], "container-title" : "Journal of Physical Chemistry B", "id" : "ITEM-8", "issue" : "35", "issued" : { "date-parts" : [ [ "2014" ] ] }, "page" : "10515-10524", "title" : "Hydrotropy: Monomer-micelle equilibrium and minimum hydrotrope concentration", "type" : "article-journal", "volume" : "118" }, "uris" : [ "http://www.mendeley.com/documents/?uuid=0cd1508f-d197-4e8d-a474-504cfaeae922" ] }, { "id" : "ITEM-9", "itemData" : { "DOI" : "10.1021/jp509099h", "ISSN" : "15205207", "PMID" : "25375260", "abstract" : "Gelation is enhanced by the addition of sugars and polyols. How, at a microscopic level, do such cosolvents enhance gelation? The following two different hypotheses have been proposed so far to answer this question: (i) enhancement of water structure around the biopolymer induced by cosolvents; (ii) exclusion of cosolvents from biopolymer surfaces. To examine the validity of the above hypotheses, as well as to quantify the driving forces of cosolvent-induced gelation, we have constructed a statistical thermodynamic theory of gelation, by extending our Kirkwood-Buff theory of cosolvency; biopolymer-water and biopolymer-cosolvent interactions can both be determined from thermodynamic data. The exclusion of cosolvents is shown to be the dominant contribution, whereas the hydration change is a minor contribution, which may be important only so far as to mediate the exclusion of cosolvents.", "author" : [ { "dropping-particle" : "", "family" : "Shimizu", "given" : "Seishi", "non-dropping-particle" : "", "parse-names" : false, "suffix" : "" }, { "dropping-particle" : "", "family" : "Matubayasi", "given" : "Nobuyuki", "non-dropping-particle" : "", "parse-names" : false, "suffix" : "" } ], "container-title" : "Journal of Physical Chemistry B", "id" : "ITEM-9", "issue" : "46", "issued" : { "date-parts" : [ [ "2014" ] ] }, "page" : "13210-13216", "title" : "Gelation: The role of sugars and polyols on gelatin and agarose", "type" : "article-journal", "volume" : "118" }, "uris" : [ "http://www.mendeley.com/documents/?uuid=3f487fe1-7c16-485b-971c-d2e69e2da704" ] }, { "id" : "ITEM-10", "itemData" : { "DOI" : "10.1039/C4CP05414H", "ISBN" : "1463-9084", "ISSN" : "1463-9076", "abstract" : "Nicotinamide is an effective non-micellar hydrotrope (solubilizer) for drugs with low aqueous solubility. To clarify the molecular basis of nicotinamide's hydrotropic effectiveness, we present here a rigorous statistical thermodynamic theory, based on the Kirkwood-Buff theory of solutions, and our recent application of it to hydrotropy. We have shown that (i) nicotinamide self-association reduces solubilization efficiency, contrary to the previous hypothesis which claimed that self-association drives solubilization and (ii) the minimum hydrotrope concentration (MHC), namely, the threshold concentration above which solubility suddenly increases, is caused not by the bulk-phase self-association of nicotinamides as has been postulated previously, but by the enhancement of nicotinamide-nicotinamide interaction around the drug molecules. We have thus established a new view of hydrotropy - it is nicotinamide's non-stoichiometric accumulation around the drug that is the basis of solubility increase above MHC.[on SciFinder (R)]", "author" : [ { "dropping-particle" : "", "family" : "Booth", "given" : "Jonathan J", "non-dropping-particle" : "", "parse-names" : false, "suffix" : "" }, { "dropping-particle" : "", "family" : "Omar", "given" : "Muhiadin", "non-dropping-particle" : "", "parse-names" : false, "suffix" : "" }, { "dropping-particle" : "", "family" : "Abbott", "given" : "Steven", "non-dropping-particle" : "", "parse-names" : false, "suffix" : "" }, { "dropping-particle" : "", "family" : "Shimizu", "given" : "Seishi", "non-dropping-particle" : "", "parse-names" : false, "suffix" : "" } ], "container-title" : "Phys Chem Chem Phys", "id" : "ITEM-10", "issue" : "12", "issued" : { "date-parts" : [ [ "2015" ] ] }, "page" : "8028-8037", "publisher" : "Royal Society of Chemistry", "title" : "Hydrotrope accumulation around the drug: the driving force for solubilization and minimum hydrotrope concentration for nicotinamide and urea", "type" : "article-journal", "volume" : "17" }, "uris" : [ "http://www.mendeley.com/documents/?uuid=5c6e1dca-c577-4d43-8836-d1f313635128" ] }, { "id" : "ITEM-11", "itemData" : { "DOI" : "10.1016/j.foodhyd.2015.10.007", "ISSN" : "0268005X", "abstract" : "The gelation of ??-carrageenan, a common polysaccharide for food gelling and thickening, is enhanced by the addition of sugars and polyols. Three different hypotheses have been proposed to explain this phenomenon: (i) the enhancement of the water structure around polysaccharides, and the concurrent change in polysaccharide hydration, induced by the cosolvent; (ii) exclusion of cosolvents from polysaccharide surfaces; (iii) binding between sugars/polyols and polysaccharides in the gel phase. To examine the above hypotheses, as well as to reveal the true driving forces responsible for gelation enhancement, we applied our recent statistical thermodynamic theory of gelation, derived from the rigorous Kirkwood-Buff theory. The hydration change is shown to be negligibly small relative to cosolvent exclusion and cosolvent-biopolymer binding, which can be rationalized by considering a sol-gel equilibrium in which (1) the exclusion of sugars/polyols from ??-carrageenan's surface in the sol phase, and (2) the binding of sugars and polyols in the gel phase, shift the sol-gel equilibrium of ??-carrageenan to the gel state. This novel picture is consistent with a wealth of experimental evidence and provides a mechanistic insight into how polyol and sugar cosolvents influence the gelation of ??-carrageenan on a molecular level.", "author" : [ { "dropping-particle" : "", "family" : "Stenner", "given" : "Richard", "non-dropping-particle" : "", "parse-names" : false, "suffix" : "" }, { "dropping-particle" : "", "family" : "Matubayasi", "given" : "Nobuyuki", "non-dropping-particle" : "", "parse-names" : false, "suffix" : "" }, { "dropping-particle" : "", "family" : "Shimizu", "given" : "Seishi", "non-dropping-particle" : "", "parse-names" : false, "suffix" : "" } ], "container-title" : "Food Hydrocolloids", "id" : "ITEM-11", "issued" : { "date-parts" : [ [ "2016" ] ] }, "page" : "284-292", "publisher" : "Elsevier Ltd", "title" : "Gelation of carrageenan: Effects of sugars and polyols", "type" : "article-journal", "volume" : "54" }, "uris" : [ "http://www.mendeley.com/documents/?uuid=1ba0dc87-aef9-4f66-a843-a82ff360fd80" ] }, { "id" : "ITEM-12",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"ITEM-12",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"id" : "ITEM-13", "itemData" : { "abstract" : "A major difficulty often encountered when the effects of cosolvents on the structure of biomolecules is studied by computer simulation is an inability to relate the simulation results to experimental thermodynamic data. In the absence of such a link, one cannot even determine the quality of the force field being used. Here we describe how quantitative thermodynamic data can be extracted from a computer simulation of a biomolecule in a cosolvent solution, and exactly how this is related to the corresponding experimental data. The approach involves a combination of the concept of preferential interactions and the use of Kirkwood?Buff theory to evaluate these interactions from simulation data. In particular, special attention is focused on the approximations made, the choice of activity scale for the biomolecule and cosolvent, and the use of the indistinguishable ion approach for the analysis of salt effects. The appropriate experimental thermodynamic data (volume fractions and activity derivatives) are provided for aqueous solutions of urea, guanidinium chloride, sodium chloride and 2,2,2,-trifluoroethanol. It is suggested that a determination of the simulated preferential interaction of a cosolvent with the native state of a protein under denaturing conditions provides the simplest test of available force fields, as it avoids simulations of the denatured state which are typically inaccessible with current computer power.\\nA major difficulty often encountered when the effects of cosolvents on the structure of biomolecules is studied by computer simulation is an inability to relate the simulation results to experimental thermodynamic data. In the absence of such a link, one cannot even determine the quality of the force field being used. Here we describe how quantitative thermodynamic data can be extracted from a computer simulation of a biomolecule in a cosolvent solution, and exactly how this is related to the corresponding experimental data. The approach involves a combination of the concept of preferential interactions and the use of Kirkwood?Buff theory to evaluate these interactions from simulation data. In particular, special attention is focused on the approximations made, the choice of activity scale for the biomolecule and cosolvent, and the use of the indistinguishable ion approach for the analysis of salt effects. The appropriate experimental thermodynamic data (volume fractions and activity derivatives) are provided for aqueous solutions of ur\u2026", "author" : [ { "dropping-particle" : "", "family" : "Smith", "given" : "Paul E.", "non-dropping-particle" : "", "parse-names" : false, "suffix" : "" } ], "container-title" : "Journal of Physical Chemistry B", "id" : "ITEM-13", "issue" : "48", "issued" : { "date-parts" : [ [ "2004", "12", "2" ] ] }, "page" : "18716-18724", "title" : "Cosolvent interactions with biomolecules: Relating computer simulation data to experimental thermodynamic data", "type" : "article-journal", "volume" : "108" }, "uris" : [ "http://www.mendeley.com/documents/?uuid=16db6586-5e10-48af-820c-5339cad79c8b" ] }, { "id" : "ITEM-14", "itemData" : { "DOI" : "10.1063/1.2011388", "ISSN" : "00219606", "PMID" : "16108695", "abstract" : "In the present paper a procedure to calculate the properties of proteins in aqueous mixed solvents, particularly the excesses of the constituents of the mixed solvent near the protein molecule and the preferential binding parameters, is suggested. Expressions for the Kirkwood-Buff integrals in ternary mixtures and for the preferential binding parameter were derived and used to calculate various properties of infinitely dilute proteins in aqueous mixed solvents. The derived expressions and experimental information regarding the partial molar volumes and the preferential binding parameters were used to calculate the excesses (deficits) of water and cosolvent (in comparison with the bulk concentrations of protein-free mixed solvent) in the vicinity of ribonuclease A, ribonuclease T1, and lysozyme molecules. The calculations showed that water was in excess in the vicinity of ribonuclease A for water/glycerol and water/trehalose mixtures, and the cosolvent urea was in excess in the vicinity of ribonuclease T1 and lysozyme. The derivative of the activity coefficient of the protein with respect to the mole fraction of water was also calculated. This derivative was negative for the water/glycerol and water/trehalose mixed solvents and positive for the water/urea mixture. The mixture of lysozyme in the water/urea solvent is of particular interest, because the lysozyme at pH 7.0 is in its native state up to 9.3M urea, while at pH 2.0 it is denaturated between 2.5 and 5M and higher concentrations of urea. Our results demonstrated a striking similarity in the hydration of lysozyme at both pHs. It is worthwhile to note that the excesses of urea were only weakly composition dependent on both cases.", "author" : [ { "dropping-particle" : "", "family" : "Shulgin", "given" : "Ivan L", "non-dropping-particle" : "", "parse-names" : false, "suffix" : "" }, { "dropping-particle" : "", "family" : "Ruckenstein", "given" : "Eli", "non-dropping-particle" : "", "parse-names" : false, "suffix" : "" } ], "container-title" : "Journal of Chemical Physics", "id" : "ITEM-14", "issue" : "5", "issued" : { "date-parts" : [ [ "2005" ] ] }, "page" : "054909/1-054909/9", "title" : "A protein molecule in an aqueous mixed solvent: Fluctuation theory outlook", "type" : "article-journal", "volume" : "123" }, "uris" : [ "http://www.mendeley.com/documents/?uuid=277b2516-18c8-4064-8993-76ed73d49386" ] }, { "id" : "ITEM-15", "itemData" : { "abstract" : "The effect of cosolvents on biomolecular equilibria has traditionally been rationalized using simple binding models. More recently, a renewed interest in the use of Kirkwood-Buff (KB) theory to analyze solution mixtures has provided new information on the effects of osmolytes and denaturants and their interactions with biomolecules. Here we review the status of KB theory as applied to biological systems. In particular, the existing models of denaturation are analyzed in terms of KB theory, and the use of KB theory to interpret computer simulation data for these systems is discussed.", "author" : [ { "dropping-particle" : "", "family" : "Pierce", "given" : "Veronica", "non-dropping-particle" : "", "parse-names" : false, "suffix" : "" }, { "dropping-particle" : "", "family" : "Kang", "given" : "Myungshim", "non-dropping-particle" : "", "parse-names" : false, "suffix" : "" }, { "dropping-particle" : "", "family" : "Aburi", "given" : "Mahalaxmi", "non-dropping-particle" : "", "parse-names" : false, "suffix" : "" }, { "dropping-particle" : "", "family" : "Weerasinghe", "given" : "Samantha", "non-dropping-particle" : "", "parse-names" : false, "suffix" : "" }, { "dropping-particle" : "", "family" : "Smith", "given" : "Paul E.", "non-dropping-particle" : "", "parse-names" : false, "suffix" : "" } ], "container-title" : "Cell Biochemistry and Biophysics", "id" : "ITEM-15", "issue" : "1", "issued" : { "date-parts" : [ [ "2008", "1" ] ] }, "page" : "1-22", "title" : "Recent applications of Kirkwood-Buff theory to biological systems", "type" : "article", "volume" : "50" }, "uris" : [ "http://www.mendeley.com/documents/?uuid=aa149a7f-d08e-4339-a421-d51cf9a0ed4e" ] } ], "mendeley" : { "formattedCitation" : "&lt;sup&gt;11\u201322,49\u201351&lt;/sup&gt;", "plainTextFormattedCitation" : "11\u201322,49\u201351", "previouslyFormattedCitation" : "&lt;sup&gt;11\u201322,49\u201351&lt;/sup&gt;" }, "properties" : { "noteIndex" : 0 }, "schema" : "https://github.com/citation-style-language/schema/raw/master/csl-citation.json" }</w:instrText>
      </w:r>
      <w:r w:rsidR="00025D4E" w:rsidRPr="00D039E9">
        <w:rPr>
          <w:rFonts w:cs="Times"/>
          <w:lang w:val="en-CA"/>
        </w:rPr>
        <w:fldChar w:fldCharType="separate"/>
      </w:r>
      <w:r w:rsidR="00BB3004" w:rsidRPr="00D039E9">
        <w:rPr>
          <w:rFonts w:cs="Times"/>
          <w:noProof/>
          <w:vertAlign w:val="superscript"/>
          <w:lang w:val="en-CA"/>
        </w:rPr>
        <w:t>11–22,49–51</w:t>
      </w:r>
      <w:r w:rsidR="00025D4E" w:rsidRPr="00D039E9">
        <w:rPr>
          <w:rFonts w:cs="Times"/>
          <w:lang w:val="en-CA"/>
        </w:rPr>
        <w:fldChar w:fldCharType="end"/>
      </w:r>
      <w:r w:rsidRPr="00D039E9">
        <w:rPr>
          <w:rFonts w:cs="Times"/>
          <w:lang w:val="en-CA"/>
        </w:rPr>
        <w:t xml:space="preserve"> </w:t>
      </w:r>
    </w:p>
    <w:p w14:paraId="62B29947" w14:textId="77777777" w:rsidR="003872DB" w:rsidRPr="00D039E9" w:rsidRDefault="003872DB" w:rsidP="003872DB">
      <w:pPr>
        <w:pStyle w:val="TAMainText"/>
        <w:ind w:firstLine="0"/>
        <w:rPr>
          <w:rFonts w:cs="Times"/>
          <w:lang w:val="en-CA"/>
        </w:rPr>
      </w:pPr>
    </w:p>
    <w:p w14:paraId="78AF18EC" w14:textId="123856CC" w:rsidR="003872DB" w:rsidRPr="00D039E9" w:rsidRDefault="003872DB" w:rsidP="003872DB">
      <w:pPr>
        <w:pStyle w:val="TAMainText"/>
        <w:rPr>
          <w:lang w:val="en-CA"/>
        </w:rPr>
      </w:pPr>
      <w:r w:rsidRPr="00D039E9">
        <w:rPr>
          <w:lang w:val="en-CA"/>
        </w:rPr>
        <w:t>We advocate instead this new approach, which can describe flavour-macromolecule interactions without</w:t>
      </w:r>
      <w:r w:rsidR="00482477" w:rsidRPr="00D039E9">
        <w:rPr>
          <w:lang w:val="en-CA"/>
        </w:rPr>
        <w:t xml:space="preserve"> the</w:t>
      </w:r>
      <w:r w:rsidRPr="00D039E9">
        <w:rPr>
          <w:lang w:val="en-CA"/>
        </w:rPr>
        <w:t xml:space="preserve"> need for any of </w:t>
      </w:r>
      <w:r w:rsidR="00482477" w:rsidRPr="00D039E9">
        <w:rPr>
          <w:lang w:val="en-CA"/>
        </w:rPr>
        <w:t>t</w:t>
      </w:r>
      <w:r w:rsidRPr="00D039E9">
        <w:rPr>
          <w:lang w:val="en-CA"/>
        </w:rPr>
        <w:t xml:space="preserve">he above assumptions. The advantages of the new approach are </w:t>
      </w:r>
    </w:p>
    <w:p w14:paraId="705C17A8" w14:textId="160849E7" w:rsidR="003872DB" w:rsidRPr="00D039E9" w:rsidRDefault="003872DB" w:rsidP="007F05BE">
      <w:pPr>
        <w:pStyle w:val="TAMainText"/>
        <w:numPr>
          <w:ilvl w:val="0"/>
          <w:numId w:val="15"/>
        </w:numPr>
        <w:rPr>
          <w:lang w:val="en-CA"/>
        </w:rPr>
      </w:pPr>
      <w:r w:rsidRPr="00D039E9">
        <w:rPr>
          <w:lang w:val="en-CA"/>
        </w:rPr>
        <w:t>it is free of models and assumptions, and has been derived directly from the first principles of molecular thermodynamics;</w:t>
      </w:r>
      <w:r w:rsidR="000E1056" w:rsidRPr="00D039E9">
        <w:rPr>
          <w:lang w:val="en-CA"/>
        </w:rPr>
        <w:fldChar w:fldCharType="begin" w:fldLock="1"/>
      </w:r>
      <w:r w:rsidR="00C65F5C" w:rsidRPr="00D039E9">
        <w:rPr>
          <w:lang w:val="en-CA"/>
        </w:rPr>
        <w:instrText>ADDIN CSL_CITATION { "citationItems" : [ { "id" : "ITEM-1",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"ITEM-1",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"id" : "ITEM-2", "itemData" : { "DOI" : "10.1063/1.1806402", "ISSN" : "00219606", "PMID" : "15527383", "abstract" : "Cosolvents added to aqueous solutions of biomolecules profoundly affect protein stability, as well as biochemical equilibria. Some cosolvents, such as urea and guanidine hydrochloride, denature proteins, whereas others, such as osmolytes and crowders, stabilize the native structures of proteins. The way cosolvents interact with biomolecules is crucial information required to understand the cosolvent effect at a molecular level. We present a statistical mechanical framework based upon Kirkwood-Buff theory, which enables one to extract this picture from experimental data. The combination of two experimental results, namely, the cosolvent-induced equilibrium shift and the partial molar volume change upon the reaction, supplimented by the structural change, is shown to yield the number of water and cosolvent molecules bound or released during a reaction. Previously, denaturation experiments (e.g., m-value analysis) were analyzed by empirical and stoichiometric solvent-binding models, while the effects of osmolytes and crowders were analyzed by the approximate molecular crowding approach for low cosolvent concentration. Here we synthesize these previous approaches in a rigorous statistical mechanical treatment, which is applicable at any cosolvent concentration. The usefulness and accuracy of previous approaches was also evaluated.", "author" : [ { "dropping-particle" : "", "family" : "Shimizu", "given" : "Seishi", "non-dropping-particle" : "", "parse-names" : false, "suffix" : "" }, { "dropping-particle" : "", "family" : "Boon", "given" : "Chandra L.", "non-dropping-particle" : "", "parse-names" : false, "suffix" : "" } ], "container-title" : "Journal of Chemical Physics", "id" : "ITEM-2", "issue" : "18", "issued" : { "date-parts" : [ [ "2004" ] ] }, "page" : "9147-9155", "title" : "The Kirkwood-Buff theory and the effect of cosolvents on biochemical reactions", "type" : "article-journal", "volume" : "121" }, "uris" : [ "http://www.mendeley.com/documents/?uuid=773d4c28-f2d5-421b-a5a5-0066df199fbe" ] }, { "id" : "ITEM-3",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"ITEM-3", "issue" : "14", "issued" : { "date-parts" : [ [ "2014" ] ] }, "page" : "3922-3930", "title" : "Preferential solvation: Dividing surface vs excess numbers", "type" : "article-journal", "volume" : "118" }, "uris" : [ "http://www.mendeley.com/documents/?uuid=896fec6b-354e-41cd-a8de-55bd371a22f5" ] }, { "id" : "ITEM-4",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"ITEM-4",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"id" : "ITEM-5", "itemData" : { "DOI" : "10.1063/1.1748352", "ISSN" : "0021-9606", "abstract" : "A general statistical mechanical theory of solutions is developed with the aid of the theory of composition fluctuations in the grand canonical ensemble. It is shown that the derivatives of the chemical potentials and osmotic pressure with respect to concentrations, the partial molar volumes, and compressibility may be expressed in terms of integrals of the radial distribution functions of the several types of molecular pairs present in the solution. Explicit coefficients of a q\u2010fraction expansion of the thermodynamic variables are presented in a detailed treatment of the two\u2010component system.", "author" : [ { "dropping-particle" : "", "family" : "Kirkwood", "given" : "John G.", "non-dropping-particle" : "", "parse-names" : false, "suffix" : "" }, { "dropping-particle" : "", "family" : "Buff", "given" : "Frank P.", "non-dropping-particle" : "", "parse-names" : false, "suffix" : "" } ], "container-title" : "The Journal of Chemical Physics", "id" : "ITEM-5", "issue" : "6", "issued" : { "date-parts" : [ [ "1951", "6" ] ] }, "page" : "774-777", "publisher" : "American Institute of PhysicsAIP", "title" : "The Statistical Mechanical Theory of Solutions. I", "type" : "article-journal", "volume" : "19" }, "uris" : [ "http://www.mendeley.com/documents/?uuid=50f5aa52-87c2-3362-9fc1-50cffb5e0f31" ] }, { "id" : "ITEM-6", "itemData" : { "DOI" : "10.1039/tf9716702516", "ISSN" : "0014-7672", "abstract" : "An alternative derivation of part of the Kirkwood-Buff theory of solutions, which uses essentially classical thermodynamic concepts is presented. This theory relates the thermodynamic properties of a solution to the integrals of the radial distribution functions of the various molecular pairs present. Useful expressions are derived for electrolyte solutions and for solutions of two and three components. Of particular importance are the general expression for the primary medium effect for a neutral electrolyte and the expression for the effect of one component on the solubility of another in a three component system, which shows how the theory can be used as a general basis for discussing hydrotropy and related phenomena.", "author" : [ { "dropping-particle" : "", "family" : "Hall", "given" : "D. G.", "non-dropping-particle" : "", "parse-names" : false, "suffix" : "" } ], "container-title" : "Transactions of the Faraday Society", "id" : "ITEM-6", "issue" : "0", "issued" : { "date-parts" : [ [ "1971" ] ] }, "page" : "2516", "publisher" : "The Royal Society of Chemistry", "title" : "Kirkwood-Buff theory of solutions. An alternative derivation of part of it and some applications", "type" : "article-journal", "volume" : "67" }, "uris" : [ "http://www.mendeley.com/documents/?uuid=f29dc205-be25-31b1-ab4c-c0d01d88246f" ] }, { "id" : "ITEM-7", "itemData" : { "DOI" : "10.1063/1.434669", "ISSN" : "0021-9606", "abstract" : "A general procedure is outlined whereby experimental data such as partial molar volumes, isothermal compressibilities, and partial vapor pressures may be processed to obtain information on the extent of the affinity between two species in a mixture of two (or more) components. A particular example of the water\u2013ethanol system is processed in this manner to obtain the quantities G\u03b1\u03b2 which are integrals over the pair correlation functions between two species \u03b1 and \u03b2. This information is relevant to several topics of interest in the field of aqueous solutions, such as the solvation of solutes, hydrophobic interactions, and structural changes in the solvent brought by the addition of solutes to water. More generally it may be used to characterize the properties of various mixtures on a molecular level.", "author" : [ { "dropping-particle" : "", "family" : "Ben\u2010Naim", "given" : "A.", "non-dropping-particle" : "", "parse-names" : false, "suffix" : "" } ], "container-title" : "The Journal of Chemical Physics", "id" : "ITEM-7", "issue" : "11", "issued" : { "date-parts" : [ [ "1977", "12" ] ] }, "page" : "4884-4890", "publisher" : "American Institute of PhysicsAIP", "title" : "Inversion of the Kirkwood\u2013Buff theory of solutions: Application to the water\u2013ethanol system", "type" : "article-journal", "volume" : "67" }, "uris" : [ "http://www.mendeley.com/documents/?uuid=81e02811-c8ed-3278-8ff2-693fe9432f12" ] }, { "id" : "ITEM-8", "itemData" : { "DOI" : "10.1039/CS9942300031", "ISSN" : "0306-0012", "abstract" : "No abstract available", "author" : [ { "dropping-particle" : "", "family" : "Newman", "given" : "Kenneth E.", "non-dropping-particle" : "", "parse-names" : false, "suffix" : "" } ], "container-title" : "Chem. Soc. Rev.", "id" : "ITEM-8", "issue" : "1", "issued" : { "date-parts" : [ [ "1994" ] ] }, "page" : "31-40", "publisher" : "The Royal Society of Chemistry", "title" : "Kirkwood\u2013Buff solution theory: derivation and applications", "type" : "article-journal", "volume" : "23" }, "uris" : [ "http://www.mendeley.com/documents/?uuid=4ba4106e-8081-3548-88ce-5332351b1d98" ] }, { "id" : "ITEM-9", "itemData" : { "abstract" : "A major difficulty often encountered when the effects of cosolvents on the structure of biomolecules is studied by computer simulation is an inability to relate the simulation results to experimental thermodynamic data. In the absence of such a link, one cannot even determine the quality of the force field being used. Here we describe how quantitative thermodynamic data can be extracted from a computer simulation of a biomolecule in a cosolvent solution, and exactly how this is related to the corresponding experimental data. The approach involves a combination of the concept of preferential interactions and the use of Kirkwood?Buff theory to evaluate these interactions from simulation data. In particular, special attention is focused on the approximations made, the choice of activity scale for the biomolecule and cosolvent, and the use of the indistinguishable ion approach for the analysis of salt effects. The appropriate experimental thermodynamic data (volume fractions and activity derivatives) are provided for aqueous solutions of urea, guanidinium chloride, sodium chloride and 2,2,2,-trifluoroethanol. It is suggested that a determination of the simulated preferential interaction of a cosolvent with the native state of a protein under denaturing conditions provides the simplest test of available force fields, as it avoids simulations of the denatured state which are typically inaccessible with current computer power.\\nA major difficulty often encountered when the effects of cosolvents on the structure of biomolecules is studied by computer simulation is an inability to relate the simulation results to experimental thermodynamic data. In the absence of such a link, one cannot even determine the quality of the force field being used. Here we describe how quantitative thermodynamic data can be extracted from a computer simulation of a biomolecule in a cosolvent solution, and exactly how this is related to the corresponding experimental data. The approach involves a combination of the concept of preferential interactions and the use of Kirkwood?Buff theory to evaluate these interactions from simulation data. In particular, special attention is focused on the approximations made, the choice of activity scale for the biomolecule and cosolvent, and the use of the indistinguishable ion approach for the analysis of salt effects. The appropriate experimental thermodynamic data (volume fractions and activity derivatives) are provided for aqueous solutions of ur\u2026", "author" : [ { "dropping-particle" : "", "family" : "Smith", "given" : "Paul E.", "non-dropping-particle" : "", "parse-names" : false, "suffix" : "" } ], "container-title" : "Journal of Physical Chemistry B", "id" : "ITEM-9", "issue" : "48", "issued" : { "date-parts" : [ [ "2004", "12", "2" ] ] }, "page" : "18716-18724", "title" : "Cosolvent interactions with biomolecules: Relating computer simulation data to experimental thermodynamic data", "type" : "article-journal", "volume" : "108" }, "uris" : [ "http://www.mendeley.com/documents/?uuid=16db6586-5e10-48af-820c-5339cad79c8b" ] }, { "id" : "ITEM-10", "itemData" : { "DOI" : "10.1063/1.2011388", "ISSN" : "00219606", "PMID" : "16108695", "abstract" : "In the present paper a procedure to calculate the properties of proteins in aqueous mixed solvents, particularly the excesses of the constituents of the mixed solvent near the protein molecule and the preferential binding parameters, is suggested. Expressions for the Kirkwood-Buff integrals in ternary mixtures and for the preferential binding parameter were derived and used to calculate various properties of infinitely dilute proteins in aqueous mixed solvents. The derived expressions and experimental information regarding the partial molar volumes and the preferential binding parameters were used to calculate the excesses (deficits) of water and cosolvent (in comparison with the bulk concentrations of protein-free mixed solvent) in the vicinity of ribonuclease A, ribonuclease T1, and lysozyme molecules. The calculations showed that water was in excess in the vicinity of ribonuclease A for water/glycerol and water/trehalose mixtures, and the cosolvent urea was in excess in the vicinity of ribonuclease T1 and lysozyme. The derivative of the activity coefficient of the protein with respect to the mole fraction of water was also calculated. This derivative was negative for the water/glycerol and water/trehalose mixed solvents and positive for the water/urea mixture. The mixture of lysozyme in the water/urea solvent is of particular interest, because the lysozyme at pH 7.0 is in its native state up to 9.3M urea, while at pH 2.0 it is denaturated between 2.5 and 5M and higher concentrations of urea. Our results demonstrated a striking similarity in the hydration of lysozyme at both pHs. It is worthwhile to note that the excesses of urea were only weakly composition dependent on both cases.", "author" : [ { "dropping-particle" : "", "family" : "Shulgin", "given" : "Ivan L", "non-dropping-particle" : "", "parse-names" : false, "suffix" : "" }, { "dropping-particle" : "", "family" : "Ruckenstein", "given" : "Eli", "non-dropping-particle" : "", "parse-names" : false, "suffix" : "" } ], "container-title" : "Journal of Chemical Physics", "id" : "ITEM-10", "issue" : "5", "issued" : { "date-parts" : [ [ "2005" ] ] }, "page" : "054909/1-054909/9", "title" : "A protein molecule in an aqueous mixed solvent: Fluctuation theory outlook", "type" : "article-journal", "volume" : "123" }, "uris" : [ "http://www.mendeley.com/documents/?uuid=277b2516-18c8-4064-8993-76ed73d49386" ] }, { "id" : "ITEM-11", "itemData" : { "abstract" : "The effect of cosolvents on biomolecular equilibria has traditionally been rationalized using simple binding models. More recently, a renewed interest in the use of Kirkwood-Buff (KB) theory to analyze solution mixtures has provided new information on the effects of osmolytes and denaturants and their interactions with biomolecules. Here we review the status of KB theory as applied to biological systems. In particular, the existing models of denaturation are analyzed in terms of KB theory, and the use of KB theory to interpret computer simulation data for these systems is discussed.", "author" : [ { "dropping-particle" : "", "family" : "Pierce", "given" : "Veronica", "non-dropping-particle" : "", "parse-names" : false, "suffix" : "" }, { "dropping-particle" : "", "family" : "Kang", "given" : "Myungshim", "non-dropping-particle" : "", "parse-names" : false, "suffix" : "" }, { "dropping-particle" : "", "family" : "Aburi", "given" : "Mahalaxmi", "non-dropping-particle" : "", "parse-names" : false, "suffix" : "" }, { "dropping-particle" : "", "family" : "Weerasinghe", "given" : "Samantha", "non-dropping-particle" : "", "parse-names" : false, "suffix" : "" }, { "dropping-particle" : "", "family" : "Smith", "given" : "Paul E.", "non-dropping-particle" : "", "parse-names" : false, "suffix" : "" } ], "container-title" : "Cell Biochemistry and Biophysics", "id" : "ITEM-11", "issue" : "1", "issued" : { "date-parts" : [ [ "2008", "1" ] ] }, "page" : "1-22", "title" : "Recent applications of Kirkwood-Buff theory to biological systems", "type" : "article", "volume" : "50" }, "uris" : [ "http://www.mendeley.com/documents/?uuid=aa149a7f-d08e-4339-a421-d51cf9a0ed4e" ] } ], "mendeley" : { "formattedCitation" : "&lt;sup&gt;11,12,17,22,49\u201355&lt;/sup&gt;", "plainTextFormattedCitation" : "11,12,17,22,49\u201355", "previouslyFormattedCitation" : "&lt;sup&gt;11,12,17,22,49\u201355&lt;/sup&gt;" }, "properties" : { "noteIndex" : 0 }, "schema" : "https://github.com/citation-style-language/schema/raw/master/csl-citation.json" }</w:instrText>
      </w:r>
      <w:r w:rsidR="000E1056" w:rsidRPr="00D039E9">
        <w:rPr>
          <w:lang w:val="en-CA"/>
        </w:rPr>
        <w:fldChar w:fldCharType="separate"/>
      </w:r>
      <w:r w:rsidR="00BB3004" w:rsidRPr="00D039E9">
        <w:rPr>
          <w:noProof/>
          <w:vertAlign w:val="superscript"/>
          <w:lang w:val="en-CA"/>
        </w:rPr>
        <w:t>11,12,17,22,49–55</w:t>
      </w:r>
      <w:r w:rsidR="000E1056" w:rsidRPr="00D039E9">
        <w:rPr>
          <w:lang w:val="en-CA"/>
        </w:rPr>
        <w:fldChar w:fldCharType="end"/>
      </w:r>
      <w:r w:rsidRPr="00D039E9">
        <w:rPr>
          <w:lang w:val="en-CA"/>
        </w:rPr>
        <w:t xml:space="preserve"> </w:t>
      </w:r>
    </w:p>
    <w:p w14:paraId="1804870A" w14:textId="66B40EA5" w:rsidR="003872DB" w:rsidRPr="00D039E9" w:rsidRDefault="003872DB" w:rsidP="003872DB">
      <w:pPr>
        <w:pStyle w:val="TAMainText"/>
        <w:numPr>
          <w:ilvl w:val="0"/>
          <w:numId w:val="15"/>
        </w:numPr>
        <w:rPr>
          <w:lang w:val="en-CA"/>
        </w:rPr>
      </w:pPr>
      <w:r w:rsidRPr="00D039E9">
        <w:rPr>
          <w:lang w:val="en-CA"/>
        </w:rPr>
        <w:t xml:space="preserve">it is able to quantify the non-specific, </w:t>
      </w:r>
      <w:r w:rsidR="002639C4" w:rsidRPr="00D039E9">
        <w:rPr>
          <w:lang w:val="en-CA"/>
        </w:rPr>
        <w:t xml:space="preserve">dynamic </w:t>
      </w:r>
      <w:r w:rsidRPr="00D039E9">
        <w:rPr>
          <w:lang w:val="en-CA"/>
        </w:rPr>
        <w:t>and long-ranged nature of flavour-biomolecule interactions through the use of molecular distribution functions;</w:t>
      </w:r>
      <w:r w:rsidR="00F54D1E" w:rsidRPr="00D039E9">
        <w:rPr>
          <w:lang w:val="en-CA"/>
        </w:rPr>
        <w:t xml:space="preserve"> </w:t>
      </w:r>
      <w:r w:rsidR="00F54D1E" w:rsidRPr="00D039E9">
        <w:rPr>
          <w:lang w:val="en-CA"/>
        </w:rPr>
        <w:fldChar w:fldCharType="begin" w:fldLock="1"/>
      </w:r>
      <w:r w:rsidR="00C65F5C" w:rsidRPr="00D039E9">
        <w:rPr>
          <w:lang w:val="en-CA"/>
        </w:rPr>
        <w:instrText>ADDIN CSL_CITATION { "citationItems" : [ { "id" : "ITEM-1",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"ITEM-1",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"id" : "ITEM-2", "itemData" : { "DOI" : "10.1063/1.1806402", "ISSN" : "00219606", "PMID" : "15527383", "abstract" : "Cosolvents added to aqueous solutions of biomolecules profoundly affect protein stability, as well as biochemical equilibria. Some cosolvents, such as urea and guanidine hydrochloride, denature proteins, whereas others, such as osmolytes and crowders, stabilize the native structures of proteins. The way cosolvents interact with biomolecules is crucial information required to understand the cosolvent effect at a molecular level. We present a statistical mechanical framework based upon Kirkwood-Buff theory, which enables one to extract this picture from experimental data. The combination of two experimental results, namely, the cosolvent-induced equilibrium shift and the partial molar volume change upon the reaction, supplimented by the structural change, is shown to yield the number of water and cosolvent molecules bound or released during a reaction. Previously, denaturation experiments (e.g., m-value analysis) were analyzed by empirical and stoichiometric solvent-binding models, while the effects of osmolytes and crowders were analyzed by the approximate molecular crowding approach for low cosolvent concentration. Here we synthesize these previous approaches in a rigorous statistical mechanical treatment, which is applicable at any cosolvent concentration. The usefulness and accuracy of previous approaches was also evaluated.", "author" : [ { "dropping-particle" : "", "family" : "Shimizu", "given" : "Seishi", "non-dropping-particle" : "", "parse-names" : false, "suffix" : "" }, { "dropping-particle" : "", "family" : "Boon", "given" : "Chandra L.", "non-dropping-particle" : "", "parse-names" : false, "suffix" : "" } ], "container-title" : "Journal of Chemical Physics", "id" : "ITEM-2", "issue" : "18", "issued" : { "date-parts" : [ [ "2004" ] ] }, "page" : "9147-9155", "title" : "The Kirkwood-Buff theory and the effect of cosolvents on biochemical reactions", "type" : "article-journal", "volume" : "121" }, "uris" : [ "http://www.mendeley.com/documents/?uuid=773d4c28-f2d5-421b-a5a5-0066df199fbe" ] }, { "id" : "ITEM-3",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"ITEM-3", "issue" : "14", "issued" : { "date-parts" : [ [ "2014" ] ] }, "page" : "3922-3930", "title" : "Preferential solvation: Dividing surface vs excess numbers", "type" : "article-journal", "volume" : "118" }, "uris" : [ "http://www.mendeley.com/documents/?uuid=896fec6b-354e-41cd-a8de-55bd371a22f5" ] }, { "id" : "ITEM-4",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"ITEM-4",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"id" : "ITEM-5", "itemData" : { "DOI" : "10.1063/1.1748352", "ISSN" : "0021-9606", "abstract" : "A general statistical mechanical theory of solutions is developed with the aid of the theory of composition fluctuations in the grand canonical ensemble. It is shown that the derivatives of the chemical potentials and osmotic pressure with respect to concentrations, the partial molar volumes, and compressibility may be expressed in terms of integrals of the radial distribution functions of the several types of molecular pairs present in the solution. Explicit coefficients of a q\u2010fraction expansion of the thermodynamic variables are presented in a detailed treatment of the two\u2010component system.", "author" : [ { "dropping-particle" : "", "family" : "Kirkwood", "given" : "John G.", "non-dropping-particle" : "", "parse-names" : false, "suffix" : "" }, { "dropping-particle" : "", "family" : "Buff", "given" : "Frank P.", "non-dropping-particle" : "", "parse-names" : false, "suffix" : "" } ], "container-title" : "The Journal of Chemical Physics", "id" : "ITEM-5", "issue" : "6", "issued" : { "date-parts" : [ [ "1951", "6" ] ] }, "page" : "774-777", "publisher" : "American Institute of PhysicsAIP", "title" : "The Statistical Mechanical Theory of Solutions. I", "type" : "article-journal", "volume" : "19" }, "uris" : [ "http://www.mendeley.com/documents/?uuid=50f5aa52-87c2-3362-9fc1-50cffb5e0f31" ] }, { "id" : "ITEM-6", "itemData" : { "DOI" : "10.1039/tf9716702516", "ISSN" : "0014-7672", "abstract" : "An alternative derivation of part of the Kirkwood-Buff theory of solutions, which uses essentially classical thermodynamic concepts is presented. This theory relates the thermodynamic properties of a solution to the integrals of the radial distribution functions of the various molecular pairs present. Useful expressions are derived for electrolyte solutions and for solutions of two and three components. Of particular importance are the general expression for the primary medium effect for a neutral electrolyte and the expression for the effect of one component on the solubility of another in a three component system, which shows how the theory can be used as a general basis for discussing hydrotropy and related phenomena.", "author" : [ { "dropping-particle" : "", "family" : "Hall", "given" : "D. G.", "non-dropping-particle" : "", "parse-names" : false, "suffix" : "" } ], "container-title" : "Transactions of the Faraday Society", "id" : "ITEM-6", "issue" : "0", "issued" : { "date-parts" : [ [ "1971" ] ] }, "page" : "2516", "publisher" : "The Royal Society of Chemistry", "title" : "Kirkwood-Buff theory of solutions. An alternative derivation of part of it and some applications", "type" : "article-journal", "volume" : "67" }, "uris" : [ "http://www.mendeley.com/documents/?uuid=f29dc205-be25-31b1-ab4c-c0d01d88246f" ] }, { "id" : "ITEM-7", "itemData" : { "DOI" : "10.1063/1.434669", "ISSN" : "0021-9606", "abstract" : "A general procedure is outlined whereby experimental data such as partial molar volumes, isothermal compressibilities, and partial vapor pressures may be processed to obtain information on the extent of the affinity between two species in a mixture of two (or more) components. A particular example of the water\u2013ethanol system is processed in this manner to obtain the quantities G\u03b1\u03b2 which are integrals over the pair correlation functions between two species \u03b1 and \u03b2. This information is relevant to several topics of interest in the field of aqueous solutions, such as the solvation of solutes, hydrophobic interactions, and structural changes in the solvent brought by the addition of solutes to water. More generally it may be used to characterize the properties of various mixtures on a molecular level.", "author" : [ { "dropping-particle" : "", "family" : "Ben\u2010Naim", "given" : "A.", "non-dropping-particle" : "", "parse-names" : false, "suffix" : "" } ], "container-title" : "The Journal of Chemical Physics", "id" : "ITEM-7", "issue" : "11", "issued" : { "date-parts" : [ [ "1977", "12" ] ] }, "page" : "4884-4890", "publisher" : "American Institute of PhysicsAIP", "title" : "Inversion of the Kirkwood\u2013Buff theory of solutions: Application to the water\u2013ethanol system", "type" : "article-journal", "volume" : "67" }, "uris" : [ "http://www.mendeley.com/documents/?uuid=81e02811-c8ed-3278-8ff2-693fe9432f12" ] }, { "id" : "ITEM-8", "itemData" : { "DOI" : "10.1039/CS9942300031", "ISSN" : "0306-0012", "abstract" : "No abstract available", "author" : [ { "dropping-particle" : "", "family" : "Newman", "given" : "Kenneth E.", "non-dropping-particle" : "", "parse-names" : false, "suffix" : "" } ], "container-title" : "Chem. Soc. Rev.", "id" : "ITEM-8", "issue" : "1", "issued" : { "date-parts" : [ [ "1994" ] ] }, "page" : "31-40", "publisher" : "The Royal Society of Chemistry", "title" : "Kirkwood\u2013Buff solution theory: derivation and applications", "type" : "article-journal", "volume" : "23" }, "uris" : [ "http://www.mendeley.com/documents/?uuid=4ba4106e-8081-3548-88ce-5332351b1d98" ] }, { "id" : "ITEM-9", "itemData" : { "abstract" : "A major difficulty often encountered when the effects of cosolvents on the structure of biomolecules is studied by computer simulation is an inability to relate the simulation results to experimental thermodynamic data. In the absence of such a link, one cannot even determine the quality of the force field being used. Here we describe how quantitative thermodynamic data can be extracted from a computer simulation of a biomolecule in a cosolvent solution, and exactly how this is related to the corresponding experimental data. The approach involves a combination of the concept of preferential interactions and the use of Kirkwood?Buff theory to evaluate these interactions from simulation data. In particular, special attention is focused on the approximations made, the choice of activity scale for the biomolecule and cosolvent, and the use of the indistinguishable ion approach for the analysis of salt effects. The appropriate experimental thermodynamic data (volume fractions and activity derivatives) are provided for aqueous solutions of urea, guanidinium chloride, sodium chloride and 2,2,2,-trifluoroethanol. It is suggested that a determination of the simulated preferential interaction of a cosolvent with the native state of a protein under denaturing conditions provides the simplest test of available force fields, as it avoids simulations of the denatured state which are typically inaccessible with current computer power.\\nA major difficulty often encountered when the effects of cosolvents on the structure of biomolecules is studied by computer simulation is an inability to relate the simulation results to experimental thermodynamic data. In the absence of such a link, one cannot even determine the quality of the force field being used. Here we describe how quantitative thermodynamic data can be extracted from a computer simulation of a biomolecule in a cosolvent solution, and exactly how this is related to the corresponding experimental data. The approach involves a combination of the concept of preferential interactions and the use of Kirkwood?Buff theory to evaluate these interactions from simulation data. In particular, special attention is focused on the approximations made, the choice of activity scale for the biomolecule and cosolvent, and the use of the indistinguishable ion approach for the analysis of salt effects. The appropriate experimental thermodynamic data (volume fractions and activity derivatives) are provided for aqueous solutions of ur\u2026", "author" : [ { "dropping-particle" : "", "family" : "Smith", "given" : "Paul E.", "non-dropping-particle" : "", "parse-names" : false, "suffix" : "" } ], "container-title" : "Journal of Physical Chemistry B", "id" : "ITEM-9", "issue" : "48", "issued" : { "date-parts" : [ [ "2004", "12", "2" ] ] }, "page" : "18716-18724", "title" : "Cosolvent interactions with biomolecules: Relating computer simulation data to experimental thermodynamic data", "type" : "article-journal", "volume" : "108" }, "uris" : [ "http://www.mendeley.com/documents/?uuid=16db6586-5e10-48af-820c-5339cad79c8b" ] }, { "id" : "ITEM-10", "itemData" : { "DOI" : "10.1063/1.2011388", "ISSN" : "00219606", "PMID" : "16108695", "abstract" : "In the present paper a procedure to calculate the properties of proteins in aqueous mixed solvents, particularly the excesses of the constituents of the mixed solvent near the protein molecule and the preferential binding parameters, is suggested. Expressions for the Kirkwood-Buff integrals in ternary mixtures and for the preferential binding parameter were derived and used to calculate various properties of infinitely dilute proteins in aqueous mixed solvents. The derived expressions and experimental information regarding the partial molar volumes and the preferential binding parameters were used to calculate the excesses (deficits) of water and cosolvent (in comparison with the bulk concentrations of protein-free mixed solvent) in the vicinity of ribonuclease A, ribonuclease T1, and lysozyme molecules. The calculations showed that water was in excess in the vicinity of ribonuclease A for water/glycerol and water/trehalose mixtures, and the cosolvent urea was in excess in the vicinity of ribonuclease T1 and lysozyme. The derivative of the activity coefficient of the protein with respect to the mole fraction of water was also calculated. This derivative was negative for the water/glycerol and water/trehalose mixed solvents and positive for the water/urea mixture. The mixture of lysozyme in the water/urea solvent is of particular interest, because the lysozyme at pH 7.0 is in its native state up to 9.3M urea, while at pH 2.0 it is denaturated between 2.5 and 5M and higher concentrations of urea. Our results demonstrated a striking similarity in the hydration of lysozyme at both pHs. It is worthwhile to note that the excesses of urea were only weakly composition dependent on both cases.", "author" : [ { "dropping-particle" : "", "family" : "Shulgin", "given" : "Ivan L", "non-dropping-particle" : "", "parse-names" : false, "suffix" : "" }, { "dropping-particle" : "", "family" : "Ruckenstein", "given" : "Eli", "non-dropping-particle" : "", "parse-names" : false, "suffix" : "" } ], "container-title" : "Journal of Chemical Physics", "id" : "ITEM-10", "issue" : "5", "issued" : { "date-parts" : [ [ "2005" ] ] }, "page" : "054909/1-054909/9", "title" : "A protein molecule in an aqueous mixed solvent: Fluctuation theory outlook", "type" : "article-journal", "volume" : "123" }, "uris" : [ "http://www.mendeley.com/documents/?uuid=277b2516-18c8-4064-8993-76ed73d49386" ] }, { "id" : "ITEM-11", "itemData" : { "abstract" : "The effect of cosolvents on biomolecular equilibria has traditionally been rationalized using simple binding models. More recently, a renewed interest in the use of Kirkwood-Buff (KB) theory to analyze solution mixtures has provided new information on the effects of osmolytes and denaturants and their interactions with biomolecules. Here we review the status of KB theory as applied to biological systems. In particular, the existing models of denaturation are analyzed in terms of KB theory, and the use of KB theory to interpret computer simulation data for these systems is discussed.", "author" : [ { "dropping-particle" : "", "family" : "Pierce", "given" : "Veronica", "non-dropping-particle" : "", "parse-names" : false, "suffix" : "" }, { "dropping-particle" : "", "family" : "Kang", "given" : "Myungshim", "non-dropping-particle" : "", "parse-names" : false, "suffix" : "" }, { "dropping-particle" : "", "family" : "Aburi", "given" : "Mahalaxmi", "non-dropping-particle" : "", "parse-names" : false, "suffix" : "" }, { "dropping-particle" : "", "family" : "Weerasinghe", "given" : "Samantha", "non-dropping-particle" : "", "parse-names" : false, "suffix" : "" }, { "dropping-particle" : "", "family" : "Smith", "given" : "Paul E.", "non-dropping-particle" : "", "parse-names" : false, "suffix" : "" } ], "container-title" : "Cell Biochemistry and Biophysics", "id" : "ITEM-11", "issue" : "1", "issued" : { "date-parts" : [ [ "2008", "1" ] ] }, "page" : "1-22", "title" : "Recent applications of Kirkwood-Buff theory to biological systems", "type" : "article", "volume" : "50" }, "uris" : [ "http://www.mendeley.com/documents/?uuid=aa149a7f-d08e-4339-a421-d51cf9a0ed4e" ] } ], "mendeley" : { "formattedCitation" : "&lt;sup&gt;11,12,17,22,49\u201355&lt;/sup&gt;", "plainTextFormattedCitation" : "11,12,17,22,49\u201355", "previouslyFormattedCitation" : "&lt;sup&gt;11,12,17,22,49\u201355&lt;/sup&gt;" }, "properties" : { "noteIndex" : 0 }, "schema" : "https://github.com/citation-style-language/schema/raw/master/csl-citation.json" }</w:instrText>
      </w:r>
      <w:r w:rsidR="00F54D1E" w:rsidRPr="00D039E9">
        <w:rPr>
          <w:lang w:val="en-CA"/>
        </w:rPr>
        <w:fldChar w:fldCharType="separate"/>
      </w:r>
      <w:r w:rsidR="00BB3004" w:rsidRPr="00D039E9">
        <w:rPr>
          <w:noProof/>
          <w:vertAlign w:val="superscript"/>
          <w:lang w:val="en-CA"/>
        </w:rPr>
        <w:t>11,12,17,22,49–55</w:t>
      </w:r>
      <w:r w:rsidR="00F54D1E" w:rsidRPr="00D039E9">
        <w:rPr>
          <w:lang w:val="en-CA"/>
        </w:rPr>
        <w:fldChar w:fldCharType="end"/>
      </w:r>
    </w:p>
    <w:p w14:paraId="00BD399E" w14:textId="4ACC4673" w:rsidR="003872DB" w:rsidRPr="00D039E9" w:rsidRDefault="003872DB" w:rsidP="003872DB">
      <w:pPr>
        <w:pStyle w:val="TAMainText"/>
        <w:numPr>
          <w:ilvl w:val="0"/>
          <w:numId w:val="15"/>
        </w:numPr>
        <w:rPr>
          <w:lang w:val="en-CA"/>
        </w:rPr>
      </w:pPr>
      <w:r w:rsidRPr="00D039E9">
        <w:rPr>
          <w:rFonts w:cs="Times"/>
          <w:lang w:val="en-CA"/>
        </w:rPr>
        <w:t>it provides a remarkably simple methodology for going from experimental data to theoretical analysis</w:t>
      </w:r>
      <w:r w:rsidRPr="00D039E9">
        <w:rPr>
          <w:lang w:val="en-CA"/>
        </w:rPr>
        <w:t xml:space="preserve"> thanks to the lack of need to validate any assumptions (such as stoichiometry).</w:t>
      </w:r>
      <w:r w:rsidR="00972CE5" w:rsidRPr="00D039E9">
        <w:rPr>
          <w:lang w:val="en-CA"/>
        </w:rPr>
        <w:fldChar w:fldCharType="begin" w:fldLock="1"/>
      </w:r>
      <w:r w:rsidR="00C65F5C" w:rsidRPr="00D039E9">
        <w:rPr>
          <w:lang w:val="en-CA"/>
        </w:rPr>
        <w:instrText>ADDIN CSL_CITATION { "citationItems" : [ { "id" : "ITEM-1", "itemData" : { "DOI" : "10.1021/jp309819r", "ISBN" : "1520-6106", "ISSN" : "15205207", "PMID" : "23236952", "abstract" : "Drugs that are poorly soluble in water can be solubilized by the addition of hydrotropes. Albeit known for almost a century, how they work at a molecular basis is still controversial due to the lack of a rigorous theoretical basis. To clear up this situation, a combination of experimental data and Fluctuation Theory of Solutions (FTS) has been employed; information on the interactions between all the molecular species present in the solution has been evaluated directly. FTS has identified two major factors of hydrotrope-induced solubilization: preferential hydrotrope-solute interaction and water activity depression. The former is dominated by hydrotrope-solute association, and the latter is enhanced by ionic dissociation and hindered by the self-aggregation of the hydrotropes. Moreover, in stark contrast to previous hypotheses, neither the change of solute hydration nor the water structure accounts for hydrotropy. Indeed, the rigorous FTS poses serious doubts over the other common hypothesis: self-aggregation of the hydrotrope hinders, rather than promotes, solubilization.", "author" : [ { "dropping-particle" : "", "family" : "Booth", "given" : "Jonathan J.", "non-dropping-particle" : "", "parse-names" : false, "suffix" : "" }, { "dropping-particle" : "", "family" : "Abbott", "given" : "Steven", "non-dropping-particle" : "", "parse-names" : false, "suffix" : "" }, { "dropping-particle" : "", "family" : "Shimizu", "given" : "Seishi", "non-dropping-particle" : "", "parse-names" : false, "suffix" : "" } ], "container-title" : "Journal of Physical Chemistry B", "id" : "ITEM-1", "issue" : "51", "issued" : { "date-parts" : [ [ "2012" ] ] }, "page" : "14915-14921", "title" : "Mechanism of hydrophobic drug solubilization by small molecule hydrotropes", "type" : "article-journal", "volume" : "116" }, "uris" : [ "http://www.mendeley.com/documents/?uuid=33c3cbc9-707a-4097-91a4-e91008bc3dd6" ] }, { "id" : "ITEM-2", "itemData" : { "DOI" : "10.1021/jp509099h", "ISSN" : "15205207", "PMID" : "25375260", "abstract" : "Gelation is enhanced by the addition of sugars and polyols. How, at a microscopic level, do such cosolvents enhance gelation? The following two different hypotheses have been proposed so far to answer this question: (i) enhancement of water structure around the biopolymer induced by cosolvents; (ii) exclusion of cosolvents from biopolymer surfaces. To examine the validity of the above hypotheses, as well as to quantify the driving forces of cosolvent-induced gelation, we have constructed a statistical thermodynamic theory of gelation, by extending our Kirkwood-Buff theory of cosolvency; biopolymer-water and biopolymer-cosolvent interactions can both be determined from thermodynamic data. The exclusion of cosolvents is shown to be the dominant contribution, whereas the hydration change is a minor contribution, which may be important only so far as to mediate the exclusion of cosolvents.", "author" : [ { "dropping-particle" : "", "family" : "Shimizu", "given" : "Seishi", "non-dropping-particle" : "", "parse-names" : false, "suffix" : "" }, { "dropping-particle" : "", "family" : "Matubayasi", "given" : "Nobuyuki", "non-dropping-particle" : "", "parse-names" : false, "suffix" : "" } ], "container-title" : "Journal of Physical Chemistry B", "id" : "ITEM-2", "issue" : "46", "issued" : { "date-parts" : [ [ "2014" ] ] }, "page" : "13210-13216", "title" : "Gelation: The role of sugars and polyols on gelatin and agarose", "type" : "article-journal", "volume" : "118" }, "uris" : [ "http://www.mendeley.com/documents/?uuid=3f487fe1-7c16-485b-971c-d2e69e2da704" ] }, { "id" : "ITEM-3", "itemData" : { "DOI" : "10.1016/j.foodhyd.2015.10.007", "ISSN" : "0268005X", "abstract" : "The gelation of ??-carrageenan, a common polysaccharide for food gelling and thickening, is enhanced by the addition of sugars and polyols. Three different hypotheses have been proposed to explain this phenomenon: (i) the enhancement of the water structure around polysaccharides, and the concurrent change in polysaccharide hydration, induced by the cosolvent; (ii) exclusion of cosolvents from polysaccharide surfaces; (iii) binding between sugars/polyols and polysaccharides in the gel phase. To examine the above hypotheses, as well as to reveal the true driving forces responsible for gelation enhancement, we applied our recent statistical thermodynamic theory of gelation, derived from the rigorous Kirkwood-Buff theory. The hydration change is shown to be negligibly small relative to cosolvent exclusion and cosolvent-biopolymer binding, which can be rationalized by considering a sol-gel equilibrium in which (1) the exclusion of sugars/polyols from ??-carrageenan's surface in the sol phase, and (2) the binding of sugars and polyols in the gel phase, shift the sol-gel equilibrium of ??-carrageenan to the gel state. This novel picture is consistent with a wealth of experimental evidence and provides a mechanistic insight into how polyol and sugar cosolvents influence the gelation of ??-carrageenan on a molecular level.", "author" : [ { "dropping-particle" : "", "family" : "Stenner", "given" : "Richard", "non-dropping-particle" : "", "parse-names" : false, "suffix" : "" }, { "dropping-particle" : "", "family" : "Matubayasi", "given" : "Nobuyuki", "non-dropping-particle" : "", "parse-names" : false, "suffix" : "" }, { "dropping-particle" : "", "family" : "Shimizu", "given" : "Seishi", "non-dropping-particle" : "", "parse-names" : false, "suffix" : "" } ], "container-title" : "Food Hydrocolloids", "id" : "ITEM-3", "issued" : { "date-parts" : [ [ "2016" ] ] }, "page" : "284-292", "publisher" : "Elsevier Ltd", "title" : "Gelation of carrageenan: Effects of sugars and polyols", "type" : "article-journal", "volume" : "54" }, "uris" : [ "http://www.mendeley.com/documents/?uuid=1ba0dc87-aef9-4f66-a843-a82ff360fd80" ] }, { "id" : "ITEM-4", "itemData" : { "DOI" : "10.1021/acs.jpcb.6b01380", "ISSN" : "15205207", "abstract" : "Supercritical carbon dioxide (scCO2) on its own can be a relatively poor solvent. However, the addition at relatively modest concentration of \u201centrainers\u201d, simple solvent molecules such as ethanol or acetone, can provide a significant boost in solubility, thereby enabling its industrial use. However, how entrainers work is still under debate; without an unambiguous explanation, it is hard to optimize entrainers for any specific solute. This paper demonstrates that a fundamental, assumption-free statistical thermodynamic theory, the Kirkwood\u2013Buff (KB) theory, can provide an unambiguous explanation of the entrainer effect through an analysis of published experimental data. The KB theory shows that a strong solute\u2013entrainer interaction accounts for the solubility enhancement, while CO2 density increase and/or CO2\u2013entrainer interactions, which have been assumed widely in the literature, do not account for solubilization. This conclusion, despite the limited completeness of available data, is demonstrably robu...", "author" : [ { "dropping-particle" : "", "family" : "Shimizu", "given" : "Seishi", "non-dropping-particle" : "", "parse-names" : false, "suffix" : "" }, { "dropping-particle" : "", "family" : "Abbott", "given" : "Steven", "non-dropping-particle" : "", "parse-names" : false, "suffix" : "" } ], "container-title" : "Journal of Physical Chemistry B", "id" : "ITEM-4", "issue" : "15", "issued" : { "date-parts" : [ [ "2016" ] ] }, "page" : "3713-3723", "title" : "How Entrainers Enhance Solubility in Supercritical Carbon Dioxide", "type" : "article-journal", "volume" : "120" }, "uris" : [ "http://www.mendeley.com/documents/?uuid=e6bc2365-d37f-4bf0-aa8b-df44083b9f4c" ] }, { "id" : "ITEM-5", "itemData" : { "DOI" : "10.1039/C6GC03002E", "ISBN" : "1463-9262 1463-9270", "ISSN" : "1463-9262", "author" : [ { "dropping-particle" : "", "family" : "Abbott", "given" : "Steven", "non-dropping-particle" : "", "parse-names" : false, "suffix" : "" }, { "dropping-particle" : "", "family" : "Booth", "given" : "Jonathan J.", "non-dropping-particle" : "", "parse-names" : false, "suffix" : "" }, { "dropping-particle" : "", "family" : "Shimizu", "given" : "Seishi", "non-dropping-particle" : "", "parse-names" : false, "suffix" : "" } ], "container-title" : "Green Chem.", "id" : "ITEM-5", "issued" : { "date-parts" : [ [ "2017" ] ] }, "page" : "68-75", "publisher" : "Royal Society of Chemistry", "title" : "Practical molecular thermodynamics for greener solution chemistry", "type" : "article-journal", "volume" : "19" }, "uris" : [ "http://www.mendeley.com/documents/?uuid=9178faf9-c7e8-4c64-be95-1f01c2dd4f3e" ] } ], "mendeley" : { "formattedCitation" : "&lt;sup&gt;15,19,21,56,57&lt;/sup&gt;", "plainTextFormattedCitation" : "15,19,21,56,57", "previouslyFormattedCitation" : "&lt;sup&gt;15,19,21,56,57&lt;/sup&gt;" }, "properties" : { "noteIndex" : 0 }, "schema" : "https://github.com/citation-style-language/schema/raw/master/csl-citation.json" }</w:instrText>
      </w:r>
      <w:r w:rsidR="00972CE5" w:rsidRPr="00D039E9">
        <w:rPr>
          <w:lang w:val="en-CA"/>
        </w:rPr>
        <w:fldChar w:fldCharType="separate"/>
      </w:r>
      <w:r w:rsidR="00BB3004" w:rsidRPr="00D039E9">
        <w:rPr>
          <w:noProof/>
          <w:vertAlign w:val="superscript"/>
          <w:lang w:val="en-CA"/>
        </w:rPr>
        <w:t>15,19,21,56,57</w:t>
      </w:r>
      <w:r w:rsidR="00972CE5" w:rsidRPr="00D039E9">
        <w:rPr>
          <w:lang w:val="en-CA"/>
        </w:rPr>
        <w:fldChar w:fldCharType="end"/>
      </w:r>
    </w:p>
    <w:p w14:paraId="7658119A" w14:textId="77777777" w:rsidR="003872DB" w:rsidRPr="00D039E9" w:rsidRDefault="003872DB" w:rsidP="003872DB">
      <w:pPr>
        <w:pStyle w:val="TAMainText"/>
        <w:ind w:firstLine="0"/>
        <w:rPr>
          <w:rFonts w:cs="Times"/>
          <w:lang w:val="en-CA"/>
        </w:rPr>
      </w:pPr>
    </w:p>
    <w:p w14:paraId="2BA82B6C" w14:textId="77777777" w:rsidR="003872DB" w:rsidRPr="00D039E9" w:rsidRDefault="003872DB" w:rsidP="003872DB">
      <w:pPr>
        <w:pStyle w:val="TAMainText"/>
        <w:rPr>
          <w:rFonts w:cs="Times"/>
          <w:lang w:val="en-CA"/>
        </w:rPr>
      </w:pPr>
      <w:r w:rsidRPr="00D039E9">
        <w:rPr>
          <w:rFonts w:cs="Times"/>
          <w:lang w:val="en-CA"/>
        </w:rPr>
        <w:t xml:space="preserve">There are clear advantages for replacing and updating the theoretical foundation, for the following reasons.  </w:t>
      </w:r>
    </w:p>
    <w:p w14:paraId="6D969198" w14:textId="77777777" w:rsidR="003872DB" w:rsidRPr="00D039E9" w:rsidRDefault="003872DB" w:rsidP="003872DB">
      <w:pPr>
        <w:pStyle w:val="TAMainText"/>
        <w:rPr>
          <w:rFonts w:cs="Times"/>
          <w:lang w:val="en-CA"/>
        </w:rPr>
      </w:pPr>
    </w:p>
    <w:p w14:paraId="445C595F" w14:textId="12FF9572" w:rsidR="003872DB" w:rsidRPr="00D039E9" w:rsidRDefault="003872DB" w:rsidP="003872DB">
      <w:pPr>
        <w:pStyle w:val="TAMainText"/>
        <w:rPr>
          <w:rFonts w:cs="Times"/>
          <w:lang w:val="en-CA"/>
        </w:rPr>
      </w:pPr>
      <w:r w:rsidRPr="00D039E9">
        <w:rPr>
          <w:rFonts w:cs="Times"/>
          <w:lang w:val="en-CA"/>
        </w:rPr>
        <w:t>Firstly, stoichiometric models are not only incapable of describing the subtle molecular mechanism of nonspecific interactions but are also prone to misidentify the true molecular mechanism; for example, protein cosolvent repulsion is often misidentified as protein hydration.</w:t>
      </w:r>
      <w:r w:rsidR="00025D4E" w:rsidRPr="00D039E9">
        <w:rPr>
          <w:rFonts w:cs="Times"/>
          <w:lang w:val="en-CA"/>
        </w:rPr>
        <w:fldChar w:fldCharType="begin" w:fldLock="1"/>
      </w:r>
      <w:r w:rsidR="00C65F5C" w:rsidRPr="00D039E9">
        <w:rPr>
          <w:rFonts w:cs="Times"/>
          <w:lang w:val="en-CA"/>
        </w:rPr>
        <w:instrText>ADDIN CSL_CITATION { "citationItems" : [ { "id" : "ITEM-1", "itemData" : { "author" : [ { "dropping-particle" : "", "family" : "Timasheff", "given" : "Serge N", "non-dropping-particle" : "", "parse-names" : false, "suffix" : "" } ], "container-title" : "Proceedings of the National Academy of Sciences", "id" : "ITEM-1", "issue" : "15", "issued" : { "date-parts" : [ [ "2002" ] ] }, "page" : "9721-9726", "title" : "Protein-solvent preferential interactions , protein hydration , and the modulation of biochemical reactions by solvent components", "type" : "article-journal", "volume" : "99" }, "uris" : [ "http://www.mendeley.com/documents/?uuid=5bee905d-fdd4-4582-a49a-15018471ab27" ] }, { "id" : "ITEM-2",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"ITEM-2",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"id" : "ITEM-3",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"ITEM-3",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"mendeley" : { "formattedCitation" : "&lt;sup&gt;11,22,58&lt;/sup&gt;", "plainTextFormattedCitation" : "11,22,58", "previouslyFormattedCitation" : "&lt;sup&gt;11,22,58&lt;/sup&gt;" }, "properties" : { "noteIndex" : 0 }, "schema" : "https://github.com/citation-style-language/schema/raw/master/csl-citation.json" }</w:instrText>
      </w:r>
      <w:r w:rsidR="00025D4E" w:rsidRPr="00D039E9">
        <w:rPr>
          <w:rFonts w:cs="Times"/>
          <w:lang w:val="en-CA"/>
        </w:rPr>
        <w:fldChar w:fldCharType="separate"/>
      </w:r>
      <w:r w:rsidR="00BB3004" w:rsidRPr="00D039E9">
        <w:rPr>
          <w:rFonts w:cs="Times"/>
          <w:noProof/>
          <w:vertAlign w:val="superscript"/>
          <w:lang w:val="en-CA"/>
        </w:rPr>
        <w:t>11,22,58</w:t>
      </w:r>
      <w:r w:rsidR="00025D4E" w:rsidRPr="00D039E9">
        <w:rPr>
          <w:rFonts w:cs="Times"/>
          <w:lang w:val="en-CA"/>
        </w:rPr>
        <w:fldChar w:fldCharType="end"/>
      </w:r>
      <w:r w:rsidRPr="00D039E9">
        <w:rPr>
          <w:rFonts w:cs="Times"/>
          <w:lang w:val="en-CA"/>
        </w:rPr>
        <w:t xml:space="preserve"> This is why a true molecular thermodynamic theory had to be constructed in order to identify what these experiments really measure at a molecular scale.</w:t>
      </w:r>
      <w:r w:rsidR="00025D4E" w:rsidRPr="00D039E9">
        <w:rPr>
          <w:rFonts w:cs="Times"/>
          <w:lang w:val="en-CA"/>
        </w:rPr>
        <w:fldChar w:fldCharType="begin" w:fldLock="1"/>
      </w:r>
      <w:r w:rsidR="003E67FA" w:rsidRPr="00D039E9">
        <w:rPr>
          <w:rFonts w:cs="Times"/>
          <w:lang w:val="en-CA"/>
        </w:rPr>
        <w:instrText>ADDIN CSL_CITATION { "citationItems" : [ { "id" : "ITEM-1",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"ITEM-1",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"id" : "ITEM-2", "itemData" : { "DOI" : "10.1063/1.1806402", "ISSN" : "00219606", "PMID" : "15527383", "abstract" : "Cosolvents added to aqueous solutions of biomolecules profoundly affect protein stability, as well as biochemical equilibria. Some cosolvents, such as urea and guanidine hydrochloride, denature proteins, whereas others, such as osmolytes and crowders, stabilize the native structures of proteins. The way cosolvents interact with biomolecules is crucial information required to understand the cosolvent effect at a molecular level. We present a statistical mechanical framework based upon Kirkwood-Buff theory, which enables one to extract this picture from experimental data. The combination of two experimental results, namely, the cosolvent-induced equilibrium shift and the partial molar volume change upon the reaction, supplimented by the structural change, is shown to yield the number of water and cosolvent molecules bound or released during a reaction. Previously, denaturation experiments (e.g., m-value analysis) were analyzed by empirical and stoichiometric solvent-binding models, while the effects of osmolytes and crowders were analyzed by the approximate molecular crowding approach for low cosolvent concentration. Here we synthesize these previous approaches in a rigorous statistical mechanical treatment, which is applicable at any cosolvent concentration. The usefulness and accuracy of previous approaches was also evaluated.", "author" : [ { "dropping-particle" : "", "family" : "Shimizu", "given" : "Seishi", "non-dropping-particle" : "", "parse-names" : false, "suffix" : "" }, { "dropping-particle" : "", "family" : "Boon", "given" : "Chandra L.", "non-dropping-particle" : "", "parse-names" : false, "suffix" : "" } ], "container-title" : "Journal of Chemical Physics", "id" : "ITEM-2", "issue" : "18", "issued" : { "date-parts" : [ [ "2004" ] ] }, "page" : "9147-9155", "title" : "The Kirkwood-Buff theory and the effect of cosolvents on biochemical reactions", "type" : "article-journal", "volume" : "121" }, "uris" : [ "http://www.mendeley.com/documents/?uuid=773d4c28-f2d5-421b-a5a5-0066df199fbe" ] }, { "id" : "ITEM-3", "itemData" : { "DOI" : "10.1063/1.2206174", "ISBN" : "0021-9606 (Print)\\r0021-9606 (Linking)", "ISSN" : "00219606", "PMID" : "16821951", "abstract" : "In order to understand the origin of the Hofmeister series, a statistical-mechanical analysis, based upon the Kirkwood-Buff (KB) theory, has been performed to extract information regarding protein hydration and water-mediated protein-salt interactions from published experimental data-preferential hydration and volumetric data for bovine serum albumin in the presence of a wide range of salts. The analysis showed a linear correlation between the preferential hydration parameter and the protein-cosolvent KB parameter. The same linear correlation holds even when nonelectrolyte cosolvents, such as polyethelene glycol, have been incorporated. These results suggest that the Hofmeister series is due to a wide variation of the water-mediated protein-cosolvent interaction (but not the change of protein hydration) and that this mechanism is a special case of a more general scenario common even to the macromolecular crowding.", "author" : [ { "dropping-particle" : "", "family" : "Shimizu", "given" : "Seishi", "non-dropping-particle" : "", "parse-names" : false, "suffix" : "" }, { "dropping-particle" : "", "family" : "McLaren", "given" : "William M.", "non-dropping-particle" : "", "parse-names" : false, "suffix" : "" }, { "dropping-particle" : "", "family" : "Matubayasi", "given" : "Nobuyuki", "non-dropping-particle" : "", "parse-names" : false, "suffix" : "" } ], "container-title" : "Journal of Chemical Physics", "id" : "ITEM-3", "issue" : "23", "issued" : { "date-parts" : [ [ "2006" ] ] }, "page" : "234905/1-234905/4", "title" : "The Hofmeister series and protein-salt interactions", "type" : "article-journal", "volume" : "124" }, "uris" : [ "http://www.mendeley.com/documents/?uuid=0a70a1b5-2739-4d43-a695-db256c211fdf" ] }, { "id" : "ITEM-4", "itemData" : { "DOI" : "10.1016/j.cplett.2011.08.038", "ISSN" : "00092614", "abstract" : "Various cosolvents are known to modulate the thermal stability of the proteins. To understand its molecular origin, a statistical thermodynamic analysis, based upon the Kirkwood-Buff (KB) theory, has been performed to obtain information regarding the accumulation or depletion of solvent molecules around proteins, based upon published experimental data. The analysis shows the dominant importance of cosolvent's accumulation or depletion around the proteins, whereas the role of protein hydration is minor. ?? 2011 Elsevier B.V. All rights reserved.", "author" : [ { "dropping-particle" : "", "family" : "Shimizu", "given" : "Seishi", "non-dropping-particle" : "", "parse-names" : false, "suffix" : "" } ], "container-title" : "Chemical Physics Letters", "id" : "ITEM-4", "issue" : "1-3", "issued" : { "date-parts" : [ [ "2011" ] ] }, "page" : "156-158", "publisher" : "Elsevier B.V.", "title" : "Molecular origin of the cosolvent-induced changes in the thermal stability of proteins", "type" : "article-journal", "volume" : "514" }, "uris" : [ "http://www.mendeley.com/documents/?uuid=f72a9936-cbbc-4fe0-8a8f-d5f1c1425260" ] }, { "id" : "ITEM-5", "itemData" : { "DOI" : "10.1021/jp309819r", "ISBN" : "1520-6106", "ISSN" : "15205207", "PMID" : "23236952", "abstract" : "Drugs that are poorly soluble in water can be solubilized by the addition of hydrotropes. Albeit known for almost a century, how they work at a molecular basis is still controversial due to the lack of a rigorous theoretical basis. To clear up this situation, a combination of experimental data and Fluctuation Theory of Solutions (FTS) has been employed; information on the interactions between all the molecular species present in the solution has been evaluated directly. FTS has identified two major factors of hydrotrope-induced solubilization: preferential hydrotrope-solute interaction and water activity depression. The former is dominated by hydrotrope-solute association, and the latter is enhanced by ionic dissociation and hindered by the self-aggregation of the hydrotropes. Moreover, in stark contrast to previous hypotheses, neither the change of solute hydration nor the water structure accounts for hydrotropy. Indeed, the rigorous FTS poses serious doubts over the other common hypothesis: self-aggregation of the hydrotrope hinders, rather than promotes, solubilization.", "author" : [ { "dropping-particle" : "", "family" : "Booth", "given" : "Jonathan J.", "non-dropping-particle" : "", "parse-names" : false, "suffix" : "" }, { "dropping-particle" : "", "family" : "Abbott", "given" : "Steven", "non-dropping-particle" : "", "parse-names" : false, "suffix" : "" }, { "dropping-particle" : "", "family" : "Shimizu", "given" : "Seishi", "non-dropping-particle" : "", "parse-names" : false, "suffix" : "" } ], "container-title" : "Journal of Physical Chemistry B", "id" : "ITEM-5", "issue" : "51", "issued" : { "date-parts" : [ [ "2012" ] ] }, "page" : "14915-14921", "title" : "Mechanism of hydrophobic drug solubilization by small molecule hydrotropes", "type" : "article-journal", "volume" : "116" }, "uris" : [ "http://www.mendeley.com/documents/?uuid=33c3cbc9-707a-4097-91a4-e91008bc3dd6" ] }, { "id" : "ITEM-6", "itemData" : { "DOI" : "10.1039/c3cp53791a", "ISBN" : "1463-9076", "ISSN" : "1463-9084", "PMID" : "24189644", "abstract" : "Hydrophobic drugs can often be solubilized by the addition of hydrotropes. We have previously shown that preferential drug-hydrotrope association is one of the major factors of increased solubility (but not \"hydrotrope clustering\" or changes in \"water structure\"). How, then, can we understand this drug-hydrotrope interaction at a molecular level? Thermodynamic models based upon stoichiometric solute-water and solute-hydrotrope binding have long been used to understand solubilization microscopically. Such binding models have shown that the solvation numbers or coordination numbers of the water and hydrotrope molecules around the drug solute is the key quantity for solute-water and solute-hydrotrope interaction. However, we show that a rigorous statistical thermodynamic theory (the fluctuation solution theory originated by Kirkwood and Buff) requires the total reconsideration of such a paradigm. Here we show that (i) the excess solvation number (the net increase or decrease, relative to the bulk, of the solvent molecules around the solute), not the coordination number, is the key quantity for describing the solute-hydrotrope interaction; (ii) solute-hydrotrope binding is beyond the reach of the stoichiometric models because long-range solvation structure plays an important role.", "author" : [ { "dropping-particle" : "", "family" : "Shimizu", "given" : "Seishi", "non-dropping-particle" : "", "parse-names" : false, "suffix" : "" }, { "dropping-particle" : "", "family" : "Booth", "given" : "Jonathan J", "non-dropping-particle" : "", "parse-names" : false, "suffix" : "" }, { "dropping-particle" : "", "family" : "Abbott", "given" : "Steven", "non-dropping-particle" : "", "parse-names" : false, "suffix" : "" } ], "container-title" : "Physical chemistry chemical physics : PCCP", "id" : "ITEM-6", "issue" : "47", "issued" : { "date-parts" : [ [ "2013" ] ] }, "page" : "20625-20632", "title" : "Hydrotropy: binding models vs. statistical thermodynamics.", "type" : "article-journal", "volume" : "15" }, "uris" : [ "http://www.mendeley.com/documents/?uuid=d239f09f-553e-48eb-882f-c22d5aa8ac8c" ] }, { "id" : "ITEM-7",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"ITEM-7", "issue" : "14", "issued" : { "date-parts" : [ [ "2014" ] ] }, "page" : "3922-3930", "title" : "Preferential solvation: Dividing surface vs excess numbers", "type" : "article-journal", "volume" : "118" }, "uris" : [ "http://www.mendeley.com/documents/?uuid=896fec6b-354e-41cd-a8de-55bd371a22f5" ] }, { "id" : "ITEM-8", "itemData" : { "DOI" : "10.1021/jp505869m", "ISBN" : "1520-5207 (Electronic)\\r1520-5207 (Linking)", "ISSN" : "15205207", "PMID" : "25144510", "abstract" : "Drug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 "author" : [ { "dropping-particle" : "", "family" : "Shimizu", "given" : "Seishi", "non-dropping-particle" : "", "parse-names" : false, "suffix" : "" }, { "dropping-particle" : "", "family" : "Matubayasi", "given" : "Nobuyuki", "non-dropping-particle" : "", "parse-names" : false, "suffix" : "" } ], "container-title" : "Journal of Physical Chemistry B", "id" : "ITEM-8", "issue" : "35", "issued" : { "date-parts" : [ [ "2014" ] ] }, "page" : "10515-10524", "title" : "Hydrotropy: Monomer-micelle equilibrium and minimum hydrotrope concentration", "type" : "article-journal", "volume" : "118" }, "uris" : [ "http://www.mendeley.com/documents/?uuid=0cd1508f-d197-4e8d-a474-504cfaeae922" ] }, { "id" : "ITEM-9", "itemData" : { "DOI" : "10.1021/jp509099h", "ISSN" : "15205207", "PMID" : "25375260", "abstract" : "Gelation is enhanced by the addition of sugars and polyols. How, at a microscopic level, do such cosolvents enhance gelation? The following two different hypotheses have been proposed so far to answer this question: (i) enhancement of water structure around the biopolymer induced by cosolvents; (ii) exclusion of cosolvents from biopolymer surfaces. To examine the validity of the above hypotheses, as well as to quantify the driving forces of cosolvent-induced gelation, we have constructed a statistical thermodynamic theory of gelation, by extending our Kirkwood-Buff theory of cosolvency; biopolymer-water and biopolymer-cosolvent interactions can both be determined from thermodynamic data. The exclusion of cosolvents is shown to be the dominant contribution, whereas the hydration change is a minor contribution, which may be important only so far as to mediate the exclusion of cosolvents.", "author" : [ { "dropping-particle" : "", "family" : "Shimizu", "given" : "Seishi", "non-dropping-particle" : "", "parse-names" : false, "suffix" : "" }, { "dropping-particle" : "", "family" : "Matubayasi", "given" : "Nobuyuki", "non-dropping-particle" : "", "parse-names" : false, "suffix" : "" } ], "container-title" : "Journal of Physical Chemistry B", "id" : "ITEM-9", "issue" : "46", "issued" : { "date-parts" : [ [ "2014" ] ] }, "page" : "13210-13216", "title" : "Gelation: The role of sugars and polyols on gelatin and agarose", "type" : "article-journal", "volume" : "118" }, "uris" : [ "http://www.mendeley.com/documents/?uuid=3f487fe1-7c16-485b-971c-d2e69e2da704" ] }, { "id" : "ITEM-10", "itemData" : { "DOI" : "10.1039/C4CP05414H", "ISBN" : "1463-9084", "ISSN" : "1463-9076", "abstract" : "Nicotinamide is an effective non-micellar hydrotrope (solubilizer) for drugs with low aqueous solubility. To clarify the molecular basis of nicotinamide's hydrotropic effectiveness, we present here a rigorous statistical thermodynamic theory, based on the Kirkwood-Buff theory of solutions, and our recent application of it to hydrotropy. We have shown that (i) nicotinamide self-association reduces solubilization efficiency, contrary to the previous hypothesis which claimed that self-association drives solubilization and (ii) the minimum hydrotrope concentration (MHC), namely, the threshold concentration above which solubility suddenly increases, is caused not by the bulk-phase self-association of nicotinamides as has been postulated previously, but by the enhancement of nicotinamide-nicotinamide interaction around the drug molecules. We have thus established a new view of hydrotropy - it is nicotinamide's non-stoichiometric accumulation around the drug that is the basis of solubility increase above MHC.[on SciFinder (R)]", "author" : [ { "dropping-particle" : "", "family" : "Booth", "given" : "Jonathan J", "non-dropping-particle" : "", "parse-names" : false, "suffix" : "" }, { "dropping-particle" : "", "family" : "Omar", "given" : "Muhiadin", "non-dropping-particle" : "", "parse-names" : false, "suffix" : "" }, { "dropping-particle" : "", "family" : "Abbott", "given" : "Steven", "non-dropping-particle" : "", "parse-names" : false, "suffix" : "" }, { "dropping-particle" : "", "family" : "Shimizu", "given" : "Seishi", "non-dropping-particle" : "", "parse-names" : false, "suffix" : "" } ], "container-title" : "Phys Chem Chem Phys", "id" : "ITEM-10", "issue" : "12", "issued" : { "date-parts" : [ [ "2015" ] ] }, "page" : "8028-8037", "publisher" : "Royal Society of Chemistry", "title" : "Hydrotrope accumulation around the drug: the driving force for solubilization and minimum hydrotrope concentration for nicotinamide and urea", "type" : "article-journal", "volume" : "17" }, "uris" : [ "http://www.mendeley.com/documents/?uuid=5c6e1dca-c577-4d43-8836-d1f313635128" ] }, { "id" : "ITEM-11", "itemData" : { "DOI" : "10.1016/j.foodhyd.2015.10.007", "ISSN" : "0268005X", "abstract" : "The gelation of ??-carrageenan, a common polysaccharide for food gelling and thickening, is enhanced by the addition of sugars and polyols. Three different hypotheses have been proposed to explain this phenomenon: (i) the enhancement of the water structure around polysaccharides, and the concurrent change in polysaccharide hydration, induced by the cosolvent; (ii) exclusion of cosolvents from polysaccharide surfaces; (iii) binding between sugars/polyols and polysaccharides in the gel phase. To examine the above hypotheses, as well as to reveal the true driving forces responsible for gelation enhancement, we applied our recent statistical thermodynamic theory of gelation, derived from the rigorous Kirkwood-Buff theory. The hydration change is shown to be negligibly small relative to cosolvent exclusion and cosolvent-biopolymer binding, which can be rationalized by considering a sol-gel equilibrium in which (1) the exclusion of sugars/polyols from ??-carrageenan's surface in the sol phase, and (2) the binding of sugars and polyols in the gel phase, shift the sol-gel equilibrium of ??-carrageenan to the gel state. This novel picture is consistent with a wealth of experimental evidence and provides a mechanistic insight into how polyol and sugar cosolvents influence the gelation of ??-carrageenan on a molecular level.", "author" : [ { "dropping-particle" : "", "family" : "Stenner", "given" : "Richard", "non-dropping-particle" : "", "parse-names" : false, "suffix" : "" }, { "dropping-particle" : "", "family" : "Matubayasi", "given" : "Nobuyuki", "non-dropping-particle" : "", "parse-names" : false, "suffix" : "" }, { "dropping-particle" : "", "family" : "Shimizu", "given" : "Seishi", "non-dropping-particle" : "", "parse-names" : false, "suffix" : "" } ], "container-title" : "Food Hydrocolloids", "id" : "ITEM-11", "issued" : { "date-parts" : [ [ "2016" ] ] }, "page" : "284-292", "publisher" : "Elsevier Ltd", "title" : "Gelation of carrageenan: Effects of sugars and polyols", "type" : "article-journal", "volume" : "54" }, "uris" : [ "http://www.mendeley.com/documents/?uuid=1ba0dc87-aef9-4f66-a843-a82ff360fd80" ] }, { "id" : "ITEM-12",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"ITEM-12",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"mendeley" : { "formattedCitation" : "&lt;sup&gt;11\u201322&lt;/sup&gt;", "plainTextFormattedCitation" : "11\u201322", "previouslyFormattedCitation" : "&lt;sup&gt;11\u201322&lt;/sup&gt;" }, "properties" : { "noteIndex" : 0 }, "schema" : "https://github.com/citation-style-language/schema/raw/master/csl-citation.json" }</w:instrText>
      </w:r>
      <w:r w:rsidR="00025D4E" w:rsidRPr="00D039E9">
        <w:rPr>
          <w:rFonts w:cs="Times"/>
          <w:lang w:val="en-CA"/>
        </w:rPr>
        <w:fldChar w:fldCharType="separate"/>
      </w:r>
      <w:r w:rsidR="003E67FA" w:rsidRPr="00D039E9">
        <w:rPr>
          <w:rFonts w:cs="Times"/>
          <w:noProof/>
          <w:vertAlign w:val="superscript"/>
          <w:lang w:val="en-CA"/>
        </w:rPr>
        <w:t>11–22</w:t>
      </w:r>
      <w:r w:rsidR="00025D4E" w:rsidRPr="00D039E9">
        <w:rPr>
          <w:rFonts w:cs="Times"/>
          <w:lang w:val="en-CA"/>
        </w:rPr>
        <w:fldChar w:fldCharType="end"/>
      </w:r>
      <w:r w:rsidRPr="00D039E9">
        <w:rPr>
          <w:rFonts w:cs="Times"/>
          <w:lang w:val="en-CA"/>
        </w:rPr>
        <w:t xml:space="preserve"> By clearly defining what is (and is not) required experimentally to gain a deep understanding of events at the molecular level it becomes possible to mine those portions of historical data (often with different approaches/traditions) that are amenable to analysis and thereby use these valuable data to build a coherent picture of molecular effects</w:t>
      </w:r>
      <w:r w:rsidR="007B78DD" w:rsidRPr="00D039E9">
        <w:rPr>
          <w:rFonts w:cs="Times"/>
          <w:lang w:val="en-CA"/>
        </w:rPr>
        <w:t>.</w:t>
      </w:r>
      <w:r w:rsidR="000C40C1" w:rsidRPr="00D039E9">
        <w:rPr>
          <w:rFonts w:cs="Times"/>
          <w:lang w:val="en-CA"/>
        </w:rPr>
        <w:t xml:space="preserve"> </w:t>
      </w:r>
      <w:r w:rsidRPr="00D039E9">
        <w:rPr>
          <w:rFonts w:cs="Times"/>
          <w:lang w:val="en-CA"/>
        </w:rPr>
        <w:t xml:space="preserve">Such a picture will in turn produce </w:t>
      </w:r>
      <w:r w:rsidR="007B78DD" w:rsidRPr="00D039E9">
        <w:rPr>
          <w:rFonts w:cs="Times"/>
          <w:lang w:val="en-CA"/>
        </w:rPr>
        <w:t xml:space="preserve">an understanding which at the same time is applicable to practical formulation </w:t>
      </w:r>
      <w:r w:rsidRPr="00D039E9">
        <w:rPr>
          <w:rFonts w:cs="Times"/>
          <w:lang w:val="en-CA"/>
        </w:rPr>
        <w:t>and/or identify holes in the data that can be filled effectively with the simplest-possible experiments and data analysis. Of course, as the approach is free of assumptions, it equally covers those cases where specific binding takes place.</w:t>
      </w:r>
    </w:p>
    <w:p w14:paraId="25DD73BF" w14:textId="77777777" w:rsidR="003872DB" w:rsidRPr="00D039E9" w:rsidRDefault="003872DB" w:rsidP="003872DB">
      <w:pPr>
        <w:pStyle w:val="TAMainText"/>
        <w:ind w:firstLine="0"/>
        <w:rPr>
          <w:rFonts w:cs="Times"/>
          <w:lang w:val="en-CA"/>
        </w:rPr>
      </w:pPr>
    </w:p>
    <w:p w14:paraId="3BAE1EE2" w14:textId="3D83C5C6" w:rsidR="003872DB" w:rsidRPr="00D039E9" w:rsidRDefault="003872DB" w:rsidP="003872DB">
      <w:pPr>
        <w:pStyle w:val="TAMainText"/>
        <w:rPr>
          <w:rFonts w:cs="Times"/>
          <w:lang w:val="en-CA"/>
        </w:rPr>
      </w:pPr>
      <w:r w:rsidRPr="00D039E9">
        <w:rPr>
          <w:rFonts w:cs="Times"/>
          <w:lang w:val="en-CA"/>
        </w:rPr>
        <w:t>Secondly, a unified and rigorous theoretical foundation makes it possible to relate, collate and compare the data obtained from different experimental techniques. Thanks to the simplicity of the novel theory compared to the classical, drawing a relationship between different experiments has, as we shall see, been made much easier.</w:t>
      </w:r>
      <w:r w:rsidR="00025D4E" w:rsidRPr="00D039E9">
        <w:rPr>
          <w:rFonts w:cs="Times"/>
          <w:lang w:val="en-CA"/>
        </w:rPr>
        <w:fldChar w:fldCharType="begin" w:fldLock="1"/>
      </w:r>
      <w:r w:rsidR="003E67FA" w:rsidRPr="00D039E9">
        <w:rPr>
          <w:rFonts w:cs="Times"/>
          <w:lang w:val="en-CA"/>
        </w:rPr>
        <w:instrText>ADDIN CSL_CITATION { "citationItems" : [ { "id" : "ITEM-1",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"ITEM-1",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"id" : "ITEM-2", "itemData" : { "DOI" : "10.1063/1.1806402", "ISSN" : "00219606", "PMID" : "15527383", "abstract" : "Cosolvents added to aqueous solutions of biomolecules profoundly affect protein stability, as well as biochemical equilibria. Some cosolvents, such as urea and guanidine hydrochloride, denature proteins, whereas others, such as osmolytes and crowders, stabilize the native structures of proteins. The way cosolvents interact with biomolecules is crucial information required to understand the cosolvent effect at a molecular level. We present a statistical mechanical framework based upon Kirkwood-Buff theory, which enables one to extract this picture from experimental data. The combination of two experimental results, namely, the cosolvent-induced equilibrium shift and the partial molar volume change upon the reaction, supplimented by the structural change, is shown to yield the number of water and cosolvent molecules bound or released during a reaction. Previously, denaturation experiments (e.g., m-value analysis) were analyzed by empirical and stoichiometric solvent-binding models, while the effects of osmolytes and crowders were analyzed by the approximate molecular crowding approach for low cosolvent concentration. Here we synthesize these previous approaches in a rigorous statistical mechanical treatment, which is applicable at any cosolvent concentration. The usefulness and accuracy of previous approaches was also evaluated.", "author" : [ { "dropping-particle" : "", "family" : "Shimizu", "given" : "Seishi", "non-dropping-particle" : "", "parse-names" : false, "suffix" : "" }, { "dropping-particle" : "", "family" : "Boon", "given" : "Chandra L.", "non-dropping-particle" : "", "parse-names" : false, "suffix" : "" } ], "container-title" : "Journal of Chemical Physics", "id" : "ITEM-2", "issue" : "18", "issued" : { "date-parts" : [ [ "2004" ] ] }, "page" : "9147-9155", "title" : "The Kirkwood-Buff theory and the effect of cosolvents on biochemical reactions", "type" : "article-journal", "volume" : "121" }, "uris" : [ "http://www.mendeley.com/documents/?uuid=773d4c28-f2d5-421b-a5a5-0066df199fbe" ] }, { "id" : "ITEM-3", "itemData" : { "DOI" : "10.1063/1.2206174", "ISBN" : "0021-9606 (Print)\\r0021-9606 (Linking)", "ISSN" : "00219606", "PMID" : "16821951", "abstract" : "In order to understand the origin of the Hofmeister series, a statistical-mechanical analysis, based upon the Kirkwood-Buff (KB) theory, has been performed to extract information regarding protein hydration and water-mediated protein-salt interactions from published experimental data-preferential hydration and volumetric data for bovine serum albumin in the presence of a wide range of salts. The analysis showed a linear correlation between the preferential hydration parameter and the protein-cosolvent KB parameter. The same linear correlation holds even when nonelectrolyte cosolvents, such as polyethelene glycol, have been incorporated. These results suggest that the Hofmeister series is due to a wide variation of the water-mediated protein-cosolvent interaction (but not the change of protein hydration) and that this mechanism is a special case of a more general scenario common even to the macromolecular crowding.", "author" : [ { "dropping-particle" : "", "family" : "Shimizu", "given" : "Seishi", "non-dropping-particle" : "", "parse-names" : false, "suffix" : "" }, { "dropping-particle" : "", "family" : "McLaren", "given" : "William M.", "non-dropping-particle" : "", "parse-names" : false, "suffix" : "" }, { "dropping-particle" : "", "family" : "Matubayasi", "given" : "Nobuyuki", "non-dropping-particle" : "", "parse-names" : false, "suffix" : "" } ], "container-title" : "Journal of Chemical Physics", "id" : "ITEM-3", "issue" : "23", "issued" : { "date-parts" : [ [ "2006" ] ] }, "page" : "234905/1-234905/4", "title" : "The Hofmeister series and protein-salt interactions", "type" : "article-journal", "volume" : "124" }, "uris" : [ "http://www.mendeley.com/documents/?uuid=0a70a1b5-2739-4d43-a695-db256c211fdf" ] }, { "id" : "ITEM-4", "itemData" : { "DOI" : "10.1016/j.cplett.2011.08.038", "ISSN" : "00092614", "abstract" : "Various cosolvents are known to modulate the thermal stability of the proteins. To understand its molecular origin, a statistical thermodynamic analysis, based upon the Kirkwood-Buff (KB) theory, has been performed to obtain information regarding the accumulation or depletion of solvent molecules around proteins, based upon published experimental data. The analysis shows the dominant importance of cosolvent's accumulation or depletion around the proteins, whereas the role of protein hydration is minor. ?? 2011 Elsevier B.V. All rights reserved.", "author" : [ { "dropping-particle" : "", "family" : "Shimizu", "given" : "Seishi", "non-dropping-particle" : "", "parse-names" : false, "suffix" : "" } ], "container-title" : "Chemical Physics Letters", "id" : "ITEM-4", "issue" : "1-3", "issued" : { "date-parts" : [ [ "2011" ] ] }, "page" : "156-158", "publisher" : "Elsevier B.V.", "title" : "Molecular origin of the cosolvent-induced changes in the thermal stability of proteins", "type" : "article-journal", "volume" : "514" }, "uris" : [ "http://www.mendeley.com/documents/?uuid=f72a9936-cbbc-4fe0-8a8f-d5f1c1425260" ] }, { "id" : "ITEM-5", "itemData" : { "DOI" : "10.1021/jp309819r", "ISBN" : "1520-6106", "ISSN" : "15205207", "PMID" : "23236952", "abstract" : "Drugs that are poorly soluble in water can be solubilized by the addition of hydrotropes. Albeit known for almost a century, how they work at a molecular basis is still controversial due to the lack of a rigorous theoretical basis. To clear up this situation, a combination of experimental data and Fluctuation Theory of Solutions (FTS) has been employed; information on the interactions between all the molecular species present in the solution has been evaluated directly. FTS has identified two major factors of hydrotrope-induced solubilization: preferential hydrotrope-solute interaction and water activity depression. The former is dominated by hydrotrope-solute association, and the latter is enhanced by ionic dissociation and hindered by the self-aggregation of the hydrotropes. Moreover, in stark contrast to previous hypotheses, neither the change of solute hydration nor the water structure accounts for hydrotropy. Indeed, the rigorous FTS poses serious doubts over the other common hypothesis: self-aggregation of the hydrotrope hinders, rather than promotes, solubilization.", "author" : [ { "dropping-particle" : "", "family" : "Booth", "given" : "Jonathan J.", "non-dropping-particle" : "", "parse-names" : false, "suffix" : "" }, { "dropping-particle" : "", "family" : "Abbott", "given" : "Steven", "non-dropping-particle" : "", "parse-names" : false, "suffix" : "" }, { "dropping-particle" : "", "family" : "Shimizu", "given" : "Seishi", "non-dropping-particle" : "", "parse-names" : false, "suffix" : "" } ], "container-title" : "Journal of Physical Chemistry B", "id" : "ITEM-5", "issue" : "51", "issued" : { "date-parts" : [ [ "2012" ] ] }, "page" : "14915-14921", "title" : "Mechanism of hydrophobic drug solubilization by small molecule hydrotropes", "type" : "article-journal", "volume" : "116" }, "uris" : [ "http://www.mendeley.com/documents/?uuid=33c3cbc9-707a-4097-91a4-e91008bc3dd6" ] }, { "id" : "ITEM-6", "itemData" : { "DOI" : "10.1039/c3cp53791a", "ISBN" : "1463-9076", "ISSN" : "1463-9084", "PMID" : "24189644", "abstract" : "Hydrophobic drugs can often be solubilized by the addition of hydrotropes. We have previously shown that preferential drug-hydrotrope association is one of the major factors of increased solubility (but not \"hydrotrope clustering\" or changes in \"water structure\"). How, then, can we understand this drug-hydrotrope interaction at a molecular level? Thermodynamic models based upon stoichiometric solute-water and solute-hydrotrope binding have long been used to understand solubilization microscopically. Such binding models have shown that the solvation numbers or coordination numbers of the water and hydrotrope molecules around the drug solute is the key quantity for solute-water and solute-hydrotrope interaction. However, we show that a rigorous statistical thermodynamic theory (the fluctuation solution theory originated by Kirkwood and Buff) requires the total reconsideration of such a paradigm. Here we show that (i) the excess solvation number (the net increase or decrease, relative to the bulk, of the solvent molecules around the solute), not the coordination number, is the key quantity for describing the solute-hydrotrope interaction; (ii) solute-hydrotrope binding is beyond the reach of the stoichiometric models because long-range solvation structure plays an important role.", "author" : [ { "dropping-particle" : "", "family" : "Shimizu", "given" : "Seishi", "non-dropping-particle" : "", "parse-names" : false, "suffix" : "" }, { "dropping-particle" : "", "family" : "Booth", "given" : "Jonathan J", "non-dropping-particle" : "", "parse-names" : false, "suffix" : "" }, { "dropping-particle" : "", "family" : "Abbott", "given" : "Steven", "non-dropping-particle" : "", "parse-names" : false, "suffix" : "" } ], "container-title" : "Physical chemistry chemical physics : PCCP", "id" : "ITEM-6", "issue" : "47", "issued" : { "date-parts" : [ [ "2013" ] ] }, "page" : "20625-20632", "title" : "Hydrotropy: binding models vs. statistical thermodynamics.", "type" : "article-journal", "volume" : "15" }, "uris" : [ "http://www.mendeley.com/documents/?uuid=d239f09f-553e-48eb-882f-c22d5aa8ac8c" ] }, { "id" : "ITEM-7",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"ITEM-7", "issue" : "14", "issued" : { "date-parts" : [ [ "2014" ] ] }, "page" : "3922-3930", "title" : "Preferential solvation: Dividing surface vs excess numbers", "type" : "article-journal", "volume" : "118" }, "uris" : [ "http://www.mendeley.com/documents/?uuid=896fec6b-354e-41cd-a8de-55bd371a22f5" ] }, { "id" : "ITEM-8", "itemData" : { "DOI" : "10.1021/jp505869m", "ISBN" : "1520-5207 (Electronic)\\r1520-5207 (Linking)", "ISSN" : "15205207", "PMID" : "25144510", "abstract" : "Drug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 "author" : [ { "dropping-particle" : "", "family" : "Shimizu", "given" : "Seishi", "non-dropping-particle" : "", "parse-names" : false, "suffix" : "" }, { "dropping-particle" : "", "family" : "Matubayasi", "given" : "Nobuyuki", "non-dropping-particle" : "", "parse-names" : false, "suffix" : "" } ], "container-title" : "Journal of Physical Chemistry B", "id" : "ITEM-8", "issue" : "35", "issued" : { "date-parts" : [ [ "2014" ] ] }, "page" : "10515-10524", "title" : "Hydrotropy: Monomer-micelle equilibrium and minimum hydrotrope concentration", "type" : "article-journal", "volume" : "118" }, "uris" : [ "http://www.mendeley.com/documents/?uuid=0cd1508f-d197-4e8d-a474-504cfaeae922" ] }, { "id" : "ITEM-9", "itemData" : { "DOI" : "10.1021/jp509099h", "ISSN" : "15205207", "PMID" : "25375260", "abstract" : "Gelation is enhanced by the addition of sugars and polyols. How, at a microscopic level, do such cosolvents enhance gelation? The following two different hypotheses have been proposed so far to answer this question: (i) enhancement of water structure around the biopolymer induced by cosolvents; (ii) exclusion of cosolvents from biopolymer surfaces. To examine the validity of the above hypotheses, as well as to quantify the driving forces of cosolvent-induced gelation, we have constructed a statistical thermodynamic theory of gelation, by extending our Kirkwood-Buff theory of cosolvency; biopolymer-water and biopolymer-cosolvent interactions can both be determined from thermodynamic data. The exclusion of cosolvents is shown to be the dominant contribution, whereas the hydration change is a minor contribution, which may be important only so far as to mediate the exclusion of cosolvents.", "author" : [ { "dropping-particle" : "", "family" : "Shimizu", "given" : "Seishi", "non-dropping-particle" : "", "parse-names" : false, "suffix" : "" }, { "dropping-particle" : "", "family" : "Matubayasi", "given" : "Nobuyuki", "non-dropping-particle" : "", "parse-names" : false, "suffix" : "" } ], "container-title" : "Journal of Physical Chemistry B", "id" : "ITEM-9", "issue" : "46", "issued" : { "date-parts" : [ [ "2014" ] ] }, "page" : "13210-13216", "title" : "Gelation: The role of sugars and polyols on gelatin and agarose", "type" : "article-journal", "volume" : "118" }, "uris" : [ "http://www.mendeley.com/documents/?uuid=3f487fe1-7c16-485b-971c-d2e69e2da704" ] }, { "id" : "ITEM-10", "itemData" : { "DOI" : "10.1039/C4CP05414H", "ISBN" : "1463-9084", "ISSN" : "1463-9076", "abstract" : "Nicotinamide is an effective non-micellar hydrotrope (solubilizer) for drugs with low aqueous solubility. To clarify the molecular basis of nicotinamide's hydrotropic effectiveness, we present here a rigorous statistical thermodynamic theory, based on the Kirkwood-Buff theory of solutions, and our recent application of it to hydrotropy. We have shown that (i) nicotinamide self-association reduces solubilization efficiency, contrary to the previous hypothesis which claimed that self-association drives solubilization and (ii) the minimum hydrotrope concentration (MHC), namely, the threshold concentration above which solubility suddenly increases, is caused not by the bulk-phase self-association of nicotinamides as has been postulated previously, but by the enhancement of nicotinamide-nicotinamide interaction around the drug molecules. We have thus established a new view of hydrotropy - it is nicotinamide's non-stoichiometric accumulation around the drug that is the basis of solubility increase above MHC.[on SciFinder (R)]", "author" : [ { "dropping-particle" : "", "family" : "Booth", "given" : "Jonathan J", "non-dropping-particle" : "", "parse-names" : false, "suffix" : "" }, { "dropping-particle" : "", "family" : "Omar", "given" : "Muhiadin", "non-dropping-particle" : "", "parse-names" : false, "suffix" : "" }, { "dropping-particle" : "", "family" : "Abbott", "given" : "Steven", "non-dropping-particle" : "", "parse-names" : false, "suffix" : "" }, { "dropping-particle" : "", "family" : "Shimizu", "given" : "Seishi", "non-dropping-particle" : "", "parse-names" : false, "suffix" : "" } ], "container-title" : "Phys Chem Chem Phys", "id" : "ITEM-10", "issue" : "12", "issued" : { "date-parts" : [ [ "2015" ] ] }, "page" : "8028-8037", "publisher" : "Royal Society of Chemistry", "title" : "Hydrotrope accumulation around the drug: the driving force for solubilization and minimum hydrotrope concentration for nicotinamide and urea", "type" : "article-journal", "volume" : "17" }, "uris" : [ "http://www.mendeley.com/documents/?uuid=5c6e1dca-c577-4d43-8836-d1f313635128" ] }, { "id" : "ITEM-11", "itemData" : { "DOI" : "10.1016/j.foodhyd.2015.10.007", "ISSN" : "0268005X", "abstract" : "The gelation of ??-carrageenan, a common polysaccharide for food gelling and thickening, is enhanced by the addition of sugars and polyols. Three different hypotheses have been proposed to explain this phenomenon: (i) the enhancement of the water structure around polysaccharides, and the concurrent change in polysaccharide hydration, induced by the cosolvent; (ii) exclusion of cosolvents from polysaccharide surfaces; (iii) binding between sugars/polyols and polysaccharides in the gel phase. To examine the above hypotheses, as well as to reveal the true driving forces responsible for gelation enhancement, we applied our recent statistical thermodynamic theory of gelation, derived from the rigorous Kirkwood-Buff theory. The hydration change is shown to be negligibly small relative to cosolvent exclusion and cosolvent-biopolymer binding, which can be rationalized by considering a sol-gel equilibrium in which (1) the exclusion of sugars/polyols from ??-carrageenan's surface in the sol phase, and (2) the binding of sugars and polyols in the gel phase, shift the sol-gel equilibrium of ??-carrageenan to the gel state. This novel picture is consistent with a wealth of experimental evidence and provides a mechanistic insight into how polyol and sugar cosolvents influence the gelation of ??-carrageenan on a molecular level.", "author" : [ { "dropping-particle" : "", "family" : "Stenner", "given" : "Richard", "non-dropping-particle" : "", "parse-names" : false, "suffix" : "" }, { "dropping-particle" : "", "family" : "Matubayasi", "given" : "Nobuyuki", "non-dropping-particle" : "", "parse-names" : false, "suffix" : "" }, { "dropping-particle" : "", "family" : "Shimizu", "given" : "Seishi", "non-dropping-particle" : "", "parse-names" : false, "suffix" : "" } ], "container-title" : "Food Hydrocolloids", "id" : "ITEM-11", "issued" : { "date-parts" : [ [ "2016" ] ] }, "page" : "284-292", "publisher" : "Elsevier Ltd", "title" : "Gelation of carrageenan: Effects of sugars and polyols", "type" : "article-journal", "volume" : "54" }, "uris" : [ "http://www.mendeley.com/documents/?uuid=1ba0dc87-aef9-4f66-a843-a82ff360fd80" ] }, { "id" : "ITEM-12",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"ITEM-12",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"mendeley" : { "formattedCitation" : "&lt;sup&gt;11\u201322&lt;/sup&gt;", "plainTextFormattedCitation" : "11\u201322", "previouslyFormattedCitation" : "&lt;sup&gt;11\u201322&lt;/sup&gt;" }, "properties" : { "noteIndex" : 0 }, "schema" : "https://github.com/citation-style-language/schema/raw/master/csl-citation.json" }</w:instrText>
      </w:r>
      <w:r w:rsidR="00025D4E" w:rsidRPr="00D039E9">
        <w:rPr>
          <w:rFonts w:cs="Times"/>
          <w:lang w:val="en-CA"/>
        </w:rPr>
        <w:fldChar w:fldCharType="separate"/>
      </w:r>
      <w:r w:rsidR="003E67FA" w:rsidRPr="00D039E9">
        <w:rPr>
          <w:rFonts w:cs="Times"/>
          <w:noProof/>
          <w:vertAlign w:val="superscript"/>
          <w:lang w:val="en-CA"/>
        </w:rPr>
        <w:t>11–22</w:t>
      </w:r>
      <w:r w:rsidR="00025D4E" w:rsidRPr="00D039E9">
        <w:rPr>
          <w:rFonts w:cs="Times"/>
          <w:lang w:val="en-CA"/>
        </w:rPr>
        <w:fldChar w:fldCharType="end"/>
      </w:r>
      <w:r w:rsidRPr="00D039E9">
        <w:rPr>
          <w:rFonts w:cs="Times"/>
          <w:lang w:val="en-CA"/>
        </w:rPr>
        <w:t xml:space="preserve"> This will be beneficial </w:t>
      </w:r>
      <w:r w:rsidR="003E19B4" w:rsidRPr="00D039E9">
        <w:rPr>
          <w:rFonts w:cs="Times"/>
          <w:lang w:val="en-CA"/>
        </w:rPr>
        <w:t xml:space="preserve">at </w:t>
      </w:r>
      <w:r w:rsidRPr="00D039E9">
        <w:rPr>
          <w:rFonts w:cs="Times"/>
          <w:lang w:val="en-CA"/>
        </w:rPr>
        <w:t xml:space="preserve">the practical level in the hands of experimentalists, who can choose whichever is the simplest approach which will yield molecular-level information without the need for over-complicated experimental setups. </w:t>
      </w:r>
    </w:p>
    <w:p w14:paraId="21E39C4B" w14:textId="77777777" w:rsidR="003872DB" w:rsidRPr="00D039E9" w:rsidRDefault="003872DB" w:rsidP="003872DB">
      <w:pPr>
        <w:pStyle w:val="TAMainText"/>
        <w:rPr>
          <w:rFonts w:cs="Times"/>
          <w:lang w:val="en-CA"/>
        </w:rPr>
      </w:pPr>
    </w:p>
    <w:p w14:paraId="33EFBB12" w14:textId="57C782A7" w:rsidR="003872DB" w:rsidRPr="00D039E9" w:rsidRDefault="003872DB" w:rsidP="003872DB">
      <w:pPr>
        <w:pStyle w:val="TAMainText"/>
        <w:rPr>
          <w:rFonts w:cs="Times"/>
          <w:lang w:val="en-CA"/>
        </w:rPr>
      </w:pPr>
      <w:r w:rsidRPr="00D039E9">
        <w:rPr>
          <w:rFonts w:cs="Times"/>
          <w:lang w:val="en-CA"/>
        </w:rPr>
        <w:t xml:space="preserve">Thirdly, </w:t>
      </w:r>
      <w:r w:rsidR="00C73C31" w:rsidRPr="00D039E9">
        <w:rPr>
          <w:rFonts w:cs="Times"/>
          <w:lang w:val="en-CA"/>
        </w:rPr>
        <w:t xml:space="preserve">as will be shown later, </w:t>
      </w:r>
      <w:r w:rsidRPr="00D039E9">
        <w:rPr>
          <w:rFonts w:cs="Times"/>
          <w:lang w:val="en-CA"/>
        </w:rPr>
        <w:t xml:space="preserve">the </w:t>
      </w:r>
      <w:r w:rsidR="003E19B4" w:rsidRPr="00D039E9">
        <w:rPr>
          <w:rFonts w:cs="Times"/>
          <w:lang w:val="en-CA"/>
        </w:rPr>
        <w:t xml:space="preserve">same theoretical framework </w:t>
      </w:r>
      <w:r w:rsidRPr="00D039E9">
        <w:rPr>
          <w:rFonts w:cs="Times"/>
          <w:lang w:val="en-CA"/>
        </w:rPr>
        <w:t>has made it possible to unite several different subfields of research within food science: flavour-food interaction, the role of cosolvents (additives, cosolutes, denaturants, stabilizers etc) on protein gelation and denaturation,</w:t>
      </w:r>
      <w:r w:rsidR="00025D4E" w:rsidRPr="00D039E9">
        <w:rPr>
          <w:rFonts w:cs="Times"/>
          <w:lang w:val="en-CA"/>
        </w:rPr>
        <w:fldChar w:fldCharType="begin" w:fldLock="1"/>
      </w:r>
      <w:r w:rsidR="003E67FA" w:rsidRPr="00D039E9">
        <w:rPr>
          <w:rFonts w:cs="Times"/>
          <w:lang w:val="en-CA"/>
        </w:rPr>
        <w:instrText>ADDIN CSL_CITATION { "citationItems" : [ { "id" : "ITEM-1",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"ITEM-1",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"id" : "ITEM-2", "itemData" : { "DOI" : "10.1063/1.1806402", "ISSN" : "00219606", "PMID" : "15527383", "abstract" : "Cosolvents added to aqueous solutions of biomolecules profoundly affect protein stability, as well as biochemical equilibria. Some cosolvents, such as urea and guanidine hydrochloride, denature proteins, whereas others, such as osmolytes and crowders, stabilize the native structures of proteins. The way cosolvents interact with biomolecules is crucial information required to understand the cosolvent effect at a molecular level. We present a statistical mechanical framework based upon Kirkwood-Buff theory, which enables one to extract this picture from experimental data. The combination of two experimental results, namely, the cosolvent-induced equilibrium shift and the partial molar volume change upon the reaction, supplimented by the structural change, is shown to yield the number of water and cosolvent molecules bound or released during a reaction. Previously, denaturation experiments (e.g., m-value analysis) were analyzed by empirical and stoichiometric solvent-binding models, while the effects of osmolytes and crowders were analyzed by the approximate molecular crowding approach for low cosolvent concentration. Here we synthesize these previous approaches in a rigorous statistical mechanical treatment, which is applicable at any cosolvent concentration. The usefulness and accuracy of previous approaches was also evaluated.", "author" : [ { "dropping-particle" : "", "family" : "Shimizu", "given" : "Seishi", "non-dropping-particle" : "", "parse-names" : false, "suffix" : "" }, { "dropping-particle" : "", "family" : "Boon", "given" : "Chandra L.", "non-dropping-particle" : "", "parse-names" : false, "suffix" : "" } ], "container-title" : "Journal of Chemical Physics", "id" : "ITEM-2", "issue" : "18", "issued" : { "date-parts" : [ [ "2004" ] ] }, "page" : "9147-9155", "title" : "The Kirkwood-Buff theory and the effect of cosolvents on biochemical reactions", "type" : "article-journal", "volume" : "121" }, "uris" : [ "http://www.mendeley.com/documents/?uuid=773d4c28-f2d5-421b-a5a5-0066df199fbe" ] }, { "id" : "ITEM-3", "itemData" : { "DOI" : "10.1063/1.2206174", "ISBN" : "0021-9606 (Print)\\r0021-9606 (Linking)", "ISSN" : "00219606", "PMID" : "16821951", "abstract" : "In order to understand the origin of the Hofmeister series, a statistical-mechanical analysis, based upon the Kirkwood-Buff (KB) theory, has been performed to extract information regarding protein hydration and water-mediated protein-salt interactions from published experimental data-preferential hydration and volumetric data for bovine serum albumin in the presence of a wide range of salts. The analysis showed a linear correlation between the preferential hydration parameter and the protein-cosolvent KB parameter. The same linear correlation holds even when nonelectrolyte cosolvents, such as polyethelene glycol, have been incorporated. These results suggest that the Hofmeister series is due to a wide variation of the water-mediated protein-cosolvent interaction (but not the change of protein hydration) and that this mechanism is a special case of a more general scenario common even to the macromolecular crowding.", "author" : [ { "dropping-particle" : "", "family" : "Shimizu", "given" : "Seishi", "non-dropping-particle" : "", "parse-names" : false, "suffix" : "" }, { "dropping-particle" : "", "family" : "McLaren", "given" : "William M.", "non-dropping-particle" : "", "parse-names" : false, "suffix" : "" }, { "dropping-particle" : "", "family" : "Matubayasi", "given" : "Nobuyuki", "non-dropping-particle" : "", "parse-names" : false, "suffix" : "" } ], "container-title" : "Journal of Chemical Physics", "id" : "ITEM-3", "issue" : "23", "issued" : { "date-parts" : [ [ "2006" ] ] }, "page" : "234905/1-234905/4", "title" : "The Hofmeister series and protein-salt interactions", "type" : "article-journal", "volume" : "124" }, "uris" : [ "http://www.mendeley.com/documents/?uuid=0a70a1b5-2739-4d43-a695-db256c211fdf" ] }, { "id" : "ITEM-4", "itemData" : { "DOI" : "10.1021/jp509099h", "ISSN" : "15205207", "PMID" : "25375260", "abstract" : "Gelation is enhanced by the addition of sugars and polyols. How, at a microscopic level, do such cosolvents enhance gelation? The following two different hypotheses have been proposed so far to answer this question: (i) enhancement of water structure around the biopolymer induced by cosolvents; (ii) exclusion of cosolvents from biopolymer surfaces. To examine the validity of the above hypotheses, as well as to quantify the driving forces of cosolvent-induced gelation, we have constructed a statistical thermodynamic theory of gelation, by extending our Kirkwood-Buff theory of cosolvency; biopolymer-water and biopolymer-cosolvent interactions can both be determined from thermodynamic data. The exclusion of cosolvents is shown to be the dominant contribution, whereas the hydration change is a minor contribution, which may be important only so far as to mediate the exclusion of cosolvents.", "author" : [ { "dropping-particle" : "", "family" : "Shimizu", "given" : "Seishi", "non-dropping-particle" : "", "parse-names" : false, "suffix" : "" }, { "dropping-particle" : "", "family" : "Matubayasi", "given" : "Nobuyuki", "non-dropping-particle" : "", "parse-names" : false, "suffix" : "" } ], "container-title" : "Journal of Physical Chemistry B", "id" : "ITEM-4", "issue" : "46", "issued" : { "date-parts" : [ [ "2014" ] ] }, "page" : "13210-13216", "title" : "Gelation: The role of sugars and polyols on gelatin and agarose", "type" : "article-journal", "volume" : "118" }, "uris" : [ "http://www.mendeley.com/documents/?uuid=3f487fe1-7c16-485b-971c-d2e69e2da704" ] } ], "mendeley" : { "formattedCitation" : "&lt;sup&gt;11\u201313,19&lt;/sup&gt;", "plainTextFormattedCitation" : "11\u201313,19", "previouslyFormattedCitation" : "&lt;sup&gt;11\u201313,19&lt;/sup&gt;" }, "properties" : { "noteIndex" : 0 }, "schema" : "https://github.com/citation-style-language/schema/raw/master/csl-citation.json" }</w:instrText>
      </w:r>
      <w:r w:rsidR="00025D4E" w:rsidRPr="00D039E9">
        <w:rPr>
          <w:rFonts w:cs="Times"/>
          <w:lang w:val="en-CA"/>
        </w:rPr>
        <w:fldChar w:fldCharType="separate"/>
      </w:r>
      <w:r w:rsidR="003E67FA" w:rsidRPr="00D039E9">
        <w:rPr>
          <w:rFonts w:cs="Times"/>
          <w:noProof/>
          <w:vertAlign w:val="superscript"/>
          <w:lang w:val="en-CA"/>
        </w:rPr>
        <w:t>11–13,19</w:t>
      </w:r>
      <w:r w:rsidR="00025D4E" w:rsidRPr="00D039E9">
        <w:rPr>
          <w:rFonts w:cs="Times"/>
          <w:lang w:val="en-CA"/>
        </w:rPr>
        <w:fldChar w:fldCharType="end"/>
      </w:r>
      <w:r w:rsidR="00025D4E" w:rsidRPr="00D039E9">
        <w:rPr>
          <w:rFonts w:cs="Times"/>
          <w:lang w:val="en-CA"/>
        </w:rPr>
        <w:t xml:space="preserve"> </w:t>
      </w:r>
      <w:r w:rsidRPr="00D039E9">
        <w:rPr>
          <w:rFonts w:cs="Times"/>
          <w:lang w:val="en-CA"/>
        </w:rPr>
        <w:t>and hydrotropic solubilisation of hydrophobic molecules (such as flavour) into aqueous solution.</w:t>
      </w:r>
      <w:r w:rsidR="00025D4E" w:rsidRPr="00D039E9">
        <w:rPr>
          <w:rFonts w:cs="Times"/>
          <w:lang w:val="en-CA"/>
        </w:rPr>
        <w:fldChar w:fldCharType="begin" w:fldLock="1"/>
      </w:r>
      <w:r w:rsidR="00C65F5C" w:rsidRPr="00D039E9">
        <w:rPr>
          <w:rFonts w:cs="Times"/>
          <w:lang w:val="en-CA"/>
        </w:rPr>
        <w:instrText>ADDIN CSL_CITATION { "citationItems" : [ { "id" : "ITEM-1", "itemData" : { "DOI" : "10.1021/jp309819r", "ISBN" : "1520-6106", "ISSN" : "15205207", "PMID" : "23236952", "abstract" : "Drugs that are poorly soluble in water can be solubilized by the addition of hydrotropes. Albeit known for almost a century, how they work at a molecular basis is still controversial due to the lack of a rigorous theoretical basis. To clear up this situation, a combination of experimental data and Fluctuation Theory of Solutions (FTS) has been employed; information on the interactions between all the molecular species present in the solution has been evaluated directly. FTS has identified two major factors of hydrotrope-induced solubilization: preferential hydrotrope-solute interaction and water activity depression. The former is dominated by hydrotrope-solute association, and the latter is enhanced by ionic dissociation and hindered by the self-aggregation of the hydrotropes. Moreover, in stark contrast to previous hypotheses, neither the change of solute hydration nor the water structure accounts for hydrotropy. Indeed, the rigorous FTS poses serious doubts over the other common hypothesis: self-aggregation of the hydrotrope hinders, rather than promotes, solubilization.", "author" : [ { "dropping-particle" : "", "family" : "Booth", "given" : "Jonathan J.", "non-dropping-particle" : "", "parse-names" : false, "suffix" : "" }, { "dropping-particle" : "", "family" : "Abbott", "given" : "Steven", "non-dropping-particle" : "", "parse-names" : false, "suffix" : "" }, { "dropping-particle" : "", "family" : "Shimizu", "given" : "Seishi", "non-dropping-particle" : "", "parse-names" : false, "suffix" : "" } ], "container-title" : "Journal of Physical Chemistry B", "id" : "ITEM-1", "issue" : "51", "issued" : { "date-parts" : [ [ "2012" ] ] }, "page" : "14915-14921", "title" : "Mechanism of hydrophobic drug solubilization by small molecule hydrotropes", "type" : "article-journal", "volume" : "116" }, "uris" : [ "http://www.mendeley.com/documents/?uuid=33c3cbc9-707a-4097-91a4-e91008bc3dd6" ] }, { "id" : "ITEM-2", "itemData" : { "DOI" : "10.1039/c3cp53791a", "ISBN" : "1463-9076", "ISSN" : "1463-9084", "PMID" : "24189644", "abstract" : "Hydrophobic drugs can often be solubilized by the addition of hydrotropes. We have previously shown that preferential drug-hydrotrope association is one of the major factors of increased solubility (but not \"hydrotrope clustering\" or changes in \"water structure\"). How, then, can we understand this drug-hydrotrope interaction at a molecular level? Thermodynamic models based upon stoichiometric solute-water and solute-hydrotrope binding have long been used to understand solubilization microscopically. Such binding models have shown that the solvation numbers or coordination numbers of the water and hydrotrope molecules around the drug solute is the key quantity for solute-water and solute-hydrotrope interaction. However, we show that a rigorous statistical thermodynamic theory (the fluctuation solution theory originated by Kirkwood and Buff) requires the total reconsideration of such a paradigm. Here we show that (i) the excess solvation number (the net increase or decrease, relative to the bulk, of the solvent molecules around the solute), not the coordination number, is the key quantity for describing the solute-hydrotrope interaction; (ii) solute-hydrotrope binding is beyond the reach of the stoichiometric models because long-range solvation structure plays an important role.", "author" : [ { "dropping-particle" : "", "family" : "Shimizu", "given" : "Seishi", "non-dropping-particle" : "", "parse-names" : false, "suffix" : "" }, { "dropping-particle" : "", "family" : "Booth", "given" : "Jonathan J", "non-dropping-particle" : "", "parse-names" : false, "suffix" : "" }, { "dropping-particle" : "", "family" : "Abbott", "given" : "Steven", "non-dropping-particle" : "", "parse-names" : false, "suffix" : "" } ], "container-title" : "Physical chemistry chemical physics : PCCP", "id" : "ITEM-2", "issue" : "47", "issued" : { "date-parts" : [ [ "2013" ] ] }, "page" : "20625-20632", "title" : "Hydrotropy: binding models vs. statistical thermodynamics.", "type" : "article-journal", "volume" : "15" }, "uris" : [ "http://www.mendeley.com/documents/?uuid=d239f09f-553e-48eb-882f-c22d5aa8ac8c" ] }, { "id" : "ITEM-3", "itemData" : { "DOI" : "10.1021/jp505869m", "ISBN" : "1520-5207 (Electronic)\\r1520-5207 (Linking)", "ISSN" : "15205207", "PMID" : "25144510", "abstract" : "Drug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 "author" : [ { "dropping-particle" : "", "family" : "Shimizu", "given" : "Seishi", "non-dropping-particle" : "", "parse-names" : false, "suffix" : "" }, { "dropping-particle" : "", "family" : "Matubayasi", "given" : "Nobuyuki", "non-dropping-particle" : "", "parse-names" : false, "suffix" : "" } ], "container-title" : "Journal of Physical Chemistry B", "id" : "ITEM-3", "issue" : "35", "issued" : { "date-parts" : [ [ "2014" ] ] }, "page" : "10515-10524", "title" : "Hydrotropy: Monomer-micelle equilibrium and minimum hydrotrope concentration", "type" : "article-journal", "volume" : "118" }, "uris" : [ "http://www.mendeley.com/documents/?uuid=0cd1508f-d197-4e8d-a474-504cfaeae922" ] }, { "id" : "ITEM-4", "itemData" : { "DOI" : "10.1039/C4CP05414H", "ISBN" : "1463-9084", "ISSN" : "1463-9076", "abstract" : "Nicotinamide is an effective non-micellar hydrotrope (solubilizer) for drugs with low aqueous solubility. To clarify the molecular basis of nicotinamide's hydrotropic effectiveness, we present here a rigorous statistical thermodynamic theory, based on the Kirkwood-Buff theory of solutions, and our recent application of it to hydrotropy. We have shown that (i) nicotinamide self-association reduces solubilization efficiency, contrary to the previous hypothesis which claimed that self-association drives solubilization and (ii) the minimum hydrotrope concentration (MHC), namely, the threshold concentration above which solubility suddenly increases, is caused not by the bulk-phase self-association of nicotinamides as has been postulated previously, but by the enhancement of nicotinamide-nicotinamide interaction around the drug molecules. We have thus established a new view of hydrotropy - it is nicotinamide's non-stoichiometric accumulation around the drug that is the basis of solubility increase above MHC.[on SciFinder (R)]", "author" : [ { "dropping-particle" : "", "family" : "Booth", "given" : "Jonathan J", "non-dropping-particle" : "", "parse-names" : false, "suffix" : "" }, { "dropping-particle" : "", "family" : "Omar", "given" : "Muhiadin", "non-dropping-particle" : "", "parse-names" : false, "suffix" : "" }, { "dropping-particle" : "", "family" : "Abbott", "given" : "Steven", "non-dropping-particle" : "", "parse-names" : false, "suffix" : "" }, { "dropping-particle" : "", "family" : "Shimizu", "given" : "Seishi", "non-dropping-particle" : "", "parse-names" : false, "suffix" : "" } ], "container-title" : "Phys Chem Chem Phys", "id" : "ITEM-4", "issue" : "12", "issued" : { "date-parts" : [ [ "2015" ] ] }, "page" : "8028-8037", "publisher" : "Royal Society of Chemistry", "title" : "Hydrotrope accumulation around the drug: the driving force for solubilization and minimum hydrotrope concentration for nicotinamide and urea", "type" : "article-journal", "volume" : "17" }, "uris" : [ "http://www.mendeley.com/documents/?uuid=5c6e1dca-c577-4d43-8836-d1f313635128" ] }, { "id" : "ITEM-5", "itemData" : { "DOI" : "10.1039/C6GC03002E", "ISBN" : "1463-9262 1463-9270", "ISSN" : "1463-9262", "author" : [ { "dropping-particle" : "", "family" : "Abbott", "given" : "Steven", "non-dropping-particle" : "", "parse-names" : false, "suffix" : "" }, { "dropping-particle" : "", "family" : "Booth", "given" : "Jonathan J.", "non-dropping-particle" : "", "parse-names" : false, "suffix" : "" }, { "dropping-particle" : "", "family" : "Shimizu", "given" : "Seishi", "non-dropping-particle" : "", "parse-names" : false, "suffix" : "" } ], "container-title" : "Green Chem.", "id" : "ITEM-5", "issued" : { "date-parts" : [ [ "2017" ] ] }, "page" : "68-75", "publisher" : "Royal Society of Chemistry", "title" : "Practical molecular thermodynamics for greener solution chemistry", "type" : "article-journal", "volume" : "19" }, "uris" : [ "http://www.mendeley.com/documents/?uuid=9178faf9-c7e8-4c64-be95-1f01c2dd4f3e" ] } ], "mendeley" : { "formattedCitation" : "&lt;sup&gt;15,16,18,20,57&lt;/sup&gt;", "plainTextFormattedCitation" : "15,16,18,20,57", "previouslyFormattedCitation" : "&lt;sup&gt;15,16,18,20,57&lt;/sup&gt;" }, "properties" : { "noteIndex" : 0 }, "schema" : "https://github.com/citation-style-language/schema/raw/master/csl-citation.json" }</w:instrText>
      </w:r>
      <w:r w:rsidR="00025D4E" w:rsidRPr="00D039E9">
        <w:rPr>
          <w:rFonts w:cs="Times"/>
          <w:lang w:val="en-CA"/>
        </w:rPr>
        <w:fldChar w:fldCharType="separate"/>
      </w:r>
      <w:r w:rsidR="00BB3004" w:rsidRPr="00D039E9">
        <w:rPr>
          <w:rFonts w:cs="Times"/>
          <w:noProof/>
          <w:vertAlign w:val="superscript"/>
          <w:lang w:val="en-CA"/>
        </w:rPr>
        <w:t>15,16,18,20,57</w:t>
      </w:r>
      <w:r w:rsidR="00025D4E" w:rsidRPr="00D039E9">
        <w:rPr>
          <w:rFonts w:cs="Times"/>
          <w:lang w:val="en-CA"/>
        </w:rPr>
        <w:fldChar w:fldCharType="end"/>
      </w:r>
      <w:r w:rsidRPr="00D039E9">
        <w:rPr>
          <w:rFonts w:cs="Times"/>
          <w:lang w:val="en-CA"/>
        </w:rPr>
        <w:t xml:space="preserve"> </w:t>
      </w:r>
    </w:p>
    <w:p w14:paraId="0EE86281" w14:textId="77777777" w:rsidR="003872DB" w:rsidRPr="00D039E9" w:rsidRDefault="003872DB" w:rsidP="003872DB">
      <w:pPr>
        <w:pStyle w:val="TAMainText"/>
        <w:rPr>
          <w:rFonts w:cs="Times"/>
          <w:lang w:val="en-CA"/>
        </w:rPr>
      </w:pPr>
    </w:p>
    <w:p w14:paraId="0417B4DA" w14:textId="16012B77" w:rsidR="003872DB" w:rsidRPr="00D039E9" w:rsidRDefault="003872DB" w:rsidP="003872DB">
      <w:pPr>
        <w:pStyle w:val="TAMainText"/>
        <w:rPr>
          <w:rFonts w:cs="Times"/>
          <w:lang w:val="en-CA"/>
        </w:rPr>
      </w:pPr>
      <w:r w:rsidRPr="00D039E9">
        <w:rPr>
          <w:rFonts w:cs="Times"/>
          <w:lang w:val="en-CA"/>
        </w:rPr>
        <w:t xml:space="preserve">In the following, we shall show how the novel theory drastically simplifies the analysis of experimental data, and bring in the added benefit of an accurate and unified perspective. </w:t>
      </w:r>
      <w:r w:rsidR="00EB2066" w:rsidRPr="00D039E9">
        <w:rPr>
          <w:rFonts w:cs="Times"/>
          <w:lang w:val="en-CA"/>
        </w:rPr>
        <w:t xml:space="preserve">The experimental data gathered from the literature have been made available in the web-based “apps” accompanying this paper, through which the reader can use to follow the process of analysis. </w:t>
      </w:r>
    </w:p>
    <w:p w14:paraId="1C81B556" w14:textId="68E1882D" w:rsidR="003872DB" w:rsidRPr="00D039E9" w:rsidRDefault="003872DB" w:rsidP="003872DB">
      <w:pPr>
        <w:pStyle w:val="TAMainText"/>
        <w:ind w:firstLine="0"/>
        <w:rPr>
          <w:rFonts w:cs="Times"/>
          <w:lang w:val="en-CA"/>
        </w:rPr>
      </w:pPr>
    </w:p>
    <w:p w14:paraId="785AF3FF" w14:textId="7A35C508" w:rsidR="00FA7B73" w:rsidRPr="00D039E9" w:rsidRDefault="00FA7B73" w:rsidP="00FA7B73">
      <w:pPr>
        <w:pStyle w:val="TAMainText"/>
        <w:ind w:firstLine="0"/>
        <w:rPr>
          <w:rFonts w:cs="Times"/>
          <w:b/>
          <w:lang w:val="en-CA"/>
        </w:rPr>
      </w:pPr>
      <w:r w:rsidRPr="00D039E9">
        <w:rPr>
          <w:rFonts w:cs="Times"/>
          <w:b/>
          <w:lang w:val="en-CA"/>
        </w:rPr>
        <w:t xml:space="preserve">2. Flavour-biomolecule binding should be characterized </w:t>
      </w:r>
      <w:r w:rsidR="006803CF" w:rsidRPr="00D039E9">
        <w:rPr>
          <w:rFonts w:cs="Times"/>
          <w:b/>
          <w:lang w:val="en-CA"/>
        </w:rPr>
        <w:t xml:space="preserve">not by the binding constant but </w:t>
      </w:r>
      <w:r w:rsidRPr="00D039E9">
        <w:rPr>
          <w:rFonts w:cs="Times"/>
          <w:b/>
          <w:lang w:val="en-CA"/>
        </w:rPr>
        <w:t xml:space="preserve">by </w:t>
      </w:r>
      <w:r w:rsidR="00131D60" w:rsidRPr="00D039E9">
        <w:rPr>
          <w:rFonts w:cs="Times"/>
          <w:b/>
          <w:lang w:val="en-CA"/>
        </w:rPr>
        <w:t>the Kirkwood-Buff integr</w:t>
      </w:r>
      <w:r w:rsidR="006803CF" w:rsidRPr="00D039E9">
        <w:rPr>
          <w:rFonts w:cs="Times"/>
          <w:b/>
          <w:lang w:val="en-CA"/>
        </w:rPr>
        <w:t>als</w:t>
      </w:r>
    </w:p>
    <w:p w14:paraId="544F840F" w14:textId="77777777" w:rsidR="00FA7B73" w:rsidRPr="00D039E9" w:rsidRDefault="00FA7B73" w:rsidP="00FA7B73">
      <w:pPr>
        <w:pStyle w:val="TAMainText"/>
        <w:ind w:firstLine="0"/>
        <w:rPr>
          <w:rFonts w:cs="Times"/>
          <w:lang w:val="en-CA"/>
        </w:rPr>
      </w:pPr>
    </w:p>
    <w:p w14:paraId="6334C582" w14:textId="2B655B16" w:rsidR="00F873B9" w:rsidRPr="00D039E9" w:rsidRDefault="006C4568" w:rsidP="00FA7B73">
      <w:pPr>
        <w:pStyle w:val="TAMainText"/>
        <w:ind w:firstLine="0"/>
        <w:rPr>
          <w:lang w:val="en-CA"/>
        </w:rPr>
      </w:pPr>
      <w:r w:rsidRPr="00D039E9">
        <w:rPr>
          <w:lang w:val="en-CA"/>
        </w:rPr>
        <w:t>B</w:t>
      </w:r>
      <w:r w:rsidR="007F05BE" w:rsidRPr="00D039E9">
        <w:rPr>
          <w:lang w:val="en-CA"/>
        </w:rPr>
        <w:t xml:space="preserve">ecause of the </w:t>
      </w:r>
      <w:r w:rsidR="00282A68" w:rsidRPr="00D039E9">
        <w:rPr>
          <w:lang w:val="en-CA"/>
        </w:rPr>
        <w:t>evidence against the assumptions (i)-(iii)</w:t>
      </w:r>
      <w:r w:rsidR="000C43E9" w:rsidRPr="00D039E9">
        <w:rPr>
          <w:lang w:val="en-CA"/>
        </w:rPr>
        <w:t xml:space="preserve"> </w:t>
      </w:r>
      <w:r w:rsidRPr="00D039E9">
        <w:rPr>
          <w:lang w:val="en-CA"/>
        </w:rPr>
        <w:t>in Section 1, we advocate the replacement of the binding model by a molecular thermodynamic</w:t>
      </w:r>
      <w:r w:rsidR="00F873B9" w:rsidRPr="00D039E9">
        <w:rPr>
          <w:lang w:val="en-CA"/>
        </w:rPr>
        <w:t xml:space="preserve"> the</w:t>
      </w:r>
      <w:r w:rsidRPr="00D039E9">
        <w:rPr>
          <w:lang w:val="en-CA"/>
        </w:rPr>
        <w:t xml:space="preserve">ory which has clear advantages </w:t>
      </w:r>
      <w:r w:rsidR="00F873B9" w:rsidRPr="00D039E9">
        <w:rPr>
          <w:lang w:val="en-CA"/>
        </w:rPr>
        <w:t>sum</w:t>
      </w:r>
      <w:r w:rsidRPr="00D039E9">
        <w:rPr>
          <w:lang w:val="en-CA"/>
        </w:rPr>
        <w:t>marised as (1)-(3) in Section 1</w:t>
      </w:r>
      <w:r w:rsidR="00F873B9" w:rsidRPr="00D039E9">
        <w:rPr>
          <w:lang w:val="en-CA"/>
        </w:rPr>
        <w:t>.</w:t>
      </w:r>
      <w:r w:rsidR="00972CE5" w:rsidRPr="00D039E9">
        <w:rPr>
          <w:lang w:val="en-CA"/>
        </w:rPr>
        <w:fldChar w:fldCharType="begin" w:fldLock="1"/>
      </w:r>
      <w:r w:rsidR="003E67FA" w:rsidRPr="00D039E9">
        <w:rPr>
          <w:lang w:val="en-CA"/>
        </w:rPr>
        <w:instrText>ADDIN CSL_CITATION { "citationItems" : [ { "id" : "ITEM-1",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"ITEM-1",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"mendeley" : { "formattedCitation" : "&lt;sup&gt;22&lt;/sup&gt;", "plainTextFormattedCitation" : "22", "previouslyFormattedCitation" : "&lt;sup&gt;22&lt;/sup&gt;" }, "properties" : { "noteIndex" : 0 }, "schema" : "https://github.com/citation-style-language/schema/raw/master/csl-citation.json" }</w:instrText>
      </w:r>
      <w:r w:rsidR="00972CE5" w:rsidRPr="00D039E9">
        <w:rPr>
          <w:lang w:val="en-CA"/>
        </w:rPr>
        <w:fldChar w:fldCharType="separate"/>
      </w:r>
      <w:r w:rsidR="003E67FA" w:rsidRPr="00D039E9">
        <w:rPr>
          <w:noProof/>
          <w:vertAlign w:val="superscript"/>
          <w:lang w:val="en-CA"/>
        </w:rPr>
        <w:t>22</w:t>
      </w:r>
      <w:r w:rsidR="00972CE5" w:rsidRPr="00D039E9">
        <w:rPr>
          <w:lang w:val="en-CA"/>
        </w:rPr>
        <w:fldChar w:fldCharType="end"/>
      </w:r>
      <w:r w:rsidR="00F873B9" w:rsidRPr="00D039E9">
        <w:rPr>
          <w:lang w:val="en-CA"/>
        </w:rPr>
        <w:t xml:space="preserve"> In this section, we clarify what we can get out of the experimental data, in order to pave a way towards how to analyze different types of experiments in Sections 3-5. </w:t>
      </w:r>
    </w:p>
    <w:p w14:paraId="592D0AEE" w14:textId="77777777" w:rsidR="00F873B9" w:rsidRPr="00D039E9" w:rsidRDefault="00F873B9" w:rsidP="00FA7B73">
      <w:pPr>
        <w:pStyle w:val="TAMainText"/>
        <w:ind w:firstLine="0"/>
        <w:rPr>
          <w:lang w:val="en-CA"/>
        </w:rPr>
      </w:pPr>
    </w:p>
    <w:p w14:paraId="1E1DB81A" w14:textId="0C2A79FE" w:rsidR="006803CF" w:rsidRPr="00D039E9" w:rsidRDefault="000C43E9" w:rsidP="006803CF">
      <w:pPr>
        <w:pStyle w:val="TAMainText"/>
        <w:rPr>
          <w:lang w:val="en-CA"/>
        </w:rPr>
      </w:pPr>
      <w:r w:rsidRPr="00D039E9">
        <w:rPr>
          <w:lang w:val="en-CA"/>
        </w:rPr>
        <w:t>O</w:t>
      </w:r>
      <w:r w:rsidR="00FA7B73" w:rsidRPr="00D039E9">
        <w:rPr>
          <w:lang w:val="en-CA"/>
        </w:rPr>
        <w:t>ur approach is based on the Kirkwood-Buff (KB) the</w:t>
      </w:r>
      <w:r w:rsidRPr="00D039E9">
        <w:rPr>
          <w:lang w:val="en-CA"/>
        </w:rPr>
        <w:t xml:space="preserve">ory of molecular thermodynamics, which not only is </w:t>
      </w:r>
      <w:r w:rsidR="00FA7B73" w:rsidRPr="00D039E9">
        <w:rPr>
          <w:lang w:val="en-CA"/>
        </w:rPr>
        <w:t>rigorous an</w:t>
      </w:r>
      <w:r w:rsidRPr="00D039E9">
        <w:rPr>
          <w:lang w:val="en-CA"/>
        </w:rPr>
        <w:t>d assumption-free but also</w:t>
      </w:r>
      <w:r w:rsidR="00FA7B73" w:rsidRPr="00D039E9">
        <w:rPr>
          <w:lang w:val="en-CA"/>
        </w:rPr>
        <w:t xml:space="preserve"> readily maps on to our normal chemical intuitions.</w:t>
      </w:r>
      <w:r w:rsidR="00972CE5" w:rsidRPr="00D039E9">
        <w:rPr>
          <w:lang w:val="en-CA"/>
        </w:rPr>
        <w:fldChar w:fldCharType="begin" w:fldLock="1"/>
      </w:r>
      <w:r w:rsidR="00C65F5C" w:rsidRPr="00D039E9">
        <w:rPr>
          <w:lang w:val="en-CA"/>
        </w:rPr>
        <w:instrText>ADDIN CSL_CITATION { "citationItems" : [ { "id" : "ITEM-1",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"ITEM-1",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"id" : "ITEM-2",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"ITEM-2", "issue" : "14", "issued" : { "date-parts" : [ [ "2014" ] ] }, "page" : "3922-3930", "title" : "Preferential solvation: Dividing surface vs excess numbers", "type" : "article-journal", "volume" : "118" }, "uris" : [ "http://www.mendeley.com/documents/?uuid=896fec6b-354e-41cd-a8de-55bd371a22f5" ] }, { "id" : "ITEM-3",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"ITEM-3",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"id" : "ITEM-4", "itemData" : { "DOI" : "10.1039/C6GC03002E", "ISBN" : "1463-9262 1463-9270", "ISSN" : "1463-9262", "author" : [ { "dropping-particle" : "", "family" : "Abbott", "given" : "Steven", "non-dropping-particle" : "", "parse-names" : false, "suffix" : "" }, { "dropping-particle" : "", "family" : "Booth", "given" : "Jonathan J.", "non-dropping-particle" : "", "parse-names" : false, "suffix" : "" }, { "dropping-particle" : "", "family" : "Shimizu", "given" : "Seishi", "non-dropping-particle" : "", "parse-names" : false, "suffix" : "" } ], "container-title" : "Green Chem.", "id" : "ITEM-4", "issued" : { "date-parts" : [ [ "2017" ] ] }, "page" : "68-75", "publisher" : "Royal Society of Chemistry", "title" : "Practical molecular thermodynamics for greener solution chemistry", "type" : "article-journal", "volume" : "19" }, "uris" : [ "http://www.mendeley.com/documents/?uuid=9178faf9-c7e8-4c64-be95-1f01c2dd4f3e" ] } ], "mendeley" : { "formattedCitation" : "&lt;sup&gt;11,17,22,57&lt;/sup&gt;", "plainTextFormattedCitation" : "11,17,22,57", "previouslyFormattedCitation" : "&lt;sup&gt;11,17,22,57&lt;/sup&gt;" }, "properties" : { "noteIndex" : 0 }, "schema" : "https://github.com/citation-style-language/schema/raw/master/csl-citation.json" }</w:instrText>
      </w:r>
      <w:r w:rsidR="00972CE5" w:rsidRPr="00D039E9">
        <w:rPr>
          <w:lang w:val="en-CA"/>
        </w:rPr>
        <w:fldChar w:fldCharType="separate"/>
      </w:r>
      <w:r w:rsidR="00BB3004" w:rsidRPr="00D039E9">
        <w:rPr>
          <w:noProof/>
          <w:vertAlign w:val="superscript"/>
          <w:lang w:val="en-CA"/>
        </w:rPr>
        <w:t>11,17,22,57</w:t>
      </w:r>
      <w:r w:rsidR="00972CE5" w:rsidRPr="00D039E9">
        <w:rPr>
          <w:lang w:val="en-CA"/>
        </w:rPr>
        <w:fldChar w:fldCharType="end"/>
      </w:r>
      <w:r w:rsidR="00FA7B73" w:rsidRPr="00D039E9">
        <w:rPr>
          <w:lang w:val="en-CA"/>
        </w:rPr>
        <w:t xml:space="preserve"> At the heart of the KB theory is th</w:t>
      </w:r>
      <w:r w:rsidRPr="00D039E9">
        <w:rPr>
          <w:lang w:val="en-CA"/>
        </w:rPr>
        <w:t>e radial distribution function (RDF)</w:t>
      </w:r>
      <w:r w:rsidR="00FA7B73" w:rsidRPr="00D039E9">
        <w:rPr>
          <w:lang w:val="en-CA"/>
        </w:rPr>
        <w:t xml:space="preserve"> which, roughly speaking, is a descriptor of how many molecules of type </w:t>
      </w:r>
      <m:oMath>
        <m:r>
          <w:rPr>
            <w:rFonts w:ascii="Cambria Math" w:hAnsi="Cambria Math"/>
            <w:lang w:val="en-CA"/>
          </w:rPr>
          <m:t>i</m:t>
        </m:r>
      </m:oMath>
      <w:r w:rsidR="00FA7B73" w:rsidRPr="00D039E9">
        <w:rPr>
          <w:lang w:val="en-CA"/>
        </w:rPr>
        <w:t xml:space="preserve"> are at any given distance from molecules of type </w:t>
      </w:r>
      <m:oMath>
        <m:r>
          <w:rPr>
            <w:rFonts w:ascii="Cambria Math" w:hAnsi="Cambria Math"/>
            <w:lang w:val="en-CA"/>
          </w:rPr>
          <m:t>j</m:t>
        </m:r>
      </m:oMath>
      <w:r w:rsidR="006143F6" w:rsidRPr="00D039E9">
        <w:rPr>
          <w:lang w:val="en-CA"/>
        </w:rPr>
        <w:t>. The KB i</w:t>
      </w:r>
      <w:r w:rsidR="00FA7B73" w:rsidRPr="00D039E9">
        <w:rPr>
          <w:lang w:val="en-CA"/>
        </w:rPr>
        <w:t>ntegral (KBI) sums the (density-corrected) RDF and gives a single number</w:t>
      </w:r>
      <w:r w:rsidR="00875327" w:rsidRPr="00D039E9">
        <w:rPr>
          <w:lang w:val="en-CA"/>
        </w:rPr>
        <w:t xml:space="preserve"> (</w:t>
      </w:r>
      <m:oMath>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ij</m:t>
            </m:r>
          </m:sub>
        </m:sSub>
        <m:r>
          <w:rPr>
            <w:rFonts w:ascii="Cambria Math" w:hAnsi="Cambria Math"/>
            <w:lang w:val="en-CA"/>
          </w:rPr>
          <m:t xml:space="preserve">) </m:t>
        </m:r>
      </m:oMath>
      <w:r w:rsidR="00FA7B73" w:rsidRPr="00D039E9">
        <w:rPr>
          <w:lang w:val="en-CA"/>
        </w:rPr>
        <w:t>t</w:t>
      </w:r>
      <w:r w:rsidRPr="00D039E9">
        <w:rPr>
          <w:lang w:val="en-CA"/>
        </w:rPr>
        <w:t>hat describes how much</w:t>
      </w:r>
      <w:r w:rsidR="00334EF9" w:rsidRPr="00D039E9">
        <w:rPr>
          <w:lang w:val="en-CA"/>
        </w:rPr>
        <w:t xml:space="preserve"> or how little</w:t>
      </w:r>
      <w:r w:rsidRPr="00D039E9">
        <w:rPr>
          <w:lang w:val="en-CA"/>
        </w:rPr>
        <w:t xml:space="preserve"> species </w:t>
      </w:r>
      <m:oMath>
        <m:r>
          <w:rPr>
            <w:rFonts w:ascii="Cambria Math" w:hAnsi="Cambria Math"/>
            <w:lang w:val="en-CA"/>
          </w:rPr>
          <m:t>i</m:t>
        </m:r>
      </m:oMath>
      <w:r w:rsidR="00FA7B73" w:rsidRPr="00D039E9">
        <w:rPr>
          <w:lang w:val="en-CA"/>
        </w:rPr>
        <w:t xml:space="preserve"> likes to</w:t>
      </w:r>
      <w:r w:rsidRPr="00D039E9">
        <w:rPr>
          <w:lang w:val="en-CA"/>
        </w:rPr>
        <w:t xml:space="preserve"> be in the presence of species </w:t>
      </w:r>
      <m:oMath>
        <m:r>
          <w:rPr>
            <w:rFonts w:ascii="Cambria Math" w:hAnsi="Cambria Math"/>
            <w:lang w:val="en-CA"/>
          </w:rPr>
          <m:t>j</m:t>
        </m:r>
      </m:oMath>
      <w:r w:rsidRPr="00D039E9">
        <w:rPr>
          <w:lang w:val="en-CA"/>
        </w:rPr>
        <w:t>, as has been defined schematically in Figure 1.</w:t>
      </w:r>
      <w:r w:rsidR="00972CE5" w:rsidRPr="00D039E9">
        <w:rPr>
          <w:lang w:val="en-CA"/>
        </w:rPr>
        <w:fldChar w:fldCharType="begin" w:fldLock="1"/>
      </w:r>
      <w:r w:rsidR="00C65F5C" w:rsidRPr="00D039E9">
        <w:rPr>
          <w:lang w:val="en-CA"/>
        </w:rPr>
        <w:instrText>ADDIN CSL_CITATION { "citationItems" : [ { "id" : "ITEM-1",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"ITEM-1",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"id" : "ITEM-2",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"ITEM-2", "issue" : "14", "issued" : { "date-parts" : [ [ "2014" ] ] }, "page" : "3922-3930", "title" : "Preferential solvation: Dividing surface vs excess numbers", "type" : "article-journal", "volume" : "118" }, "uris" : [ "http://www.mendeley.com/documents/?uuid=896fec6b-354e-41cd-a8de-55bd371a22f5" ] }, { "id" : "ITEM-3",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"ITEM-3",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"id" : "ITEM-4", "itemData" : { "DOI" : "10.1039/C6GC03002E", "ISBN" : "1463-9262 1463-9270", "ISSN" : "1463-9262", "author" : [ { "dropping-particle" : "", "family" : "Abbott", "given" : "Steven", "non-dropping-particle" : "", "parse-names" : false, "suffix" : "" }, { "dropping-particle" : "", "family" : "Booth", "given" : "Jonathan J.", "non-dropping-particle" : "", "parse-names" : false, "suffix" : "" }, { "dropping-particle" : "", "family" : "Shimizu", "given" : "Seishi", "non-dropping-particle" : "", "parse-names" : false, "suffix" : "" } ], "container-title" : "Green Chem.", "id" : "ITEM-4", "issued" : { "date-parts" : [ [ "2017" ] ] }, "page" : "68-75", "publisher" : "Royal Society of Chemistry", "title" : "Practical molecular thermodynamics for greener solution chemistry", "type" : "article-journal", "volume" : "19" }, "uris" : [ "http://www.mendeley.com/documents/?uuid=9178faf9-c7e8-4c64-be95-1f01c2dd4f3e" ] } ], "mendeley" : { "formattedCitation" : "&lt;sup&gt;11,17,22,57&lt;/sup&gt;", "plainTextFormattedCitation" : "11,17,22,57", "previouslyFormattedCitation" : "&lt;sup&gt;11,17,22,57&lt;/sup&gt;" }, "properties" : { "noteIndex" : 0 }, "schema" : "https://github.com/citation-style-language/schema/raw/master/csl-citation.json" }</w:instrText>
      </w:r>
      <w:r w:rsidR="00972CE5" w:rsidRPr="00D039E9">
        <w:rPr>
          <w:lang w:val="en-CA"/>
        </w:rPr>
        <w:fldChar w:fldCharType="separate"/>
      </w:r>
      <w:r w:rsidR="00BB3004" w:rsidRPr="00D039E9">
        <w:rPr>
          <w:noProof/>
          <w:vertAlign w:val="superscript"/>
          <w:lang w:val="en-CA"/>
        </w:rPr>
        <w:t>11,17,22,57</w:t>
      </w:r>
      <w:r w:rsidR="00972CE5" w:rsidRPr="00D039E9">
        <w:rPr>
          <w:lang w:val="en-CA"/>
        </w:rPr>
        <w:fldChar w:fldCharType="end"/>
      </w:r>
      <w:r w:rsidR="00FA7B73" w:rsidRPr="00D039E9">
        <w:rPr>
          <w:lang w:val="en-CA"/>
        </w:rPr>
        <w:t xml:space="preserve"> </w:t>
      </w:r>
      <w:r w:rsidR="006803CF" w:rsidRPr="00D039E9">
        <w:rPr>
          <w:rFonts w:cs="Times"/>
          <w:lang w:val="en-CA"/>
        </w:rPr>
        <w:t>An intuitive understanding of KBIs and RDFs may further be facilitated by our previous tutorial review on hydrotropy</w:t>
      </w:r>
      <w:r w:rsidR="00AF7350" w:rsidRPr="00D039E9">
        <w:rPr>
          <w:rFonts w:cs="Times"/>
          <w:lang w:val="en-CA"/>
        </w:rPr>
        <w:fldChar w:fldCharType="begin" w:fldLock="1"/>
      </w:r>
      <w:r w:rsidR="00C65F5C" w:rsidRPr="00D039E9">
        <w:rPr>
          <w:rFonts w:cs="Times"/>
          <w:lang w:val="en-CA"/>
        </w:rPr>
        <w:instrText>ADDIN CSL_CITATION { "citationItems" : [ { "id" : "ITEM-1", "itemData" : { "DOI" : "10.1039/C6GC03002E", "ISBN" : "1463-9262 1463-9270", "ISSN" : "1463-9262", "author" : [ { "dropping-particle" : "", "family" : "Abbott", "given" : "Steven", "non-dropping-particle" : "", "parse-names" : false, "suffix" : "" }, { "dropping-particle" : "", "family" : "Booth", "given" : "Jonathan J.", "non-dropping-particle" : "", "parse-names" : false, "suffix" : "" }, { "dropping-particle" : "", "family" : "Shimizu", "given" : "Seishi", "non-dropping-particle" : "", "parse-names" : false, "suffix" : "" } ], "container-title" : "Green Chem.", "id" : "ITEM-1", "issued" : { "date-parts" : [ [ "2017" ] ] }, "page" : "68-75", "publisher" : "Royal Society of Chemistry", "title" : "Practical molecular thermodynamics for greener solution chemistry", "type" : "article-journal", "volume" : "19" }, "uris" : [ "http://www.mendeley.com/documents/?uuid=9178faf9-c7e8-4c64-be95-1f01c2dd4f3e" ] } ], "mendeley" : { "formattedCitation" : "&lt;sup&gt;57&lt;/sup&gt;", "plainTextFormattedCitation" : "57", "previouslyFormattedCitation" : "&lt;sup&gt;57&lt;/sup&gt;" }, "properties" : { "noteIndex" : 0 }, "schema" : "https://github.com/citation-style-language/schema/raw/master/csl-citation.json" }</w:instrText>
      </w:r>
      <w:r w:rsidR="00AF7350" w:rsidRPr="00D039E9">
        <w:rPr>
          <w:rFonts w:cs="Times"/>
          <w:lang w:val="en-CA"/>
        </w:rPr>
        <w:fldChar w:fldCharType="separate"/>
      </w:r>
      <w:r w:rsidR="00BB3004" w:rsidRPr="00D039E9">
        <w:rPr>
          <w:rFonts w:cs="Times"/>
          <w:noProof/>
          <w:vertAlign w:val="superscript"/>
          <w:lang w:val="en-CA"/>
        </w:rPr>
        <w:t>57</w:t>
      </w:r>
      <w:r w:rsidR="00AF7350" w:rsidRPr="00D039E9">
        <w:rPr>
          <w:rFonts w:cs="Times"/>
          <w:lang w:val="en-CA"/>
        </w:rPr>
        <w:fldChar w:fldCharType="end"/>
      </w:r>
      <w:r w:rsidR="006803CF" w:rsidRPr="00D039E9">
        <w:rPr>
          <w:rFonts w:cs="Times"/>
          <w:lang w:val="en-CA"/>
        </w:rPr>
        <w:t xml:space="preserve"> which features a large set of free interactive “apps” to bring each concept to life. </w:t>
      </w:r>
    </w:p>
    <w:p w14:paraId="2DD1D179" w14:textId="77777777" w:rsidR="006803CF" w:rsidRPr="00D039E9" w:rsidRDefault="006803CF" w:rsidP="000C43E9">
      <w:pPr>
        <w:pStyle w:val="TAMainText"/>
        <w:ind w:firstLine="0"/>
        <w:rPr>
          <w:lang w:val="en-CA"/>
        </w:rPr>
      </w:pPr>
    </w:p>
    <w:p w14:paraId="508A7D69" w14:textId="7EFDAA82" w:rsidR="00FA7B73" w:rsidRPr="00D039E9" w:rsidRDefault="00FA7B73" w:rsidP="006803CF">
      <w:pPr>
        <w:pStyle w:val="TAMainText"/>
        <w:rPr>
          <w:lang w:val="en-CA"/>
        </w:rPr>
      </w:pPr>
      <w:r w:rsidRPr="00D039E9">
        <w:rPr>
          <w:lang w:val="en-CA"/>
        </w:rPr>
        <w:t>A very familiar RDF is the solvent shell around a solute where there is a relatively large local concentration of the solvent in the first solvation shell</w:t>
      </w:r>
      <w:r w:rsidR="000C43E9" w:rsidRPr="00D039E9">
        <w:rPr>
          <w:lang w:val="en-CA"/>
        </w:rPr>
        <w:t xml:space="preserve"> (Figure 1)</w:t>
      </w:r>
      <w:r w:rsidRPr="00D039E9">
        <w:rPr>
          <w:lang w:val="en-CA"/>
        </w:rPr>
        <w:t>. Yet the KBI is usually slightly negative for the simple reason that there is an “excluded volume” where the molecules cannot overlap, which dominates over the RDF peaks</w:t>
      </w:r>
      <w:r w:rsidR="000C43E9" w:rsidRPr="00D039E9">
        <w:rPr>
          <w:lang w:val="en-CA"/>
        </w:rPr>
        <w:t xml:space="preserve"> (Figure 1)</w:t>
      </w:r>
      <w:r w:rsidRPr="00D039E9">
        <w:rPr>
          <w:lang w:val="en-CA"/>
        </w:rPr>
        <w:t>. If there is espe</w:t>
      </w:r>
      <w:r w:rsidR="000C43E9" w:rsidRPr="00D039E9">
        <w:rPr>
          <w:lang w:val="en-CA"/>
        </w:rPr>
        <w:t xml:space="preserve">cially strong affinity between </w:t>
      </w:r>
      <m:oMath>
        <m:r>
          <w:rPr>
            <w:rFonts w:ascii="Cambria Math" w:hAnsi="Cambria Math"/>
            <w:lang w:val="en-CA"/>
          </w:rPr>
          <m:t>i</m:t>
        </m:r>
      </m:oMath>
      <w:r w:rsidR="000C43E9" w:rsidRPr="00D039E9">
        <w:rPr>
          <w:lang w:val="en-CA"/>
        </w:rPr>
        <w:t xml:space="preserve"> and </w:t>
      </w:r>
      <m:oMath>
        <m:r>
          <w:rPr>
            <w:rFonts w:ascii="Cambria Math" w:hAnsi="Cambria Math"/>
            <w:lang w:val="en-CA"/>
          </w:rPr>
          <m:t>j</m:t>
        </m:r>
      </m:oMath>
      <w:r w:rsidRPr="00D039E9">
        <w:rPr>
          <w:lang w:val="en-CA"/>
        </w:rPr>
        <w:t xml:space="preserve"> then the KBI is large and positive, and the KBI is large and negative for molecules </w:t>
      </w:r>
      <w:r w:rsidR="000C43E9" w:rsidRPr="00D039E9">
        <w:rPr>
          <w:lang w:val="en-CA"/>
        </w:rPr>
        <w:t>that are mutually incompatible.</w:t>
      </w:r>
      <w:r w:rsidR="00972CE5" w:rsidRPr="00D039E9">
        <w:rPr>
          <w:lang w:val="en-CA"/>
        </w:rPr>
        <w:fldChar w:fldCharType="begin" w:fldLock="1"/>
      </w:r>
      <w:r w:rsidR="00C65F5C" w:rsidRPr="00D039E9">
        <w:rPr>
          <w:lang w:val="en-CA"/>
        </w:rPr>
        <w:instrText>ADDIN CSL_CITATION { "citationItems" : [ { "id" : "ITEM-1",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"ITEM-1",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"id" : "ITEM-2",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"ITEM-2", "issue" : "14", "issued" : { "date-parts" : [ [ "2014" ] ] }, "page" : "3922-3930", "title" : "Preferential solvation: Dividing surface vs excess numbers", "type" : "article-journal", "volume" : "118" }, "uris" : [ "http://www.mendeley.com/documents/?uuid=896fec6b-354e-41cd-a8de-55bd371a22f5" ] }, { "id" : "ITEM-3",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"ITEM-3",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"id" : "ITEM-4", "itemData" : { "DOI" : "10.1039/C6GC03002E", "ISBN" : "1463-9262 1463-9270", "ISSN" : "1463-9262", "author" : [ { "dropping-particle" : "", "family" : "Abbott", "given" : "Steven", "non-dropping-particle" : "", "parse-names" : false, "suffix" : "" }, { "dropping-particle" : "", "family" : "Booth", "given" : "Jonathan J.", "non-dropping-particle" : "", "parse-names" : false, "suffix" : "" }, { "dropping-particle" : "", "family" : "Shimizu", "given" : "Seishi", "non-dropping-particle" : "", "parse-names" : false, "suffix" : "" } ], "container-title" : "Green Chem.", "id" : "ITEM-4", "issued" : { "date-parts" : [ [ "2017" ] ] }, "page" : "68-75", "publisher" : "Royal Society of Chemistry", "title" : "Practical molecular thermodynamics for greener solution chemistry", "type" : "article-journal", "volume" : "19" }, "uris" : [ "http://www.mendeley.com/documents/?uuid=9178faf9-c7e8-4c64-be95-1f01c2dd4f3e" ] } ], "mendeley" : { "formattedCitation" : "&lt;sup&gt;11,17,22,57&lt;/sup&gt;", "plainTextFormattedCitation" : "11,17,22,57", "previouslyFormattedCitation" : "&lt;sup&gt;11,17,22,57&lt;/sup&gt;" }, "properties" : { "noteIndex" : 0 }, "schema" : "https://github.com/citation-style-language/schema/raw/master/csl-citation.json" }</w:instrText>
      </w:r>
      <w:r w:rsidR="00972CE5" w:rsidRPr="00D039E9">
        <w:rPr>
          <w:lang w:val="en-CA"/>
        </w:rPr>
        <w:fldChar w:fldCharType="separate"/>
      </w:r>
      <w:r w:rsidR="00BB3004" w:rsidRPr="00D039E9">
        <w:rPr>
          <w:noProof/>
          <w:vertAlign w:val="superscript"/>
          <w:lang w:val="en-CA"/>
        </w:rPr>
        <w:t>11,17,22,57</w:t>
      </w:r>
      <w:r w:rsidR="00972CE5" w:rsidRPr="00D039E9">
        <w:rPr>
          <w:lang w:val="en-CA"/>
        </w:rPr>
        <w:fldChar w:fldCharType="end"/>
      </w:r>
      <w:r w:rsidR="000C43E9" w:rsidRPr="00D039E9">
        <w:rPr>
          <w:lang w:val="en-CA"/>
        </w:rPr>
        <w:t xml:space="preserve"> </w:t>
      </w:r>
    </w:p>
    <w:p w14:paraId="6BFA0041" w14:textId="77777777" w:rsidR="00FA7B73" w:rsidRPr="00D039E9" w:rsidRDefault="00FA7B73" w:rsidP="00FA7B73">
      <w:pPr>
        <w:pStyle w:val="TAMainText"/>
        <w:ind w:firstLine="0"/>
        <w:rPr>
          <w:rFonts w:cs="Times"/>
          <w:lang w:val="en-CA"/>
        </w:rPr>
      </w:pPr>
    </w:p>
    <w:p w14:paraId="6777D4A4" w14:textId="684A5282" w:rsidR="00FA7B73" w:rsidRPr="00D039E9" w:rsidRDefault="00FA7B73" w:rsidP="000C43E9">
      <w:pPr>
        <w:pStyle w:val="TAMainText"/>
        <w:rPr>
          <w:lang w:val="en-CA"/>
        </w:rPr>
      </w:pPr>
      <w:r w:rsidRPr="00D039E9">
        <w:rPr>
          <w:lang w:val="en-CA"/>
        </w:rPr>
        <w:t>The key feature of the KB approach is that by knowing all relevant KBI it is possible to see which species is affecting which other species positively or negatively. For example, the popular idea that many food flavour issues are affected by changes in “water structure” is readily</w:t>
      </w:r>
      <w:r w:rsidR="000C43E9" w:rsidRPr="00D039E9">
        <w:rPr>
          <w:lang w:val="en-CA"/>
        </w:rPr>
        <w:t xml:space="preserve"> refuted when it is found </w:t>
      </w:r>
      <w:r w:rsidR="00D71279" w:rsidRPr="00D039E9">
        <w:rPr>
          <w:lang w:val="en-CA"/>
        </w:rPr>
        <w:t>that the water-water KBI</w:t>
      </w:r>
      <w:r w:rsidR="000C43E9" w:rsidRPr="00D039E9">
        <w:rPr>
          <w:lang w:val="en-CA"/>
        </w:rPr>
        <w:t xml:space="preserve">, </w:t>
      </w:r>
      <m:oMath>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WW</m:t>
            </m:r>
          </m:sub>
        </m:sSub>
      </m:oMath>
      <w:r w:rsidR="000C43E9" w:rsidRPr="00D039E9">
        <w:rPr>
          <w:lang w:val="en-CA"/>
        </w:rPr>
        <w:t>,</w:t>
      </w:r>
      <w:r w:rsidRPr="00D039E9">
        <w:rPr>
          <w:lang w:val="en-CA"/>
        </w:rPr>
        <w:t xml:space="preserve"> is effectively unchanged over the formulation range.</w:t>
      </w:r>
      <w:r w:rsidR="00972CE5" w:rsidRPr="00D039E9">
        <w:rPr>
          <w:lang w:val="en-CA"/>
        </w:rPr>
        <w:t xml:space="preserve"> </w:t>
      </w:r>
      <w:r w:rsidR="00972CE5" w:rsidRPr="00D039E9">
        <w:rPr>
          <w:lang w:val="en-CA"/>
        </w:rPr>
        <w:fldChar w:fldCharType="begin" w:fldLock="1"/>
      </w:r>
      <w:r w:rsidR="00C65F5C" w:rsidRPr="00D039E9">
        <w:rPr>
          <w:lang w:val="en-CA"/>
        </w:rPr>
        <w:instrText>ADDIN CSL_CITATION { "citationItems" : [ { "id" : "ITEM-1",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"ITEM-1",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"id" : "ITEM-2",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"ITEM-2", "issue" : "14", "issued" : { "date-parts" : [ [ "2014" ] ] }, "page" : "3922-3930", "title" : "Preferential solvation: Dividing surface vs excess numbers", "type" : "article-journal", "volume" : "118" }, "uris" : [ "http://www.mendeley.com/documents/?uuid=896fec6b-354e-41cd-a8de-55bd371a22f5" ] }, { "id" : "ITEM-3",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"ITEM-3",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"id" : "ITEM-4", "itemData" : { "DOI" : "10.1039/C6GC03002E", "ISBN" : "1463-9262 1463-9270", "ISSN" : "1463-9262", "author" : [ { "dropping-particle" : "", "family" : "Abbott", "given" : "Steven", "non-dropping-particle" : "", "parse-names" : false, "suffix" : "" }, { "dropping-particle" : "", "family" : "Booth", "given" : "Jonathan J.", "non-dropping-particle" : "", "parse-names" : false, "suffix" : "" }, { "dropping-particle" : "", "family" : "Shimizu", "given" : "Seishi", "non-dropping-particle" : "", "parse-names" : false, "suffix" : "" } ], "container-title" : "Green Chem.", "id" : "ITEM-4", "issued" : { "date-parts" : [ [ "2017" ] ] }, "page" : "68-75", "publisher" : "Royal Society of Chemistry", "title" : "Practical molecular thermodynamics for greener solution chemistry", "type" : "article-journal", "volume" : "19" }, "uris" : [ "http://www.mendeley.com/documents/?uuid=9178faf9-c7e8-4c64-be95-1f01c2dd4f3e" ] } ], "mendeley" : { "formattedCitation" : "&lt;sup&gt;11,17,22,57&lt;/sup&gt;", "plainTextFormattedCitation" : "11,17,22,57", "previouslyFormattedCitation" : "&lt;sup&gt;11,17,22,57&lt;/sup&gt;" }, "properties" : { "noteIndex" : 0 }, "schema" : "https://github.com/citation-style-language/schema/raw/master/csl-citation.json" }</w:instrText>
      </w:r>
      <w:r w:rsidR="00972CE5" w:rsidRPr="00D039E9">
        <w:rPr>
          <w:lang w:val="en-CA"/>
        </w:rPr>
        <w:fldChar w:fldCharType="separate"/>
      </w:r>
      <w:r w:rsidR="00BB3004" w:rsidRPr="00D039E9">
        <w:rPr>
          <w:noProof/>
          <w:vertAlign w:val="superscript"/>
          <w:lang w:val="en-CA"/>
        </w:rPr>
        <w:t>11,17,22,57</w:t>
      </w:r>
      <w:r w:rsidR="00972CE5" w:rsidRPr="00D039E9">
        <w:rPr>
          <w:lang w:val="en-CA"/>
        </w:rPr>
        <w:fldChar w:fldCharType="end"/>
      </w:r>
      <w:r w:rsidRPr="00D039E9">
        <w:rPr>
          <w:lang w:val="en-CA"/>
        </w:rPr>
        <w:t xml:space="preserve"> If we hav</w:t>
      </w:r>
      <w:r w:rsidR="000C43E9" w:rsidRPr="00D039E9">
        <w:rPr>
          <w:lang w:val="en-CA"/>
        </w:rPr>
        <w:t>e a protein-flavour interaction, then following how</w:t>
      </w:r>
      <w:r w:rsidR="00D71279" w:rsidRPr="00D039E9">
        <w:rPr>
          <w:lang w:val="en-CA"/>
        </w:rPr>
        <w:t xml:space="preserve"> the protein-flavour KBI</w:t>
      </w:r>
      <w:r w:rsidR="000C43E9" w:rsidRPr="00D039E9">
        <w:rPr>
          <w:lang w:val="en-CA"/>
        </w:rPr>
        <w:t xml:space="preserve">, </w:t>
      </w:r>
      <m:oMath>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PF</m:t>
            </m:r>
          </m:sub>
        </m:sSub>
      </m:oMath>
      <w:r w:rsidR="000C43E9" w:rsidRPr="00D039E9">
        <w:rPr>
          <w:lang w:val="en-CA"/>
        </w:rPr>
        <w:t xml:space="preserve">, </w:t>
      </w:r>
      <w:r w:rsidRPr="00D039E9">
        <w:rPr>
          <w:lang w:val="en-CA"/>
        </w:rPr>
        <w:t xml:space="preserve">changes with formulation parameters gives us a precise knowledge of what is happening at the molecular level. This may require the evaluation </w:t>
      </w:r>
      <w:r w:rsidR="00D71279" w:rsidRPr="00D039E9">
        <w:rPr>
          <w:lang w:val="en-CA"/>
        </w:rPr>
        <w:t>of other KBI</w:t>
      </w:r>
      <w:r w:rsidR="000C43E9" w:rsidRPr="00D039E9">
        <w:rPr>
          <w:lang w:val="en-CA"/>
        </w:rPr>
        <w:t>s (such as protein-wat</w:t>
      </w:r>
      <w:r w:rsidR="00D71279" w:rsidRPr="00D039E9">
        <w:rPr>
          <w:lang w:val="en-CA"/>
        </w:rPr>
        <w:t>er and flavour-water KBI</w:t>
      </w:r>
      <w:r w:rsidR="000C43E9" w:rsidRPr="00D039E9">
        <w:rPr>
          <w:lang w:val="en-CA"/>
        </w:rPr>
        <w:t xml:space="preserve">s, </w:t>
      </w:r>
      <m:oMath>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PW</m:t>
            </m:r>
          </m:sub>
        </m:sSub>
      </m:oMath>
      <w:r w:rsidR="000C43E9" w:rsidRPr="00D039E9">
        <w:rPr>
          <w:lang w:val="en-CA"/>
        </w:rPr>
        <w:t xml:space="preserve"> and </w:t>
      </w:r>
      <m:oMath>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FW</m:t>
            </m:r>
          </m:sub>
        </m:sSub>
      </m:oMath>
      <w:r w:rsidRPr="00D039E9">
        <w:rPr>
          <w:lang w:val="en-CA"/>
        </w:rPr>
        <w:t>) to complete the picture, f</w:t>
      </w:r>
      <w:r w:rsidR="000C43E9" w:rsidRPr="00D039E9">
        <w:rPr>
          <w:lang w:val="en-CA"/>
        </w:rPr>
        <w:t>ollowing the</w:t>
      </w:r>
      <w:r w:rsidRPr="00D039E9">
        <w:rPr>
          <w:lang w:val="en-CA"/>
        </w:rPr>
        <w:t xml:space="preserve"> methodology</w:t>
      </w:r>
      <w:r w:rsidR="000C43E9" w:rsidRPr="00D039E9">
        <w:rPr>
          <w:lang w:val="en-CA"/>
        </w:rPr>
        <w:t xml:space="preserve"> outlined in Sections 3-5</w:t>
      </w:r>
      <w:r w:rsidRPr="00D039E9">
        <w:rPr>
          <w:lang w:val="en-CA"/>
        </w:rPr>
        <w:t>. Indeed, the most surprising aspect of KB theory is that these molecular-level parameters can be obtained via relatively s</w:t>
      </w:r>
      <w:r w:rsidR="000C43E9" w:rsidRPr="00D039E9">
        <w:rPr>
          <w:lang w:val="en-CA"/>
        </w:rPr>
        <w:t>imple measurements of flavour concentration</w:t>
      </w:r>
      <w:r w:rsidRPr="00D039E9">
        <w:rPr>
          <w:lang w:val="en-CA"/>
        </w:rPr>
        <w:t>, vapour pressure</w:t>
      </w:r>
      <w:r w:rsidR="000C43E9" w:rsidRPr="00D039E9">
        <w:rPr>
          <w:lang w:val="en-CA"/>
        </w:rPr>
        <w:t>, water activity</w:t>
      </w:r>
      <w:r w:rsidRPr="00D039E9">
        <w:rPr>
          <w:lang w:val="en-CA"/>
        </w:rPr>
        <w:t xml:space="preserve"> and density. Although the parameters </w:t>
      </w:r>
      <w:r w:rsidRPr="00D039E9">
        <w:rPr>
          <w:i/>
          <w:lang w:val="en-CA"/>
        </w:rPr>
        <w:t>can</w:t>
      </w:r>
      <w:r w:rsidRPr="00D039E9">
        <w:rPr>
          <w:lang w:val="en-CA"/>
        </w:rPr>
        <w:t xml:space="preserve"> be obtained via small angle scattering techniques,</w:t>
      </w:r>
      <w:r w:rsidR="00972CE5" w:rsidRPr="00D039E9">
        <w:rPr>
          <w:lang w:val="en-CA"/>
        </w:rPr>
        <w:fldChar w:fldCharType="begin" w:fldLock="1"/>
      </w:r>
      <w:r w:rsidR="00C65F5C" w:rsidRPr="00D039E9">
        <w:rPr>
          <w:lang w:val="en-CA"/>
        </w:rPr>
        <w:instrText>ADDIN CSL_CITATION { "citationItems" : [ { "id" : "ITEM-1", "itemData" : { "abstract" : "Using the weak scattering approximation and the Van Hove correlation-function technique, it is shown that the scattering function for a binary alloy (solid or liquid) is quite generally expressible in terms of three structure factors SNN(q--&gt;), SNC(q--&gt;), and SCC(q--&gt;) constructed from the Fourier transforms of the local number density and concentration in the alloy. These structure factors have the property that at temperatures above the Debye temperature and in the long-wavelength limit (q--&gt;0), SNN(0) and SCC(0) represent, respectively, the mean square thermal fluctuations in the particle number and concentration, and SNC(0) the correlation between these two fluctuations. Thermodynamic formulas for these fluctuations are given and their concentration and temperature dependence examined for various types of mixtures (regular, order-disorder type, athermal, etc.). It is concluded that the present formalism, because of its ready link with the thermodynamic properties of the alloy, can be helpful in interpreting the various experimental data and provides useful insight into the partial structure factors introduced in the Faber-Ziman theory of liquid alloys.", "author" : [ { "dropping-particle" : "", "family" : "Bhatia", "given" : "A B", "non-dropping-particle" : "", "parse-names" : false, "suffix" : "" }, { "dropping-particle" : "", "family" : "Thornton", "given" : "D E", "non-dropping-particle" : "", "parse-names" : false, "suffix" : "" } ], "container-title" : "Phys. Rev. B", "id" : "ITEM-1", "issued" : { "date-parts" : [ [ "1970" ] ] }, "page" : "3004-3012", "title" : "Structural Aspects of the Electrical Resistivity of Binary Alloys", "type" : "article-journal", "volume" : "2" }, "uris" : [ "http://www.mendeley.com/documents/?uuid=6ea10b02-f4c3-464e-b174-90f1662d2184" ] }, { "id" : "ITEM-2", "itemData" : { "author" : [ { "dropping-particle" : "", "family" : "Nishikawa", "given" : "Keiko", "non-dropping-particle" : "", "parse-names" : false, "suffix" : "" } ], "container-title" : "Chemical Physics Letters", "id" : "ITEM-2", "issue" : "I", "issued" : { "date-parts" : [ [ "1986" ] ] }, "page" : "50-54", "title" : "Simple relationship between the Kirkwood-Buff parameters and the fluctuations in the particle number and concentration obtained by small-angle X-ray scattering: Application to tert-butyl alcohol and water mixtures", "type" : "article-journal", "volume" : "132" }, "uris" : [ "http://www.mendeley.com/documents/?uuid=df9b85b4-f7dc-49de-80d2-703eabaa5d86" ] }, { "id" : "ITEM-3", "itemData" : { "DOI" : "10.1063/1.2378921", "ISBN" : "0021-9606", "ISSN" : "00219606", "PMID" : "17129118", "abstract" : "Using isotope substitution neutron scattering data, we present a detailed structural analysis of the short and intermediate range structures of the five known forms of amorphous ice. Two of the lower density forms--amorphous solid water and hyperquenched glassy water--have a structure very similar to each other and to low density amorphous ice, a structure which closely resembles a disordered, tetrahedrally coordinated, fully hydrogen bonded network. High density and very high density amorphous ices retain this tetrahedral organization at short range, but show significant differences beyond about 3.1 A from a typical water oxygen. The first diffraction peak in all structures is seen to be solely a function of the intermolecular organization. The short range connectivity in the two higher density forms is more homogeneous, while the hydrogen site disorder in these forms is greater. The low Q behavior of the structure factors indicates no significant density or concentration fluctuations over the length scale probed. We conclude that these three latter forms of ice are structurally distinct. Finally, the x-ray structure factors for all five amorphous systems are calculated for comparison with other studies.", "author" : [ { "dropping-particle" : "", "family" : "Bowron", "given" : "D. T.", "non-dropping-particle" : "", "parse-names" : false, "suffix" : "" }, { "dropping-particle" : "", "family" : "Finney", "given" : "J. L.", "non-dropping-particle" : "", "parse-names" : false, "suffix" : "" }, { "dropping-particle" : "", "family" : "Hallbrucker", "given" : "A.", "non-dropping-particle" : "", "parse-names" : false, "suffix" : "" }, { "dropping-particle" : "", "family" : "Kohl", "given" : "I.", "non-dropping-particle" : "", "parse-names" : false, "suffix" : "" }, { "dropping-particle" : "", "family" : "Loerting", "given" : "T.", "non-dropping-particle" : "", "parse-names" : false, "suffix" : "" }, { "dropping-particle" : "", "family" : "Mayer", "given" : "E.", "non-dropping-particle" : "", "parse-names" : false, "suffix" : "" }, { "dropping-particle" : "", "family" : "Soper", "given" : "A. K.", "non-dropping-particle" : "", "parse-names" : false, "suffix" : "" } ], "container-title" : "Journal of Chemical Physics", "id" : "ITEM-3", "issue" : "19", "issued" : { "date-parts" : [ [ "2006" ] ] }, "page" : "1-14", "title" : "The local and intermediate range structures of the five amorphous ices at 80 K and ambient pressure: A Faber-Ziman and Bhatia-Thornton analysis", "type" : "article-journal", "volume" : "125" }, "uris" : [ "http://www.mendeley.com/documents/?uuid=c209aa60-f65b-4d0f-b940-e86f3d6aae36" ] }, { "id" : "ITEM-4",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"ITEM-4", "issue" : "14", "issued" : { "date-parts" : [ [ "2014" ] ] }, "page" : "3922-3930", "title" : "Preferential solvation: Dividing surface vs excess numbers", "type" : "article-journal", "volume" : "118" }, "uris" : [ "http://www.mendeley.com/documents/?uuid=896fec6b-354e-41cd-a8de-55bd371a22f5" ] } ], "mendeley" : { "formattedCitation" : "&lt;sup&gt;17,59\u201361&lt;/sup&gt;", "plainTextFormattedCitation" : "17,59\u201361", "previouslyFormattedCitation" : "&lt;sup&gt;17,59\u201361&lt;/sup&gt;" }, "properties" : { "noteIndex" : 0 }, "schema" : "https://github.com/citation-style-language/schema/raw/master/csl-citation.json" }</w:instrText>
      </w:r>
      <w:r w:rsidR="00972CE5" w:rsidRPr="00D039E9">
        <w:rPr>
          <w:lang w:val="en-CA"/>
        </w:rPr>
        <w:fldChar w:fldCharType="separate"/>
      </w:r>
      <w:r w:rsidR="00BB3004" w:rsidRPr="00D039E9">
        <w:rPr>
          <w:noProof/>
          <w:vertAlign w:val="superscript"/>
          <w:lang w:val="en-CA"/>
        </w:rPr>
        <w:t>17,59–61</w:t>
      </w:r>
      <w:r w:rsidR="00972CE5" w:rsidRPr="00D039E9">
        <w:rPr>
          <w:lang w:val="en-CA"/>
        </w:rPr>
        <w:fldChar w:fldCharType="end"/>
      </w:r>
      <w:r w:rsidRPr="00D039E9">
        <w:rPr>
          <w:lang w:val="en-CA"/>
        </w:rPr>
        <w:t xml:space="preserve"> these complex and expensive tools are not mandatory for the food scientist.</w:t>
      </w:r>
      <w:r w:rsidR="00E11AD9" w:rsidRPr="00D039E9">
        <w:rPr>
          <w:lang w:val="en-CA"/>
        </w:rPr>
        <w:t xml:space="preserve"> Note that fr</w:t>
      </w:r>
      <w:r w:rsidR="00D71279" w:rsidRPr="00D039E9">
        <w:rPr>
          <w:lang w:val="en-CA"/>
        </w:rPr>
        <w:t>om the definition of KBI</w:t>
      </w:r>
      <w:r w:rsidR="00E11AD9" w:rsidRPr="00D039E9">
        <w:rPr>
          <w:lang w:val="en-CA"/>
        </w:rPr>
        <w:t>s the ordering of the subscript is unimportant; so the flavour-water parameter, G</w:t>
      </w:r>
      <w:r w:rsidR="00E11AD9" w:rsidRPr="00D039E9">
        <w:rPr>
          <w:vertAlign w:val="subscript"/>
          <w:lang w:val="en-CA"/>
        </w:rPr>
        <w:t>FW</w:t>
      </w:r>
      <w:r w:rsidR="00E11AD9" w:rsidRPr="00D039E9">
        <w:rPr>
          <w:lang w:val="en-CA"/>
        </w:rPr>
        <w:t xml:space="preserve"> is identical to the water-flavour parameter, G</w:t>
      </w:r>
      <w:r w:rsidR="00E11AD9" w:rsidRPr="00D039E9">
        <w:rPr>
          <w:vertAlign w:val="subscript"/>
          <w:lang w:val="en-CA"/>
        </w:rPr>
        <w:t>WF</w:t>
      </w:r>
      <w:r w:rsidR="00E11AD9" w:rsidRPr="00D039E9">
        <w:rPr>
          <w:lang w:val="en-CA"/>
        </w:rPr>
        <w:t>.</w:t>
      </w:r>
    </w:p>
    <w:p w14:paraId="30B35D14" w14:textId="77777777" w:rsidR="000C43E9" w:rsidRPr="00D039E9" w:rsidRDefault="000C43E9" w:rsidP="000C43E9">
      <w:pPr>
        <w:pStyle w:val="TAMainText"/>
        <w:ind w:firstLine="0"/>
        <w:rPr>
          <w:lang w:val="en-CA"/>
        </w:rPr>
      </w:pPr>
    </w:p>
    <w:p w14:paraId="1C9B685E" w14:textId="4FA9DDEC" w:rsidR="000C43E9" w:rsidRPr="00D039E9" w:rsidRDefault="000C43E9" w:rsidP="006803CF">
      <w:pPr>
        <w:pStyle w:val="TAMainText"/>
        <w:rPr>
          <w:lang w:val="en-CA"/>
        </w:rPr>
      </w:pPr>
      <w:r w:rsidRPr="00D039E9">
        <w:rPr>
          <w:lang w:val="en-CA"/>
        </w:rPr>
        <w:t xml:space="preserve">Thus in our new approach, </w:t>
      </w:r>
      <w:r w:rsidR="0068499F" w:rsidRPr="00D039E9">
        <w:rPr>
          <w:lang w:val="en-CA"/>
        </w:rPr>
        <w:t xml:space="preserve">not only can </w:t>
      </w:r>
      <w:r w:rsidR="00D71279" w:rsidRPr="00D039E9">
        <w:rPr>
          <w:lang w:val="en-CA"/>
        </w:rPr>
        <w:t>the KBI</w:t>
      </w:r>
      <w:r w:rsidRPr="00D039E9">
        <w:rPr>
          <w:lang w:val="en-CA"/>
        </w:rPr>
        <w:t xml:space="preserve">s </w:t>
      </w:r>
      <w:r w:rsidR="0068499F" w:rsidRPr="00D039E9">
        <w:rPr>
          <w:lang w:val="en-CA"/>
        </w:rPr>
        <w:t xml:space="preserve">be obtained from experiments in a straightforward manner (see Sections 3-5), but they </w:t>
      </w:r>
      <w:r w:rsidRPr="00D039E9">
        <w:rPr>
          <w:lang w:val="en-CA"/>
        </w:rPr>
        <w:t xml:space="preserve">can </w:t>
      </w:r>
      <w:r w:rsidR="0068499F" w:rsidRPr="00D039E9">
        <w:rPr>
          <w:lang w:val="en-CA"/>
        </w:rPr>
        <w:t xml:space="preserve">tell us </w:t>
      </w:r>
      <w:r w:rsidRPr="00D039E9">
        <w:rPr>
          <w:lang w:val="en-CA"/>
        </w:rPr>
        <w:t xml:space="preserve">what is going on at a molecular scale. </w:t>
      </w:r>
    </w:p>
    <w:p w14:paraId="0F8C5F41" w14:textId="77777777" w:rsidR="000C43E9" w:rsidRPr="00D039E9" w:rsidRDefault="000C43E9" w:rsidP="003872DB">
      <w:pPr>
        <w:pStyle w:val="TAMainText"/>
        <w:ind w:firstLine="0"/>
        <w:rPr>
          <w:rFonts w:cs="Times"/>
          <w:lang w:val="en-CA"/>
        </w:rPr>
      </w:pPr>
    </w:p>
    <w:p w14:paraId="3716692D" w14:textId="18BDEDFA" w:rsidR="003872DB" w:rsidRPr="00D039E9" w:rsidRDefault="00131D60" w:rsidP="003872DB">
      <w:pPr>
        <w:pStyle w:val="TAMainText"/>
        <w:ind w:firstLine="0"/>
        <w:rPr>
          <w:rFonts w:cs="Times"/>
          <w:b/>
          <w:lang w:val="en-CA"/>
        </w:rPr>
      </w:pPr>
      <w:r w:rsidRPr="00D039E9">
        <w:rPr>
          <w:rFonts w:cs="Times"/>
          <w:b/>
          <w:lang w:val="en-CA"/>
        </w:rPr>
        <w:t>3</w:t>
      </w:r>
      <w:r w:rsidR="003872DB" w:rsidRPr="00D039E9">
        <w:rPr>
          <w:rFonts w:cs="Times"/>
          <w:b/>
          <w:lang w:val="en-CA"/>
        </w:rPr>
        <w:t xml:space="preserve">. Headspace measurement of flavour volatility </w:t>
      </w:r>
    </w:p>
    <w:p w14:paraId="71CDC161" w14:textId="77777777" w:rsidR="003872DB" w:rsidRPr="00D039E9" w:rsidRDefault="003872DB" w:rsidP="003872DB">
      <w:pPr>
        <w:pStyle w:val="TAMainText"/>
        <w:ind w:firstLine="0"/>
        <w:rPr>
          <w:rFonts w:cs="Times"/>
          <w:b/>
          <w:bCs/>
          <w:lang w:val="en-CA" w:eastAsia="ja-JP"/>
        </w:rPr>
      </w:pPr>
    </w:p>
    <w:p w14:paraId="4B41B197" w14:textId="5862BC22" w:rsidR="003872DB" w:rsidRPr="00D039E9" w:rsidRDefault="00131D60" w:rsidP="003872DB">
      <w:pPr>
        <w:pStyle w:val="TAMainText"/>
        <w:ind w:firstLine="0"/>
        <w:rPr>
          <w:rFonts w:cs="Times"/>
          <w:b/>
          <w:bCs/>
          <w:lang w:val="en-CA" w:eastAsia="ja-JP"/>
        </w:rPr>
      </w:pPr>
      <w:r w:rsidRPr="00D039E9">
        <w:rPr>
          <w:rFonts w:cs="Times"/>
          <w:b/>
          <w:bCs/>
          <w:lang w:val="en-CA" w:eastAsia="ja-JP"/>
        </w:rPr>
        <w:t>3</w:t>
      </w:r>
      <w:r w:rsidR="003872DB" w:rsidRPr="00D039E9">
        <w:rPr>
          <w:rFonts w:cs="Times"/>
          <w:b/>
          <w:bCs/>
          <w:lang w:val="en-CA" w:eastAsia="ja-JP"/>
        </w:rPr>
        <w:t>.1. Theory</w:t>
      </w:r>
    </w:p>
    <w:p w14:paraId="5ED836B2" w14:textId="77777777" w:rsidR="00EE1A92" w:rsidRPr="00D039E9" w:rsidRDefault="00EE1A92" w:rsidP="003872DB">
      <w:pPr>
        <w:pStyle w:val="TAMainText"/>
        <w:ind w:firstLine="0"/>
        <w:rPr>
          <w:rFonts w:cs="Times"/>
          <w:b/>
          <w:bCs/>
          <w:lang w:val="en-CA" w:eastAsia="ja-JP"/>
        </w:rPr>
      </w:pPr>
    </w:p>
    <w:p w14:paraId="72ADAD6F" w14:textId="65315E8F" w:rsidR="003872DB" w:rsidRPr="00D039E9" w:rsidRDefault="003872DB" w:rsidP="003872DB">
      <w:pPr>
        <w:pStyle w:val="TAMainText"/>
        <w:ind w:firstLine="0"/>
        <w:rPr>
          <w:rFonts w:cs="Times"/>
          <w:lang w:val="en-CA"/>
        </w:rPr>
      </w:pPr>
      <w:r w:rsidRPr="00D039E9">
        <w:rPr>
          <w:rFonts w:cs="Times"/>
          <w:lang w:val="en-CA"/>
        </w:rPr>
        <w:t>Let us consider</w:t>
      </w:r>
      <w:r w:rsidR="0068499F" w:rsidRPr="00D039E9">
        <w:rPr>
          <w:rFonts w:cs="Times"/>
          <w:lang w:val="en-CA"/>
        </w:rPr>
        <w:t xml:space="preserve"> an aqueous solution as</w:t>
      </w:r>
      <w:r w:rsidRPr="00D039E9">
        <w:rPr>
          <w:rFonts w:cs="Times"/>
          <w:lang w:val="en-CA"/>
        </w:rPr>
        <w:t xml:space="preserve"> a system consisting of water (</w:t>
      </w:r>
      <m:oMath>
        <m:r>
          <w:rPr>
            <w:rFonts w:ascii="Cambria Math" w:hAnsi="Cambria Math" w:cs="Times"/>
            <w:lang w:val="en-CA"/>
          </w:rPr>
          <m:t>W</m:t>
        </m:r>
      </m:oMath>
      <w:r w:rsidRPr="00D039E9">
        <w:rPr>
          <w:rFonts w:cs="Times"/>
          <w:lang w:val="en-CA"/>
        </w:rPr>
        <w:t>), protein (</w:t>
      </w:r>
      <m:oMath>
        <m:r>
          <w:rPr>
            <w:rFonts w:ascii="Cambria Math" w:hAnsi="Cambria Math" w:cs="Times"/>
            <w:lang w:val="en-CA"/>
          </w:rPr>
          <m:t>P</m:t>
        </m:r>
      </m:oMath>
      <w:r w:rsidRPr="00D039E9">
        <w:rPr>
          <w:rFonts w:cs="Times"/>
          <w:lang w:val="en-CA"/>
        </w:rPr>
        <w:t>) and flavour (</w:t>
      </w:r>
      <m:oMath>
        <m:r>
          <w:rPr>
            <w:rFonts w:ascii="Cambria Math" w:hAnsi="Cambria Math" w:cs="Times"/>
            <w:lang w:val="en-CA"/>
          </w:rPr>
          <m:t>F</m:t>
        </m:r>
      </m:oMath>
      <w:r w:rsidRPr="00D039E9">
        <w:rPr>
          <w:rFonts w:cs="Times"/>
          <w:lang w:val="en-CA"/>
        </w:rPr>
        <w:t xml:space="preserve">) molecules. Flavour molecules are volatile, and their solubility in water is relatively low. </w:t>
      </w:r>
      <w:r w:rsidRPr="00D039E9">
        <w:rPr>
          <w:rFonts w:cs="Times"/>
          <w:bCs/>
          <w:lang w:val="en-CA" w:eastAsia="ja-JP"/>
        </w:rPr>
        <w:t>Th</w:t>
      </w:r>
      <w:r w:rsidR="00EE1A92" w:rsidRPr="00D039E9">
        <w:rPr>
          <w:rFonts w:cs="Times"/>
          <w:bCs/>
          <w:lang w:val="en-CA" w:eastAsia="ja-JP"/>
        </w:rPr>
        <w:t xml:space="preserve">e question is how the vapour-water partition coefficient </w:t>
      </w:r>
      <w:r w:rsidR="000407B5" w:rsidRPr="00D039E9">
        <w:rPr>
          <w:rFonts w:cs="Times"/>
          <w:bCs/>
          <w:lang w:val="en-CA" w:eastAsia="ja-JP"/>
        </w:rPr>
        <w:t xml:space="preserve">of the flavour molecule </w:t>
      </w:r>
      <m:oMath>
        <m:sSub>
          <m:sSubPr>
            <m:ctrlPr>
              <w:rPr>
                <w:rFonts w:ascii="Cambria Math" w:hAnsi="Cambria Math" w:cs="Times"/>
                <w:i/>
                <w:lang w:val="en-CA" w:eastAsia="ja-JP"/>
              </w:rPr>
            </m:ctrlPr>
          </m:sSubPr>
          <m:e>
            <m:r>
              <w:rPr>
                <w:rFonts w:ascii="Cambria Math" w:hAnsi="Cambria Math" w:cs="Times"/>
                <w:lang w:val="en-CA" w:eastAsia="ja-JP"/>
              </w:rPr>
              <m:t>K</m:t>
            </m:r>
          </m:e>
          <m:sub>
            <m:r>
              <w:rPr>
                <w:rFonts w:ascii="Cambria Math" w:hAnsi="Cambria Math" w:cs="Times"/>
                <w:lang w:val="en-CA" w:eastAsia="ja-JP"/>
              </w:rPr>
              <m:t>vw</m:t>
            </m:r>
          </m:sub>
        </m:sSub>
        <m:r>
          <w:rPr>
            <w:rFonts w:ascii="Cambria Math" w:hAnsi="Cambria Math" w:cs="Times"/>
            <w:lang w:val="en-CA" w:eastAsia="ja-JP"/>
          </w:rPr>
          <m:t>=</m:t>
        </m:r>
        <m:f>
          <m:fPr>
            <m:ctrlPr>
              <w:rPr>
                <w:rFonts w:ascii="Cambria Math" w:hAnsi="Cambria Math" w:cs="Times"/>
                <w:i/>
                <w:lang w:val="en-CA"/>
              </w:rPr>
            </m:ctrlPr>
          </m:fPr>
          <m:num>
            <m:sSub>
              <m:sSubPr>
                <m:ctrlPr>
                  <w:rPr>
                    <w:rFonts w:ascii="Cambria Math" w:hAnsi="Cambria Math" w:cs="Times"/>
                    <w:i/>
                    <w:lang w:val="en-CA"/>
                  </w:rPr>
                </m:ctrlPr>
              </m:sSubPr>
              <m:e>
                <m:r>
                  <w:rPr>
                    <w:rFonts w:ascii="Cambria Math" w:hAnsi="Cambria Math" w:cs="Times"/>
                    <w:lang w:val="en-CA"/>
                  </w:rPr>
                  <m:t>c</m:t>
                </m:r>
              </m:e>
              <m:sub>
                <m:r>
                  <w:rPr>
                    <w:rFonts w:ascii="Cambria Math" w:hAnsi="Cambria Math" w:cs="Times"/>
                    <w:lang w:val="en-CA"/>
                  </w:rPr>
                  <m:t>F</m:t>
                </m:r>
              </m:sub>
            </m:sSub>
          </m:num>
          <m:den>
            <m:sSubSup>
              <m:sSubSupPr>
                <m:ctrlPr>
                  <w:rPr>
                    <w:rFonts w:ascii="Cambria Math" w:hAnsi="Cambria Math" w:cs="Times"/>
                    <w:i/>
                    <w:lang w:val="en-CA"/>
                  </w:rPr>
                </m:ctrlPr>
              </m:sSubSupPr>
              <m:e>
                <m:r>
                  <w:rPr>
                    <w:rFonts w:ascii="Cambria Math" w:hAnsi="Cambria Math" w:cs="Times"/>
                    <w:lang w:val="en-CA"/>
                  </w:rPr>
                  <m:t>c</m:t>
                </m:r>
              </m:e>
              <m:sub>
                <m:r>
                  <w:rPr>
                    <w:rFonts w:ascii="Cambria Math" w:hAnsi="Cambria Math" w:cs="Times"/>
                    <w:lang w:val="en-CA"/>
                  </w:rPr>
                  <m:t>F</m:t>
                </m:r>
              </m:sub>
              <m:sup>
                <m:r>
                  <w:rPr>
                    <w:rFonts w:ascii="Cambria Math" w:hAnsi="Cambria Math" w:cs="Times"/>
                    <w:lang w:val="en-CA"/>
                  </w:rPr>
                  <m:t>vap</m:t>
                </m:r>
              </m:sup>
            </m:sSubSup>
          </m:den>
        </m:f>
      </m:oMath>
      <w:r w:rsidR="00EE1A92" w:rsidRPr="00D039E9">
        <w:rPr>
          <w:rFonts w:cs="Times"/>
          <w:bCs/>
          <w:lang w:val="en-CA" w:eastAsia="ja-JP"/>
        </w:rPr>
        <w:t xml:space="preserve"> (</w:t>
      </w:r>
      <m:oMath>
        <m:sSub>
          <m:sSubPr>
            <m:ctrlPr>
              <w:rPr>
                <w:rFonts w:ascii="Cambria Math" w:hAnsi="Cambria Math" w:cs="Times"/>
                <w:bCs/>
                <w:i/>
                <w:lang w:val="en-CA" w:eastAsia="ja-JP"/>
              </w:rPr>
            </m:ctrlPr>
          </m:sSubPr>
          <m:e>
            <m:r>
              <w:rPr>
                <w:rFonts w:ascii="Cambria Math" w:hAnsi="Cambria Math" w:cs="Times"/>
                <w:lang w:val="en-CA" w:eastAsia="ja-JP"/>
              </w:rPr>
              <m:t>c</m:t>
            </m:r>
          </m:e>
          <m:sub>
            <m:r>
              <w:rPr>
                <w:rFonts w:ascii="Cambria Math" w:hAnsi="Cambria Math" w:cs="Times"/>
                <w:lang w:val="en-CA" w:eastAsia="ja-JP"/>
              </w:rPr>
              <m:t>F</m:t>
            </m:r>
          </m:sub>
        </m:sSub>
      </m:oMath>
      <w:r w:rsidR="00EE1A92" w:rsidRPr="00D039E9">
        <w:rPr>
          <w:rFonts w:cs="Times"/>
          <w:bCs/>
          <w:lang w:val="en-CA" w:eastAsia="ja-JP"/>
        </w:rPr>
        <w:t>: molar co</w:t>
      </w:r>
      <w:r w:rsidR="002639C4" w:rsidRPr="00D039E9">
        <w:rPr>
          <w:rFonts w:cs="Times"/>
          <w:bCs/>
          <w:lang w:val="en-CA" w:eastAsia="ja-JP"/>
        </w:rPr>
        <w:t>ncentration of flav</w:t>
      </w:r>
      <w:r w:rsidR="00EE1A92" w:rsidRPr="00D039E9">
        <w:rPr>
          <w:rFonts w:cs="Times"/>
          <w:bCs/>
          <w:lang w:val="en-CA" w:eastAsia="ja-JP"/>
        </w:rPr>
        <w:t xml:space="preserve">our molecule in the aqueous phase; </w:t>
      </w:r>
      <m:oMath>
        <m:sSubSup>
          <m:sSubSupPr>
            <m:ctrlPr>
              <w:rPr>
                <w:rFonts w:ascii="Cambria Math" w:hAnsi="Cambria Math" w:cs="Times"/>
                <w:bCs/>
                <w:i/>
                <w:lang w:val="en-CA" w:eastAsia="ja-JP"/>
              </w:rPr>
            </m:ctrlPr>
          </m:sSubSupPr>
          <m:e>
            <m:r>
              <w:rPr>
                <w:rFonts w:ascii="Cambria Math" w:hAnsi="Cambria Math" w:cs="Times"/>
                <w:lang w:val="en-CA" w:eastAsia="ja-JP"/>
              </w:rPr>
              <m:t>c</m:t>
            </m:r>
          </m:e>
          <m:sub>
            <m:r>
              <w:rPr>
                <w:rFonts w:ascii="Cambria Math" w:hAnsi="Cambria Math" w:cs="Times"/>
                <w:lang w:val="en-CA" w:eastAsia="ja-JP"/>
              </w:rPr>
              <m:t>F</m:t>
            </m:r>
          </m:sub>
          <m:sup>
            <m:r>
              <w:rPr>
                <w:rFonts w:ascii="Cambria Math" w:hAnsi="Cambria Math" w:cs="Times"/>
                <w:lang w:val="en-CA" w:eastAsia="ja-JP"/>
              </w:rPr>
              <m:t>vap</m:t>
            </m:r>
          </m:sup>
        </m:sSubSup>
      </m:oMath>
      <w:r w:rsidR="00EE1A92" w:rsidRPr="00D039E9">
        <w:rPr>
          <w:rFonts w:cs="Times"/>
          <w:bCs/>
          <w:lang w:val="en-CA" w:eastAsia="ja-JP"/>
        </w:rPr>
        <w:t xml:space="preserve">: in the vapour phase) </w:t>
      </w:r>
      <w:r w:rsidR="00F157F4" w:rsidRPr="00D039E9">
        <w:rPr>
          <w:rFonts w:cs="Times"/>
          <w:bCs/>
          <w:lang w:val="en-CA" w:eastAsia="ja-JP"/>
        </w:rPr>
        <w:t xml:space="preserve">is </w:t>
      </w:r>
      <w:r w:rsidRPr="00D039E9">
        <w:rPr>
          <w:rFonts w:cs="Times"/>
          <w:bCs/>
          <w:lang w:val="en-CA" w:eastAsia="ja-JP"/>
        </w:rPr>
        <w:t>affected by th</w:t>
      </w:r>
      <w:r w:rsidR="006C4568" w:rsidRPr="00D039E9">
        <w:rPr>
          <w:rFonts w:cs="Times"/>
          <w:bCs/>
          <w:lang w:val="en-CA" w:eastAsia="ja-JP"/>
        </w:rPr>
        <w:t>e</w:t>
      </w:r>
      <w:r w:rsidR="00EE1A92" w:rsidRPr="00D039E9">
        <w:rPr>
          <w:rFonts w:cs="Times"/>
          <w:bCs/>
          <w:lang w:val="en-CA" w:eastAsia="ja-JP"/>
        </w:rPr>
        <w:t xml:space="preserve"> pres</w:t>
      </w:r>
      <w:r w:rsidR="00F157F4" w:rsidRPr="00D039E9">
        <w:rPr>
          <w:rFonts w:cs="Times"/>
          <w:bCs/>
          <w:lang w:val="en-CA" w:eastAsia="ja-JP"/>
        </w:rPr>
        <w:t xml:space="preserve">ence of protein molecules. This question can be answered using </w:t>
      </w:r>
      <w:r w:rsidR="00EE1A92" w:rsidRPr="00D039E9">
        <w:rPr>
          <w:rFonts w:cs="Times"/>
          <w:bCs/>
          <w:lang w:val="en-CA" w:eastAsia="ja-JP"/>
        </w:rPr>
        <w:t>the competition between the flavour-water</w:t>
      </w:r>
      <w:r w:rsidR="00D71279" w:rsidRPr="00D039E9">
        <w:rPr>
          <w:rFonts w:cs="Times"/>
          <w:bCs/>
          <w:lang w:val="en-CA" w:eastAsia="ja-JP"/>
        </w:rPr>
        <w:t xml:space="preserve"> and flavour-protein KBI</w:t>
      </w:r>
      <w:r w:rsidR="00EE1A92" w:rsidRPr="00D039E9">
        <w:rPr>
          <w:rFonts w:cs="Times"/>
          <w:bCs/>
          <w:lang w:val="en-CA" w:eastAsia="ja-JP"/>
        </w:rPr>
        <w:t>s as</w:t>
      </w:r>
      <w:r w:rsidR="00972CE5" w:rsidRPr="00D039E9">
        <w:rPr>
          <w:lang w:val="en-CA"/>
        </w:rPr>
        <w:fldChar w:fldCharType="begin" w:fldLock="1"/>
      </w:r>
      <w:r w:rsidR="003E67FA" w:rsidRPr="00D039E9">
        <w:rPr>
          <w:lang w:val="en-CA"/>
        </w:rPr>
        <w:instrText>ADDIN CSL_CITATION { "citationItems" : [ { "id" : "ITEM-1",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"ITEM-1",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"id" : "ITEM-2", "itemData" : { "DOI" : "10.1039/c3cp53791a", "ISBN" : "1463-9076", "ISSN" : "1463-9084", "PMID" : "24189644", "abstract" : "Hydrophobic drugs can often be solubilized by the addition of hydrotropes. We have previously shown that preferential drug-hydrotrope association is one of the major factors of increased solubility (but not \"hydrotrope clustering\" or changes in \"water structure\"). How, then, can we understand this drug-hydrotrope interaction at a molecular level? Thermodynamic models based upon stoichiometric solute-water and solute-hydrotrope binding have long been used to understand solubilization microscopically. Such binding models have shown that the solvation numbers or coordination numbers of the water and hydrotrope molecules around the drug solute is the key quantity for solute-water and solute-hydrotrope interaction. However, we show that a rigorous statistical thermodynamic theory (the fluctuation solution theory originated by Kirkwood and Buff) requires the total reconsideration of such a paradigm. Here we show that (i) the excess solvation number (the net increase or decrease, relative to the bulk, of the solvent molecules around the solute), not the coordination number, is the key quantity for describing the solute-hydrotrope interaction; (ii) solute-hydrotrope binding is beyond the reach of the stoichiometric models because long-range solvation structure plays an important role.", "author" : [ { "dropping-particle" : "", "family" : "Shimizu", "given" : "Seishi", "non-dropping-particle" : "", "parse-names" : false, "suffix" : "" }, { "dropping-particle" : "", "family" : "Booth", "given" : "Jonathan J", "non-dropping-particle" : "", "parse-names" : false, "suffix" : "" }, { "dropping-particle" : "", "family" : "Abbott", "given" : "Steven", "non-dropping-particle" : "", "parse-names" : false, "suffix" : "" } ], "container-title" : "Physical chemistry chemical physics : PCCP", "id" : "ITEM-2", "issue" : "47", "issued" : { "date-parts" : [ [ "2013" ] ] }, "page" : "20625-20632", "title" : "Hydrotropy: binding models vs. statistical thermodynamics.", "type" : "article-journal", "volume" : "15" }, "uris" : [ "http://www.mendeley.com/documents/?uuid=d239f09f-553e-48eb-882f-c22d5aa8ac8c" ] }, { "id" : "ITEM-3",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"ITEM-3", "issue" : "14", "issued" : { "date-parts" : [ [ "2014" ] ] }, "page" : "3922-3930", "title" : "Preferential solvation: Dividing surface vs excess numbers", "type" : "article-journal", "volume" : "118" }, "uris" : [ "http://www.mendeley.com/documents/?uuid=896fec6b-354e-41cd-a8de-55bd371a22f5" ] }, { "id" : "ITEM-4",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"ITEM-4",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"mendeley" : { "formattedCitation" : "&lt;sup&gt;11,16,17,22&lt;/sup&gt;", "plainTextFormattedCitation" : "11,16,17,22", "previouslyFormattedCitation" : "&lt;sup&gt;11,16,17,22&lt;/sup&gt;" }, "properties" : { "noteIndex" : 0 }, "schema" : "https://github.com/citation-style-language/schema/raw/master/csl-citation.json" }</w:instrText>
      </w:r>
      <w:r w:rsidR="00972CE5" w:rsidRPr="00D039E9">
        <w:rPr>
          <w:lang w:val="en-CA"/>
        </w:rPr>
        <w:fldChar w:fldCharType="separate"/>
      </w:r>
      <w:r w:rsidR="003E67FA" w:rsidRPr="00D039E9">
        <w:rPr>
          <w:noProof/>
          <w:vertAlign w:val="superscript"/>
          <w:lang w:val="en-CA"/>
        </w:rPr>
        <w:t>11,16,17,22</w:t>
      </w:r>
      <w:r w:rsidR="00972CE5" w:rsidRPr="00D039E9">
        <w:rPr>
          <w:lang w:val="en-CA"/>
        </w:rPr>
        <w:fldChar w:fldCharType="end"/>
      </w:r>
      <w:r w:rsidR="00EE1A92" w:rsidRPr="00D039E9">
        <w:rPr>
          <w:rFonts w:cs="Times"/>
          <w:bCs/>
          <w:lang w:val="en-CA" w:eastAsia="ja-JP"/>
        </w:rPr>
        <w:t xml:space="preserve"> </w:t>
      </w:r>
    </w:p>
    <w:p w14:paraId="0BE381F9" w14:textId="388CF201" w:rsidR="003872DB" w:rsidRPr="00D039E9" w:rsidRDefault="000E5B3F" w:rsidP="003872DB">
      <w:pPr>
        <w:pStyle w:val="TAMainText"/>
        <w:ind w:firstLine="0"/>
        <w:rPr>
          <w:rFonts w:cs="Times"/>
          <w:bCs/>
          <w:lang w:val="en-CA" w:eastAsia="ja-JP"/>
        </w:rPr>
      </w:pPr>
      <m:oMath>
        <m:sSub>
          <m:sSubPr>
            <m:ctrlPr>
              <w:rPr>
                <w:rFonts w:ascii="Cambria Math" w:hAnsi="Cambria Math" w:cs="Times"/>
                <w:bCs/>
                <w:i/>
                <w:lang w:val="en-CA" w:eastAsia="ja-JP"/>
              </w:rPr>
            </m:ctrlPr>
          </m:sSubPr>
          <m:e>
            <m:d>
              <m:dPr>
                <m:ctrlPr>
                  <w:rPr>
                    <w:rFonts w:ascii="Cambria Math" w:hAnsi="Cambria Math" w:cs="Times"/>
                    <w:bCs/>
                    <w:i/>
                    <w:lang w:val="en-CA" w:eastAsia="ja-JP"/>
                  </w:rPr>
                </m:ctrlPr>
              </m:dPr>
              <m:e>
                <m:f>
                  <m:fPr>
                    <m:ctrlPr>
                      <w:rPr>
                        <w:rFonts w:ascii="Cambria Math" w:hAnsi="Cambria Math" w:cs="Times"/>
                        <w:bCs/>
                        <w:i/>
                        <w:lang w:val="en-CA" w:eastAsia="ja-JP"/>
                      </w:rPr>
                    </m:ctrlPr>
                  </m:fPr>
                  <m:num>
                    <m:r>
                      <w:rPr>
                        <w:rFonts w:ascii="Cambria Math" w:hAnsi="Cambria Math" w:cs="Times"/>
                        <w:lang w:val="en-CA" w:eastAsia="ja-JP"/>
                      </w:rPr>
                      <m:t>∂</m:t>
                    </m:r>
                    <m:sSub>
                      <m:sSubPr>
                        <m:ctrlPr>
                          <w:rPr>
                            <w:rFonts w:ascii="Cambria Math" w:hAnsi="Cambria Math" w:cs="Times"/>
                            <w:bCs/>
                            <w:i/>
                            <w:lang w:val="en-CA" w:eastAsia="ja-JP"/>
                          </w:rPr>
                        </m:ctrlPr>
                      </m:sSubPr>
                      <m:e>
                        <m:func>
                          <m:funcPr>
                            <m:ctrlPr>
                              <w:rPr>
                                <w:rFonts w:ascii="Cambria Math" w:hAnsi="Cambria Math" w:cs="Times"/>
                                <w:bCs/>
                                <w:i/>
                                <w:lang w:val="en-CA" w:eastAsia="ja-JP"/>
                              </w:rPr>
                            </m:ctrlPr>
                          </m:funcPr>
                          <m:fName>
                            <m:r>
                              <m:rPr>
                                <m:sty m:val="p"/>
                              </m:rPr>
                              <w:rPr>
                                <w:rFonts w:ascii="Cambria Math" w:hAnsi="Cambria Math" w:cs="Times"/>
                                <w:lang w:val="en-CA" w:eastAsia="ja-JP"/>
                              </w:rPr>
                              <m:t>ln</m:t>
                            </m:r>
                          </m:fName>
                          <m:e>
                            <m:r>
                              <w:rPr>
                                <w:rFonts w:ascii="Cambria Math" w:hAnsi="Cambria Math" w:cs="Times"/>
                                <w:lang w:val="en-CA" w:eastAsia="ja-JP"/>
                              </w:rPr>
                              <m:t>K</m:t>
                            </m:r>
                          </m:e>
                        </m:func>
                      </m:e>
                      <m:sub>
                        <m:r>
                          <w:rPr>
                            <w:rFonts w:ascii="Cambria Math" w:hAnsi="Cambria Math" w:cs="Times"/>
                            <w:lang w:val="en-CA" w:eastAsia="ja-JP"/>
                          </w:rPr>
                          <m:t>vw</m:t>
                        </m:r>
                      </m:sub>
                    </m:sSub>
                  </m:num>
                  <m:den>
                    <m:r>
                      <w:rPr>
                        <w:rFonts w:ascii="Cambria Math" w:hAnsi="Cambria Math" w:cs="Times"/>
                        <w:lang w:val="en-CA" w:eastAsia="ja-JP"/>
                      </w:rPr>
                      <m:t>∂</m:t>
                    </m:r>
                    <m:func>
                      <m:funcPr>
                        <m:ctrlPr>
                          <w:rPr>
                            <w:rFonts w:ascii="Cambria Math" w:hAnsi="Cambria Math" w:cs="Times"/>
                            <w:bCs/>
                            <w:i/>
                            <w:lang w:val="en-CA" w:eastAsia="ja-JP"/>
                          </w:rPr>
                        </m:ctrlPr>
                      </m:funcPr>
                      <m:fName>
                        <m:r>
                          <m:rPr>
                            <m:sty m:val="p"/>
                          </m:rPr>
                          <w:rPr>
                            <w:rFonts w:ascii="Cambria Math" w:hAnsi="Cambria Math" w:cs="Times"/>
                            <w:lang w:val="en-CA" w:eastAsia="ja-JP"/>
                          </w:rPr>
                          <m:t>ln</m:t>
                        </m:r>
                      </m:fName>
                      <m:e>
                        <m:sSub>
                          <m:sSubPr>
                            <m:ctrlPr>
                              <w:rPr>
                                <w:rFonts w:ascii="Cambria Math" w:hAnsi="Cambria Math" w:cs="Times"/>
                                <w:bCs/>
                                <w:i/>
                                <w:lang w:val="en-CA" w:eastAsia="ja-JP"/>
                              </w:rPr>
                            </m:ctrlPr>
                          </m:sSubPr>
                          <m:e>
                            <m:r>
                              <w:rPr>
                                <w:rFonts w:ascii="Cambria Math" w:hAnsi="Cambria Math" w:cs="Times"/>
                                <w:lang w:val="en-CA" w:eastAsia="ja-JP"/>
                              </w:rPr>
                              <m:t>a</m:t>
                            </m:r>
                          </m:e>
                          <m:sub>
                            <m:r>
                              <w:rPr>
                                <w:rFonts w:ascii="Cambria Math" w:hAnsi="Cambria Math" w:cs="Times"/>
                                <w:lang w:val="en-CA" w:eastAsia="ja-JP"/>
                              </w:rPr>
                              <m:t>W</m:t>
                            </m:r>
                          </m:sub>
                        </m:sSub>
                      </m:e>
                    </m:func>
                  </m:den>
                </m:f>
              </m:e>
            </m:d>
          </m:e>
          <m:sub>
            <m:r>
              <w:rPr>
                <w:rFonts w:ascii="Cambria Math" w:hAnsi="Cambria Math" w:cs="Times"/>
                <w:lang w:val="en-CA" w:eastAsia="ja-JP"/>
              </w:rPr>
              <m:t>T,P,</m:t>
            </m:r>
            <m:sSub>
              <m:sSubPr>
                <m:ctrlPr>
                  <w:rPr>
                    <w:rFonts w:ascii="Cambria Math" w:hAnsi="Cambria Math" w:cs="Times"/>
                    <w:bCs/>
                    <w:i/>
                    <w:lang w:val="en-CA" w:eastAsia="ja-JP"/>
                  </w:rPr>
                </m:ctrlPr>
              </m:sSubPr>
              <m:e>
                <m:r>
                  <w:rPr>
                    <w:rFonts w:ascii="Cambria Math" w:hAnsi="Cambria Math" w:cs="Times"/>
                    <w:lang w:val="en-CA" w:eastAsia="ja-JP"/>
                  </w:rPr>
                  <m:t>c</m:t>
                </m:r>
              </m:e>
              <m:sub>
                <m:r>
                  <w:rPr>
                    <w:rFonts w:ascii="Cambria Math" w:hAnsi="Cambria Math" w:cs="Times"/>
                    <w:lang w:val="en-CA" w:eastAsia="ja-JP"/>
                  </w:rPr>
                  <m:t>F</m:t>
                </m:r>
              </m:sub>
            </m:sSub>
            <m:r>
              <w:rPr>
                <w:rFonts w:ascii="Cambria Math" w:hAnsi="Cambria Math" w:cs="Times"/>
                <w:lang w:val="en-CA" w:eastAsia="ja-JP"/>
              </w:rPr>
              <m:t>→0</m:t>
            </m:r>
          </m:sub>
        </m:sSub>
        <m:r>
          <w:rPr>
            <w:rFonts w:ascii="Cambria Math" w:hAnsi="Cambria Math" w:cs="Times"/>
            <w:lang w:val="en-CA" w:eastAsia="ja-JP"/>
          </w:rPr>
          <m:t>=</m:t>
        </m:r>
        <m:sSub>
          <m:sSubPr>
            <m:ctrlPr>
              <w:rPr>
                <w:rFonts w:ascii="Cambria Math" w:hAnsi="Cambria Math" w:cs="Times"/>
                <w:bCs/>
                <w:i/>
                <w:lang w:val="en-CA" w:eastAsia="ja-JP"/>
              </w:rPr>
            </m:ctrlPr>
          </m:sSubPr>
          <m:e>
            <m:r>
              <w:rPr>
                <w:rFonts w:ascii="Cambria Math" w:hAnsi="Cambria Math" w:cs="Times"/>
                <w:lang w:val="en-CA" w:eastAsia="ja-JP"/>
              </w:rPr>
              <m:t>c</m:t>
            </m:r>
          </m:e>
          <m:sub>
            <m:r>
              <w:rPr>
                <w:rFonts w:ascii="Cambria Math" w:hAnsi="Cambria Math" w:cs="Times"/>
                <w:lang w:val="en-CA" w:eastAsia="ja-JP"/>
              </w:rPr>
              <m:t>W</m:t>
            </m:r>
          </m:sub>
        </m:sSub>
        <m:d>
          <m:dPr>
            <m:ctrlPr>
              <w:rPr>
                <w:rFonts w:ascii="Cambria Math" w:hAnsi="Cambria Math" w:cs="Times"/>
                <w:bCs/>
                <w:i/>
                <w:lang w:val="en-CA" w:eastAsia="ja-JP"/>
              </w:rPr>
            </m:ctrlPr>
          </m:dPr>
          <m:e>
            <m:sSub>
              <m:sSubPr>
                <m:ctrlPr>
                  <w:rPr>
                    <w:rFonts w:ascii="Cambria Math" w:hAnsi="Cambria Math" w:cs="Times"/>
                    <w:bCs/>
                    <w:i/>
                    <w:lang w:val="en-CA" w:eastAsia="ja-JP"/>
                  </w:rPr>
                </m:ctrlPr>
              </m:sSubPr>
              <m:e>
                <m:r>
                  <w:rPr>
                    <w:rFonts w:ascii="Cambria Math" w:hAnsi="Cambria Math" w:cs="Times"/>
                    <w:lang w:val="en-CA" w:eastAsia="ja-JP"/>
                  </w:rPr>
                  <m:t>G</m:t>
                </m:r>
              </m:e>
              <m:sub>
                <m:r>
                  <w:rPr>
                    <w:rFonts w:ascii="Cambria Math" w:hAnsi="Cambria Math" w:cs="Times"/>
                    <w:lang w:val="en-CA" w:eastAsia="ja-JP"/>
                  </w:rPr>
                  <m:t>FW</m:t>
                </m:r>
              </m:sub>
            </m:sSub>
            <m:r>
              <w:rPr>
                <w:rFonts w:ascii="Cambria Math" w:hAnsi="Cambria Math" w:cs="Times"/>
                <w:lang w:val="en-CA" w:eastAsia="ja-JP"/>
              </w:rPr>
              <m:t>-</m:t>
            </m:r>
            <m:sSub>
              <m:sSubPr>
                <m:ctrlPr>
                  <w:rPr>
                    <w:rFonts w:ascii="Cambria Math" w:hAnsi="Cambria Math" w:cs="Times"/>
                    <w:bCs/>
                    <w:i/>
                    <w:lang w:val="en-CA" w:eastAsia="ja-JP"/>
                  </w:rPr>
                </m:ctrlPr>
              </m:sSubPr>
              <m:e>
                <m:r>
                  <w:rPr>
                    <w:rFonts w:ascii="Cambria Math" w:hAnsi="Cambria Math" w:cs="Times"/>
                    <w:lang w:val="en-CA" w:eastAsia="ja-JP"/>
                  </w:rPr>
                  <m:t>G</m:t>
                </m:r>
              </m:e>
              <m:sub>
                <m:r>
                  <w:rPr>
                    <w:rFonts w:ascii="Cambria Math" w:hAnsi="Cambria Math" w:cs="Times"/>
                    <w:lang w:val="en-CA" w:eastAsia="ja-JP"/>
                  </w:rPr>
                  <m:t>FP</m:t>
                </m:r>
              </m:sub>
            </m:sSub>
          </m:e>
        </m:d>
      </m:oMath>
      <w:r w:rsidR="003872DB" w:rsidRPr="00D039E9">
        <w:rPr>
          <w:rFonts w:cs="Times"/>
          <w:bCs/>
          <w:lang w:val="en-CA" w:eastAsia="ja-JP"/>
        </w:rPr>
        <w:tab/>
      </w:r>
      <w:r w:rsidR="003872DB" w:rsidRPr="00D039E9">
        <w:rPr>
          <w:rFonts w:cs="Times"/>
          <w:bCs/>
          <w:lang w:val="en-CA" w:eastAsia="ja-JP"/>
        </w:rPr>
        <w:tab/>
      </w:r>
      <w:r w:rsidR="003872DB" w:rsidRPr="00D039E9">
        <w:rPr>
          <w:rFonts w:cs="Times"/>
          <w:bCs/>
          <w:lang w:val="en-CA" w:eastAsia="ja-JP"/>
        </w:rPr>
        <w:tab/>
      </w:r>
      <w:r w:rsidR="003872DB" w:rsidRPr="00D039E9">
        <w:rPr>
          <w:rFonts w:cs="Times"/>
          <w:bCs/>
          <w:lang w:val="en-CA" w:eastAsia="ja-JP"/>
        </w:rPr>
        <w:tab/>
      </w:r>
      <w:r w:rsidR="003872DB" w:rsidRPr="00D039E9">
        <w:rPr>
          <w:rFonts w:cs="Times"/>
          <w:bCs/>
          <w:lang w:val="en-CA" w:eastAsia="ja-JP"/>
        </w:rPr>
        <w:tab/>
      </w:r>
      <w:r w:rsidR="003872DB" w:rsidRPr="00D039E9">
        <w:rPr>
          <w:rFonts w:cs="Times"/>
          <w:bCs/>
          <w:lang w:val="en-CA" w:eastAsia="ja-JP"/>
        </w:rPr>
        <w:tab/>
      </w:r>
      <w:r w:rsidR="003872DB" w:rsidRPr="00D039E9">
        <w:rPr>
          <w:rFonts w:cs="Times"/>
          <w:bCs/>
          <w:lang w:val="en-CA" w:eastAsia="ja-JP"/>
        </w:rPr>
        <w:tab/>
      </w:r>
      <w:r w:rsidR="003872DB" w:rsidRPr="00D039E9">
        <w:rPr>
          <w:rFonts w:cs="Times"/>
          <w:bCs/>
          <w:lang w:val="en-CA" w:eastAsia="ja-JP"/>
        </w:rPr>
        <w:tab/>
      </w:r>
      <w:r w:rsidR="00EE1A92" w:rsidRPr="00D039E9">
        <w:rPr>
          <w:rFonts w:cs="Times"/>
          <w:bCs/>
          <w:lang w:val="en-CA" w:eastAsia="ja-JP"/>
        </w:rPr>
        <w:t>(1</w:t>
      </w:r>
      <w:r w:rsidR="003872DB" w:rsidRPr="00D039E9">
        <w:rPr>
          <w:rFonts w:cs="Times"/>
          <w:bCs/>
          <w:lang w:val="en-CA" w:eastAsia="ja-JP"/>
        </w:rPr>
        <w:t xml:space="preserve">) </w:t>
      </w:r>
    </w:p>
    <w:p w14:paraId="31FDF0AB" w14:textId="631388E5" w:rsidR="003872DB" w:rsidRPr="00D039E9" w:rsidRDefault="00EE1A92" w:rsidP="003872DB">
      <w:pPr>
        <w:pStyle w:val="TAMainText"/>
        <w:ind w:firstLine="0"/>
        <w:rPr>
          <w:rFonts w:cs="Times"/>
          <w:lang w:val="en-CA"/>
        </w:rPr>
      </w:pPr>
      <w:r w:rsidRPr="00D039E9">
        <w:rPr>
          <w:rFonts w:cs="Times"/>
          <w:lang w:val="en-CA"/>
        </w:rPr>
        <w:t xml:space="preserve">A full derivation of Eq. (1) </w:t>
      </w:r>
      <w:r w:rsidR="00F157F4" w:rsidRPr="00D039E9">
        <w:rPr>
          <w:rFonts w:cs="Times"/>
          <w:lang w:val="en-CA"/>
        </w:rPr>
        <w:t>is</w:t>
      </w:r>
      <w:r w:rsidRPr="00D039E9">
        <w:rPr>
          <w:rFonts w:cs="Times"/>
          <w:lang w:val="en-CA"/>
        </w:rPr>
        <w:t xml:space="preserve"> found in Appendix A. </w:t>
      </w:r>
      <w:r w:rsidR="00DB5640" w:rsidRPr="00D039E9">
        <w:rPr>
          <w:rFonts w:cs="Times"/>
          <w:lang w:val="en-CA"/>
        </w:rPr>
        <w:t>The concentration of water may be an unfamiliar concept but is, of course, as easily calculated as any other concentration.</w:t>
      </w:r>
    </w:p>
    <w:p w14:paraId="4F560CE5" w14:textId="77777777" w:rsidR="00EE1A92" w:rsidRPr="00D039E9" w:rsidRDefault="00EE1A92" w:rsidP="003872DB">
      <w:pPr>
        <w:pStyle w:val="TAMainText"/>
        <w:ind w:firstLine="0"/>
        <w:rPr>
          <w:rFonts w:cs="Times"/>
          <w:lang w:val="en-CA"/>
        </w:rPr>
      </w:pPr>
    </w:p>
    <w:p w14:paraId="7606A756" w14:textId="2EEA642B" w:rsidR="003872DB" w:rsidRPr="00D039E9" w:rsidRDefault="000407B5" w:rsidP="003872DB">
      <w:pPr>
        <w:pStyle w:val="TAMainText"/>
        <w:rPr>
          <w:rFonts w:cs="Times"/>
          <w:bCs/>
          <w:lang w:val="en-CA" w:eastAsia="ja-JP"/>
        </w:rPr>
      </w:pPr>
      <w:r w:rsidRPr="00D039E9">
        <w:rPr>
          <w:rFonts w:cs="Times"/>
          <w:bCs/>
          <w:lang w:val="en-CA" w:eastAsia="ja-JP"/>
        </w:rPr>
        <w:t xml:space="preserve">Note that there are two variables involved Eq. (1), i.e., </w:t>
      </w:r>
      <m:oMath>
        <m:sSub>
          <m:sSubPr>
            <m:ctrlPr>
              <w:rPr>
                <w:rFonts w:ascii="Cambria Math" w:hAnsi="Cambria Math" w:cs="Times"/>
                <w:bCs/>
                <w:i/>
                <w:lang w:val="en-CA" w:eastAsia="ja-JP"/>
              </w:rPr>
            </m:ctrlPr>
          </m:sSubPr>
          <m:e>
            <m:r>
              <w:rPr>
                <w:rFonts w:ascii="Cambria Math" w:hAnsi="Cambria Math" w:cs="Times"/>
                <w:lang w:val="en-CA" w:eastAsia="ja-JP"/>
              </w:rPr>
              <m:t>G</m:t>
            </m:r>
          </m:e>
          <m:sub>
            <m:r>
              <w:rPr>
                <w:rFonts w:ascii="Cambria Math" w:hAnsi="Cambria Math" w:cs="Times"/>
                <w:lang w:val="en-CA" w:eastAsia="ja-JP"/>
              </w:rPr>
              <m:t>FW</m:t>
            </m:r>
          </m:sub>
        </m:sSub>
      </m:oMath>
      <w:r w:rsidRPr="00D039E9">
        <w:rPr>
          <w:rFonts w:cs="Times"/>
          <w:bCs/>
          <w:lang w:val="en-CA" w:eastAsia="ja-JP"/>
        </w:rPr>
        <w:t xml:space="preserve"> and </w:t>
      </w:r>
      <m:oMath>
        <m:sSub>
          <m:sSubPr>
            <m:ctrlPr>
              <w:rPr>
                <w:rFonts w:ascii="Cambria Math" w:hAnsi="Cambria Math" w:cs="Times"/>
                <w:bCs/>
                <w:i/>
                <w:lang w:val="en-CA" w:eastAsia="ja-JP"/>
              </w:rPr>
            </m:ctrlPr>
          </m:sSubPr>
          <m:e>
            <m:r>
              <w:rPr>
                <w:rFonts w:ascii="Cambria Math" w:hAnsi="Cambria Math" w:cs="Times"/>
                <w:lang w:val="en-CA" w:eastAsia="ja-JP"/>
              </w:rPr>
              <m:t>G</m:t>
            </m:r>
          </m:e>
          <m:sub>
            <m:r>
              <w:rPr>
                <w:rFonts w:ascii="Cambria Math" w:hAnsi="Cambria Math" w:cs="Times"/>
                <w:lang w:val="en-CA" w:eastAsia="ja-JP"/>
              </w:rPr>
              <m:t>FP</m:t>
            </m:r>
          </m:sub>
        </m:sSub>
      </m:oMath>
      <w:r w:rsidRPr="00D039E9">
        <w:rPr>
          <w:rFonts w:cs="Times"/>
          <w:bCs/>
          <w:lang w:val="en-CA" w:eastAsia="ja-JP"/>
        </w:rPr>
        <w:t>, both of which can be determined from experiments. To do so, note that t</w:t>
      </w:r>
      <w:r w:rsidR="003872DB" w:rsidRPr="00D039E9">
        <w:rPr>
          <w:rFonts w:cs="Times"/>
          <w:bCs/>
          <w:lang w:val="en-CA" w:eastAsia="ja-JP"/>
        </w:rPr>
        <w:t>he simultaneous determination of two variables requires two independent equations.</w:t>
      </w:r>
      <w:r w:rsidR="00972CE5" w:rsidRPr="00D039E9">
        <w:rPr>
          <w:rFonts w:cs="Times"/>
          <w:bCs/>
          <w:lang w:val="en-CA" w:eastAsia="ja-JP"/>
        </w:rPr>
        <w:fldChar w:fldCharType="begin" w:fldLock="1"/>
      </w:r>
      <w:r w:rsidR="003E67FA" w:rsidRPr="00D039E9">
        <w:rPr>
          <w:rFonts w:cs="Times"/>
          <w:bCs/>
          <w:lang w:val="en-CA" w:eastAsia="ja-JP"/>
        </w:rPr>
        <w:instrText>ADDIN CSL_CITATION { "citationItems" : [ { "id" : "ITEM-1",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"ITEM-1",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"id" : "ITEM-2", "itemData" : { "DOI" : "10.1063/1.1806402", "ISSN" : "00219606", "PMID" : "15527383", "abstract" : "Cosolvents added to aqueous solutions of biomolecules profoundly affect protein stability, as well as biochemical equilibria. Some cosolvents, such as urea and guanidine hydrochloride, denature proteins, whereas others, such as osmolytes and crowders, stabilize the native structures of proteins. The way cosolvents interact with biomolecules is crucial information required to understand the cosolvent effect at a molecular level. We present a statistical mechanical framework based upon Kirkwood-Buff theory, which enables one to extract this picture from experimental data. The combination of two experimental results, namely, the cosolvent-induced equilibrium shift and the partial molar volume change upon the reaction, supplimented by the structural change, is shown to yield the number of water and cosolvent molecules bound or released during a reaction. Previously, denaturation experiments (e.g., m-value analysis) were analyzed by empirical and stoichiometric solvent-binding models, while the effects of osmolytes and crowders were analyzed by the approximate molecular crowding approach for low cosolvent concentration. Here we synthesize these previous approaches in a rigorous statistical mechanical treatment, which is applicable at any cosolvent concentration. The usefulness and accuracy of previous approaches was also evaluated.", "author" : [ { "dropping-particle" : "", "family" : "Shimizu", "given" : "Seishi", "non-dropping-particle" : "", "parse-names" : false, "suffix" : "" }, { "dropping-particle" : "", "family" : "Boon", "given" : "Chandra L.", "non-dropping-particle" : "", "parse-names" : false, "suffix" : "" } ], "container-title" : "Journal of Chemical Physics", "id" : "ITEM-2", "issue" : "18", "issued" : { "date-parts" : [ [ "2004" ] ] }, "page" : "9147-9155", "title" : "The Kirkwood-Buff theory and the effect of cosolvents on biochemical reactions", "type" : "article-journal", "volume" : "121" }, "uris" : [ "http://www.mendeley.com/documents/?uuid=773d4c28-f2d5-421b-a5a5-0066df199fbe" ] }, { "id" : "ITEM-3",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"ITEM-3", "issue" : "14", "issued" : { "date-parts" : [ [ "2014" ] ] }, "page" : "3922-3930", "title" : "Preferential solvation: Dividing surface vs excess numbers", "type" : "article-journal", "volume" : "118" }, "uris" : [ "http://www.mendeley.com/documents/?uuid=896fec6b-354e-41cd-a8de-55bd371a22f5" ] }, { "id" : "ITEM-4",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"ITEM-4",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"mendeley" : { "formattedCitation" : "&lt;sup&gt;11,12,17,22&lt;/sup&gt;", "plainTextFormattedCitation" : "11,12,17,22", "previouslyFormattedCitation" : "&lt;sup&gt;11,12,17,22&lt;/sup&gt;" }, "properties" : { "noteIndex" : 0 }, "schema" : "https://github.com/citation-style-language/schema/raw/master/csl-citation.json" }</w:instrText>
      </w:r>
      <w:r w:rsidR="00972CE5" w:rsidRPr="00D039E9">
        <w:rPr>
          <w:rFonts w:cs="Times"/>
          <w:bCs/>
          <w:lang w:val="en-CA" w:eastAsia="ja-JP"/>
        </w:rPr>
        <w:fldChar w:fldCharType="separate"/>
      </w:r>
      <w:r w:rsidR="003E67FA" w:rsidRPr="00D039E9">
        <w:rPr>
          <w:rFonts w:cs="Times"/>
          <w:bCs/>
          <w:noProof/>
          <w:vertAlign w:val="superscript"/>
          <w:lang w:val="en-CA" w:eastAsia="ja-JP"/>
        </w:rPr>
        <w:t>11,12,17,22</w:t>
      </w:r>
      <w:r w:rsidR="00972CE5" w:rsidRPr="00D039E9">
        <w:rPr>
          <w:rFonts w:cs="Times"/>
          <w:bCs/>
          <w:lang w:val="en-CA" w:eastAsia="ja-JP"/>
        </w:rPr>
        <w:fldChar w:fldCharType="end"/>
      </w:r>
      <w:r w:rsidR="003872DB" w:rsidRPr="00D039E9">
        <w:rPr>
          <w:rFonts w:cs="Times"/>
          <w:bCs/>
          <w:lang w:val="en-CA" w:eastAsia="ja-JP"/>
        </w:rPr>
        <w:t xml:space="preserve"> We have shown that the partial molar volume of the flavour </w:t>
      </w:r>
      <m:oMath>
        <m:sSub>
          <m:sSubPr>
            <m:ctrlPr>
              <w:rPr>
                <w:rFonts w:ascii="Cambria Math" w:hAnsi="Cambria Math" w:cs="Times"/>
                <w:bCs/>
                <w:i/>
                <w:lang w:val="en-CA" w:eastAsia="ja-JP"/>
              </w:rPr>
            </m:ctrlPr>
          </m:sSubPr>
          <m:e>
            <m:r>
              <w:rPr>
                <w:rFonts w:ascii="Cambria Math" w:hAnsi="Cambria Math" w:cs="Times"/>
                <w:lang w:val="en-CA" w:eastAsia="ja-JP"/>
              </w:rPr>
              <m:t>V</m:t>
            </m:r>
          </m:e>
          <m:sub>
            <m:r>
              <w:rPr>
                <w:rFonts w:ascii="Cambria Math" w:hAnsi="Cambria Math" w:cs="Times"/>
                <w:lang w:val="en-CA" w:eastAsia="ja-JP"/>
              </w:rPr>
              <m:t>F</m:t>
            </m:r>
          </m:sub>
        </m:sSub>
      </m:oMath>
      <w:r w:rsidR="003872DB" w:rsidRPr="00D039E9">
        <w:rPr>
          <w:rFonts w:cs="Times"/>
          <w:bCs/>
          <w:lang w:val="en-CA" w:eastAsia="ja-JP"/>
        </w:rPr>
        <w:t xml:space="preserve"> can be the second equation we need</w:t>
      </w:r>
    </w:p>
    <w:p w14:paraId="784E7890" w14:textId="073B36BC" w:rsidR="003872DB" w:rsidRPr="00D039E9" w:rsidRDefault="000E5B3F" w:rsidP="003872DB">
      <w:pPr>
        <w:pStyle w:val="TAMainText"/>
        <w:ind w:firstLine="0"/>
        <w:rPr>
          <w:rFonts w:cs="Times"/>
          <w:bCs/>
          <w:lang w:val="en-CA" w:eastAsia="ja-JP"/>
        </w:rPr>
      </w:pPr>
      <m:oMath>
        <m:sSub>
          <m:sSubPr>
            <m:ctrlPr>
              <w:rPr>
                <w:rFonts w:ascii="Cambria Math" w:hAnsi="Cambria Math" w:cs="Times"/>
                <w:bCs/>
                <w:i/>
                <w:lang w:val="en-CA" w:eastAsia="ja-JP"/>
              </w:rPr>
            </m:ctrlPr>
          </m:sSubPr>
          <m:e>
            <m:r>
              <w:rPr>
                <w:rFonts w:ascii="Cambria Math" w:hAnsi="Cambria Math" w:cs="Times"/>
                <w:lang w:val="en-CA" w:eastAsia="ja-JP"/>
              </w:rPr>
              <m:t>V</m:t>
            </m:r>
          </m:e>
          <m:sub>
            <m:r>
              <w:rPr>
                <w:rFonts w:ascii="Cambria Math" w:hAnsi="Cambria Math" w:cs="Times"/>
                <w:lang w:val="en-CA" w:eastAsia="ja-JP"/>
              </w:rPr>
              <m:t>F</m:t>
            </m:r>
          </m:sub>
        </m:sSub>
        <m:r>
          <w:rPr>
            <w:rFonts w:ascii="Cambria Math" w:hAnsi="Cambria Math" w:cs="Times"/>
            <w:lang w:val="en-CA" w:eastAsia="ja-JP"/>
          </w:rPr>
          <m:t>=-</m:t>
        </m:r>
        <m:sSub>
          <m:sSubPr>
            <m:ctrlPr>
              <w:rPr>
                <w:rFonts w:ascii="Cambria Math" w:hAnsi="Cambria Math" w:cs="Times"/>
                <w:bCs/>
                <w:i/>
                <w:lang w:val="en-CA" w:eastAsia="ja-JP"/>
              </w:rPr>
            </m:ctrlPr>
          </m:sSubPr>
          <m:e>
            <m:r>
              <w:rPr>
                <w:rFonts w:ascii="Cambria Math" w:hAnsi="Cambria Math" w:cs="Times"/>
                <w:lang w:val="en-CA" w:eastAsia="ja-JP"/>
              </w:rPr>
              <m:t>c</m:t>
            </m:r>
          </m:e>
          <m:sub>
            <m:r>
              <w:rPr>
                <w:rFonts w:ascii="Cambria Math" w:hAnsi="Cambria Math" w:cs="Times"/>
                <w:lang w:val="en-CA" w:eastAsia="ja-JP"/>
              </w:rPr>
              <m:t>W</m:t>
            </m:r>
          </m:sub>
        </m:sSub>
        <m:sSub>
          <m:sSubPr>
            <m:ctrlPr>
              <w:rPr>
                <w:rFonts w:ascii="Cambria Math" w:hAnsi="Cambria Math" w:cs="Times"/>
                <w:bCs/>
                <w:i/>
                <w:lang w:val="en-CA" w:eastAsia="ja-JP"/>
              </w:rPr>
            </m:ctrlPr>
          </m:sSubPr>
          <m:e>
            <m:r>
              <w:rPr>
                <w:rFonts w:ascii="Cambria Math" w:hAnsi="Cambria Math" w:cs="Times"/>
                <w:lang w:val="en-CA" w:eastAsia="ja-JP"/>
              </w:rPr>
              <m:t>V</m:t>
            </m:r>
          </m:e>
          <m:sub>
            <m:r>
              <w:rPr>
                <w:rFonts w:ascii="Cambria Math" w:hAnsi="Cambria Math" w:cs="Times"/>
                <w:lang w:val="en-CA" w:eastAsia="ja-JP"/>
              </w:rPr>
              <m:t>W</m:t>
            </m:r>
          </m:sub>
        </m:sSub>
        <m:sSub>
          <m:sSubPr>
            <m:ctrlPr>
              <w:rPr>
                <w:rFonts w:ascii="Cambria Math" w:hAnsi="Cambria Math" w:cs="Times"/>
                <w:bCs/>
                <w:i/>
                <w:lang w:val="en-CA" w:eastAsia="ja-JP"/>
              </w:rPr>
            </m:ctrlPr>
          </m:sSubPr>
          <m:e>
            <m:r>
              <w:rPr>
                <w:rFonts w:ascii="Cambria Math" w:hAnsi="Cambria Math" w:cs="Times"/>
                <w:lang w:val="en-CA" w:eastAsia="ja-JP"/>
              </w:rPr>
              <m:t>G</m:t>
            </m:r>
          </m:e>
          <m:sub>
            <m:r>
              <w:rPr>
                <w:rFonts w:ascii="Cambria Math" w:hAnsi="Cambria Math" w:cs="Times"/>
                <w:lang w:val="en-CA" w:eastAsia="ja-JP"/>
              </w:rPr>
              <m:t>FW</m:t>
            </m:r>
          </m:sub>
        </m:sSub>
        <m:r>
          <w:rPr>
            <w:rFonts w:ascii="Cambria Math" w:hAnsi="Cambria Math" w:cs="Times"/>
            <w:lang w:val="en-CA" w:eastAsia="ja-JP"/>
          </w:rPr>
          <m:t>-</m:t>
        </m:r>
        <m:sSub>
          <m:sSubPr>
            <m:ctrlPr>
              <w:rPr>
                <w:rFonts w:ascii="Cambria Math" w:hAnsi="Cambria Math" w:cs="Times"/>
                <w:bCs/>
                <w:i/>
                <w:lang w:val="en-CA" w:eastAsia="ja-JP"/>
              </w:rPr>
            </m:ctrlPr>
          </m:sSubPr>
          <m:e>
            <m:r>
              <w:rPr>
                <w:rFonts w:ascii="Cambria Math" w:hAnsi="Cambria Math" w:cs="Times"/>
                <w:lang w:val="en-CA" w:eastAsia="ja-JP"/>
              </w:rPr>
              <m:t>c</m:t>
            </m:r>
          </m:e>
          <m:sub>
            <m:r>
              <w:rPr>
                <w:rFonts w:ascii="Cambria Math" w:hAnsi="Cambria Math" w:cs="Times"/>
                <w:lang w:val="en-CA" w:eastAsia="ja-JP"/>
              </w:rPr>
              <m:t>P</m:t>
            </m:r>
          </m:sub>
        </m:sSub>
        <m:sSub>
          <m:sSubPr>
            <m:ctrlPr>
              <w:rPr>
                <w:rFonts w:ascii="Cambria Math" w:hAnsi="Cambria Math" w:cs="Times"/>
                <w:bCs/>
                <w:i/>
                <w:lang w:val="en-CA" w:eastAsia="ja-JP"/>
              </w:rPr>
            </m:ctrlPr>
          </m:sSubPr>
          <m:e>
            <m:r>
              <w:rPr>
                <w:rFonts w:ascii="Cambria Math" w:hAnsi="Cambria Math" w:cs="Times"/>
                <w:lang w:val="en-CA" w:eastAsia="ja-JP"/>
              </w:rPr>
              <m:t>V</m:t>
            </m:r>
          </m:e>
          <m:sub>
            <m:r>
              <w:rPr>
                <w:rFonts w:ascii="Cambria Math" w:hAnsi="Cambria Math" w:cs="Times"/>
                <w:lang w:val="en-CA" w:eastAsia="ja-JP"/>
              </w:rPr>
              <m:t>P</m:t>
            </m:r>
          </m:sub>
        </m:sSub>
        <m:sSub>
          <m:sSubPr>
            <m:ctrlPr>
              <w:rPr>
                <w:rFonts w:ascii="Cambria Math" w:hAnsi="Cambria Math" w:cs="Times"/>
                <w:bCs/>
                <w:i/>
                <w:lang w:val="en-CA" w:eastAsia="ja-JP"/>
              </w:rPr>
            </m:ctrlPr>
          </m:sSubPr>
          <m:e>
            <m:r>
              <w:rPr>
                <w:rFonts w:ascii="Cambria Math" w:hAnsi="Cambria Math" w:cs="Times"/>
                <w:lang w:val="en-CA" w:eastAsia="ja-JP"/>
              </w:rPr>
              <m:t>G</m:t>
            </m:r>
          </m:e>
          <m:sub>
            <m:r>
              <w:rPr>
                <w:rFonts w:ascii="Cambria Math" w:hAnsi="Cambria Math" w:cs="Times"/>
                <w:lang w:val="en-CA" w:eastAsia="ja-JP"/>
              </w:rPr>
              <m:t>FP</m:t>
            </m:r>
          </m:sub>
        </m:sSub>
        <m:r>
          <w:rPr>
            <w:rFonts w:ascii="Cambria Math" w:hAnsi="Cambria Math" w:cs="Times"/>
            <w:lang w:val="en-CA" w:eastAsia="ja-JP"/>
          </w:rPr>
          <m:t xml:space="preserve">+RT </m:t>
        </m:r>
        <m:sSub>
          <m:sSubPr>
            <m:ctrlPr>
              <w:rPr>
                <w:rFonts w:ascii="Cambria Math" w:hAnsi="Cambria Math" w:cs="Times"/>
                <w:bCs/>
                <w:i/>
                <w:lang w:val="en-CA" w:eastAsia="ja-JP"/>
              </w:rPr>
            </m:ctrlPr>
          </m:sSubPr>
          <m:e>
            <m:r>
              <w:rPr>
                <w:rFonts w:ascii="Cambria Math" w:hAnsi="Cambria Math" w:cs="Times"/>
                <w:lang w:val="en-CA" w:eastAsia="ja-JP"/>
              </w:rPr>
              <m:t>κ</m:t>
            </m:r>
          </m:e>
          <m:sub>
            <m:r>
              <w:rPr>
                <w:rFonts w:ascii="Cambria Math" w:hAnsi="Cambria Math" w:cs="Times"/>
                <w:lang w:val="en-CA" w:eastAsia="ja-JP"/>
              </w:rPr>
              <m:t>T</m:t>
            </m:r>
          </m:sub>
        </m:sSub>
      </m:oMath>
      <w:r w:rsidR="003872DB" w:rsidRPr="00D039E9">
        <w:rPr>
          <w:rFonts w:cs="Times"/>
          <w:bCs/>
          <w:lang w:val="en-CA" w:eastAsia="ja-JP"/>
        </w:rPr>
        <w:tab/>
      </w:r>
      <w:r w:rsidR="003872DB" w:rsidRPr="00D039E9">
        <w:rPr>
          <w:rFonts w:cs="Times"/>
          <w:bCs/>
          <w:lang w:val="en-CA" w:eastAsia="ja-JP"/>
        </w:rPr>
        <w:tab/>
      </w:r>
      <w:r w:rsidR="003872DB" w:rsidRPr="00D039E9">
        <w:rPr>
          <w:rFonts w:cs="Times"/>
          <w:bCs/>
          <w:lang w:val="en-CA" w:eastAsia="ja-JP"/>
        </w:rPr>
        <w:tab/>
      </w:r>
      <w:r w:rsidR="003872DB" w:rsidRPr="00D039E9">
        <w:rPr>
          <w:rFonts w:cs="Times"/>
          <w:bCs/>
          <w:lang w:val="en-CA" w:eastAsia="ja-JP"/>
        </w:rPr>
        <w:tab/>
      </w:r>
      <w:r w:rsidR="003872DB" w:rsidRPr="00D039E9">
        <w:rPr>
          <w:rFonts w:cs="Times"/>
          <w:bCs/>
          <w:lang w:val="en-CA" w:eastAsia="ja-JP"/>
        </w:rPr>
        <w:tab/>
      </w:r>
      <w:r w:rsidR="003872DB" w:rsidRPr="00D039E9">
        <w:rPr>
          <w:rFonts w:cs="Times"/>
          <w:bCs/>
          <w:lang w:val="en-CA" w:eastAsia="ja-JP"/>
        </w:rPr>
        <w:tab/>
      </w:r>
      <w:r w:rsidR="003872DB" w:rsidRPr="00D039E9">
        <w:rPr>
          <w:rFonts w:cs="Times"/>
          <w:bCs/>
          <w:lang w:val="en-CA" w:eastAsia="ja-JP"/>
        </w:rPr>
        <w:tab/>
      </w:r>
      <w:r w:rsidR="00EE1A92" w:rsidRPr="00D039E9">
        <w:rPr>
          <w:rFonts w:cs="Times"/>
          <w:bCs/>
          <w:lang w:val="en-CA" w:eastAsia="ja-JP"/>
        </w:rPr>
        <w:t>(2</w:t>
      </w:r>
      <w:r w:rsidR="003872DB" w:rsidRPr="00D039E9">
        <w:rPr>
          <w:rFonts w:cs="Times"/>
          <w:bCs/>
          <w:lang w:val="en-CA" w:eastAsia="ja-JP"/>
        </w:rPr>
        <w:t>)</w:t>
      </w:r>
    </w:p>
    <w:p w14:paraId="757422EC" w14:textId="4B8C113E" w:rsidR="003872DB" w:rsidRPr="00D039E9" w:rsidRDefault="003872DB" w:rsidP="003872DB">
      <w:pPr>
        <w:pStyle w:val="TAMainText"/>
        <w:ind w:firstLine="0"/>
        <w:rPr>
          <w:rFonts w:cs="Times"/>
          <w:lang w:val="en-CA"/>
        </w:rPr>
      </w:pPr>
      <w:r w:rsidRPr="00D039E9">
        <w:rPr>
          <w:rFonts w:cs="Times"/>
          <w:bCs/>
          <w:lang w:val="en-CA" w:eastAsia="ja-JP"/>
        </w:rPr>
        <w:t xml:space="preserve">where </w:t>
      </w:r>
      <m:oMath>
        <m:sSub>
          <m:sSubPr>
            <m:ctrlPr>
              <w:rPr>
                <w:rFonts w:ascii="Cambria Math" w:hAnsi="Cambria Math" w:cs="Times"/>
                <w:bCs/>
                <w:i/>
                <w:lang w:val="en-CA" w:eastAsia="ja-JP"/>
              </w:rPr>
            </m:ctrlPr>
          </m:sSubPr>
          <m:e>
            <m:r>
              <w:rPr>
                <w:rFonts w:ascii="Cambria Math" w:hAnsi="Cambria Math" w:cs="Times"/>
                <w:lang w:val="en-CA" w:eastAsia="ja-JP"/>
              </w:rPr>
              <m:t>κ</m:t>
            </m:r>
          </m:e>
          <m:sub>
            <m:r>
              <w:rPr>
                <w:rFonts w:ascii="Cambria Math" w:hAnsi="Cambria Math" w:cs="Times"/>
                <w:lang w:val="en-CA" w:eastAsia="ja-JP"/>
              </w:rPr>
              <m:t>T</m:t>
            </m:r>
          </m:sub>
        </m:sSub>
      </m:oMath>
      <w:r w:rsidRPr="00D039E9">
        <w:rPr>
          <w:rFonts w:cs="Times"/>
          <w:bCs/>
          <w:lang w:val="en-CA" w:eastAsia="ja-JP"/>
        </w:rPr>
        <w:t>, isothermal compressibility, makes a negligibly small contribution.</w:t>
      </w:r>
      <w:r w:rsidR="00972CE5" w:rsidRPr="00D039E9">
        <w:rPr>
          <w:rFonts w:cs="Times"/>
          <w:bCs/>
          <w:lang w:val="en-CA" w:eastAsia="ja-JP"/>
        </w:rPr>
        <w:fldChar w:fldCharType="begin" w:fldLock="1"/>
      </w:r>
      <w:r w:rsidR="003E67FA" w:rsidRPr="00D039E9">
        <w:rPr>
          <w:rFonts w:cs="Times"/>
          <w:bCs/>
          <w:lang w:val="en-CA" w:eastAsia="ja-JP"/>
        </w:rPr>
        <w:instrText>ADDIN CSL_CITATION { "citationItems" : [ { "id" : "ITEM-1",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"ITEM-1",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"id" : "ITEM-2", "itemData" : { "DOI" : "10.1063/1.1806402", "ISSN" : "00219606", "PMID" : "15527383", "abstract" : "Cosolvents added to aqueous solutions of biomolecules profoundly affect protein stability, as well as biochemical equilibria. Some cosolvents, such as urea and guanidine hydrochloride, denature proteins, whereas others, such as osmolytes and crowders, stabilize the native structures of proteins. The way cosolvents interact with biomolecules is crucial information required to understand the cosolvent effect at a molecular level. We present a statistical mechanical framework based upon Kirkwood-Buff theory, which enables one to extract this picture from experimental data. The combination of two experimental results, namely, the cosolvent-induced equilibrium shift and the partial molar volume change upon the reaction, supplimented by the structural change, is shown to yield the number of water and cosolvent molecules bound or released during a reaction. Previously, denaturation experiments (e.g., m-value analysis) were analyzed by empirical and stoichiometric solvent-binding models, while the effects of osmolytes and crowders were analyzed by the approximate molecular crowding approach for low cosolvent concentration. Here we synthesize these previous approaches in a rigorous statistical mechanical treatment, which is applicable at any cosolvent concentration. The usefulness and accuracy of previous approaches was also evaluated.", "author" : [ { "dropping-particle" : "", "family" : "Shimizu", "given" : "Seishi", "non-dropping-particle" : "", "parse-names" : false, "suffix" : "" }, { "dropping-particle" : "", "family" : "Boon", "given" : "Chandra L.", "non-dropping-particle" : "", "parse-names" : false, "suffix" : "" } ], "container-title" : "Journal of Chemical Physics", "id" : "ITEM-2", "issue" : "18", "issued" : { "date-parts" : [ [ "2004" ] ] }, "page" : "9147-9155", "title" : "The Kirkwood-Buff theory and the effect of cosolvents on biochemical reactions", "type" : "article-journal", "volume" : "121" }, "uris" : [ "http://www.mendeley.com/documents/?uuid=773d4c28-f2d5-421b-a5a5-0066df199fbe" ] }, { "id" : "ITEM-3",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"ITEM-3", "issue" : "14", "issued" : { "date-parts" : [ [ "2014" ] ] }, "page" : "3922-3930", "title" : "Preferential solvation: Dividing surface vs excess numbers", "type" : "article-journal", "volume" : "118" }, "uris" : [ "http://www.mendeley.com/documents/?uuid=896fec6b-354e-41cd-a8de-55bd371a22f5" ] }, { "id" : "ITEM-4",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"ITEM-4",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"mendeley" : { "formattedCitation" : "&lt;sup&gt;11,12,17,22&lt;/sup&gt;", "plainTextFormattedCitation" : "11,12,17,22", "previouslyFormattedCitation" : "&lt;sup&gt;11,12,17,22&lt;/sup&gt;" }, "properties" : { "noteIndex" : 0 }, "schema" : "https://github.com/citation-style-language/schema/raw/master/csl-citation.json" }</w:instrText>
      </w:r>
      <w:r w:rsidR="00972CE5" w:rsidRPr="00D039E9">
        <w:rPr>
          <w:rFonts w:cs="Times"/>
          <w:bCs/>
          <w:lang w:val="en-CA" w:eastAsia="ja-JP"/>
        </w:rPr>
        <w:fldChar w:fldCharType="separate"/>
      </w:r>
      <w:r w:rsidR="003E67FA" w:rsidRPr="00D039E9">
        <w:rPr>
          <w:rFonts w:cs="Times"/>
          <w:bCs/>
          <w:noProof/>
          <w:vertAlign w:val="superscript"/>
          <w:lang w:val="en-CA" w:eastAsia="ja-JP"/>
        </w:rPr>
        <w:t>11,12,17,22</w:t>
      </w:r>
      <w:r w:rsidR="00972CE5" w:rsidRPr="00D039E9">
        <w:rPr>
          <w:rFonts w:cs="Times"/>
          <w:bCs/>
          <w:lang w:val="en-CA" w:eastAsia="ja-JP"/>
        </w:rPr>
        <w:fldChar w:fldCharType="end"/>
      </w:r>
      <w:r w:rsidRPr="00D039E9">
        <w:rPr>
          <w:rFonts w:cs="Times"/>
          <w:bCs/>
          <w:lang w:val="en-CA" w:eastAsia="ja-JP"/>
        </w:rPr>
        <w:t xml:space="preserve"> </w:t>
      </w:r>
      <w:r w:rsidR="00482477" w:rsidRPr="00D039E9">
        <w:rPr>
          <w:rFonts w:cs="Times"/>
          <w:bCs/>
          <w:lang w:val="en-CA" w:eastAsia="ja-JP"/>
        </w:rPr>
        <w:t>In turn the partial molar volume can be obtained, in principle, from the measurement of the change of density of the aqueous solution of the flavour molecule.</w:t>
      </w:r>
      <w:r w:rsidR="00972CE5" w:rsidRPr="00D039E9">
        <w:rPr>
          <w:rFonts w:cs="Times"/>
          <w:bCs/>
          <w:lang w:val="en-CA" w:eastAsia="ja-JP"/>
        </w:rPr>
        <w:fldChar w:fldCharType="begin" w:fldLock="1"/>
      </w:r>
      <w:r w:rsidR="00C65F5C" w:rsidRPr="00D039E9">
        <w:rPr>
          <w:rFonts w:cs="Times"/>
          <w:bCs/>
          <w:lang w:val="en-CA" w:eastAsia="ja-JP"/>
        </w:rPr>
        <w:instrText>ADDIN CSL_CITATION { "citationItems" : [ { "id" : "ITEM-1", "itemData" : { "DOI" : "10.1146/annurev.biophys.32.110601.141709", "ISSN" : "1056-8700", "abstract" : "\u25aa Abstract\u2002Structural and thermodynamic characterizations of a variety of intra- and intermolecular interactions stabilizing/destabilizing protein systems represent a major part of multidisciplinary efforts aimed at solving the problems of protein folding and binding. To this end, volumetric techniques have been successfully used to gain insights into protein hydration and intraglobular packing. Despite the fact that the use of volumetric measurements in protein-related studies dates back to the 1950s, such measurements still represent a relatively untapped yet potentially informative means for tackling the problems of protein folding and binding. This notion has been further emphasized by recent advances in the development of highly sensitive volumetric instrumentation that has led to intensifying volumetric investigations of protein systems. This paper reviews the volumetric properties of proteins and their low-molecular-weight analogs, in particular, discussing the recent progress in the use of volumet...", "author" : [ { "dropping-particle" : "V.", "family" : "Chalikian", "given" : "Tigran", "non-dropping-particle" : "", "parse-names" : false, "suffix" : "" } ], "container-title" : "Annual Review of Biophysics and Biomolecular Structure", "id" : "ITEM-1", "issue" : "1", "issued" : { "date-parts" : [ [ "2003", "6" ] ] }, "page" : "207-235", "publisher" : " Annual Reviews  4139 El Camino Way, P.O. Box 10139, Palo Alto, CA 94303-0139, USA  ", "title" : "Volumetric Properties of Proteins", "type" : "article-journal", "volume" : "32" }, "uris" : [ "http://www.mendeley.com/documents/?uuid=27e6aa4b-14f0-39f2-b780-f738e41e72aa" ] } ], "mendeley" : { "formattedCitation" : "&lt;sup&gt;62&lt;/sup&gt;", "plainTextFormattedCitation" : "62", "previouslyFormattedCitation" : "&lt;sup&gt;62&lt;/sup&gt;" }, "properties" : { "noteIndex" : 0 }, "schema" : "https://github.com/citation-style-language/schema/raw/master/csl-citation.json" }</w:instrText>
      </w:r>
      <w:r w:rsidR="00972CE5" w:rsidRPr="00D039E9">
        <w:rPr>
          <w:rFonts w:cs="Times"/>
          <w:bCs/>
          <w:lang w:val="en-CA" w:eastAsia="ja-JP"/>
        </w:rPr>
        <w:fldChar w:fldCharType="separate"/>
      </w:r>
      <w:r w:rsidR="00BB3004" w:rsidRPr="00D039E9">
        <w:rPr>
          <w:rFonts w:cs="Times"/>
          <w:bCs/>
          <w:noProof/>
          <w:vertAlign w:val="superscript"/>
          <w:lang w:val="en-CA" w:eastAsia="ja-JP"/>
        </w:rPr>
        <w:t>62</w:t>
      </w:r>
      <w:r w:rsidR="00972CE5" w:rsidRPr="00D039E9">
        <w:rPr>
          <w:rFonts w:cs="Times"/>
          <w:bCs/>
          <w:lang w:val="en-CA" w:eastAsia="ja-JP"/>
        </w:rPr>
        <w:fldChar w:fldCharType="end"/>
      </w:r>
      <w:r w:rsidR="00482477" w:rsidRPr="00D039E9">
        <w:rPr>
          <w:rFonts w:cs="Times"/>
          <w:bCs/>
          <w:lang w:val="en-CA" w:eastAsia="ja-JP"/>
        </w:rPr>
        <w:t xml:space="preserve"> </w:t>
      </w:r>
      <w:r w:rsidR="00BD2651" w:rsidRPr="00D039E9">
        <w:rPr>
          <w:rFonts w:cs="Times"/>
          <w:bCs/>
          <w:lang w:val="en-CA" w:eastAsia="ja-JP"/>
        </w:rPr>
        <w:t>Because most flavour molecules have low aqueous solubility the technique may not be suitable in practice. A workaround for this issue is discussed below.</w:t>
      </w:r>
    </w:p>
    <w:p w14:paraId="036CA642" w14:textId="77777777" w:rsidR="003872DB" w:rsidRPr="00D039E9" w:rsidRDefault="003872DB" w:rsidP="003872DB">
      <w:pPr>
        <w:pStyle w:val="TAMainText"/>
        <w:ind w:firstLine="0"/>
        <w:rPr>
          <w:rFonts w:cs="Times"/>
          <w:lang w:val="en-CA"/>
        </w:rPr>
      </w:pPr>
      <w:r w:rsidRPr="00D039E9">
        <w:rPr>
          <w:rFonts w:cs="Times"/>
          <w:lang w:val="en-CA"/>
        </w:rPr>
        <w:tab/>
      </w:r>
      <w:r w:rsidRPr="00D039E9">
        <w:rPr>
          <w:rFonts w:cs="Times"/>
          <w:lang w:val="en-CA"/>
        </w:rPr>
        <w:tab/>
      </w:r>
      <w:r w:rsidRPr="00D039E9">
        <w:rPr>
          <w:rFonts w:cs="Times"/>
          <w:lang w:val="en-CA"/>
        </w:rPr>
        <w:tab/>
      </w:r>
    </w:p>
    <w:p w14:paraId="7A32E274" w14:textId="0DF4FC60" w:rsidR="003872DB" w:rsidRPr="00D039E9" w:rsidRDefault="00131D60" w:rsidP="003872DB">
      <w:pPr>
        <w:pStyle w:val="TAMainText"/>
        <w:ind w:firstLine="0"/>
        <w:rPr>
          <w:rFonts w:cs="Times"/>
          <w:b/>
          <w:lang w:val="en-CA"/>
        </w:rPr>
      </w:pPr>
      <w:r w:rsidRPr="00D039E9">
        <w:rPr>
          <w:rFonts w:cs="Times"/>
          <w:b/>
          <w:lang w:val="en-CA"/>
        </w:rPr>
        <w:t>3</w:t>
      </w:r>
      <w:r w:rsidR="003872DB" w:rsidRPr="00D039E9">
        <w:rPr>
          <w:rFonts w:cs="Times"/>
          <w:b/>
          <w:lang w:val="en-CA"/>
        </w:rPr>
        <w:t>.2. Practice</w:t>
      </w:r>
    </w:p>
    <w:p w14:paraId="0D2669FD" w14:textId="77777777" w:rsidR="003872DB" w:rsidRPr="00D039E9" w:rsidRDefault="003872DB" w:rsidP="003872DB">
      <w:pPr>
        <w:pStyle w:val="TAMainText"/>
        <w:ind w:firstLine="0"/>
        <w:rPr>
          <w:rFonts w:cs="Times"/>
          <w:bCs/>
          <w:color w:val="FF0000"/>
          <w:lang w:val="en-CA" w:eastAsia="ja-JP"/>
        </w:rPr>
      </w:pPr>
    </w:p>
    <w:p w14:paraId="15BCCD7A" w14:textId="5E51629D" w:rsidR="003872DB" w:rsidRPr="00D039E9" w:rsidRDefault="003872DB" w:rsidP="003872DB">
      <w:pPr>
        <w:pStyle w:val="TAMainText"/>
        <w:ind w:firstLine="0"/>
        <w:rPr>
          <w:rFonts w:cs="Times"/>
          <w:bCs/>
          <w:lang w:val="en-CA" w:eastAsia="ja-JP"/>
        </w:rPr>
      </w:pPr>
      <w:r w:rsidRPr="00D039E9">
        <w:rPr>
          <w:rFonts w:cs="Times"/>
          <w:bCs/>
          <w:lang w:val="en-CA" w:eastAsia="ja-JP"/>
        </w:rPr>
        <w:t>How can we analyze the headspace vapour data?</w:t>
      </w:r>
      <w:r w:rsidR="00BB3004" w:rsidRPr="00D039E9">
        <w:rPr>
          <w:rFonts w:cs="Times"/>
          <w:lang w:val="en-CA"/>
        </w:rPr>
        <w:t xml:space="preserve"> </w:t>
      </w:r>
      <w:r w:rsidR="00BB3004" w:rsidRPr="00D039E9">
        <w:rPr>
          <w:rFonts w:cs="Times"/>
          <w:lang w:val="en-CA"/>
        </w:rPr>
        <w:fldChar w:fldCharType="begin" w:fldLock="1"/>
      </w:r>
      <w:r w:rsidR="00C65F5C" w:rsidRPr="00D039E9">
        <w:rPr>
          <w:rFonts w:cs="Times"/>
          <w:lang w:val="en-CA"/>
        </w:rPr>
        <w:instrText>ADDIN CSL_CITATION { "citationItems" : [ { "id" : "ITEM-1", "itemData" : { "DOI" : "10.1111/j.1750-3841.2006.00051.x", "author" : [ { "dropping-particle" : "", "family" : "Kuhn", "given" : "Janina", "non-dropping-particle" : "", "parse-names" : false, "suffix" : "" }, { "dropping-particle" : "", "family" : "Considine", "given" : "Therese", "non-dropping-particle" : "", "parse-names" : false, "suffix" : "" }, { "dropping-particle" : "", "family" : "Singh", "given" : "Harjinder", "non-dropping-particle" : "", "parse-names" : false, "suffix" : "" } ], "container-title" : "Journal of Food Science", "id" : "ITEM-1", "issue" : "5", "issued" : { "date-parts" : [ [ "2006" ] ] }, "page" : "R72-R82", "title" : "Interactions of Milk Proteins and Volatile Flavor Compounds : Implications in the Development of Protein Foods", "type" : "article-journal", "volume" : "71" }, "uris" : [ "http://www.mendeley.com/documents/?uuid=4d3627d0-ef15-4c49-9d6d-9fd901f3cebb" ] }, { "id" : "ITEM-2", "itemData" : { "author" : [ { "dropping-particle" : "", "family" : "O'Neill", "given" : "Timothy E.", "non-dropping-particle" : "", "parse-names" : false, "suffix" : "" }, { "dropping-particle" : "", "family" : "Kinsella", "given" : "John E", "non-dropping-particle" : "", "parse-names" : false, "suffix" : "" } ], "container-title" : "Journal of Agricultural and Food Chemistry", "id" : "ITEM-2", "issued" : { "date-parts" : [ [ "1987" ] ] }, "page" : "770-774", "title" : "Binding of alkanone flavors to beta lactoglobulin: effects of conformational and chemical modification", "type" : "article-journal", "volume" : "35" }, "uris" : [ "http://www.mendeley.com/documents/?uuid=82fb005b-c6cc-489f-bb13-0c1da8e839a7" ] }, { "id" : "ITEM-3", "itemData" : { "DOI" : "10.1051/lait:1999647", "ISSN" : "0023-7302", "author" : [ { "dropping-particle" : "", "family" : "Andriot", "given" : "Isabelle", "non-dropping-particle" : "", "parse-names" : false, "suffix" : "" }, { "dropping-particle" : "", "family" : "Marin", "given" : "Isabelle", "non-dropping-particle" : "", "parse-names" : false, "suffix" : "" }, { "dropping-particle" : "", "family" : "Feron", "given" : "Gilles", "non-dropping-particle" : "", "parse-names" : false, "suffix" : "" }, { "dropping-particle" : "", "family" : "Relkin", "given" : "Perla", "non-dropping-particle" : "", "parse-names" : false, "suffix" : "" }, { "dropping-particle" : "", "family" : "Guichard", "given" : "Elisabeth", "non-dropping-particle" : "", "parse-names" : false, "suffix" : "" } ], "container-title" : "Le Lait", "id" : "ITEM-3", "issue" : "6", "issued" : { "date-parts" : [ [ "1999" ] ] }, "page" : "577-586", "publisher" : "EDP Sciences", "title" : "Binding of benzaldehyde by \u03b2-lactoglobulin, by static headspace and high performance liquid chromatography in different physico-chemical conditions", "type" : "article-journal", "volume" : "79" }, "uris" : [ "http://www.mendeley.com/documents/?uuid=889c40e6-61af-3968-9207-e9a703dbfad7" ] }, { "id" : "ITEM-4", "itemData" : { "author" : [ { "dropping-particle" : "", "family" : "Andriot", "given" : "Isabelle", "non-dropping-particle" : "", "parse-names" : false, "suffix" : "" }, { "dropping-particle" : "", "family" : "Harrison", "given" : "Marcus", "non-dropping-particle" : "", "parse-names" : false, "suffix" : "" }, { "dropping-particle" : "", "family" : "Fournier", "given" : "Nicole", "non-dropping-particle" : "", "parse-names" : false, "suffix" : "" }, { "dropping-particle" : "", "family" : "Guichard", "given" : "Elisabeth", "non-dropping-particle" : "", "parse-names" : false, "suffix" : "" } ], "container-title" : "Journal of Agricultural and Food Chemistry", "id" : "ITEM-4", "issued" : { "date-parts" : [ [ "2000" ] ] }, "page" : "4246-4251", "title" : "Interactions between Methyl Ketones and -Lactoglobulin: Sensory Analysis, Headspace Analysis, and Mathematical Modeling", "type" : "article-journal", "volume" : "48" }, "uris" : [ "http://www.mendeley.com/documents/?uuid=4c13c57a-9a56-4a3f-bc6b-01c7c12955ab" ] }, { "id" : "ITEM-5", "itemData" : { "DOI" : "10.1021/JF010706S", "abstract" : "Interactions between 10 aroma compounds from different chemical classes and 5 mixtures of milk proteins have been studied using static or dynamic headspace gas chromatography and solid-phase microextraction (SPME). Static headspace analysis allows the quantification of the release of only the most abundant compounds. Dynamic headspace analysis does not allow the discrimination of flavor release from the different protein mixtures, probably due to a displacement of headspace equilibrium. By SPME analysis and quantification by GC-MS (SIM mode) all of the volatiles were quantified. This method was optimized to better discriminate aroma release from the different milk protein mixtures and then from oil/water emulsions made with these proteins. The highest difference between the release in different proteins was observed for ethyl hexanoate, which has a great affinity for \u03b2-lactoglobulin. Ethyl hexanoate is thus less released from models and emulsions containing this protein. Keywords: Flavor compounds; milk p...", "author" : [ { "dropping-particle" : "", "family" : "Fabre", "given" : "M.", "non-dropping-particle" : "", "parse-names" : false, "suffix" : "" }, { "dropping-particle" : "", "family" : "Aubry", "given" : "V.", "non-dropping-particle" : "", "parse-names" : false, "suffix" : "" }, { "dropping-particle" : "", "family" : "Guichard", "given" : "E.", "non-dropping-particle" : "", "parse-names" : false, "suffix" : "" } ], "container-title" : "Journal of Agricultural and Food Chemistry", "id" : "ITEM-5", "issued" : { "date-parts" : [ [ "2002" ] ] }, "page" : "1497-1501", "publisher" : "American Chemical Society", "title" : "Comparison of Different Methods: Static and Dynamic Headspace and Solid-Phase Microextraction for the Measurement of Interactions between Milk Proteins and Flavor Compounds with an Application to Emulsions", "type" : "article-journal", "volume" : "50" }, "uris" : [ "http://www.mendeley.com/documents/?uuid=56c12750-8efd-3fbf-ae31-446bb291dba2" ] }, { "id" : "ITEM-6", "itemData" : { "DOI" : "10.1016/S0308-8146(02)00124-3", "ISSN" : "03088146", "abstract" : "The air/water partition coefficients of 20 aroma compounds varying in functional group and chain length were determined as a function of \u03b2-lactoglobulin concentration (0, 0.5, 0.7, 1.0, 2.0%), pH (3, 6, 9) and presence of other aroma compounds in the matrix. Air/liquid partition coefficients of dimethyl sulphide, 1-propanol, diacetyl, 2-butanone, ethyl acetate, 1-butanol, 2-pentanol, propyl acetate, 3-methyl-1-butanol, ethyl butyrate, hexanal, butyl acetate, 1-hexanol, 2-heptanone, heptanal, \u03b1-pinene, 2-octanone, octanal, 2-nonanol and 2-decanone were determined by static headspace gas chromatography. The majority of the compounds\u2019 partition coefficients decreased with \u03b2-lactoglobulin concentration, although not proportionally. Air/liquid partition coefficients of aldehydes and esters demonstrated a decline up to 90%, whereas alcohols were hardly affected by \u03b2-lactoglobulin. Larger chain length coincided with lower partition coefficients and thus more efficient retention. Increase in pH generally resulted in a more pronounced decrease in headspace concentrations, although \u03b1-pinene and alcohols showed diverting behaviour. The \u03b2-lactoglobulin concentration and pH did not demonstrate complementary effects but interacted with each other. Propyl acetate, ethyl butyrate, hexanal, heptanal and octanal increased each other\u2019s air/liquid partition coefficients.", "author" : [ { "dropping-particle" : "", "family" : "Ruth", "given" : "Saskia M.", "non-dropping-particle" : "van", "parse-names" : false, "suffix" : "" }, { "dropping-particle" : "", "family" : "Villeneuve", "given" : "Elise", "non-dropping-particle" : "", "parse-names" : false, "suffix" : "" } ], "container-title" : "Food Chemistry", "id" : "ITEM-6", "issue" : "2", "issued" : { "date-parts" : [ [ "2002" ] ] }, "page" : "157-164", "title" : "Influence of \u03b2-lactoglobulin, pH and presence of other aroma compounds on the air/liquid partition coefficients of 20 aroma compounds varying in functional group and chain length", "type" : "article-journal", "volume" : "79" }, "uris" : [ "http://www.mendeley.com/documents/?uuid=3858d8da-18ca-3413-821d-46ede96f2467" ] }, { "id" : "ITEM-7", "itemData" : { "author" : [ { "dropping-particle" : "Van", "family" : "Ruth", "given" : "Saskia M", "non-dropping-particle" : "", "parse-names" : false, "suffix" : "" } ], "container-title" : "Biomolecular Engineering", "id" : "ITEM-7", "issued" : { "date-parts" : [ [ "2001" ] ] }, "page" : "121-128", "title" : "Methods for gas chromatography-olfactometry : a review", "type" : "article-journal", "volume" : "17" }, "uris" : [ "http://www.mendeley.com/documents/?uuid=a25db969-8bec-4f73-a4a7-317521c41d7b" ] }, { "id" : "ITEM-8", "itemData" : { "DOI" : "10.1021/JF020651+", "abstract" : "Changes in the volatility of selected flavor compounds in the presence of nonvolatile food matrix components were studied using headspace solid-phase microextraction (HS-SPME) combined with GC-MS quantification. Time-dependent adsorption profiles to the SPME fiber and the partition coefficients between different phases were obtained for several individual volatiles, showing that HS-SPME analysis with a short sampling time can be used to determine the \u201ctrue\u201d headspace concentration at equilibrium between the headspace and a sample matrix. Equilibrium dialysis followed by HS-SPME/GC-MS was carried out to confirm the ability of HS-SPME extraction for monitoring the free volatile compounds in the presence of proteins. In particular, a short sampling time (1 min) avoided additional extraction of volatiles bound to the protein. Interactions between several selected flavor compounds and nonvolatile food matrix components [\u03b2-lactoglobulin or (+)-catechin] were also studied by means of HS-SPME/GC-MS analysis. The ...", "author" : [ { "dropping-particle" : "", "family" : "Jung", "given" : "Da-Mi", "non-dropping-particle" : "", "parse-names" : false, "suffix" : "" }, { "dropping-particle" : "", "family" : "Ebeler", "given" : "Susan E.", "non-dropping-particle" : "", "parse-names" : false, "suffix" : "" } ], "container-title" : "Journal of Agricultural and Food Chemistry", "id" : "ITEM-8", "issued" : { "date-parts" : [ [ "2003" ] ] }, "page" : "200-205", "publisher" : "American Chemical Society", "title" : "Headspace Solid-Phase Microextraction Method for the Study of the Volatility of Selected Flavor Compounds", "type" : "article-journal", "volume" : "51" }, "uris" : [ "http://www.mendeley.com/documents/?uuid=e398260b-08ed-326d-a3f6-3da426bfef62" ] } ], "mendeley" : { "formattedCitation" : "&lt;sup&gt;5,34\u201340&lt;/sup&gt;", "plainTextFormattedCitation" : "5,34\u201340", "previouslyFormattedCitation" : "&lt;sup&gt;5,34\u201340&lt;/sup&gt;" }, "properties" : { "noteIndex" : 0 }, "schema" : "https://github.com/citation-style-language/schema/raw/master/csl-citation.json" }</w:instrText>
      </w:r>
      <w:r w:rsidR="00BB3004" w:rsidRPr="00D039E9">
        <w:rPr>
          <w:rFonts w:cs="Times"/>
          <w:lang w:val="en-CA"/>
        </w:rPr>
        <w:fldChar w:fldCharType="separate"/>
      </w:r>
      <w:r w:rsidR="00BB3004" w:rsidRPr="00D039E9">
        <w:rPr>
          <w:rFonts w:cs="Times"/>
          <w:noProof/>
          <w:vertAlign w:val="superscript"/>
          <w:lang w:val="en-CA"/>
        </w:rPr>
        <w:t>5,34–40</w:t>
      </w:r>
      <w:r w:rsidR="00BB3004" w:rsidRPr="00D039E9">
        <w:rPr>
          <w:rFonts w:cs="Times"/>
          <w:lang w:val="en-CA"/>
        </w:rPr>
        <w:fldChar w:fldCharType="end"/>
      </w:r>
      <w:r w:rsidRPr="00D039E9">
        <w:rPr>
          <w:rFonts w:cs="Times"/>
          <w:bCs/>
          <w:lang w:val="en-CA" w:eastAsia="ja-JP"/>
        </w:rPr>
        <w:t xml:space="preserve"> Ideally, the following procedure should be followed: </w:t>
      </w:r>
    </w:p>
    <w:p w14:paraId="07238E80" w14:textId="77777777" w:rsidR="003872DB" w:rsidRPr="00D039E9" w:rsidRDefault="003872DB" w:rsidP="003872DB">
      <w:pPr>
        <w:pStyle w:val="TAMainText"/>
        <w:ind w:firstLine="0"/>
        <w:rPr>
          <w:rFonts w:cs="Times"/>
          <w:bCs/>
          <w:lang w:val="en-CA" w:eastAsia="ja-JP"/>
        </w:rPr>
      </w:pPr>
    </w:p>
    <w:p w14:paraId="7A1E7B6B" w14:textId="392AA89B" w:rsidR="003872DB" w:rsidRPr="00D039E9" w:rsidRDefault="003872DB" w:rsidP="003872DB">
      <w:pPr>
        <w:pStyle w:val="TAMainText"/>
        <w:rPr>
          <w:lang w:val="en-CA" w:eastAsia="ja-JP"/>
        </w:rPr>
      </w:pPr>
      <w:r w:rsidRPr="00D039E9">
        <w:rPr>
          <w:b/>
          <w:lang w:val="en-CA" w:eastAsia="ja-JP"/>
        </w:rPr>
        <w:t xml:space="preserve">The </w:t>
      </w:r>
      <w:r w:rsidR="00115DEF" w:rsidRPr="00D039E9">
        <w:rPr>
          <w:b/>
          <w:lang w:val="en-CA" w:eastAsia="ja-JP"/>
        </w:rPr>
        <w:t xml:space="preserve">most </w:t>
      </w:r>
      <w:r w:rsidRPr="00D039E9">
        <w:rPr>
          <w:b/>
          <w:lang w:val="en-CA" w:eastAsia="ja-JP"/>
        </w:rPr>
        <w:t xml:space="preserve">general scenario: outcome = </w:t>
      </w:r>
      <m:oMath>
        <m:sSub>
          <m:sSubPr>
            <m:ctrlPr>
              <w:rPr>
                <w:rFonts w:ascii="Cambria Math" w:hAnsi="Cambria Math"/>
                <w:i/>
                <w:lang w:val="en-CA" w:eastAsia="ja-JP"/>
              </w:rPr>
            </m:ctrlPr>
          </m:sSubPr>
          <m:e>
            <m:r>
              <m:rPr>
                <m:sty m:val="bi"/>
              </m:rPr>
              <w:rPr>
                <w:rFonts w:ascii="Cambria Math" w:hAnsi="Cambria Math"/>
                <w:lang w:val="en-CA" w:eastAsia="ja-JP"/>
              </w:rPr>
              <m:t>G</m:t>
            </m:r>
          </m:e>
          <m:sub>
            <m:r>
              <m:rPr>
                <m:sty m:val="bi"/>
              </m:rPr>
              <w:rPr>
                <w:rFonts w:ascii="Cambria Math" w:hAnsi="Cambria Math"/>
                <w:lang w:val="en-CA" w:eastAsia="ja-JP"/>
              </w:rPr>
              <m:t>FW</m:t>
            </m:r>
          </m:sub>
        </m:sSub>
        <m:r>
          <w:rPr>
            <w:rFonts w:ascii="Cambria Math" w:hAnsi="Cambria Math"/>
            <w:lang w:val="en-CA" w:eastAsia="ja-JP"/>
          </w:rPr>
          <m:t>-</m:t>
        </m:r>
        <m:sSub>
          <m:sSubPr>
            <m:ctrlPr>
              <w:rPr>
                <w:rFonts w:ascii="Cambria Math" w:hAnsi="Cambria Math"/>
                <w:i/>
                <w:lang w:val="en-CA" w:eastAsia="ja-JP"/>
              </w:rPr>
            </m:ctrlPr>
          </m:sSubPr>
          <m:e>
            <m:r>
              <m:rPr>
                <m:sty m:val="bi"/>
              </m:rPr>
              <w:rPr>
                <w:rFonts w:ascii="Cambria Math" w:hAnsi="Cambria Math"/>
                <w:lang w:val="en-CA" w:eastAsia="ja-JP"/>
              </w:rPr>
              <m:t>G</m:t>
            </m:r>
          </m:e>
          <m:sub>
            <m:r>
              <m:rPr>
                <m:sty m:val="bi"/>
              </m:rPr>
              <w:rPr>
                <w:rFonts w:ascii="Cambria Math" w:hAnsi="Cambria Math"/>
                <w:lang w:val="en-CA" w:eastAsia="ja-JP"/>
              </w:rPr>
              <m:t>FP</m:t>
            </m:r>
          </m:sub>
        </m:sSub>
      </m:oMath>
    </w:p>
    <w:p w14:paraId="7E71BD8A" w14:textId="4E613616" w:rsidR="003872DB" w:rsidRPr="00D039E9" w:rsidRDefault="002639C4" w:rsidP="003872DB">
      <w:pPr>
        <w:pStyle w:val="TAMainText"/>
        <w:numPr>
          <w:ilvl w:val="0"/>
          <w:numId w:val="16"/>
        </w:numPr>
        <w:rPr>
          <w:rFonts w:cs="Times"/>
          <w:bCs/>
          <w:lang w:val="en-CA" w:eastAsia="ja-JP"/>
        </w:rPr>
      </w:pPr>
      <w:r w:rsidRPr="00D039E9">
        <w:rPr>
          <w:rFonts w:cs="Times"/>
          <w:bCs/>
          <w:lang w:val="en-CA" w:eastAsia="ja-JP"/>
        </w:rPr>
        <w:t xml:space="preserve">In the absence of </w:t>
      </w:r>
      <w:r w:rsidR="003872DB" w:rsidRPr="00D039E9">
        <w:rPr>
          <w:rFonts w:cs="Times"/>
          <w:bCs/>
          <w:lang w:val="en-CA" w:eastAsia="ja-JP"/>
        </w:rPr>
        <w:t>protein</w:t>
      </w:r>
      <w:r w:rsidRPr="00D039E9">
        <w:rPr>
          <w:rFonts w:cs="Times"/>
          <w:bCs/>
          <w:lang w:val="en-CA" w:eastAsia="ja-JP"/>
        </w:rPr>
        <w:t>s</w:t>
      </w:r>
      <w:r w:rsidR="003872DB" w:rsidRPr="00D039E9">
        <w:rPr>
          <w:rFonts w:cs="Times"/>
          <w:bCs/>
          <w:lang w:val="en-CA" w:eastAsia="ja-JP"/>
        </w:rPr>
        <w:t xml:space="preserve"> measure the water activity </w:t>
      </w:r>
      <m:oMath>
        <m:sSub>
          <m:sSubPr>
            <m:ctrlPr>
              <w:rPr>
                <w:rFonts w:ascii="Cambria Math" w:hAnsi="Cambria Math" w:cs="Times"/>
                <w:bCs/>
                <w:i/>
                <w:lang w:val="en-CA" w:eastAsia="ja-JP"/>
              </w:rPr>
            </m:ctrlPr>
          </m:sSubPr>
          <m:e>
            <m:r>
              <w:rPr>
                <w:rFonts w:ascii="Cambria Math" w:hAnsi="Cambria Math" w:cs="Times"/>
                <w:lang w:val="en-CA" w:eastAsia="ja-JP"/>
              </w:rPr>
              <m:t>a</m:t>
            </m:r>
          </m:e>
          <m:sub>
            <m:r>
              <w:rPr>
                <w:rFonts w:ascii="Cambria Math" w:hAnsi="Cambria Math" w:cs="Times"/>
                <w:lang w:val="en-CA" w:eastAsia="ja-JP"/>
              </w:rPr>
              <m:t>W</m:t>
            </m:r>
          </m:sub>
        </m:sSub>
      </m:oMath>
      <w:r w:rsidRPr="00D039E9">
        <w:rPr>
          <w:rFonts w:cs="Times"/>
          <w:bCs/>
          <w:lang w:val="en-CA" w:eastAsia="ja-JP"/>
        </w:rPr>
        <w:t xml:space="preserve"> against flavour concentration</w:t>
      </w:r>
      <w:r w:rsidR="003872DB" w:rsidRPr="00D039E9">
        <w:rPr>
          <w:rFonts w:cs="Times"/>
          <w:bCs/>
          <w:lang w:val="en-CA" w:eastAsia="ja-JP"/>
        </w:rPr>
        <w:t xml:space="preserve"> </w:t>
      </w:r>
      <m:oMath>
        <m:sSub>
          <m:sSubPr>
            <m:ctrlPr>
              <w:rPr>
                <w:rFonts w:ascii="Cambria Math" w:hAnsi="Cambria Math" w:cs="Times"/>
                <w:bCs/>
                <w:i/>
                <w:lang w:val="en-CA" w:eastAsia="ja-JP"/>
              </w:rPr>
            </m:ctrlPr>
          </m:sSubPr>
          <m:e>
            <m:r>
              <w:rPr>
                <w:rFonts w:ascii="Cambria Math" w:hAnsi="Cambria Math" w:cs="Times"/>
                <w:lang w:val="en-CA" w:eastAsia="ja-JP"/>
              </w:rPr>
              <m:t>c</m:t>
            </m:r>
          </m:e>
          <m:sub>
            <m:r>
              <w:rPr>
                <w:rFonts w:ascii="Cambria Math" w:hAnsi="Cambria Math" w:cs="Times"/>
                <w:lang w:val="en-CA" w:eastAsia="ja-JP"/>
              </w:rPr>
              <m:t>F</m:t>
            </m:r>
          </m:sub>
        </m:sSub>
      </m:oMath>
      <w:r w:rsidR="003872DB" w:rsidRPr="00D039E9">
        <w:rPr>
          <w:rFonts w:cs="Times"/>
          <w:bCs/>
          <w:lang w:val="en-CA" w:eastAsia="ja-JP"/>
        </w:rPr>
        <w:t xml:space="preserve">. </w:t>
      </w:r>
    </w:p>
    <w:p w14:paraId="6C815922" w14:textId="77777777" w:rsidR="003872DB" w:rsidRPr="00D039E9" w:rsidRDefault="003872DB" w:rsidP="003872DB">
      <w:pPr>
        <w:pStyle w:val="TAMainText"/>
        <w:numPr>
          <w:ilvl w:val="0"/>
          <w:numId w:val="16"/>
        </w:numPr>
        <w:rPr>
          <w:rFonts w:cs="Times"/>
          <w:bCs/>
          <w:lang w:val="en-CA" w:eastAsia="ja-JP"/>
        </w:rPr>
      </w:pPr>
      <w:r w:rsidRPr="00D039E9">
        <w:rPr>
          <w:rFonts w:cs="Times"/>
          <w:bCs/>
          <w:lang w:val="en-CA" w:eastAsia="ja-JP"/>
        </w:rPr>
        <w:t xml:space="preserve">At each protein concentration, measure </w:t>
      </w:r>
    </w:p>
    <w:p w14:paraId="39454CE3" w14:textId="77777777" w:rsidR="003872DB" w:rsidRPr="00D039E9" w:rsidRDefault="003872DB" w:rsidP="003872DB">
      <w:pPr>
        <w:pStyle w:val="TAMainText"/>
        <w:numPr>
          <w:ilvl w:val="0"/>
          <w:numId w:val="17"/>
        </w:numPr>
        <w:rPr>
          <w:rFonts w:cs="Times"/>
          <w:bCs/>
          <w:lang w:val="en-CA" w:eastAsia="ja-JP"/>
        </w:rPr>
      </w:pPr>
      <w:r w:rsidRPr="00D039E9">
        <w:rPr>
          <w:rFonts w:cs="Times"/>
          <w:bCs/>
          <w:lang w:val="en-CA" w:eastAsia="ja-JP"/>
        </w:rPr>
        <w:t xml:space="preserve">the vapour phase flavour concentration </w:t>
      </w:r>
      <m:oMath>
        <m:sSubSup>
          <m:sSubSupPr>
            <m:ctrlPr>
              <w:rPr>
                <w:rFonts w:ascii="Cambria Math" w:hAnsi="Cambria Math" w:cs="Times"/>
                <w:bCs/>
                <w:i/>
                <w:lang w:val="en-CA" w:eastAsia="ja-JP"/>
              </w:rPr>
            </m:ctrlPr>
          </m:sSubSupPr>
          <m:e>
            <m:r>
              <w:rPr>
                <w:rFonts w:ascii="Cambria Math" w:hAnsi="Cambria Math" w:cs="Times"/>
                <w:lang w:val="en-CA" w:eastAsia="ja-JP"/>
              </w:rPr>
              <m:t>c</m:t>
            </m:r>
          </m:e>
          <m:sub>
            <m:r>
              <w:rPr>
                <w:rFonts w:ascii="Cambria Math" w:hAnsi="Cambria Math" w:cs="Times"/>
                <w:lang w:val="en-CA" w:eastAsia="ja-JP"/>
              </w:rPr>
              <m:t>F</m:t>
            </m:r>
          </m:sub>
          <m:sup>
            <m:r>
              <w:rPr>
                <w:rFonts w:ascii="Cambria Math" w:hAnsi="Cambria Math" w:cs="Times"/>
                <w:lang w:val="en-CA" w:eastAsia="ja-JP"/>
              </w:rPr>
              <m:t>vap</m:t>
            </m:r>
          </m:sup>
        </m:sSubSup>
      </m:oMath>
      <w:r w:rsidRPr="00D039E9">
        <w:rPr>
          <w:rFonts w:cs="Times"/>
          <w:bCs/>
          <w:lang w:val="en-CA" w:eastAsia="ja-JP"/>
        </w:rPr>
        <w:t xml:space="preserve"> from the headspace vapour measurements; </w:t>
      </w:r>
    </w:p>
    <w:p w14:paraId="32A36AB8" w14:textId="77777777" w:rsidR="003872DB" w:rsidRPr="00D039E9" w:rsidRDefault="003872DB" w:rsidP="003872DB">
      <w:pPr>
        <w:pStyle w:val="TAMainText"/>
        <w:numPr>
          <w:ilvl w:val="0"/>
          <w:numId w:val="17"/>
        </w:numPr>
        <w:rPr>
          <w:rFonts w:cs="Times"/>
          <w:bCs/>
          <w:lang w:val="en-CA" w:eastAsia="ja-JP"/>
        </w:rPr>
      </w:pPr>
      <w:r w:rsidRPr="00D039E9">
        <w:rPr>
          <w:rFonts w:cs="Times"/>
          <w:bCs/>
          <w:lang w:val="en-CA" w:eastAsia="ja-JP"/>
        </w:rPr>
        <w:t xml:space="preserve">the solution phase flavour concentration </w:t>
      </w:r>
      <m:oMath>
        <m:sSub>
          <m:sSubPr>
            <m:ctrlPr>
              <w:rPr>
                <w:rFonts w:ascii="Cambria Math" w:hAnsi="Cambria Math" w:cs="Times"/>
                <w:bCs/>
                <w:i/>
                <w:lang w:val="en-CA" w:eastAsia="ja-JP"/>
              </w:rPr>
            </m:ctrlPr>
          </m:sSubPr>
          <m:e>
            <m:r>
              <w:rPr>
                <w:rFonts w:ascii="Cambria Math" w:hAnsi="Cambria Math" w:cs="Times"/>
                <w:lang w:val="en-CA" w:eastAsia="ja-JP"/>
              </w:rPr>
              <m:t>c</m:t>
            </m:r>
          </m:e>
          <m:sub>
            <m:r>
              <w:rPr>
                <w:rFonts w:ascii="Cambria Math" w:hAnsi="Cambria Math" w:cs="Times"/>
                <w:lang w:val="en-CA" w:eastAsia="ja-JP"/>
              </w:rPr>
              <m:t>F</m:t>
            </m:r>
          </m:sub>
        </m:sSub>
      </m:oMath>
      <w:r w:rsidRPr="00D039E9">
        <w:rPr>
          <w:rFonts w:cs="Times"/>
          <w:bCs/>
          <w:lang w:val="en-CA" w:eastAsia="ja-JP"/>
        </w:rPr>
        <w:t xml:space="preserve">;  </w:t>
      </w:r>
    </w:p>
    <w:p w14:paraId="4241EEE8" w14:textId="5D54B9AE" w:rsidR="003872DB" w:rsidRPr="00D039E9" w:rsidRDefault="000E5B3F" w:rsidP="003872DB">
      <w:pPr>
        <w:pStyle w:val="TAMainText"/>
        <w:numPr>
          <w:ilvl w:val="0"/>
          <w:numId w:val="17"/>
        </w:numPr>
        <w:rPr>
          <w:rFonts w:cs="Times"/>
          <w:bCs/>
          <w:lang w:val="en-CA" w:eastAsia="ja-JP"/>
        </w:rPr>
      </w:pPr>
      <m:oMath>
        <m:sSub>
          <m:sSubPr>
            <m:ctrlPr>
              <w:rPr>
                <w:rFonts w:ascii="Cambria Math" w:hAnsi="Cambria Math" w:cs="Times"/>
                <w:i/>
                <w:lang w:val="en-CA" w:eastAsia="ja-JP"/>
              </w:rPr>
            </m:ctrlPr>
          </m:sSubPr>
          <m:e>
            <m:r>
              <w:rPr>
                <w:rFonts w:ascii="Cambria Math" w:hAnsi="Cambria Math" w:cs="Times"/>
                <w:lang w:val="en-CA" w:eastAsia="ja-JP"/>
              </w:rPr>
              <m:t>K</m:t>
            </m:r>
          </m:e>
          <m:sub>
            <m:r>
              <w:rPr>
                <w:rFonts w:ascii="Cambria Math" w:hAnsi="Cambria Math" w:cs="Times"/>
                <w:lang w:val="en-CA" w:eastAsia="ja-JP"/>
              </w:rPr>
              <m:t>vw</m:t>
            </m:r>
          </m:sub>
        </m:sSub>
        <m:r>
          <w:rPr>
            <w:rFonts w:ascii="Cambria Math" w:hAnsi="Cambria Math" w:cs="Times"/>
            <w:lang w:val="en-CA" w:eastAsia="ja-JP"/>
          </w:rPr>
          <m:t>=</m:t>
        </m:r>
        <m:sSub>
          <m:sSubPr>
            <m:ctrlPr>
              <w:rPr>
                <w:rFonts w:ascii="Cambria Math" w:hAnsi="Cambria Math" w:cs="Times"/>
                <w:bCs/>
                <w:i/>
                <w:lang w:val="en-CA" w:eastAsia="ja-JP"/>
              </w:rPr>
            </m:ctrlPr>
          </m:sSubPr>
          <m:e>
            <m:r>
              <w:rPr>
                <w:rFonts w:ascii="Cambria Math" w:hAnsi="Cambria Math" w:cs="Times"/>
                <w:lang w:val="en-CA" w:eastAsia="ja-JP"/>
              </w:rPr>
              <m:t>c</m:t>
            </m:r>
          </m:e>
          <m:sub>
            <m:r>
              <w:rPr>
                <w:rFonts w:ascii="Cambria Math" w:hAnsi="Cambria Math" w:cs="Times"/>
                <w:lang w:val="en-CA" w:eastAsia="ja-JP"/>
              </w:rPr>
              <m:t>F</m:t>
            </m:r>
          </m:sub>
        </m:sSub>
        <m:r>
          <w:rPr>
            <w:rFonts w:ascii="Cambria Math" w:hAnsi="Cambria Math" w:cs="Times"/>
            <w:lang w:val="en-CA" w:eastAsia="ja-JP"/>
          </w:rPr>
          <m:t>/</m:t>
        </m:r>
        <m:sSubSup>
          <m:sSubSupPr>
            <m:ctrlPr>
              <w:rPr>
                <w:rFonts w:ascii="Cambria Math" w:hAnsi="Cambria Math" w:cs="Times"/>
                <w:bCs/>
                <w:i/>
                <w:lang w:val="en-CA" w:eastAsia="ja-JP"/>
              </w:rPr>
            </m:ctrlPr>
          </m:sSubSupPr>
          <m:e>
            <m:r>
              <w:rPr>
                <w:rFonts w:ascii="Cambria Math" w:hAnsi="Cambria Math" w:cs="Times"/>
                <w:lang w:val="en-CA" w:eastAsia="ja-JP"/>
              </w:rPr>
              <m:t>c</m:t>
            </m:r>
          </m:e>
          <m:sub>
            <m:r>
              <w:rPr>
                <w:rFonts w:ascii="Cambria Math" w:hAnsi="Cambria Math" w:cs="Times"/>
                <w:lang w:val="en-CA" w:eastAsia="ja-JP"/>
              </w:rPr>
              <m:t>F</m:t>
            </m:r>
          </m:sub>
          <m:sup>
            <m:r>
              <w:rPr>
                <w:rFonts w:ascii="Cambria Math" w:hAnsi="Cambria Math" w:cs="Times"/>
                <w:lang w:val="en-CA" w:eastAsia="ja-JP"/>
              </w:rPr>
              <m:t>vap</m:t>
            </m:r>
          </m:sup>
        </m:sSubSup>
      </m:oMath>
      <w:r w:rsidR="003872DB" w:rsidRPr="00D039E9">
        <w:rPr>
          <w:rFonts w:cs="Times"/>
          <w:bCs/>
          <w:lang w:val="en-CA" w:eastAsia="ja-JP"/>
        </w:rPr>
        <w:t xml:space="preserve"> from (a) and (b) </w:t>
      </w:r>
    </w:p>
    <w:p w14:paraId="767720DB" w14:textId="6DC08333" w:rsidR="003872DB" w:rsidRPr="00D039E9" w:rsidRDefault="002639C4" w:rsidP="003872DB">
      <w:pPr>
        <w:pStyle w:val="TAMainText"/>
        <w:numPr>
          <w:ilvl w:val="0"/>
          <w:numId w:val="16"/>
        </w:numPr>
        <w:rPr>
          <w:rFonts w:cs="Times"/>
          <w:b/>
          <w:bCs/>
          <w:lang w:val="en-CA" w:eastAsia="ja-JP"/>
        </w:rPr>
      </w:pPr>
      <w:r w:rsidRPr="00D039E9">
        <w:rPr>
          <w:rFonts w:cs="Times"/>
          <w:bCs/>
          <w:lang w:val="en-CA" w:eastAsia="ja-JP"/>
        </w:rPr>
        <w:t xml:space="preserve"> According to Eq. (1), the gradient of </w:t>
      </w:r>
      <m:oMath>
        <m:func>
          <m:funcPr>
            <m:ctrlPr>
              <w:rPr>
                <w:rFonts w:ascii="Cambria Math" w:hAnsi="Cambria Math" w:cs="Times"/>
                <w:bCs/>
                <w:i/>
                <w:lang w:val="en-CA" w:eastAsia="ja-JP"/>
              </w:rPr>
            </m:ctrlPr>
          </m:funcPr>
          <m:fName>
            <m:r>
              <m:rPr>
                <m:sty m:val="p"/>
              </m:rPr>
              <w:rPr>
                <w:rFonts w:ascii="Cambria Math" w:hAnsi="Cambria Math" w:cs="Times"/>
                <w:lang w:val="en-CA" w:eastAsia="ja-JP"/>
              </w:rPr>
              <m:t>ln</m:t>
            </m:r>
          </m:fName>
          <m:e>
            <m:r>
              <w:rPr>
                <w:rFonts w:ascii="Cambria Math" w:hAnsi="Cambria Math" w:cs="Times"/>
                <w:lang w:val="en-CA" w:eastAsia="ja-JP"/>
              </w:rPr>
              <m:t>K</m:t>
            </m:r>
          </m:e>
        </m:func>
      </m:oMath>
      <w:r w:rsidRPr="00D039E9">
        <w:rPr>
          <w:rFonts w:cs="Times"/>
          <w:bCs/>
          <w:lang w:val="en-CA" w:eastAsia="ja-JP"/>
        </w:rPr>
        <w:t xml:space="preserve"> against </w:t>
      </w:r>
      <m:oMath>
        <m:func>
          <m:funcPr>
            <m:ctrlPr>
              <w:rPr>
                <w:rFonts w:ascii="Cambria Math" w:hAnsi="Cambria Math" w:cs="Times"/>
                <w:bCs/>
                <w:i/>
                <w:lang w:val="en-CA" w:eastAsia="ja-JP"/>
              </w:rPr>
            </m:ctrlPr>
          </m:funcPr>
          <m:fName>
            <m:r>
              <m:rPr>
                <m:sty m:val="p"/>
              </m:rPr>
              <w:rPr>
                <w:rFonts w:ascii="Cambria Math" w:hAnsi="Cambria Math" w:cs="Times"/>
                <w:lang w:val="en-CA" w:eastAsia="ja-JP"/>
              </w:rPr>
              <m:t>ln</m:t>
            </m:r>
          </m:fName>
          <m:e>
            <m:sSub>
              <m:sSubPr>
                <m:ctrlPr>
                  <w:rPr>
                    <w:rFonts w:ascii="Cambria Math" w:hAnsi="Cambria Math" w:cs="Times"/>
                    <w:bCs/>
                    <w:i/>
                    <w:lang w:val="en-CA" w:eastAsia="ja-JP"/>
                  </w:rPr>
                </m:ctrlPr>
              </m:sSubPr>
              <m:e>
                <m:r>
                  <w:rPr>
                    <w:rFonts w:ascii="Cambria Math" w:hAnsi="Cambria Math" w:cs="Times"/>
                    <w:lang w:val="en-CA" w:eastAsia="ja-JP"/>
                  </w:rPr>
                  <m:t>a</m:t>
                </m:r>
              </m:e>
              <m:sub>
                <m:r>
                  <w:rPr>
                    <w:rFonts w:ascii="Cambria Math" w:hAnsi="Cambria Math" w:cs="Times"/>
                    <w:lang w:val="en-CA" w:eastAsia="ja-JP"/>
                  </w:rPr>
                  <m:t>W</m:t>
                </m:r>
              </m:sub>
            </m:sSub>
          </m:e>
        </m:func>
        <m:r>
          <w:rPr>
            <w:rFonts w:ascii="Cambria Math" w:hAnsi="Cambria Math" w:cs="Times"/>
            <w:lang w:val="en-CA" w:eastAsia="ja-JP"/>
          </w:rPr>
          <m:t xml:space="preserve"> </m:t>
        </m:r>
      </m:oMath>
      <w:r w:rsidR="003872DB" w:rsidRPr="00D039E9">
        <w:rPr>
          <w:rFonts w:cs="Times"/>
          <w:bCs/>
          <w:lang w:val="en-CA" w:eastAsia="ja-JP"/>
        </w:rPr>
        <w:t xml:space="preserve">yields </w:t>
      </w:r>
      <m:oMath>
        <m:d>
          <m:dPr>
            <m:ctrlPr>
              <w:rPr>
                <w:rFonts w:ascii="Cambria Math" w:hAnsi="Cambria Math" w:cs="Times"/>
                <w:bCs/>
                <w:i/>
                <w:lang w:val="en-CA" w:eastAsia="ja-JP"/>
              </w:rPr>
            </m:ctrlPr>
          </m:dPr>
          <m:e>
            <m:sSub>
              <m:sSubPr>
                <m:ctrlPr>
                  <w:rPr>
                    <w:rFonts w:ascii="Cambria Math" w:hAnsi="Cambria Math" w:cs="Times"/>
                    <w:bCs/>
                    <w:i/>
                    <w:lang w:val="en-CA" w:eastAsia="ja-JP"/>
                  </w:rPr>
                </m:ctrlPr>
              </m:sSubPr>
              <m:e>
                <m:r>
                  <w:rPr>
                    <w:rFonts w:ascii="Cambria Math" w:hAnsi="Cambria Math" w:cs="Times"/>
                    <w:lang w:val="en-CA" w:eastAsia="ja-JP"/>
                  </w:rPr>
                  <m:t>G</m:t>
                </m:r>
              </m:e>
              <m:sub>
                <m:r>
                  <w:rPr>
                    <w:rFonts w:ascii="Cambria Math" w:hAnsi="Cambria Math" w:cs="Times"/>
                    <w:lang w:val="en-CA" w:eastAsia="ja-JP"/>
                  </w:rPr>
                  <m:t>FW</m:t>
                </m:r>
              </m:sub>
            </m:sSub>
            <m:r>
              <w:rPr>
                <w:rFonts w:ascii="Cambria Math" w:hAnsi="Cambria Math" w:cs="Times"/>
                <w:lang w:val="en-CA" w:eastAsia="ja-JP"/>
              </w:rPr>
              <m:t>-</m:t>
            </m:r>
            <m:sSub>
              <m:sSubPr>
                <m:ctrlPr>
                  <w:rPr>
                    <w:rFonts w:ascii="Cambria Math" w:hAnsi="Cambria Math" w:cs="Times"/>
                    <w:bCs/>
                    <w:i/>
                    <w:lang w:val="en-CA" w:eastAsia="ja-JP"/>
                  </w:rPr>
                </m:ctrlPr>
              </m:sSubPr>
              <m:e>
                <m:r>
                  <w:rPr>
                    <w:rFonts w:ascii="Cambria Math" w:hAnsi="Cambria Math" w:cs="Times"/>
                    <w:lang w:val="en-CA" w:eastAsia="ja-JP"/>
                  </w:rPr>
                  <m:t>G</m:t>
                </m:r>
              </m:e>
              <m:sub>
                <m:r>
                  <w:rPr>
                    <w:rFonts w:ascii="Cambria Math" w:hAnsi="Cambria Math" w:cs="Times"/>
                    <w:lang w:val="en-CA" w:eastAsia="ja-JP"/>
                  </w:rPr>
                  <m:t>FP</m:t>
                </m:r>
              </m:sub>
            </m:sSub>
          </m:e>
        </m:d>
      </m:oMath>
      <w:r w:rsidR="003872DB" w:rsidRPr="00D039E9">
        <w:rPr>
          <w:rFonts w:cs="Times"/>
          <w:bCs/>
          <w:lang w:val="en-CA" w:eastAsia="ja-JP"/>
        </w:rPr>
        <w:t xml:space="preserve">  </w:t>
      </w:r>
    </w:p>
    <w:p w14:paraId="533464F3" w14:textId="4E26E494" w:rsidR="003872DB" w:rsidRPr="00D039E9" w:rsidRDefault="003872DB" w:rsidP="00BB1694">
      <w:pPr>
        <w:pStyle w:val="TAMainText"/>
        <w:ind w:firstLine="0"/>
        <w:rPr>
          <w:rFonts w:cs="Times"/>
          <w:bCs/>
          <w:lang w:val="en-CA" w:eastAsia="ja-JP"/>
        </w:rPr>
      </w:pPr>
      <w:r w:rsidRPr="00D039E9">
        <w:rPr>
          <w:rFonts w:cs="Times"/>
          <w:bCs/>
          <w:lang w:val="en-CA" w:eastAsia="ja-JP"/>
        </w:rPr>
        <w:t xml:space="preserve">Note that </w:t>
      </w:r>
      <m:oMath>
        <m:sSubSup>
          <m:sSubSupPr>
            <m:ctrlPr>
              <w:rPr>
                <w:rFonts w:ascii="Cambria Math" w:hAnsi="Cambria Math" w:cs="Times"/>
                <w:bCs/>
                <w:i/>
                <w:lang w:val="en-CA" w:eastAsia="ja-JP"/>
              </w:rPr>
            </m:ctrlPr>
          </m:sSubSupPr>
          <m:e>
            <m:r>
              <w:rPr>
                <w:rFonts w:ascii="Cambria Math" w:hAnsi="Cambria Math" w:cs="Times"/>
                <w:lang w:val="en-CA" w:eastAsia="ja-JP"/>
              </w:rPr>
              <m:t>c</m:t>
            </m:r>
          </m:e>
          <m:sub>
            <m:r>
              <w:rPr>
                <w:rFonts w:ascii="Cambria Math" w:hAnsi="Cambria Math" w:cs="Times"/>
                <w:lang w:val="en-CA" w:eastAsia="ja-JP"/>
              </w:rPr>
              <m:t>F</m:t>
            </m:r>
          </m:sub>
          <m:sup>
            <m:r>
              <w:rPr>
                <w:rFonts w:ascii="Cambria Math" w:hAnsi="Cambria Math" w:cs="Times"/>
                <w:lang w:val="en-CA" w:eastAsia="ja-JP"/>
              </w:rPr>
              <m:t>vap</m:t>
            </m:r>
          </m:sup>
        </m:sSubSup>
      </m:oMath>
      <w:r w:rsidRPr="00D039E9">
        <w:rPr>
          <w:rFonts w:cs="Times"/>
          <w:bCs/>
          <w:lang w:val="en-CA" w:eastAsia="ja-JP"/>
        </w:rPr>
        <w:t xml:space="preserve"> alone cannot yield any information on flavour-protein and flavour-water interactions, as has been shown by the theory. </w:t>
      </w:r>
    </w:p>
    <w:p w14:paraId="1C118DA1" w14:textId="77777777" w:rsidR="003872DB" w:rsidRPr="00D039E9" w:rsidRDefault="003872DB" w:rsidP="003872DB">
      <w:pPr>
        <w:pStyle w:val="TAMainText"/>
        <w:rPr>
          <w:rFonts w:cs="Times"/>
          <w:b/>
          <w:bCs/>
          <w:lang w:val="en-CA" w:eastAsia="ja-JP"/>
        </w:rPr>
      </w:pPr>
    </w:p>
    <w:p w14:paraId="68731AAC" w14:textId="79A02295" w:rsidR="003872DB" w:rsidRPr="00D039E9" w:rsidRDefault="003872DB" w:rsidP="003872DB">
      <w:pPr>
        <w:pStyle w:val="TAMainText"/>
        <w:rPr>
          <w:rFonts w:cs="Times"/>
          <w:bCs/>
          <w:lang w:val="en-CA" w:eastAsia="ja-JP"/>
        </w:rPr>
      </w:pPr>
      <w:r w:rsidRPr="00D039E9">
        <w:rPr>
          <w:rFonts w:cs="Times"/>
          <w:b/>
          <w:bCs/>
          <w:lang w:val="en-CA" w:eastAsia="ja-JP"/>
        </w:rPr>
        <w:t xml:space="preserve">Simplified </w:t>
      </w:r>
      <w:r w:rsidR="00115DEF" w:rsidRPr="00D039E9">
        <w:rPr>
          <w:rFonts w:cs="Times"/>
          <w:b/>
          <w:bCs/>
          <w:lang w:val="en-CA" w:eastAsia="ja-JP"/>
        </w:rPr>
        <w:t xml:space="preserve">practical </w:t>
      </w:r>
      <w:r w:rsidRPr="00D039E9">
        <w:rPr>
          <w:rFonts w:cs="Times"/>
          <w:b/>
          <w:bCs/>
          <w:lang w:val="en-CA" w:eastAsia="ja-JP"/>
        </w:rPr>
        <w:t xml:space="preserve">procedure for dilute proteins: outcome = </w:t>
      </w:r>
      <m:oMath>
        <m:d>
          <m:dPr>
            <m:ctrlPr>
              <w:rPr>
                <w:rFonts w:ascii="Cambria Math" w:hAnsi="Cambria Math" w:cs="Times"/>
                <w:b/>
                <w:bCs/>
                <w:i/>
                <w:lang w:val="en-CA" w:eastAsia="ja-JP"/>
              </w:rPr>
            </m:ctrlPr>
          </m:dPr>
          <m:e>
            <m:sSub>
              <m:sSubPr>
                <m:ctrlPr>
                  <w:rPr>
                    <w:rFonts w:ascii="Cambria Math" w:hAnsi="Cambria Math" w:cs="Times"/>
                    <w:b/>
                    <w:bCs/>
                    <w:i/>
                    <w:lang w:val="en-CA" w:eastAsia="ja-JP"/>
                  </w:rPr>
                </m:ctrlPr>
              </m:sSubPr>
              <m:e>
                <m:r>
                  <m:rPr>
                    <m:sty m:val="bi"/>
                  </m:rPr>
                  <w:rPr>
                    <w:rFonts w:ascii="Cambria Math" w:hAnsi="Cambria Math" w:cs="Times"/>
                    <w:lang w:val="en-CA" w:eastAsia="ja-JP"/>
                  </w:rPr>
                  <m:t>G</m:t>
                </m:r>
              </m:e>
              <m:sub>
                <m:r>
                  <m:rPr>
                    <m:sty m:val="bi"/>
                  </m:rPr>
                  <w:rPr>
                    <w:rFonts w:ascii="Cambria Math" w:hAnsi="Cambria Math" w:cs="Times"/>
                    <w:lang w:val="en-CA" w:eastAsia="ja-JP"/>
                  </w:rPr>
                  <m:t>FW</m:t>
                </m:r>
              </m:sub>
            </m:sSub>
            <m:r>
              <m:rPr>
                <m:sty m:val="bi"/>
              </m:rPr>
              <w:rPr>
                <w:rFonts w:ascii="Cambria Math" w:hAnsi="Cambria Math" w:cs="Times"/>
                <w:lang w:val="en-CA" w:eastAsia="ja-JP"/>
              </w:rPr>
              <m:t>-</m:t>
            </m:r>
            <m:sSub>
              <m:sSubPr>
                <m:ctrlPr>
                  <w:rPr>
                    <w:rFonts w:ascii="Cambria Math" w:hAnsi="Cambria Math" w:cs="Times"/>
                    <w:b/>
                    <w:bCs/>
                    <w:i/>
                    <w:lang w:val="en-CA" w:eastAsia="ja-JP"/>
                  </w:rPr>
                </m:ctrlPr>
              </m:sSubPr>
              <m:e>
                <m:r>
                  <m:rPr>
                    <m:sty m:val="bi"/>
                  </m:rPr>
                  <w:rPr>
                    <w:rFonts w:ascii="Cambria Math" w:hAnsi="Cambria Math" w:cs="Times"/>
                    <w:lang w:val="en-CA" w:eastAsia="ja-JP"/>
                  </w:rPr>
                  <m:t>G</m:t>
                </m:r>
              </m:e>
              <m:sub>
                <m:r>
                  <m:rPr>
                    <m:sty m:val="bi"/>
                  </m:rPr>
                  <w:rPr>
                    <w:rFonts w:ascii="Cambria Math" w:hAnsi="Cambria Math" w:cs="Times"/>
                    <w:lang w:val="en-CA" w:eastAsia="ja-JP"/>
                  </w:rPr>
                  <m:t>FP</m:t>
                </m:r>
              </m:sub>
            </m:sSub>
          </m:e>
        </m:d>
      </m:oMath>
    </w:p>
    <w:p w14:paraId="22D339BD" w14:textId="3F348742" w:rsidR="003872DB" w:rsidRPr="00D039E9" w:rsidRDefault="002639C4" w:rsidP="002639C4">
      <w:pPr>
        <w:pStyle w:val="TAMainText"/>
        <w:ind w:firstLine="0"/>
        <w:rPr>
          <w:rFonts w:cs="Times"/>
          <w:bCs/>
          <w:lang w:val="en-CA" w:eastAsia="ja-JP"/>
        </w:rPr>
      </w:pPr>
      <w:r w:rsidRPr="00D039E9">
        <w:rPr>
          <w:rFonts w:cs="Times"/>
          <w:bCs/>
          <w:lang w:val="en-CA" w:eastAsia="ja-JP"/>
        </w:rPr>
        <w:t xml:space="preserve">Taking advantage of the fact that protein and flavour molecules are generally dilute, the data analysis can be simplified drastically. Under this condition, </w:t>
      </w:r>
      <w:r w:rsidR="00EE1A92" w:rsidRPr="00D039E9">
        <w:rPr>
          <w:rFonts w:cs="Times"/>
          <w:bCs/>
          <w:lang w:val="en-CA" w:eastAsia="ja-JP"/>
        </w:rPr>
        <w:t>Eq. (1)</w:t>
      </w:r>
      <w:r w:rsidR="003872DB" w:rsidRPr="00D039E9">
        <w:rPr>
          <w:rFonts w:cs="Times"/>
          <w:bCs/>
          <w:lang w:val="en-CA" w:eastAsia="ja-JP"/>
        </w:rPr>
        <w:t xml:space="preserve"> can be simplified as </w:t>
      </w:r>
    </w:p>
    <w:p w14:paraId="1C5AC7CD" w14:textId="2959D078" w:rsidR="003872DB" w:rsidRPr="00D039E9" w:rsidRDefault="000E5B3F" w:rsidP="003872DB">
      <w:pPr>
        <w:pStyle w:val="TAMainText"/>
        <w:ind w:firstLine="0"/>
        <w:rPr>
          <w:rFonts w:cs="Times"/>
          <w:bCs/>
          <w:lang w:val="en-CA" w:eastAsia="ja-JP"/>
        </w:rPr>
      </w:pPr>
      <m:oMath>
        <m:sSub>
          <m:sSubPr>
            <m:ctrlPr>
              <w:rPr>
                <w:rFonts w:ascii="Cambria Math" w:hAnsi="Cambria Math" w:cs="Times"/>
                <w:bCs/>
                <w:i/>
                <w:lang w:val="en-CA" w:eastAsia="ja-JP"/>
              </w:rPr>
            </m:ctrlPr>
          </m:sSubPr>
          <m:e>
            <m:d>
              <m:dPr>
                <m:ctrlPr>
                  <w:rPr>
                    <w:rFonts w:ascii="Cambria Math" w:hAnsi="Cambria Math" w:cs="Times"/>
                    <w:bCs/>
                    <w:i/>
                    <w:lang w:val="en-CA" w:eastAsia="ja-JP"/>
                  </w:rPr>
                </m:ctrlPr>
              </m:dPr>
              <m:e>
                <m:f>
                  <m:fPr>
                    <m:ctrlPr>
                      <w:rPr>
                        <w:rFonts w:ascii="Cambria Math" w:hAnsi="Cambria Math" w:cs="Times"/>
                        <w:bCs/>
                        <w:i/>
                        <w:lang w:val="en-CA" w:eastAsia="ja-JP"/>
                      </w:rPr>
                    </m:ctrlPr>
                  </m:fPr>
                  <m:num>
                    <m:r>
                      <w:rPr>
                        <w:rFonts w:ascii="Cambria Math" w:hAnsi="Cambria Math" w:cs="Times"/>
                        <w:lang w:val="en-CA" w:eastAsia="ja-JP"/>
                      </w:rPr>
                      <m:t>∂</m:t>
                    </m:r>
                    <m:func>
                      <m:funcPr>
                        <m:ctrlPr>
                          <w:rPr>
                            <w:rFonts w:ascii="Cambria Math" w:hAnsi="Cambria Math" w:cs="Times"/>
                            <w:bCs/>
                            <w:i/>
                            <w:lang w:val="en-CA" w:eastAsia="ja-JP"/>
                          </w:rPr>
                        </m:ctrlPr>
                      </m:funcPr>
                      <m:fName>
                        <m:r>
                          <m:rPr>
                            <m:sty m:val="p"/>
                          </m:rPr>
                          <w:rPr>
                            <w:rFonts w:ascii="Cambria Math" w:hAnsi="Cambria Math" w:cs="Times"/>
                            <w:lang w:val="en-CA" w:eastAsia="ja-JP"/>
                          </w:rPr>
                          <m:t>ln</m:t>
                        </m:r>
                      </m:fName>
                      <m:e>
                        <m:sSub>
                          <m:sSubPr>
                            <m:ctrlPr>
                              <w:rPr>
                                <w:rFonts w:ascii="Cambria Math" w:hAnsi="Cambria Math" w:cs="Times"/>
                                <w:i/>
                                <w:lang w:val="en-CA" w:eastAsia="ja-JP"/>
                              </w:rPr>
                            </m:ctrlPr>
                          </m:sSubPr>
                          <m:e>
                            <m:r>
                              <w:rPr>
                                <w:rFonts w:ascii="Cambria Math" w:hAnsi="Cambria Math" w:cs="Times"/>
                                <w:lang w:val="en-CA" w:eastAsia="ja-JP"/>
                              </w:rPr>
                              <m:t>K</m:t>
                            </m:r>
                          </m:e>
                          <m:sub>
                            <m:r>
                              <w:rPr>
                                <w:rFonts w:ascii="Cambria Math" w:hAnsi="Cambria Math" w:cs="Times"/>
                                <w:lang w:val="en-CA" w:eastAsia="ja-JP"/>
                              </w:rPr>
                              <m:t>vw</m:t>
                            </m:r>
                          </m:sub>
                        </m:sSub>
                      </m:e>
                    </m:func>
                  </m:num>
                  <m:den>
                    <m:r>
                      <w:rPr>
                        <w:rFonts w:ascii="Cambria Math" w:hAnsi="Cambria Math" w:cs="Times"/>
                        <w:lang w:val="en-CA" w:eastAsia="ja-JP"/>
                      </w:rPr>
                      <m:t>∂</m:t>
                    </m:r>
                    <m:sSub>
                      <m:sSubPr>
                        <m:ctrlPr>
                          <w:rPr>
                            <w:rFonts w:ascii="Cambria Math" w:hAnsi="Cambria Math" w:cs="Times"/>
                            <w:bCs/>
                            <w:i/>
                            <w:lang w:val="en-CA" w:eastAsia="ja-JP"/>
                          </w:rPr>
                        </m:ctrlPr>
                      </m:sSubPr>
                      <m:e>
                        <m:r>
                          <w:rPr>
                            <w:rFonts w:ascii="Cambria Math" w:hAnsi="Cambria Math" w:cs="Times"/>
                            <w:lang w:val="en-CA" w:eastAsia="ja-JP"/>
                          </w:rPr>
                          <m:t>c</m:t>
                        </m:r>
                      </m:e>
                      <m:sub>
                        <m:r>
                          <w:rPr>
                            <w:rFonts w:ascii="Cambria Math" w:hAnsi="Cambria Math" w:cs="Times"/>
                            <w:lang w:val="en-CA" w:eastAsia="ja-JP"/>
                          </w:rPr>
                          <m:t>P</m:t>
                        </m:r>
                      </m:sub>
                    </m:sSub>
                  </m:den>
                </m:f>
              </m:e>
            </m:d>
          </m:e>
          <m:sub>
            <m:r>
              <w:rPr>
                <w:rFonts w:ascii="Cambria Math" w:hAnsi="Cambria Math" w:cs="Times"/>
                <w:lang w:val="en-CA" w:eastAsia="ja-JP"/>
              </w:rPr>
              <m:t>T,P,</m:t>
            </m:r>
            <m:sSub>
              <m:sSubPr>
                <m:ctrlPr>
                  <w:rPr>
                    <w:rFonts w:ascii="Cambria Math" w:hAnsi="Cambria Math" w:cs="Times"/>
                    <w:bCs/>
                    <w:i/>
                    <w:lang w:val="en-CA" w:eastAsia="ja-JP"/>
                  </w:rPr>
                </m:ctrlPr>
              </m:sSubPr>
              <m:e>
                <m:r>
                  <w:rPr>
                    <w:rFonts w:ascii="Cambria Math" w:hAnsi="Cambria Math" w:cs="Times"/>
                    <w:lang w:val="en-CA" w:eastAsia="ja-JP"/>
                  </w:rPr>
                  <m:t>c</m:t>
                </m:r>
              </m:e>
              <m:sub>
                <m:r>
                  <w:rPr>
                    <w:rFonts w:ascii="Cambria Math" w:hAnsi="Cambria Math" w:cs="Times"/>
                    <w:lang w:val="en-CA" w:eastAsia="ja-JP"/>
                  </w:rPr>
                  <m:t>F</m:t>
                </m:r>
              </m:sub>
            </m:sSub>
            <m:r>
              <w:rPr>
                <w:rFonts w:ascii="Cambria Math" w:hAnsi="Cambria Math" w:cs="Times"/>
                <w:lang w:val="en-CA" w:eastAsia="ja-JP"/>
              </w:rPr>
              <m:t>→0;</m:t>
            </m:r>
            <m:sSub>
              <m:sSubPr>
                <m:ctrlPr>
                  <w:rPr>
                    <w:rFonts w:ascii="Cambria Math" w:hAnsi="Cambria Math" w:cs="Times"/>
                    <w:i/>
                    <w:lang w:val="en-CA" w:eastAsia="ja-JP"/>
                  </w:rPr>
                </m:ctrlPr>
              </m:sSubPr>
              <m:e>
                <m:r>
                  <w:rPr>
                    <w:rFonts w:ascii="Cambria Math" w:hAnsi="Cambria Math" w:cs="Times"/>
                    <w:lang w:val="en-CA" w:eastAsia="ja-JP"/>
                  </w:rPr>
                  <m:t>c</m:t>
                </m:r>
              </m:e>
              <m:sub>
                <m:r>
                  <w:rPr>
                    <w:rFonts w:ascii="Cambria Math" w:hAnsi="Cambria Math" w:cs="Times"/>
                    <w:lang w:val="en-CA" w:eastAsia="ja-JP"/>
                  </w:rPr>
                  <m:t>P</m:t>
                </m:r>
              </m:sub>
            </m:sSub>
            <m:r>
              <w:rPr>
                <w:rFonts w:ascii="Cambria Math" w:hAnsi="Cambria Math" w:cs="Times"/>
                <w:lang w:val="en-CA" w:eastAsia="ja-JP"/>
              </w:rPr>
              <m:t>→0</m:t>
            </m:r>
          </m:sub>
        </m:sSub>
        <m:r>
          <w:rPr>
            <w:rFonts w:ascii="Cambria Math" w:hAnsi="Cambria Math" w:cs="Times"/>
            <w:lang w:val="en-CA" w:eastAsia="ja-JP"/>
          </w:rPr>
          <m:t>=-</m:t>
        </m:r>
        <m:d>
          <m:dPr>
            <m:ctrlPr>
              <w:rPr>
                <w:rFonts w:ascii="Cambria Math" w:hAnsi="Cambria Math" w:cs="Times"/>
                <w:bCs/>
                <w:i/>
                <w:lang w:val="en-CA" w:eastAsia="ja-JP"/>
              </w:rPr>
            </m:ctrlPr>
          </m:dPr>
          <m:e>
            <m:sSub>
              <m:sSubPr>
                <m:ctrlPr>
                  <w:rPr>
                    <w:rFonts w:ascii="Cambria Math" w:hAnsi="Cambria Math" w:cs="Times"/>
                    <w:bCs/>
                    <w:i/>
                    <w:lang w:val="en-CA" w:eastAsia="ja-JP"/>
                  </w:rPr>
                </m:ctrlPr>
              </m:sSubPr>
              <m:e>
                <m:r>
                  <w:rPr>
                    <w:rFonts w:ascii="Cambria Math" w:hAnsi="Cambria Math" w:cs="Times"/>
                    <w:lang w:val="en-CA" w:eastAsia="ja-JP"/>
                  </w:rPr>
                  <m:t>G</m:t>
                </m:r>
              </m:e>
              <m:sub>
                <m:r>
                  <w:rPr>
                    <w:rFonts w:ascii="Cambria Math" w:hAnsi="Cambria Math" w:cs="Times"/>
                    <w:lang w:val="en-CA" w:eastAsia="ja-JP"/>
                  </w:rPr>
                  <m:t>FW</m:t>
                </m:r>
              </m:sub>
            </m:sSub>
            <m:r>
              <w:rPr>
                <w:rFonts w:ascii="Cambria Math" w:hAnsi="Cambria Math" w:cs="Times"/>
                <w:lang w:val="en-CA" w:eastAsia="ja-JP"/>
              </w:rPr>
              <m:t>-</m:t>
            </m:r>
            <m:sSub>
              <m:sSubPr>
                <m:ctrlPr>
                  <w:rPr>
                    <w:rFonts w:ascii="Cambria Math" w:hAnsi="Cambria Math" w:cs="Times"/>
                    <w:bCs/>
                    <w:i/>
                    <w:lang w:val="en-CA" w:eastAsia="ja-JP"/>
                  </w:rPr>
                </m:ctrlPr>
              </m:sSubPr>
              <m:e>
                <m:r>
                  <w:rPr>
                    <w:rFonts w:ascii="Cambria Math" w:hAnsi="Cambria Math" w:cs="Times"/>
                    <w:lang w:val="en-CA" w:eastAsia="ja-JP"/>
                  </w:rPr>
                  <m:t>G</m:t>
                </m:r>
              </m:e>
              <m:sub>
                <m:r>
                  <w:rPr>
                    <w:rFonts w:ascii="Cambria Math" w:hAnsi="Cambria Math" w:cs="Times"/>
                    <w:lang w:val="en-CA" w:eastAsia="ja-JP"/>
                  </w:rPr>
                  <m:t>FP</m:t>
                </m:r>
              </m:sub>
            </m:sSub>
          </m:e>
        </m:d>
      </m:oMath>
      <w:r w:rsidR="00920DCC" w:rsidRPr="00D039E9">
        <w:rPr>
          <w:rFonts w:cs="Times"/>
          <w:bCs/>
          <w:lang w:val="en-CA" w:eastAsia="ja-JP"/>
        </w:rPr>
        <w:tab/>
      </w:r>
      <w:r w:rsidR="00920DCC" w:rsidRPr="00D039E9">
        <w:rPr>
          <w:rFonts w:cs="Times"/>
          <w:bCs/>
          <w:lang w:val="en-CA" w:eastAsia="ja-JP"/>
        </w:rPr>
        <w:tab/>
      </w:r>
      <w:r w:rsidR="00920DCC" w:rsidRPr="00D039E9">
        <w:rPr>
          <w:rFonts w:cs="Times"/>
          <w:bCs/>
          <w:lang w:val="en-CA" w:eastAsia="ja-JP"/>
        </w:rPr>
        <w:tab/>
      </w:r>
      <w:r w:rsidR="00920DCC" w:rsidRPr="00D039E9">
        <w:rPr>
          <w:rFonts w:cs="Times"/>
          <w:bCs/>
          <w:lang w:val="en-CA" w:eastAsia="ja-JP"/>
        </w:rPr>
        <w:tab/>
      </w:r>
      <w:r w:rsidR="00920DCC" w:rsidRPr="00D039E9">
        <w:rPr>
          <w:rFonts w:cs="Times"/>
          <w:bCs/>
          <w:lang w:val="en-CA" w:eastAsia="ja-JP"/>
        </w:rPr>
        <w:tab/>
      </w:r>
      <w:r w:rsidR="00920DCC" w:rsidRPr="00D039E9">
        <w:rPr>
          <w:rFonts w:cs="Times"/>
          <w:bCs/>
          <w:lang w:val="en-CA" w:eastAsia="ja-JP"/>
        </w:rPr>
        <w:tab/>
      </w:r>
      <w:r w:rsidR="00920DCC" w:rsidRPr="00D039E9">
        <w:rPr>
          <w:rFonts w:cs="Times"/>
          <w:bCs/>
          <w:lang w:val="en-CA" w:eastAsia="ja-JP"/>
        </w:rPr>
        <w:tab/>
      </w:r>
      <w:r w:rsidR="00EE1A92" w:rsidRPr="00D039E9">
        <w:rPr>
          <w:rFonts w:cs="Times"/>
          <w:bCs/>
          <w:lang w:val="en-CA" w:eastAsia="ja-JP"/>
        </w:rPr>
        <w:t>(3</w:t>
      </w:r>
      <w:r w:rsidR="003872DB" w:rsidRPr="00D039E9">
        <w:rPr>
          <w:rFonts w:cs="Times"/>
          <w:bCs/>
          <w:lang w:val="en-CA" w:eastAsia="ja-JP"/>
        </w:rPr>
        <w:t xml:space="preserve">) </w:t>
      </w:r>
    </w:p>
    <w:p w14:paraId="61AFC987" w14:textId="77777777" w:rsidR="003872DB" w:rsidRPr="00D039E9" w:rsidRDefault="003872DB" w:rsidP="003872DB">
      <w:pPr>
        <w:pStyle w:val="TAMainText"/>
        <w:numPr>
          <w:ilvl w:val="0"/>
          <w:numId w:val="18"/>
        </w:numPr>
        <w:rPr>
          <w:rFonts w:cs="Times"/>
          <w:bCs/>
          <w:lang w:val="en-CA" w:eastAsia="ja-JP"/>
        </w:rPr>
      </w:pPr>
      <w:r w:rsidRPr="00D039E9">
        <w:rPr>
          <w:rFonts w:cs="Times"/>
          <w:bCs/>
          <w:lang w:val="en-CA" w:eastAsia="ja-JP"/>
        </w:rPr>
        <w:t xml:space="preserve">Change and record protein concentration </w:t>
      </w:r>
      <m:oMath>
        <m:sSub>
          <m:sSubPr>
            <m:ctrlPr>
              <w:rPr>
                <w:rFonts w:ascii="Cambria Math" w:hAnsi="Cambria Math" w:cs="Times"/>
                <w:bCs/>
                <w:i/>
                <w:lang w:val="en-CA" w:eastAsia="ja-JP"/>
              </w:rPr>
            </m:ctrlPr>
          </m:sSubPr>
          <m:e>
            <m:r>
              <w:rPr>
                <w:rFonts w:ascii="Cambria Math" w:hAnsi="Cambria Math" w:cs="Times"/>
                <w:lang w:val="en-CA" w:eastAsia="ja-JP"/>
              </w:rPr>
              <m:t>c</m:t>
            </m:r>
          </m:e>
          <m:sub>
            <m:r>
              <w:rPr>
                <w:rFonts w:ascii="Cambria Math" w:hAnsi="Cambria Math" w:cs="Times"/>
                <w:lang w:val="en-CA" w:eastAsia="ja-JP"/>
              </w:rPr>
              <m:t>P</m:t>
            </m:r>
          </m:sub>
        </m:sSub>
      </m:oMath>
      <w:r w:rsidRPr="00D039E9">
        <w:rPr>
          <w:rFonts w:cs="Times"/>
          <w:bCs/>
          <w:lang w:val="en-CA" w:eastAsia="ja-JP"/>
        </w:rPr>
        <w:t xml:space="preserve"> </w:t>
      </w:r>
    </w:p>
    <w:p w14:paraId="2FD339E1" w14:textId="77777777" w:rsidR="003872DB" w:rsidRPr="00D039E9" w:rsidRDefault="003872DB" w:rsidP="003872DB">
      <w:pPr>
        <w:pStyle w:val="TAMainText"/>
        <w:numPr>
          <w:ilvl w:val="0"/>
          <w:numId w:val="18"/>
        </w:numPr>
        <w:rPr>
          <w:rFonts w:cs="Times"/>
          <w:bCs/>
          <w:lang w:val="en-CA" w:eastAsia="ja-JP"/>
        </w:rPr>
      </w:pPr>
      <w:r w:rsidRPr="00D039E9">
        <w:rPr>
          <w:rFonts w:cs="Times"/>
          <w:bCs/>
          <w:lang w:val="en-CA" w:eastAsia="ja-JP"/>
        </w:rPr>
        <w:t xml:space="preserve">Same as before </w:t>
      </w:r>
    </w:p>
    <w:p w14:paraId="55602D8D" w14:textId="14452BC1" w:rsidR="003872DB" w:rsidRPr="00D039E9" w:rsidRDefault="003872DB" w:rsidP="003872DB">
      <w:pPr>
        <w:pStyle w:val="TAMainText"/>
        <w:numPr>
          <w:ilvl w:val="0"/>
          <w:numId w:val="18"/>
        </w:numPr>
        <w:rPr>
          <w:rFonts w:cs="Times"/>
          <w:bCs/>
          <w:lang w:val="en-CA" w:eastAsia="ja-JP"/>
        </w:rPr>
      </w:pPr>
      <w:r w:rsidRPr="00D039E9">
        <w:rPr>
          <w:rFonts w:cs="Times"/>
          <w:bCs/>
          <w:lang w:val="en-CA" w:eastAsia="ja-JP"/>
        </w:rPr>
        <w:t>The s</w:t>
      </w:r>
      <w:r w:rsidR="002639C4" w:rsidRPr="00D039E9">
        <w:rPr>
          <w:rFonts w:cs="Times"/>
          <w:bCs/>
          <w:lang w:val="en-CA" w:eastAsia="ja-JP"/>
        </w:rPr>
        <w:t>lope of Fig</w:t>
      </w:r>
      <w:r w:rsidR="00C56D61" w:rsidRPr="00D039E9">
        <w:rPr>
          <w:rFonts w:cs="Times"/>
          <w:bCs/>
          <w:lang w:val="en-CA" w:eastAsia="ja-JP"/>
        </w:rPr>
        <w:t>ure</w:t>
      </w:r>
      <w:r w:rsidR="002639C4" w:rsidRPr="00D039E9">
        <w:rPr>
          <w:rFonts w:cs="Times"/>
          <w:bCs/>
          <w:lang w:val="en-CA" w:eastAsia="ja-JP"/>
        </w:rPr>
        <w:t xml:space="preserve"> 2</w:t>
      </w:r>
      <w:r w:rsidR="00C56D61" w:rsidRPr="00D039E9">
        <w:rPr>
          <w:rFonts w:cs="Times"/>
          <w:bCs/>
          <w:lang w:val="en-CA" w:eastAsia="ja-JP"/>
        </w:rPr>
        <w:t>, centre,</w:t>
      </w:r>
      <w:r w:rsidR="00EE1A92" w:rsidRPr="00D039E9">
        <w:rPr>
          <w:rFonts w:cs="Times"/>
          <w:bCs/>
          <w:lang w:val="en-CA" w:eastAsia="ja-JP"/>
        </w:rPr>
        <w:t xml:space="preserve"> (l.h.s. of Eq. (3</w:t>
      </w:r>
      <w:r w:rsidRPr="00D039E9">
        <w:rPr>
          <w:rFonts w:cs="Times"/>
          <w:bCs/>
          <w:lang w:val="en-CA" w:eastAsia="ja-JP"/>
        </w:rPr>
        <w:t>)</w:t>
      </w:r>
      <w:r w:rsidR="00C56D61" w:rsidRPr="00D039E9">
        <w:rPr>
          <w:rFonts w:cs="Times"/>
          <w:bCs/>
          <w:lang w:val="en-CA" w:eastAsia="ja-JP"/>
        </w:rPr>
        <w:t>)</w:t>
      </w:r>
      <w:r w:rsidRPr="00D039E9">
        <w:rPr>
          <w:rFonts w:cs="Times"/>
          <w:bCs/>
          <w:lang w:val="en-CA" w:eastAsia="ja-JP"/>
        </w:rPr>
        <w:t xml:space="preserve"> yields </w:t>
      </w:r>
      <m:oMath>
        <m:d>
          <m:dPr>
            <m:ctrlPr>
              <w:rPr>
                <w:rFonts w:ascii="Cambria Math" w:hAnsi="Cambria Math" w:cs="Times"/>
                <w:bCs/>
                <w:i/>
                <w:lang w:val="en-CA" w:eastAsia="ja-JP"/>
              </w:rPr>
            </m:ctrlPr>
          </m:dPr>
          <m:e>
            <m:sSub>
              <m:sSubPr>
                <m:ctrlPr>
                  <w:rPr>
                    <w:rFonts w:ascii="Cambria Math" w:hAnsi="Cambria Math" w:cs="Times"/>
                    <w:bCs/>
                    <w:i/>
                    <w:lang w:val="en-CA" w:eastAsia="ja-JP"/>
                  </w:rPr>
                </m:ctrlPr>
              </m:sSubPr>
              <m:e>
                <m:r>
                  <w:rPr>
                    <w:rFonts w:ascii="Cambria Math" w:hAnsi="Cambria Math" w:cs="Times"/>
                    <w:lang w:val="en-CA" w:eastAsia="ja-JP"/>
                  </w:rPr>
                  <m:t>G</m:t>
                </m:r>
              </m:e>
              <m:sub>
                <m:r>
                  <w:rPr>
                    <w:rFonts w:ascii="Cambria Math" w:hAnsi="Cambria Math" w:cs="Times"/>
                    <w:lang w:val="en-CA" w:eastAsia="ja-JP"/>
                  </w:rPr>
                  <m:t>FW</m:t>
                </m:r>
              </m:sub>
            </m:sSub>
            <m:r>
              <w:rPr>
                <w:rFonts w:ascii="Cambria Math" w:hAnsi="Cambria Math" w:cs="Times"/>
                <w:lang w:val="en-CA" w:eastAsia="ja-JP"/>
              </w:rPr>
              <m:t>-</m:t>
            </m:r>
            <m:sSub>
              <m:sSubPr>
                <m:ctrlPr>
                  <w:rPr>
                    <w:rFonts w:ascii="Cambria Math" w:hAnsi="Cambria Math" w:cs="Times"/>
                    <w:bCs/>
                    <w:i/>
                    <w:lang w:val="en-CA" w:eastAsia="ja-JP"/>
                  </w:rPr>
                </m:ctrlPr>
              </m:sSubPr>
              <m:e>
                <m:r>
                  <w:rPr>
                    <w:rFonts w:ascii="Cambria Math" w:hAnsi="Cambria Math" w:cs="Times"/>
                    <w:lang w:val="en-CA" w:eastAsia="ja-JP"/>
                  </w:rPr>
                  <m:t>G</m:t>
                </m:r>
              </m:e>
              <m:sub>
                <m:r>
                  <w:rPr>
                    <w:rFonts w:ascii="Cambria Math" w:hAnsi="Cambria Math" w:cs="Times"/>
                    <w:lang w:val="en-CA" w:eastAsia="ja-JP"/>
                  </w:rPr>
                  <m:t>FP</m:t>
                </m:r>
              </m:sub>
            </m:sSub>
          </m:e>
        </m:d>
      </m:oMath>
      <w:r w:rsidRPr="00D039E9">
        <w:rPr>
          <w:rFonts w:cs="Times"/>
          <w:bCs/>
          <w:lang w:val="en-CA" w:eastAsia="ja-JP"/>
        </w:rPr>
        <w:t xml:space="preserve">. </w:t>
      </w:r>
    </w:p>
    <w:p w14:paraId="65C058A1" w14:textId="77777777" w:rsidR="003872DB" w:rsidRPr="00D039E9" w:rsidRDefault="003872DB" w:rsidP="003872DB">
      <w:pPr>
        <w:pStyle w:val="TAMainText"/>
        <w:rPr>
          <w:rFonts w:cs="Times"/>
          <w:bCs/>
          <w:lang w:val="en-CA" w:eastAsia="ja-JP"/>
        </w:rPr>
      </w:pPr>
    </w:p>
    <w:p w14:paraId="1F151399" w14:textId="4393DC6C" w:rsidR="003872DB" w:rsidRPr="00D039E9" w:rsidRDefault="003872DB" w:rsidP="003872DB">
      <w:pPr>
        <w:pStyle w:val="TAMainText"/>
        <w:rPr>
          <w:bCs/>
          <w:lang w:val="en-CA" w:eastAsia="ja-JP"/>
        </w:rPr>
      </w:pPr>
      <w:r w:rsidRPr="00D039E9">
        <w:rPr>
          <w:b/>
          <w:lang w:val="en-CA"/>
        </w:rPr>
        <w:t xml:space="preserve">Practical difficulty in the independent determination of </w:t>
      </w:r>
      <m:oMath>
        <m:sSub>
          <m:sSubPr>
            <m:ctrlPr>
              <w:rPr>
                <w:rFonts w:ascii="Cambria Math" w:hAnsi="Cambria Math"/>
                <w:b/>
                <w:i/>
                <w:lang w:val="en-CA"/>
              </w:rPr>
            </m:ctrlPr>
          </m:sSubPr>
          <m:e>
            <m:r>
              <m:rPr>
                <m:sty m:val="bi"/>
              </m:rPr>
              <w:rPr>
                <w:rFonts w:ascii="Cambria Math" w:hAnsi="Cambria Math"/>
                <w:lang w:val="en-CA"/>
              </w:rPr>
              <m:t>G</m:t>
            </m:r>
          </m:e>
          <m:sub>
            <m:r>
              <m:rPr>
                <m:sty m:val="bi"/>
              </m:rPr>
              <w:rPr>
                <w:rFonts w:ascii="Cambria Math" w:hAnsi="Cambria Math"/>
                <w:lang w:val="en-CA"/>
              </w:rPr>
              <m:t>FW</m:t>
            </m:r>
          </m:sub>
        </m:sSub>
      </m:oMath>
      <w:r w:rsidRPr="00D039E9">
        <w:rPr>
          <w:b/>
          <w:lang w:val="en-CA"/>
        </w:rPr>
        <w:t xml:space="preserve"> and </w:t>
      </w:r>
      <m:oMath>
        <m:sSub>
          <m:sSubPr>
            <m:ctrlPr>
              <w:rPr>
                <w:rFonts w:ascii="Cambria Math" w:hAnsi="Cambria Math"/>
                <w:b/>
                <w:i/>
                <w:lang w:val="en-CA"/>
              </w:rPr>
            </m:ctrlPr>
          </m:sSubPr>
          <m:e>
            <m:r>
              <m:rPr>
                <m:sty m:val="bi"/>
              </m:rPr>
              <w:rPr>
                <w:rFonts w:ascii="Cambria Math" w:hAnsi="Cambria Math"/>
                <w:lang w:val="en-CA"/>
              </w:rPr>
              <m:t>G</m:t>
            </m:r>
          </m:e>
          <m:sub>
            <m:r>
              <m:rPr>
                <m:sty m:val="bi"/>
              </m:rPr>
              <w:rPr>
                <w:rFonts w:ascii="Cambria Math" w:hAnsi="Cambria Math"/>
                <w:lang w:val="en-CA"/>
              </w:rPr>
              <m:t>FP</m:t>
            </m:r>
          </m:sub>
        </m:sSub>
      </m:oMath>
      <w:r w:rsidRPr="00D039E9">
        <w:rPr>
          <w:lang w:val="en-CA"/>
        </w:rPr>
        <w:t xml:space="preserve"> comes</w:t>
      </w:r>
      <w:r w:rsidR="00BD2651" w:rsidRPr="00D039E9">
        <w:rPr>
          <w:lang w:val="en-CA"/>
        </w:rPr>
        <w:t>, as discussed above,</w:t>
      </w:r>
      <w:r w:rsidRPr="00D039E9">
        <w:rPr>
          <w:lang w:val="en-CA"/>
        </w:rPr>
        <w:t xml:space="preserve"> </w:t>
      </w:r>
      <w:r w:rsidR="009A3826" w:rsidRPr="00D039E9">
        <w:rPr>
          <w:lang w:val="en-CA"/>
        </w:rPr>
        <w:t>because a</w:t>
      </w:r>
      <w:r w:rsidR="009A3826" w:rsidRPr="00D039E9">
        <w:rPr>
          <w:bCs/>
          <w:lang w:val="en-CA" w:eastAsia="ja-JP"/>
        </w:rPr>
        <w:t xml:space="preserve">n extensive series of density measurements to determine </w:t>
      </w:r>
      <m:oMath>
        <m:sSub>
          <m:sSubPr>
            <m:ctrlPr>
              <w:rPr>
                <w:rFonts w:ascii="Cambria Math" w:hAnsi="Cambria Math"/>
                <w:bCs/>
                <w:i/>
                <w:lang w:val="en-CA" w:eastAsia="ja-JP"/>
              </w:rPr>
            </m:ctrlPr>
          </m:sSubPr>
          <m:e>
            <m:r>
              <w:rPr>
                <w:rFonts w:ascii="Cambria Math" w:hAnsi="Cambria Math"/>
                <w:lang w:val="en-CA" w:eastAsia="ja-JP"/>
              </w:rPr>
              <m:t>V</m:t>
            </m:r>
          </m:e>
          <m:sub>
            <m:r>
              <w:rPr>
                <w:rFonts w:ascii="Cambria Math" w:hAnsi="Cambria Math"/>
                <w:lang w:val="en-CA" w:eastAsia="ja-JP"/>
              </w:rPr>
              <m:t>W</m:t>
            </m:r>
          </m:sub>
        </m:sSub>
      </m:oMath>
      <w:r w:rsidR="009A3826" w:rsidRPr="00D039E9">
        <w:rPr>
          <w:bCs/>
          <w:lang w:val="en-CA" w:eastAsia="ja-JP"/>
        </w:rPr>
        <w:t xml:space="preserve"> and </w:t>
      </w:r>
      <m:oMath>
        <m:sSub>
          <m:sSubPr>
            <m:ctrlPr>
              <w:rPr>
                <w:rFonts w:ascii="Cambria Math" w:hAnsi="Cambria Math"/>
                <w:bCs/>
                <w:i/>
                <w:lang w:val="en-CA" w:eastAsia="ja-JP"/>
              </w:rPr>
            </m:ctrlPr>
          </m:sSubPr>
          <m:e>
            <m:r>
              <w:rPr>
                <w:rFonts w:ascii="Cambria Math" w:hAnsi="Cambria Math"/>
                <w:lang w:val="en-CA" w:eastAsia="ja-JP"/>
              </w:rPr>
              <m:t>V</m:t>
            </m:r>
          </m:e>
          <m:sub>
            <m:r>
              <w:rPr>
                <w:rFonts w:ascii="Cambria Math" w:hAnsi="Cambria Math"/>
                <w:lang w:val="en-CA" w:eastAsia="ja-JP"/>
              </w:rPr>
              <m:t>P</m:t>
            </m:r>
          </m:sub>
        </m:sSub>
      </m:oMath>
      <w:r w:rsidR="009A3826" w:rsidRPr="00D039E9">
        <w:rPr>
          <w:bCs/>
          <w:lang w:val="en-CA" w:eastAsia="ja-JP"/>
        </w:rPr>
        <w:t xml:space="preserve"> for Eq. (2) is not practical because of</w:t>
      </w:r>
      <w:r w:rsidRPr="00D039E9">
        <w:rPr>
          <w:lang w:val="en-CA"/>
        </w:rPr>
        <w:t xml:space="preserve"> the low solubility of the flavour molecules in aqueous solutions, much lower than the order of a few mg/ml required for the density meter. </w:t>
      </w:r>
      <w:r w:rsidR="009A3826" w:rsidRPr="00D039E9">
        <w:rPr>
          <w:lang w:val="en-CA"/>
        </w:rPr>
        <w:t xml:space="preserve">An </w:t>
      </w:r>
      <w:r w:rsidRPr="00D039E9">
        <w:rPr>
          <w:lang w:val="en-CA"/>
        </w:rPr>
        <w:t xml:space="preserve">alternative is to measure </w:t>
      </w:r>
      <m:oMath>
        <m:sSub>
          <m:sSubPr>
            <m:ctrlPr>
              <w:rPr>
                <w:rFonts w:ascii="Cambria Math" w:hAnsi="Cambria Math"/>
                <w:i/>
                <w:lang w:val="en-CA"/>
              </w:rPr>
            </m:ctrlPr>
          </m:sSubPr>
          <m:e>
            <m:r>
              <w:rPr>
                <w:rFonts w:ascii="Cambria Math" w:hAnsi="Cambria Math"/>
                <w:lang w:val="en-CA"/>
              </w:rPr>
              <m:t>V</m:t>
            </m:r>
          </m:e>
          <m:sub>
            <m:r>
              <w:rPr>
                <w:rFonts w:ascii="Cambria Math" w:hAnsi="Cambria Math"/>
                <w:lang w:val="en-CA"/>
              </w:rPr>
              <m:t>F</m:t>
            </m:r>
          </m:sub>
        </m:sSub>
      </m:oMath>
      <w:r w:rsidRPr="00D039E9">
        <w:rPr>
          <w:lang w:val="en-CA"/>
        </w:rPr>
        <w:t xml:space="preserve"> via the pressure dependence of solubility, </w:t>
      </w:r>
      <w:r w:rsidR="009A3826" w:rsidRPr="00D039E9">
        <w:rPr>
          <w:lang w:val="en-CA"/>
        </w:rPr>
        <w:t xml:space="preserve">but this </w:t>
      </w:r>
      <w:r w:rsidRPr="00D039E9">
        <w:rPr>
          <w:lang w:val="en-CA"/>
        </w:rPr>
        <w:t xml:space="preserve">requires high pressure measurements. </w:t>
      </w:r>
      <w:r w:rsidRPr="00D039E9">
        <w:rPr>
          <w:bCs/>
          <w:lang w:val="en-CA" w:eastAsia="ja-JP"/>
        </w:rPr>
        <w:t>If proteins in dilution are the system of interest, th</w:t>
      </w:r>
      <w:r w:rsidR="00EE1A92" w:rsidRPr="00D039E9">
        <w:rPr>
          <w:bCs/>
          <w:lang w:val="en-CA" w:eastAsia="ja-JP"/>
        </w:rPr>
        <w:t>en Eq. (2</w:t>
      </w:r>
      <w:r w:rsidRPr="00D039E9">
        <w:rPr>
          <w:bCs/>
          <w:lang w:val="en-CA" w:eastAsia="ja-JP"/>
        </w:rPr>
        <w:t>) can be simplified to yield</w:t>
      </w:r>
    </w:p>
    <w:p w14:paraId="069D98C5" w14:textId="7987B238" w:rsidR="003872DB" w:rsidRPr="00D039E9" w:rsidRDefault="000E5B3F" w:rsidP="003872DB">
      <w:pPr>
        <w:pStyle w:val="TAMainText"/>
        <w:ind w:firstLine="0"/>
        <w:rPr>
          <w:rFonts w:cs="Times"/>
          <w:lang w:val="en-CA"/>
        </w:rPr>
      </w:pPr>
      <m:oMath>
        <m:sSub>
          <m:sSubPr>
            <m:ctrlPr>
              <w:rPr>
                <w:rFonts w:ascii="Cambria Math" w:hAnsi="Cambria Math" w:cs="Times"/>
                <w:i/>
                <w:lang w:val="en-CA"/>
              </w:rPr>
            </m:ctrlPr>
          </m:sSubPr>
          <m:e>
            <m:r>
              <w:rPr>
                <w:rFonts w:ascii="Cambria Math" w:hAnsi="Cambria Math" w:cs="Times"/>
                <w:lang w:val="en-CA"/>
              </w:rPr>
              <m:t>V</m:t>
            </m:r>
          </m:e>
          <m:sub>
            <m:r>
              <w:rPr>
                <w:rFonts w:ascii="Cambria Math" w:hAnsi="Cambria Math" w:cs="Times"/>
                <w:lang w:val="en-CA"/>
              </w:rPr>
              <m:t>F</m:t>
            </m:r>
          </m:sub>
        </m:sSub>
        <m:r>
          <w:rPr>
            <w:rFonts w:ascii="Cambria Math" w:hAnsi="Cambria Math" w:cs="Times"/>
            <w:lang w:val="en-CA"/>
          </w:rPr>
          <m:t>=-</m:t>
        </m:r>
        <m:sSub>
          <m:sSubPr>
            <m:ctrlPr>
              <w:rPr>
                <w:rFonts w:ascii="Cambria Math" w:hAnsi="Cambria Math" w:cs="Times"/>
                <w:i/>
                <w:lang w:val="en-CA"/>
              </w:rPr>
            </m:ctrlPr>
          </m:sSubPr>
          <m:e>
            <m:r>
              <w:rPr>
                <w:rFonts w:ascii="Cambria Math" w:hAnsi="Cambria Math" w:cs="Times"/>
                <w:lang w:val="en-CA"/>
              </w:rPr>
              <m:t>G</m:t>
            </m:r>
          </m:e>
          <m:sub>
            <m:r>
              <w:rPr>
                <w:rFonts w:ascii="Cambria Math" w:hAnsi="Cambria Math" w:cs="Times"/>
                <w:lang w:val="en-CA"/>
              </w:rPr>
              <m:t>FW</m:t>
            </m:r>
          </m:sub>
        </m:sSub>
      </m:oMath>
      <w:r w:rsidR="003872DB" w:rsidRPr="00D039E9">
        <w:rPr>
          <w:rFonts w:cs="Times"/>
          <w:lang w:val="en-CA"/>
        </w:rPr>
        <w:tab/>
      </w:r>
      <w:r w:rsidR="003872DB" w:rsidRPr="00D039E9">
        <w:rPr>
          <w:rFonts w:cs="Times"/>
          <w:lang w:val="en-CA"/>
        </w:rPr>
        <w:tab/>
      </w:r>
      <w:r w:rsidR="003872DB" w:rsidRPr="00D039E9">
        <w:rPr>
          <w:rFonts w:cs="Times"/>
          <w:lang w:val="en-CA"/>
        </w:rPr>
        <w:tab/>
      </w:r>
      <w:r w:rsidR="003872DB" w:rsidRPr="00D039E9">
        <w:rPr>
          <w:rFonts w:cs="Times"/>
          <w:lang w:val="en-CA"/>
        </w:rPr>
        <w:tab/>
      </w:r>
      <w:r w:rsidR="003872DB" w:rsidRPr="00D039E9">
        <w:rPr>
          <w:rFonts w:cs="Times"/>
          <w:lang w:val="en-CA"/>
        </w:rPr>
        <w:tab/>
      </w:r>
      <w:r w:rsidR="003872DB" w:rsidRPr="00D039E9">
        <w:rPr>
          <w:rFonts w:cs="Times"/>
          <w:lang w:val="en-CA"/>
        </w:rPr>
        <w:tab/>
      </w:r>
      <w:r w:rsidR="003872DB" w:rsidRPr="00D039E9">
        <w:rPr>
          <w:rFonts w:cs="Times"/>
          <w:lang w:val="en-CA"/>
        </w:rPr>
        <w:tab/>
      </w:r>
      <w:r w:rsidR="003872DB" w:rsidRPr="00D039E9">
        <w:rPr>
          <w:rFonts w:cs="Times"/>
          <w:lang w:val="en-CA"/>
        </w:rPr>
        <w:tab/>
      </w:r>
      <w:r w:rsidR="003872DB" w:rsidRPr="00D039E9">
        <w:rPr>
          <w:rFonts w:cs="Times"/>
          <w:lang w:val="en-CA"/>
        </w:rPr>
        <w:tab/>
      </w:r>
      <w:r w:rsidR="003872DB" w:rsidRPr="00D039E9">
        <w:rPr>
          <w:rFonts w:cs="Times"/>
          <w:lang w:val="en-CA"/>
        </w:rPr>
        <w:tab/>
      </w:r>
      <w:r w:rsidR="003872DB" w:rsidRPr="00D039E9">
        <w:rPr>
          <w:rFonts w:cs="Times"/>
          <w:lang w:val="en-CA"/>
        </w:rPr>
        <w:tab/>
      </w:r>
      <w:r w:rsidR="00EE1A92" w:rsidRPr="00D039E9">
        <w:rPr>
          <w:rFonts w:cs="Times"/>
          <w:lang w:val="en-CA"/>
        </w:rPr>
        <w:t>(4</w:t>
      </w:r>
      <w:r w:rsidR="003872DB" w:rsidRPr="00D039E9">
        <w:rPr>
          <w:rFonts w:cs="Times"/>
          <w:lang w:val="en-CA"/>
        </w:rPr>
        <w:t>)</w:t>
      </w:r>
    </w:p>
    <w:p w14:paraId="327EB145" w14:textId="0B974ED8" w:rsidR="003872DB" w:rsidRPr="00D039E9" w:rsidRDefault="003872DB" w:rsidP="00AE65B4">
      <w:pPr>
        <w:pStyle w:val="TAMainText"/>
        <w:ind w:firstLine="0"/>
        <w:rPr>
          <w:rFonts w:cs="Times"/>
          <w:lang w:val="en-CA"/>
        </w:rPr>
      </w:pPr>
      <w:r w:rsidRPr="00D039E9">
        <w:rPr>
          <w:rFonts w:cs="Times"/>
          <w:lang w:val="en-CA"/>
        </w:rPr>
        <w:t xml:space="preserve">which is a much simpler expression with only the need for </w:t>
      </w:r>
      <w:r w:rsidR="0068499F" w:rsidRPr="00D039E9">
        <w:rPr>
          <w:rFonts w:cs="Times"/>
          <w:lang w:val="en-CA"/>
        </w:rPr>
        <w:t xml:space="preserve">estimating </w:t>
      </w:r>
      <m:oMath>
        <m:sSub>
          <m:sSubPr>
            <m:ctrlPr>
              <w:rPr>
                <w:rFonts w:ascii="Cambria Math" w:hAnsi="Cambria Math" w:cs="Times"/>
                <w:i/>
                <w:lang w:val="en-CA"/>
              </w:rPr>
            </m:ctrlPr>
          </m:sSubPr>
          <m:e>
            <m:r>
              <w:rPr>
                <w:rFonts w:ascii="Cambria Math" w:hAnsi="Cambria Math" w:cs="Times"/>
                <w:lang w:val="en-CA"/>
              </w:rPr>
              <m:t>V</m:t>
            </m:r>
          </m:e>
          <m:sub>
            <m:r>
              <w:rPr>
                <w:rFonts w:ascii="Cambria Math" w:hAnsi="Cambria Math" w:cs="Times"/>
                <w:lang w:val="en-CA"/>
              </w:rPr>
              <m:t>F</m:t>
            </m:r>
          </m:sub>
        </m:sSub>
      </m:oMath>
      <w:r w:rsidRPr="00D039E9">
        <w:rPr>
          <w:rFonts w:cs="Times"/>
          <w:lang w:val="en-CA"/>
        </w:rPr>
        <w:t xml:space="preserve"> to obtain</w:t>
      </w:r>
      <w:r w:rsidR="00DB5640" w:rsidRPr="00D039E9">
        <w:rPr>
          <w:rFonts w:cs="Times"/>
          <w:lang w:val="en-CA"/>
        </w:rPr>
        <w:t xml:space="preserve"> both</w:t>
      </w:r>
      <w:r w:rsidRPr="00D039E9">
        <w:rPr>
          <w:rFonts w:cs="Times"/>
          <w:lang w:val="en-CA"/>
        </w:rPr>
        <w:t xml:space="preserve"> </w:t>
      </w:r>
      <m:oMath>
        <m:sSub>
          <m:sSubPr>
            <m:ctrlPr>
              <w:rPr>
                <w:rFonts w:ascii="Cambria Math" w:hAnsi="Cambria Math" w:cs="Times"/>
                <w:i/>
                <w:lang w:val="en-CA"/>
              </w:rPr>
            </m:ctrlPr>
          </m:sSubPr>
          <m:e>
            <m:r>
              <w:rPr>
                <w:rFonts w:ascii="Cambria Math" w:hAnsi="Cambria Math" w:cs="Times"/>
                <w:lang w:val="en-CA"/>
              </w:rPr>
              <m:t>G</m:t>
            </m:r>
          </m:e>
          <m:sub>
            <m:r>
              <w:rPr>
                <w:rFonts w:ascii="Cambria Math" w:hAnsi="Cambria Math" w:cs="Times"/>
                <w:lang w:val="en-CA"/>
              </w:rPr>
              <m:t>FW</m:t>
            </m:r>
          </m:sub>
        </m:sSub>
      </m:oMath>
      <w:r w:rsidRPr="00D039E9">
        <w:rPr>
          <w:rFonts w:cs="Times"/>
          <w:lang w:val="en-CA"/>
        </w:rPr>
        <w:t xml:space="preserve"> and </w:t>
      </w:r>
      <m:oMath>
        <m:sSub>
          <m:sSubPr>
            <m:ctrlPr>
              <w:rPr>
                <w:rFonts w:ascii="Cambria Math" w:hAnsi="Cambria Math" w:cs="Times"/>
                <w:i/>
                <w:lang w:val="en-CA"/>
              </w:rPr>
            </m:ctrlPr>
          </m:sSubPr>
          <m:e>
            <m:r>
              <w:rPr>
                <w:rFonts w:ascii="Cambria Math" w:hAnsi="Cambria Math" w:cs="Times"/>
                <w:lang w:val="en-CA"/>
              </w:rPr>
              <m:t>G</m:t>
            </m:r>
          </m:e>
          <m:sub>
            <m:r>
              <w:rPr>
                <w:rFonts w:ascii="Cambria Math" w:hAnsi="Cambria Math" w:cs="Times"/>
                <w:lang w:val="en-CA"/>
              </w:rPr>
              <m:t>FP</m:t>
            </m:r>
          </m:sub>
        </m:sSub>
      </m:oMath>
      <w:r w:rsidRPr="00D039E9">
        <w:rPr>
          <w:rFonts w:cs="Times"/>
          <w:lang w:val="en-CA"/>
        </w:rPr>
        <w:t xml:space="preserve"> </w:t>
      </w:r>
      <w:r w:rsidR="00EE1A92" w:rsidRPr="00D039E9">
        <w:rPr>
          <w:rFonts w:cs="Times"/>
          <w:lang w:val="en-CA"/>
        </w:rPr>
        <w:t>from the combination of Eqs. (3) and (4</w:t>
      </w:r>
      <w:r w:rsidRPr="00D039E9">
        <w:rPr>
          <w:rFonts w:cs="Times"/>
          <w:lang w:val="en-CA"/>
        </w:rPr>
        <w:t xml:space="preserve">). </w:t>
      </w:r>
    </w:p>
    <w:p w14:paraId="4163791C" w14:textId="77777777" w:rsidR="003872DB" w:rsidRPr="00D039E9" w:rsidRDefault="003872DB" w:rsidP="003872DB">
      <w:pPr>
        <w:pStyle w:val="TAMainText"/>
        <w:ind w:firstLine="0"/>
        <w:rPr>
          <w:rFonts w:cs="Times"/>
          <w:lang w:val="en-CA"/>
        </w:rPr>
      </w:pPr>
    </w:p>
    <w:p w14:paraId="202A073B" w14:textId="17787347" w:rsidR="003872DB" w:rsidRPr="00D039E9" w:rsidRDefault="003872DB" w:rsidP="007938E0">
      <w:pPr>
        <w:pStyle w:val="TAMainText"/>
        <w:rPr>
          <w:lang w:val="en-GB"/>
        </w:rPr>
      </w:pPr>
      <w:r w:rsidRPr="00D039E9">
        <w:rPr>
          <w:b/>
          <w:lang w:val="en-CA"/>
        </w:rPr>
        <w:t xml:space="preserve">Practical approach for the independent determination of </w:t>
      </w:r>
      <m:oMath>
        <m:sSub>
          <m:sSubPr>
            <m:ctrlPr>
              <w:rPr>
                <w:rFonts w:ascii="Cambria Math" w:hAnsi="Cambria Math"/>
                <w:b/>
                <w:i/>
                <w:lang w:val="en-CA"/>
              </w:rPr>
            </m:ctrlPr>
          </m:sSubPr>
          <m:e>
            <m:r>
              <m:rPr>
                <m:sty m:val="bi"/>
              </m:rPr>
              <w:rPr>
                <w:rFonts w:ascii="Cambria Math" w:hAnsi="Cambria Math"/>
                <w:lang w:val="en-CA"/>
              </w:rPr>
              <m:t>G</m:t>
            </m:r>
          </m:e>
          <m:sub>
            <m:r>
              <m:rPr>
                <m:sty m:val="bi"/>
              </m:rPr>
              <w:rPr>
                <w:rFonts w:ascii="Cambria Math" w:hAnsi="Cambria Math"/>
                <w:lang w:val="en-CA"/>
              </w:rPr>
              <m:t>FW</m:t>
            </m:r>
          </m:sub>
        </m:sSub>
      </m:oMath>
      <w:r w:rsidRPr="00D039E9">
        <w:rPr>
          <w:b/>
          <w:lang w:val="en-CA"/>
        </w:rPr>
        <w:t xml:space="preserve"> and </w:t>
      </w:r>
      <m:oMath>
        <m:sSub>
          <m:sSubPr>
            <m:ctrlPr>
              <w:rPr>
                <w:rFonts w:ascii="Cambria Math" w:hAnsi="Cambria Math"/>
                <w:b/>
                <w:i/>
                <w:lang w:val="en-CA"/>
              </w:rPr>
            </m:ctrlPr>
          </m:sSubPr>
          <m:e>
            <m:r>
              <m:rPr>
                <m:sty m:val="bi"/>
              </m:rPr>
              <w:rPr>
                <w:rFonts w:ascii="Cambria Math" w:hAnsi="Cambria Math"/>
                <w:lang w:val="en-CA"/>
              </w:rPr>
              <m:t>G</m:t>
            </m:r>
          </m:e>
          <m:sub>
            <m:r>
              <m:rPr>
                <m:sty m:val="bi"/>
              </m:rPr>
              <w:rPr>
                <w:rFonts w:ascii="Cambria Math" w:hAnsi="Cambria Math"/>
                <w:lang w:val="en-CA"/>
              </w:rPr>
              <m:t>FP</m:t>
            </m:r>
          </m:sub>
        </m:sSub>
      </m:oMath>
      <w:r w:rsidRPr="00D039E9">
        <w:rPr>
          <w:lang w:val="en-CA"/>
        </w:rPr>
        <w:t xml:space="preserve"> should employ empirical formulae</w:t>
      </w:r>
      <w:r w:rsidR="00D61252" w:rsidRPr="00D039E9">
        <w:rPr>
          <w:lang w:val="en-CA"/>
        </w:rPr>
        <w:fldChar w:fldCharType="begin" w:fldLock="1"/>
      </w:r>
      <w:r w:rsidR="00C65F5C" w:rsidRPr="00D039E9">
        <w:rPr>
          <w:lang w:val="en-CA"/>
        </w:rPr>
        <w:instrText>ADDIN CSL_CITATION { "citationItems" : [ { "id" : "ITEM-1", "itemData" : { "author" : [ { "dropping-particle" : "", "family" : "Lepori", "given" : "Luciano", "non-dropping-particle" : "", "parse-names" : false, "suffix" : "" }, { "dropping-particle" : "", "family" : "Gianni", "given" : "Paolo", "non-dropping-particle" : "", "parse-names" : false, "suffix" : "" } ], "container-title" : "Journal of Solution Chemistry", "id" : "ITEM-1", "issue" : "5", "issued" : { "date-parts" : [ [ "2000" ] ] }, "page" : "405-447", "title" : "Partial Molar Volumes of Ionic and Nonionic Organic Solutes in Water : A Simple Additivity Scheme Based on the Intrinsic Volume Approach", "type" : "article-journal", "volume" : "29" }, "uris" : [ "http://www.mendeley.com/documents/?uuid=4daacc38-447a-4d6f-80d3-7b0c3714fdc7" ] } ], "mendeley" : { "formattedCitation" : "&lt;sup&gt;63&lt;/sup&gt;", "plainTextFormattedCitation" : "63", "previouslyFormattedCitation" : "&lt;sup&gt;63&lt;/sup&gt;" }, "properties" : { "noteIndex" : 0 }, "schema" : "https://github.com/citation-style-language/schema/raw/master/csl-citation.json" }</w:instrText>
      </w:r>
      <w:r w:rsidR="00D61252" w:rsidRPr="00D039E9">
        <w:rPr>
          <w:lang w:val="en-CA"/>
        </w:rPr>
        <w:fldChar w:fldCharType="separate"/>
      </w:r>
      <w:r w:rsidR="00BB3004" w:rsidRPr="00D039E9">
        <w:rPr>
          <w:noProof/>
          <w:vertAlign w:val="superscript"/>
          <w:lang w:val="en-CA"/>
        </w:rPr>
        <w:t>63</w:t>
      </w:r>
      <w:r w:rsidR="00D61252" w:rsidRPr="00D039E9">
        <w:rPr>
          <w:lang w:val="en-CA"/>
        </w:rPr>
        <w:fldChar w:fldCharType="end"/>
      </w:r>
      <w:r w:rsidRPr="00D039E9">
        <w:rPr>
          <w:lang w:val="en-CA"/>
        </w:rPr>
        <w:t xml:space="preserve"> to estimate </w:t>
      </w:r>
      <m:oMath>
        <m:sSub>
          <m:sSubPr>
            <m:ctrlPr>
              <w:rPr>
                <w:rFonts w:ascii="Cambria Math" w:hAnsi="Cambria Math"/>
                <w:i/>
                <w:lang w:val="en-CA"/>
              </w:rPr>
            </m:ctrlPr>
          </m:sSubPr>
          <m:e>
            <m:r>
              <w:rPr>
                <w:rFonts w:ascii="Cambria Math" w:hAnsi="Cambria Math"/>
                <w:lang w:val="en-CA"/>
              </w:rPr>
              <m:t>V</m:t>
            </m:r>
          </m:e>
          <m:sub>
            <m:r>
              <w:rPr>
                <w:rFonts w:ascii="Cambria Math" w:hAnsi="Cambria Math"/>
                <w:lang w:val="en-CA"/>
              </w:rPr>
              <m:t>F</m:t>
            </m:r>
          </m:sub>
        </m:sSub>
      </m:oMath>
      <w:r w:rsidR="00D61252" w:rsidRPr="00D039E9">
        <w:rPr>
          <w:lang w:val="en-CA"/>
        </w:rPr>
        <w:t xml:space="preserve">, because of the above-mentioned difficulty in its direct measurement. </w:t>
      </w:r>
      <w:r w:rsidRPr="00D039E9">
        <w:rPr>
          <w:lang w:val="en-CA"/>
        </w:rPr>
        <w:t xml:space="preserve">In most cases a rough estimation of </w:t>
      </w:r>
      <m:oMath>
        <m:sSub>
          <m:sSubPr>
            <m:ctrlPr>
              <w:rPr>
                <w:rFonts w:ascii="Cambria Math" w:hAnsi="Cambria Math"/>
                <w:i/>
                <w:lang w:val="en-CA"/>
              </w:rPr>
            </m:ctrlPr>
          </m:sSubPr>
          <m:e>
            <m:r>
              <w:rPr>
                <w:rFonts w:ascii="Cambria Math" w:hAnsi="Cambria Math"/>
                <w:lang w:val="en-CA"/>
              </w:rPr>
              <m:t>V</m:t>
            </m:r>
          </m:e>
          <m:sub>
            <m:r>
              <w:rPr>
                <w:rFonts w:ascii="Cambria Math" w:hAnsi="Cambria Math"/>
                <w:lang w:val="en-CA"/>
              </w:rPr>
              <m:t>F</m:t>
            </m:r>
          </m:sub>
        </m:sSub>
      </m:oMath>
      <w:r w:rsidRPr="00D039E9">
        <w:rPr>
          <w:lang w:val="en-CA"/>
        </w:rPr>
        <w:t xml:space="preserve"> is good enough</w:t>
      </w:r>
      <w:r w:rsidR="009A3826" w:rsidRPr="00D039E9">
        <w:rPr>
          <w:lang w:val="en-CA"/>
        </w:rPr>
        <w:t xml:space="preserve"> (see below)</w:t>
      </w:r>
      <w:r w:rsidRPr="00D039E9">
        <w:rPr>
          <w:lang w:val="en-CA"/>
        </w:rPr>
        <w:t xml:space="preserve">, because </w:t>
      </w:r>
      <m:oMath>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FW</m:t>
            </m:r>
          </m:sub>
        </m:sSub>
      </m:oMath>
      <w:r w:rsidRPr="00D039E9">
        <w:rPr>
          <w:lang w:val="en-CA"/>
        </w:rPr>
        <w:t xml:space="preserve"> is often much smaller in magnitude than </w:t>
      </w:r>
      <m:oMath>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FP</m:t>
            </m:r>
          </m:sub>
        </m:sSub>
      </m:oMath>
      <w:r w:rsidRPr="00D039E9">
        <w:rPr>
          <w:lang w:val="en-CA"/>
        </w:rPr>
        <w:t>.</w:t>
      </w:r>
    </w:p>
    <w:p w14:paraId="7EEBB11C" w14:textId="77777777" w:rsidR="007938E0" w:rsidRPr="00D039E9" w:rsidRDefault="007938E0" w:rsidP="003872DB">
      <w:pPr>
        <w:pStyle w:val="TAMainText"/>
        <w:ind w:firstLine="0"/>
        <w:rPr>
          <w:rFonts w:cs="Times"/>
          <w:b/>
          <w:lang w:val="en-CA"/>
        </w:rPr>
      </w:pPr>
    </w:p>
    <w:p w14:paraId="07643708" w14:textId="1CA6D22B" w:rsidR="003872DB" w:rsidRPr="00D039E9" w:rsidRDefault="00BD2651" w:rsidP="007938E0">
      <w:pPr>
        <w:pStyle w:val="TAMainText"/>
        <w:rPr>
          <w:lang w:val="en-CA"/>
        </w:rPr>
      </w:pPr>
      <w:r w:rsidRPr="00D039E9">
        <w:rPr>
          <w:b/>
          <w:lang w:val="en-CA"/>
        </w:rPr>
        <w:t>The app-based approach is</w:t>
      </w:r>
      <w:r w:rsidRPr="00D039E9">
        <w:rPr>
          <w:lang w:val="en-CA"/>
        </w:rPr>
        <w:t xml:space="preserve"> to allow the user to input suitable vapour pressure versus protein concentration data,</w:t>
      </w:r>
      <w:r w:rsidR="00BB3004" w:rsidRPr="00D039E9">
        <w:rPr>
          <w:rFonts w:cs="Times"/>
          <w:lang w:val="en-CA"/>
        </w:rPr>
        <w:t xml:space="preserve"> </w:t>
      </w:r>
      <w:r w:rsidRPr="00D039E9">
        <w:rPr>
          <w:lang w:val="en-CA"/>
        </w:rPr>
        <w:t xml:space="preserve">provide an approximate value of </w:t>
      </w:r>
      <m:oMath>
        <m:sSub>
          <m:sSubPr>
            <m:ctrlPr>
              <w:rPr>
                <w:rFonts w:ascii="Cambria Math" w:hAnsi="Cambria Math"/>
                <w:i/>
                <w:lang w:val="en-CA"/>
              </w:rPr>
            </m:ctrlPr>
          </m:sSubPr>
          <m:e>
            <m:r>
              <w:rPr>
                <w:rFonts w:ascii="Cambria Math" w:hAnsi="Cambria Math"/>
                <w:lang w:val="en-CA"/>
              </w:rPr>
              <m:t>V</m:t>
            </m:r>
          </m:e>
          <m:sub>
            <m:r>
              <w:rPr>
                <w:rFonts w:ascii="Cambria Math" w:hAnsi="Cambria Math"/>
                <w:lang w:val="en-CA"/>
              </w:rPr>
              <m:t>F</m:t>
            </m:r>
          </m:sub>
        </m:sSub>
      </m:oMath>
      <w:r w:rsidRPr="00D039E9">
        <w:rPr>
          <w:lang w:val="en-CA"/>
        </w:rPr>
        <w:t>,</w:t>
      </w:r>
      <w:r w:rsidR="00D61252" w:rsidRPr="00D039E9">
        <w:rPr>
          <w:lang w:val="en-CA"/>
        </w:rPr>
        <w:fldChar w:fldCharType="begin" w:fldLock="1"/>
      </w:r>
      <w:r w:rsidR="00C65F5C" w:rsidRPr="00D039E9">
        <w:rPr>
          <w:lang w:val="en-CA"/>
        </w:rPr>
        <w:instrText>ADDIN CSL_CITATION { "citationItems" : [ { "id" : "ITEM-1", "itemData" : { "author" : [ { "dropping-particle" : "", "family" : "Lepori", "given" : "Luciano", "non-dropping-particle" : "", "parse-names" : false, "suffix" : "" }, { "dropping-particle" : "", "family" : "Gianni", "given" : "Paolo", "non-dropping-particle" : "", "parse-names" : false, "suffix" : "" } ], "container-title" : "Journal of Solution Chemistry", "id" : "ITEM-1", "issue" : "5", "issued" : { "date-parts" : [ [ "2000" ] ] }, "page" : "405-447", "title" : "Partial Molar Volumes of Ionic and Nonionic Organic Solutes in Water : A Simple Additivity Scheme Based on the Intrinsic Volume Approach", "type" : "article-journal", "volume" : "29" }, "uris" : [ "http://www.mendeley.com/documents/?uuid=4daacc38-447a-4d6f-80d3-7b0c3714fdc7" ] } ], "mendeley" : { "formattedCitation" : "&lt;sup&gt;63&lt;/sup&gt;", "plainTextFormattedCitation" : "63", "previouslyFormattedCitation" : "&lt;sup&gt;63&lt;/sup&gt;" }, "properties" : { "noteIndex" : 0 }, "schema" : "https://github.com/citation-style-language/schema/raw/master/csl-citation.json" }</w:instrText>
      </w:r>
      <w:r w:rsidR="00D61252" w:rsidRPr="00D039E9">
        <w:rPr>
          <w:lang w:val="en-CA"/>
        </w:rPr>
        <w:fldChar w:fldCharType="separate"/>
      </w:r>
      <w:r w:rsidR="00BB3004" w:rsidRPr="00D039E9">
        <w:rPr>
          <w:noProof/>
          <w:vertAlign w:val="superscript"/>
          <w:lang w:val="en-CA"/>
        </w:rPr>
        <w:t>63</w:t>
      </w:r>
      <w:r w:rsidR="00D61252" w:rsidRPr="00D039E9">
        <w:rPr>
          <w:lang w:val="en-CA"/>
        </w:rPr>
        <w:fldChar w:fldCharType="end"/>
      </w:r>
      <w:r w:rsidRPr="00D039E9">
        <w:rPr>
          <w:lang w:val="en-CA"/>
        </w:rPr>
        <w:t xml:space="preserve"> and for the inputs and fitted curves to be plotted and calculated KBIs to be provided automatically</w:t>
      </w:r>
      <w:r w:rsidR="005C7842" w:rsidRPr="00D039E9">
        <w:rPr>
          <w:lang w:val="en-CA"/>
        </w:rPr>
        <w:t>, using the analytical derivative of the fitted data</w:t>
      </w:r>
      <w:r w:rsidRPr="00D039E9">
        <w:rPr>
          <w:lang w:val="en-CA"/>
        </w:rPr>
        <w:t>.</w:t>
      </w:r>
      <w:r w:rsidR="009A3826" w:rsidRPr="00D039E9">
        <w:rPr>
          <w:lang w:val="en-CA"/>
        </w:rPr>
        <w:t xml:space="preserve"> </w:t>
      </w:r>
      <w:r w:rsidR="00EB2066" w:rsidRPr="00D039E9">
        <w:rPr>
          <w:lang w:val="en-CA"/>
        </w:rPr>
        <w:t xml:space="preserve">The app also contains the experimental data gathered from the literature to illustrate the process of data analysis. </w:t>
      </w:r>
      <w:r w:rsidR="009A3826" w:rsidRPr="00D039E9">
        <w:rPr>
          <w:lang w:val="en-CA"/>
        </w:rPr>
        <w:t xml:space="preserve">The assertion that high accuracy of </w:t>
      </w:r>
      <m:oMath>
        <m:sSub>
          <m:sSubPr>
            <m:ctrlPr>
              <w:rPr>
                <w:rFonts w:ascii="Cambria Math" w:hAnsi="Cambria Math"/>
                <w:i/>
                <w:lang w:val="en-CA"/>
              </w:rPr>
            </m:ctrlPr>
          </m:sSubPr>
          <m:e>
            <m:r>
              <w:rPr>
                <w:rFonts w:ascii="Cambria Math" w:hAnsi="Cambria Math" w:cs="Cambria Math"/>
                <w:lang w:val="en-CA"/>
              </w:rPr>
              <m:t>V</m:t>
            </m:r>
          </m:e>
          <m:sub>
            <m:r>
              <w:rPr>
                <w:rFonts w:ascii="Cambria Math" w:hAnsi="Cambria Math"/>
                <w:lang w:val="en-CA"/>
              </w:rPr>
              <m:t>F</m:t>
            </m:r>
          </m:sub>
        </m:sSub>
      </m:oMath>
      <w:r w:rsidR="009A3826" w:rsidRPr="00D039E9">
        <w:rPr>
          <w:lang w:val="en-CA"/>
        </w:rPr>
        <w:t xml:space="preserve"> is not required can be tested by adjusting that parameter within reasonable bounds and seeing the effect on the calculated values of </w:t>
      </w:r>
      <m:oMath>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FP</m:t>
            </m:r>
          </m:sub>
        </m:sSub>
      </m:oMath>
      <w:r w:rsidR="009A3826" w:rsidRPr="00D039E9">
        <w:rPr>
          <w:lang w:val="en-CA"/>
        </w:rPr>
        <w:t>.</w:t>
      </w:r>
      <w:r w:rsidRPr="00D039E9">
        <w:rPr>
          <w:lang w:val="en-CA"/>
        </w:rPr>
        <w:t xml:space="preserve"> It is especially important that the app is open-source with the (Javascript) code readily examined, challenged and, perhaps, impro</w:t>
      </w:r>
      <w:r w:rsidR="008A307F" w:rsidRPr="00D039E9">
        <w:rPr>
          <w:lang w:val="en-CA"/>
        </w:rPr>
        <w:t>ved by the user community. Fig</w:t>
      </w:r>
      <w:r w:rsidR="00C56D61" w:rsidRPr="00D039E9">
        <w:rPr>
          <w:lang w:val="en-CA"/>
        </w:rPr>
        <w:t>ure</w:t>
      </w:r>
      <w:r w:rsidR="008A307F" w:rsidRPr="00D039E9">
        <w:rPr>
          <w:lang w:val="en-CA"/>
        </w:rPr>
        <w:t xml:space="preserve"> 2</w:t>
      </w:r>
      <w:r w:rsidRPr="00D039E9">
        <w:rPr>
          <w:lang w:val="en-CA"/>
        </w:rPr>
        <w:t xml:space="preserve"> shows a screenshot from one example.</w:t>
      </w:r>
      <w:r w:rsidR="00686C8D" w:rsidRPr="00D039E9">
        <w:rPr>
          <w:lang w:val="en-CA"/>
        </w:rPr>
        <w:t xml:space="preserve"> All three flavour apps shown here are from the same URL: </w:t>
      </w:r>
      <w:hyperlink r:id="rId9" w:history="1">
        <w:r w:rsidR="00686C8D" w:rsidRPr="00D039E9">
          <w:rPr>
            <w:rStyle w:val="Hyperlink"/>
            <w:lang w:val="en-CA"/>
          </w:rPr>
          <w:t>http://www.stevenabbott.co.uk/practical-solubility/kb-flavours.php</w:t>
        </w:r>
      </w:hyperlink>
      <w:r w:rsidR="00686C8D" w:rsidRPr="00D039E9">
        <w:rPr>
          <w:lang w:val="en-CA"/>
        </w:rPr>
        <w:t xml:space="preserve">. The apps work on phones, tablets and PCs, are safe for corporate environments. The code is fully accessible and is licensed under Creative Commons. Criticisms and suggestions for improvement are welcome. </w:t>
      </w:r>
      <w:r w:rsidR="008A307F" w:rsidRPr="00D039E9">
        <w:rPr>
          <w:lang w:val="en-CA"/>
        </w:rPr>
        <w:t xml:space="preserve"> An app for estimating </w:t>
      </w:r>
      <m:oMath>
        <m:sSub>
          <m:sSubPr>
            <m:ctrlPr>
              <w:rPr>
                <w:rFonts w:ascii="Cambria Math" w:hAnsi="Cambria Math"/>
                <w:i/>
                <w:lang w:val="en-CA"/>
              </w:rPr>
            </m:ctrlPr>
          </m:sSubPr>
          <m:e>
            <m:r>
              <w:rPr>
                <w:rFonts w:ascii="Cambria Math" w:hAnsi="Cambria Math"/>
                <w:lang w:val="en-CA"/>
              </w:rPr>
              <m:t>V</m:t>
            </m:r>
          </m:e>
          <m:sub>
            <m:r>
              <w:rPr>
                <w:rFonts w:ascii="Cambria Math" w:hAnsi="Cambria Math"/>
                <w:lang w:val="en-CA"/>
              </w:rPr>
              <m:t>F</m:t>
            </m:r>
          </m:sub>
        </m:sSub>
      </m:oMath>
      <w:r w:rsidR="00D61252" w:rsidRPr="00D039E9">
        <w:rPr>
          <w:lang w:val="en-CA"/>
        </w:rPr>
        <w:fldChar w:fldCharType="begin" w:fldLock="1"/>
      </w:r>
      <w:r w:rsidR="00C65F5C" w:rsidRPr="00D039E9">
        <w:rPr>
          <w:lang w:val="en-CA"/>
        </w:rPr>
        <w:instrText>ADDIN CSL_CITATION { "citationItems" : [ { "id" : "ITEM-1", "itemData" : { "author" : [ { "dropping-particle" : "", "family" : "Lepori", "given" : "Luciano", "non-dropping-particle" : "", "parse-names" : false, "suffix" : "" }, { "dropping-particle" : "", "family" : "Gianni", "given" : "Paolo", "non-dropping-particle" : "", "parse-names" : false, "suffix" : "" } ], "container-title" : "Journal of Solution Chemistry", "id" : "ITEM-1", "issue" : "5", "issued" : { "date-parts" : [ [ "2000" ] ] }, "page" : "405-447", "title" : "Partial Molar Volumes of Ionic and Nonionic Organic Solutes in Water : A Simple Additivity Scheme Based on the Intrinsic Volume Approach", "type" : "article-journal", "volume" : "29" }, "uris" : [ "http://www.mendeley.com/documents/?uuid=4daacc38-447a-4d6f-80d3-7b0c3714fdc7" ] } ], "mendeley" : { "formattedCitation" : "&lt;sup&gt;63&lt;/sup&gt;", "plainTextFormattedCitation" : "63", "previouslyFormattedCitation" : "&lt;sup&gt;63&lt;/sup&gt;" }, "properties" : { "noteIndex" : 0 }, "schema" : "https://github.com/citation-style-language/schema/raw/master/csl-citation.json" }</w:instrText>
      </w:r>
      <w:r w:rsidR="00D61252" w:rsidRPr="00D039E9">
        <w:rPr>
          <w:lang w:val="en-CA"/>
        </w:rPr>
        <w:fldChar w:fldCharType="separate"/>
      </w:r>
      <w:r w:rsidR="00BB3004" w:rsidRPr="00D039E9">
        <w:rPr>
          <w:noProof/>
          <w:vertAlign w:val="superscript"/>
          <w:lang w:val="en-CA"/>
        </w:rPr>
        <w:t>63</w:t>
      </w:r>
      <w:r w:rsidR="00D61252" w:rsidRPr="00D039E9">
        <w:rPr>
          <w:lang w:val="en-CA"/>
        </w:rPr>
        <w:fldChar w:fldCharType="end"/>
      </w:r>
      <w:r w:rsidR="00D61252" w:rsidRPr="00D039E9">
        <w:rPr>
          <w:lang w:val="en-CA"/>
        </w:rPr>
        <w:t xml:space="preserve"> </w:t>
      </w:r>
      <w:r w:rsidR="00DB5640" w:rsidRPr="00D039E9">
        <w:rPr>
          <w:lang w:val="en-CA"/>
        </w:rPr>
        <w:t>is also available</w:t>
      </w:r>
      <w:r w:rsidR="00686C8D" w:rsidRPr="00D039E9">
        <w:rPr>
          <w:lang w:val="en-CA"/>
        </w:rPr>
        <w:t xml:space="preserve"> on the same website</w:t>
      </w:r>
      <w:r w:rsidR="00DB5640" w:rsidRPr="00D039E9">
        <w:rPr>
          <w:lang w:val="en-CA"/>
        </w:rPr>
        <w:t>.</w:t>
      </w:r>
    </w:p>
    <w:p w14:paraId="6B75A2E8" w14:textId="0CEC1578" w:rsidR="007938E0" w:rsidRPr="00D039E9" w:rsidRDefault="007938E0" w:rsidP="003872DB">
      <w:pPr>
        <w:pStyle w:val="TAMainText"/>
        <w:ind w:firstLine="0"/>
        <w:rPr>
          <w:rFonts w:cs="Times"/>
          <w:b/>
          <w:lang w:val="en-CA"/>
        </w:rPr>
      </w:pPr>
    </w:p>
    <w:p w14:paraId="231D94AD" w14:textId="4369795E" w:rsidR="00C007CB" w:rsidRPr="00D039E9" w:rsidRDefault="00115DEF" w:rsidP="003872DB">
      <w:pPr>
        <w:pStyle w:val="TAMainText"/>
        <w:ind w:firstLine="0"/>
        <w:rPr>
          <w:rFonts w:cs="Times"/>
          <w:lang w:val="en-CA"/>
        </w:rPr>
      </w:pPr>
      <w:r w:rsidRPr="00D039E9">
        <w:rPr>
          <w:rFonts w:cs="Times"/>
          <w:lang w:val="en-CA"/>
        </w:rPr>
        <w:t xml:space="preserve">It is common to show </w:t>
      </w:r>
      <m:oMath>
        <m:sSub>
          <m:sSubPr>
            <m:ctrlPr>
              <w:rPr>
                <w:rFonts w:ascii="Cambria Math" w:hAnsi="Cambria Math" w:cs="Times"/>
                <w:i/>
                <w:lang w:val="en-CA"/>
              </w:rPr>
            </m:ctrlPr>
          </m:sSubPr>
          <m:e>
            <m:r>
              <w:rPr>
                <w:rFonts w:ascii="Cambria Math" w:hAnsi="Cambria Math" w:cs="Times"/>
                <w:lang w:val="en-CA"/>
              </w:rPr>
              <m:t>G</m:t>
            </m:r>
          </m:e>
          <m:sub>
            <m:r>
              <w:rPr>
                <w:rFonts w:ascii="Cambria Math" w:hAnsi="Cambria Math" w:cs="Times"/>
                <w:lang w:val="en-CA"/>
              </w:rPr>
              <m:t>ij</m:t>
            </m:r>
          </m:sub>
        </m:sSub>
      </m:oMath>
      <w:r w:rsidRPr="00D039E9">
        <w:rPr>
          <w:rFonts w:cs="Times"/>
          <w:lang w:val="en-CA"/>
        </w:rPr>
        <w:t xml:space="preserve"> </w:t>
      </w:r>
      <w:r w:rsidR="00C007CB" w:rsidRPr="00D039E9">
        <w:rPr>
          <w:rFonts w:cs="Times"/>
          <w:lang w:val="en-CA"/>
        </w:rPr>
        <w:t>values in units of cc/mol. The app uses l/mol because the values are so large</w:t>
      </w:r>
      <w:r w:rsidR="00B643FD" w:rsidRPr="00D039E9">
        <w:rPr>
          <w:rFonts w:cs="Times"/>
          <w:lang w:val="en-CA"/>
        </w:rPr>
        <w:t xml:space="preserve"> </w:t>
      </w:r>
      <w:r w:rsidR="00D61252" w:rsidRPr="00D039E9">
        <w:rPr>
          <w:rFonts w:cs="Times"/>
          <w:lang w:val="en-CA"/>
        </w:rPr>
        <w:t>when expressed in cm</w:t>
      </w:r>
      <w:r w:rsidR="00D61252" w:rsidRPr="00D039E9">
        <w:rPr>
          <w:rFonts w:cs="Times"/>
          <w:vertAlign w:val="superscript"/>
          <w:lang w:val="en-CA"/>
        </w:rPr>
        <w:t>3</w:t>
      </w:r>
      <w:r w:rsidR="00D61252" w:rsidRPr="00D039E9">
        <w:rPr>
          <w:rFonts w:cs="Times"/>
          <w:lang w:val="en-CA"/>
        </w:rPr>
        <w:t xml:space="preserve"> mol</w:t>
      </w:r>
      <w:r w:rsidR="00D61252" w:rsidRPr="00D039E9">
        <w:rPr>
          <w:rFonts w:cs="Times"/>
          <w:vertAlign w:val="superscript"/>
          <w:lang w:val="en-CA"/>
        </w:rPr>
        <w:t>-1</w:t>
      </w:r>
      <w:r w:rsidR="00D61252" w:rsidRPr="00D039E9">
        <w:rPr>
          <w:rFonts w:cs="Times"/>
          <w:lang w:val="en-CA"/>
        </w:rPr>
        <w:t>.</w:t>
      </w:r>
      <w:r w:rsidR="00C007CB" w:rsidRPr="00D039E9">
        <w:rPr>
          <w:rFonts w:cs="Times"/>
          <w:lang w:val="en-CA"/>
        </w:rPr>
        <w:t xml:space="preserve"> It is instructive to get a feel for what this means at the molecular level. It is possible t</w:t>
      </w:r>
      <w:r w:rsidRPr="00D039E9">
        <w:rPr>
          <w:rFonts w:cs="Times"/>
          <w:lang w:val="en-CA"/>
        </w:rPr>
        <w:t xml:space="preserve">o calculate an “excess number” </w:t>
      </w:r>
      <m:oMath>
        <m:sSub>
          <m:sSubPr>
            <m:ctrlPr>
              <w:rPr>
                <w:rFonts w:ascii="Cambria Math" w:hAnsi="Cambria Math" w:cs="Times"/>
                <w:i/>
                <w:lang w:val="en-CA"/>
              </w:rPr>
            </m:ctrlPr>
          </m:sSubPr>
          <m:e>
            <m:r>
              <w:rPr>
                <w:rFonts w:ascii="Cambria Math" w:hAnsi="Cambria Math" w:cs="Times"/>
                <w:lang w:val="en-CA"/>
              </w:rPr>
              <m:t>N</m:t>
            </m:r>
          </m:e>
          <m:sub>
            <m:r>
              <w:rPr>
                <w:rFonts w:ascii="Cambria Math" w:hAnsi="Cambria Math" w:cs="Times"/>
                <w:lang w:val="en-CA"/>
              </w:rPr>
              <m:t>PF</m:t>
            </m:r>
          </m:sub>
        </m:sSub>
        <m:r>
          <w:rPr>
            <w:rFonts w:ascii="Cambria Math" w:hAnsi="Cambria Math" w:cs="Times"/>
            <w:lang w:val="en-CA"/>
          </w:rPr>
          <m:t>=</m:t>
        </m:r>
        <m:sSub>
          <m:sSubPr>
            <m:ctrlPr>
              <w:rPr>
                <w:rFonts w:ascii="Cambria Math" w:hAnsi="Cambria Math" w:cs="Times"/>
                <w:i/>
                <w:lang w:val="en-CA"/>
              </w:rPr>
            </m:ctrlPr>
          </m:sSubPr>
          <m:e>
            <m:r>
              <w:rPr>
                <w:rFonts w:ascii="Cambria Math" w:hAnsi="Cambria Math" w:cs="Times"/>
                <w:lang w:val="en-CA"/>
              </w:rPr>
              <m:t>c</m:t>
            </m:r>
          </m:e>
          <m:sub>
            <m:r>
              <w:rPr>
                <w:rFonts w:ascii="Cambria Math" w:hAnsi="Cambria Math" w:cs="Times"/>
                <w:lang w:val="en-CA"/>
              </w:rPr>
              <m:t>F</m:t>
            </m:r>
          </m:sub>
        </m:sSub>
        <m:sSub>
          <m:sSubPr>
            <m:ctrlPr>
              <w:rPr>
                <w:rFonts w:ascii="Cambria Math" w:hAnsi="Cambria Math" w:cs="Times"/>
                <w:i/>
                <w:lang w:val="en-CA"/>
              </w:rPr>
            </m:ctrlPr>
          </m:sSubPr>
          <m:e>
            <m:r>
              <w:rPr>
                <w:rFonts w:ascii="Cambria Math" w:hAnsi="Cambria Math" w:cs="Times"/>
                <w:lang w:val="en-CA"/>
              </w:rPr>
              <m:t>G</m:t>
            </m:r>
          </m:e>
          <m:sub>
            <m:r>
              <w:rPr>
                <w:rFonts w:ascii="Cambria Math" w:hAnsi="Cambria Math" w:cs="Times"/>
                <w:lang w:val="en-CA"/>
              </w:rPr>
              <m:t>PF</m:t>
            </m:r>
          </m:sub>
        </m:sSub>
      </m:oMath>
      <w:r w:rsidR="00C007CB" w:rsidRPr="00D039E9">
        <w:rPr>
          <w:rFonts w:cs="Times"/>
          <w:lang w:val="en-CA"/>
        </w:rPr>
        <w:t xml:space="preserve"> of flavour molecules around the prot</w:t>
      </w:r>
      <w:r w:rsidRPr="00D039E9">
        <w:rPr>
          <w:rFonts w:cs="Times"/>
          <w:lang w:val="en-CA"/>
        </w:rPr>
        <w:t>ein at any given concentration, which signifies the net excess number of flavour molecules around the protein molecule as compared to the bulk solution.</w:t>
      </w:r>
      <w:r w:rsidR="00D61252" w:rsidRPr="00D039E9">
        <w:rPr>
          <w:rFonts w:cs="Times"/>
          <w:lang w:val="en-CA"/>
        </w:rPr>
        <w:t xml:space="preserve"> </w:t>
      </w:r>
      <w:r w:rsidR="00D61252" w:rsidRPr="00D039E9">
        <w:rPr>
          <w:rFonts w:cs="Times"/>
          <w:lang w:val="en-CA"/>
        </w:rPr>
        <w:fldChar w:fldCharType="begin" w:fldLock="1"/>
      </w:r>
      <w:r w:rsidR="003E67FA" w:rsidRPr="00D039E9">
        <w:rPr>
          <w:rFonts w:cs="Times"/>
          <w:lang w:val="en-CA"/>
        </w:rPr>
        <w:instrText>ADDIN CSL_CITATION { "citationItems" : [ { "id" : "ITEM-1",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"ITEM-1",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"id" : "ITEM-2", "itemData" : { "DOI" : "10.1039/c3cp53791a", "ISBN" : "1463-9076", "ISSN" : "1463-9084", "PMID" : "24189644", "abstract" : "Hydrophobic drugs can often be solubilized by the addition of hydrotropes. We have previously shown that preferential drug-hydrotrope association is one of the major factors of increased solubility (but not \"hydrotrope clustering\" or changes in \"water structure\"). How, then, can we understand this drug-hydrotrope interaction at a molecular level? Thermodynamic models based upon stoichiometric solute-water and solute-hydrotrope binding have long been used to understand solubilization microscopically. Such binding models have shown that the solvation numbers or coordination numbers of the water and hydrotrope molecules around the drug solute is the key quantity for solute-water and solute-hydrotrope interaction. However, we show that a rigorous statistical thermodynamic theory (the fluctuation solution theory originated by Kirkwood and Buff) requires the total reconsideration of such a paradigm. Here we show that (i) the excess solvation number (the net increase or decrease, relative to the bulk, of the solvent molecules around the solute), not the coordination number, is the key quantity for describing the solute-hydrotrope interaction; (ii) solute-hydrotrope binding is beyond the reach of the stoichiometric models because long-range solvation structure plays an important role.", "author" : [ { "dropping-particle" : "", "family" : "Shimizu", "given" : "Seishi", "non-dropping-particle" : "", "parse-names" : false, "suffix" : "" }, { "dropping-particle" : "", "family" : "Booth", "given" : "Jonathan J", "non-dropping-particle" : "", "parse-names" : false, "suffix" : "" }, { "dropping-particle" : "", "family" : "Abbott", "given" : "Steven", "non-dropping-particle" : "", "parse-names" : false, "suffix" : "" } ], "container-title" : "Physical chemistry chemical physics : PCCP", "id" : "ITEM-2", "issue" : "47", "issued" : { "date-parts" : [ [ "2013" ] ] }, "page" : "20625-20632", "title" : "Hydrotropy: binding models vs. statistical thermodynamics.", "type" : "article-journal", "volume" : "15" }, "uris" : [ "http://www.mendeley.com/documents/?uuid=d239f09f-553e-48eb-882f-c22d5aa8ac8c" ] }, { "id" : "ITEM-3",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"ITEM-3", "issue" : "14", "issued" : { "date-parts" : [ [ "2014" ] ] }, "page" : "3922-3930", "title" : "Preferential solvation: Dividing surface vs excess numbers", "type" : "article-journal", "volume" : "118" }, "uris" : [ "http://www.mendeley.com/documents/?uuid=896fec6b-354e-41cd-a8de-55bd371a22f5" ] } ], "mendeley" : { "formattedCitation" : "&lt;sup&gt;11,16,17&lt;/sup&gt;", "plainTextFormattedCitation" : "11,16,17", "previouslyFormattedCitation" : "&lt;sup&gt;11,16,17&lt;/sup&gt;" }, "properties" : { "noteIndex" : 0 }, "schema" : "https://github.com/citation-style-language/schema/raw/master/csl-citation.json" }</w:instrText>
      </w:r>
      <w:r w:rsidR="00D61252" w:rsidRPr="00D039E9">
        <w:rPr>
          <w:rFonts w:cs="Times"/>
          <w:lang w:val="en-CA"/>
        </w:rPr>
        <w:fldChar w:fldCharType="separate"/>
      </w:r>
      <w:r w:rsidR="003E67FA" w:rsidRPr="00D039E9">
        <w:rPr>
          <w:rFonts w:cs="Times"/>
          <w:noProof/>
          <w:vertAlign w:val="superscript"/>
          <w:lang w:val="en-CA"/>
        </w:rPr>
        <w:t>11,16,17</w:t>
      </w:r>
      <w:r w:rsidR="00D61252" w:rsidRPr="00D039E9">
        <w:rPr>
          <w:rFonts w:cs="Times"/>
          <w:lang w:val="en-CA"/>
        </w:rPr>
        <w:fldChar w:fldCharType="end"/>
      </w:r>
      <w:r w:rsidRPr="00D039E9">
        <w:rPr>
          <w:rFonts w:cs="Times"/>
          <w:lang w:val="en-CA"/>
        </w:rPr>
        <w:t xml:space="preserve">  </w:t>
      </w:r>
      <w:r w:rsidR="00C007CB" w:rsidRPr="00D039E9">
        <w:rPr>
          <w:rFonts w:cs="Times"/>
          <w:lang w:val="en-CA"/>
        </w:rPr>
        <w:t>The final data</w:t>
      </w:r>
      <w:r w:rsidR="00DD36F1" w:rsidRPr="00D039E9">
        <w:rPr>
          <w:rFonts w:cs="Times"/>
          <w:lang w:val="en-CA"/>
        </w:rPr>
        <w:t>-</w:t>
      </w:r>
      <w:r w:rsidR="00C007CB" w:rsidRPr="00D039E9">
        <w:rPr>
          <w:rFonts w:cs="Times"/>
          <w:lang w:val="en-CA"/>
        </w:rPr>
        <w:t>point in the graph is a protein concentration of 2.2</w:t>
      </w:r>
      <w:r w:rsidR="002736E3" w:rsidRPr="00D039E9">
        <w:rPr>
          <w:rFonts w:cs="Times"/>
          <w:lang w:val="en-CA"/>
        </w:rPr>
        <w:t xml:space="preserve"> </w:t>
      </w:r>
      <w:r w:rsidR="00C007CB" w:rsidRPr="00D039E9">
        <w:rPr>
          <w:rFonts w:cs="Times"/>
          <w:lang w:val="el-GR"/>
        </w:rPr>
        <w:t>μ</w:t>
      </w:r>
      <w:r w:rsidR="00C007CB" w:rsidRPr="00D039E9">
        <w:rPr>
          <w:rFonts w:cs="Times"/>
          <w:lang w:val="en-GB"/>
        </w:rPr>
        <w:t xml:space="preserve">M and </w:t>
      </w:r>
      <m:oMath>
        <m:sSub>
          <m:sSubPr>
            <m:ctrlPr>
              <w:rPr>
                <w:rFonts w:ascii="Cambria Math" w:hAnsi="Cambria Math" w:cs="Times"/>
                <w:i/>
                <w:lang w:val="en-GB"/>
              </w:rPr>
            </m:ctrlPr>
          </m:sSubPr>
          <m:e>
            <m:r>
              <w:rPr>
                <w:rFonts w:ascii="Cambria Math" w:hAnsi="Cambria Math" w:cs="Times"/>
                <w:lang w:val="en-GB"/>
              </w:rPr>
              <m:t>G</m:t>
            </m:r>
          </m:e>
          <m:sub>
            <m:r>
              <w:rPr>
                <w:rFonts w:ascii="Cambria Math" w:hAnsi="Cambria Math" w:cs="Times"/>
                <w:lang w:val="en-GB"/>
              </w:rPr>
              <m:t>PF</m:t>
            </m:r>
          </m:sub>
        </m:sSub>
      </m:oMath>
      <w:r w:rsidR="00DD36F1" w:rsidRPr="00D039E9">
        <w:rPr>
          <w:rFonts w:cs="Times"/>
          <w:lang w:val="en-GB"/>
        </w:rPr>
        <w:t xml:space="preserve"> </w:t>
      </w:r>
      <w:r w:rsidR="00B643FD" w:rsidRPr="00D039E9">
        <w:rPr>
          <w:rFonts w:cs="Times"/>
          <w:lang w:val="en-GB"/>
        </w:rPr>
        <w:t>(</w:t>
      </w:r>
      <m:oMath>
        <m:r>
          <w:rPr>
            <w:rFonts w:ascii="Cambria Math" w:hAnsi="Cambria Math" w:cs="Times"/>
            <w:lang w:val="en-GB"/>
          </w:rPr>
          <m:t>6×</m:t>
        </m:r>
        <m:sSup>
          <m:sSupPr>
            <m:ctrlPr>
              <w:rPr>
                <w:rFonts w:ascii="Cambria Math" w:hAnsi="Cambria Math" w:cs="Times"/>
                <w:i/>
                <w:lang w:val="en-GB"/>
              </w:rPr>
            </m:ctrlPr>
          </m:sSupPr>
          <m:e>
            <m:r>
              <w:rPr>
                <w:rFonts w:ascii="Cambria Math" w:hAnsi="Cambria Math" w:cs="Times"/>
                <w:lang w:val="en-GB"/>
              </w:rPr>
              <m:t>10</m:t>
            </m:r>
          </m:e>
          <m:sup>
            <m:r>
              <w:rPr>
                <w:rFonts w:ascii="Cambria Math" w:hAnsi="Cambria Math" w:cs="Times"/>
                <w:lang w:val="en-GB"/>
              </w:rPr>
              <m:t>5</m:t>
            </m:r>
          </m:sup>
        </m:sSup>
      </m:oMath>
      <w:r w:rsidR="00DD36F1" w:rsidRPr="00D039E9">
        <w:rPr>
          <w:rFonts w:cs="Times"/>
          <w:lang w:val="en-GB"/>
        </w:rPr>
        <w:t xml:space="preserve"> dm</w:t>
      </w:r>
      <w:r w:rsidR="00DD36F1" w:rsidRPr="00D039E9">
        <w:rPr>
          <w:rFonts w:cs="Times"/>
          <w:vertAlign w:val="superscript"/>
          <w:lang w:val="en-GB"/>
        </w:rPr>
        <w:t>3</w:t>
      </w:r>
      <w:r w:rsidR="00DD36F1" w:rsidRPr="00D039E9">
        <w:rPr>
          <w:rFonts w:cs="Times"/>
          <w:lang w:val="en-GB"/>
        </w:rPr>
        <w:t xml:space="preserve"> mol</w:t>
      </w:r>
      <w:r w:rsidR="00DD36F1" w:rsidRPr="00D039E9">
        <w:rPr>
          <w:rFonts w:cs="Times"/>
          <w:vertAlign w:val="superscript"/>
          <w:lang w:val="en-GB"/>
        </w:rPr>
        <w:t>-1</w:t>
      </w:r>
      <w:r w:rsidRPr="00D039E9">
        <w:rPr>
          <w:rFonts w:cs="Times"/>
          <w:lang w:val="en-GB"/>
        </w:rPr>
        <w:t xml:space="preserve">), </w:t>
      </w:r>
      <w:r w:rsidR="003D2F36" w:rsidRPr="00D039E9">
        <w:rPr>
          <w:rFonts w:cs="Times"/>
          <w:lang w:val="en-GB"/>
        </w:rPr>
        <w:t xml:space="preserve">the formula </w:t>
      </w:r>
      <w:r w:rsidRPr="00D039E9">
        <w:rPr>
          <w:rFonts w:cs="Times"/>
          <w:lang w:val="en-GB"/>
        </w:rPr>
        <w:t xml:space="preserve">gives us a value of </w:t>
      </w:r>
      <m:oMath>
        <m:sSub>
          <m:sSubPr>
            <m:ctrlPr>
              <w:rPr>
                <w:rFonts w:ascii="Cambria Math" w:hAnsi="Cambria Math" w:cs="Times"/>
                <w:i/>
                <w:lang w:val="en-GB"/>
              </w:rPr>
            </m:ctrlPr>
          </m:sSubPr>
          <m:e>
            <m:r>
              <w:rPr>
                <w:rFonts w:ascii="Cambria Math" w:hAnsi="Cambria Math" w:cs="Times"/>
                <w:lang w:val="en-GB"/>
              </w:rPr>
              <m:t>N</m:t>
            </m:r>
          </m:e>
          <m:sub>
            <m:r>
              <w:rPr>
                <w:rFonts w:ascii="Cambria Math" w:hAnsi="Cambria Math" w:cs="Times"/>
                <w:lang w:val="en-GB"/>
              </w:rPr>
              <m:t>PF</m:t>
            </m:r>
          </m:sub>
        </m:sSub>
        <m:r>
          <w:rPr>
            <w:rFonts w:ascii="Cambria Math" w:hAnsi="Cambria Math" w:cs="Times"/>
            <w:lang w:val="en-GB"/>
          </w:rPr>
          <m:t>=</m:t>
        </m:r>
      </m:oMath>
      <w:r w:rsidR="00B643FD" w:rsidRPr="00D039E9">
        <w:rPr>
          <w:rFonts w:cs="Times"/>
          <w:lang w:val="en-GB"/>
        </w:rPr>
        <w:t xml:space="preserve"> 1</w:t>
      </w:r>
      <w:r w:rsidR="00686C8D" w:rsidRPr="00D039E9">
        <w:rPr>
          <w:rFonts w:cs="Times"/>
          <w:lang w:val="en-GB"/>
        </w:rPr>
        <w:t xml:space="preserve">.2, comparable </w:t>
      </w:r>
      <w:r w:rsidRPr="00D039E9">
        <w:rPr>
          <w:rFonts w:cs="Times"/>
          <w:lang w:val="en-GB"/>
        </w:rPr>
        <w:t xml:space="preserve">in magnitude </w:t>
      </w:r>
      <w:r w:rsidR="00686C8D" w:rsidRPr="00D039E9">
        <w:rPr>
          <w:rFonts w:cs="Times"/>
          <w:lang w:val="en-GB"/>
        </w:rPr>
        <w:t xml:space="preserve">to the typical values of </w:t>
      </w:r>
      <m:oMath>
        <m:r>
          <w:rPr>
            <w:rFonts w:ascii="Cambria Math" w:hAnsi="Cambria Math" w:cs="Times"/>
            <w:lang w:val="en-GB"/>
          </w:rPr>
          <m:t>n</m:t>
        </m:r>
      </m:oMath>
      <w:r w:rsidR="00686C8D" w:rsidRPr="00D039E9">
        <w:rPr>
          <w:rFonts w:cs="Times"/>
          <w:lang w:val="en-GB"/>
        </w:rPr>
        <w:t xml:space="preserve"> from traditional analysis.</w:t>
      </w:r>
      <w:r w:rsidR="00BB3004" w:rsidRPr="00D039E9">
        <w:rPr>
          <w:rFonts w:cs="Times"/>
          <w:lang w:val="en-CA"/>
        </w:rPr>
        <w:fldChar w:fldCharType="begin" w:fldLock="1"/>
      </w:r>
      <w:r w:rsidR="00C65F5C" w:rsidRPr="00D039E9">
        <w:rPr>
          <w:rFonts w:cs="Times"/>
          <w:lang w:val="en-CA"/>
        </w:rPr>
        <w:instrText>ADDIN CSL_CITATION { "citationItems" : [ { "id" : "ITEM-1", "itemData" : { "DOI" : "10.1111/j.1750-3841.2006.00051.x", "author" : [ { "dropping-particle" : "", "family" : "Kuhn", "given" : "Janina", "non-dropping-particle" : "", "parse-names" : false, "suffix" : "" }, { "dropping-particle" : "", "family" : "Considine", "given" : "Therese", "non-dropping-particle" : "", "parse-names" : false, "suffix" : "" }, { "dropping-particle" : "", "family" : "Singh", "given" : "Harjinder", "non-dropping-particle" : "", "parse-names" : false, "suffix" : "" } ], "container-title" : "Journal of Food Science", "id" : "ITEM-1", "issue" : "5", "issued" : { "date-parts" : [ [ "2006" ] ] }, "page" : "R72-R82", "title" : "Interactions of Milk Proteins and Volatile Flavor Compounds : Implications in the Development of Protein Foods", "type" : "article-journal", "volume" : "71" }, "uris" : [ "http://www.mendeley.com/documents/?uuid=4d3627d0-ef15-4c49-9d6d-9fd901f3cebb" ] }, { "id" : "ITEM-2", "itemData" : { "author" : [ { "dropping-particle" : "", "family" : "O'Neill", "given" : "Timothy E.", "non-dropping-particle" : "", "parse-names" : false, "suffix" : "" }, { "dropping-particle" : "", "family" : "Kinsella", "given" : "John E", "non-dropping-particle" : "", "parse-names" : false, "suffix" : "" } ], "container-title" : "Journal of Agricultural and Food Chemistry", "id" : "ITEM-2", "issued" : { "date-parts" : [ [ "1987" ] ] }, "page" : "770-774", "title" : "Binding of alkanone flavors to beta lactoglobulin: effects of conformational and chemical modification", "type" : "article-journal", "volume" : "35" }, "uris" : [ "http://www.mendeley.com/documents/?uuid=82fb005b-c6cc-489f-bb13-0c1da8e839a7" ] }, { "id" : "ITEM-3", "itemData" : { "DOI" : "10.1051/lait:1999647", "ISSN" : "0023-7302", "author" : [ { "dropping-particle" : "", "family" : "Andriot", "given" : "Isabelle", "non-dropping-particle" : "", "parse-names" : false, "suffix" : "" }, { "dropping-particle" : "", "family" : "Marin", "given" : "Isabelle", "non-dropping-particle" : "", "parse-names" : false, "suffix" : "" }, { "dropping-particle" : "", "family" : "Feron", "given" : "Gilles", "non-dropping-particle" : "", "parse-names" : false, "suffix" : "" }, { "dropping-particle" : "", "family" : "Relkin", "given" : "Perla", "non-dropping-particle" : "", "parse-names" : false, "suffix" : "" }, { "dropping-particle" : "", "family" : "Guichard", "given" : "Elisabeth", "non-dropping-particle" : "", "parse-names" : false, "suffix" : "" } ], "container-title" : "Le Lait", "id" : "ITEM-3", "issue" : "6", "issued" : { "date-parts" : [ [ "1999" ] ] }, "page" : "577-586", "publisher" : "EDP Sciences", "title" : "Binding of benzaldehyde by \u03b2-lactoglobulin, by static headspace and high performance liquid chromatography in different physico-chemical conditions", "type" : "article-journal", "volume" : "79" }, "uris" : [ "http://www.mendeley.com/documents/?uuid=889c40e6-61af-3968-9207-e9a703dbfad7" ] }, { "id" : "ITEM-4", "itemData" : { "author" : [ { "dropping-particle" : "", "family" : "Andriot", "given" : "Isabelle", "non-dropping-particle" : "", "parse-names" : false, "suffix" : "" }, { "dropping-particle" : "", "family" : "Harrison", "given" : "Marcus", "non-dropping-particle" : "", "parse-names" : false, "suffix" : "" }, { "dropping-particle" : "", "family" : "Fournier", "given" : "Nicole", "non-dropping-particle" : "", "parse-names" : false, "suffix" : "" }, { "dropping-particle" : "", "family" : "Guichard", "given" : "Elisabeth", "non-dropping-particle" : "", "parse-names" : false, "suffix" : "" } ], "container-title" : "Journal of Agricultural and Food Chemistry", "id" : "ITEM-4", "issued" : { "date-parts" : [ [ "2000" ] ] }, "page" : "4246-4251", "title" : "Interactions between Methyl Ketones and -Lactoglobulin: Sensory Analysis, Headspace Analysis, and Mathematical Modeling", "type" : "article-journal", "volume" : "48" }, "uris" : [ "http://www.mendeley.com/documents/?uuid=4c13c57a-9a56-4a3f-bc6b-01c7c12955ab" ] }, { "id" : "ITEM-5", "itemData" : { "DOI" : "10.1021/JF010706S", "abstract" : "Interactions between 10 aroma compounds from different chemical classes and 5 mixtures of milk proteins have been studied using static or dynamic headspace gas chromatography and solid-phase microextraction (SPME). Static headspace analysis allows the quantification of the release of only the most abundant compounds. Dynamic headspace analysis does not allow the discrimination of flavor release from the different protein mixtures, probably due to a displacement of headspace equilibrium. By SPME analysis and quantification by GC-MS (SIM mode) all of the volatiles were quantified. This method was optimized to better discriminate aroma release from the different milk protein mixtures and then from oil/water emulsions made with these proteins. The highest difference between the release in different proteins was observed for ethyl hexanoate, which has a great affinity for \u03b2-lactoglobulin. Ethyl hexanoate is thus less released from models and emulsions containing this protein. Keywords: Flavor compounds; milk p...", "author" : [ { "dropping-particle" : "", "family" : "Fabre", "given" : "M.", "non-dropping-particle" : "", "parse-names" : false, "suffix" : "" }, { "dropping-particle" : "", "family" : "Aubry", "given" : "V.", "non-dropping-particle" : "", "parse-names" : false, "suffix" : "" }, { "dropping-particle" : "", "family" : "Guichard", "given" : "E.", "non-dropping-particle" : "", "parse-names" : false, "suffix" : "" } ], "container-title" : "Journal of Agricultural and Food Chemistry", "id" : "ITEM-5", "issued" : { "date-parts" : [ [ "2002" ] ] }, "page" : "1497-1501", "publisher" : "American Chemical Society", "title" : "Comparison of Different Methods: Static and Dynamic Headspace and Solid-Phase Microextraction for the Measurement of Interactions between Milk Proteins and Flavor Compounds with an Application to Emulsions", "type" : "article-journal", "volume" : "50" }, "uris" : [ "http://www.mendeley.com/documents/?uuid=56c12750-8efd-3fbf-ae31-446bb291dba2" ] }, { "id" : "ITEM-6", "itemData" : { "DOI" : "10.1016/S0308-8146(02)00124-3", "ISSN" : "03088146", "abstract" : "The air/water partition coefficients of 20 aroma compounds varying in functional group and chain length were determined as a function of \u03b2-lactoglobulin concentration (0, 0.5, 0.7, 1.0, 2.0%), pH (3, 6, 9) and presence of other aroma compounds in the matrix. Air/liquid partition coefficients of dimethyl sulphide, 1-propanol, diacetyl, 2-butanone, ethyl acetate, 1-butanol, 2-pentanol, propyl acetate, 3-methyl-1-butanol, ethyl butyrate, hexanal, butyl acetate, 1-hexanol, 2-heptanone, heptanal, \u03b1-pinene, 2-octanone, octanal, 2-nonanol and 2-decanone were determined by static headspace gas chromatography. The majority of the compounds\u2019 partition coefficients decreased with \u03b2-lactoglobulin concentration, although not proportionally. Air/liquid partition coefficients of aldehydes and esters demonstrated a decline up to 90%, whereas alcohols were hardly affected by \u03b2-lactoglobulin. Larger chain length coincided with lower partition coefficients and thus more efficient retention. Increase in pH generally resulted in a more pronounced decrease in headspace concentrations, although \u03b1-pinene and alcohols showed diverting behaviour. The \u03b2-lactoglobulin concentration and pH did not demonstrate complementary effects but interacted with each other. Propyl acetate, ethyl butyrate, hexanal, heptanal and octanal increased each other\u2019s air/liquid partition coefficients.", "author" : [ { "dropping-particle" : "", "family" : "Ruth", "given" : "Saskia M.", "non-dropping-particle" : "van", "parse-names" : false, "suffix" : "" }, { "dropping-particle" : "", "family" : "Villeneuve", "given" : "Elise", "non-dropping-particle" : "", "parse-names" : false, "suffix" : "" } ], "container-title" : "Food Chemistry", "id" : "ITEM-6", "issue" : "2", "issued" : { "date-parts" : [ [ "2002" ] ] }, "page" : "157-164", "title" : "Influence of \u03b2-lactoglobulin, pH and presence of other aroma compounds on the air/liquid partition coefficients of 20 aroma compounds varying in functional group and chain length", "type" : "article-journal", "volume" : "79" }, "uris" : [ "http://www.mendeley.com/documents/?uuid=3858d8da-18ca-3413-821d-46ede96f2467" ] }, { "id" : "ITEM-7", "itemData" : { "author" : [ { "dropping-particle" : "Van", "family" : "Ruth", "given" : "Saskia M", "non-dropping-particle" : "", "parse-names" : false, "suffix" : "" } ], "container-title" : "Biomolecular Engineering", "id" : "ITEM-7", "issued" : { "date-parts" : [ [ "2001" ] ] }, "page" : "121-128", "title" : "Methods for gas chromatography-olfactometry : a review", "type" : "article-journal", "volume" : "17" }, "uris" : [ "http://www.mendeley.com/documents/?uuid=a25db969-8bec-4f73-a4a7-317521c41d7b" ] }, { "id" : "ITEM-8", "itemData" : { "DOI" : "10.1021/JF020651+", "abstract" : "Changes in the volatility of selected flavor compounds in the presence of nonvolatile food matrix components were studied using headspace solid-phase microextraction (HS-SPME) combined with GC-MS quantification. Time-dependent adsorption profiles to the SPME fiber and the partition coefficients between different phases were obtained for several individual volatiles, showing that HS-SPME analysis with a short sampling time can be used to determine the \u201ctrue\u201d headspace concentration at equilibrium between the headspace and a sample matrix. Equilibrium dialysis followed by HS-SPME/GC-MS was carried out to confirm the ability of HS-SPME extraction for monitoring the free volatile compounds in the presence of proteins. In particular, a short sampling time (1 min) avoided additional extraction of volatiles bound to the protein. Interactions between several selected flavor compounds and nonvolatile food matrix components [\u03b2-lactoglobulin or (+)-catechin] were also studied by means of HS-SPME/GC-MS analysis. The ...", "author" : [ { "dropping-particle" : "", "family" : "Jung", "given" : "Da-Mi", "non-dropping-particle" : "", "parse-names" : false, "suffix" : "" }, { "dropping-particle" : "", "family" : "Ebeler", "given" : "Susan E.", "non-dropping-particle" : "", "parse-names" : false, "suffix" : "" } ], "container-title" : "Journal of Agricultural and Food Chemistry", "id" : "ITEM-8", "issued" : { "date-parts" : [ [ "2003" ] ] }, "page" : "200-205", "publisher" : "American Chemical Society", "title" : "Headspace Solid-Phase Microextraction Method for the Study of the Volatility of Selected Flavor Compounds", "type" : "article-journal", "volume" : "51" }, "uris" : [ "http://www.mendeley.com/documents/?uuid=e398260b-08ed-326d-a3f6-3da426bfef62" ] } ], "mendeley" : { "formattedCitation" : "&lt;sup&gt;5,34\u201340&lt;/sup&gt;", "plainTextFormattedCitation" : "5,34\u201340", "previouslyFormattedCitation" : "&lt;sup&gt;5,34\u201340&lt;/sup&gt;" }, "properties" : { "noteIndex" : 0 }, "schema" : "https://github.com/citation-style-language/schema/raw/master/csl-citation.json" }</w:instrText>
      </w:r>
      <w:r w:rsidR="00BB3004" w:rsidRPr="00D039E9">
        <w:rPr>
          <w:rFonts w:cs="Times"/>
          <w:lang w:val="en-CA"/>
        </w:rPr>
        <w:fldChar w:fldCharType="separate"/>
      </w:r>
      <w:r w:rsidR="00BB3004" w:rsidRPr="00D039E9">
        <w:rPr>
          <w:rFonts w:cs="Times"/>
          <w:noProof/>
          <w:vertAlign w:val="superscript"/>
          <w:lang w:val="en-CA"/>
        </w:rPr>
        <w:t>5,34–40</w:t>
      </w:r>
      <w:r w:rsidR="00BB3004" w:rsidRPr="00D039E9">
        <w:rPr>
          <w:rFonts w:cs="Times"/>
          <w:lang w:val="en-CA"/>
        </w:rPr>
        <w:fldChar w:fldCharType="end"/>
      </w:r>
      <w:r w:rsidR="00686C8D" w:rsidRPr="00D039E9">
        <w:rPr>
          <w:rFonts w:cs="Times"/>
          <w:lang w:val="en-GB"/>
        </w:rPr>
        <w:t xml:space="preserve"> The key difference, of course, is that this excess number is a purely statistical value with no implications of </w:t>
      </w:r>
      <w:r w:rsidRPr="00D039E9">
        <w:rPr>
          <w:rFonts w:cs="Times"/>
          <w:lang w:val="en-GB"/>
        </w:rPr>
        <w:t xml:space="preserve">solvent </w:t>
      </w:r>
      <w:r w:rsidR="00686C8D" w:rsidRPr="00D039E9">
        <w:rPr>
          <w:rFonts w:cs="Times"/>
          <w:lang w:val="en-GB"/>
        </w:rPr>
        <w:t>“bi</w:t>
      </w:r>
      <w:r w:rsidRPr="00D039E9">
        <w:rPr>
          <w:rFonts w:cs="Times"/>
          <w:lang w:val="en-GB"/>
        </w:rPr>
        <w:t>nding” sites according to the binding model</w:t>
      </w:r>
      <w:r w:rsidR="00686C8D" w:rsidRPr="00D039E9">
        <w:rPr>
          <w:rFonts w:cs="Times"/>
          <w:lang w:val="en-GB"/>
        </w:rPr>
        <w:t>.</w:t>
      </w:r>
      <w:r w:rsidR="00D61252" w:rsidRPr="00D039E9">
        <w:rPr>
          <w:rFonts w:cs="Times"/>
          <w:lang w:val="en-GB"/>
        </w:rPr>
        <w:fldChar w:fldCharType="begin" w:fldLock="1"/>
      </w:r>
      <w:r w:rsidR="003E67FA" w:rsidRPr="00D039E9">
        <w:rPr>
          <w:rFonts w:cs="Times"/>
          <w:lang w:val="en-GB"/>
        </w:rPr>
        <w:instrText>ADDIN CSL_CITATION { "citationItems" : [ { "id" : "ITEM-1",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"ITEM-1",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"id" : "ITEM-2", "itemData" : { "DOI" : "10.1039/c3cp53791a", "ISBN" : "1463-9076", "ISSN" : "1463-9084", "PMID" : "24189644", "abstract" : "Hydrophobic drugs can often be solubilized by the addition of hydrotropes. We have previously shown that preferential drug-hydrotrope association is one of the major factors of increased solubility (but not \"hydrotrope clustering\" or changes in \"water structure\"). How, then, can we understand this drug-hydrotrope interaction at a molecular level? Thermodynamic models based upon stoichiometric solute-water and solute-hydrotrope binding have long been used to understand solubilization microscopically. Such binding models have shown that the solvation numbers or coordination numbers of the water and hydrotrope molecules around the drug solute is the key quantity for solute-water and solute-hydrotrope interaction. However, we show that a rigorous statistical thermodynamic theory (the fluctuation solution theory originated by Kirkwood and Buff) requires the total reconsideration of such a paradigm. Here we show that (i) the excess solvation number (the net increase or decrease, relative to the bulk, of the solvent molecules around the solute), not the coordination number, is the key quantity for describing the solute-hydrotrope interaction; (ii) solute-hydrotrope binding is beyond the reach of the stoichiometric models because long-range solvation structure plays an important role.", "author" : [ { "dropping-particle" : "", "family" : "Shimizu", "given" : "Seishi", "non-dropping-particle" : "", "parse-names" : false, "suffix" : "" }, { "dropping-particle" : "", "family" : "Booth", "given" : "Jonathan J", "non-dropping-particle" : "", "parse-names" : false, "suffix" : "" }, { "dropping-particle" : "", "family" : "Abbott", "given" : "Steven", "non-dropping-particle" : "", "parse-names" : false, "suffix" : "" } ], "container-title" : "Physical chemistry chemical physics : PCCP", "id" : "ITEM-2", "issue" : "47", "issued" : { "date-parts" : [ [ "2013" ] ] }, "page" : "20625-20632", "title" : "Hydrotropy: binding models vs. statistical thermodynamics.", "type" : "article-journal", "volume" : "15" }, "uris" : [ "http://www.mendeley.com/documents/?uuid=d239f09f-553e-48eb-882f-c22d5aa8ac8c" ] }, { "id" : "ITEM-3",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"ITEM-3", "issue" : "14", "issued" : { "date-parts" : [ [ "2014" ] ] }, "page" : "3922-3930", "title" : "Preferential solvation: Dividing surface vs excess numbers", "type" : "article-journal", "volume" : "118" }, "uris" : [ "http://www.mendeley.com/documents/?uuid=896fec6b-354e-41cd-a8de-55bd371a22f5" ] }, { "id" : "ITEM-4",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"ITEM-4",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"mendeley" : { "formattedCitation" : "&lt;sup&gt;11,16,17,22&lt;/sup&gt;", "plainTextFormattedCitation" : "11,16,17,22", "previouslyFormattedCitation" : "&lt;sup&gt;11,16,17,22&lt;/sup&gt;" }, "properties" : { "noteIndex" : 0 }, "schema" : "https://github.com/citation-style-language/schema/raw/master/csl-citation.json" }</w:instrText>
      </w:r>
      <w:r w:rsidR="00D61252" w:rsidRPr="00D039E9">
        <w:rPr>
          <w:rFonts w:cs="Times"/>
          <w:lang w:val="en-GB"/>
        </w:rPr>
        <w:fldChar w:fldCharType="separate"/>
      </w:r>
      <w:r w:rsidR="003E67FA" w:rsidRPr="00D039E9">
        <w:rPr>
          <w:rFonts w:cs="Times"/>
          <w:noProof/>
          <w:vertAlign w:val="superscript"/>
          <w:lang w:val="en-GB"/>
        </w:rPr>
        <w:t>11,16,17,22</w:t>
      </w:r>
      <w:r w:rsidR="00D61252" w:rsidRPr="00D039E9">
        <w:rPr>
          <w:rFonts w:cs="Times"/>
          <w:lang w:val="en-GB"/>
        </w:rPr>
        <w:fldChar w:fldCharType="end"/>
      </w:r>
    </w:p>
    <w:p w14:paraId="3C979DDE" w14:textId="7B9BC58C" w:rsidR="00C007CB" w:rsidRPr="00D039E9" w:rsidRDefault="00C007CB" w:rsidP="003872DB">
      <w:pPr>
        <w:pStyle w:val="TAMainText"/>
        <w:ind w:firstLine="0"/>
        <w:rPr>
          <w:rFonts w:cs="Times"/>
          <w:b/>
          <w:lang w:val="en-CA"/>
        </w:rPr>
      </w:pPr>
    </w:p>
    <w:p w14:paraId="2A9FE428" w14:textId="270E523D" w:rsidR="003872DB" w:rsidRPr="00D039E9" w:rsidRDefault="00131D60" w:rsidP="003872DB">
      <w:pPr>
        <w:pStyle w:val="TAMainText"/>
        <w:ind w:firstLine="0"/>
        <w:rPr>
          <w:rFonts w:cs="Times"/>
          <w:b/>
          <w:lang w:val="en-CA"/>
        </w:rPr>
      </w:pPr>
      <w:r w:rsidRPr="00D039E9">
        <w:rPr>
          <w:rFonts w:cs="Times"/>
          <w:b/>
          <w:lang w:val="en-CA"/>
        </w:rPr>
        <w:t>4</w:t>
      </w:r>
      <w:r w:rsidR="003872DB" w:rsidRPr="00D039E9">
        <w:rPr>
          <w:rFonts w:cs="Times"/>
          <w:b/>
          <w:lang w:val="en-CA"/>
        </w:rPr>
        <w:t xml:space="preserve">. The use of semi-permeable membrane to quantify protein-flavour interaction </w:t>
      </w:r>
    </w:p>
    <w:p w14:paraId="692ECA04" w14:textId="3316F86D" w:rsidR="003872DB" w:rsidRPr="00D039E9" w:rsidRDefault="003872DB" w:rsidP="003872DB">
      <w:pPr>
        <w:pStyle w:val="TAMainText"/>
        <w:ind w:firstLine="0"/>
        <w:rPr>
          <w:rFonts w:cs="Times"/>
          <w:b/>
          <w:lang w:val="en-CA"/>
        </w:rPr>
      </w:pPr>
    </w:p>
    <w:p w14:paraId="134540C6" w14:textId="37C14B6E" w:rsidR="009B54CE" w:rsidRPr="00D039E9" w:rsidRDefault="009B54CE" w:rsidP="003872DB">
      <w:pPr>
        <w:pStyle w:val="TAMainText"/>
        <w:ind w:firstLine="0"/>
        <w:rPr>
          <w:rFonts w:cs="Times"/>
          <w:b/>
          <w:lang w:val="en-CA"/>
        </w:rPr>
      </w:pPr>
      <w:r w:rsidRPr="00D039E9">
        <w:rPr>
          <w:rFonts w:cs="Times"/>
          <w:b/>
          <w:lang w:val="en-CA"/>
        </w:rPr>
        <w:t xml:space="preserve">4.1. Theory </w:t>
      </w:r>
    </w:p>
    <w:p w14:paraId="6926C665" w14:textId="77777777" w:rsidR="00D61252" w:rsidRPr="00D039E9" w:rsidRDefault="00D61252" w:rsidP="003872DB">
      <w:pPr>
        <w:pStyle w:val="TAMainText"/>
        <w:ind w:firstLine="0"/>
        <w:rPr>
          <w:rFonts w:cs="Times"/>
          <w:lang w:val="en-CA"/>
        </w:rPr>
      </w:pPr>
    </w:p>
    <w:p w14:paraId="06860958" w14:textId="74C87DCE" w:rsidR="003872DB" w:rsidRPr="00D039E9" w:rsidRDefault="000407B5" w:rsidP="003872DB">
      <w:pPr>
        <w:pStyle w:val="TAMainText"/>
        <w:ind w:firstLine="0"/>
        <w:rPr>
          <w:rFonts w:cs="Times"/>
          <w:bCs/>
          <w:lang w:val="en-CA" w:eastAsia="ja-JP"/>
        </w:rPr>
      </w:pPr>
      <w:r w:rsidRPr="00D039E9">
        <w:rPr>
          <w:rFonts w:cs="Times"/>
          <w:lang w:val="en-CA"/>
        </w:rPr>
        <w:t xml:space="preserve">Now we consider </w:t>
      </w:r>
      <w:r w:rsidR="003872DB" w:rsidRPr="00D039E9">
        <w:rPr>
          <w:rFonts w:cs="Times"/>
          <w:lang w:val="en-CA"/>
        </w:rPr>
        <w:t xml:space="preserve">protein molecules </w:t>
      </w:r>
      <w:r w:rsidRPr="00D039E9">
        <w:rPr>
          <w:rFonts w:cs="Times"/>
          <w:lang w:val="en-CA"/>
        </w:rPr>
        <w:t xml:space="preserve">in dilution </w:t>
      </w:r>
      <w:r w:rsidR="003872DB" w:rsidRPr="00D039E9">
        <w:rPr>
          <w:rFonts w:cs="Times"/>
          <w:lang w:val="en-CA"/>
        </w:rPr>
        <w:t>inside the semi-permeable membrane.</w:t>
      </w:r>
      <w:r w:rsidR="00D61252" w:rsidRPr="00D039E9">
        <w:rPr>
          <w:rFonts w:cs="Times"/>
          <w:lang w:val="en-CA"/>
        </w:rPr>
        <w:fldChar w:fldCharType="begin" w:fldLock="1"/>
      </w:r>
      <w:r w:rsidR="00C65F5C" w:rsidRPr="00D039E9">
        <w:rPr>
          <w:rFonts w:cs="Times"/>
          <w:lang w:val="en-CA"/>
        </w:rPr>
        <w:instrText>ADDIN CSL_CITATION { "citationItems" : [ { "id" : "ITEM-1", "itemData" : { "author" : [ { "dropping-particle" : "", "family" : "Timasheff", "given" : "Serge N", "non-dropping-particle" : "", "parse-names" : false, "suffix" : "" } ], "container-title" : "Biochemistry", "id" : "ITEM-1", "issue" : "46", "issued" : { "date-parts" : [ [ "2002" ] ] }, "page" : "13474-13482", "title" : "Protein Hydration , Thermodynamic Binding , and Preferential Hydration", "type" : "article-journal", "volume" : "41" }, "uris" : [ "http://www.mendeley.com/documents/?uuid=fbc92257-37bb-4dee-aabf-29d835d8cf16" ] } ], "mendeley" : { "formattedCitation" : "&lt;sup&gt;64&lt;/sup&gt;", "plainTextFormattedCitation" : "64", "previouslyFormattedCitation" : "&lt;sup&gt;64&lt;/sup&gt;" }, "properties" : { "noteIndex" : 0 }, "schema" : "https://github.com/citation-style-language/schema/raw/master/csl-citation.json" }</w:instrText>
      </w:r>
      <w:r w:rsidR="00D61252" w:rsidRPr="00D039E9">
        <w:rPr>
          <w:rFonts w:cs="Times"/>
          <w:lang w:val="en-CA"/>
        </w:rPr>
        <w:fldChar w:fldCharType="separate"/>
      </w:r>
      <w:r w:rsidR="00BB3004" w:rsidRPr="00D039E9">
        <w:rPr>
          <w:rFonts w:cs="Times"/>
          <w:noProof/>
          <w:vertAlign w:val="superscript"/>
          <w:lang w:val="en-CA"/>
        </w:rPr>
        <w:t>64</w:t>
      </w:r>
      <w:r w:rsidR="00D61252" w:rsidRPr="00D039E9">
        <w:rPr>
          <w:rFonts w:cs="Times"/>
          <w:lang w:val="en-CA"/>
        </w:rPr>
        <w:fldChar w:fldCharType="end"/>
      </w:r>
      <w:r w:rsidR="003872DB" w:rsidRPr="00D039E9">
        <w:rPr>
          <w:rFonts w:cs="Times"/>
          <w:lang w:val="en-CA"/>
        </w:rPr>
        <w:t xml:space="preserve"> Outside the semi-permeable membrane, we inject the flavour molecule, which can go through the semi-permeable m</w:t>
      </w:r>
      <w:r w:rsidRPr="00D039E9">
        <w:rPr>
          <w:rFonts w:cs="Times"/>
          <w:lang w:val="en-CA"/>
        </w:rPr>
        <w:t>embrane; protein stays inside the membrane.</w:t>
      </w:r>
      <w:r w:rsidR="002B34F8" w:rsidRPr="00D039E9">
        <w:rPr>
          <w:rFonts w:cs="Times"/>
          <w:lang w:val="en-CA"/>
        </w:rPr>
        <w:t xml:space="preserve"> </w:t>
      </w:r>
      <w:r w:rsidRPr="00D039E9">
        <w:rPr>
          <w:rFonts w:cs="Times"/>
          <w:lang w:val="en-CA"/>
        </w:rPr>
        <w:t xml:space="preserve">Note that, unlike Section 3, we </w:t>
      </w:r>
      <w:r w:rsidR="003872DB" w:rsidRPr="00D039E9">
        <w:rPr>
          <w:rFonts w:cs="Times"/>
          <w:lang w:val="en-CA"/>
        </w:rPr>
        <w:t xml:space="preserve">consider </w:t>
      </w:r>
      <w:r w:rsidR="002B34F8" w:rsidRPr="00D039E9">
        <w:rPr>
          <w:rFonts w:cs="Times"/>
          <w:lang w:val="en-CA"/>
        </w:rPr>
        <w:t xml:space="preserve">here </w:t>
      </w:r>
      <w:r w:rsidRPr="00D039E9">
        <w:rPr>
          <w:rFonts w:cs="Times"/>
          <w:lang w:val="en-CA"/>
        </w:rPr>
        <w:t xml:space="preserve">the vicinity of a protein, not of </w:t>
      </w:r>
      <w:r w:rsidR="003872DB" w:rsidRPr="00D039E9">
        <w:rPr>
          <w:rFonts w:cs="Times"/>
          <w:lang w:val="en-CA"/>
        </w:rPr>
        <w:t>the flavour molecu</w:t>
      </w:r>
      <w:r w:rsidR="00F04F0F" w:rsidRPr="00D039E9">
        <w:rPr>
          <w:rFonts w:cs="Times"/>
          <w:lang w:val="en-CA"/>
        </w:rPr>
        <w:t>le</w:t>
      </w:r>
      <w:r w:rsidRPr="00D039E9">
        <w:rPr>
          <w:rFonts w:cs="Times"/>
          <w:lang w:val="en-CA"/>
        </w:rPr>
        <w:t>.</w:t>
      </w:r>
      <w:r w:rsidR="00F04F0F" w:rsidRPr="00D039E9">
        <w:rPr>
          <w:rFonts w:cs="Times"/>
          <w:lang w:val="en-CA"/>
        </w:rPr>
        <w:t xml:space="preserve"> </w:t>
      </w:r>
      <w:r w:rsidR="00C928DF" w:rsidRPr="00D039E9">
        <w:rPr>
          <w:rFonts w:cs="Times"/>
          <w:bCs/>
          <w:lang w:val="en-CA" w:eastAsia="ja-JP"/>
        </w:rPr>
        <w:t>If</w:t>
      </w:r>
      <w:r w:rsidR="002B34F8" w:rsidRPr="00D039E9">
        <w:rPr>
          <w:rFonts w:cs="Times"/>
          <w:bCs/>
          <w:lang w:val="en-CA" w:eastAsia="ja-JP"/>
        </w:rPr>
        <w:t xml:space="preserve"> we </w:t>
      </w:r>
      <w:r w:rsidR="00C928DF" w:rsidRPr="00D039E9">
        <w:rPr>
          <w:rFonts w:cs="Times"/>
          <w:bCs/>
          <w:lang w:val="en-CA" w:eastAsia="ja-JP"/>
        </w:rPr>
        <w:t xml:space="preserve">could </w:t>
      </w:r>
      <w:r w:rsidR="002B34F8" w:rsidRPr="00D039E9">
        <w:rPr>
          <w:rFonts w:cs="Times"/>
          <w:bCs/>
          <w:lang w:val="en-CA" w:eastAsia="ja-JP"/>
        </w:rPr>
        <w:t xml:space="preserve">measure the </w:t>
      </w:r>
      <w:r w:rsidR="00AA22FE" w:rsidRPr="00D039E9">
        <w:rPr>
          <w:rFonts w:cs="Times"/>
          <w:bCs/>
          <w:lang w:val="en-CA" w:eastAsia="ja-JP"/>
        </w:rPr>
        <w:t xml:space="preserve">concentration of the species </w:t>
      </w:r>
      <m:oMath>
        <m:r>
          <w:rPr>
            <w:rFonts w:ascii="Cambria Math" w:hAnsi="Cambria Math" w:cs="Times"/>
            <w:lang w:val="en-CA" w:eastAsia="ja-JP"/>
          </w:rPr>
          <m:t>F</m:t>
        </m:r>
      </m:oMath>
      <w:r w:rsidR="00AA22FE" w:rsidRPr="00D039E9">
        <w:rPr>
          <w:rFonts w:cs="Times"/>
          <w:bCs/>
          <w:lang w:val="en-CA" w:eastAsia="ja-JP"/>
        </w:rPr>
        <w:t xml:space="preserve"> </w:t>
      </w:r>
      <w:r w:rsidR="00C928DF" w:rsidRPr="00D039E9">
        <w:rPr>
          <w:rFonts w:cs="Times"/>
          <w:bCs/>
          <w:i/>
          <w:lang w:val="en-CA" w:eastAsia="ja-JP"/>
        </w:rPr>
        <w:t>both</w:t>
      </w:r>
      <w:r w:rsidR="00C928DF" w:rsidRPr="00D039E9">
        <w:rPr>
          <w:rFonts w:cs="Times"/>
          <w:bCs/>
          <w:lang w:val="en-CA" w:eastAsia="ja-JP"/>
        </w:rPr>
        <w:t xml:space="preserve"> </w:t>
      </w:r>
      <w:r w:rsidR="00AA22FE" w:rsidRPr="00D039E9">
        <w:rPr>
          <w:rFonts w:cs="Times"/>
          <w:bCs/>
          <w:lang w:val="en-CA" w:eastAsia="ja-JP"/>
        </w:rPr>
        <w:t>in the bulk phase (</w:t>
      </w:r>
      <m:oMath>
        <m:sSub>
          <m:sSubPr>
            <m:ctrlPr>
              <w:rPr>
                <w:rFonts w:ascii="Cambria Math" w:hAnsi="Cambria Math" w:cs="Times"/>
                <w:bCs/>
                <w:i/>
                <w:lang w:val="en-CA" w:eastAsia="ja-JP"/>
              </w:rPr>
            </m:ctrlPr>
          </m:sSubPr>
          <m:e>
            <m:r>
              <w:rPr>
                <w:rFonts w:ascii="Cambria Math" w:hAnsi="Cambria Math" w:cs="Times"/>
                <w:lang w:val="en-CA" w:eastAsia="ja-JP"/>
              </w:rPr>
              <m:t>c</m:t>
            </m:r>
          </m:e>
          <m:sub>
            <m:r>
              <w:rPr>
                <w:rFonts w:ascii="Cambria Math" w:hAnsi="Cambria Math" w:cs="Times"/>
                <w:lang w:val="en-CA" w:eastAsia="ja-JP"/>
              </w:rPr>
              <m:t>i</m:t>
            </m:r>
          </m:sub>
        </m:sSub>
      </m:oMath>
      <w:r w:rsidR="00AA22FE" w:rsidRPr="00D039E9">
        <w:rPr>
          <w:rFonts w:cs="Times"/>
          <w:bCs/>
          <w:lang w:val="en-CA" w:eastAsia="ja-JP"/>
        </w:rPr>
        <w:t xml:space="preserve">) </w:t>
      </w:r>
      <w:r w:rsidR="00AA22FE" w:rsidRPr="00D039E9">
        <w:rPr>
          <w:rFonts w:cs="Times"/>
          <w:bCs/>
          <w:i/>
          <w:lang w:val="en-CA" w:eastAsia="ja-JP"/>
        </w:rPr>
        <w:t>and</w:t>
      </w:r>
      <w:r w:rsidR="00AA22FE" w:rsidRPr="00D039E9">
        <w:rPr>
          <w:rFonts w:cs="Times"/>
          <w:bCs/>
          <w:lang w:val="en-CA" w:eastAsia="ja-JP"/>
        </w:rPr>
        <w:t xml:space="preserve"> inside the semi-permeable membrane (“vicinity” concentration, </w:t>
      </w:r>
      <m:oMath>
        <m:sSubSup>
          <m:sSubSupPr>
            <m:ctrlPr>
              <w:rPr>
                <w:rFonts w:ascii="Cambria Math" w:hAnsi="Cambria Math" w:cs="Times"/>
                <w:bCs/>
                <w:i/>
                <w:lang w:val="en-CA" w:eastAsia="ja-JP"/>
              </w:rPr>
            </m:ctrlPr>
          </m:sSubSupPr>
          <m:e>
            <m:r>
              <w:rPr>
                <w:rFonts w:ascii="Cambria Math" w:hAnsi="Cambria Math" w:cs="Times"/>
                <w:lang w:val="en-CA" w:eastAsia="ja-JP"/>
              </w:rPr>
              <m:t>c</m:t>
            </m:r>
          </m:e>
          <m:sub>
            <m:r>
              <w:rPr>
                <w:rFonts w:ascii="Cambria Math" w:hAnsi="Cambria Math" w:cs="Times"/>
                <w:lang w:val="en-CA" w:eastAsia="ja-JP"/>
              </w:rPr>
              <m:t>i</m:t>
            </m:r>
          </m:sub>
          <m:sup>
            <m:r>
              <w:rPr>
                <w:rFonts w:ascii="Cambria Math" w:hAnsi="Cambria Math" w:cs="Times"/>
                <w:lang w:val="en-CA" w:eastAsia="ja-JP"/>
              </w:rPr>
              <m:t>vic</m:t>
            </m:r>
          </m:sup>
        </m:sSubSup>
      </m:oMath>
      <w:r w:rsidR="00AA22FE" w:rsidRPr="00D039E9">
        <w:rPr>
          <w:rFonts w:cs="Times"/>
          <w:bCs/>
          <w:lang w:val="en-CA" w:eastAsia="ja-JP"/>
        </w:rPr>
        <w:t xml:space="preserve">) at the protein concentation </w:t>
      </w:r>
      <m:oMath>
        <m:sSub>
          <m:sSubPr>
            <m:ctrlPr>
              <w:rPr>
                <w:rFonts w:ascii="Cambria Math" w:hAnsi="Cambria Math" w:cs="Times"/>
                <w:bCs/>
                <w:i/>
                <w:lang w:val="en-CA" w:eastAsia="ja-JP"/>
              </w:rPr>
            </m:ctrlPr>
          </m:sSubPr>
          <m:e>
            <m:r>
              <w:rPr>
                <w:rFonts w:ascii="Cambria Math" w:hAnsi="Cambria Math" w:cs="Times"/>
                <w:lang w:val="en-CA" w:eastAsia="ja-JP"/>
              </w:rPr>
              <m:t>c</m:t>
            </m:r>
          </m:e>
          <m:sub>
            <m:r>
              <w:rPr>
                <w:rFonts w:ascii="Cambria Math" w:hAnsi="Cambria Math" w:cs="Times"/>
                <w:lang w:val="en-CA" w:eastAsia="ja-JP"/>
              </w:rPr>
              <m:t>P</m:t>
            </m:r>
          </m:sub>
        </m:sSub>
      </m:oMath>
      <w:r w:rsidR="00C928DF" w:rsidRPr="00D039E9">
        <w:rPr>
          <w:rFonts w:cs="Times"/>
          <w:bCs/>
          <w:lang w:val="en-CA" w:eastAsia="ja-JP"/>
        </w:rPr>
        <w:t>, we could</w:t>
      </w:r>
      <w:r w:rsidRPr="00D039E9">
        <w:rPr>
          <w:rFonts w:cs="Times"/>
          <w:bCs/>
          <w:lang w:val="en-CA" w:eastAsia="ja-JP"/>
        </w:rPr>
        <w:t xml:space="preserve"> </w:t>
      </w:r>
      <w:r w:rsidR="00AA22FE" w:rsidRPr="00D039E9">
        <w:rPr>
          <w:rFonts w:cs="Times"/>
          <w:bCs/>
          <w:lang w:val="en-CA" w:eastAsia="ja-JP"/>
        </w:rPr>
        <w:t>o</w:t>
      </w:r>
      <w:r w:rsidR="00D71279" w:rsidRPr="00D039E9">
        <w:rPr>
          <w:rFonts w:cs="Times"/>
          <w:bCs/>
          <w:lang w:val="en-CA" w:eastAsia="ja-JP"/>
        </w:rPr>
        <w:t>btain the KBI</w:t>
      </w:r>
      <w:r w:rsidRPr="00D039E9">
        <w:rPr>
          <w:rFonts w:cs="Times"/>
          <w:bCs/>
          <w:lang w:val="en-CA" w:eastAsia="ja-JP"/>
        </w:rPr>
        <w:t xml:space="preserve"> directly from the following definition:</w:t>
      </w:r>
      <w:r w:rsidR="00D61252" w:rsidRPr="00D039E9">
        <w:rPr>
          <w:rFonts w:cs="Times"/>
          <w:bCs/>
          <w:lang w:val="en-CA" w:eastAsia="ja-JP"/>
        </w:rPr>
        <w:fldChar w:fldCharType="begin" w:fldLock="1"/>
      </w:r>
      <w:r w:rsidR="003E67FA" w:rsidRPr="00D039E9">
        <w:rPr>
          <w:rFonts w:cs="Times"/>
          <w:bCs/>
          <w:lang w:val="en-CA" w:eastAsia="ja-JP"/>
        </w:rPr>
        <w:instrText>ADDIN CSL_CITATION { "citationItems" : [ { "id" : "ITEM-1",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"ITEM-1",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"id" : "ITEM-2",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"ITEM-2", "issue" : "14", "issued" : { "date-parts" : [ [ "2014" ] ] }, "page" : "3922-3930", "title" : "Preferential solvation: Dividing surface vs excess numbers", "type" : "article-journal", "volume" : "118" }, "uris" : [ "http://www.mendeley.com/documents/?uuid=896fec6b-354e-41cd-a8de-55bd371a22f5" ] }, { "id" : "ITEM-3",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"ITEM-3",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"mendeley" : { "formattedCitation" : "&lt;sup&gt;11,17,22&lt;/sup&gt;", "plainTextFormattedCitation" : "11,17,22", "previouslyFormattedCitation" : "&lt;sup&gt;11,17,22&lt;/sup&gt;" }, "properties" : { "noteIndex" : 0 }, "schema" : "https://github.com/citation-style-language/schema/raw/master/csl-citation.json" }</w:instrText>
      </w:r>
      <w:r w:rsidR="00D61252" w:rsidRPr="00D039E9">
        <w:rPr>
          <w:rFonts w:cs="Times"/>
          <w:bCs/>
          <w:lang w:val="en-CA" w:eastAsia="ja-JP"/>
        </w:rPr>
        <w:fldChar w:fldCharType="separate"/>
      </w:r>
      <w:r w:rsidR="003E67FA" w:rsidRPr="00D039E9">
        <w:rPr>
          <w:rFonts w:cs="Times"/>
          <w:bCs/>
          <w:noProof/>
          <w:vertAlign w:val="superscript"/>
          <w:lang w:val="en-CA" w:eastAsia="ja-JP"/>
        </w:rPr>
        <w:t>11,17,22</w:t>
      </w:r>
      <w:r w:rsidR="00D61252" w:rsidRPr="00D039E9">
        <w:rPr>
          <w:rFonts w:cs="Times"/>
          <w:bCs/>
          <w:lang w:val="en-CA" w:eastAsia="ja-JP"/>
        </w:rPr>
        <w:fldChar w:fldCharType="end"/>
      </w:r>
      <w:r w:rsidRPr="00D039E9">
        <w:rPr>
          <w:rFonts w:cs="Times"/>
          <w:bCs/>
          <w:lang w:val="en-CA" w:eastAsia="ja-JP"/>
        </w:rPr>
        <w:t xml:space="preserve"> </w:t>
      </w:r>
      <w:r w:rsidR="00AA22FE" w:rsidRPr="00D039E9">
        <w:rPr>
          <w:rFonts w:cs="Times"/>
          <w:bCs/>
          <w:lang w:val="en-CA" w:eastAsia="ja-JP"/>
        </w:rPr>
        <w:t xml:space="preserve"> </w:t>
      </w:r>
    </w:p>
    <w:p w14:paraId="36634895" w14:textId="3B18034D" w:rsidR="00AA22FE" w:rsidRPr="00D039E9" w:rsidRDefault="000E5B3F" w:rsidP="00AA22FE">
      <w:pPr>
        <w:pStyle w:val="TAMainText"/>
        <w:ind w:firstLine="0"/>
        <w:rPr>
          <w:rFonts w:cs="Times"/>
          <w:lang w:val="en-CA"/>
        </w:rPr>
      </w:pPr>
      <m:oMath>
        <m:sSub>
          <m:sSubPr>
            <m:ctrlPr>
              <w:rPr>
                <w:rFonts w:ascii="Cambria Math" w:hAnsi="Cambria Math" w:cs="Times"/>
                <w:i/>
                <w:lang w:val="en-CA"/>
              </w:rPr>
            </m:ctrlPr>
          </m:sSubPr>
          <m:e>
            <m:r>
              <w:rPr>
                <w:rFonts w:ascii="Cambria Math" w:hAnsi="Cambria Math" w:cs="Times"/>
                <w:lang w:val="en-CA"/>
              </w:rPr>
              <m:t>G</m:t>
            </m:r>
          </m:e>
          <m:sub>
            <m:r>
              <w:rPr>
                <w:rFonts w:ascii="Cambria Math" w:hAnsi="Cambria Math" w:cs="Times"/>
                <w:lang w:val="en-CA"/>
              </w:rPr>
              <m:t>PF</m:t>
            </m:r>
          </m:sub>
        </m:sSub>
        <m:r>
          <w:rPr>
            <w:rFonts w:ascii="Cambria Math" w:hAnsi="Cambria Math" w:cs="Times"/>
            <w:lang w:val="en-CA"/>
          </w:rPr>
          <m:t>=</m:t>
        </m:r>
        <m:f>
          <m:fPr>
            <m:ctrlPr>
              <w:rPr>
                <w:rFonts w:ascii="Cambria Math" w:hAnsi="Cambria Math" w:cs="Times"/>
                <w:i/>
                <w:lang w:val="en-CA"/>
              </w:rPr>
            </m:ctrlPr>
          </m:fPr>
          <m:num>
            <m:r>
              <w:rPr>
                <w:rFonts w:ascii="Cambria Math" w:hAnsi="Cambria Math" w:cs="Times"/>
                <w:lang w:val="en-CA"/>
              </w:rPr>
              <m:t>1</m:t>
            </m:r>
          </m:num>
          <m:den>
            <m:sSub>
              <m:sSubPr>
                <m:ctrlPr>
                  <w:rPr>
                    <w:rFonts w:ascii="Cambria Math" w:hAnsi="Cambria Math" w:cs="Times"/>
                    <w:i/>
                    <w:lang w:val="en-CA"/>
                  </w:rPr>
                </m:ctrlPr>
              </m:sSubPr>
              <m:e>
                <m:r>
                  <w:rPr>
                    <w:rFonts w:ascii="Cambria Math" w:hAnsi="Cambria Math" w:cs="Times"/>
                    <w:lang w:val="en-CA"/>
                  </w:rPr>
                  <m:t>c</m:t>
                </m:r>
              </m:e>
              <m:sub>
                <m:r>
                  <w:rPr>
                    <w:rFonts w:ascii="Cambria Math" w:hAnsi="Cambria Math" w:cs="Times"/>
                    <w:lang w:val="en-CA"/>
                  </w:rPr>
                  <m:t>F</m:t>
                </m:r>
              </m:sub>
            </m:sSub>
          </m:den>
        </m:f>
        <m:f>
          <m:fPr>
            <m:ctrlPr>
              <w:rPr>
                <w:rFonts w:ascii="Cambria Math" w:hAnsi="Cambria Math" w:cs="Times"/>
                <w:i/>
                <w:lang w:val="en-CA"/>
              </w:rPr>
            </m:ctrlPr>
          </m:fPr>
          <m:num>
            <m:sSubSup>
              <m:sSubSupPr>
                <m:ctrlPr>
                  <w:rPr>
                    <w:rFonts w:ascii="Cambria Math" w:hAnsi="Cambria Math" w:cs="Times"/>
                    <w:i/>
                    <w:lang w:val="en-CA"/>
                  </w:rPr>
                </m:ctrlPr>
              </m:sSubSupPr>
              <m:e>
                <m:r>
                  <w:rPr>
                    <w:rFonts w:ascii="Cambria Math" w:hAnsi="Cambria Math" w:cs="Times"/>
                    <w:lang w:val="en-CA"/>
                  </w:rPr>
                  <m:t>c</m:t>
                </m:r>
              </m:e>
              <m:sub>
                <m:r>
                  <w:rPr>
                    <w:rFonts w:ascii="Cambria Math" w:hAnsi="Cambria Math" w:cs="Times"/>
                    <w:lang w:val="en-CA"/>
                  </w:rPr>
                  <m:t>F</m:t>
                </m:r>
              </m:sub>
              <m:sup>
                <m:r>
                  <w:rPr>
                    <w:rFonts w:ascii="Cambria Math" w:hAnsi="Cambria Math" w:cs="Times"/>
                    <w:lang w:val="en-CA"/>
                  </w:rPr>
                  <m:t>vic</m:t>
                </m:r>
              </m:sup>
            </m:sSubSup>
            <m:r>
              <w:rPr>
                <w:rFonts w:ascii="Cambria Math" w:hAnsi="Cambria Math" w:cs="Times"/>
                <w:lang w:val="en-CA"/>
              </w:rPr>
              <m:t>-</m:t>
            </m:r>
            <m:sSub>
              <m:sSubPr>
                <m:ctrlPr>
                  <w:rPr>
                    <w:rFonts w:ascii="Cambria Math" w:hAnsi="Cambria Math" w:cs="Times"/>
                    <w:i/>
                    <w:lang w:val="en-CA"/>
                  </w:rPr>
                </m:ctrlPr>
              </m:sSubPr>
              <m:e>
                <m:r>
                  <w:rPr>
                    <w:rFonts w:ascii="Cambria Math" w:hAnsi="Cambria Math" w:cs="Times"/>
                    <w:lang w:val="en-CA"/>
                  </w:rPr>
                  <m:t>c</m:t>
                </m:r>
              </m:e>
              <m:sub>
                <m:r>
                  <w:rPr>
                    <w:rFonts w:ascii="Cambria Math" w:hAnsi="Cambria Math" w:cs="Times"/>
                    <w:lang w:val="en-CA"/>
                  </w:rPr>
                  <m:t>F</m:t>
                </m:r>
              </m:sub>
            </m:sSub>
          </m:num>
          <m:den>
            <m:sSub>
              <m:sSubPr>
                <m:ctrlPr>
                  <w:rPr>
                    <w:rFonts w:ascii="Cambria Math" w:hAnsi="Cambria Math" w:cs="Times"/>
                    <w:i/>
                    <w:lang w:val="en-CA"/>
                  </w:rPr>
                </m:ctrlPr>
              </m:sSubPr>
              <m:e>
                <m:r>
                  <w:rPr>
                    <w:rFonts w:ascii="Cambria Math" w:hAnsi="Cambria Math" w:cs="Times"/>
                    <w:lang w:val="en-CA"/>
                  </w:rPr>
                  <m:t>c</m:t>
                </m:r>
              </m:e>
              <m:sub>
                <m:r>
                  <w:rPr>
                    <w:rFonts w:ascii="Cambria Math" w:hAnsi="Cambria Math" w:cs="Times"/>
                    <w:lang w:val="en-CA"/>
                  </w:rPr>
                  <m:t>P</m:t>
                </m:r>
              </m:sub>
            </m:sSub>
          </m:den>
        </m:f>
      </m:oMath>
      <w:r w:rsidR="005E079C" w:rsidRPr="00D039E9">
        <w:rPr>
          <w:rFonts w:cs="Times"/>
          <w:lang w:val="en-CA"/>
        </w:rPr>
        <w:tab/>
      </w:r>
      <w:r w:rsidR="005E079C" w:rsidRPr="00D039E9">
        <w:rPr>
          <w:rFonts w:cs="Times"/>
          <w:lang w:val="en-CA"/>
        </w:rPr>
        <w:tab/>
      </w:r>
      <w:r w:rsidR="005E079C" w:rsidRPr="00D039E9">
        <w:rPr>
          <w:rFonts w:cs="Times"/>
          <w:lang w:val="en-CA"/>
        </w:rPr>
        <w:tab/>
      </w:r>
      <w:r w:rsidR="005E079C" w:rsidRPr="00D039E9">
        <w:rPr>
          <w:rFonts w:cs="Times"/>
          <w:lang w:val="en-CA"/>
        </w:rPr>
        <w:tab/>
      </w:r>
      <w:r w:rsidR="005E079C" w:rsidRPr="00D039E9">
        <w:rPr>
          <w:rFonts w:cs="Times"/>
          <w:lang w:val="en-CA"/>
        </w:rPr>
        <w:tab/>
      </w:r>
      <w:r w:rsidR="005E079C" w:rsidRPr="00D039E9">
        <w:rPr>
          <w:rFonts w:cs="Times"/>
          <w:lang w:val="en-CA"/>
        </w:rPr>
        <w:tab/>
      </w:r>
      <w:r w:rsidR="005E079C" w:rsidRPr="00D039E9">
        <w:rPr>
          <w:rFonts w:cs="Times"/>
          <w:lang w:val="en-CA"/>
        </w:rPr>
        <w:tab/>
      </w:r>
      <w:r w:rsidR="005E079C" w:rsidRPr="00D039E9">
        <w:rPr>
          <w:rFonts w:cs="Times"/>
          <w:lang w:val="en-CA"/>
        </w:rPr>
        <w:tab/>
      </w:r>
      <w:r w:rsidR="005E079C" w:rsidRPr="00D039E9">
        <w:rPr>
          <w:rFonts w:cs="Times"/>
          <w:lang w:val="en-CA"/>
        </w:rPr>
        <w:tab/>
      </w:r>
      <w:r w:rsidR="005E079C" w:rsidRPr="00D039E9">
        <w:rPr>
          <w:rFonts w:cs="Times"/>
          <w:lang w:val="en-CA"/>
        </w:rPr>
        <w:tab/>
      </w:r>
      <w:r w:rsidR="00AA22FE" w:rsidRPr="00D039E9">
        <w:rPr>
          <w:rFonts w:cs="Times"/>
          <w:bCs/>
          <w:lang w:val="en-CA" w:eastAsia="ja-JP"/>
        </w:rPr>
        <w:t>(5)</w:t>
      </w:r>
    </w:p>
    <w:p w14:paraId="1BEF37AA" w14:textId="3C53EDE0" w:rsidR="003A72AC" w:rsidRPr="00D039E9" w:rsidRDefault="00412B03" w:rsidP="00C4712C">
      <w:pPr>
        <w:pStyle w:val="TAMainText"/>
        <w:ind w:firstLine="0"/>
        <w:rPr>
          <w:rFonts w:cs="Times"/>
          <w:lang w:val="en-CA"/>
        </w:rPr>
      </w:pPr>
      <w:r w:rsidRPr="00D039E9">
        <w:rPr>
          <w:rFonts w:cs="Times"/>
          <w:lang w:val="en-CA"/>
        </w:rPr>
        <w:t xml:space="preserve">(The relationship between </w:t>
      </w:r>
      <m:oMath>
        <m:sSub>
          <m:sSubPr>
            <m:ctrlPr>
              <w:rPr>
                <w:rFonts w:ascii="Cambria Math" w:hAnsi="Cambria Math" w:cs="Times"/>
                <w:i/>
                <w:lang w:val="en-CA"/>
              </w:rPr>
            </m:ctrlPr>
          </m:sSubPr>
          <m:e>
            <m:r>
              <w:rPr>
                <w:rFonts w:ascii="Cambria Math" w:hAnsi="Cambria Math" w:cs="Times"/>
                <w:lang w:val="en-CA"/>
              </w:rPr>
              <m:t>G</m:t>
            </m:r>
          </m:e>
          <m:sub>
            <m:r>
              <w:rPr>
                <w:rFonts w:ascii="Cambria Math" w:hAnsi="Cambria Math" w:cs="Times"/>
                <w:lang w:val="en-CA"/>
              </w:rPr>
              <m:t>PF</m:t>
            </m:r>
          </m:sub>
        </m:sSub>
      </m:oMath>
      <w:r w:rsidRPr="00D039E9">
        <w:rPr>
          <w:rFonts w:cs="Times"/>
          <w:lang w:val="en-CA"/>
        </w:rPr>
        <w:t xml:space="preserve"> and the solvation free energy is outlined in Appendix B.) </w:t>
      </w:r>
    </w:p>
    <w:p w14:paraId="000EEC37" w14:textId="77777777" w:rsidR="003A72AC" w:rsidRPr="00D039E9" w:rsidRDefault="003A72AC" w:rsidP="00C4712C">
      <w:pPr>
        <w:pStyle w:val="TAMainText"/>
        <w:ind w:firstLine="0"/>
        <w:rPr>
          <w:rFonts w:cs="Times"/>
          <w:lang w:val="en-CA"/>
        </w:rPr>
      </w:pPr>
    </w:p>
    <w:p w14:paraId="3ED03BBD" w14:textId="0922173E" w:rsidR="003A72AC" w:rsidRPr="00D039E9" w:rsidRDefault="00382AEE" w:rsidP="003A72AC">
      <w:pPr>
        <w:pStyle w:val="TAMainText"/>
        <w:rPr>
          <w:lang w:val="en-CA"/>
        </w:rPr>
      </w:pPr>
      <w:r w:rsidRPr="00D039E9">
        <w:rPr>
          <w:lang w:val="en-CA"/>
        </w:rPr>
        <w:t xml:space="preserve">However, it is practically impossible to determine </w:t>
      </w:r>
      <m:oMath>
        <m:sSub>
          <m:sSubPr>
            <m:ctrlPr>
              <w:rPr>
                <w:rFonts w:ascii="Cambria Math" w:hAnsi="Cambria Math"/>
                <w:i/>
                <w:lang w:val="en-CA" w:eastAsia="ja-JP"/>
              </w:rPr>
            </m:ctrlPr>
          </m:sSubPr>
          <m:e>
            <m:r>
              <w:rPr>
                <w:rFonts w:ascii="Cambria Math" w:hAnsi="Cambria Math"/>
                <w:lang w:val="en-CA" w:eastAsia="ja-JP"/>
              </w:rPr>
              <m:t>c</m:t>
            </m:r>
          </m:e>
          <m:sub>
            <m:r>
              <w:rPr>
                <w:rFonts w:ascii="Cambria Math" w:hAnsi="Cambria Math"/>
                <w:lang w:val="en-CA" w:eastAsia="ja-JP"/>
              </w:rPr>
              <m:t>F</m:t>
            </m:r>
          </m:sub>
        </m:sSub>
      </m:oMath>
      <w:r w:rsidRPr="00D039E9">
        <w:rPr>
          <w:lang w:val="en-CA" w:eastAsia="ja-JP"/>
        </w:rPr>
        <w:t xml:space="preserve"> and </w:t>
      </w:r>
      <m:oMath>
        <m:sSubSup>
          <m:sSubSupPr>
            <m:ctrlPr>
              <w:rPr>
                <w:rFonts w:ascii="Cambria Math" w:hAnsi="Cambria Math"/>
                <w:i/>
                <w:lang w:val="en-CA" w:eastAsia="ja-JP"/>
              </w:rPr>
            </m:ctrlPr>
          </m:sSubSupPr>
          <m:e>
            <m:r>
              <w:rPr>
                <w:rFonts w:ascii="Cambria Math" w:hAnsi="Cambria Math"/>
                <w:lang w:val="en-CA" w:eastAsia="ja-JP"/>
              </w:rPr>
              <m:t>c</m:t>
            </m:r>
          </m:e>
          <m:sub>
            <m:r>
              <w:rPr>
                <w:rFonts w:ascii="Cambria Math" w:hAnsi="Cambria Math"/>
                <w:lang w:val="en-CA" w:eastAsia="ja-JP"/>
              </w:rPr>
              <m:t>F</m:t>
            </m:r>
          </m:sub>
          <m:sup>
            <m:r>
              <w:rPr>
                <w:rFonts w:ascii="Cambria Math" w:hAnsi="Cambria Math"/>
                <w:lang w:val="en-CA" w:eastAsia="ja-JP"/>
              </w:rPr>
              <m:t>vic</m:t>
            </m:r>
          </m:sup>
        </m:sSubSup>
      </m:oMath>
      <w:r w:rsidRPr="00D039E9">
        <w:rPr>
          <w:lang w:val="en-CA" w:eastAsia="ja-JP"/>
        </w:rPr>
        <w:t xml:space="preserve"> </w:t>
      </w:r>
      <w:r w:rsidR="003A72AC" w:rsidRPr="00D039E9">
        <w:rPr>
          <w:lang w:val="en-CA" w:eastAsia="ja-JP"/>
        </w:rPr>
        <w:t>directly from experiments</w:t>
      </w:r>
      <w:r w:rsidR="001743F4" w:rsidRPr="00D039E9">
        <w:rPr>
          <w:lang w:val="en-CA" w:eastAsia="ja-JP"/>
        </w:rPr>
        <w:t xml:space="preserve">. </w:t>
      </w:r>
      <w:r w:rsidRPr="00D039E9">
        <w:rPr>
          <w:lang w:val="en-CA" w:eastAsia="ja-JP"/>
        </w:rPr>
        <w:t>W</w:t>
      </w:r>
      <w:r w:rsidR="003A72AC" w:rsidRPr="00D039E9">
        <w:rPr>
          <w:lang w:val="en-CA" w:eastAsia="ja-JP"/>
        </w:rPr>
        <w:t>hat is possible</w:t>
      </w:r>
      <w:r w:rsidRPr="00D039E9">
        <w:rPr>
          <w:lang w:val="en-CA" w:eastAsia="ja-JP"/>
        </w:rPr>
        <w:t xml:space="preserve"> instead is </w:t>
      </w:r>
      <w:r w:rsidR="00C4712C" w:rsidRPr="00D039E9">
        <w:rPr>
          <w:lang w:val="en-CA" w:eastAsia="ja-JP"/>
        </w:rPr>
        <w:t xml:space="preserve">to measure the </w:t>
      </w:r>
      <w:r w:rsidR="00C4712C" w:rsidRPr="00D039E9">
        <w:rPr>
          <w:i/>
          <w:lang w:val="en-CA" w:eastAsia="ja-JP"/>
        </w:rPr>
        <w:t>increment</w:t>
      </w:r>
      <w:r w:rsidR="00412B03" w:rsidRPr="00D039E9">
        <w:rPr>
          <w:i/>
          <w:lang w:val="en-CA" w:eastAsia="ja-JP"/>
        </w:rPr>
        <w:t xml:space="preserve"> of </w:t>
      </w:r>
      <w:r w:rsidR="00412B03" w:rsidRPr="00D039E9">
        <w:rPr>
          <w:lang w:val="en-CA" w:eastAsia="ja-JP"/>
        </w:rPr>
        <w:t>(</w:t>
      </w:r>
      <w:r w:rsidR="00412B03" w:rsidRPr="00D039E9">
        <w:rPr>
          <w:i/>
          <w:lang w:val="en-CA" w:eastAsia="ja-JP"/>
        </w:rPr>
        <w:t>or decrease in</w:t>
      </w:r>
      <w:r w:rsidR="00412B03" w:rsidRPr="00D039E9">
        <w:rPr>
          <w:lang w:val="en-CA" w:eastAsia="ja-JP"/>
        </w:rPr>
        <w:t xml:space="preserve">) </w:t>
      </w:r>
      <w:r w:rsidR="003A72AC" w:rsidRPr="00D039E9">
        <w:rPr>
          <w:lang w:val="en-CA" w:eastAsia="ja-JP"/>
        </w:rPr>
        <w:t xml:space="preserve">flavour molecule concentration </w:t>
      </w:r>
      <w:r w:rsidR="003A72AC" w:rsidRPr="00D039E9">
        <w:rPr>
          <w:lang w:val="en-CA"/>
        </w:rPr>
        <w:t>that</w:t>
      </w:r>
      <w:r w:rsidR="00C4712C" w:rsidRPr="00D039E9">
        <w:rPr>
          <w:lang w:val="en-CA"/>
        </w:rPr>
        <w:t xml:space="preserve"> accompanies the introduction of </w:t>
      </w:r>
      <w:r w:rsidR="00412B03" w:rsidRPr="00D039E9">
        <w:rPr>
          <w:lang w:val="en-CA"/>
        </w:rPr>
        <w:t xml:space="preserve">protein molecules inside the </w:t>
      </w:r>
      <w:r w:rsidR="003A72AC" w:rsidRPr="00D039E9">
        <w:rPr>
          <w:lang w:val="en-CA"/>
        </w:rPr>
        <w:t>membrane.</w:t>
      </w:r>
      <w:r w:rsidR="00D61252" w:rsidRPr="00D039E9">
        <w:rPr>
          <w:lang w:val="en-CA"/>
        </w:rPr>
        <w:fldChar w:fldCharType="begin" w:fldLock="1"/>
      </w:r>
      <w:r w:rsidR="00C65F5C" w:rsidRPr="00D039E9">
        <w:rPr>
          <w:lang w:val="en-CA"/>
        </w:rPr>
        <w:instrText>ADDIN CSL_CITATION { "citationItems" : [ { "id" : "ITEM-1", "itemData" : { "author" : [ { "dropping-particle" : "", "family" : "Timasheff", "given" : "Serge N", "non-dropping-particle" : "", "parse-names" : false, "suffix" : "" } ], "container-title" : "Journal of Biological Chemistry", "id" : "ITEM-1", "issue" : "21", "issued" : { "date-parts" : [ [ "1967" ] ] }, "page" : "5080-5085", "title" : "Preferential solvation of bovine serum albumin in aqueous guanidine hydrochloride", "type" : "article-journal", "volume" : "242" }, "uris" : [ "http://www.mendeley.com/documents/?uuid=86c325ef-40fb-440a-9576-2eb4f6f10af2" ] }, { "id" : "ITEM-2", "itemData" : { "author" : [ { "dropping-particle" : "", "family" : "Timasheff", "given" : "Serge N", "non-dropping-particle" : "", "parse-names" : false, "suffix" : "" } ], "container-title" : "Biochemistry", "id" : "ITEM-2", "issue" : "46", "issued" : { "date-parts" : [ [ "2002" ] ] }, "page" : "13474-13482", "title" : "Protein Hydration , Thermodynamic Binding , and Preferential Hydration", "type" : "article-journal", "volume" : "41" }, "uris" : [ "http://www.mendeley.com/documents/?uuid=fbc92257-37bb-4dee-aabf-29d835d8cf16" ] }, { "id" : "ITEM-3", "itemData" : { "author" : [ { "dropping-particle" : "", "family" : "Timasheff", "given" : "Serge N", "non-dropping-particle" : "", "parse-names" : false, "suffix" : "" } ], "container-title" : "Proceedings of the National Academy of Sciences", "id" : "ITEM-3", "issue" : "15", "issued" : { "date-parts" : [ [ "2002" ] ] }, "page" : "9721-9726", "title" : "Protein-solvent preferential interactions , protein hydration , and the modulation of biochemical reactions by solvent components", "type" : "article-journal", "volume" : "99" }, "uris" : [ "http://www.mendeley.com/documents/?uuid=5bee905d-fdd4-4582-a49a-15018471ab27" ] } ], "mendeley" : { "formattedCitation" : "&lt;sup&gt;58,64,65&lt;/sup&gt;", "plainTextFormattedCitation" : "58,64,65", "previouslyFormattedCitation" : "&lt;sup&gt;58,64,65&lt;/sup&gt;" }, "properties" : { "noteIndex" : 0 }, "schema" : "https://github.com/citation-style-language/schema/raw/master/csl-citation.json" }</w:instrText>
      </w:r>
      <w:r w:rsidR="00D61252" w:rsidRPr="00D039E9">
        <w:rPr>
          <w:lang w:val="en-CA"/>
        </w:rPr>
        <w:fldChar w:fldCharType="separate"/>
      </w:r>
      <w:r w:rsidR="00BB3004" w:rsidRPr="00D039E9">
        <w:rPr>
          <w:noProof/>
          <w:vertAlign w:val="superscript"/>
          <w:lang w:val="en-CA"/>
        </w:rPr>
        <w:t>58,64,65</w:t>
      </w:r>
      <w:r w:rsidR="00D61252" w:rsidRPr="00D039E9">
        <w:rPr>
          <w:lang w:val="en-CA"/>
        </w:rPr>
        <w:fldChar w:fldCharType="end"/>
      </w:r>
      <w:r w:rsidR="003A72AC" w:rsidRPr="00D039E9">
        <w:rPr>
          <w:lang w:val="en-CA"/>
        </w:rPr>
        <w:t xml:space="preserve"> Such an approach follows the well-established protocol for determining </w:t>
      </w:r>
      <w:r w:rsidR="003A72AC" w:rsidRPr="00D039E9">
        <w:rPr>
          <w:rFonts w:cs="Times"/>
          <w:lang w:val="en-CA"/>
        </w:rPr>
        <w:t>ligand binding on proteins by the use of semi-permeable membrane.</w:t>
      </w:r>
      <w:r w:rsidR="00D61252" w:rsidRPr="00D039E9">
        <w:rPr>
          <w:rFonts w:cs="Times"/>
          <w:lang w:val="en-CA"/>
        </w:rPr>
        <w:fldChar w:fldCharType="begin" w:fldLock="1"/>
      </w:r>
      <w:r w:rsidR="003E67FA" w:rsidRPr="00D039E9">
        <w:rPr>
          <w:rFonts w:cs="Times"/>
          <w:lang w:val="en-CA"/>
        </w:rPr>
        <w:instrText>ADDIN CSL_CITATION { "citationItems" : [ { "id" : "ITEM-1", "itemData" : { "ISBN" : "0471176265", "abstract" : "\"A Wiley-Interscience publication.\" 1. Number of Liganded Molecules -- 2. Affinities: From a Site Perspective -- 3. Affinities: From a Stoichiometric Perspective -- 4. Affinities: From a Ghost-Site Perspective -- 5. Facts and Fantasies from Graphical Analyses -- 6. Numerical Evaluations of Stoichiometric Binding Constants -- 7. Affinity Profiles -- 8. Thermodynamic Perspectives -- 9. Forces of Interaction -- 10. Molecular Scenarios -- App. A1. Experimental Procedures in Equilibrium Dialysis -- App. A2. Properties of Graphical Representations of Multiple Classes of Independent Binding Sites -- App. A3. Relationships Between Stoichiometric Binding Constants and Site-Binding Constants -- App. A4. Relationships Between Stoichiometric Binding Constants and Ghost-Site Binding Constants.", "author" : [ { "dropping-particle" : "", "family" : "Klotz", "given" : "Irving M.", "non-dropping-particle" : "", "parse-names" : false, "suffix" : "" } ], "id" : "ITEM-1", "issued" : { "date-parts" : [ [ "1997" ] ] }, "number-of-pages" : "170", "publisher" : "Wiley", "publisher-place" : "New York", "title" : "Ligand-receptor energetics : a guide for the perplexed", "type" : "book" }, "uris" : [ "http://www.mendeley.com/documents/?uuid=dd952269-684f-3ac3-8305-432524b1ebd4" ] }, { "id" : "ITEM-2", "itemData" : { "ISBN" : "0935702563", "author" : [ { "dropping-particle" : "", "family" : "Wyman", "given" : "Jeffries.", "non-dropping-particle" : "", "parse-names" : false, "suffix" : "" }, { "dropping-particle" : "", "family" : "Gill", "given" : "Stanley J.", "non-dropping-particle" : "", "parse-names" : false, "suffix" : "" } ], "id" : "ITEM-2", "issued" : { "date-parts" : [ [ "1990" ] ] }, "number-of-pages" : "330", "publisher" : "University Science Books", "publisher-place" : "Mill Valley, CA", "title" : "Binding and linkage : functional chemistry of biological macromolecules", "type" : "book" }, "uris" : [ "http://www.mendeley.com/documents/?uuid=018c2dc4-bd6d-31b5-abf5-f47e336b6a74" ] } ], "mendeley" : { "formattedCitation" : "&lt;sup&gt;9,10&lt;/sup&gt;", "plainTextFormattedCitation" : "9,10", "previouslyFormattedCitation" : "&lt;sup&gt;9,10&lt;/sup&gt;" }, "properties" : { "noteIndex" : 0 }, "schema" : "https://github.com/citation-style-language/schema/raw/master/csl-citation.json" }</w:instrText>
      </w:r>
      <w:r w:rsidR="00D61252" w:rsidRPr="00D039E9">
        <w:rPr>
          <w:rFonts w:cs="Times"/>
          <w:lang w:val="en-CA"/>
        </w:rPr>
        <w:fldChar w:fldCharType="separate"/>
      </w:r>
      <w:r w:rsidR="003E67FA" w:rsidRPr="00D039E9">
        <w:rPr>
          <w:rFonts w:cs="Times"/>
          <w:noProof/>
          <w:vertAlign w:val="superscript"/>
          <w:lang w:val="en-CA"/>
        </w:rPr>
        <w:t>9,10</w:t>
      </w:r>
      <w:r w:rsidR="00D61252" w:rsidRPr="00D039E9">
        <w:rPr>
          <w:rFonts w:cs="Times"/>
          <w:lang w:val="en-CA"/>
        </w:rPr>
        <w:fldChar w:fldCharType="end"/>
      </w:r>
      <w:r w:rsidR="003A72AC" w:rsidRPr="00D039E9">
        <w:rPr>
          <w:rFonts w:cs="Times"/>
          <w:lang w:val="en-CA"/>
        </w:rPr>
        <w:t xml:space="preserve"> The amount of flavour molecules bound to a mole of protein is expressed as </w:t>
      </w:r>
    </w:p>
    <w:p w14:paraId="55909F2B" w14:textId="5C683E41" w:rsidR="003A72AC" w:rsidRPr="00D039E9" w:rsidRDefault="004A5FF5" w:rsidP="003A72AC">
      <w:pPr>
        <w:pStyle w:val="TAMainText"/>
        <w:ind w:firstLine="0"/>
        <w:rPr>
          <w:rFonts w:cs="Times"/>
          <w:lang w:val="en-CA"/>
        </w:rPr>
      </w:pPr>
      <m:oMath>
        <m:r>
          <m:rPr>
            <m:sty m:val="p"/>
          </m:rPr>
          <w:rPr>
            <w:rFonts w:ascii="Cambria Math" w:hAnsi="Cambria Math"/>
            <w:lang w:val="en-CA"/>
          </w:rPr>
          <m:t>Γ</m:t>
        </m:r>
        <m:r>
          <w:rPr>
            <w:rFonts w:ascii="Cambria Math" w:hAnsi="Cambria Math" w:cs="Times"/>
            <w:lang w:val="en-CA"/>
          </w:rPr>
          <m:t>=</m:t>
        </m:r>
        <m:sSub>
          <m:sSubPr>
            <m:ctrlPr>
              <w:rPr>
                <w:rFonts w:ascii="Cambria Math" w:hAnsi="Cambria Math" w:cs="Times"/>
                <w:i/>
                <w:lang w:val="en-CA"/>
              </w:rPr>
            </m:ctrlPr>
          </m:sSubPr>
          <m:e>
            <m:d>
              <m:dPr>
                <m:ctrlPr>
                  <w:rPr>
                    <w:rFonts w:ascii="Cambria Math" w:hAnsi="Cambria Math" w:cs="Times"/>
                    <w:i/>
                    <w:lang w:val="en-CA"/>
                  </w:rPr>
                </m:ctrlPr>
              </m:dPr>
              <m:e>
                <m:f>
                  <m:fPr>
                    <m:ctrlPr>
                      <w:rPr>
                        <w:rFonts w:ascii="Cambria Math" w:hAnsi="Cambria Math" w:cs="Times"/>
                        <w:i/>
                        <w:lang w:val="en-CA"/>
                      </w:rPr>
                    </m:ctrlPr>
                  </m:fPr>
                  <m:num>
                    <m:r>
                      <w:rPr>
                        <w:rFonts w:ascii="Cambria Math" w:hAnsi="Cambria Math" w:cs="Times"/>
                        <w:lang w:val="en-CA"/>
                      </w:rPr>
                      <m:t>∂</m:t>
                    </m:r>
                    <m:sSub>
                      <m:sSubPr>
                        <m:ctrlPr>
                          <w:rPr>
                            <w:rFonts w:ascii="Cambria Math" w:hAnsi="Cambria Math" w:cs="Times"/>
                            <w:i/>
                            <w:lang w:val="en-CA"/>
                          </w:rPr>
                        </m:ctrlPr>
                      </m:sSubPr>
                      <m:e>
                        <m:r>
                          <w:rPr>
                            <w:rFonts w:ascii="Cambria Math" w:hAnsi="Cambria Math" w:cs="Times"/>
                            <w:lang w:val="en-CA"/>
                          </w:rPr>
                          <m:t>m</m:t>
                        </m:r>
                      </m:e>
                      <m:sub>
                        <m:r>
                          <w:rPr>
                            <w:rFonts w:ascii="Cambria Math" w:hAnsi="Cambria Math" w:cs="Times"/>
                            <w:lang w:val="en-CA"/>
                          </w:rPr>
                          <m:t>F</m:t>
                        </m:r>
                      </m:sub>
                    </m:sSub>
                  </m:num>
                  <m:den>
                    <m:r>
                      <w:rPr>
                        <w:rFonts w:ascii="Cambria Math" w:hAnsi="Cambria Math" w:cs="Times"/>
                        <w:lang w:val="en-CA"/>
                      </w:rPr>
                      <m:t>∂</m:t>
                    </m:r>
                    <m:sSub>
                      <m:sSubPr>
                        <m:ctrlPr>
                          <w:rPr>
                            <w:rFonts w:ascii="Cambria Math" w:hAnsi="Cambria Math" w:cs="Times"/>
                            <w:i/>
                            <w:lang w:val="en-CA"/>
                          </w:rPr>
                        </m:ctrlPr>
                      </m:sSubPr>
                      <m:e>
                        <m:r>
                          <w:rPr>
                            <w:rFonts w:ascii="Cambria Math" w:hAnsi="Cambria Math" w:cs="Times"/>
                            <w:lang w:val="en-CA"/>
                          </w:rPr>
                          <m:t>m</m:t>
                        </m:r>
                      </m:e>
                      <m:sub>
                        <m:r>
                          <w:rPr>
                            <w:rFonts w:ascii="Cambria Math" w:hAnsi="Cambria Math" w:cs="Times"/>
                            <w:lang w:val="en-CA"/>
                          </w:rPr>
                          <m:t>P</m:t>
                        </m:r>
                      </m:sub>
                    </m:sSub>
                  </m:den>
                </m:f>
              </m:e>
            </m:d>
          </m:e>
          <m:sub>
            <m:r>
              <w:rPr>
                <w:rFonts w:ascii="Cambria Math" w:hAnsi="Cambria Math" w:cs="Times"/>
                <w:lang w:val="en-CA"/>
              </w:rPr>
              <m:t>T,P,</m:t>
            </m:r>
            <m:sSub>
              <m:sSubPr>
                <m:ctrlPr>
                  <w:rPr>
                    <w:rFonts w:ascii="Cambria Math" w:hAnsi="Cambria Math" w:cs="Times"/>
                    <w:i/>
                    <w:lang w:val="en-CA"/>
                  </w:rPr>
                </m:ctrlPr>
              </m:sSubPr>
              <m:e>
                <m:r>
                  <w:rPr>
                    <w:rFonts w:ascii="Cambria Math" w:hAnsi="Cambria Math" w:cs="Times"/>
                    <w:lang w:val="en-CA"/>
                  </w:rPr>
                  <m:t>μ</m:t>
                </m:r>
              </m:e>
              <m:sub>
                <m:r>
                  <w:rPr>
                    <w:rFonts w:ascii="Cambria Math" w:hAnsi="Cambria Math" w:cs="Times"/>
                    <w:lang w:val="en-CA"/>
                  </w:rPr>
                  <m:t>F</m:t>
                </m:r>
              </m:sub>
            </m:sSub>
          </m:sub>
        </m:sSub>
      </m:oMath>
      <w:r w:rsidR="003A72AC" w:rsidRPr="00D039E9">
        <w:rPr>
          <w:rFonts w:cs="Times"/>
          <w:lang w:val="en-CA"/>
        </w:rPr>
        <w:tab/>
      </w:r>
      <w:r w:rsidR="003A72AC" w:rsidRPr="00D039E9">
        <w:rPr>
          <w:rFonts w:cs="Times"/>
          <w:lang w:val="en-CA"/>
        </w:rPr>
        <w:tab/>
      </w:r>
      <w:r w:rsidR="003A72AC" w:rsidRPr="00D039E9">
        <w:rPr>
          <w:rFonts w:cs="Times"/>
          <w:lang w:val="en-CA"/>
        </w:rPr>
        <w:tab/>
      </w:r>
      <w:r w:rsidR="003A72AC" w:rsidRPr="00D039E9">
        <w:rPr>
          <w:rFonts w:cs="Times"/>
          <w:lang w:val="en-CA"/>
        </w:rPr>
        <w:tab/>
      </w:r>
      <w:r w:rsidR="003A72AC" w:rsidRPr="00D039E9">
        <w:rPr>
          <w:rFonts w:cs="Times"/>
          <w:lang w:val="en-CA"/>
        </w:rPr>
        <w:tab/>
      </w:r>
      <w:r w:rsidR="003A72AC" w:rsidRPr="00D039E9">
        <w:rPr>
          <w:rFonts w:cs="Times"/>
          <w:lang w:val="en-CA"/>
        </w:rPr>
        <w:tab/>
      </w:r>
      <w:r w:rsidR="003A72AC" w:rsidRPr="00D039E9">
        <w:rPr>
          <w:rFonts w:cs="Times"/>
          <w:lang w:val="en-CA"/>
        </w:rPr>
        <w:tab/>
      </w:r>
      <w:r w:rsidR="003A72AC" w:rsidRPr="00D039E9">
        <w:rPr>
          <w:rFonts w:cs="Times"/>
          <w:lang w:val="en-CA"/>
        </w:rPr>
        <w:tab/>
      </w:r>
      <w:r w:rsidR="003A72AC" w:rsidRPr="00D039E9">
        <w:rPr>
          <w:rFonts w:cs="Times"/>
          <w:lang w:val="en-CA"/>
        </w:rPr>
        <w:tab/>
      </w:r>
      <w:r w:rsidR="003A72AC" w:rsidRPr="00D039E9">
        <w:rPr>
          <w:rFonts w:cs="Times"/>
          <w:lang w:val="en-CA"/>
        </w:rPr>
        <w:tab/>
        <w:t>(6)</w:t>
      </w:r>
    </w:p>
    <w:p w14:paraId="283728D6" w14:textId="51B08875" w:rsidR="003A72AC" w:rsidRPr="00D039E9" w:rsidRDefault="003A72AC" w:rsidP="003A72AC">
      <w:pPr>
        <w:pStyle w:val="TAMainText"/>
        <w:ind w:firstLine="0"/>
        <w:rPr>
          <w:rFonts w:cs="Times"/>
          <w:lang w:val="en-CA"/>
        </w:rPr>
      </w:pPr>
      <w:r w:rsidRPr="00D039E9">
        <w:rPr>
          <w:rFonts w:cs="Times"/>
          <w:lang w:val="en-CA"/>
        </w:rPr>
        <w:t xml:space="preserve">where </w:t>
      </w:r>
      <m:oMath>
        <m:sSub>
          <m:sSubPr>
            <m:ctrlPr>
              <w:rPr>
                <w:rFonts w:ascii="Cambria Math" w:hAnsi="Cambria Math" w:cs="Times"/>
                <w:i/>
                <w:lang w:val="en-CA"/>
              </w:rPr>
            </m:ctrlPr>
          </m:sSubPr>
          <m:e>
            <m:r>
              <w:rPr>
                <w:rFonts w:ascii="Cambria Math" w:hAnsi="Cambria Math" w:cs="Times"/>
                <w:lang w:val="en-CA"/>
              </w:rPr>
              <m:t>m</m:t>
            </m:r>
          </m:e>
          <m:sub>
            <m:r>
              <w:rPr>
                <w:rFonts w:ascii="Cambria Math" w:hAnsi="Cambria Math" w:cs="Times"/>
                <w:lang w:val="en-CA"/>
              </w:rPr>
              <m:t>i</m:t>
            </m:r>
          </m:sub>
        </m:sSub>
      </m:oMath>
      <w:r w:rsidRPr="00D039E9">
        <w:rPr>
          <w:rFonts w:cs="Times"/>
          <w:lang w:val="en-CA"/>
        </w:rPr>
        <w:t xml:space="preserve"> is the molality of the species </w:t>
      </w:r>
      <m:oMath>
        <m:r>
          <w:rPr>
            <w:rFonts w:ascii="Cambria Math" w:hAnsi="Cambria Math" w:cs="Times"/>
            <w:lang w:val="en-CA"/>
          </w:rPr>
          <m:t>i</m:t>
        </m:r>
      </m:oMath>
      <w:r w:rsidRPr="00D039E9">
        <w:rPr>
          <w:rFonts w:cs="Times"/>
          <w:lang w:val="en-CA"/>
        </w:rPr>
        <w:t xml:space="preserve">.  The dependence of </w:t>
      </w:r>
      <m:oMath>
        <m:r>
          <w:rPr>
            <w:rFonts w:ascii="Cambria Math" w:hAnsi="Cambria Math" w:cs="Times"/>
            <w:lang w:val="en-CA"/>
          </w:rPr>
          <m:t>ν</m:t>
        </m:r>
      </m:oMath>
      <w:r w:rsidRPr="00D039E9">
        <w:rPr>
          <w:rFonts w:cs="Times"/>
          <w:lang w:val="en-CA"/>
        </w:rPr>
        <w:t xml:space="preserve"> on </w:t>
      </w:r>
      <m:oMath>
        <m:sSub>
          <m:sSubPr>
            <m:ctrlPr>
              <w:rPr>
                <w:rFonts w:ascii="Cambria Math" w:hAnsi="Cambria Math" w:cs="Times"/>
                <w:i/>
                <w:lang w:val="en-CA"/>
              </w:rPr>
            </m:ctrlPr>
          </m:sSubPr>
          <m:e>
            <m:r>
              <w:rPr>
                <w:rFonts w:ascii="Cambria Math" w:hAnsi="Cambria Math" w:cs="Times"/>
                <w:lang w:val="en-CA"/>
              </w:rPr>
              <m:t>c</m:t>
            </m:r>
          </m:e>
          <m:sub>
            <m:r>
              <w:rPr>
                <w:rFonts w:ascii="Cambria Math" w:hAnsi="Cambria Math" w:cs="Times"/>
                <w:lang w:val="en-CA"/>
              </w:rPr>
              <m:t>F</m:t>
            </m:r>
          </m:sub>
        </m:sSub>
      </m:oMath>
      <w:r w:rsidRPr="00D039E9">
        <w:rPr>
          <w:rFonts w:cs="Times"/>
          <w:lang w:val="en-CA"/>
        </w:rPr>
        <w:t xml:space="preserve"> has long been modelled using stoichiometric binding models,</w:t>
      </w:r>
      <w:r w:rsidR="00D61252" w:rsidRPr="00D039E9">
        <w:rPr>
          <w:rFonts w:cs="Times"/>
          <w:lang w:val="en-CA"/>
        </w:rPr>
        <w:fldChar w:fldCharType="begin" w:fldLock="1"/>
      </w:r>
      <w:r w:rsidR="003E67FA" w:rsidRPr="00D039E9">
        <w:rPr>
          <w:rFonts w:cs="Times"/>
          <w:lang w:val="en-CA"/>
        </w:rPr>
        <w:instrText>ADDIN CSL_CITATION { "citationItems" : [ { "id" : "ITEM-1", "itemData" : { "ISBN" : "0471176265", "abstract" : "\"A Wiley-Interscience publication.\" 1. Number of Liganded Molecules -- 2. Affinities: From a Site Perspective -- 3. Affinities: From a Stoichiometric Perspective -- 4. Affinities: From a Ghost-Site Perspective -- 5. Facts and Fantasies from Graphical Analyses -- 6. Numerical Evaluations of Stoichiometric Binding Constants -- 7. Affinity Profiles -- 8. Thermodynamic Perspectives -- 9. Forces of Interaction -- 10. Molecular Scenarios -- App. A1. Experimental Procedures in Equilibrium Dialysis -- App. A2. Properties of Graphical Representations of Multiple Classes of Independent Binding Sites -- App. A3. Relationships Between Stoichiometric Binding Constants and Site-Binding Constants -- App. A4. Relationships Between Stoichiometric Binding Constants and Ghost-Site Binding Constants.", "author" : [ { "dropping-particle" : "", "family" : "Klotz", "given" : "Irving M.", "non-dropping-particle" : "", "parse-names" : false, "suffix" : "" } ], "id" : "ITEM-1", "issued" : { "date-parts" : [ [ "1997" ] ] }, "number-of-pages" : "170", "publisher" : "Wiley", "publisher-place" : "New York", "title" : "Ligand-receptor energetics : a guide for the perplexed", "type" : "book" }, "uris" : [ "http://www.mendeley.com/documents/?uuid=dd952269-684f-3ac3-8305-432524b1ebd4" ] }, { "id" : "ITEM-2", "itemData" : { "ISBN" : "0935702563", "author" : [ { "dropping-particle" : "", "family" : "Wyman", "given" : "Jeffries.", "non-dropping-particle" : "", "parse-names" : false, "suffix" : "" }, { "dropping-particle" : "", "family" : "Gill", "given" : "Stanley J.", "non-dropping-particle" : "", "parse-names" : false, "suffix" : "" } ], "id" : "ITEM-2", "issued" : { "date-parts" : [ [ "1990" ] ] }, "number-of-pages" : "330", "publisher" : "University Science Books", "publisher-place" : "Mill Valley, CA", "title" : "Binding and linkage : functional chemistry of biological macromolecules", "type" : "book" }, "uris" : [ "http://www.mendeley.com/documents/?uuid=018c2dc4-bd6d-31b5-abf5-f47e336b6a74" ] } ], "mendeley" : { "formattedCitation" : "&lt;sup&gt;9,10&lt;/sup&gt;", "plainTextFormattedCitation" : "9,10", "previouslyFormattedCitation" : "&lt;sup&gt;9,10&lt;/sup&gt;" }, "properties" : { "noteIndex" : 0 }, "schema" : "https://github.com/citation-style-language/schema/raw/master/csl-citation.json" }</w:instrText>
      </w:r>
      <w:r w:rsidR="00D61252" w:rsidRPr="00D039E9">
        <w:rPr>
          <w:rFonts w:cs="Times"/>
          <w:lang w:val="en-CA"/>
        </w:rPr>
        <w:fldChar w:fldCharType="separate"/>
      </w:r>
      <w:r w:rsidR="003E67FA" w:rsidRPr="00D039E9">
        <w:rPr>
          <w:rFonts w:cs="Times"/>
          <w:noProof/>
          <w:vertAlign w:val="superscript"/>
          <w:lang w:val="en-CA"/>
        </w:rPr>
        <w:t>9,10</w:t>
      </w:r>
      <w:r w:rsidR="00D61252" w:rsidRPr="00D039E9">
        <w:rPr>
          <w:rFonts w:cs="Times"/>
          <w:lang w:val="en-CA"/>
        </w:rPr>
        <w:fldChar w:fldCharType="end"/>
      </w:r>
      <w:r w:rsidRPr="00D039E9">
        <w:rPr>
          <w:rFonts w:cs="Times"/>
          <w:lang w:val="en-CA"/>
        </w:rPr>
        <w:t xml:space="preserve"> which assumes</w:t>
      </w:r>
      <w:r w:rsidR="008A307F" w:rsidRPr="00D039E9">
        <w:rPr>
          <w:rFonts w:cs="Times"/>
          <w:lang w:val="en-CA"/>
        </w:rPr>
        <w:t xml:space="preserve"> </w:t>
      </w:r>
      <m:oMath>
        <m:r>
          <w:rPr>
            <w:rFonts w:ascii="Cambria Math" w:hAnsi="Cambria Math" w:cs="Times"/>
            <w:lang w:val="en-CA"/>
          </w:rPr>
          <m:t>n</m:t>
        </m:r>
      </m:oMath>
      <w:r w:rsidR="008A307F" w:rsidRPr="00D039E9">
        <w:rPr>
          <w:rFonts w:cs="Times"/>
          <w:lang w:val="en-CA"/>
        </w:rPr>
        <w:t xml:space="preserve"> </w:t>
      </w:r>
      <w:r w:rsidRPr="00D039E9">
        <w:rPr>
          <w:rFonts w:cs="Times"/>
          <w:lang w:val="en-CA"/>
        </w:rPr>
        <w:t xml:space="preserve">flavour-binding sites on the surface of a protein, each of which binds the flavour molecule with the binding constant </w:t>
      </w:r>
      <m:oMath>
        <m:sSub>
          <m:sSubPr>
            <m:ctrlPr>
              <w:rPr>
                <w:rFonts w:ascii="Cambria Math" w:hAnsi="Cambria Math" w:cs="Times"/>
                <w:i/>
                <w:lang w:val="en-CA"/>
              </w:rPr>
            </m:ctrlPr>
          </m:sSubPr>
          <m:e>
            <m:r>
              <w:rPr>
                <w:rFonts w:ascii="Cambria Math" w:hAnsi="Cambria Math" w:cs="Times"/>
                <w:lang w:val="en-CA"/>
              </w:rPr>
              <m:t>K</m:t>
            </m:r>
          </m:e>
          <m:sub>
            <m:r>
              <w:rPr>
                <w:rFonts w:ascii="Cambria Math" w:hAnsi="Cambria Math" w:cs="Times"/>
                <w:lang w:val="en-CA"/>
              </w:rPr>
              <m:t>b</m:t>
            </m:r>
          </m:sub>
        </m:sSub>
      </m:oMath>
      <w:r w:rsidRPr="00D039E9">
        <w:rPr>
          <w:rFonts w:cs="Times"/>
          <w:lang w:val="en-CA"/>
        </w:rPr>
        <w:t xml:space="preserve">, as </w:t>
      </w:r>
    </w:p>
    <w:p w14:paraId="67266904" w14:textId="6D7AFA4F" w:rsidR="003A72AC" w:rsidRPr="00D039E9" w:rsidRDefault="004A5FF5" w:rsidP="003A72AC">
      <w:pPr>
        <w:pStyle w:val="TAMainText"/>
        <w:ind w:firstLine="0"/>
        <w:rPr>
          <w:rFonts w:cs="Times"/>
          <w:lang w:val="en-CA"/>
        </w:rPr>
      </w:pPr>
      <m:oMath>
        <m:r>
          <m:rPr>
            <m:sty m:val="p"/>
          </m:rPr>
          <w:rPr>
            <w:rFonts w:ascii="Cambria Math" w:hAnsi="Cambria Math" w:cs="Times"/>
            <w:lang w:val="en-CA"/>
          </w:rPr>
          <m:t>Γ</m:t>
        </m:r>
        <m:r>
          <w:rPr>
            <w:rFonts w:ascii="Cambria Math" w:hAnsi="Cambria Math" w:cs="Times"/>
            <w:lang w:val="en-CA"/>
          </w:rPr>
          <m:t>=</m:t>
        </m:r>
        <m:f>
          <m:fPr>
            <m:ctrlPr>
              <w:rPr>
                <w:rFonts w:ascii="Cambria Math" w:hAnsi="Cambria Math" w:cs="Times"/>
                <w:i/>
                <w:lang w:val="en-CA"/>
              </w:rPr>
            </m:ctrlPr>
          </m:fPr>
          <m:num>
            <m:r>
              <w:rPr>
                <w:rFonts w:ascii="Cambria Math" w:hAnsi="Cambria Math" w:cs="Times"/>
                <w:lang w:val="en-CA"/>
              </w:rPr>
              <m:t>n</m:t>
            </m:r>
            <m:sSub>
              <m:sSubPr>
                <m:ctrlPr>
                  <w:rPr>
                    <w:rFonts w:ascii="Cambria Math" w:hAnsi="Cambria Math" w:cs="Times"/>
                    <w:i/>
                    <w:lang w:val="en-CA"/>
                  </w:rPr>
                </m:ctrlPr>
              </m:sSubPr>
              <m:e>
                <m:r>
                  <w:rPr>
                    <w:rFonts w:ascii="Cambria Math" w:hAnsi="Cambria Math" w:cs="Times"/>
                    <w:lang w:val="en-CA"/>
                  </w:rPr>
                  <m:t>K</m:t>
                </m:r>
              </m:e>
              <m:sub>
                <m:r>
                  <w:rPr>
                    <w:rFonts w:ascii="Cambria Math" w:hAnsi="Cambria Math" w:cs="Times"/>
                    <w:lang w:val="en-CA"/>
                  </w:rPr>
                  <m:t>b</m:t>
                </m:r>
              </m:sub>
            </m:sSub>
            <m:sSub>
              <m:sSubPr>
                <m:ctrlPr>
                  <w:rPr>
                    <w:rFonts w:ascii="Cambria Math" w:hAnsi="Cambria Math" w:cs="Times"/>
                    <w:i/>
                    <w:lang w:val="en-CA"/>
                  </w:rPr>
                </m:ctrlPr>
              </m:sSubPr>
              <m:e>
                <m:r>
                  <w:rPr>
                    <w:rFonts w:ascii="Cambria Math" w:hAnsi="Cambria Math" w:cs="Times"/>
                    <w:lang w:val="en-CA"/>
                  </w:rPr>
                  <m:t>c</m:t>
                </m:r>
              </m:e>
              <m:sub>
                <m:r>
                  <w:rPr>
                    <w:rFonts w:ascii="Cambria Math" w:hAnsi="Cambria Math" w:cs="Times"/>
                    <w:lang w:val="en-CA"/>
                  </w:rPr>
                  <m:t>F</m:t>
                </m:r>
              </m:sub>
            </m:sSub>
          </m:num>
          <m:den>
            <m:r>
              <w:rPr>
                <w:rFonts w:ascii="Cambria Math" w:hAnsi="Cambria Math" w:cs="Times"/>
                <w:lang w:val="en-CA"/>
              </w:rPr>
              <m:t>1+</m:t>
            </m:r>
            <m:sSub>
              <m:sSubPr>
                <m:ctrlPr>
                  <w:rPr>
                    <w:rFonts w:ascii="Cambria Math" w:hAnsi="Cambria Math" w:cs="Times"/>
                    <w:i/>
                    <w:lang w:val="en-CA"/>
                  </w:rPr>
                </m:ctrlPr>
              </m:sSubPr>
              <m:e>
                <m:r>
                  <w:rPr>
                    <w:rFonts w:ascii="Cambria Math" w:hAnsi="Cambria Math" w:cs="Times"/>
                    <w:lang w:val="en-CA"/>
                  </w:rPr>
                  <m:t>K</m:t>
                </m:r>
              </m:e>
              <m:sub>
                <m:r>
                  <w:rPr>
                    <w:rFonts w:ascii="Cambria Math" w:hAnsi="Cambria Math" w:cs="Times"/>
                    <w:lang w:val="en-CA"/>
                  </w:rPr>
                  <m:t>b</m:t>
                </m:r>
              </m:sub>
            </m:sSub>
            <m:sSub>
              <m:sSubPr>
                <m:ctrlPr>
                  <w:rPr>
                    <w:rFonts w:ascii="Cambria Math" w:hAnsi="Cambria Math" w:cs="Times"/>
                    <w:i/>
                    <w:lang w:val="en-CA"/>
                  </w:rPr>
                </m:ctrlPr>
              </m:sSubPr>
              <m:e>
                <m:r>
                  <w:rPr>
                    <w:rFonts w:ascii="Cambria Math" w:hAnsi="Cambria Math" w:cs="Times"/>
                    <w:lang w:val="en-CA"/>
                  </w:rPr>
                  <m:t>c</m:t>
                </m:r>
              </m:e>
              <m:sub>
                <m:r>
                  <w:rPr>
                    <w:rFonts w:ascii="Cambria Math" w:hAnsi="Cambria Math" w:cs="Times"/>
                    <w:lang w:val="en-CA"/>
                  </w:rPr>
                  <m:t>F</m:t>
                </m:r>
              </m:sub>
            </m:sSub>
          </m:den>
        </m:f>
        <m:r>
          <w:rPr>
            <w:rFonts w:ascii="Cambria Math" w:hAnsi="Cambria Math" w:cs="Times"/>
            <w:lang w:val="en-CA"/>
          </w:rPr>
          <m:t xml:space="preserve"> </m:t>
        </m:r>
      </m:oMath>
      <w:r w:rsidR="003A72AC" w:rsidRPr="00D039E9">
        <w:rPr>
          <w:rFonts w:cs="Times"/>
          <w:lang w:val="en-CA"/>
        </w:rPr>
        <w:tab/>
      </w:r>
      <w:r w:rsidR="003A72AC" w:rsidRPr="00D039E9">
        <w:rPr>
          <w:rFonts w:cs="Times"/>
          <w:lang w:val="en-CA"/>
        </w:rPr>
        <w:tab/>
      </w:r>
      <w:r w:rsidR="003A72AC" w:rsidRPr="00D039E9">
        <w:rPr>
          <w:rFonts w:cs="Times"/>
          <w:lang w:val="en-CA"/>
        </w:rPr>
        <w:tab/>
      </w:r>
      <w:r w:rsidR="003A72AC" w:rsidRPr="00D039E9">
        <w:rPr>
          <w:rFonts w:cs="Times"/>
          <w:lang w:val="en-CA"/>
        </w:rPr>
        <w:tab/>
      </w:r>
      <w:r w:rsidR="003A72AC" w:rsidRPr="00D039E9">
        <w:rPr>
          <w:rFonts w:cs="Times"/>
          <w:lang w:val="en-CA"/>
        </w:rPr>
        <w:tab/>
      </w:r>
      <w:r w:rsidR="003A72AC" w:rsidRPr="00D039E9">
        <w:rPr>
          <w:rFonts w:cs="Times"/>
          <w:lang w:val="en-CA"/>
        </w:rPr>
        <w:tab/>
      </w:r>
      <w:r w:rsidR="003A72AC" w:rsidRPr="00D039E9">
        <w:rPr>
          <w:rFonts w:cs="Times"/>
          <w:lang w:val="en-CA"/>
        </w:rPr>
        <w:tab/>
      </w:r>
      <w:r w:rsidR="003A72AC" w:rsidRPr="00D039E9">
        <w:rPr>
          <w:rFonts w:cs="Times"/>
          <w:lang w:val="en-CA"/>
        </w:rPr>
        <w:tab/>
      </w:r>
      <w:r w:rsidR="003A72AC" w:rsidRPr="00D039E9">
        <w:rPr>
          <w:rFonts w:cs="Times"/>
          <w:lang w:val="en-CA"/>
        </w:rPr>
        <w:tab/>
      </w:r>
      <w:r w:rsidR="003A72AC" w:rsidRPr="00D039E9">
        <w:rPr>
          <w:rFonts w:cs="Times"/>
          <w:lang w:val="en-CA"/>
        </w:rPr>
        <w:tab/>
      </w:r>
      <w:r w:rsidR="003A72AC" w:rsidRPr="00D039E9">
        <w:rPr>
          <w:rFonts w:cs="Times"/>
          <w:lang w:val="en-CA"/>
        </w:rPr>
        <w:tab/>
        <w:t>(7)</w:t>
      </w:r>
    </w:p>
    <w:p w14:paraId="565E3D81" w14:textId="041119EB" w:rsidR="001743F4" w:rsidRPr="00D039E9" w:rsidRDefault="003A72AC" w:rsidP="001743F4">
      <w:pPr>
        <w:pStyle w:val="TAMainText"/>
        <w:ind w:firstLine="0"/>
        <w:rPr>
          <w:lang w:val="en-CA" w:eastAsia="ja-JP"/>
        </w:rPr>
      </w:pPr>
      <w:r w:rsidRPr="00D039E9">
        <w:rPr>
          <w:rFonts w:cs="Times"/>
          <w:lang w:val="en-CA"/>
        </w:rPr>
        <w:t>In the conventional binding analysis, the reciprocal of Eq. (7) is used to yield</w:t>
      </w:r>
      <w:r w:rsidR="008A307F" w:rsidRPr="00D039E9">
        <w:rPr>
          <w:rFonts w:cs="Times"/>
          <w:lang w:val="en-CA"/>
        </w:rPr>
        <w:t xml:space="preserve"> </w:t>
      </w:r>
      <w:r w:rsidR="005C7842" w:rsidRPr="00D039E9">
        <w:rPr>
          <w:rFonts w:cs="Times"/>
          <w:i/>
          <w:lang w:val="en-CA"/>
        </w:rPr>
        <w:t>n</w:t>
      </w:r>
      <w:r w:rsidR="005C7842" w:rsidRPr="00D039E9">
        <w:rPr>
          <w:rFonts w:cs="Times"/>
          <w:lang w:val="en-CA"/>
        </w:rPr>
        <w:t xml:space="preserve"> </w:t>
      </w:r>
      <w:r w:rsidRPr="00D039E9">
        <w:rPr>
          <w:rFonts w:cs="Times"/>
          <w:lang w:val="en-CA"/>
        </w:rPr>
        <w:t xml:space="preserve">and </w:t>
      </w:r>
      <m:oMath>
        <m:sSub>
          <m:sSubPr>
            <m:ctrlPr>
              <w:rPr>
                <w:rFonts w:ascii="Cambria Math" w:hAnsi="Cambria Math" w:cs="Times"/>
                <w:i/>
                <w:lang w:val="en-CA"/>
              </w:rPr>
            </m:ctrlPr>
          </m:sSubPr>
          <m:e>
            <m:r>
              <w:rPr>
                <w:rFonts w:ascii="Cambria Math" w:hAnsi="Cambria Math" w:cs="Times"/>
                <w:lang w:val="en-CA"/>
              </w:rPr>
              <m:t>K</m:t>
            </m:r>
          </m:e>
          <m:sub>
            <m:r>
              <w:rPr>
                <w:rFonts w:ascii="Cambria Math" w:hAnsi="Cambria Math" w:cs="Times"/>
                <w:lang w:val="en-CA"/>
              </w:rPr>
              <m:t>b</m:t>
            </m:r>
          </m:sub>
        </m:sSub>
      </m:oMath>
      <w:r w:rsidRPr="00D039E9">
        <w:rPr>
          <w:rFonts w:cs="Times"/>
          <w:lang w:val="en-CA"/>
        </w:rPr>
        <w:t xml:space="preserve"> from a single plot.</w:t>
      </w:r>
      <w:r w:rsidR="00D61252" w:rsidRPr="00D039E9">
        <w:rPr>
          <w:rFonts w:cs="Times"/>
          <w:lang w:val="en-CA"/>
        </w:rPr>
        <w:fldChar w:fldCharType="begin" w:fldLock="1"/>
      </w:r>
      <w:r w:rsidR="003E67FA" w:rsidRPr="00D039E9">
        <w:rPr>
          <w:rFonts w:cs="Times"/>
          <w:lang w:val="en-CA"/>
        </w:rPr>
        <w:instrText>ADDIN CSL_CITATION { "citationItems" : [ { "id" : "ITEM-1", "itemData" : { "ISBN" : "0935702563", "author" : [ { "dropping-particle" : "", "family" : "Wyman", "given" : "Jeffries.", "non-dropping-particle" : "", "parse-names" : false, "suffix" : "" }, { "dropping-particle" : "", "family" : "Gill", "given" : "Stanley J.", "non-dropping-particle" : "", "parse-names" : false, "suffix" : "" } ], "id" : "ITEM-1", "issued" : { "date-parts" : [ [ "1990" ] ] }, "number-of-pages" : "330", "publisher" : "University Science Books", "publisher-place" : "Mill Valley, CA", "title" : "Binding and linkage : functional chemistry of biological macromolecules", "type" : "book" }, "uris" : [ "http://www.mendeley.com/documents/?uuid=018c2dc4-bd6d-31b5-abf5-f47e336b6a74" ] }, { "id" : "ITEM-2", "itemData" : { "ISBN" : "0471176265", "abstract" : "\"A Wiley-Interscience publication.\" 1. Number of Liganded Molecules -- 2. Affinities: From a Site Perspective -- 3. Affinities: From a Stoichiometric Perspective -- 4. Affinities: From a Ghost-Site Perspective -- 5. Facts and Fantasies from Graphical Analyses -- 6. Numerical Evaluations of Stoichiometric Binding Constants -- 7. Affinity Profiles -- 8. Thermodynamic Perspectives -- 9. Forces of Interaction -- 10. Molecular Scenarios -- App. A1. Experimental Procedures in Equilibrium Dialysis -- App. A2. Properties of Graphical Representations of Multiple Classes of Independent Binding Sites -- App. A3. Relationships Between Stoichiometric Binding Constants and Site-Binding Constants -- App. A4. Relationships Between Stoichiometric Binding Constants and Ghost-Site Binding Constants.", "author" : [ { "dropping-particle" : "", "family" : "Klotz", "given" : "Irving M.", "non-dropping-particle" : "", "parse-names" : false, "suffix" : "" } ], "id" : "ITEM-2", "issued" : { "date-parts" : [ [ "1997" ] ] }, "number-of-pages" : "170", "publisher" : "Wiley", "publisher-place" : "New York", "title" : "Ligand-receptor energetics : a guide for the perplexed", "type" : "book" }, "uris" : [ "http://www.mendeley.com/documents/?uuid=dd952269-684f-3ac3-8305-432524b1ebd4" ] } ], "mendeley" : { "formattedCitation" : "&lt;sup&gt;9,10&lt;/sup&gt;", "plainTextFormattedCitation" : "9,10", "previouslyFormattedCitation" : "&lt;sup&gt;9,10&lt;/sup&gt;" }, "properties" : { "noteIndex" : 0 }, "schema" : "https://github.com/citation-style-language/schema/raw/master/csl-citation.json" }</w:instrText>
      </w:r>
      <w:r w:rsidR="00D61252" w:rsidRPr="00D039E9">
        <w:rPr>
          <w:rFonts w:cs="Times"/>
          <w:lang w:val="en-CA"/>
        </w:rPr>
        <w:fldChar w:fldCharType="separate"/>
      </w:r>
      <w:r w:rsidR="003E67FA" w:rsidRPr="00D039E9">
        <w:rPr>
          <w:rFonts w:cs="Times"/>
          <w:noProof/>
          <w:vertAlign w:val="superscript"/>
          <w:lang w:val="en-CA"/>
        </w:rPr>
        <w:t>9,10</w:t>
      </w:r>
      <w:r w:rsidR="00D61252" w:rsidRPr="00D039E9">
        <w:rPr>
          <w:rFonts w:cs="Times"/>
          <w:lang w:val="en-CA"/>
        </w:rPr>
        <w:fldChar w:fldCharType="end"/>
      </w:r>
      <w:r w:rsidRPr="00D039E9">
        <w:rPr>
          <w:rFonts w:cs="Times"/>
          <w:lang w:val="en-CA"/>
        </w:rPr>
        <w:t xml:space="preserve"> </w:t>
      </w:r>
      <w:r w:rsidR="001743F4" w:rsidRPr="00D039E9">
        <w:rPr>
          <w:lang w:val="en-CA" w:eastAsia="ja-JP"/>
        </w:rPr>
        <w:t>Because it is often impossible to re-analyze historical data, we have to adapt the theory so as to makes it easy to mine historical data (see below),</w:t>
      </w:r>
      <w:r w:rsidR="00BB3004" w:rsidRPr="00D039E9">
        <w:rPr>
          <w:rFonts w:cs="Times"/>
          <w:lang w:val="en-CA"/>
        </w:rPr>
        <w:fldChar w:fldCharType="begin" w:fldLock="1"/>
      </w:r>
      <w:r w:rsidR="00C65F5C" w:rsidRPr="00D039E9">
        <w:rPr>
          <w:rFonts w:cs="Times"/>
          <w:lang w:val="en-CA"/>
        </w:rPr>
        <w:instrText>ADDIN CSL_CITATION { "citationItems" : [ { "id" : "ITEM-1", "itemData" : { "author" : [ { "dropping-particle" : "", "family" : "Damodaran", "given" : "Srinivasan", "non-dropping-particle" : "", "parse-names" : false, "suffix" : "" }, { "dropping-particle" : "", "family" : "Kinsella", "given" : "John E", "non-dropping-particle" : "", "parse-names" : false, "suffix" : "" } ], "container-title" : "Journal of Agricultural and Food Chemistry", "id" : "ITEM-1", "issued" : { "date-parts" : [ [ "1981" ] ] }, "page" : "1249-1253", "title" : "Interaction of Carbonyls with Soy Protein : Thermodynamic Effects", "type" : "article-journal", "volume" : "29" }, "uris" : [ "http://www.mendeley.com/documents/?uuid=291dd796-f27e-4bd0-89da-05dcbfeab0d6" ] }, { "id" : "ITEM-2", "itemData" : { "author" : [ { "dropping-particle" : "", "family" : "Damodaran", "given" : "Srinivasan", "non-dropping-particle" : "", "parse-names" : false, "suffix" : "" }, { "dropping-particle" : "", "family" : "Kinsella", "given" : "John E", "non-dropping-particle" : "", "parse-names" : false, "suffix" : "" } ], "container-title" : "Journal of Agricultural and Food Chemistry", "id" : "ITEM-2", "issued" : { "date-parts" : [ [ "1981" ] ] }, "page" : "1253-1257", "title" : "Interaction of Carbonyls with Soy Protein : Conformational Effects", "type" : "article-journal", "volume" : "29" }, "uris" : [ "http://www.mendeley.com/documents/?uuid=e888460f-0763-4b21-a7d1-df22f4f6d68b" ] }, { "id" : "ITEM-3", "itemData" : { "DOI" : "10.1111/j.1365-2621.1987.tb13980.x", "ISSN" : "0022-1147", "author" : [ { "dropping-particle" : "", "family" : "O'Neill", "given" : "Timothy E.", "non-dropping-particle" : "", "parse-names" : false, "suffix" : "" }, { "dropping-particle" : "", "family" : "Kinsella", "given" : "John E.", "non-dropping-particle" : "", "parse-names" : false, "suffix" : "" } ], "container-title" : "Journal of Food Science", "id" : "ITEM-3", "issue" : "1", "issued" : { "date-parts" : [ [ "1987", "1" ] ] }, "page" : "98-101", "publisher" : "Blackwell Publishing Ltd", "title" : "Flavor Protein Interactions: Characteristics of 2-Nonanone Binding to Isolated Soy Protein Fractions", "type" : "article-journal", "volume" : "52" }, "uris" : [ "http://www.mendeley.com/documents/?uuid=9a4f6aeb-bac1-3809-afbf-3c12c4f180dc" ] }, { "id" : "ITEM-4", "itemData" : { "DOI" : "10.1021/bk-1996-0633.ch006", "author" : [ { "dropping-particle" : "", "family" : "O'Neill", "given" : "Timothy E.", "non-dropping-particle" : "", "parse-names" : false, "suffix" : "" } ], "id" : "ITEM-4", "issued" : { "date-parts" : [ [ "1996", "5", "5" ] ] }, "page" : "59-74", "title" : "Flavor Binding by Food Proteins: An Overview", "type" : "chapter" }, "uris" : [ "http://www.mendeley.com/documents/?uuid=48481a29-3c8c-3969-b38a-5c673b671ff9" ] }, { "id" : "ITEM-5", "itemData" : { "author" : [ { "dropping-particle" : "", "family" : "Guichard", "given" : "E", "non-dropping-particle" : "", "parse-names" : false, "suffix" : "" }, { "dropping-particle" : "", "family" : "Langourieux", "given" : "S", "non-dropping-particle" : "", "parse-names" : false, "suffix" : "" } ], "container-title" : "Food Chemistry", "id" : "ITEM-5", "issued" : { "date-parts" : [ [ "2000" ] ] }, "page" : "301-308", "title" : "Interactions between b -lactoglobulin and \u00af avour compounds", "type" : "article-journal", "volume" : "71" }, "uris" : [ "http://www.mendeley.com/documents/?uuid=ec402924-8f58-4cb7-9815-c67ed89e3a69" ] }, { "id" : "ITEM-6", "itemData" : { "DOI" : "10.1021/jf0012188", "ISBN" : "0021-8561 (Print)\\r0021-8561 (Linking)", "ISSN" : "00218561", "PMID" : "11368643", "abstract" : "Although a thorough characterization of binding parameters is essential for application of beta-lactoglobulin as a carrier for a variety of small hydrophobic ligands, the binding parameters derived in various studies using various techniques are inconsistent. The bindings of several small ligands as detected by fluorometry and equilibrium dialysis were compared. Fluorescence spectroscopy showed that beta-ionone, retinol, and fatty acid lactones all bound in the vicinity of a tryptophan residue. Retinol and fatty acid lactone competed for the same binding site. Exclusively for ligands that quench the beta-lactoglobulin fluorescence through a resonance energy transfer mechanism, fluorometry yielded a systematically higher binding affinity than equilibrium dialysis. The binding overestimation in fluorometric measurements can be explained by oligomer formation of protein, together with an underestimation of the limiting quenching level at saturating ligand concentrations due to the use of a limited set of data points.", "author" : [ { "dropping-particle" : "", "family" : "Muresan", "given" : "Sorel", "non-dropping-particle" : "", "parse-names" : false, "suffix" : "" }, { "dropping-particle" : "", "family" : "Bent", "given" : "A", "non-dropping-particle" : "van der", "parse-names" : false, "suffix" : "" }, { "dropping-particle" : "", "family" : "Wolf", "given" : "Frits A.", "non-dropping-particle" : "De", "parse-names" : false, "suffix" : "" } ], "container-title" : "Journal of Agricultural and Food Chemistry", "id" : "ITEM-6", "issue" : "5", "issued" : { "date-parts" : [ [ "2001" ] ] }, "page" : "2609-2618", "publisher" : "American Chemical Society", "title" : "Interaction of ??-lactoglobulin with small hydrophobic ligands as monitored by fluorometry and equilibrium dialysis: Nonlinear quenching effects related to protein - Protein association", "type" : "article-journal", "volume" : "49" }, "uris" : [ "http://www.mendeley.com/documents/?uuid=71b6d8b8-29a9-3511-bc48-c4b0bfc15fda" ] }, { "id" : "ITEM-7", "itemData" : { "DOI" : "10.1007/s11746-009-1535-8", "ISSN" : "0003-021X", "author" : [ { "dropping-particle" : "", "family" : "Arora", "given" : "Akshay", "non-dropping-particle" : "", "parse-names" : false, "suffix" : "" }, { "dropping-particle" : "", "family" : "Damodaran", "given" : "Srinivasan", "non-dropping-particle" : "", "parse-names" : false, "suffix" : "" } ], "container-title" : "Journal of the American Oil Chemists' Society", "id" : "ITEM-7", "issue" : "6", "issued" : { "date-parts" : [ [ "2010", "6", "19" ] ] }, "page" : "673-679", "publisher" : "Springer-Verlag", "title" : "Competitive Binding of Off-Flavor Compounds with Soy Protein and \u03b2-Cyclodextrin in a Ternary System: A Model Study", "type" : "article-journal", "volume" : "87" }, "uris" : [ "http://www.mendeley.com/documents/?uuid=4d072e3e-e9a4-39b7-b1a3-dda4f90eaf52" ] } ], "mendeley" : { "formattedCitation" : "&lt;sup&gt;1,2,29\u201333&lt;/sup&gt;", "plainTextFormattedCitation" : "1,2,29\u201333", "previouslyFormattedCitation" : "&lt;sup&gt;1,2,29\u201333&lt;/sup&gt;" }, "properties" : { "noteIndex" : 0 }, "schema" : "https://github.com/citation-style-language/schema/raw/master/csl-citation.json" }</w:instrText>
      </w:r>
      <w:r w:rsidR="00BB3004" w:rsidRPr="00D039E9">
        <w:rPr>
          <w:rFonts w:cs="Times"/>
          <w:lang w:val="en-CA"/>
        </w:rPr>
        <w:fldChar w:fldCharType="separate"/>
      </w:r>
      <w:r w:rsidR="00BB3004" w:rsidRPr="00D039E9">
        <w:rPr>
          <w:rFonts w:cs="Times"/>
          <w:noProof/>
          <w:vertAlign w:val="superscript"/>
          <w:lang w:val="en-CA"/>
        </w:rPr>
        <w:t>1,2,29–33</w:t>
      </w:r>
      <w:r w:rsidR="00BB3004" w:rsidRPr="00D039E9">
        <w:rPr>
          <w:rFonts w:cs="Times"/>
          <w:lang w:val="en-CA"/>
        </w:rPr>
        <w:fldChar w:fldCharType="end"/>
      </w:r>
      <w:r w:rsidR="001743F4" w:rsidRPr="00D039E9">
        <w:rPr>
          <w:lang w:val="en-CA" w:eastAsia="ja-JP"/>
        </w:rPr>
        <w:t xml:space="preserve"> instead of conforming historical data into the form of Eq. (5), </w:t>
      </w:r>
      <w:r w:rsidR="001743F4" w:rsidRPr="00D039E9">
        <w:rPr>
          <w:rFonts w:cs="Times"/>
          <w:lang w:val="en-CA"/>
        </w:rPr>
        <w:t>which requires a</w:t>
      </w:r>
      <w:r w:rsidR="003D2F36" w:rsidRPr="00D039E9">
        <w:rPr>
          <w:rFonts w:cs="Times"/>
          <w:lang w:val="en-CA"/>
        </w:rPr>
        <w:t xml:space="preserve"> large degree of</w:t>
      </w:r>
      <w:r w:rsidR="001743F4" w:rsidRPr="00D039E9">
        <w:rPr>
          <w:rFonts w:cs="Times"/>
          <w:lang w:val="en-CA"/>
        </w:rPr>
        <w:t xml:space="preserve"> care in converting </w:t>
      </w:r>
      <w:r w:rsidR="001743F4" w:rsidRPr="00D039E9">
        <w:rPr>
          <w:lang w:val="en-CA" w:eastAsia="ja-JP"/>
        </w:rPr>
        <w:t>molality to molarity,</w:t>
      </w:r>
      <w:r w:rsidR="00D61252" w:rsidRPr="00D039E9">
        <w:rPr>
          <w:lang w:val="en-CA" w:eastAsia="ja-JP"/>
        </w:rPr>
        <w:fldChar w:fldCharType="begin" w:fldLock="1"/>
      </w:r>
      <w:r w:rsidR="00C65F5C" w:rsidRPr="00D039E9">
        <w:rPr>
          <w:lang w:val="en-CA" w:eastAsia="ja-JP"/>
        </w:rPr>
        <w:instrText>ADDIN CSL_CITATION { "citationItems" : [ { "id" : "ITEM-1", "itemData" : { "DOI" : "10.1063/1.2011388", "ISSN" : "00219606", "PMID" : "16108695", "abstract" : "In the present paper a procedure to calculate the properties of proteins in aqueous mixed solvents, particularly the excesses of the constituents of the mixed solvent near the protein molecule and the preferential binding parameters, is suggested. Expressions for the Kirkwood-Buff integrals in ternary mixtures and for the preferential binding parameter were derived and used to calculate various properties of infinitely dilute proteins in aqueous mixed solvents. The derived expressions and experimental information regarding the partial molar volumes and the preferential binding parameters were used to calculate the excesses (deficits) of water and cosolvent (in comparison with the bulk concentrations of protein-free mixed solvent) in the vicinity of ribonuclease A, ribonuclease T1, and lysozyme molecules. The calculations showed that water was in excess in the vicinity of ribonuclease A for water/glycerol and water/trehalose mixtures, and the cosolvent urea was in excess in the vicinity of ribonuclease T1 and lysozyme. The derivative of the activity coefficient of the protein with respect to the mole fraction of water was also calculated. This derivative was negative for the water/glycerol and water/trehalose mixed solvents and positive for the water/urea mixture. The mixture of lysozyme in the water/urea solvent is of particular interest, because the lysozyme at pH 7.0 is in its native state up to 9.3M urea, while at pH 2.0 it is denaturated between 2.5 and 5M and higher concentrations of urea. Our results demonstrated a striking similarity in the hydration of lysozyme at both pHs. It is worthwhile to note that the excesses of urea were only weakly composition dependent on both cases.", "author" : [ { "dropping-particle" : "", "family" : "Shulgin", "given" : "Ivan L", "non-dropping-particle" : "", "parse-names" : false, "suffix" : "" }, { "dropping-particle" : "", "family" : "Ruckenstein", "given" : "Eli", "non-dropping-particle" : "", "parse-names" : false, "suffix" : "" } ], "container-title" : "Journal of Chemical Physics", "id" : "ITEM-1", "issue" : "5", "issued" : { "date-parts" : [ [ "2005" ] ] }, "page" : "054909/1-054909/9", "title" : "A protein molecule in an aqueous mixed solvent: Fluctuation theory outlook", "type" : "article-journal", "volume" : "123" }, "uris" : [ "http://www.mendeley.com/documents/?uuid=277b2516-18c8-4064-8993-76ed73d49386" ] }, { "id" : "ITEM-2", "itemData" : { "DOI" : "10.1016/0076-6879(79)61005-4", "ISBN" : "0121819612", "ISSN" : "00766879", "PMID" : "481227", "author" : [ { "dropping-particle" : "", "family" : "Lee", "given" : "James C.", "non-dropping-particle" : "", "parse-names" : false, "suffix" : "" }, { "dropping-particle" : "", "family" : "Gekko", "given" : "Kunihiko", "non-dropping-particle" : "", "parse-names" : false, "suffix" : "" }, { "dropping-particle" : "", "family" : "Timasheff", "given" : "Serge N", "non-dropping-particle" : "", "parse-names" : false, "suffix" : "" } ], "container-title" : "Methods in Enzymology", "id" : "ITEM-2", "issue" : "C", "issued" : { "date-parts" : [ [ "1979" ] ] }, "page" : "26-49", "title" : "Measurements of preferential solvent interactions by densimetric techniques", "type" : "article-journal", "volume" : "61" }, "uris" : [ "http://www.mendeley.com/documents/?uuid=c21e410d-ce9a-4fdd-815c-a749fbcbb0c5" ] }, { "id" : "ITEM-3", "itemData" : { "DOI" : "9615174", "ISBN" : "0065-3233", "ISSN" : "0065-3233", "PMID" : "9615174", "abstract" : "A review with 168 refs. Preferential interactions, Wyman linkages in preferential interactions, linkage control of protein stability and of protein reactions, sources of exclusion, and osmolytes are discussed. [on SciFinder(R)]", "author" : [ { "dropping-particle" : "", "family" : "Timasheff", "given" : "S N", "non-dropping-particle" : "", "parse-names" : false, "suffix" : "" } ], "container-title" : "Advances in protein chemistry", "id" : "ITEM-3", "issued" : { "date-parts" : [ [ "1998" ] ] }, "page" : "355-432", "publisher" : "Elsevier Masson SAS", "title" : "Control of protein stability and reactions by weakly interacting cosolvents: the simplicity of the complicated.", "type" : "article-journal", "volume" : "51" }, "uris" : [ "http://www.mendeley.com/documents/?uuid=2d79350c-83b3-43a4-93f3-37abd4e09b68" ] } ], "mendeley" : { "formattedCitation" : "&lt;sup&gt;50,66,67&lt;/sup&gt;", "plainTextFormattedCitation" : "50,66,67", "previouslyFormattedCitation" : "&lt;sup&gt;50,66,67&lt;/sup&gt;" }, "properties" : { "noteIndex" : 0 }, "schema" : "https://github.com/citation-style-language/schema/raw/master/csl-citation.json" }</w:instrText>
      </w:r>
      <w:r w:rsidR="00D61252" w:rsidRPr="00D039E9">
        <w:rPr>
          <w:lang w:val="en-CA" w:eastAsia="ja-JP"/>
        </w:rPr>
        <w:fldChar w:fldCharType="separate"/>
      </w:r>
      <w:r w:rsidR="00BB3004" w:rsidRPr="00D039E9">
        <w:rPr>
          <w:noProof/>
          <w:vertAlign w:val="superscript"/>
          <w:lang w:val="en-CA" w:eastAsia="ja-JP"/>
        </w:rPr>
        <w:t>50,66,67</w:t>
      </w:r>
      <w:r w:rsidR="00D61252" w:rsidRPr="00D039E9">
        <w:rPr>
          <w:lang w:val="en-CA" w:eastAsia="ja-JP"/>
        </w:rPr>
        <w:fldChar w:fldCharType="end"/>
      </w:r>
      <w:r w:rsidR="001743F4" w:rsidRPr="00D039E9">
        <w:rPr>
          <w:lang w:val="en-CA" w:eastAsia="ja-JP"/>
        </w:rPr>
        <w:t xml:space="preserve"> as shown in Appendix C. </w:t>
      </w:r>
    </w:p>
    <w:p w14:paraId="47C6E984" w14:textId="77777777" w:rsidR="001743F4" w:rsidRPr="00D039E9" w:rsidRDefault="001743F4" w:rsidP="001743F4">
      <w:pPr>
        <w:pStyle w:val="TAMainText"/>
        <w:ind w:firstLine="0"/>
        <w:rPr>
          <w:lang w:val="en-CA" w:eastAsia="ja-JP"/>
        </w:rPr>
      </w:pPr>
    </w:p>
    <w:p w14:paraId="5300B8EB" w14:textId="1F48B37C" w:rsidR="003A72AC" w:rsidRPr="00D039E9" w:rsidRDefault="003A72AC" w:rsidP="001743F4">
      <w:pPr>
        <w:pStyle w:val="TAMainText"/>
        <w:rPr>
          <w:rFonts w:cs="Times"/>
          <w:lang w:val="en-CA"/>
        </w:rPr>
      </w:pPr>
      <w:r w:rsidRPr="00D039E9">
        <w:rPr>
          <w:lang w:val="en-CA"/>
        </w:rPr>
        <w:t xml:space="preserve">The problem of this classical approach is that the non-specific interactions are not stoichiometric binding; for a full </w:t>
      </w:r>
      <w:r w:rsidR="00D71279" w:rsidRPr="00D039E9">
        <w:rPr>
          <w:lang w:val="en-CA"/>
        </w:rPr>
        <w:t>characterization the KBI</w:t>
      </w:r>
      <w:r w:rsidRPr="00D039E9">
        <w:rPr>
          <w:lang w:val="en-CA"/>
        </w:rPr>
        <w:t>s are indispensable.</w:t>
      </w:r>
      <w:r w:rsidR="00D61252" w:rsidRPr="00D039E9">
        <w:rPr>
          <w:lang w:val="en-CA"/>
        </w:rPr>
        <w:fldChar w:fldCharType="begin" w:fldLock="1"/>
      </w:r>
      <w:r w:rsidR="003E67FA" w:rsidRPr="00D039E9">
        <w:rPr>
          <w:lang w:val="en-CA"/>
        </w:rPr>
        <w:instrText>ADDIN CSL_CITATION { "citationItems" : [ { "id" : "ITEM-1",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"ITEM-1",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"id" : "ITEM-2",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"ITEM-2",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"id" : "ITEM-3",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"ITEM-3", "issue" : "14", "issued" : { "date-parts" : [ [ "2014" ] ] }, "page" : "3922-3930", "title" : "Preferential solvation: Dividing surface vs excess numbers", "type" : "article-journal", "volume" : "118" }, "uris" : [ "http://www.mendeley.com/documents/?uuid=896fec6b-354e-41cd-a8de-55bd371a22f5" ] }, { "id" : "ITEM-4", "itemData" : { "DOI" : "10.1039/c3cp53791a", "ISBN" : "1463-9076", "ISSN" : "1463-9084", "PMID" : "24189644", "abstract" : "Hydrophobic drugs can often be solubilized by the addition of hydrotropes. We have previously shown that preferential drug-hydrotrope association is one of the major factors of increased solubility (but not \"hydrotrope clustering\" or changes in \"water structure\"). How, then, can we understand this drug-hydrotrope interaction at a molecular level? Thermodynamic models based upon stoichiometric solute-water and solute-hydrotrope binding have long been used to understand solubilization microscopically. Such binding models have shown that the solvation numbers or coordination numbers of the water and hydrotrope molecules around the drug solute is the key quantity for solute-water and solute-hydrotrope interaction. However, we show that a rigorous statistical thermodynamic theory (the fluctuation solution theory originated by Kirkwood and Buff) requires the total reconsideration of such a paradigm. Here we show that (i) the excess solvation number (the net increase or decrease, relative to the bulk, of the solvent molecules around the solute), not the coordination number, is the key quantity for describing the solute-hydrotrope interaction; (ii) solute-hydrotrope binding is beyond the reach of the stoichiometric models because long-range solvation structure plays an important role.", "author" : [ { "dropping-particle" : "", "family" : "Shimizu", "given" : "Seishi", "non-dropping-particle" : "", "parse-names" : false, "suffix" : "" }, { "dropping-particle" : "", "family" : "Booth", "given" : "Jonathan J", "non-dropping-particle" : "", "parse-names" : false, "suffix" : "" }, { "dropping-particle" : "", "family" : "Abbott", "given" : "Steven", "non-dropping-particle" : "", "parse-names" : false, "suffix" : "" } ], "container-title" : "Physical chemistry chemical physics : PCCP", "id" : "ITEM-4", "issue" : "47", "issued" : { "date-parts" : [ [ "2013" ] ] }, "page" : "20625-20632", "title" : "Hydrotropy: binding models vs. statistical thermodynamics.", "type" : "article-journal", "volume" : "15" }, "uris" : [ "http://www.mendeley.com/documents/?uuid=d239f09f-553e-48eb-882f-c22d5aa8ac8c" ] } ], "mendeley" : { "formattedCitation" : "&lt;sup&gt;11,16,17,22&lt;/sup&gt;", "plainTextFormattedCitation" : "11,16,17,22", "previouslyFormattedCitation" : "&lt;sup&gt;11,16,17,22&lt;/sup&gt;" }, "properties" : { "noteIndex" : 0 }, "schema" : "https://github.com/citation-style-language/schema/raw/master/csl-citation.json" }</w:instrText>
      </w:r>
      <w:r w:rsidR="00D61252" w:rsidRPr="00D039E9">
        <w:rPr>
          <w:lang w:val="en-CA"/>
        </w:rPr>
        <w:fldChar w:fldCharType="separate"/>
      </w:r>
      <w:r w:rsidR="003E67FA" w:rsidRPr="00D039E9">
        <w:rPr>
          <w:noProof/>
          <w:vertAlign w:val="superscript"/>
          <w:lang w:val="en-CA"/>
        </w:rPr>
        <w:t>11,16,17,22</w:t>
      </w:r>
      <w:r w:rsidR="00D61252" w:rsidRPr="00D039E9">
        <w:rPr>
          <w:lang w:val="en-CA"/>
        </w:rPr>
        <w:fldChar w:fldCharType="end"/>
      </w:r>
      <w:r w:rsidRPr="00D039E9">
        <w:rPr>
          <w:lang w:val="en-CA"/>
        </w:rPr>
        <w:t xml:space="preserve"> </w:t>
      </w:r>
      <w:r w:rsidRPr="00D039E9">
        <w:rPr>
          <w:rFonts w:cs="Times"/>
          <w:lang w:val="en-CA"/>
        </w:rPr>
        <w:t>Here we propose that this conventional analysis be modernized. Firstly, we show that the binding parameters that have been reported in the literature</w:t>
      </w:r>
      <w:r w:rsidR="00BB3004" w:rsidRPr="00D039E9">
        <w:rPr>
          <w:rFonts w:cs="Times"/>
          <w:lang w:val="en-CA"/>
        </w:rPr>
        <w:fldChar w:fldCharType="begin" w:fldLock="1"/>
      </w:r>
      <w:r w:rsidR="00C65F5C" w:rsidRPr="00D039E9">
        <w:rPr>
          <w:rFonts w:cs="Times"/>
          <w:lang w:val="en-CA"/>
        </w:rPr>
        <w:instrText>ADDIN CSL_CITATION { "citationItems" : [ { "id" : "ITEM-1", "itemData" : { "author" : [ { "dropping-particle" : "", "family" : "Damodaran", "given" : "Srinivasan", "non-dropping-particle" : "", "parse-names" : false, "suffix" : "" }, { "dropping-particle" : "", "family" : "Kinsella", "given" : "John E", "non-dropping-particle" : "", "parse-names" : false, "suffix" : "" } ], "container-title" : "Journal of Agricultural and Food Chemistry", "id" : "ITEM-1", "issued" : { "date-parts" : [ [ "1981" ] ] }, "page" : "1249-1253", "title" : "Interaction of Carbonyls with Soy Protein : Thermodynamic Effects", "type" : "article-journal", "volume" : "29" }, "uris" : [ "http://www.mendeley.com/documents/?uuid=291dd796-f27e-4bd0-89da-05dcbfeab0d6" ] }, { "id" : "ITEM-2", "itemData" : { "author" : [ { "dropping-particle" : "", "family" : "Damodaran", "given" : "Srinivasan", "non-dropping-particle" : "", "parse-names" : false, "suffix" : "" }, { "dropping-particle" : "", "family" : "Kinsella", "given" : "John E", "non-dropping-particle" : "", "parse-names" : false, "suffix" : "" } ], "container-title" : "Journal of Agricultural and Food Chemistry", "id" : "ITEM-2", "issued" : { "date-parts" : [ [ "1981" ] ] }, "page" : "1253-1257", "title" : "Interaction of Carbonyls with Soy Protein : Conformational Effects", "type" : "article-journal", "volume" : "29" }, "uris" : [ "http://www.mendeley.com/documents/?uuid=e888460f-0763-4b21-a7d1-df22f4f6d68b" ] }, { "id" : "ITEM-3", "itemData" : { "DOI" : "10.1111/j.1365-2621.1987.tb13980.x", "ISSN" : "0022-1147", "author" : [ { "dropping-particle" : "", "family" : "O'Neill", "given" : "Timothy E.", "non-dropping-particle" : "", "parse-names" : false, "suffix" : "" }, { "dropping-particle" : "", "family" : "Kinsella", "given" : "John E.", "non-dropping-particle" : "", "parse-names" : false, "suffix" : "" } ], "container-title" : "Journal of Food Science", "id" : "ITEM-3", "issue" : "1", "issued" : { "date-parts" : [ [ "1987", "1" ] ] }, "page" : "98-101", "publisher" : "Blackwell Publishing Ltd", "title" : "Flavor Protein Interactions: Characteristics of 2-Nonanone Binding to Isolated Soy Protein Fractions", "type" : "article-journal", "volume" : "52" }, "uris" : [ "http://www.mendeley.com/documents/?uuid=9a4f6aeb-bac1-3809-afbf-3c12c4f180dc" ] }, { "id" : "ITEM-4", "itemData" : { "DOI" : "10.1021/bk-1996-0633.ch006", "author" : [ { "dropping-particle" : "", "family" : "O'Neill", "given" : "Timothy E.", "non-dropping-particle" : "", "parse-names" : false, "suffix" : "" } ], "id" : "ITEM-4", "issued" : { "date-parts" : [ [ "1996", "5", "5" ] ] }, "page" : "59-74", "title" : "Flavor Binding by Food Proteins: An Overview", "type" : "chapter" }, "uris" : [ "http://www.mendeley.com/documents/?uuid=48481a29-3c8c-3969-b38a-5c673b671ff9" ] }, { "id" : "ITEM-5", "itemData" : { "author" : [ { "dropping-particle" : "", "family" : "Guichard", "given" : "E", "non-dropping-particle" : "", "parse-names" : false, "suffix" : "" }, { "dropping-particle" : "", "family" : "Langourieux", "given" : "S", "non-dropping-particle" : "", "parse-names" : false, "suffix" : "" } ], "container-title" : "Food Chemistry", "id" : "ITEM-5", "issued" : { "date-parts" : [ [ "2000" ] ] }, "page" : "301-308", "title" : "Interactions between b -lactoglobulin and \u00af avour compounds", "type" : "article-journal", "volume" : "71" }, "uris" : [ "http://www.mendeley.com/documents/?uuid=ec402924-8f58-4cb7-9815-c67ed89e3a69" ] }, { "id" : "ITEM-6", "itemData" : { "DOI" : "10.1021/jf0012188", "ISBN" : "0021-8561 (Print)\\r0021-8561 (Linking)", "ISSN" : "00218561", "PMID" : "11368643", "abstract" : "Although a thorough characterization of binding parameters is essential for application of beta-lactoglobulin as a carrier for a variety of small hydrophobic ligands, the binding parameters derived in various studies using various techniques are inconsistent. The bindings of several small ligands as detected by fluorometry and equilibrium dialysis were compared. Fluorescence spectroscopy showed that beta-ionone, retinol, and fatty acid lactones all bound in the vicinity of a tryptophan residue. Retinol and fatty acid lactone competed for the same binding site. Exclusively for ligands that quench the beta-lactoglobulin fluorescence through a resonance energy transfer mechanism, fluorometry yielded a systematically higher binding affinity than equilibrium dialysis. The binding overestimation in fluorometric measurements can be explained by oligomer formation of protein, together with an underestimation of the limiting quenching level at saturating ligand concentrations due to the use of a limited set of data points.", "author" : [ { "dropping-particle" : "", "family" : "Muresan", "given" : "Sorel", "non-dropping-particle" : "", "parse-names" : false, "suffix" : "" }, { "dropping-particle" : "", "family" : "Bent", "given" : "A", "non-dropping-particle" : "van der", "parse-names" : false, "suffix" : "" }, { "dropping-particle" : "", "family" : "Wolf", "given" : "Frits A.", "non-dropping-particle" : "De", "parse-names" : false, "suffix" : "" } ], "container-title" : "Journal of Agricultural and Food Chemistry", "id" : "ITEM-6", "issue" : "5", "issued" : { "date-parts" : [ [ "2001" ] ] }, "page" : "2609-2618", "publisher" : "American Chemical Society", "title" : "Interaction of ??-lactoglobulin with small hydrophobic ligands as monitored by fluorometry and equilibrium dialysis: Nonlinear quenching effects related to protein - Protein association", "type" : "article-journal", "volume" : "49" }, "uris" : [ "http://www.mendeley.com/documents/?uuid=71b6d8b8-29a9-3511-bc48-c4b0bfc15fda" ] }, { "id" : "ITEM-7", "itemData" : { "DOI" : "10.1007/s11746-009-1535-8", "ISSN" : "0003-021X", "author" : [ { "dropping-particle" : "", "family" : "Arora", "given" : "Akshay", "non-dropping-particle" : "", "parse-names" : false, "suffix" : "" }, { "dropping-particle" : "", "family" : "Damodaran", "given" : "Srinivasan", "non-dropping-particle" : "", "parse-names" : false, "suffix" : "" } ], "container-title" : "Journal of the American Oil Chemists' Society", "id" : "ITEM-7", "issue" : "6", "issued" : { "date-parts" : [ [ "2010", "6", "19" ] ] }, "page" : "673-679", "publisher" : "Springer-Verlag", "title" : "Competitive Binding of Off-Flavor Compounds with Soy Protein and \u03b2-Cyclodextrin in a Ternary System: A Model Study", "type" : "article-journal", "volume" : "87" }, "uris" : [ "http://www.mendeley.com/documents/?uuid=4d072e3e-e9a4-39b7-b1a3-dda4f90eaf52" ] } ], "mendeley" : { "formattedCitation" : "&lt;sup&gt;1,2,29\u201333&lt;/sup&gt;", "plainTextFormattedCitation" : "1,2,29\u201333", "previouslyFormattedCitation" : "&lt;sup&gt;1,2,29\u201333&lt;/sup&gt;" }, "properties" : { "noteIndex" : 0 }, "schema" : "https://github.com/citation-style-language/schema/raw/master/csl-citation.json" }</w:instrText>
      </w:r>
      <w:r w:rsidR="00BB3004" w:rsidRPr="00D039E9">
        <w:rPr>
          <w:rFonts w:cs="Times"/>
          <w:lang w:val="en-CA"/>
        </w:rPr>
        <w:fldChar w:fldCharType="separate"/>
      </w:r>
      <w:r w:rsidR="00BB3004" w:rsidRPr="00D039E9">
        <w:rPr>
          <w:rFonts w:cs="Times"/>
          <w:noProof/>
          <w:vertAlign w:val="superscript"/>
          <w:lang w:val="en-CA"/>
        </w:rPr>
        <w:t>1,2,29–33</w:t>
      </w:r>
      <w:r w:rsidR="00BB3004" w:rsidRPr="00D039E9">
        <w:rPr>
          <w:rFonts w:cs="Times"/>
          <w:lang w:val="en-CA"/>
        </w:rPr>
        <w:fldChar w:fldCharType="end"/>
      </w:r>
      <w:r w:rsidRPr="00D039E9">
        <w:rPr>
          <w:rFonts w:cs="Times"/>
          <w:lang w:val="en-CA"/>
        </w:rPr>
        <w:t xml:space="preserve"> can</w:t>
      </w:r>
      <w:r w:rsidR="006143F6" w:rsidRPr="00D039E9">
        <w:rPr>
          <w:rFonts w:cs="Times"/>
          <w:lang w:val="en-CA"/>
        </w:rPr>
        <w:t xml:space="preserve"> readily</w:t>
      </w:r>
      <w:r w:rsidR="00D71279" w:rsidRPr="00D039E9">
        <w:rPr>
          <w:rFonts w:cs="Times"/>
          <w:lang w:val="en-CA"/>
        </w:rPr>
        <w:t xml:space="preserve"> be converted to the KBI</w:t>
      </w:r>
      <w:r w:rsidRPr="00D039E9">
        <w:rPr>
          <w:rFonts w:cs="Times"/>
          <w:lang w:val="en-CA"/>
        </w:rPr>
        <w:t xml:space="preserve">s. To do so, let us employ the following KB expression for </w:t>
      </w:r>
      <m:oMath>
        <m:r>
          <w:rPr>
            <w:rFonts w:ascii="Cambria Math" w:hAnsi="Cambria Math" w:cs="Times"/>
            <w:lang w:val="en-CA"/>
          </w:rPr>
          <m:t>ν</m:t>
        </m:r>
      </m:oMath>
      <w:r w:rsidR="001C2FA6" w:rsidRPr="00D039E9">
        <w:rPr>
          <w:rFonts w:cs="Times"/>
          <w:lang w:val="en-CA"/>
        </w:rPr>
        <w:t xml:space="preserve"> (see Appendix C</w:t>
      </w:r>
      <w:r w:rsidRPr="00D039E9">
        <w:rPr>
          <w:rFonts w:cs="Times"/>
          <w:lang w:val="en-CA"/>
        </w:rPr>
        <w:t xml:space="preserve">) </w:t>
      </w:r>
    </w:p>
    <w:p w14:paraId="5DC2FF50" w14:textId="2B51D1D9" w:rsidR="003A72AC" w:rsidRPr="00D039E9" w:rsidRDefault="00D22B5F" w:rsidP="003A72AC">
      <w:pPr>
        <w:pStyle w:val="TAMainText"/>
        <w:ind w:firstLine="0"/>
        <w:rPr>
          <w:rFonts w:cs="Times"/>
          <w:lang w:val="en-CA"/>
        </w:rPr>
      </w:pPr>
      <m:oMath>
        <m:r>
          <m:rPr>
            <m:sty m:val="p"/>
          </m:rPr>
          <w:rPr>
            <w:rFonts w:ascii="Cambria Math" w:hAnsi="Cambria Math" w:cs="Times"/>
            <w:lang w:val="en-CA"/>
          </w:rPr>
          <m:t>Γ</m:t>
        </m:r>
        <m:r>
          <w:rPr>
            <w:rFonts w:ascii="Cambria Math" w:hAnsi="Cambria Math" w:cs="Times"/>
            <w:lang w:val="en-CA"/>
          </w:rPr>
          <m:t>≃</m:t>
        </m:r>
        <m:sSub>
          <m:sSubPr>
            <m:ctrlPr>
              <w:rPr>
                <w:rFonts w:ascii="Cambria Math" w:hAnsi="Cambria Math" w:cs="Times"/>
                <w:i/>
                <w:lang w:val="en-CA"/>
              </w:rPr>
            </m:ctrlPr>
          </m:sSubPr>
          <m:e>
            <m:r>
              <w:rPr>
                <w:rFonts w:ascii="Cambria Math" w:hAnsi="Cambria Math" w:cs="Times"/>
                <w:lang w:val="en-CA"/>
              </w:rPr>
              <m:t>c</m:t>
            </m:r>
          </m:e>
          <m:sub>
            <m:r>
              <w:rPr>
                <w:rFonts w:ascii="Cambria Math" w:hAnsi="Cambria Math" w:cs="Times"/>
                <w:lang w:val="en-CA"/>
              </w:rPr>
              <m:t>F</m:t>
            </m:r>
          </m:sub>
        </m:sSub>
        <m:d>
          <m:dPr>
            <m:ctrlPr>
              <w:rPr>
                <w:rFonts w:ascii="Cambria Math" w:hAnsi="Cambria Math" w:cs="Times"/>
                <w:i/>
                <w:lang w:val="en-CA"/>
              </w:rPr>
            </m:ctrlPr>
          </m:dPr>
          <m:e>
            <m:sSub>
              <m:sSubPr>
                <m:ctrlPr>
                  <w:rPr>
                    <w:rFonts w:ascii="Cambria Math" w:hAnsi="Cambria Math" w:cs="Times"/>
                    <w:i/>
                    <w:lang w:val="en-CA"/>
                  </w:rPr>
                </m:ctrlPr>
              </m:sSubPr>
              <m:e>
                <m:r>
                  <w:rPr>
                    <w:rFonts w:ascii="Cambria Math" w:hAnsi="Cambria Math" w:cs="Times"/>
                    <w:lang w:val="en-CA"/>
                  </w:rPr>
                  <m:t>G</m:t>
                </m:r>
              </m:e>
              <m:sub>
                <m:r>
                  <w:rPr>
                    <w:rFonts w:ascii="Cambria Math" w:hAnsi="Cambria Math" w:cs="Times"/>
                    <w:lang w:val="en-CA"/>
                  </w:rPr>
                  <m:t>PF</m:t>
                </m:r>
              </m:sub>
            </m:sSub>
            <m:r>
              <w:rPr>
                <w:rFonts w:ascii="Cambria Math" w:hAnsi="Cambria Math" w:cs="Times"/>
                <w:lang w:val="en-CA"/>
              </w:rPr>
              <m:t>-</m:t>
            </m:r>
            <m:sSub>
              <m:sSubPr>
                <m:ctrlPr>
                  <w:rPr>
                    <w:rFonts w:ascii="Cambria Math" w:hAnsi="Cambria Math" w:cs="Times"/>
                    <w:i/>
                    <w:lang w:val="en-CA"/>
                  </w:rPr>
                </m:ctrlPr>
              </m:sSubPr>
              <m:e>
                <m:r>
                  <w:rPr>
                    <w:rFonts w:ascii="Cambria Math" w:hAnsi="Cambria Math" w:cs="Times"/>
                    <w:lang w:val="en-CA"/>
                  </w:rPr>
                  <m:t>G</m:t>
                </m:r>
              </m:e>
              <m:sub>
                <m:r>
                  <w:rPr>
                    <w:rFonts w:ascii="Cambria Math" w:hAnsi="Cambria Math" w:cs="Times"/>
                    <w:lang w:val="en-CA"/>
                  </w:rPr>
                  <m:t>PW</m:t>
                </m:r>
              </m:sub>
            </m:sSub>
          </m:e>
        </m:d>
      </m:oMath>
      <w:r w:rsidR="003A72AC" w:rsidRPr="00D039E9">
        <w:rPr>
          <w:rFonts w:cs="Times"/>
          <w:lang w:val="en-CA"/>
        </w:rPr>
        <w:tab/>
      </w:r>
      <w:r w:rsidR="003A72AC" w:rsidRPr="00D039E9">
        <w:rPr>
          <w:rFonts w:cs="Times"/>
          <w:lang w:val="en-CA"/>
        </w:rPr>
        <w:tab/>
      </w:r>
      <w:r w:rsidR="003A72AC" w:rsidRPr="00D039E9">
        <w:rPr>
          <w:rFonts w:cs="Times"/>
          <w:lang w:val="en-CA"/>
        </w:rPr>
        <w:tab/>
      </w:r>
      <w:r w:rsidR="003A72AC" w:rsidRPr="00D039E9">
        <w:rPr>
          <w:rFonts w:cs="Times"/>
          <w:lang w:val="en-CA"/>
        </w:rPr>
        <w:tab/>
      </w:r>
      <w:r w:rsidR="003A72AC" w:rsidRPr="00D039E9">
        <w:rPr>
          <w:rFonts w:cs="Times"/>
          <w:lang w:val="en-CA"/>
        </w:rPr>
        <w:tab/>
      </w:r>
      <w:r w:rsidR="003A72AC" w:rsidRPr="00D039E9">
        <w:rPr>
          <w:rFonts w:cs="Times"/>
          <w:lang w:val="en-CA"/>
        </w:rPr>
        <w:tab/>
      </w:r>
      <w:r w:rsidR="003A72AC" w:rsidRPr="00D039E9">
        <w:rPr>
          <w:rFonts w:cs="Times"/>
          <w:lang w:val="en-CA"/>
        </w:rPr>
        <w:tab/>
      </w:r>
      <w:r w:rsidR="003A72AC" w:rsidRPr="00D039E9">
        <w:rPr>
          <w:rFonts w:cs="Times"/>
          <w:lang w:val="en-CA"/>
        </w:rPr>
        <w:tab/>
      </w:r>
      <w:r w:rsidR="003A72AC" w:rsidRPr="00D039E9">
        <w:rPr>
          <w:rFonts w:cs="Times"/>
          <w:lang w:val="en-CA"/>
        </w:rPr>
        <w:tab/>
      </w:r>
      <w:r w:rsidR="003A72AC" w:rsidRPr="00D039E9">
        <w:rPr>
          <w:rFonts w:cs="Times"/>
          <w:lang w:val="en-CA"/>
        </w:rPr>
        <w:tab/>
        <w:t xml:space="preserve">(8) </w:t>
      </w:r>
    </w:p>
    <w:p w14:paraId="1CC98824" w14:textId="349645A8" w:rsidR="003A72AC" w:rsidRPr="00D039E9" w:rsidRDefault="003A72AC" w:rsidP="003A72AC">
      <w:pPr>
        <w:pStyle w:val="TAMainText"/>
        <w:ind w:firstLine="0"/>
        <w:rPr>
          <w:rFonts w:cs="Times"/>
          <w:lang w:val="en-CA"/>
        </w:rPr>
      </w:pPr>
      <w:r w:rsidRPr="00D039E9">
        <w:rPr>
          <w:rFonts w:cs="Times"/>
          <w:lang w:val="en-CA"/>
        </w:rPr>
        <w:t xml:space="preserve">where the approximation holds as flavour molecules are much smaller in general than proteins, hence </w:t>
      </w:r>
      <m:oMath>
        <m:d>
          <m:dPr>
            <m:begChr m:val="|"/>
            <m:endChr m:val="|"/>
            <m:ctrlPr>
              <w:rPr>
                <w:rFonts w:ascii="Cambria Math" w:hAnsi="Cambria Math" w:cs="Times"/>
                <w:i/>
                <w:lang w:val="en-CA"/>
              </w:rPr>
            </m:ctrlPr>
          </m:dPr>
          <m:e>
            <m:sSub>
              <m:sSubPr>
                <m:ctrlPr>
                  <w:rPr>
                    <w:rFonts w:ascii="Cambria Math" w:hAnsi="Cambria Math" w:cs="Times"/>
                    <w:i/>
                    <w:lang w:val="en-CA"/>
                  </w:rPr>
                </m:ctrlPr>
              </m:sSubPr>
              <m:e>
                <m:r>
                  <w:rPr>
                    <w:rFonts w:ascii="Cambria Math" w:hAnsi="Cambria Math" w:cs="Times"/>
                    <w:lang w:val="en-CA"/>
                  </w:rPr>
                  <m:t>G</m:t>
                </m:r>
              </m:e>
              <m:sub>
                <m:r>
                  <w:rPr>
                    <w:rFonts w:ascii="Cambria Math" w:hAnsi="Cambria Math" w:cs="Times"/>
                    <w:lang w:val="en-CA"/>
                  </w:rPr>
                  <m:t>PW</m:t>
                </m:r>
              </m:sub>
            </m:sSub>
          </m:e>
        </m:d>
        <m:r>
          <w:rPr>
            <w:rFonts w:ascii="Cambria Math" w:hAnsi="Cambria Math" w:cs="Times"/>
            <w:lang w:val="en-CA"/>
          </w:rPr>
          <m:t>≫</m:t>
        </m:r>
        <m:d>
          <m:dPr>
            <m:begChr m:val="|"/>
            <m:endChr m:val="|"/>
            <m:ctrlPr>
              <w:rPr>
                <w:rFonts w:ascii="Cambria Math" w:hAnsi="Cambria Math" w:cs="Times"/>
                <w:i/>
                <w:lang w:val="en-CA"/>
              </w:rPr>
            </m:ctrlPr>
          </m:dPr>
          <m:e>
            <m:sSub>
              <m:sSubPr>
                <m:ctrlPr>
                  <w:rPr>
                    <w:rFonts w:ascii="Cambria Math" w:hAnsi="Cambria Math" w:cs="Times"/>
                    <w:i/>
                    <w:lang w:val="en-CA"/>
                  </w:rPr>
                </m:ctrlPr>
              </m:sSubPr>
              <m:e>
                <m:r>
                  <w:rPr>
                    <w:rFonts w:ascii="Cambria Math" w:hAnsi="Cambria Math" w:cs="Times"/>
                    <w:lang w:val="en-CA"/>
                  </w:rPr>
                  <m:t>G</m:t>
                </m:r>
              </m:e>
              <m:sub>
                <m:r>
                  <w:rPr>
                    <w:rFonts w:ascii="Cambria Math" w:hAnsi="Cambria Math" w:cs="Times"/>
                    <w:lang w:val="en-CA"/>
                  </w:rPr>
                  <m:t>FW</m:t>
                </m:r>
              </m:sub>
            </m:sSub>
          </m:e>
        </m:d>
      </m:oMath>
      <w:r w:rsidRPr="00D039E9">
        <w:rPr>
          <w:rFonts w:cs="Times"/>
          <w:lang w:val="en-CA"/>
        </w:rPr>
        <w:t xml:space="preserve"> and</w:t>
      </w:r>
      <m:oMath>
        <m:r>
          <w:rPr>
            <w:rFonts w:ascii="Cambria Math" w:hAnsi="Cambria Math" w:cs="Times"/>
            <w:lang w:val="en-CA"/>
          </w:rPr>
          <m:t xml:space="preserve"> </m:t>
        </m:r>
        <m:d>
          <m:dPr>
            <m:begChr m:val="|"/>
            <m:endChr m:val="|"/>
            <m:ctrlPr>
              <w:rPr>
                <w:rFonts w:ascii="Cambria Math" w:hAnsi="Cambria Math" w:cs="Times"/>
                <w:i/>
                <w:lang w:val="en-CA"/>
              </w:rPr>
            </m:ctrlPr>
          </m:dPr>
          <m:e>
            <m:sSub>
              <m:sSubPr>
                <m:ctrlPr>
                  <w:rPr>
                    <w:rFonts w:ascii="Cambria Math" w:hAnsi="Cambria Math" w:cs="Times"/>
                    <w:i/>
                    <w:lang w:val="en-CA"/>
                  </w:rPr>
                </m:ctrlPr>
              </m:sSubPr>
              <m:e>
                <m:r>
                  <w:rPr>
                    <w:rFonts w:ascii="Cambria Math" w:hAnsi="Cambria Math" w:cs="Times"/>
                    <w:lang w:val="en-CA"/>
                  </w:rPr>
                  <m:t>G</m:t>
                </m:r>
              </m:e>
              <m:sub>
                <m:r>
                  <w:rPr>
                    <w:rFonts w:ascii="Cambria Math" w:hAnsi="Cambria Math" w:cs="Times"/>
                    <w:lang w:val="en-CA"/>
                  </w:rPr>
                  <m:t>PF</m:t>
                </m:r>
              </m:sub>
            </m:sSub>
          </m:e>
        </m:d>
        <m:r>
          <w:rPr>
            <w:rFonts w:ascii="Cambria Math" w:hAnsi="Cambria Math" w:cs="Times"/>
            <w:lang w:val="en-CA"/>
          </w:rPr>
          <m:t>≫</m:t>
        </m:r>
        <m:d>
          <m:dPr>
            <m:begChr m:val="|"/>
            <m:endChr m:val="|"/>
            <m:ctrlPr>
              <w:rPr>
                <w:rFonts w:ascii="Cambria Math" w:hAnsi="Cambria Math" w:cs="Times"/>
                <w:i/>
                <w:lang w:val="en-CA"/>
              </w:rPr>
            </m:ctrlPr>
          </m:dPr>
          <m:e>
            <m:sSub>
              <m:sSubPr>
                <m:ctrlPr>
                  <w:rPr>
                    <w:rFonts w:ascii="Cambria Math" w:hAnsi="Cambria Math" w:cs="Times"/>
                    <w:i/>
                    <w:lang w:val="en-CA"/>
                  </w:rPr>
                </m:ctrlPr>
              </m:sSubPr>
              <m:e>
                <m:r>
                  <w:rPr>
                    <w:rFonts w:ascii="Cambria Math" w:hAnsi="Cambria Math" w:cs="Times"/>
                    <w:lang w:val="en-CA"/>
                  </w:rPr>
                  <m:t>G</m:t>
                </m:r>
              </m:e>
              <m:sub>
                <m:r>
                  <w:rPr>
                    <w:rFonts w:ascii="Cambria Math" w:hAnsi="Cambria Math" w:cs="Times"/>
                    <w:lang w:val="en-CA"/>
                  </w:rPr>
                  <m:t>FW</m:t>
                </m:r>
              </m:sub>
            </m:sSub>
          </m:e>
        </m:d>
      </m:oMath>
      <w:r w:rsidR="009B54CE" w:rsidRPr="00D039E9">
        <w:rPr>
          <w:rFonts w:cs="Times"/>
          <w:lang w:val="en-CA"/>
        </w:rPr>
        <w:t>. A comparison of Eqs. (7) and (8</w:t>
      </w:r>
      <w:r w:rsidRPr="00D039E9">
        <w:rPr>
          <w:rFonts w:cs="Times"/>
          <w:lang w:val="en-CA"/>
        </w:rPr>
        <w:t xml:space="preserve">) yields </w:t>
      </w:r>
    </w:p>
    <w:p w14:paraId="7A788C04" w14:textId="5A0D37B9" w:rsidR="003A72AC" w:rsidRPr="00D039E9" w:rsidRDefault="000E5B3F" w:rsidP="003A72AC">
      <w:pPr>
        <w:pStyle w:val="TAMainText"/>
        <w:ind w:firstLine="0"/>
        <w:rPr>
          <w:rFonts w:cs="Times"/>
          <w:lang w:val="en-CA"/>
        </w:rPr>
      </w:pPr>
      <m:oMath>
        <m:sSub>
          <m:sSubPr>
            <m:ctrlPr>
              <w:rPr>
                <w:rFonts w:ascii="Cambria Math" w:hAnsi="Cambria Math" w:cs="Times"/>
                <w:i/>
                <w:lang w:val="en-CA"/>
              </w:rPr>
            </m:ctrlPr>
          </m:sSubPr>
          <m:e>
            <m:r>
              <w:rPr>
                <w:rFonts w:ascii="Cambria Math" w:hAnsi="Cambria Math" w:cs="Times"/>
                <w:lang w:val="en-CA"/>
              </w:rPr>
              <m:t>G</m:t>
            </m:r>
          </m:e>
          <m:sub>
            <m:r>
              <w:rPr>
                <w:rFonts w:ascii="Cambria Math" w:hAnsi="Cambria Math" w:cs="Times"/>
                <w:lang w:val="en-CA"/>
              </w:rPr>
              <m:t>PF</m:t>
            </m:r>
          </m:sub>
        </m:sSub>
        <m:r>
          <w:rPr>
            <w:rFonts w:ascii="Cambria Math" w:hAnsi="Cambria Math" w:cs="Times"/>
            <w:lang w:val="en-CA"/>
          </w:rPr>
          <m:t>-</m:t>
        </m:r>
        <m:sSub>
          <m:sSubPr>
            <m:ctrlPr>
              <w:rPr>
                <w:rFonts w:ascii="Cambria Math" w:hAnsi="Cambria Math" w:cs="Times"/>
                <w:i/>
                <w:lang w:val="en-CA"/>
              </w:rPr>
            </m:ctrlPr>
          </m:sSubPr>
          <m:e>
            <m:r>
              <w:rPr>
                <w:rFonts w:ascii="Cambria Math" w:hAnsi="Cambria Math" w:cs="Times"/>
                <w:lang w:val="en-CA"/>
              </w:rPr>
              <m:t>G</m:t>
            </m:r>
          </m:e>
          <m:sub>
            <m:r>
              <w:rPr>
                <w:rFonts w:ascii="Cambria Math" w:hAnsi="Cambria Math" w:cs="Times"/>
                <w:lang w:val="en-CA"/>
              </w:rPr>
              <m:t>PW</m:t>
            </m:r>
          </m:sub>
        </m:sSub>
        <m:r>
          <w:rPr>
            <w:rFonts w:ascii="Cambria Math" w:hAnsi="Cambria Math" w:cs="Times"/>
            <w:lang w:val="en-CA"/>
          </w:rPr>
          <m:t>=</m:t>
        </m:r>
        <m:f>
          <m:fPr>
            <m:ctrlPr>
              <w:rPr>
                <w:rFonts w:ascii="Cambria Math" w:hAnsi="Cambria Math" w:cs="Times"/>
                <w:i/>
                <w:lang w:val="en-CA"/>
              </w:rPr>
            </m:ctrlPr>
          </m:fPr>
          <m:num>
            <m:sSub>
              <m:sSubPr>
                <m:ctrlPr>
                  <w:rPr>
                    <w:rFonts w:ascii="Cambria Math" w:hAnsi="Cambria Math" w:cs="Times"/>
                    <w:i/>
                    <w:lang w:val="en-CA"/>
                  </w:rPr>
                </m:ctrlPr>
              </m:sSubPr>
              <m:e>
                <m:r>
                  <w:rPr>
                    <w:rFonts w:ascii="Cambria Math" w:hAnsi="Cambria Math" w:cs="Times"/>
                    <w:lang w:val="en-CA"/>
                  </w:rPr>
                  <m:t>K</m:t>
                </m:r>
              </m:e>
              <m:sub>
                <m:r>
                  <w:rPr>
                    <w:rFonts w:ascii="Cambria Math" w:hAnsi="Cambria Math" w:cs="Times"/>
                    <w:lang w:val="en-CA"/>
                  </w:rPr>
                  <m:t>b</m:t>
                </m:r>
              </m:sub>
            </m:sSub>
          </m:num>
          <m:den>
            <m:r>
              <w:rPr>
                <w:rFonts w:ascii="Cambria Math" w:hAnsi="Cambria Math" w:cs="Times"/>
                <w:lang w:val="en-CA"/>
              </w:rPr>
              <m:t>1+</m:t>
            </m:r>
            <m:sSub>
              <m:sSubPr>
                <m:ctrlPr>
                  <w:rPr>
                    <w:rFonts w:ascii="Cambria Math" w:hAnsi="Cambria Math" w:cs="Times"/>
                    <w:i/>
                    <w:lang w:val="en-CA"/>
                  </w:rPr>
                </m:ctrlPr>
              </m:sSubPr>
              <m:e>
                <m:r>
                  <w:rPr>
                    <w:rFonts w:ascii="Cambria Math" w:hAnsi="Cambria Math" w:cs="Times"/>
                    <w:lang w:val="en-CA"/>
                  </w:rPr>
                  <m:t>K</m:t>
                </m:r>
              </m:e>
              <m:sub>
                <m:r>
                  <w:rPr>
                    <w:rFonts w:ascii="Cambria Math" w:hAnsi="Cambria Math" w:cs="Times"/>
                    <w:lang w:val="en-CA"/>
                  </w:rPr>
                  <m:t>b</m:t>
                </m:r>
              </m:sub>
            </m:sSub>
            <m:sSub>
              <m:sSubPr>
                <m:ctrlPr>
                  <w:rPr>
                    <w:rFonts w:ascii="Cambria Math" w:hAnsi="Cambria Math" w:cs="Times"/>
                    <w:i/>
                    <w:lang w:val="en-CA"/>
                  </w:rPr>
                </m:ctrlPr>
              </m:sSubPr>
              <m:e>
                <m:r>
                  <w:rPr>
                    <w:rFonts w:ascii="Cambria Math" w:hAnsi="Cambria Math" w:cs="Times"/>
                    <w:lang w:val="en-CA"/>
                  </w:rPr>
                  <m:t>c</m:t>
                </m:r>
              </m:e>
              <m:sub>
                <m:r>
                  <w:rPr>
                    <w:rFonts w:ascii="Cambria Math" w:hAnsi="Cambria Math" w:cs="Times"/>
                    <w:lang w:val="en-CA"/>
                  </w:rPr>
                  <m:t>F</m:t>
                </m:r>
              </m:sub>
            </m:sSub>
          </m:den>
        </m:f>
      </m:oMath>
      <w:r w:rsidR="009B54CE" w:rsidRPr="00D039E9">
        <w:rPr>
          <w:rFonts w:cs="Times"/>
          <w:lang w:val="en-CA"/>
        </w:rPr>
        <w:tab/>
      </w:r>
      <w:r w:rsidR="009B54CE" w:rsidRPr="00D039E9">
        <w:rPr>
          <w:rFonts w:cs="Times"/>
          <w:lang w:val="en-CA"/>
        </w:rPr>
        <w:tab/>
      </w:r>
      <w:r w:rsidR="009B54CE" w:rsidRPr="00D039E9">
        <w:rPr>
          <w:rFonts w:cs="Times"/>
          <w:lang w:val="en-CA"/>
        </w:rPr>
        <w:tab/>
      </w:r>
      <w:r w:rsidR="009B54CE" w:rsidRPr="00D039E9">
        <w:rPr>
          <w:rFonts w:cs="Times"/>
          <w:lang w:val="en-CA"/>
        </w:rPr>
        <w:tab/>
      </w:r>
      <w:r w:rsidR="009B54CE" w:rsidRPr="00D039E9">
        <w:rPr>
          <w:rFonts w:cs="Times"/>
          <w:lang w:val="en-CA"/>
        </w:rPr>
        <w:tab/>
      </w:r>
      <w:r w:rsidR="009B54CE" w:rsidRPr="00D039E9">
        <w:rPr>
          <w:rFonts w:cs="Times"/>
          <w:lang w:val="en-CA"/>
        </w:rPr>
        <w:tab/>
      </w:r>
      <w:r w:rsidR="009B54CE" w:rsidRPr="00D039E9">
        <w:rPr>
          <w:rFonts w:cs="Times"/>
          <w:lang w:val="en-CA"/>
        </w:rPr>
        <w:tab/>
      </w:r>
      <w:r w:rsidR="009B54CE" w:rsidRPr="00D039E9">
        <w:rPr>
          <w:rFonts w:cs="Times"/>
          <w:lang w:val="en-CA"/>
        </w:rPr>
        <w:tab/>
      </w:r>
      <w:r w:rsidR="009B54CE" w:rsidRPr="00D039E9">
        <w:rPr>
          <w:rFonts w:cs="Times"/>
          <w:lang w:val="en-CA"/>
        </w:rPr>
        <w:tab/>
      </w:r>
      <w:r w:rsidR="009B54CE" w:rsidRPr="00D039E9">
        <w:rPr>
          <w:rFonts w:cs="Times"/>
          <w:lang w:val="en-CA"/>
        </w:rPr>
        <w:tab/>
        <w:t>(9</w:t>
      </w:r>
      <w:r w:rsidR="003A72AC" w:rsidRPr="00D039E9">
        <w:rPr>
          <w:rFonts w:cs="Times"/>
          <w:lang w:val="en-CA"/>
        </w:rPr>
        <w:t>)</w:t>
      </w:r>
    </w:p>
    <w:p w14:paraId="7DA06578" w14:textId="0D7FE50C" w:rsidR="003A72AC" w:rsidRPr="00D039E9" w:rsidRDefault="003A72AC" w:rsidP="003A72AC">
      <w:pPr>
        <w:pStyle w:val="TAMainText"/>
        <w:ind w:firstLine="0"/>
        <w:rPr>
          <w:rFonts w:cs="Times"/>
          <w:lang w:val="en-CA"/>
        </w:rPr>
      </w:pPr>
      <w:r w:rsidRPr="00D039E9">
        <w:rPr>
          <w:rFonts w:cs="Times"/>
          <w:lang w:val="en-CA"/>
        </w:rPr>
        <w:t xml:space="preserve">To determine </w:t>
      </w:r>
      <m:oMath>
        <m:sSub>
          <m:sSubPr>
            <m:ctrlPr>
              <w:rPr>
                <w:rFonts w:ascii="Cambria Math" w:hAnsi="Cambria Math" w:cs="Times"/>
                <w:i/>
                <w:lang w:val="en-CA"/>
              </w:rPr>
            </m:ctrlPr>
          </m:sSubPr>
          <m:e>
            <m:r>
              <w:rPr>
                <w:rFonts w:ascii="Cambria Math" w:hAnsi="Cambria Math" w:cs="Times"/>
                <w:lang w:val="en-CA"/>
              </w:rPr>
              <m:t>G</m:t>
            </m:r>
          </m:e>
          <m:sub>
            <m:r>
              <w:rPr>
                <w:rFonts w:ascii="Cambria Math" w:hAnsi="Cambria Math" w:cs="Times"/>
                <w:lang w:val="en-CA"/>
              </w:rPr>
              <m:t>PF</m:t>
            </m:r>
          </m:sub>
        </m:sSub>
      </m:oMath>
      <w:r w:rsidRPr="00D039E9">
        <w:rPr>
          <w:rFonts w:cs="Times"/>
          <w:lang w:val="en-CA"/>
        </w:rPr>
        <w:t xml:space="preserve"> and </w:t>
      </w:r>
      <m:oMath>
        <m:sSub>
          <m:sSubPr>
            <m:ctrlPr>
              <w:rPr>
                <w:rFonts w:ascii="Cambria Math" w:hAnsi="Cambria Math" w:cs="Times"/>
                <w:i/>
                <w:lang w:val="en-CA"/>
              </w:rPr>
            </m:ctrlPr>
          </m:sSubPr>
          <m:e>
            <m:r>
              <w:rPr>
                <w:rFonts w:ascii="Cambria Math" w:hAnsi="Cambria Math" w:cs="Times"/>
                <w:lang w:val="en-CA"/>
              </w:rPr>
              <m:t>G</m:t>
            </m:r>
          </m:e>
          <m:sub>
            <m:r>
              <w:rPr>
                <w:rFonts w:ascii="Cambria Math" w:hAnsi="Cambria Math" w:cs="Times"/>
                <w:lang w:val="en-CA"/>
              </w:rPr>
              <m:t>PW</m:t>
            </m:r>
          </m:sub>
        </m:sSub>
      </m:oMath>
      <w:r w:rsidR="009B54CE" w:rsidRPr="00D039E9">
        <w:rPr>
          <w:rFonts w:cs="Times"/>
          <w:lang w:val="en-CA"/>
        </w:rPr>
        <w:t xml:space="preserve"> independently</w:t>
      </w:r>
      <w:r w:rsidRPr="00D039E9">
        <w:rPr>
          <w:rFonts w:cs="Times"/>
          <w:lang w:val="en-CA"/>
        </w:rPr>
        <w:t>, simultaneous</w:t>
      </w:r>
      <w:r w:rsidR="009B54CE" w:rsidRPr="00D039E9">
        <w:rPr>
          <w:rFonts w:cs="Times"/>
          <w:lang w:val="en-CA"/>
        </w:rPr>
        <w:t xml:space="preserve"> equations consisting of Eq. (9</w:t>
      </w:r>
      <w:r w:rsidRPr="00D039E9">
        <w:rPr>
          <w:rFonts w:cs="Times"/>
          <w:lang w:val="en-CA"/>
        </w:rPr>
        <w:t xml:space="preserve">) </w:t>
      </w:r>
      <w:r w:rsidR="00945E59" w:rsidRPr="00D039E9">
        <w:rPr>
          <w:rFonts w:cs="Times"/>
          <w:lang w:val="en-CA"/>
        </w:rPr>
        <w:t xml:space="preserve">and Eq. (2) should be solved. </w:t>
      </w:r>
    </w:p>
    <w:p w14:paraId="69BB6F75" w14:textId="0746C024" w:rsidR="003872DB" w:rsidRPr="00D039E9" w:rsidRDefault="003872DB" w:rsidP="003872DB">
      <w:pPr>
        <w:pStyle w:val="TAMainText"/>
        <w:ind w:firstLine="0"/>
        <w:rPr>
          <w:rFonts w:cs="Times"/>
          <w:b/>
          <w:lang w:val="en-CA"/>
        </w:rPr>
      </w:pPr>
    </w:p>
    <w:p w14:paraId="4045E7D7" w14:textId="481980D1" w:rsidR="009B54CE" w:rsidRPr="00D039E9" w:rsidRDefault="009B54CE" w:rsidP="003872DB">
      <w:pPr>
        <w:pStyle w:val="TAMainText"/>
        <w:ind w:firstLine="0"/>
        <w:rPr>
          <w:rFonts w:cs="Times"/>
          <w:b/>
          <w:lang w:val="en-CA"/>
        </w:rPr>
      </w:pPr>
      <w:r w:rsidRPr="00D039E9">
        <w:rPr>
          <w:rFonts w:cs="Times"/>
          <w:b/>
          <w:lang w:val="en-CA"/>
        </w:rPr>
        <w:t xml:space="preserve">4.2. Practice </w:t>
      </w:r>
    </w:p>
    <w:p w14:paraId="156FA998" w14:textId="77777777" w:rsidR="001C2FA6" w:rsidRPr="00D039E9" w:rsidRDefault="001C2FA6" w:rsidP="003872DB">
      <w:pPr>
        <w:pStyle w:val="TAMainText"/>
        <w:ind w:firstLine="0"/>
        <w:rPr>
          <w:rFonts w:cs="Times"/>
          <w:b/>
          <w:lang w:val="en-CA"/>
        </w:rPr>
      </w:pPr>
    </w:p>
    <w:p w14:paraId="023B3775" w14:textId="066C81F2" w:rsidR="00945E59" w:rsidRPr="00D039E9" w:rsidRDefault="00D71279" w:rsidP="00945E59">
      <w:pPr>
        <w:pStyle w:val="TAMainText"/>
        <w:ind w:firstLine="0"/>
        <w:rPr>
          <w:rFonts w:cs="Times"/>
          <w:lang w:val="en-CA"/>
        </w:rPr>
      </w:pPr>
      <w:r w:rsidRPr="00D039E9">
        <w:rPr>
          <w:rFonts w:cs="Times"/>
          <w:b/>
          <w:lang w:val="en-CA"/>
        </w:rPr>
        <w:t xml:space="preserve">KBIs </w:t>
      </w:r>
      <w:r w:rsidR="00945E59" w:rsidRPr="00D039E9">
        <w:rPr>
          <w:rFonts w:cs="Times"/>
          <w:b/>
          <w:lang w:val="en-CA"/>
        </w:rPr>
        <w:t>can be obtained directly from traditional binding analysis</w:t>
      </w:r>
      <w:r w:rsidR="005C7842" w:rsidRPr="00D039E9">
        <w:rPr>
          <w:rFonts w:cs="Times"/>
          <w:lang w:val="en-CA"/>
        </w:rPr>
        <w:t>, even though the</w:t>
      </w:r>
      <w:r w:rsidR="008A307F" w:rsidRPr="00D039E9">
        <w:rPr>
          <w:rFonts w:cs="Times"/>
          <w:lang w:val="en-CA"/>
        </w:rPr>
        <w:t xml:space="preserve"> classical binding models employ unrealistic model assumptions.</w:t>
      </w:r>
      <w:r w:rsidR="002F6C86" w:rsidRPr="00D039E9">
        <w:rPr>
          <w:lang w:val="en-CA"/>
        </w:rPr>
        <w:fldChar w:fldCharType="begin" w:fldLock="1"/>
      </w:r>
      <w:r w:rsidR="003E67FA" w:rsidRPr="00D039E9">
        <w:rPr>
          <w:lang w:val="en-CA"/>
        </w:rPr>
        <w:instrText>ADDIN CSL_CITATION { "citationItems" : [ { "id" : "ITEM-1",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"ITEM-1",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"id" : "ITEM-2",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"ITEM-2",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"id" : "ITEM-3",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"ITEM-3", "issue" : "14", "issued" : { "date-parts" : [ [ "2014" ] ] }, "page" : "3922-3930", "title" : "Preferential solvation: Dividing surface vs excess numbers", "type" : "article-journal", "volume" : "118" }, "uris" : [ "http://www.mendeley.com/documents/?uuid=896fec6b-354e-41cd-a8de-55bd371a22f5" ] }, { "id" : "ITEM-4", "itemData" : { "DOI" : "10.1039/c3cp53791a", "ISBN" : "1463-9076", "ISSN" : "1463-9084", "PMID" : "24189644", "abstract" : "Hydrophobic drugs can often be solubilized by the addition of hydrotropes. We have previously shown that preferential drug-hydrotrope association is one of the major factors of increased solubility (but not \"hydrotrope clustering\" or changes in \"water structure\"). How, then, can we understand this drug-hydrotrope interaction at a molecular level? Thermodynamic models based upon stoichiometric solute-water and solute-hydrotrope binding have long been used to understand solubilization microscopically. Such binding models have shown that the solvation numbers or coordination numbers of the water and hydrotrope molecules around the drug solute is the key quantity for solute-water and solute-hydrotrope interaction. However, we show that a rigorous statistical thermodynamic theory (the fluctuation solution theory originated by Kirkwood and Buff) requires the total reconsideration of such a paradigm. Here we show that (i) the excess solvation number (the net increase or decrease, relative to the bulk, of the solvent molecules around the solute), not the coordination number, is the key quantity for describing the solute-hydrotrope interaction; (ii) solute-hydrotrope binding is beyond the reach of the stoichiometric models because long-range solvation structure plays an important role.", "author" : [ { "dropping-particle" : "", "family" : "Shimizu", "given" : "Seishi", "non-dropping-particle" : "", "parse-names" : false, "suffix" : "" }, { "dropping-particle" : "", "family" : "Booth", "given" : "Jonathan J", "non-dropping-particle" : "", "parse-names" : false, "suffix" : "" }, { "dropping-particle" : "", "family" : "Abbott", "given" : "Steven", "non-dropping-particle" : "", "parse-names" : false, "suffix" : "" } ], "container-title" : "Physical chemistry chemical physics : PCCP", "id" : "ITEM-4", "issue" : "47", "issued" : { "date-parts" : [ [ "2013" ] ] }, "page" : "20625-20632", "title" : "Hydrotropy: binding models vs. statistical thermodynamics.", "type" : "article-journal", "volume" : "15" }, "uris" : [ "http://www.mendeley.com/documents/?uuid=d239f09f-553e-48eb-882f-c22d5aa8ac8c" ] } ], "mendeley" : { "formattedCitation" : "&lt;sup&gt;11,16,17,22&lt;/sup&gt;", "plainTextFormattedCitation" : "11,16,17,22", "previouslyFormattedCitation" : "&lt;sup&gt;11,16,17,22&lt;/sup&gt;" }, "properties" : { "noteIndex" : 0 }, "schema" : "https://github.com/citation-style-language/schema/raw/master/csl-citation.json" }</w:instrText>
      </w:r>
      <w:r w:rsidR="002F6C86" w:rsidRPr="00D039E9">
        <w:rPr>
          <w:lang w:val="en-CA"/>
        </w:rPr>
        <w:fldChar w:fldCharType="separate"/>
      </w:r>
      <w:r w:rsidR="003E67FA" w:rsidRPr="00D039E9">
        <w:rPr>
          <w:noProof/>
          <w:vertAlign w:val="superscript"/>
          <w:lang w:val="en-CA"/>
        </w:rPr>
        <w:t>11,16,17,22</w:t>
      </w:r>
      <w:r w:rsidR="002F6C86" w:rsidRPr="00D039E9">
        <w:rPr>
          <w:lang w:val="en-CA"/>
        </w:rPr>
        <w:fldChar w:fldCharType="end"/>
      </w:r>
      <w:r w:rsidR="00945E59" w:rsidRPr="00D039E9">
        <w:rPr>
          <w:rFonts w:cs="Times"/>
          <w:lang w:val="en-CA"/>
        </w:rPr>
        <w:t xml:space="preserve"> </w:t>
      </w:r>
      <w:r w:rsidR="008A307F" w:rsidRPr="00D039E9">
        <w:rPr>
          <w:rFonts w:cs="Times"/>
          <w:lang w:val="en-CA"/>
        </w:rPr>
        <w:t>Here we employ the classical binding models merely as a way to fit experimental data.</w:t>
      </w:r>
      <w:r w:rsidR="00BB3004" w:rsidRPr="00D039E9">
        <w:rPr>
          <w:rFonts w:cs="Times"/>
          <w:lang w:val="en-CA"/>
        </w:rPr>
        <w:fldChar w:fldCharType="begin" w:fldLock="1"/>
      </w:r>
      <w:r w:rsidR="00C65F5C" w:rsidRPr="00D039E9">
        <w:rPr>
          <w:rFonts w:cs="Times"/>
          <w:lang w:val="en-CA"/>
        </w:rPr>
        <w:instrText>ADDIN CSL_CITATION { "citationItems" : [ { "id" : "ITEM-1", "itemData" : { "author" : [ { "dropping-particle" : "", "family" : "Damodaran", "given" : "Srinivasan", "non-dropping-particle" : "", "parse-names" : false, "suffix" : "" }, { "dropping-particle" : "", "family" : "Kinsella", "given" : "John E", "non-dropping-particle" : "", "parse-names" : false, "suffix" : "" } ], "container-title" : "Journal of Agricultural and Food Chemistry", "id" : "ITEM-1", "issued" : { "date-parts" : [ [ "1981" ] ] }, "page" : "1249-1253", "title" : "Interaction of Carbonyls with Soy Protein : Thermodynamic Effects", "type" : "article-journal", "volume" : "29" }, "uris" : [ "http://www.mendeley.com/documents/?uuid=291dd796-f27e-4bd0-89da-05dcbfeab0d6" ] }, { "id" : "ITEM-2", "itemData" : { "author" : [ { "dropping-particle" : "", "family" : "Damodaran", "given" : "Srinivasan", "non-dropping-particle" : "", "parse-names" : false, "suffix" : "" }, { "dropping-particle" : "", "family" : "Kinsella", "given" : "John E", "non-dropping-particle" : "", "parse-names" : false, "suffix" : "" } ], "container-title" : "Journal of Agricultural and Food Chemistry", "id" : "ITEM-2", "issued" : { "date-parts" : [ [ "1981" ] ] }, "page" : "1253-1257", "title" : "Interaction of Carbonyls with Soy Protein : Conformational Effects", "type" : "article-journal", "volume" : "29" }, "uris" : [ "http://www.mendeley.com/documents/?uuid=e888460f-0763-4b21-a7d1-df22f4f6d68b" ] }, { "id" : "ITEM-3", "itemData" : { "DOI" : "10.1111/j.1365-2621.1987.tb13980.x", "ISSN" : "0022-1147", "author" : [ { "dropping-particle" : "", "family" : "O'Neill", "given" : "Timothy E.", "non-dropping-particle" : "", "parse-names" : false, "suffix" : "" }, { "dropping-particle" : "", "family" : "Kinsella", "given" : "John E.", "non-dropping-particle" : "", "parse-names" : false, "suffix" : "" } ], "container-title" : "Journal of Food Science", "id" : "ITEM-3", "issue" : "1", "issued" : { "date-parts" : [ [ "1987", "1" ] ] }, "page" : "98-101", "publisher" : "Blackwell Publishing Ltd", "title" : "Flavor Protein Interactions: Characteristics of 2-Nonanone Binding to Isolated Soy Protein Fractions", "type" : "article-journal", "volume" : "52" }, "uris" : [ "http://www.mendeley.com/documents/?uuid=9a4f6aeb-bac1-3809-afbf-3c12c4f180dc" ] }, { "id" : "ITEM-4", "itemData" : { "DOI" : "10.1021/bk-1996-0633.ch006", "author" : [ { "dropping-particle" : "", "family" : "O'Neill", "given" : "Timothy E.", "non-dropping-particle" : "", "parse-names" : false, "suffix" : "" } ], "id" : "ITEM-4", "issued" : { "date-parts" : [ [ "1996", "5", "5" ] ] }, "page" : "59-74", "title" : "Flavor Binding by Food Proteins: An Overview", "type" : "chapter" }, "uris" : [ "http://www.mendeley.com/documents/?uuid=48481a29-3c8c-3969-b38a-5c673b671ff9" ] }, { "id" : "ITEM-5", "itemData" : { "author" : [ { "dropping-particle" : "", "family" : "Guichard", "given" : "E", "non-dropping-particle" : "", "parse-names" : false, "suffix" : "" }, { "dropping-particle" : "", "family" : "Langourieux", "given" : "S", "non-dropping-particle" : "", "parse-names" : false, "suffix" : "" } ], "container-title" : "Food Chemistry", "id" : "ITEM-5", "issued" : { "date-parts" : [ [ "2000" ] ] }, "page" : "301-308", "title" : "Interactions between b -lactoglobulin and \u00af avour compounds", "type" : "article-journal", "volume" : "71" }, "uris" : [ "http://www.mendeley.com/documents/?uuid=ec402924-8f58-4cb7-9815-c67ed89e3a69" ] }, { "id" : "ITEM-6", "itemData" : { "DOI" : "10.1021/jf0012188", "ISBN" : "0021-8561 (Print)\\r0021-8561 (Linking)", "ISSN" : "00218561", "PMID" : "11368643", "abstract" : "Although a thorough characterization of binding parameters is essential for application of beta-lactoglobulin as a carrier for a variety of small hydrophobic ligands, the binding parameters derived in various studies using various techniques are inconsistent. The bindings of several small ligands as detected by fluorometry and equilibrium dialysis were compared. Fluorescence spectroscopy showed that beta-ionone, retinol, and fatty acid lactones all bound in the vicinity of a tryptophan residue. Retinol and fatty acid lactone competed for the same binding site. Exclusively for ligands that quench the beta-lactoglobulin fluorescence through a resonance energy transfer mechanism, fluorometry yielded a systematically higher binding affinity than equilibrium dialysis. The binding overestimation in fluorometric measurements can be explained by oligomer formation of protein, together with an underestimation of the limiting quenching level at saturating ligand concentrations due to the use of a limited set of data points.", "author" : [ { "dropping-particle" : "", "family" : "Muresan", "given" : "Sorel", "non-dropping-particle" : "", "parse-names" : false, "suffix" : "" }, { "dropping-particle" : "", "family" : "Bent", "given" : "A", "non-dropping-particle" : "van der", "parse-names" : false, "suffix" : "" }, { "dropping-particle" : "", "family" : "Wolf", "given" : "Frits A.", "non-dropping-particle" : "De", "parse-names" : false, "suffix" : "" } ], "container-title" : "Journal of Agricultural and Food Chemistry", "id" : "ITEM-6", "issue" : "5", "issued" : { "date-parts" : [ [ "2001" ] ] }, "page" : "2609-2618", "publisher" : "American Chemical Society", "title" : "Interaction of ??-lactoglobulin with small hydrophobic ligands as monitored by fluorometry and equilibrium dialysis: Nonlinear quenching effects related to protein - Protein association", "type" : "article-journal", "volume" : "49" }, "uris" : [ "http://www.mendeley.com/documents/?uuid=71b6d8b8-29a9-3511-bc48-c4b0bfc15fda" ] }, { "id" : "ITEM-7", "itemData" : { "DOI" : "10.1007/s11746-009-1535-8", "ISSN" : "0003-021X", "author" : [ { "dropping-particle" : "", "family" : "Arora", "given" : "Akshay", "non-dropping-particle" : "", "parse-names" : false, "suffix" : "" }, { "dropping-particle" : "", "family" : "Damodaran", "given" : "Srinivasan", "non-dropping-particle" : "", "parse-names" : false, "suffix" : "" } ], "container-title" : "Journal of the American Oil Chemists' Society", "id" : "ITEM-7", "issue" : "6", "issued" : { "date-parts" : [ [ "2010", "6", "19" ] ] }, "page" : "673-679", "publisher" : "Springer-Verlag", "title" : "Competitive Binding of Off-Flavor Compounds with Soy Protein and \u03b2-Cyclodextrin in a Ternary System: A Model Study", "type" : "article-journal", "volume" : "87" }, "uris" : [ "http://www.mendeley.com/documents/?uuid=4d072e3e-e9a4-39b7-b1a3-dda4f90eaf52" ] } ], "mendeley" : { "formattedCitation" : "&lt;sup&gt;1,2,29\u201333&lt;/sup&gt;", "plainTextFormattedCitation" : "1,2,29\u201333", "previouslyFormattedCitation" : "&lt;sup&gt;1,2,29\u201333&lt;/sup&gt;" }, "properties" : { "noteIndex" : 0 }, "schema" : "https://github.com/citation-style-language/schema/raw/master/csl-citation.json" }</w:instrText>
      </w:r>
      <w:r w:rsidR="00BB3004" w:rsidRPr="00D039E9">
        <w:rPr>
          <w:rFonts w:cs="Times"/>
          <w:lang w:val="en-CA"/>
        </w:rPr>
        <w:fldChar w:fldCharType="separate"/>
      </w:r>
      <w:r w:rsidR="00BB3004" w:rsidRPr="00D039E9">
        <w:rPr>
          <w:rFonts w:cs="Times"/>
          <w:noProof/>
          <w:vertAlign w:val="superscript"/>
          <w:lang w:val="en-CA"/>
        </w:rPr>
        <w:t>1,2,29–33</w:t>
      </w:r>
      <w:r w:rsidR="00BB3004" w:rsidRPr="00D039E9">
        <w:rPr>
          <w:rFonts w:cs="Times"/>
          <w:lang w:val="en-CA"/>
        </w:rPr>
        <w:fldChar w:fldCharType="end"/>
      </w:r>
      <w:r w:rsidR="008A307F" w:rsidRPr="00D039E9">
        <w:rPr>
          <w:rFonts w:cs="Times"/>
          <w:lang w:val="en-CA"/>
        </w:rPr>
        <w:t xml:space="preserve"> </w:t>
      </w:r>
      <w:r w:rsidR="00945E59" w:rsidRPr="00D039E9">
        <w:rPr>
          <w:rFonts w:cs="Times"/>
          <w:lang w:val="en-CA"/>
        </w:rPr>
        <w:t>To do so, let us consider the reality of data analysis. Firstly</w:t>
      </w:r>
      <w:r w:rsidR="001E7FBA" w:rsidRPr="00D039E9">
        <w:rPr>
          <w:rFonts w:cs="Times"/>
          <w:lang w:val="en-CA"/>
        </w:rPr>
        <w:t xml:space="preserve">, the flavour molecules are in dilution, and that the dependence of </w:t>
      </w:r>
      <m:oMath>
        <m:sSub>
          <m:sSubPr>
            <m:ctrlPr>
              <w:rPr>
                <w:rFonts w:ascii="Cambria Math" w:hAnsi="Cambria Math" w:cs="Times"/>
                <w:i/>
                <w:lang w:val="en-CA"/>
              </w:rPr>
            </m:ctrlPr>
          </m:sSubPr>
          <m:e>
            <m:r>
              <w:rPr>
                <w:rFonts w:ascii="Cambria Math" w:hAnsi="Cambria Math" w:cs="Times"/>
                <w:lang w:val="en-CA"/>
              </w:rPr>
              <m:t>V</m:t>
            </m:r>
          </m:e>
          <m:sub>
            <m:r>
              <w:rPr>
                <w:rFonts w:ascii="Cambria Math" w:hAnsi="Cambria Math" w:cs="Times"/>
                <w:lang w:val="en-CA"/>
              </w:rPr>
              <m:t>P</m:t>
            </m:r>
          </m:sub>
        </m:sSub>
      </m:oMath>
      <w:r w:rsidR="001E7FBA" w:rsidRPr="00D039E9">
        <w:rPr>
          <w:rFonts w:cs="Times"/>
          <w:lang w:val="en-CA"/>
        </w:rPr>
        <w:t xml:space="preserve"> on </w:t>
      </w:r>
      <m:oMath>
        <m:sSub>
          <m:sSubPr>
            <m:ctrlPr>
              <w:rPr>
                <w:rFonts w:ascii="Cambria Math" w:hAnsi="Cambria Math" w:cs="Times"/>
                <w:i/>
                <w:lang w:val="en-CA"/>
              </w:rPr>
            </m:ctrlPr>
          </m:sSubPr>
          <m:e>
            <m:r>
              <w:rPr>
                <w:rFonts w:ascii="Cambria Math" w:hAnsi="Cambria Math" w:cs="Times"/>
                <w:lang w:val="en-CA"/>
              </w:rPr>
              <m:t>c</m:t>
            </m:r>
          </m:e>
          <m:sub>
            <m:r>
              <w:rPr>
                <w:rFonts w:ascii="Cambria Math" w:hAnsi="Cambria Math" w:cs="Times"/>
                <w:lang w:val="en-CA"/>
              </w:rPr>
              <m:t>F</m:t>
            </m:r>
          </m:sub>
        </m:sSub>
      </m:oMath>
      <w:r w:rsidR="001E7FBA" w:rsidRPr="00D039E9">
        <w:rPr>
          <w:rFonts w:cs="Times"/>
          <w:lang w:val="en-CA"/>
        </w:rPr>
        <w:t xml:space="preserve"> is weak. Hence we use Eq. (4) </w:t>
      </w:r>
      <w:r w:rsidR="007B78DD" w:rsidRPr="00D039E9">
        <w:rPr>
          <w:rFonts w:cs="Times"/>
          <w:lang w:val="en-CA"/>
        </w:rPr>
        <w:t xml:space="preserve">(with replacing </w:t>
      </w:r>
      <m:oMath>
        <m:r>
          <w:rPr>
            <w:rFonts w:ascii="Cambria Math" w:hAnsi="Cambria Math" w:cs="Times"/>
            <w:lang w:val="en-CA"/>
          </w:rPr>
          <m:t>F</m:t>
        </m:r>
      </m:oMath>
      <w:r w:rsidR="007B78DD" w:rsidRPr="00D039E9">
        <w:rPr>
          <w:rFonts w:cs="Times"/>
          <w:lang w:val="en-CA"/>
        </w:rPr>
        <w:t xml:space="preserve"> to </w:t>
      </w:r>
      <m:oMath>
        <m:r>
          <w:rPr>
            <w:rFonts w:ascii="Cambria Math" w:hAnsi="Cambria Math" w:cs="Times"/>
            <w:lang w:val="en-CA"/>
          </w:rPr>
          <m:t>P</m:t>
        </m:r>
      </m:oMath>
      <w:r w:rsidR="00AA69BA" w:rsidRPr="00D039E9">
        <w:rPr>
          <w:rFonts w:cs="Times"/>
          <w:lang w:val="en-CA"/>
        </w:rPr>
        <w:t>) to</w:t>
      </w:r>
      <w:r w:rsidR="001E7FBA" w:rsidRPr="00D039E9">
        <w:rPr>
          <w:rFonts w:cs="Times"/>
          <w:lang w:val="en-CA"/>
        </w:rPr>
        <w:t xml:space="preserve"> estimate </w:t>
      </w:r>
      <m:oMath>
        <m:sSub>
          <m:sSubPr>
            <m:ctrlPr>
              <w:rPr>
                <w:rFonts w:ascii="Cambria Math" w:hAnsi="Cambria Math" w:cs="Times"/>
                <w:i/>
                <w:lang w:val="en-CA"/>
              </w:rPr>
            </m:ctrlPr>
          </m:sSubPr>
          <m:e>
            <m:r>
              <w:rPr>
                <w:rFonts w:ascii="Cambria Math" w:hAnsi="Cambria Math" w:cs="Times"/>
                <w:lang w:val="en-CA"/>
              </w:rPr>
              <m:t>G</m:t>
            </m:r>
          </m:e>
          <m:sub>
            <m:r>
              <w:rPr>
                <w:rFonts w:ascii="Cambria Math" w:hAnsi="Cambria Math" w:cs="Times"/>
                <w:lang w:val="en-CA"/>
              </w:rPr>
              <m:t>PW</m:t>
            </m:r>
          </m:sub>
        </m:sSub>
      </m:oMath>
      <w:r w:rsidR="001E7FBA" w:rsidRPr="00D039E9">
        <w:rPr>
          <w:rFonts w:cs="Times"/>
          <w:lang w:val="en-CA"/>
        </w:rPr>
        <w:t xml:space="preserve"> from the partial molar volume of the protein in pure water.</w:t>
      </w:r>
      <w:r w:rsidR="002F6C86" w:rsidRPr="00D039E9">
        <w:rPr>
          <w:rFonts w:cs="Times"/>
          <w:lang w:val="en-CA"/>
        </w:rPr>
        <w:fldChar w:fldCharType="begin" w:fldLock="1"/>
      </w:r>
      <w:r w:rsidR="00C65F5C" w:rsidRPr="00D039E9">
        <w:rPr>
          <w:rFonts w:cs="Times"/>
          <w:lang w:val="en-CA"/>
        </w:rPr>
        <w:instrText>ADDIN CSL_CITATION { "citationItems" : [ { "id" : "ITEM-1", "itemData" : { "DOI" : "10.1016/S0301-4622", "author" : [ { "dropping-particle" : "V", "family" : "Chalikian", "given" : "Tigran", "non-dropping-particle" : "", "parse-names" : false, "suffix" : "" }, { "dropping-particle" : "", "family" : "Filfil", "given" : "Rana", "non-dropping-particle" : "", "parse-names" : false, "suffix" : "" } ], "container-title" : "Biophysical Chemistry", "id" : "ITEM-1", "issued" : { "date-parts" : [ [ "2003" ] ] }, "page" : "489-499", "title" : "How large are the volume changes accompanying protein transitions and binding ?", "type" : "article-journal", "volume" : "104" }, "uris" : [ "http://www.mendeley.com/documents/?uuid=df79dff1-aa32-4fd4-a037-859ad9653bf4" ] } ], "mendeley" : { "formattedCitation" : "&lt;sup&gt;68&lt;/sup&gt;", "plainTextFormattedCitation" : "68", "previouslyFormattedCitation" : "&lt;sup&gt;68&lt;/sup&gt;" }, "properties" : { "noteIndex" : 0 }, "schema" : "https://github.com/citation-style-language/schema/raw/master/csl-citation.json" }</w:instrText>
      </w:r>
      <w:r w:rsidR="002F6C86" w:rsidRPr="00D039E9">
        <w:rPr>
          <w:rFonts w:cs="Times"/>
          <w:lang w:val="en-CA"/>
        </w:rPr>
        <w:fldChar w:fldCharType="separate"/>
      </w:r>
      <w:r w:rsidR="00BB3004" w:rsidRPr="00D039E9">
        <w:rPr>
          <w:rFonts w:cs="Times"/>
          <w:noProof/>
          <w:vertAlign w:val="superscript"/>
          <w:lang w:val="en-CA"/>
        </w:rPr>
        <w:t>68</w:t>
      </w:r>
      <w:r w:rsidR="002F6C86" w:rsidRPr="00D039E9">
        <w:rPr>
          <w:rFonts w:cs="Times"/>
          <w:lang w:val="en-CA"/>
        </w:rPr>
        <w:fldChar w:fldCharType="end"/>
      </w:r>
      <w:r w:rsidR="001E7FBA" w:rsidRPr="00D039E9">
        <w:rPr>
          <w:rFonts w:cs="Times"/>
          <w:lang w:val="en-CA"/>
        </w:rPr>
        <w:t xml:space="preserve"> Once </w:t>
      </w:r>
      <m:oMath>
        <m:sSub>
          <m:sSubPr>
            <m:ctrlPr>
              <w:rPr>
                <w:rFonts w:ascii="Cambria Math" w:hAnsi="Cambria Math" w:cs="Times"/>
                <w:i/>
                <w:lang w:val="en-CA"/>
              </w:rPr>
            </m:ctrlPr>
          </m:sSubPr>
          <m:e>
            <m:r>
              <w:rPr>
                <w:rFonts w:ascii="Cambria Math" w:hAnsi="Cambria Math" w:cs="Times"/>
                <w:lang w:val="en-CA"/>
              </w:rPr>
              <m:t>G</m:t>
            </m:r>
          </m:e>
          <m:sub>
            <m:r>
              <w:rPr>
                <w:rFonts w:ascii="Cambria Math" w:hAnsi="Cambria Math" w:cs="Times"/>
                <w:lang w:val="en-CA"/>
              </w:rPr>
              <m:t>PW</m:t>
            </m:r>
          </m:sub>
        </m:sSub>
      </m:oMath>
      <w:r w:rsidR="001E7FBA" w:rsidRPr="00D039E9">
        <w:rPr>
          <w:rFonts w:cs="Times"/>
          <w:lang w:val="en-CA"/>
        </w:rPr>
        <w:t xml:space="preserve"> has been estimated</w:t>
      </w:r>
      <w:r w:rsidR="005C7842" w:rsidRPr="00D039E9">
        <w:rPr>
          <w:rFonts w:cs="Times"/>
          <w:lang w:val="en-CA"/>
        </w:rPr>
        <w:t xml:space="preserve"> (a convenient app is available)</w:t>
      </w:r>
      <w:r w:rsidR="001E7FBA" w:rsidRPr="00D039E9">
        <w:rPr>
          <w:rFonts w:cs="Times"/>
          <w:lang w:val="en-CA"/>
        </w:rPr>
        <w:t xml:space="preserve">, we can estimate how </w:t>
      </w:r>
      <m:oMath>
        <m:sSub>
          <m:sSubPr>
            <m:ctrlPr>
              <w:rPr>
                <w:rFonts w:ascii="Cambria Math" w:hAnsi="Cambria Math" w:cs="Times"/>
                <w:i/>
                <w:lang w:val="en-CA"/>
              </w:rPr>
            </m:ctrlPr>
          </m:sSubPr>
          <m:e>
            <m:r>
              <w:rPr>
                <w:rFonts w:ascii="Cambria Math" w:hAnsi="Cambria Math" w:cs="Times"/>
                <w:lang w:val="en-CA"/>
              </w:rPr>
              <m:t>G</m:t>
            </m:r>
          </m:e>
          <m:sub>
            <m:r>
              <w:rPr>
                <w:rFonts w:ascii="Cambria Math" w:hAnsi="Cambria Math" w:cs="Times"/>
                <w:lang w:val="en-CA"/>
              </w:rPr>
              <m:t>PF</m:t>
            </m:r>
          </m:sub>
        </m:sSub>
      </m:oMath>
      <w:r w:rsidR="001E7FBA" w:rsidRPr="00D039E9">
        <w:rPr>
          <w:rFonts w:cs="Times"/>
          <w:lang w:val="en-CA"/>
        </w:rPr>
        <w:t xml:space="preserve"> changes with the flavour concentration. </w:t>
      </w:r>
    </w:p>
    <w:p w14:paraId="13425E2F" w14:textId="013A9C08" w:rsidR="009B54CE" w:rsidRPr="00D039E9" w:rsidRDefault="009B54CE" w:rsidP="003872DB">
      <w:pPr>
        <w:pStyle w:val="TAMainText"/>
        <w:ind w:firstLine="0"/>
        <w:rPr>
          <w:rFonts w:cs="Times"/>
          <w:lang w:val="en-CA"/>
        </w:rPr>
      </w:pPr>
    </w:p>
    <w:p w14:paraId="214A2311" w14:textId="26F2DACA" w:rsidR="005C7842" w:rsidRPr="00D039E9" w:rsidRDefault="002058A9" w:rsidP="001743F4">
      <w:pPr>
        <w:pStyle w:val="TAMainText"/>
        <w:rPr>
          <w:rFonts w:cs="Times"/>
          <w:lang w:val="en-CA"/>
        </w:rPr>
      </w:pPr>
      <w:r w:rsidRPr="00D039E9">
        <w:rPr>
          <w:rFonts w:cs="Times"/>
          <w:b/>
          <w:lang w:val="en-CA"/>
        </w:rPr>
        <w:t>The app-based approach</w:t>
      </w:r>
      <w:r w:rsidRPr="00D039E9">
        <w:rPr>
          <w:rFonts w:cs="Times"/>
          <w:lang w:val="en-CA"/>
        </w:rPr>
        <w:t xml:space="preserve"> allows the user</w:t>
      </w:r>
      <w:r w:rsidR="009B54CE" w:rsidRPr="00D039E9">
        <w:rPr>
          <w:rFonts w:cs="Times"/>
          <w:lang w:val="en-CA"/>
        </w:rPr>
        <w:t xml:space="preserve"> to load the binding constant </w:t>
      </w:r>
      <m:oMath>
        <m:r>
          <w:rPr>
            <w:rFonts w:ascii="Cambria Math" w:hAnsi="Cambria Math" w:cs="Times"/>
            <w:lang w:val="en-CA"/>
          </w:rPr>
          <m:t>K</m:t>
        </m:r>
      </m:oMath>
      <w:r w:rsidR="009B54CE" w:rsidRPr="00D039E9">
        <w:rPr>
          <w:rFonts w:cs="Times"/>
          <w:lang w:val="en-CA"/>
        </w:rPr>
        <w:t xml:space="preserve"> a</w:t>
      </w:r>
      <w:r w:rsidR="008A307F" w:rsidRPr="00D039E9">
        <w:rPr>
          <w:rFonts w:cs="Times"/>
          <w:lang w:val="en-CA"/>
        </w:rPr>
        <w:t xml:space="preserve">nd the number of binding sites </w:t>
      </w:r>
      <m:oMath>
        <m:r>
          <w:rPr>
            <w:rFonts w:ascii="Cambria Math" w:hAnsi="Cambria Math" w:cs="Times"/>
            <w:lang w:val="en-CA"/>
          </w:rPr>
          <m:t>n</m:t>
        </m:r>
      </m:oMath>
      <w:r w:rsidR="005C7842" w:rsidRPr="00D039E9">
        <w:rPr>
          <w:rFonts w:cs="Times"/>
          <w:lang w:val="en-CA"/>
        </w:rPr>
        <w:t xml:space="preserve"> </w:t>
      </w:r>
      <w:r w:rsidR="009B54CE" w:rsidRPr="00D039E9">
        <w:rPr>
          <w:rFonts w:cs="Times"/>
          <w:lang w:val="en-CA"/>
        </w:rPr>
        <w:t>that have been obtained from conventional binding analysis</w:t>
      </w:r>
      <w:r w:rsidR="006143F6" w:rsidRPr="00D039E9">
        <w:rPr>
          <w:rFonts w:cs="Times"/>
          <w:lang w:val="en-CA"/>
        </w:rPr>
        <w:t xml:space="preserve"> of the experimental data gathered from the literature</w:t>
      </w:r>
      <w:r w:rsidR="009B54CE" w:rsidRPr="00D039E9">
        <w:rPr>
          <w:rFonts w:cs="Times"/>
          <w:lang w:val="en-CA"/>
        </w:rPr>
        <w:t>.</w:t>
      </w:r>
      <w:r w:rsidR="00BB3004" w:rsidRPr="00D039E9">
        <w:rPr>
          <w:rFonts w:cs="Times"/>
          <w:lang w:val="en-CA"/>
        </w:rPr>
        <w:fldChar w:fldCharType="begin" w:fldLock="1"/>
      </w:r>
      <w:r w:rsidR="00C65F5C" w:rsidRPr="00D039E9">
        <w:rPr>
          <w:rFonts w:cs="Times"/>
          <w:lang w:val="en-CA"/>
        </w:rPr>
        <w:instrText>ADDIN CSL_CITATION { "citationItems" : [ { "id" : "ITEM-1", "itemData" : { "author" : [ { "dropping-particle" : "", "family" : "Damodaran", "given" : "Srinivasan", "non-dropping-particle" : "", "parse-names" : false, "suffix" : "" }, { "dropping-particle" : "", "family" : "Kinsella", "given" : "John E", "non-dropping-particle" : "", "parse-names" : false, "suffix" : "" } ], "container-title" : "Journal of Agricultural and Food Chemistry", "id" : "ITEM-1", "issued" : { "date-parts" : [ [ "1981" ] ] }, "page" : "1249-1253", "title" : "Interaction of Carbonyls with Soy Protein : Thermodynamic Effects", "type" : "article-journal", "volume" : "29" }, "uris" : [ "http://www.mendeley.com/documents/?uuid=291dd796-f27e-4bd0-89da-05dcbfeab0d6" ] }, { "id" : "ITEM-2", "itemData" : { "author" : [ { "dropping-particle" : "", "family" : "Damodaran", "given" : "Srinivasan", "non-dropping-particle" : "", "parse-names" : false, "suffix" : "" }, { "dropping-particle" : "", "family" : "Kinsella", "given" : "John E", "non-dropping-particle" : "", "parse-names" : false, "suffix" : "" } ], "container-title" : "Journal of Agricultural and Food Chemistry", "id" : "ITEM-2", "issued" : { "date-parts" : [ [ "1981" ] ] }, "page" : "1253-1257", "title" : "Interaction of Carbonyls with Soy Protein : Conformational Effects", "type" : "article-journal", "volume" : "29" }, "uris" : [ "http://www.mendeley.com/documents/?uuid=e888460f-0763-4b21-a7d1-df22f4f6d68b" ] }, { "id" : "ITEM-3", "itemData" : { "DOI" : "10.1111/j.1365-2621.1987.tb13980.x", "ISSN" : "0022-1147", "author" : [ { "dropping-particle" : "", "family" : "O'Neill", "given" : "Timothy E.", "non-dropping-particle" : "", "parse-names" : false, "suffix" : "" }, { "dropping-particle" : "", "family" : "Kinsella", "given" : "John E.", "non-dropping-particle" : "", "parse-names" : false, "suffix" : "" } ], "container-title" : "Journal of Food Science", "id" : "ITEM-3", "issue" : "1", "issued" : { "date-parts" : [ [ "1987", "1" ] ] }, "page" : "98-101", "publisher" : "Blackwell Publishing Ltd", "title" : "Flavor Protein Interactions: Characteristics of 2-Nonanone Binding to Isolated Soy Protein Fractions", "type" : "article-journal", "volume" : "52" }, "uris" : [ "http://www.mendeley.com/documents/?uuid=9a4f6aeb-bac1-3809-afbf-3c12c4f180dc" ] }, { "id" : "ITEM-4", "itemData" : { "DOI" : "10.1021/bk-1996-0633.ch006", "author" : [ { "dropping-particle" : "", "family" : "O'Neill", "given" : "Timothy E.", "non-dropping-particle" : "", "parse-names" : false, "suffix" : "" } ], "id" : "ITEM-4", "issued" : { "date-parts" : [ [ "1996", "5", "5" ] ] }, "page" : "59-74", "title" : "Flavor Binding by Food Proteins: An Overview", "type" : "chapter" }, "uris" : [ "http://www.mendeley.com/documents/?uuid=48481a29-3c8c-3969-b38a-5c673b671ff9" ] }, { "id" : "ITEM-5", "itemData" : { "author" : [ { "dropping-particle" : "", "family" : "Guichard", "given" : "E", "non-dropping-particle" : "", "parse-names" : false, "suffix" : "" }, { "dropping-particle" : "", "family" : "Langourieux", "given" : "S", "non-dropping-particle" : "", "parse-names" : false, "suffix" : "" } ], "container-title" : "Food Chemistry", "id" : "ITEM-5", "issued" : { "date-parts" : [ [ "2000" ] ] }, "page" : "301-308", "title" : "Interactions between b -lactoglobulin and \u00af avour compounds", "type" : "article-journal", "volume" : "71" }, "uris" : [ "http://www.mendeley.com/documents/?uuid=ec402924-8f58-4cb7-9815-c67ed89e3a69" ] }, { "id" : "ITEM-6", "itemData" : { "DOI" : "10.1021/jf0012188", "ISBN" : "0021-8561 (Print)\\r0021-8561 (Linking)", "ISSN" : "00218561", "PMID" : "11368643", "abstract" : "Although a thorough characterization of binding parameters is essential for application of beta-lactoglobulin as a carrier for a variety of small hydrophobic ligands, the binding parameters derived in various studies using various techniques are inconsistent. The bindings of several small ligands as detected by fluorometry and equilibrium dialysis were compared. Fluorescence spectroscopy showed that beta-ionone, retinol, and fatty acid lactones all bound in the vicinity of a tryptophan residue. Retinol and fatty acid lactone competed for the same binding site. Exclusively for ligands that quench the beta-lactoglobulin fluorescence through a resonance energy transfer mechanism, fluorometry yielded a systematically higher binding affinity than equilibrium dialysis. The binding overestimation in fluorometric measurements can be explained by oligomer formation of protein, together with an underestimation of the limiting quenching level at saturating ligand concentrations due to the use of a limited set of data points.", "author" : [ { "dropping-particle" : "", "family" : "Muresan", "given" : "Sorel", "non-dropping-particle" : "", "parse-names" : false, "suffix" : "" }, { "dropping-particle" : "", "family" : "Bent", "given" : "A", "non-dropping-particle" : "van der", "parse-names" : false, "suffix" : "" }, { "dropping-particle" : "", "family" : "Wolf", "given" : "Frits A.", "non-dropping-particle" : "De", "parse-names" : false, "suffix" : "" } ], "container-title" : "Journal of Agricultural and Food Chemistry", "id" : "ITEM-6", "issue" : "5", "issued" : { "date-parts" : [ [ "2001" ] ] }, "page" : "2609-2618", "publisher" : "American Chemical Society", "title" : "Interaction of ??-lactoglobulin with small hydrophobic ligands as monitored by fluorometry and equilibrium dialysis: Nonlinear quenching effects related to protein - Protein association", "type" : "article-journal", "volume" : "49" }, "uris" : [ "http://www.mendeley.com/documents/?uuid=71b6d8b8-29a9-3511-bc48-c4b0bfc15fda" ] }, { "id" : "ITEM-7", "itemData" : { "DOI" : "10.1007/s11746-009-1535-8", "ISSN" : "0003-021X", "author" : [ { "dropping-particle" : "", "family" : "Arora", "given" : "Akshay", "non-dropping-particle" : "", "parse-names" : false, "suffix" : "" }, { "dropping-particle" : "", "family" : "Damodaran", "given" : "Srinivasan", "non-dropping-particle" : "", "parse-names" : false, "suffix" : "" } ], "container-title" : "Journal of the American Oil Chemists' Society", "id" : "ITEM-7", "issue" : "6", "issued" : { "date-parts" : [ [ "2010", "6", "19" ] ] }, "page" : "673-679", "publisher" : "Springer-Verlag", "title" : "Competitive Binding of Off-Flavor Compounds with Soy Protein and \u03b2-Cyclodextrin in a Ternary System: A Model Study", "type" : "article-journal", "volume" : "87" }, "uris" : [ "http://www.mendeley.com/documents/?uuid=4d072e3e-e9a4-39b7-b1a3-dda4f90eaf52" ] } ], "mendeley" : { "formattedCitation" : "&lt;sup&gt;1,2,29\u201333&lt;/sup&gt;", "plainTextFormattedCitation" : "1,2,29\u201333", "previouslyFormattedCitation" : "&lt;sup&gt;1,2,29\u201333&lt;/sup&gt;" }, "properties" : { "noteIndex" : 0 }, "schema" : "https://github.com/citation-style-language/schema/raw/master/csl-citation.json" }</w:instrText>
      </w:r>
      <w:r w:rsidR="00BB3004" w:rsidRPr="00D039E9">
        <w:rPr>
          <w:rFonts w:cs="Times"/>
          <w:lang w:val="en-CA"/>
        </w:rPr>
        <w:fldChar w:fldCharType="separate"/>
      </w:r>
      <w:r w:rsidR="00BB3004" w:rsidRPr="00D039E9">
        <w:rPr>
          <w:rFonts w:cs="Times"/>
          <w:noProof/>
          <w:vertAlign w:val="superscript"/>
          <w:lang w:val="en-CA"/>
        </w:rPr>
        <w:t>1,2,29–33</w:t>
      </w:r>
      <w:r w:rsidR="00BB3004" w:rsidRPr="00D039E9">
        <w:rPr>
          <w:rFonts w:cs="Times"/>
          <w:lang w:val="en-CA"/>
        </w:rPr>
        <w:fldChar w:fldCharType="end"/>
      </w:r>
      <w:r w:rsidRPr="00D039E9">
        <w:rPr>
          <w:rFonts w:cs="Times"/>
          <w:lang w:val="en-CA"/>
        </w:rPr>
        <w:t xml:space="preserve"> </w:t>
      </w:r>
      <w:r w:rsidR="009B54CE" w:rsidRPr="00D039E9">
        <w:rPr>
          <w:rFonts w:cs="Times"/>
          <w:lang w:val="en-CA"/>
        </w:rPr>
        <w:t>This will be converted auto</w:t>
      </w:r>
      <w:r w:rsidR="006143F6" w:rsidRPr="00D039E9">
        <w:rPr>
          <w:rFonts w:cs="Times"/>
          <w:lang w:val="en-CA"/>
        </w:rPr>
        <w:t>maticall</w:t>
      </w:r>
      <w:r w:rsidR="00D71279" w:rsidRPr="00D039E9">
        <w:rPr>
          <w:rFonts w:cs="Times"/>
          <w:lang w:val="en-CA"/>
        </w:rPr>
        <w:t>y via Eq. (9) to the KBI</w:t>
      </w:r>
      <w:r w:rsidR="009B54CE" w:rsidRPr="00D039E9">
        <w:rPr>
          <w:rFonts w:cs="Times"/>
          <w:lang w:val="en-CA"/>
        </w:rPr>
        <w:t xml:space="preserve">s. </w:t>
      </w:r>
      <w:r w:rsidR="001743F4" w:rsidRPr="00D039E9">
        <w:rPr>
          <w:rFonts w:cs="Times"/>
          <w:lang w:val="en-CA"/>
        </w:rPr>
        <w:t xml:space="preserve">Figure </w:t>
      </w:r>
      <w:r w:rsidR="007B78DD" w:rsidRPr="00D039E9">
        <w:rPr>
          <w:rFonts w:cs="Times"/>
          <w:lang w:val="en-CA"/>
        </w:rPr>
        <w:t>3</w:t>
      </w:r>
      <w:r w:rsidR="001743F4" w:rsidRPr="00D039E9">
        <w:rPr>
          <w:rFonts w:cs="Times"/>
          <w:lang w:val="en-CA"/>
        </w:rPr>
        <w:t xml:space="preserve"> </w:t>
      </w:r>
      <w:r w:rsidRPr="00D039E9">
        <w:rPr>
          <w:rFonts w:cs="Times"/>
          <w:lang w:val="en-CA"/>
        </w:rPr>
        <w:t>shows an example.</w:t>
      </w:r>
      <w:r w:rsidR="005C7842" w:rsidRPr="00D039E9">
        <w:rPr>
          <w:rFonts w:cs="Times"/>
          <w:lang w:val="en-CA"/>
        </w:rPr>
        <w:t xml:space="preserve"> </w:t>
      </w:r>
    </w:p>
    <w:p w14:paraId="58DFB553" w14:textId="77777777" w:rsidR="003872DB" w:rsidRPr="00D039E9" w:rsidRDefault="003872DB" w:rsidP="003872DB">
      <w:pPr>
        <w:pStyle w:val="TAMainText"/>
        <w:rPr>
          <w:lang w:val="en-CA"/>
        </w:rPr>
      </w:pPr>
    </w:p>
    <w:p w14:paraId="193C04DA" w14:textId="185376A8" w:rsidR="003872DB" w:rsidRPr="00D039E9" w:rsidRDefault="00131D60" w:rsidP="003872DB">
      <w:pPr>
        <w:pStyle w:val="TAMainText"/>
        <w:ind w:firstLine="0"/>
        <w:rPr>
          <w:rFonts w:cs="Times"/>
          <w:b/>
          <w:lang w:val="en-CA"/>
        </w:rPr>
      </w:pPr>
      <w:r w:rsidRPr="00D039E9">
        <w:rPr>
          <w:rFonts w:cs="Times"/>
          <w:b/>
          <w:lang w:val="en-CA"/>
        </w:rPr>
        <w:t>5</w:t>
      </w:r>
      <w:r w:rsidR="003872DB" w:rsidRPr="00D039E9">
        <w:rPr>
          <w:rFonts w:cs="Times"/>
          <w:b/>
          <w:lang w:val="en-CA"/>
        </w:rPr>
        <w:t>. The effect of flavour molecules on protein denaturation and gel-melting temperatures</w:t>
      </w:r>
    </w:p>
    <w:p w14:paraId="2E92CE8D" w14:textId="77777777" w:rsidR="003872DB" w:rsidRPr="00D039E9" w:rsidRDefault="003872DB" w:rsidP="003872DB">
      <w:pPr>
        <w:pStyle w:val="TAMainText"/>
        <w:ind w:firstLine="0"/>
        <w:rPr>
          <w:rFonts w:cs="Times"/>
          <w:b/>
          <w:lang w:val="en-CA"/>
        </w:rPr>
      </w:pPr>
    </w:p>
    <w:p w14:paraId="510AC945" w14:textId="0874A22F" w:rsidR="003872DB" w:rsidRPr="00D039E9" w:rsidRDefault="00131D60" w:rsidP="003872DB">
      <w:pPr>
        <w:pStyle w:val="TAMainText"/>
        <w:ind w:firstLine="0"/>
        <w:rPr>
          <w:rFonts w:cs="Times"/>
          <w:b/>
          <w:lang w:val="en-CA"/>
        </w:rPr>
      </w:pPr>
      <w:r w:rsidRPr="00D039E9">
        <w:rPr>
          <w:rFonts w:cs="Times"/>
          <w:b/>
          <w:lang w:val="en-CA"/>
        </w:rPr>
        <w:t>5</w:t>
      </w:r>
      <w:r w:rsidR="003872DB" w:rsidRPr="00D039E9">
        <w:rPr>
          <w:rFonts w:cs="Times"/>
          <w:b/>
          <w:lang w:val="en-CA"/>
        </w:rPr>
        <w:t>.1. Theory</w:t>
      </w:r>
    </w:p>
    <w:p w14:paraId="25D831F0" w14:textId="77777777" w:rsidR="003872DB" w:rsidRPr="00D039E9" w:rsidRDefault="003872DB" w:rsidP="003872DB">
      <w:pPr>
        <w:pStyle w:val="TAMainText"/>
        <w:ind w:firstLine="0"/>
        <w:rPr>
          <w:rFonts w:cs="Times"/>
          <w:b/>
          <w:lang w:val="en-CA"/>
        </w:rPr>
      </w:pPr>
      <w:r w:rsidRPr="00D039E9">
        <w:rPr>
          <w:rFonts w:cs="Times"/>
          <w:b/>
          <w:lang w:val="en-CA"/>
        </w:rPr>
        <w:t xml:space="preserve"> </w:t>
      </w:r>
    </w:p>
    <w:p w14:paraId="72007DCE" w14:textId="6E77B850" w:rsidR="003872DB" w:rsidRPr="00D039E9" w:rsidRDefault="003872DB" w:rsidP="003872DB">
      <w:pPr>
        <w:pStyle w:val="TAMainText"/>
        <w:ind w:firstLine="0"/>
        <w:rPr>
          <w:rFonts w:cs="Times"/>
          <w:lang w:val="en-CA"/>
        </w:rPr>
      </w:pPr>
      <w:r w:rsidRPr="00D039E9">
        <w:rPr>
          <w:rFonts w:cs="Times"/>
          <w:lang w:val="en-CA"/>
        </w:rPr>
        <w:t>We now consid</w:t>
      </w:r>
      <w:r w:rsidR="00D71279" w:rsidRPr="00D039E9">
        <w:rPr>
          <w:rFonts w:cs="Times"/>
          <w:lang w:val="en-CA"/>
        </w:rPr>
        <w:t>er the difference in KBI</w:t>
      </w:r>
      <w:r w:rsidRPr="00D039E9">
        <w:rPr>
          <w:rFonts w:cs="Times"/>
          <w:lang w:val="en-CA"/>
        </w:rPr>
        <w:t xml:space="preserve">s between the native </w:t>
      </w:r>
      <m:oMath>
        <m:r>
          <w:rPr>
            <w:rFonts w:ascii="Cambria Math" w:hAnsi="Cambria Math" w:cs="Times"/>
            <w:lang w:val="en-CA"/>
          </w:rPr>
          <m:t>(n)</m:t>
        </m:r>
      </m:oMath>
      <w:r w:rsidRPr="00D039E9">
        <w:rPr>
          <w:rFonts w:cs="Times"/>
          <w:lang w:val="en-CA"/>
        </w:rPr>
        <w:t xml:space="preserve"> and denatured (</w:t>
      </w:r>
      <m:oMath>
        <m:r>
          <w:rPr>
            <w:rFonts w:ascii="Cambria Math" w:hAnsi="Cambria Math" w:cs="Times"/>
            <w:lang w:val="en-CA"/>
          </w:rPr>
          <m:t>d</m:t>
        </m:r>
      </m:oMath>
      <w:r w:rsidRPr="00D039E9">
        <w:rPr>
          <w:rFonts w:cs="Times"/>
          <w:lang w:val="en-CA"/>
        </w:rPr>
        <w:t>) states.</w:t>
      </w:r>
      <w:r w:rsidR="002F6C86" w:rsidRPr="00D039E9">
        <w:rPr>
          <w:rFonts w:cs="Times"/>
          <w:lang w:val="en-CA"/>
        </w:rPr>
        <w:fldChar w:fldCharType="begin" w:fldLock="1"/>
      </w:r>
      <w:r w:rsidR="003E67FA" w:rsidRPr="00D039E9">
        <w:rPr>
          <w:rFonts w:cs="Times"/>
          <w:lang w:val="en-CA"/>
        </w:rPr>
        <w:instrText>ADDIN CSL_CITATION { "citationItems" : [ { "id" : "ITEM-1", "itemData" : { "DOI" : "10.1063/1.1806402", "ISSN" : "00219606", "PMID" : "15527383", "abstract" : "Cosolvents added to aqueous solutions of biomolecules profoundly affect protein stability, as well as biochemical equilibria. Some cosolvents, such as urea and guanidine hydrochloride, denature proteins, whereas others, such as osmolytes and crowders, stabilize the native structures of proteins. The way cosolvents interact with biomolecules is crucial information required to understand the cosolvent effect at a molecular level. We present a statistical mechanical framework based upon Kirkwood-Buff theory, which enables one to extract this picture from experimental data. The combination of two experimental results, namely, the cosolvent-induced equilibrium shift and the partial molar volume change upon the reaction, supplimented by the structural change, is shown to yield the number of water and cosolvent molecules bound or released during a reaction. Previously, denaturation experiments (e.g., m-value analysis) were analyzed by empirical and stoichiometric solvent-binding models, while the effects of osmolytes and crowders were analyzed by the approximate molecular crowding approach for low cosolvent concentration. Here we synthesize these previous approaches in a rigorous statistical mechanical treatment, which is applicable at any cosolvent concentration. The usefulness and accuracy of previous approaches was also evaluated.", "author" : [ { "dropping-particle" : "", "family" : "Shimizu", "given" : "Seishi", "non-dropping-particle" : "", "parse-names" : false, "suffix" : "" }, { "dropping-particle" : "", "family" : "Boon", "given" : "Chandra L.", "non-dropping-particle" : "", "parse-names" : false, "suffix" : "" } ], "container-title" : "Journal of Chemical Physics", "id" : "ITEM-1", "issue" : "18", "issued" : { "date-parts" : [ [ "2004" ] ] }, "page" : "9147-9155", "title" : "The Kirkwood-Buff theory and the effect of cosolvents on biochemical reactions", "type" : "article-journal", "volume" : "121" }, "uris" : [ "http://www.mendeley.com/documents/?uuid=773d4c28-f2d5-421b-a5a5-0066df199fbe" ] }, { "id" : "ITEM-2", "itemData" : { "DOI" : "10.1016/j.cplett.2011.08.038", "ISSN" : "00092614", "abstract" : "Various cosolvents are known to modulate the thermal stability of the proteins. To understand its molecular origin, a statistical thermodynamic analysis, based upon the Kirkwood-Buff (KB) theory, has been performed to obtain information regarding the accumulation or depletion of solvent molecules around proteins, based upon published experimental data. The analysis shows the dominant importance of cosolvent's accumulation or depletion around the proteins, whereas the role of protein hydration is minor. ?? 2011 Elsevier B.V. All rights reserved.", "author" : [ { "dropping-particle" : "", "family" : "Shimizu", "given" : "Seishi", "non-dropping-particle" : "", "parse-names" : false, "suffix" : "" } ], "container-title" : "Chemical Physics Letters", "id" : "ITEM-2", "issue" : "1-3", "issued" : { "date-parts" : [ [ "2011" ] ] }, "page" : "156-158", "publisher" : "Elsevier B.V.", "title" : "Molecular origin of the cosolvent-induced changes in the thermal stability of proteins", "type" : "article-journal", "volume" : "514" }, "uris" : [ "http://www.mendeley.com/documents/?uuid=f72a9936-cbbc-4fe0-8a8f-d5f1c1425260" ] }, { "id" : "ITEM-3",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"ITEM-3", "issue" : "14", "issued" : { "date-parts" : [ [ "2014" ] ] }, "page" : "3922-3930", "title" : "Preferential solvation: Dividing surface vs excess numbers", "type" : "article-journal", "volume" : "118" }, "uris" : [ "http://www.mendeley.com/documents/?uuid=896fec6b-354e-41cd-a8de-55bd371a22f5" ] } ], "mendeley" : { "formattedCitation" : "&lt;sup&gt;12,14,17&lt;/sup&gt;", "plainTextFormattedCitation" : "12,14,17", "previouslyFormattedCitation" : "&lt;sup&gt;12,14,17&lt;/sup&gt;" }, "properties" : { "noteIndex" : 0 }, "schema" : "https://github.com/citation-style-language/schema/raw/master/csl-citation.json" }</w:instrText>
      </w:r>
      <w:r w:rsidR="002F6C86" w:rsidRPr="00D039E9">
        <w:rPr>
          <w:rFonts w:cs="Times"/>
          <w:lang w:val="en-CA"/>
        </w:rPr>
        <w:fldChar w:fldCharType="separate"/>
      </w:r>
      <w:r w:rsidR="003E67FA" w:rsidRPr="00D039E9">
        <w:rPr>
          <w:rFonts w:cs="Times"/>
          <w:noProof/>
          <w:vertAlign w:val="superscript"/>
          <w:lang w:val="en-CA"/>
        </w:rPr>
        <w:t>12,14,17</w:t>
      </w:r>
      <w:r w:rsidR="002F6C86" w:rsidRPr="00D039E9">
        <w:rPr>
          <w:rFonts w:cs="Times"/>
          <w:lang w:val="en-CA"/>
        </w:rPr>
        <w:fldChar w:fldCharType="end"/>
      </w:r>
      <w:r w:rsidRPr="00D039E9">
        <w:rPr>
          <w:rFonts w:cs="Times"/>
          <w:lang w:val="en-CA"/>
        </w:rPr>
        <w:t xml:space="preserve"> We only present the outline and the main results, since the subject here has received an in-depth treatment in our recent review</w:t>
      </w:r>
      <w:r w:rsidR="00F157F4" w:rsidRPr="00D039E9">
        <w:rPr>
          <w:rFonts w:cs="Times"/>
          <w:lang w:val="en-CA"/>
        </w:rPr>
        <w:t>.</w:t>
      </w:r>
      <w:r w:rsidR="002F6C86" w:rsidRPr="00D039E9">
        <w:rPr>
          <w:rFonts w:cs="Times"/>
          <w:lang w:val="en-CA"/>
        </w:rPr>
        <w:fldChar w:fldCharType="begin" w:fldLock="1"/>
      </w:r>
      <w:r w:rsidR="003E67FA" w:rsidRPr="00D039E9">
        <w:rPr>
          <w:rFonts w:cs="Times"/>
          <w:lang w:val="en-CA"/>
        </w:rPr>
        <w:instrText>ADDIN CSL_CITATION { "citationItems" : [ { "id" : "ITEM-1",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"ITEM-1",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"mendeley" : { "formattedCitation" : "&lt;sup&gt;22&lt;/sup&gt;", "plainTextFormattedCitation" : "22", "previouslyFormattedCitation" : "&lt;sup&gt;22&lt;/sup&gt;" }, "properties" : { "noteIndex" : 0 }, "schema" : "https://github.com/citation-style-language/schema/raw/master/csl-citation.json" }</w:instrText>
      </w:r>
      <w:r w:rsidR="002F6C86" w:rsidRPr="00D039E9">
        <w:rPr>
          <w:rFonts w:cs="Times"/>
          <w:lang w:val="en-CA"/>
        </w:rPr>
        <w:fldChar w:fldCharType="separate"/>
      </w:r>
      <w:r w:rsidR="003E67FA" w:rsidRPr="00D039E9">
        <w:rPr>
          <w:rFonts w:cs="Times"/>
          <w:noProof/>
          <w:vertAlign w:val="superscript"/>
          <w:lang w:val="en-CA"/>
        </w:rPr>
        <w:t>22</w:t>
      </w:r>
      <w:r w:rsidR="002F6C86" w:rsidRPr="00D039E9">
        <w:rPr>
          <w:rFonts w:cs="Times"/>
          <w:lang w:val="en-CA"/>
        </w:rPr>
        <w:fldChar w:fldCharType="end"/>
      </w:r>
      <w:r w:rsidR="00F157F4" w:rsidRPr="00D039E9">
        <w:rPr>
          <w:rFonts w:cs="Times"/>
          <w:lang w:val="en-CA"/>
        </w:rPr>
        <w:t xml:space="preserve"> Writing down Eqs. (1) and (2</w:t>
      </w:r>
      <w:r w:rsidRPr="00D039E9">
        <w:rPr>
          <w:rFonts w:cs="Times"/>
          <w:lang w:val="en-CA"/>
        </w:rPr>
        <w:t xml:space="preserve">) for these two states enables one to </w:t>
      </w:r>
      <w:r w:rsidR="008F0063" w:rsidRPr="00D039E9">
        <w:rPr>
          <w:rFonts w:cs="Times"/>
          <w:lang w:val="en-CA"/>
        </w:rPr>
        <w:t xml:space="preserve">calculate the difference in free energy between the </w:t>
      </w:r>
      <w:r w:rsidRPr="00D039E9">
        <w:rPr>
          <w:rFonts w:cs="Times"/>
          <w:lang w:val="en-CA"/>
        </w:rPr>
        <w:t>two states</w:t>
      </w:r>
      <w:r w:rsidR="008F0063" w:rsidRPr="00D039E9">
        <w:rPr>
          <w:rFonts w:cs="Times"/>
          <w:lang w:val="en-CA"/>
        </w:rPr>
        <w:t xml:space="preserve"> (denoted by </w:t>
      </w:r>
      <m:oMath>
        <m:r>
          <m:rPr>
            <m:sty m:val="p"/>
          </m:rPr>
          <w:rPr>
            <w:rFonts w:ascii="Cambria Math" w:hAnsi="Cambria Math" w:cs="Times"/>
            <w:lang w:val="en-CA"/>
          </w:rPr>
          <m:t>Δ</m:t>
        </m:r>
        <m:sSubSup>
          <m:sSubSupPr>
            <m:ctrlPr>
              <w:rPr>
                <w:rFonts w:ascii="Cambria Math" w:hAnsi="Cambria Math" w:cs="Times"/>
                <w:i/>
                <w:lang w:val="en-CA"/>
              </w:rPr>
            </m:ctrlPr>
          </m:sSubSupPr>
          <m:e>
            <m:r>
              <w:rPr>
                <w:rFonts w:ascii="Cambria Math" w:hAnsi="Cambria Math" w:cs="Times"/>
                <w:lang w:val="en-CA"/>
              </w:rPr>
              <m:t>μ</m:t>
            </m:r>
          </m:e>
          <m:sub>
            <m:r>
              <w:rPr>
                <w:rFonts w:ascii="Cambria Math" w:hAnsi="Cambria Math" w:cs="Times"/>
                <w:lang w:val="en-CA"/>
              </w:rPr>
              <m:t>P</m:t>
            </m:r>
          </m:sub>
          <m:sup>
            <m:r>
              <w:rPr>
                <w:rFonts w:ascii="Cambria Math" w:hAnsi="Cambria Math" w:cs="Times"/>
                <w:lang w:val="en-CA"/>
              </w:rPr>
              <m:t>*</m:t>
            </m:r>
          </m:sup>
        </m:sSubSup>
      </m:oMath>
      <w:r w:rsidR="008F0063" w:rsidRPr="00D039E9">
        <w:rPr>
          <w:rFonts w:cs="Times"/>
          <w:lang w:val="en-CA"/>
        </w:rPr>
        <w:t>)</w:t>
      </w:r>
      <w:r w:rsidRPr="00D039E9">
        <w:rPr>
          <w:rFonts w:cs="Times"/>
          <w:lang w:val="en-CA"/>
        </w:rPr>
        <w:t>,</w:t>
      </w:r>
      <w:r w:rsidR="006803CF" w:rsidRPr="00D039E9">
        <w:rPr>
          <w:rFonts w:cs="Times"/>
          <w:lang w:val="en-CA"/>
        </w:rPr>
        <w:t xml:space="preserve"> by in</w:t>
      </w:r>
      <w:r w:rsidRPr="00D039E9">
        <w:rPr>
          <w:rFonts w:cs="Times"/>
          <w:lang w:val="en-CA"/>
        </w:rPr>
        <w:t>t</w:t>
      </w:r>
      <w:r w:rsidR="006803CF" w:rsidRPr="00D039E9">
        <w:rPr>
          <w:rFonts w:cs="Times"/>
          <w:lang w:val="en-CA"/>
        </w:rPr>
        <w:t>ro</w:t>
      </w:r>
      <w:r w:rsidR="00D71279" w:rsidRPr="00D039E9">
        <w:rPr>
          <w:rFonts w:cs="Times"/>
          <w:lang w:val="en-CA"/>
        </w:rPr>
        <w:t>ducing the change of KBI</w:t>
      </w:r>
      <w:r w:rsidRPr="00D039E9">
        <w:rPr>
          <w:rFonts w:cs="Times"/>
          <w:lang w:val="en-CA"/>
        </w:rPr>
        <w:t xml:space="preserve"> </w:t>
      </w:r>
      <m:oMath>
        <m:r>
          <m:rPr>
            <m:sty m:val="p"/>
          </m:rPr>
          <w:rPr>
            <w:rFonts w:ascii="Cambria Math" w:hAnsi="Cambria Math"/>
            <w:lang w:val="en-CA"/>
          </w:rPr>
          <m:t>Δ</m:t>
        </m:r>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PF</m:t>
            </m:r>
          </m:sub>
        </m:sSub>
        <m:r>
          <w:rPr>
            <w:rFonts w:ascii="Cambria Math" w:hAnsi="Cambria Math"/>
            <w:lang w:val="en-CA"/>
          </w:rPr>
          <m:t>=</m:t>
        </m:r>
        <m:sSubSup>
          <m:sSubSupPr>
            <m:ctrlPr>
              <w:rPr>
                <w:rFonts w:ascii="Cambria Math" w:hAnsi="Cambria Math"/>
                <w:i/>
                <w:lang w:val="en-CA"/>
              </w:rPr>
            </m:ctrlPr>
          </m:sSubSupPr>
          <m:e>
            <m:r>
              <w:rPr>
                <w:rFonts w:ascii="Cambria Math" w:hAnsi="Cambria Math"/>
                <w:lang w:val="en-CA"/>
              </w:rPr>
              <m:t>G</m:t>
            </m:r>
          </m:e>
          <m:sub>
            <m:r>
              <w:rPr>
                <w:rFonts w:ascii="Cambria Math" w:hAnsi="Cambria Math"/>
                <w:lang w:val="en-CA"/>
              </w:rPr>
              <m:t>PF</m:t>
            </m:r>
          </m:sub>
          <m:sup>
            <m:r>
              <w:rPr>
                <w:rFonts w:ascii="Cambria Math" w:hAnsi="Cambria Math"/>
                <w:lang w:val="en-CA"/>
              </w:rPr>
              <m:t>(d)</m:t>
            </m:r>
          </m:sup>
        </m:sSubSup>
        <m:r>
          <w:rPr>
            <w:rFonts w:ascii="Cambria Math" w:hAnsi="Cambria Math"/>
            <w:lang w:val="en-CA"/>
          </w:rPr>
          <m:t>-</m:t>
        </m:r>
        <m:sSubSup>
          <m:sSubSupPr>
            <m:ctrlPr>
              <w:rPr>
                <w:rFonts w:ascii="Cambria Math" w:hAnsi="Cambria Math"/>
                <w:i/>
                <w:lang w:val="en-CA"/>
              </w:rPr>
            </m:ctrlPr>
          </m:sSubSupPr>
          <m:e>
            <m:r>
              <w:rPr>
                <w:rFonts w:ascii="Cambria Math" w:hAnsi="Cambria Math"/>
                <w:lang w:val="en-CA"/>
              </w:rPr>
              <m:t>G</m:t>
            </m:r>
          </m:e>
          <m:sub>
            <m:r>
              <w:rPr>
                <w:rFonts w:ascii="Cambria Math" w:hAnsi="Cambria Math"/>
                <w:lang w:val="en-CA"/>
              </w:rPr>
              <m:t>PF</m:t>
            </m:r>
          </m:sub>
          <m:sup>
            <m:d>
              <m:dPr>
                <m:ctrlPr>
                  <w:rPr>
                    <w:rFonts w:ascii="Cambria Math" w:hAnsi="Cambria Math"/>
                    <w:i/>
                    <w:lang w:val="en-CA"/>
                  </w:rPr>
                </m:ctrlPr>
              </m:dPr>
              <m:e>
                <m:r>
                  <w:rPr>
                    <w:rFonts w:ascii="Cambria Math" w:hAnsi="Cambria Math"/>
                    <w:lang w:val="en-CA"/>
                  </w:rPr>
                  <m:t>n</m:t>
                </m:r>
              </m:e>
            </m:d>
          </m:sup>
        </m:sSubSup>
      </m:oMath>
      <w:r w:rsidRPr="00D039E9">
        <w:rPr>
          <w:rFonts w:cs="Times"/>
          <w:lang w:val="en-CA"/>
        </w:rPr>
        <w:t xml:space="preserve"> and similarly for </w:t>
      </w:r>
      <m:oMath>
        <m:r>
          <m:rPr>
            <m:sty m:val="p"/>
          </m:rPr>
          <w:rPr>
            <w:rFonts w:ascii="Cambria Math" w:hAnsi="Cambria Math" w:cs="Times"/>
            <w:lang w:val="en-CA" w:eastAsia="ja-JP"/>
          </w:rPr>
          <m:t>Δ</m:t>
        </m:r>
        <m:sSub>
          <m:sSubPr>
            <m:ctrlPr>
              <w:rPr>
                <w:rFonts w:ascii="Cambria Math" w:hAnsi="Cambria Math" w:cs="Times"/>
                <w:bCs/>
                <w:i/>
                <w:lang w:val="en-CA" w:eastAsia="ja-JP"/>
              </w:rPr>
            </m:ctrlPr>
          </m:sSubPr>
          <m:e>
            <m:r>
              <w:rPr>
                <w:rFonts w:ascii="Cambria Math" w:hAnsi="Cambria Math" w:cs="Times"/>
                <w:lang w:val="en-CA" w:eastAsia="ja-JP"/>
              </w:rPr>
              <m:t>G</m:t>
            </m:r>
          </m:e>
          <m:sub>
            <m:r>
              <w:rPr>
                <w:rFonts w:ascii="Cambria Math" w:hAnsi="Cambria Math" w:cs="Times"/>
                <w:lang w:val="en-CA" w:eastAsia="ja-JP"/>
              </w:rPr>
              <m:t>PW</m:t>
            </m:r>
          </m:sub>
        </m:sSub>
      </m:oMath>
      <w:r w:rsidR="006803CF" w:rsidRPr="00D039E9">
        <w:rPr>
          <w:rFonts w:cs="Times"/>
          <w:lang w:val="en-GB"/>
        </w:rPr>
        <w:t xml:space="preserve">. </w:t>
      </w:r>
      <w:r w:rsidRPr="00D039E9">
        <w:rPr>
          <w:rFonts w:cs="Times"/>
          <w:lang w:val="en-GB"/>
        </w:rPr>
        <w:t>The differences are</w:t>
      </w:r>
      <w:r w:rsidR="002F6C86" w:rsidRPr="00D039E9">
        <w:rPr>
          <w:rFonts w:cs="Times"/>
          <w:lang w:val="en-GB"/>
        </w:rPr>
        <w:fldChar w:fldCharType="begin" w:fldLock="1"/>
      </w:r>
      <w:r w:rsidR="003E67FA" w:rsidRPr="00D039E9">
        <w:rPr>
          <w:rFonts w:cs="Times"/>
          <w:lang w:val="en-GB"/>
        </w:rPr>
        <w:instrText>ADDIN CSL_CITATION { "citationItems" : [ { "id" : "ITEM-1",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"ITEM-1",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"mendeley" : { "formattedCitation" : "&lt;sup&gt;22&lt;/sup&gt;", "plainTextFormattedCitation" : "22", "previouslyFormattedCitation" : "&lt;sup&gt;22&lt;/sup&gt;" }, "properties" : { "noteIndex" : 0 }, "schema" : "https://github.com/citation-style-language/schema/raw/master/csl-citation.json" }</w:instrText>
      </w:r>
      <w:r w:rsidR="002F6C86" w:rsidRPr="00D039E9">
        <w:rPr>
          <w:rFonts w:cs="Times"/>
          <w:lang w:val="en-GB"/>
        </w:rPr>
        <w:fldChar w:fldCharType="separate"/>
      </w:r>
      <w:r w:rsidR="003E67FA" w:rsidRPr="00D039E9">
        <w:rPr>
          <w:rFonts w:cs="Times"/>
          <w:noProof/>
          <w:vertAlign w:val="superscript"/>
          <w:lang w:val="en-GB"/>
        </w:rPr>
        <w:t>22</w:t>
      </w:r>
      <w:r w:rsidR="002F6C86" w:rsidRPr="00D039E9">
        <w:rPr>
          <w:rFonts w:cs="Times"/>
          <w:lang w:val="en-GB"/>
        </w:rPr>
        <w:fldChar w:fldCharType="end"/>
      </w:r>
    </w:p>
    <w:p w14:paraId="17E73BD4" w14:textId="12CD2EDE" w:rsidR="003872DB" w:rsidRPr="00D039E9" w:rsidRDefault="003872DB" w:rsidP="003872DB">
      <w:pPr>
        <w:pStyle w:val="TAMainText"/>
        <w:ind w:firstLine="0"/>
        <w:rPr>
          <w:rFonts w:cs="Times"/>
          <w:bCs/>
          <w:lang w:val="en-CA" w:eastAsia="ja-JP"/>
        </w:rPr>
      </w:pPr>
      <m:oMath>
        <m:r>
          <w:rPr>
            <w:rFonts w:ascii="Cambria Math" w:hAnsi="Cambria Math" w:cs="Times"/>
            <w:lang w:val="en-CA" w:eastAsia="ja-JP"/>
          </w:rPr>
          <m:t>-</m:t>
        </m:r>
        <m:sSub>
          <m:sSubPr>
            <m:ctrlPr>
              <w:rPr>
                <w:rFonts w:ascii="Cambria Math" w:hAnsi="Cambria Math" w:cs="Times"/>
                <w:i/>
                <w:lang w:val="en-CA" w:eastAsia="ja-JP"/>
              </w:rPr>
            </m:ctrlPr>
          </m:sSubPr>
          <m:e>
            <m:d>
              <m:dPr>
                <m:ctrlPr>
                  <w:rPr>
                    <w:rFonts w:ascii="Cambria Math" w:hAnsi="Cambria Math" w:cs="Times"/>
                    <w:i/>
                    <w:lang w:val="en-CA" w:eastAsia="ja-JP"/>
                  </w:rPr>
                </m:ctrlPr>
              </m:dPr>
              <m:e>
                <m:f>
                  <m:fPr>
                    <m:ctrlPr>
                      <w:rPr>
                        <w:rFonts w:ascii="Cambria Math" w:hAnsi="Cambria Math" w:cs="Times"/>
                        <w:i/>
                        <w:lang w:val="en-CA" w:eastAsia="ja-JP"/>
                      </w:rPr>
                    </m:ctrlPr>
                  </m:fPr>
                  <m:num>
                    <m:r>
                      <w:rPr>
                        <w:rFonts w:ascii="Cambria Math" w:hAnsi="Cambria Math" w:cs="Times"/>
                        <w:lang w:val="en-CA" w:eastAsia="ja-JP"/>
                      </w:rPr>
                      <m:t>∂</m:t>
                    </m:r>
                    <m:sSubSup>
                      <m:sSubSupPr>
                        <m:ctrlPr>
                          <w:rPr>
                            <w:rFonts w:ascii="Cambria Math" w:hAnsi="Cambria Math" w:cs="Times"/>
                            <w:bCs/>
                            <w:i/>
                            <w:lang w:val="en-CA" w:eastAsia="ja-JP"/>
                          </w:rPr>
                        </m:ctrlPr>
                      </m:sSubSupPr>
                      <m:e>
                        <m:r>
                          <m:rPr>
                            <m:sty m:val="p"/>
                          </m:rPr>
                          <w:rPr>
                            <w:rFonts w:ascii="Cambria Math" w:hAnsi="Cambria Math" w:cs="Times"/>
                            <w:lang w:val="en-CA" w:eastAsia="ja-JP"/>
                          </w:rPr>
                          <m:t>Δ</m:t>
                        </m:r>
                        <m:r>
                          <w:rPr>
                            <w:rFonts w:ascii="Cambria Math" w:hAnsi="Cambria Math" w:cs="Times"/>
                            <w:lang w:val="en-CA" w:eastAsia="ja-JP"/>
                          </w:rPr>
                          <m:t>μ</m:t>
                        </m:r>
                      </m:e>
                      <m:sub>
                        <m:r>
                          <w:rPr>
                            <w:rFonts w:ascii="Cambria Math" w:hAnsi="Cambria Math" w:cs="Times"/>
                            <w:lang w:val="en-CA" w:eastAsia="ja-JP"/>
                          </w:rPr>
                          <m:t>P</m:t>
                        </m:r>
                      </m:sub>
                      <m:sup>
                        <m:r>
                          <w:rPr>
                            <w:rFonts w:ascii="Cambria Math" w:hAnsi="Cambria Math" w:cs="Times"/>
                            <w:lang w:val="en-CA" w:eastAsia="ja-JP"/>
                          </w:rPr>
                          <m:t>*</m:t>
                        </m:r>
                      </m:sup>
                    </m:sSubSup>
                  </m:num>
                  <m:den>
                    <m:r>
                      <w:rPr>
                        <w:rFonts w:ascii="Cambria Math" w:hAnsi="Cambria Math" w:cs="Times"/>
                        <w:lang w:val="en-CA" w:eastAsia="ja-JP"/>
                      </w:rPr>
                      <m:t>∂</m:t>
                    </m:r>
                    <m:sSub>
                      <m:sSubPr>
                        <m:ctrlPr>
                          <w:rPr>
                            <w:rFonts w:ascii="Cambria Math" w:hAnsi="Cambria Math" w:cs="Times"/>
                            <w:i/>
                            <w:lang w:val="en-CA" w:eastAsia="ja-JP"/>
                          </w:rPr>
                        </m:ctrlPr>
                      </m:sSubPr>
                      <m:e>
                        <m:r>
                          <w:rPr>
                            <w:rFonts w:ascii="Cambria Math" w:hAnsi="Cambria Math" w:cs="Times"/>
                            <w:lang w:val="en-CA" w:eastAsia="ja-JP"/>
                          </w:rPr>
                          <m:t>μ</m:t>
                        </m:r>
                      </m:e>
                      <m:sub>
                        <m:r>
                          <w:rPr>
                            <w:rFonts w:ascii="Cambria Math" w:hAnsi="Cambria Math" w:cs="Times"/>
                            <w:lang w:val="en-CA" w:eastAsia="ja-JP"/>
                          </w:rPr>
                          <m:t>W</m:t>
                        </m:r>
                      </m:sub>
                    </m:sSub>
                  </m:den>
                </m:f>
              </m:e>
            </m:d>
          </m:e>
          <m:sub>
            <m:r>
              <w:rPr>
                <w:rFonts w:ascii="Cambria Math" w:hAnsi="Cambria Math" w:cs="Times"/>
                <w:lang w:val="en-CA" w:eastAsia="ja-JP"/>
              </w:rPr>
              <m:t>T,P,</m:t>
            </m:r>
            <m:sSub>
              <m:sSubPr>
                <m:ctrlPr>
                  <w:rPr>
                    <w:rFonts w:ascii="Cambria Math" w:hAnsi="Cambria Math" w:cs="Times"/>
                    <w:i/>
                    <w:lang w:val="en-CA" w:eastAsia="ja-JP"/>
                  </w:rPr>
                </m:ctrlPr>
              </m:sSubPr>
              <m:e>
                <m:r>
                  <w:rPr>
                    <w:rFonts w:ascii="Cambria Math" w:hAnsi="Cambria Math" w:cs="Times"/>
                    <w:lang w:val="en-CA" w:eastAsia="ja-JP"/>
                  </w:rPr>
                  <m:t>c</m:t>
                </m:r>
              </m:e>
              <m:sub>
                <m:r>
                  <w:rPr>
                    <w:rFonts w:ascii="Cambria Math" w:hAnsi="Cambria Math" w:cs="Times"/>
                    <w:lang w:val="en-CA" w:eastAsia="ja-JP"/>
                  </w:rPr>
                  <m:t>P</m:t>
                </m:r>
              </m:sub>
            </m:sSub>
            <m:r>
              <w:rPr>
                <w:rFonts w:ascii="Cambria Math" w:hAnsi="Cambria Math" w:cs="Times"/>
                <w:lang w:val="en-CA" w:eastAsia="ja-JP"/>
              </w:rPr>
              <m:t>→0</m:t>
            </m:r>
          </m:sub>
        </m:sSub>
        <m:r>
          <w:rPr>
            <w:rFonts w:ascii="Cambria Math" w:hAnsi="Cambria Math" w:cs="Times"/>
            <w:lang w:val="en-CA" w:eastAsia="ja-JP"/>
          </w:rPr>
          <m:t>=</m:t>
        </m:r>
        <m:sSub>
          <m:sSubPr>
            <m:ctrlPr>
              <w:rPr>
                <w:rFonts w:ascii="Cambria Math" w:hAnsi="Cambria Math" w:cs="Times"/>
                <w:i/>
                <w:lang w:val="en-CA" w:eastAsia="ja-JP"/>
              </w:rPr>
            </m:ctrlPr>
          </m:sSubPr>
          <m:e>
            <m:r>
              <w:rPr>
                <w:rFonts w:ascii="Cambria Math" w:hAnsi="Cambria Math" w:cs="Times"/>
                <w:lang w:val="en-CA" w:eastAsia="ja-JP"/>
              </w:rPr>
              <m:t>c</m:t>
            </m:r>
          </m:e>
          <m:sub>
            <m:r>
              <w:rPr>
                <w:rFonts w:ascii="Cambria Math" w:hAnsi="Cambria Math" w:cs="Times"/>
                <w:lang w:val="en-CA" w:eastAsia="ja-JP"/>
              </w:rPr>
              <m:t>W</m:t>
            </m:r>
          </m:sub>
        </m:sSub>
        <m:r>
          <w:rPr>
            <w:rFonts w:ascii="Cambria Math" w:hAnsi="Cambria Math" w:cs="Times"/>
            <w:lang w:val="en-CA" w:eastAsia="ja-JP"/>
          </w:rPr>
          <m:t xml:space="preserve"> </m:t>
        </m:r>
        <m:d>
          <m:dPr>
            <m:ctrlPr>
              <w:rPr>
                <w:rFonts w:ascii="Cambria Math" w:hAnsi="Cambria Math" w:cs="Times"/>
                <w:i/>
                <w:lang w:val="en-CA" w:eastAsia="ja-JP"/>
              </w:rPr>
            </m:ctrlPr>
          </m:dPr>
          <m:e>
            <m:r>
              <m:rPr>
                <m:sty m:val="p"/>
              </m:rPr>
              <w:rPr>
                <w:rFonts w:ascii="Cambria Math" w:hAnsi="Cambria Math" w:cs="Times"/>
                <w:lang w:val="en-CA" w:eastAsia="ja-JP"/>
              </w:rPr>
              <m:t>Δ</m:t>
            </m:r>
            <m:sSub>
              <m:sSubPr>
                <m:ctrlPr>
                  <w:rPr>
                    <w:rFonts w:ascii="Cambria Math" w:hAnsi="Cambria Math" w:cs="Times"/>
                    <w:bCs/>
                    <w:i/>
                    <w:lang w:val="en-CA" w:eastAsia="ja-JP"/>
                  </w:rPr>
                </m:ctrlPr>
              </m:sSubPr>
              <m:e>
                <m:r>
                  <w:rPr>
                    <w:rFonts w:ascii="Cambria Math" w:hAnsi="Cambria Math" w:cs="Times"/>
                    <w:lang w:val="en-CA" w:eastAsia="ja-JP"/>
                  </w:rPr>
                  <m:t>G</m:t>
                </m:r>
              </m:e>
              <m:sub>
                <m:r>
                  <w:rPr>
                    <w:rFonts w:ascii="Cambria Math" w:hAnsi="Cambria Math" w:cs="Times"/>
                    <w:lang w:val="en-CA" w:eastAsia="ja-JP"/>
                  </w:rPr>
                  <m:t>PW</m:t>
                </m:r>
              </m:sub>
            </m:sSub>
            <m:r>
              <w:rPr>
                <w:rFonts w:ascii="Cambria Math" w:hAnsi="Cambria Math" w:cs="Times"/>
                <w:lang w:val="en-CA" w:eastAsia="ja-JP"/>
              </w:rPr>
              <m:t>-</m:t>
            </m:r>
            <m:r>
              <m:rPr>
                <m:sty m:val="p"/>
              </m:rPr>
              <w:rPr>
                <w:rFonts w:ascii="Cambria Math" w:hAnsi="Cambria Math" w:cs="Times"/>
                <w:lang w:val="en-CA" w:eastAsia="ja-JP"/>
              </w:rPr>
              <m:t>Δ</m:t>
            </m:r>
            <m:sSub>
              <m:sSubPr>
                <m:ctrlPr>
                  <w:rPr>
                    <w:rFonts w:ascii="Cambria Math" w:hAnsi="Cambria Math" w:cs="Times"/>
                    <w:i/>
                    <w:lang w:val="en-CA" w:eastAsia="ja-JP"/>
                  </w:rPr>
                </m:ctrlPr>
              </m:sSubPr>
              <m:e>
                <m:r>
                  <w:rPr>
                    <w:rFonts w:ascii="Cambria Math" w:hAnsi="Cambria Math" w:cs="Times"/>
                    <w:lang w:val="en-CA" w:eastAsia="ja-JP"/>
                  </w:rPr>
                  <m:t>G</m:t>
                </m:r>
              </m:e>
              <m:sub>
                <m:r>
                  <w:rPr>
                    <w:rFonts w:ascii="Cambria Math" w:hAnsi="Cambria Math" w:cs="Times"/>
                    <w:lang w:val="en-CA" w:eastAsia="ja-JP"/>
                  </w:rPr>
                  <m:t>PF</m:t>
                </m:r>
              </m:sub>
            </m:sSub>
            <m:r>
              <w:rPr>
                <w:rFonts w:ascii="Cambria Math" w:hAnsi="Cambria Math" w:cs="Times"/>
                <w:lang w:val="en-CA" w:eastAsia="ja-JP"/>
              </w:rPr>
              <m:t xml:space="preserve"> </m:t>
            </m:r>
          </m:e>
        </m:d>
      </m:oMath>
      <w:r w:rsidRPr="00D039E9">
        <w:rPr>
          <w:rFonts w:cs="Times"/>
          <w:bCs/>
          <w:lang w:val="en-CA" w:eastAsia="ja-JP"/>
        </w:rPr>
        <w:tab/>
      </w:r>
      <w:r w:rsidRPr="00D039E9">
        <w:rPr>
          <w:rFonts w:cs="Times"/>
          <w:bCs/>
          <w:lang w:val="en-CA" w:eastAsia="ja-JP"/>
        </w:rPr>
        <w:tab/>
      </w:r>
      <w:r w:rsidRPr="00D039E9">
        <w:rPr>
          <w:rFonts w:cs="Times"/>
          <w:bCs/>
          <w:lang w:val="en-CA" w:eastAsia="ja-JP"/>
        </w:rPr>
        <w:tab/>
      </w:r>
      <w:r w:rsidRPr="00D039E9">
        <w:rPr>
          <w:rFonts w:cs="Times"/>
          <w:bCs/>
          <w:lang w:val="en-CA" w:eastAsia="ja-JP"/>
        </w:rPr>
        <w:tab/>
      </w:r>
      <w:r w:rsidRPr="00D039E9">
        <w:rPr>
          <w:rFonts w:cs="Times"/>
          <w:bCs/>
          <w:lang w:val="en-CA" w:eastAsia="ja-JP"/>
        </w:rPr>
        <w:tab/>
      </w:r>
      <w:r w:rsidRPr="00D039E9">
        <w:rPr>
          <w:rFonts w:cs="Times"/>
          <w:bCs/>
          <w:lang w:val="en-CA" w:eastAsia="ja-JP"/>
        </w:rPr>
        <w:tab/>
      </w:r>
      <w:r w:rsidRPr="00D039E9">
        <w:rPr>
          <w:rFonts w:cs="Times"/>
          <w:bCs/>
          <w:lang w:val="en-CA" w:eastAsia="ja-JP"/>
        </w:rPr>
        <w:tab/>
      </w:r>
      <w:r w:rsidR="001E7FBA" w:rsidRPr="00D039E9">
        <w:rPr>
          <w:rFonts w:cs="Times"/>
          <w:bCs/>
          <w:lang w:val="en-CA" w:eastAsia="ja-JP"/>
        </w:rPr>
        <w:t>(10</w:t>
      </w:r>
      <w:r w:rsidRPr="00D039E9">
        <w:rPr>
          <w:rFonts w:cs="Times"/>
          <w:bCs/>
          <w:lang w:val="en-CA" w:eastAsia="ja-JP"/>
        </w:rPr>
        <w:t xml:space="preserve">) </w:t>
      </w:r>
    </w:p>
    <w:p w14:paraId="7DE53063" w14:textId="54156A79" w:rsidR="008F0063" w:rsidRPr="00D039E9" w:rsidRDefault="000E5B3F" w:rsidP="003872DB">
      <w:pPr>
        <w:pStyle w:val="TAMainText"/>
        <w:ind w:firstLine="0"/>
        <w:rPr>
          <w:rFonts w:cs="Times"/>
          <w:bCs/>
          <w:lang w:val="en-CA" w:eastAsia="ja-JP"/>
        </w:rPr>
      </w:pPr>
      <m:oMath>
        <m:sSub>
          <m:sSubPr>
            <m:ctrlPr>
              <w:rPr>
                <w:rFonts w:ascii="Cambria Math" w:hAnsi="Cambria Math" w:cs="Times"/>
                <w:i/>
                <w:lang w:val="en-CA" w:eastAsia="ja-JP"/>
              </w:rPr>
            </m:ctrlPr>
          </m:sSubPr>
          <m:e>
            <m:f>
              <m:fPr>
                <m:ctrlPr>
                  <w:rPr>
                    <w:rFonts w:ascii="Cambria Math" w:hAnsi="Cambria Math" w:cs="Times"/>
                    <w:i/>
                    <w:lang w:val="en-CA" w:eastAsia="ja-JP"/>
                  </w:rPr>
                </m:ctrlPr>
              </m:fPr>
              <m:num>
                <m:r>
                  <w:rPr>
                    <w:rFonts w:ascii="Cambria Math" w:hAnsi="Cambria Math" w:cs="Times"/>
                    <w:lang w:val="en-CA" w:eastAsia="ja-JP"/>
                  </w:rPr>
                  <m:t>1</m:t>
                </m:r>
              </m:num>
              <m:den>
                <m:r>
                  <w:rPr>
                    <w:rFonts w:ascii="Cambria Math" w:hAnsi="Cambria Math" w:cs="Times"/>
                    <w:lang w:val="en-CA" w:eastAsia="ja-JP"/>
                  </w:rPr>
                  <m:t>RT</m:t>
                </m:r>
              </m:den>
            </m:f>
            <m:d>
              <m:dPr>
                <m:ctrlPr>
                  <w:rPr>
                    <w:rFonts w:ascii="Cambria Math" w:hAnsi="Cambria Math" w:cs="Times"/>
                    <w:i/>
                    <w:lang w:val="en-CA" w:eastAsia="ja-JP"/>
                  </w:rPr>
                </m:ctrlPr>
              </m:dPr>
              <m:e>
                <m:f>
                  <m:fPr>
                    <m:ctrlPr>
                      <w:rPr>
                        <w:rFonts w:ascii="Cambria Math" w:hAnsi="Cambria Math" w:cs="Times"/>
                        <w:i/>
                        <w:lang w:val="en-CA" w:eastAsia="ja-JP"/>
                      </w:rPr>
                    </m:ctrlPr>
                  </m:fPr>
                  <m:num>
                    <m:r>
                      <w:rPr>
                        <w:rFonts w:ascii="Cambria Math" w:hAnsi="Cambria Math" w:cs="Times"/>
                        <w:lang w:val="en-CA" w:eastAsia="ja-JP"/>
                      </w:rPr>
                      <m:t>∂</m:t>
                    </m:r>
                    <m:r>
                      <m:rPr>
                        <m:sty m:val="p"/>
                      </m:rPr>
                      <w:rPr>
                        <w:rFonts w:ascii="Cambria Math" w:hAnsi="Cambria Math" w:cs="Times"/>
                        <w:lang w:val="en-CA" w:eastAsia="ja-JP"/>
                      </w:rPr>
                      <m:t>Δ</m:t>
                    </m:r>
                    <m:sSubSup>
                      <m:sSubSupPr>
                        <m:ctrlPr>
                          <w:rPr>
                            <w:rFonts w:ascii="Cambria Math" w:hAnsi="Cambria Math" w:cs="Times"/>
                            <w:bCs/>
                            <w:i/>
                            <w:lang w:val="en-CA" w:eastAsia="ja-JP"/>
                          </w:rPr>
                        </m:ctrlPr>
                      </m:sSubSupPr>
                      <m:e>
                        <m:r>
                          <w:rPr>
                            <w:rFonts w:ascii="Cambria Math" w:hAnsi="Cambria Math" w:cs="Times"/>
                            <w:lang w:val="en-CA" w:eastAsia="ja-JP"/>
                          </w:rPr>
                          <m:t>μ</m:t>
                        </m:r>
                      </m:e>
                      <m:sub>
                        <m:r>
                          <w:rPr>
                            <w:rFonts w:ascii="Cambria Math" w:hAnsi="Cambria Math" w:cs="Times"/>
                            <w:lang w:val="en-CA" w:eastAsia="ja-JP"/>
                          </w:rPr>
                          <m:t>P</m:t>
                        </m:r>
                      </m:sub>
                      <m:sup>
                        <m:r>
                          <w:rPr>
                            <w:rFonts w:ascii="Cambria Math" w:hAnsi="Cambria Math" w:cs="Times"/>
                            <w:lang w:val="en-CA" w:eastAsia="ja-JP"/>
                          </w:rPr>
                          <m:t>*</m:t>
                        </m:r>
                      </m:sup>
                    </m:sSubSup>
                  </m:num>
                  <m:den>
                    <m:r>
                      <w:rPr>
                        <w:rFonts w:ascii="Cambria Math" w:hAnsi="Cambria Math" w:cs="Times"/>
                        <w:lang w:val="en-CA" w:eastAsia="ja-JP"/>
                      </w:rPr>
                      <m:t>∂</m:t>
                    </m:r>
                    <m:sSub>
                      <m:sSubPr>
                        <m:ctrlPr>
                          <w:rPr>
                            <w:rFonts w:ascii="Cambria Math" w:hAnsi="Cambria Math" w:cs="Times"/>
                            <w:i/>
                            <w:lang w:val="en-CA" w:eastAsia="ja-JP"/>
                          </w:rPr>
                        </m:ctrlPr>
                      </m:sSubPr>
                      <m:e>
                        <m:r>
                          <w:rPr>
                            <w:rFonts w:ascii="Cambria Math" w:hAnsi="Cambria Math" w:cs="Times"/>
                            <w:lang w:val="en-CA" w:eastAsia="ja-JP"/>
                          </w:rPr>
                          <m:t>c</m:t>
                        </m:r>
                      </m:e>
                      <m:sub>
                        <m:r>
                          <w:rPr>
                            <w:rFonts w:ascii="Cambria Math" w:hAnsi="Cambria Math" w:cs="Times"/>
                            <w:lang w:val="en-CA" w:eastAsia="ja-JP"/>
                          </w:rPr>
                          <m:t>F</m:t>
                        </m:r>
                      </m:sub>
                    </m:sSub>
                  </m:den>
                </m:f>
              </m:e>
            </m:d>
          </m:e>
          <m:sub>
            <m:r>
              <w:rPr>
                <w:rFonts w:ascii="Cambria Math" w:hAnsi="Cambria Math" w:cs="Times"/>
                <w:lang w:val="en-CA" w:eastAsia="ja-JP"/>
              </w:rPr>
              <m:t>T,P,</m:t>
            </m:r>
            <m:sSub>
              <m:sSubPr>
                <m:ctrlPr>
                  <w:rPr>
                    <w:rFonts w:ascii="Cambria Math" w:hAnsi="Cambria Math" w:cs="Times"/>
                    <w:i/>
                    <w:lang w:val="en-CA" w:eastAsia="ja-JP"/>
                  </w:rPr>
                </m:ctrlPr>
              </m:sSubPr>
              <m:e>
                <m:r>
                  <w:rPr>
                    <w:rFonts w:ascii="Cambria Math" w:hAnsi="Cambria Math" w:cs="Times"/>
                    <w:lang w:val="en-CA" w:eastAsia="ja-JP"/>
                  </w:rPr>
                  <m:t>c</m:t>
                </m:r>
              </m:e>
              <m:sub>
                <m:r>
                  <w:rPr>
                    <w:rFonts w:ascii="Cambria Math" w:hAnsi="Cambria Math" w:cs="Times"/>
                    <w:lang w:val="en-CA" w:eastAsia="ja-JP"/>
                  </w:rPr>
                  <m:t>P</m:t>
                </m:r>
              </m:sub>
            </m:sSub>
            <m:r>
              <w:rPr>
                <w:rFonts w:ascii="Cambria Math" w:hAnsi="Cambria Math" w:cs="Times"/>
                <w:lang w:val="en-CA" w:eastAsia="ja-JP"/>
              </w:rPr>
              <m:t>→0;</m:t>
            </m:r>
            <m:sSub>
              <m:sSubPr>
                <m:ctrlPr>
                  <w:rPr>
                    <w:rFonts w:ascii="Cambria Math" w:hAnsi="Cambria Math" w:cs="Times"/>
                    <w:i/>
                    <w:lang w:val="en-CA" w:eastAsia="ja-JP"/>
                  </w:rPr>
                </m:ctrlPr>
              </m:sSubPr>
              <m:e>
                <m:r>
                  <w:rPr>
                    <w:rFonts w:ascii="Cambria Math" w:hAnsi="Cambria Math" w:cs="Times"/>
                    <w:lang w:val="en-CA" w:eastAsia="ja-JP"/>
                  </w:rPr>
                  <m:t>c</m:t>
                </m:r>
              </m:e>
              <m:sub>
                <m:r>
                  <w:rPr>
                    <w:rFonts w:ascii="Cambria Math" w:hAnsi="Cambria Math" w:cs="Times"/>
                    <w:lang w:val="en-CA" w:eastAsia="ja-JP"/>
                  </w:rPr>
                  <m:t>F</m:t>
                </m:r>
              </m:sub>
            </m:sSub>
            <m:r>
              <w:rPr>
                <w:rFonts w:ascii="Cambria Math" w:hAnsi="Cambria Math" w:cs="Times"/>
                <w:lang w:val="en-CA" w:eastAsia="ja-JP"/>
              </w:rPr>
              <m:t>→0</m:t>
            </m:r>
          </m:sub>
        </m:sSub>
        <m:r>
          <w:rPr>
            <w:rFonts w:ascii="Cambria Math" w:hAnsi="Cambria Math" w:cs="Times"/>
            <w:lang w:val="en-CA" w:eastAsia="ja-JP"/>
          </w:rPr>
          <m:t xml:space="preserve">= </m:t>
        </m:r>
        <m:r>
          <m:rPr>
            <m:sty m:val="p"/>
          </m:rPr>
          <w:rPr>
            <w:rFonts w:ascii="Cambria Math" w:hAnsi="Cambria Math" w:cs="Times"/>
            <w:lang w:val="en-CA" w:eastAsia="ja-JP"/>
          </w:rPr>
          <m:t>Δ</m:t>
        </m:r>
        <m:sSub>
          <m:sSubPr>
            <m:ctrlPr>
              <w:rPr>
                <w:rFonts w:ascii="Cambria Math" w:hAnsi="Cambria Math" w:cs="Times"/>
                <w:bCs/>
                <w:i/>
                <w:lang w:val="en-CA" w:eastAsia="ja-JP"/>
              </w:rPr>
            </m:ctrlPr>
          </m:sSubPr>
          <m:e>
            <m:r>
              <w:rPr>
                <w:rFonts w:ascii="Cambria Math" w:hAnsi="Cambria Math" w:cs="Times"/>
                <w:lang w:val="en-CA" w:eastAsia="ja-JP"/>
              </w:rPr>
              <m:t>G</m:t>
            </m:r>
          </m:e>
          <m:sub>
            <m:r>
              <w:rPr>
                <w:rFonts w:ascii="Cambria Math" w:hAnsi="Cambria Math" w:cs="Times"/>
                <w:lang w:val="en-CA" w:eastAsia="ja-JP"/>
              </w:rPr>
              <m:t>PW</m:t>
            </m:r>
          </m:sub>
        </m:sSub>
        <m:r>
          <w:rPr>
            <w:rFonts w:ascii="Cambria Math" w:hAnsi="Cambria Math" w:cs="Times"/>
            <w:lang w:val="en-CA" w:eastAsia="ja-JP"/>
          </w:rPr>
          <m:t>-</m:t>
        </m:r>
        <m:r>
          <m:rPr>
            <m:sty m:val="p"/>
          </m:rPr>
          <w:rPr>
            <w:rFonts w:ascii="Cambria Math" w:hAnsi="Cambria Math" w:cs="Times"/>
            <w:lang w:val="en-CA" w:eastAsia="ja-JP"/>
          </w:rPr>
          <m:t>Δ</m:t>
        </m:r>
        <m:sSub>
          <m:sSubPr>
            <m:ctrlPr>
              <w:rPr>
                <w:rFonts w:ascii="Cambria Math" w:hAnsi="Cambria Math" w:cs="Times"/>
                <w:i/>
                <w:lang w:val="en-CA" w:eastAsia="ja-JP"/>
              </w:rPr>
            </m:ctrlPr>
          </m:sSubPr>
          <m:e>
            <m:r>
              <w:rPr>
                <w:rFonts w:ascii="Cambria Math" w:hAnsi="Cambria Math" w:cs="Times"/>
                <w:lang w:val="en-CA" w:eastAsia="ja-JP"/>
              </w:rPr>
              <m:t>G</m:t>
            </m:r>
          </m:e>
          <m:sub>
            <m:r>
              <w:rPr>
                <w:rFonts w:ascii="Cambria Math" w:hAnsi="Cambria Math" w:cs="Times"/>
                <w:lang w:val="en-CA" w:eastAsia="ja-JP"/>
              </w:rPr>
              <m:t>PF</m:t>
            </m:r>
          </m:sub>
        </m:sSub>
      </m:oMath>
      <w:r w:rsidR="003872DB" w:rsidRPr="00D039E9">
        <w:rPr>
          <w:rFonts w:cs="Times"/>
          <w:bCs/>
          <w:lang w:val="en-CA" w:eastAsia="ja-JP"/>
        </w:rPr>
        <w:tab/>
      </w:r>
      <w:r w:rsidR="003872DB" w:rsidRPr="00D039E9">
        <w:rPr>
          <w:rFonts w:cs="Times"/>
          <w:bCs/>
          <w:lang w:val="en-CA" w:eastAsia="ja-JP"/>
        </w:rPr>
        <w:tab/>
      </w:r>
      <w:r w:rsidR="003872DB" w:rsidRPr="00D039E9">
        <w:rPr>
          <w:rFonts w:cs="Times"/>
          <w:bCs/>
          <w:lang w:val="en-CA" w:eastAsia="ja-JP"/>
        </w:rPr>
        <w:tab/>
      </w:r>
      <w:r w:rsidR="003872DB" w:rsidRPr="00D039E9">
        <w:rPr>
          <w:rFonts w:cs="Times"/>
          <w:bCs/>
          <w:lang w:val="en-CA" w:eastAsia="ja-JP"/>
        </w:rPr>
        <w:tab/>
      </w:r>
      <w:r w:rsidR="003872DB" w:rsidRPr="00D039E9">
        <w:rPr>
          <w:rFonts w:cs="Times"/>
          <w:bCs/>
          <w:lang w:val="en-CA" w:eastAsia="ja-JP"/>
        </w:rPr>
        <w:tab/>
      </w:r>
      <w:r w:rsidR="003872DB" w:rsidRPr="00D039E9">
        <w:rPr>
          <w:rFonts w:cs="Times"/>
          <w:bCs/>
          <w:lang w:val="en-CA" w:eastAsia="ja-JP"/>
        </w:rPr>
        <w:tab/>
      </w:r>
      <w:r w:rsidR="003872DB" w:rsidRPr="00D039E9">
        <w:rPr>
          <w:rFonts w:cs="Times"/>
          <w:bCs/>
          <w:lang w:val="en-CA" w:eastAsia="ja-JP"/>
        </w:rPr>
        <w:tab/>
      </w:r>
      <w:r w:rsidR="001E7FBA" w:rsidRPr="00D039E9">
        <w:rPr>
          <w:rFonts w:cs="Times"/>
          <w:bCs/>
          <w:lang w:val="en-CA" w:eastAsia="ja-JP"/>
        </w:rPr>
        <w:t>(11</w:t>
      </w:r>
      <w:r w:rsidR="008F0063" w:rsidRPr="00D039E9">
        <w:rPr>
          <w:rFonts w:cs="Times"/>
          <w:bCs/>
          <w:lang w:val="en-CA" w:eastAsia="ja-JP"/>
        </w:rPr>
        <w:t xml:space="preserve">) </w:t>
      </w:r>
    </w:p>
    <w:p w14:paraId="153C128D" w14:textId="1740A9DE" w:rsidR="003872DB" w:rsidRPr="00D039E9" w:rsidRDefault="001E7FBA" w:rsidP="003872DB">
      <w:pPr>
        <w:pStyle w:val="TAMainText"/>
        <w:ind w:firstLine="0"/>
        <w:rPr>
          <w:rFonts w:cs="Times"/>
          <w:lang w:val="en-CA"/>
        </w:rPr>
      </w:pPr>
      <w:r w:rsidRPr="00D039E9">
        <w:rPr>
          <w:rFonts w:cs="Times"/>
          <w:lang w:val="en-CA"/>
        </w:rPr>
        <w:t>Combining Eqs. (10) and (11</w:t>
      </w:r>
      <w:r w:rsidR="003872DB" w:rsidRPr="00D039E9">
        <w:rPr>
          <w:rFonts w:cs="Times"/>
          <w:lang w:val="en-CA"/>
        </w:rPr>
        <w:t>) with the Clausius-Clapeyron yield</w:t>
      </w:r>
      <w:r w:rsidR="00D71279" w:rsidRPr="00D039E9">
        <w:rPr>
          <w:rFonts w:cs="Times"/>
          <w:lang w:val="en-CA"/>
        </w:rPr>
        <w:t>s a link between the KBI</w:t>
      </w:r>
      <w:r w:rsidR="003872DB" w:rsidRPr="00D039E9">
        <w:rPr>
          <w:rFonts w:cs="Times"/>
          <w:lang w:val="en-CA"/>
        </w:rPr>
        <w:t>s and the effect of flav</w:t>
      </w:r>
      <w:r w:rsidR="006058ED" w:rsidRPr="00D039E9">
        <w:rPr>
          <w:rFonts w:cs="Times"/>
          <w:lang w:val="en-CA"/>
        </w:rPr>
        <w:t>our on the denaturation/gel melting</w:t>
      </w:r>
      <w:r w:rsidR="003872DB" w:rsidRPr="00D039E9">
        <w:rPr>
          <w:rFonts w:cs="Times"/>
          <w:lang w:val="en-CA"/>
        </w:rPr>
        <w:t xml:space="preserve"> temperature</w:t>
      </w:r>
      <w:r w:rsidR="006058ED" w:rsidRPr="00D039E9">
        <w:rPr>
          <w:rFonts w:cs="Times"/>
          <w:lang w:val="en-CA"/>
        </w:rPr>
        <w:t xml:space="preserve"> (</w:t>
      </w:r>
      <m:oMath>
        <m:sSub>
          <m:sSubPr>
            <m:ctrlPr>
              <w:rPr>
                <w:rFonts w:ascii="Cambria Math" w:hAnsi="Cambria Math" w:cs="Times"/>
                <w:i/>
                <w:lang w:val="en-CA"/>
              </w:rPr>
            </m:ctrlPr>
          </m:sSubPr>
          <m:e>
            <m:r>
              <w:rPr>
                <w:rFonts w:ascii="Cambria Math" w:hAnsi="Cambria Math" w:cs="Times"/>
                <w:lang w:val="en-CA"/>
              </w:rPr>
              <m:t>T</m:t>
            </m:r>
          </m:e>
          <m:sub>
            <m:r>
              <w:rPr>
                <w:rFonts w:ascii="Cambria Math" w:hAnsi="Cambria Math" w:cs="Times"/>
                <w:lang w:val="en-CA"/>
              </w:rPr>
              <m:t>g→s</m:t>
            </m:r>
          </m:sub>
        </m:sSub>
      </m:oMath>
      <w:r w:rsidR="006058ED" w:rsidRPr="00D039E9">
        <w:rPr>
          <w:rFonts w:cs="Times"/>
          <w:lang w:val="en-CA"/>
        </w:rPr>
        <w:t>)</w:t>
      </w:r>
      <w:r w:rsidR="003872DB" w:rsidRPr="00D039E9">
        <w:rPr>
          <w:rFonts w:cs="Times"/>
          <w:lang w:val="en-CA"/>
        </w:rPr>
        <w:t>, in the following form:</w:t>
      </w:r>
      <w:r w:rsidR="002F6C86" w:rsidRPr="00D039E9">
        <w:rPr>
          <w:rFonts w:cs="Times"/>
          <w:lang w:val="en-CA"/>
        </w:rPr>
        <w:fldChar w:fldCharType="begin" w:fldLock="1"/>
      </w:r>
      <w:r w:rsidR="003E67FA" w:rsidRPr="00D039E9">
        <w:rPr>
          <w:rFonts w:cs="Times"/>
          <w:lang w:val="en-CA"/>
        </w:rPr>
        <w:instrText>ADDIN CSL_CITATION { "citationItems" : [ { "id" : "ITEM-1", "itemData" : { "DOI" : "10.1016/j.cplett.2011.08.038", "ISSN" : "00092614", "abstract" : "Various cosolvents are known to modulate the thermal stability of the proteins. To understand its molecular origin, a statistical thermodynamic analysis, based upon the Kirkwood-Buff (KB) theory, has been performed to obtain information regarding the accumulation or depletion of solvent molecules around proteins, based upon published experimental data. The analysis shows the dominant importance of cosolvent's accumulation or depletion around the proteins, whereas the role of protein hydration is minor. ?? 2011 Elsevier B.V. All rights reserved.", "author" : [ { "dropping-particle" : "", "family" : "Shimizu", "given" : "Seishi", "non-dropping-particle" : "", "parse-names" : false, "suffix" : "" } ], "container-title" : "Chemical Physics Letters", "id" : "ITEM-1", "issue" : "1-3", "issued" : { "date-parts" : [ [ "2011" ] ] }, "page" : "156-158", "publisher" : "Elsevier B.V.", "title" : "Molecular origin of the cosolvent-induced changes in the thermal stability of proteins", "type" : "article-journal", "volume" : "514" }, "uris" : [ "http://www.mendeley.com/documents/?uuid=f72a9936-cbbc-4fe0-8a8f-d5f1c1425260" ] }, { "id" : "ITEM-2", "itemData" : { "DOI" : "10.1021/jp509099h", "ISSN" : "15205207", "PMID" : "25375260", "abstract" : "Gelation is enhanced by the addition of sugars and polyols. How, at a microscopic level, do such cosolvents enhance gelation? The following two different hypotheses have been proposed so far to answer this question: (i) enhancement of water structure around the biopolymer induced by cosolvents; (ii) exclusion of cosolvents from biopolymer surfaces. To examine the validity of the above hypotheses, as well as to quantify the driving forces of cosolvent-induced gelation, we have constructed a statistical thermodynamic theory of gelation, by extending our Kirkwood-Buff theory of cosolvency; biopolymer-water and biopolymer-cosolvent interactions can both be determined from thermodynamic data. The exclusion of cosolvents is shown to be the dominant contribution, whereas the hydration change is a minor contribution, which may be important only so far as to mediate the exclusion of cosolvents.", "author" : [ { "dropping-particle" : "", "family" : "Shimizu", "given" : "Seishi", "non-dropping-particle" : "", "parse-names" : false, "suffix" : "" }, { "dropping-particle" : "", "family" : "Matubayasi", "given" : "Nobuyuki", "non-dropping-particle" : "", "parse-names" : false, "suffix" : "" } ], "container-title" : "Journal of Physical Chemistry B", "id" : "ITEM-2", "issue" : "46", "issued" : { "date-parts" : [ [ "2014" ] ] }, "page" : "13210-13216", "title" : "Gelation: The role of sugars and polyols on gelatin and agarose", "type" : "article-journal", "volume" : "118" }, "uris" : [ "http://www.mendeley.com/documents/?uuid=3f487fe1-7c16-485b-971c-d2e69e2da704" ] }, { "id" : "ITEM-3", "itemData" : { "DOI" : "10.1016/j.foodhyd.2015.10.007", "ISSN" : "0268005X", "abstract" : "The gelation of ??-carrageenan, a common polysaccharide for food gelling and thickening, is enhanced by the addition of sugars and polyols. Three different hypotheses have been proposed to explain this phenomenon: (i) the enhancement of the water structure around polysaccharides, and the concurrent change in polysaccharide hydration, induced by the cosolvent; (ii) exclusion of cosolvents from polysaccharide surfaces; (iii) binding between sugars/polyols and polysaccharides in the gel phase. To examine the above hypotheses, as well as to reveal the true driving forces responsible for gelation enhancement, we applied our recent statistical thermodynamic theory of gelation, derived from the rigorous Kirkwood-Buff theory. The hydration change is shown to be negligibly small relative to cosolvent exclusion and cosolvent-biopolymer binding, which can be rationalized by considering a sol-gel equilibrium in which (1) the exclusion of sugars/polyols from ??-carrageenan's surface in the sol phase, and (2) the binding of sugars and polyols in the gel phase, shift the sol-gel equilibrium of ??-carrageenan to the gel state. This novel picture is consistent with a wealth of experimental evidence and provides a mechanistic insight into how polyol and sugar cosolvents influence the gelation of ??-carrageenan on a molecular level.", "author" : [ { "dropping-particle" : "", "family" : "Stenner", "given" : "Richard", "non-dropping-particle" : "", "parse-names" : false, "suffix" : "" }, { "dropping-particle" : "", "family" : "Matubayasi", "given" : "Nobuyuki", "non-dropping-particle" : "", "parse-names" : false, "suffix" : "" }, { "dropping-particle" : "", "family" : "Shimizu", "given" : "Seishi", "non-dropping-particle" : "", "parse-names" : false, "suffix" : "" } ], "container-title" : "Food Hydrocolloids", "id" : "ITEM-3", "issued" : { "date-parts" : [ [ "2016" ] ] }, "page" : "284-292", "publisher" : "Elsevier Ltd", "title" : "Gelation of carrageenan: Effects of sugars and polyols", "type" : "article-journal", "volume" : "54" }, "uris" : [ "http://www.mendeley.com/documents/?uuid=1ba0dc87-aef9-4f66-a843-a82ff360fd80" ] }, { "id" : "ITEM-4",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"ITEM-4",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"mendeley" : { "formattedCitation" : "&lt;sup&gt;14,19,21,22&lt;/sup&gt;", "plainTextFormattedCitation" : "14,19,21,22", "previouslyFormattedCitation" : "&lt;sup&gt;14,19,21,22&lt;/sup&gt;" }, "properties" : { "noteIndex" : 0 }, "schema" : "https://github.com/citation-style-language/schema/raw/master/csl-citation.json" }</w:instrText>
      </w:r>
      <w:r w:rsidR="002F6C86" w:rsidRPr="00D039E9">
        <w:rPr>
          <w:rFonts w:cs="Times"/>
          <w:lang w:val="en-CA"/>
        </w:rPr>
        <w:fldChar w:fldCharType="separate"/>
      </w:r>
      <w:r w:rsidR="003E67FA" w:rsidRPr="00D039E9">
        <w:rPr>
          <w:rFonts w:cs="Times"/>
          <w:noProof/>
          <w:vertAlign w:val="superscript"/>
          <w:lang w:val="en-CA"/>
        </w:rPr>
        <w:t>14,19,21,22</w:t>
      </w:r>
      <w:r w:rsidR="002F6C86" w:rsidRPr="00D039E9">
        <w:rPr>
          <w:rFonts w:cs="Times"/>
          <w:lang w:val="en-CA"/>
        </w:rPr>
        <w:fldChar w:fldCharType="end"/>
      </w:r>
      <w:r w:rsidR="003872DB" w:rsidRPr="00D039E9">
        <w:rPr>
          <w:rFonts w:cs="Times"/>
          <w:lang w:val="en-CA"/>
        </w:rPr>
        <w:t xml:space="preserve"> </w:t>
      </w:r>
    </w:p>
    <w:p w14:paraId="3CA062BF" w14:textId="72EB35DD" w:rsidR="003872DB" w:rsidRPr="00D039E9" w:rsidRDefault="003872DB" w:rsidP="003872DB">
      <w:pPr>
        <w:pStyle w:val="TAMainText"/>
        <w:rPr>
          <w:lang w:val="en-CA"/>
        </w:rPr>
      </w:pPr>
      <m:oMath>
        <m:r>
          <w:rPr>
            <w:rFonts w:ascii="Cambria Math" w:hAnsi="Cambria Math"/>
            <w:lang w:val="en-CA"/>
          </w:rPr>
          <m:t>-</m:t>
        </m:r>
        <m:f>
          <m:fPr>
            <m:ctrlPr>
              <w:rPr>
                <w:rFonts w:ascii="Cambria Math" w:hAnsi="Cambria Math"/>
                <w:i/>
                <w:lang w:val="en-CA"/>
              </w:rPr>
            </m:ctrlPr>
          </m:fPr>
          <m:num>
            <m:r>
              <m:rPr>
                <m:sty m:val="p"/>
              </m:rPr>
              <w:rPr>
                <w:rFonts w:ascii="Cambria Math" w:hAnsi="Cambria Math"/>
                <w:lang w:val="en-CA"/>
              </w:rPr>
              <m:t>Δ</m:t>
            </m:r>
            <m:sSub>
              <m:sSubPr>
                <m:ctrlPr>
                  <w:rPr>
                    <w:rFonts w:ascii="Cambria Math" w:hAnsi="Cambria Math"/>
                    <w:i/>
                    <w:lang w:val="en-CA"/>
                  </w:rPr>
                </m:ctrlPr>
              </m:sSubPr>
              <m:e>
                <m:r>
                  <w:rPr>
                    <w:rFonts w:ascii="Cambria Math" w:hAnsi="Cambria Math"/>
                    <w:lang w:val="en-CA" w:eastAsia="ja-JP"/>
                  </w:rPr>
                  <m:t>H</m:t>
                </m:r>
              </m:e>
              <m:sub>
                <m:r>
                  <w:rPr>
                    <w:rFonts w:ascii="Cambria Math" w:hAnsi="Cambria Math"/>
                    <w:lang w:val="en-CA" w:eastAsia="ja-JP"/>
                  </w:rPr>
                  <m:t>g→s</m:t>
                </m:r>
              </m:sub>
            </m:sSub>
          </m:num>
          <m:den>
            <m:r>
              <w:rPr>
                <w:rFonts w:ascii="Cambria Math" w:hAnsi="Cambria Math"/>
                <w:lang w:val="en-CA"/>
              </w:rPr>
              <m:t>T</m:t>
            </m:r>
          </m:den>
        </m:f>
        <m:f>
          <m:fPr>
            <m:ctrlPr>
              <w:rPr>
                <w:rFonts w:ascii="Cambria Math" w:hAnsi="Cambria Math"/>
                <w:i/>
                <w:lang w:val="en-CA"/>
              </w:rPr>
            </m:ctrlPr>
          </m:fPr>
          <m:num>
            <m:r>
              <w:rPr>
                <w:rFonts w:ascii="Cambria Math" w:hAnsi="Cambria Math"/>
                <w:lang w:val="en-CA" w:eastAsia="ja-JP"/>
              </w:rPr>
              <m:t>δ</m:t>
            </m:r>
            <m:sSub>
              <m:sSubPr>
                <m:ctrlPr>
                  <w:rPr>
                    <w:rFonts w:ascii="Cambria Math" w:hAnsi="Cambria Math"/>
                    <w:i/>
                    <w:lang w:val="en-CA"/>
                  </w:rPr>
                </m:ctrlPr>
              </m:sSubPr>
              <m:e>
                <m:r>
                  <w:rPr>
                    <w:rFonts w:ascii="Cambria Math" w:hAnsi="Cambria Math"/>
                    <w:lang w:val="en-CA" w:eastAsia="ja-JP"/>
                  </w:rPr>
                  <m:t>T</m:t>
                </m:r>
              </m:e>
              <m:sub>
                <m:r>
                  <w:rPr>
                    <w:rFonts w:ascii="Cambria Math" w:hAnsi="Cambria Math"/>
                    <w:lang w:val="en-CA" w:eastAsia="ja-JP"/>
                  </w:rPr>
                  <m:t>g→s</m:t>
                </m:r>
              </m:sub>
            </m:sSub>
          </m:num>
          <m:den>
            <m:r>
              <w:rPr>
                <w:rFonts w:ascii="Cambria Math" w:hAnsi="Cambria Math"/>
                <w:lang w:val="en-CA" w:eastAsia="ja-JP"/>
              </w:rPr>
              <m:t>δ</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W</m:t>
                </m:r>
              </m:sub>
            </m:sSub>
          </m:den>
        </m:f>
        <m:r>
          <w:rPr>
            <w:rFonts w:ascii="Cambria Math" w:hAnsi="Cambria Math"/>
            <w:lang w:val="en-CA"/>
          </w:rPr>
          <m:t>=</m:t>
        </m:r>
        <m:sSub>
          <m:sSubPr>
            <m:ctrlPr>
              <w:rPr>
                <w:rFonts w:ascii="Cambria Math" w:hAnsi="Cambria Math" w:cs="Times"/>
                <w:i/>
                <w:lang w:val="en-CA" w:eastAsia="ja-JP"/>
              </w:rPr>
            </m:ctrlPr>
          </m:sSubPr>
          <m:e>
            <m:r>
              <w:rPr>
                <w:rFonts w:ascii="Cambria Math" w:hAnsi="Cambria Math" w:cs="Times"/>
                <w:lang w:val="en-CA" w:eastAsia="ja-JP"/>
              </w:rPr>
              <m:t>c</m:t>
            </m:r>
          </m:e>
          <m:sub>
            <m:r>
              <w:rPr>
                <w:rFonts w:ascii="Cambria Math" w:hAnsi="Cambria Math" w:cs="Times"/>
                <w:lang w:val="en-CA" w:eastAsia="ja-JP"/>
              </w:rPr>
              <m:t>W</m:t>
            </m:r>
          </m:sub>
        </m:sSub>
        <m:r>
          <w:rPr>
            <w:rFonts w:ascii="Cambria Math" w:hAnsi="Cambria Math" w:cs="Times"/>
            <w:lang w:val="en-CA" w:eastAsia="ja-JP"/>
          </w:rPr>
          <m:t xml:space="preserve"> (</m:t>
        </m:r>
        <m:r>
          <m:rPr>
            <m:sty m:val="p"/>
          </m:rPr>
          <w:rPr>
            <w:rFonts w:ascii="Cambria Math" w:hAnsi="Cambria Math" w:cs="Times"/>
            <w:lang w:val="en-CA" w:eastAsia="ja-JP"/>
          </w:rPr>
          <m:t>Δ</m:t>
        </m:r>
        <m:sSub>
          <m:sSubPr>
            <m:ctrlPr>
              <w:rPr>
                <w:rFonts w:ascii="Cambria Math" w:hAnsi="Cambria Math" w:cs="Times"/>
                <w:bCs/>
                <w:i/>
                <w:lang w:val="en-CA" w:eastAsia="ja-JP"/>
              </w:rPr>
            </m:ctrlPr>
          </m:sSubPr>
          <m:e>
            <m:r>
              <w:rPr>
                <w:rFonts w:ascii="Cambria Math" w:hAnsi="Cambria Math" w:cs="Times"/>
                <w:lang w:val="en-CA" w:eastAsia="ja-JP"/>
              </w:rPr>
              <m:t>G</m:t>
            </m:r>
          </m:e>
          <m:sub>
            <m:r>
              <w:rPr>
                <w:rFonts w:ascii="Cambria Math" w:hAnsi="Cambria Math" w:cs="Times"/>
                <w:lang w:val="en-CA" w:eastAsia="ja-JP"/>
              </w:rPr>
              <m:t>PW</m:t>
            </m:r>
          </m:sub>
        </m:sSub>
        <m:r>
          <w:rPr>
            <w:rFonts w:ascii="Cambria Math" w:hAnsi="Cambria Math" w:cs="Times"/>
            <w:lang w:val="en-CA" w:eastAsia="ja-JP"/>
          </w:rPr>
          <m:t>-</m:t>
        </m:r>
        <m:r>
          <m:rPr>
            <m:sty m:val="p"/>
          </m:rPr>
          <w:rPr>
            <w:rFonts w:ascii="Cambria Math" w:hAnsi="Cambria Math" w:cs="Times"/>
            <w:lang w:val="en-CA" w:eastAsia="ja-JP"/>
          </w:rPr>
          <m:t>Δ</m:t>
        </m:r>
        <m:sSub>
          <m:sSubPr>
            <m:ctrlPr>
              <w:rPr>
                <w:rFonts w:ascii="Cambria Math" w:hAnsi="Cambria Math" w:cs="Times"/>
                <w:i/>
                <w:lang w:val="en-CA" w:eastAsia="ja-JP"/>
              </w:rPr>
            </m:ctrlPr>
          </m:sSubPr>
          <m:e>
            <m:r>
              <w:rPr>
                <w:rFonts w:ascii="Cambria Math" w:hAnsi="Cambria Math" w:cs="Times"/>
                <w:lang w:val="en-CA" w:eastAsia="ja-JP"/>
              </w:rPr>
              <m:t>G</m:t>
            </m:r>
          </m:e>
          <m:sub>
            <m:r>
              <w:rPr>
                <w:rFonts w:ascii="Cambria Math" w:hAnsi="Cambria Math" w:cs="Times"/>
                <w:lang w:val="en-CA" w:eastAsia="ja-JP"/>
              </w:rPr>
              <m:t>PF</m:t>
            </m:r>
          </m:sub>
        </m:sSub>
        <m:r>
          <w:rPr>
            <w:rFonts w:ascii="Cambria Math" w:hAnsi="Cambria Math" w:cs="Times"/>
            <w:lang w:val="en-CA" w:eastAsia="ja-JP"/>
          </w:rPr>
          <m:t xml:space="preserve"> )</m:t>
        </m:r>
      </m:oMath>
      <w:r w:rsidRPr="00D039E9">
        <w:rPr>
          <w:lang w:val="en-CA" w:eastAsia="ja-JP"/>
        </w:rPr>
        <w:tab/>
      </w:r>
      <w:r w:rsidRPr="00D039E9">
        <w:rPr>
          <w:lang w:val="en-CA" w:eastAsia="ja-JP"/>
        </w:rPr>
        <w:tab/>
      </w:r>
      <w:r w:rsidRPr="00D039E9">
        <w:rPr>
          <w:lang w:val="en-CA" w:eastAsia="ja-JP"/>
        </w:rPr>
        <w:tab/>
      </w:r>
      <w:r w:rsidRPr="00D039E9">
        <w:rPr>
          <w:lang w:val="en-CA" w:eastAsia="ja-JP"/>
        </w:rPr>
        <w:tab/>
      </w:r>
      <w:r w:rsidRPr="00D039E9">
        <w:rPr>
          <w:lang w:val="en-CA" w:eastAsia="ja-JP"/>
        </w:rPr>
        <w:tab/>
      </w:r>
      <w:r w:rsidRPr="00D039E9">
        <w:rPr>
          <w:lang w:val="en-CA" w:eastAsia="ja-JP"/>
        </w:rPr>
        <w:tab/>
      </w:r>
      <w:r w:rsidRPr="00D039E9">
        <w:rPr>
          <w:lang w:val="en-CA" w:eastAsia="ja-JP"/>
        </w:rPr>
        <w:tab/>
      </w:r>
      <w:r w:rsidR="001E7FBA" w:rsidRPr="00D039E9">
        <w:rPr>
          <w:lang w:val="en-CA"/>
        </w:rPr>
        <w:t>(12</w:t>
      </w:r>
      <w:r w:rsidRPr="00D039E9">
        <w:rPr>
          <w:lang w:val="en-CA"/>
        </w:rPr>
        <w:t>)</w:t>
      </w:r>
    </w:p>
    <w:p w14:paraId="6FF903B7" w14:textId="2B2696D5" w:rsidR="003872DB" w:rsidRPr="00D039E9" w:rsidRDefault="000E5B3F" w:rsidP="003872DB">
      <w:pPr>
        <w:pStyle w:val="TAMainText"/>
        <w:rPr>
          <w:lang w:val="en-CA"/>
        </w:rPr>
      </w:pPr>
      <m:oMath>
        <m:f>
          <m:fPr>
            <m:ctrlPr>
              <w:rPr>
                <w:rFonts w:ascii="Cambria Math" w:hAnsi="Cambria Math"/>
                <w:i/>
                <w:lang w:val="en-CA"/>
              </w:rPr>
            </m:ctrlPr>
          </m:fPr>
          <m:num>
            <m:r>
              <m:rPr>
                <m:sty m:val="p"/>
              </m:rPr>
              <w:rPr>
                <w:rFonts w:ascii="Cambria Math" w:hAnsi="Cambria Math"/>
                <w:lang w:val="en-CA"/>
              </w:rPr>
              <m:t>Δ</m:t>
            </m:r>
            <m:sSub>
              <m:sSubPr>
                <m:ctrlPr>
                  <w:rPr>
                    <w:rFonts w:ascii="Cambria Math" w:hAnsi="Cambria Math"/>
                    <w:i/>
                    <w:lang w:val="en-CA"/>
                  </w:rPr>
                </m:ctrlPr>
              </m:sSubPr>
              <m:e>
                <m:r>
                  <w:rPr>
                    <w:rFonts w:ascii="Cambria Math" w:hAnsi="Cambria Math"/>
                    <w:lang w:val="en-CA" w:eastAsia="ja-JP"/>
                  </w:rPr>
                  <m:t>H</m:t>
                </m:r>
              </m:e>
              <m:sub>
                <m:r>
                  <w:rPr>
                    <w:rFonts w:ascii="Cambria Math" w:hAnsi="Cambria Math"/>
                    <w:lang w:val="en-CA" w:eastAsia="ja-JP"/>
                  </w:rPr>
                  <m:t>g→s</m:t>
                </m:r>
              </m:sub>
            </m:sSub>
          </m:num>
          <m:den>
            <m:r>
              <w:rPr>
                <w:rFonts w:ascii="Cambria Math" w:hAnsi="Cambria Math"/>
                <w:lang w:val="en-CA"/>
              </w:rPr>
              <m:t>R</m:t>
            </m:r>
            <m:sSup>
              <m:sSupPr>
                <m:ctrlPr>
                  <w:rPr>
                    <w:rFonts w:ascii="Cambria Math" w:hAnsi="Cambria Math"/>
                    <w:i/>
                    <w:lang w:val="en-CA"/>
                  </w:rPr>
                </m:ctrlPr>
              </m:sSupPr>
              <m:e>
                <m:r>
                  <w:rPr>
                    <w:rFonts w:ascii="Cambria Math" w:hAnsi="Cambria Math"/>
                    <w:lang w:val="en-CA"/>
                  </w:rPr>
                  <m:t>T</m:t>
                </m:r>
              </m:e>
              <m:sup>
                <m:r>
                  <w:rPr>
                    <w:rFonts w:ascii="Cambria Math" w:hAnsi="Cambria Math"/>
                    <w:lang w:val="en-CA"/>
                  </w:rPr>
                  <m:t>2</m:t>
                </m:r>
              </m:sup>
            </m:sSup>
          </m:den>
        </m:f>
        <m:f>
          <m:fPr>
            <m:ctrlPr>
              <w:rPr>
                <w:rFonts w:ascii="Cambria Math" w:hAnsi="Cambria Math"/>
                <w:i/>
                <w:lang w:val="en-CA"/>
              </w:rPr>
            </m:ctrlPr>
          </m:fPr>
          <m:num>
            <m:r>
              <w:rPr>
                <w:rFonts w:ascii="Cambria Math" w:hAnsi="Cambria Math"/>
                <w:lang w:val="en-CA" w:eastAsia="ja-JP"/>
              </w:rPr>
              <m:t>δ</m:t>
            </m:r>
            <m:sSub>
              <m:sSubPr>
                <m:ctrlPr>
                  <w:rPr>
                    <w:rFonts w:ascii="Cambria Math" w:hAnsi="Cambria Math"/>
                    <w:i/>
                    <w:lang w:val="en-CA"/>
                  </w:rPr>
                </m:ctrlPr>
              </m:sSubPr>
              <m:e>
                <m:r>
                  <w:rPr>
                    <w:rFonts w:ascii="Cambria Math" w:hAnsi="Cambria Math"/>
                    <w:lang w:val="en-CA" w:eastAsia="ja-JP"/>
                  </w:rPr>
                  <m:t>T</m:t>
                </m:r>
              </m:e>
              <m:sub>
                <m:r>
                  <w:rPr>
                    <w:rFonts w:ascii="Cambria Math" w:hAnsi="Cambria Math"/>
                    <w:lang w:val="en-CA" w:eastAsia="ja-JP"/>
                  </w:rPr>
                  <m:t>g→s</m:t>
                </m:r>
              </m:sub>
            </m:sSub>
          </m:num>
          <m:den>
            <m:r>
              <w:rPr>
                <w:rFonts w:ascii="Cambria Math" w:hAnsi="Cambria Math"/>
                <w:lang w:val="en-CA" w:eastAsia="ja-JP"/>
              </w:rPr>
              <m:t>δ</m:t>
            </m:r>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F</m:t>
                </m:r>
              </m:sub>
            </m:sSub>
          </m:den>
        </m:f>
        <m:r>
          <w:rPr>
            <w:rFonts w:ascii="Cambria Math" w:hAnsi="Cambria Math" w:cs="Times"/>
            <w:lang w:val="en-CA" w:eastAsia="ja-JP"/>
          </w:rPr>
          <m:t xml:space="preserve">= </m:t>
        </m:r>
        <m:r>
          <m:rPr>
            <m:sty m:val="p"/>
          </m:rPr>
          <w:rPr>
            <w:rFonts w:ascii="Cambria Math" w:hAnsi="Cambria Math" w:cs="Times"/>
            <w:lang w:val="en-CA" w:eastAsia="ja-JP"/>
          </w:rPr>
          <m:t>Δ</m:t>
        </m:r>
        <m:sSub>
          <m:sSubPr>
            <m:ctrlPr>
              <w:rPr>
                <w:rFonts w:ascii="Cambria Math" w:hAnsi="Cambria Math" w:cs="Times"/>
                <w:bCs/>
                <w:i/>
                <w:lang w:val="en-CA" w:eastAsia="ja-JP"/>
              </w:rPr>
            </m:ctrlPr>
          </m:sSubPr>
          <m:e>
            <m:r>
              <w:rPr>
                <w:rFonts w:ascii="Cambria Math" w:hAnsi="Cambria Math" w:cs="Times"/>
                <w:lang w:val="en-CA" w:eastAsia="ja-JP"/>
              </w:rPr>
              <m:t>G</m:t>
            </m:r>
          </m:e>
          <m:sub>
            <m:r>
              <w:rPr>
                <w:rFonts w:ascii="Cambria Math" w:hAnsi="Cambria Math" w:cs="Times"/>
                <w:lang w:val="en-CA" w:eastAsia="ja-JP"/>
              </w:rPr>
              <m:t>PW</m:t>
            </m:r>
          </m:sub>
        </m:sSub>
        <m:r>
          <w:rPr>
            <w:rFonts w:ascii="Cambria Math" w:hAnsi="Cambria Math" w:cs="Times"/>
            <w:lang w:val="en-CA" w:eastAsia="ja-JP"/>
          </w:rPr>
          <m:t>-</m:t>
        </m:r>
        <m:r>
          <m:rPr>
            <m:sty m:val="p"/>
          </m:rPr>
          <w:rPr>
            <w:rFonts w:ascii="Cambria Math" w:hAnsi="Cambria Math" w:cs="Times"/>
            <w:lang w:val="en-CA" w:eastAsia="ja-JP"/>
          </w:rPr>
          <m:t>Δ</m:t>
        </m:r>
        <m:sSub>
          <m:sSubPr>
            <m:ctrlPr>
              <w:rPr>
                <w:rFonts w:ascii="Cambria Math" w:hAnsi="Cambria Math" w:cs="Times"/>
                <w:i/>
                <w:lang w:val="en-CA" w:eastAsia="ja-JP"/>
              </w:rPr>
            </m:ctrlPr>
          </m:sSubPr>
          <m:e>
            <m:r>
              <w:rPr>
                <w:rFonts w:ascii="Cambria Math" w:hAnsi="Cambria Math" w:cs="Times"/>
                <w:lang w:val="en-CA" w:eastAsia="ja-JP"/>
              </w:rPr>
              <m:t>G</m:t>
            </m:r>
          </m:e>
          <m:sub>
            <m:r>
              <w:rPr>
                <w:rFonts w:ascii="Cambria Math" w:hAnsi="Cambria Math" w:cs="Times"/>
                <w:lang w:val="en-CA" w:eastAsia="ja-JP"/>
              </w:rPr>
              <m:t>PF</m:t>
            </m:r>
          </m:sub>
        </m:sSub>
        <m:r>
          <w:rPr>
            <w:rFonts w:ascii="Cambria Math" w:hAnsi="Cambria Math" w:cs="Times"/>
            <w:lang w:val="en-CA" w:eastAsia="ja-JP"/>
          </w:rPr>
          <m:t xml:space="preserve"> </m:t>
        </m:r>
      </m:oMath>
      <w:r w:rsidR="003872DB" w:rsidRPr="00D039E9">
        <w:rPr>
          <w:lang w:val="en-CA" w:eastAsia="ja-JP"/>
        </w:rPr>
        <w:tab/>
      </w:r>
      <w:r w:rsidR="003872DB" w:rsidRPr="00D039E9">
        <w:rPr>
          <w:lang w:val="en-CA" w:eastAsia="ja-JP"/>
        </w:rPr>
        <w:tab/>
      </w:r>
      <w:r w:rsidR="003872DB" w:rsidRPr="00D039E9">
        <w:rPr>
          <w:lang w:val="en-CA" w:eastAsia="ja-JP"/>
        </w:rPr>
        <w:tab/>
      </w:r>
      <w:r w:rsidR="003872DB" w:rsidRPr="00D039E9">
        <w:rPr>
          <w:lang w:val="en-CA" w:eastAsia="ja-JP"/>
        </w:rPr>
        <w:tab/>
      </w:r>
      <w:r w:rsidR="003872DB" w:rsidRPr="00D039E9">
        <w:rPr>
          <w:lang w:val="en-CA" w:eastAsia="ja-JP"/>
        </w:rPr>
        <w:tab/>
      </w:r>
      <w:r w:rsidR="003872DB" w:rsidRPr="00D039E9">
        <w:rPr>
          <w:lang w:val="en-CA" w:eastAsia="ja-JP"/>
        </w:rPr>
        <w:tab/>
      </w:r>
      <w:r w:rsidR="003872DB" w:rsidRPr="00D039E9">
        <w:rPr>
          <w:lang w:val="en-CA" w:eastAsia="ja-JP"/>
        </w:rPr>
        <w:tab/>
      </w:r>
      <w:r w:rsidR="003872DB" w:rsidRPr="00D039E9">
        <w:rPr>
          <w:lang w:val="en-CA" w:eastAsia="ja-JP"/>
        </w:rPr>
        <w:tab/>
      </w:r>
      <w:r w:rsidR="001E7FBA" w:rsidRPr="00D039E9">
        <w:rPr>
          <w:lang w:val="en-CA"/>
        </w:rPr>
        <w:t>(13</w:t>
      </w:r>
      <w:r w:rsidR="003872DB" w:rsidRPr="00D039E9">
        <w:rPr>
          <w:lang w:val="en-CA"/>
        </w:rPr>
        <w:t>)</w:t>
      </w:r>
    </w:p>
    <w:p w14:paraId="3F106483" w14:textId="2028674F" w:rsidR="003872DB" w:rsidRPr="00D039E9" w:rsidRDefault="00FC54A2" w:rsidP="003872DB">
      <w:pPr>
        <w:pStyle w:val="TAMainText"/>
        <w:ind w:firstLine="0"/>
        <w:rPr>
          <w:rFonts w:cs="Times"/>
          <w:lang w:val="en-CA"/>
        </w:rPr>
      </w:pPr>
      <w:r w:rsidRPr="00D039E9">
        <w:rPr>
          <w:rFonts w:cs="Times"/>
          <w:lang w:val="en-CA"/>
        </w:rPr>
        <w:t>where</w:t>
      </w:r>
      <w:r w:rsidR="006058ED" w:rsidRPr="00D039E9">
        <w:rPr>
          <w:rFonts w:cs="Times"/>
          <w:lang w:val="en-CA"/>
        </w:rPr>
        <w:t xml:space="preserve"> </w:t>
      </w:r>
      <m:oMath>
        <m:r>
          <m:rPr>
            <m:sty m:val="p"/>
          </m:rPr>
          <w:rPr>
            <w:rFonts w:ascii="Cambria Math" w:hAnsi="Cambria Math"/>
            <w:lang w:val="en-CA"/>
          </w:rPr>
          <m:t>Δ</m:t>
        </m:r>
        <m:sSub>
          <m:sSubPr>
            <m:ctrlPr>
              <w:rPr>
                <w:rFonts w:ascii="Cambria Math" w:hAnsi="Cambria Math"/>
                <w:i/>
                <w:lang w:val="en-CA"/>
              </w:rPr>
            </m:ctrlPr>
          </m:sSubPr>
          <m:e>
            <m:r>
              <w:rPr>
                <w:rFonts w:ascii="Cambria Math" w:hAnsi="Cambria Math"/>
                <w:lang w:val="en-CA" w:eastAsia="ja-JP"/>
              </w:rPr>
              <m:t>H</m:t>
            </m:r>
          </m:e>
          <m:sub>
            <m:r>
              <w:rPr>
                <w:rFonts w:ascii="Cambria Math" w:hAnsi="Cambria Math"/>
                <w:lang w:val="en-CA" w:eastAsia="ja-JP"/>
              </w:rPr>
              <m:t>g→s</m:t>
            </m:r>
          </m:sub>
        </m:sSub>
      </m:oMath>
      <w:r w:rsidR="006058ED" w:rsidRPr="00D039E9">
        <w:rPr>
          <w:rFonts w:cs="Times"/>
          <w:lang w:val="en-CA"/>
        </w:rPr>
        <w:t xml:space="preserve"> is the enthalpy change accompanying the denaturation or gel melting. </w:t>
      </w:r>
    </w:p>
    <w:p w14:paraId="1D1752C7" w14:textId="77777777" w:rsidR="00FC54A2" w:rsidRPr="00D039E9" w:rsidRDefault="00FC54A2" w:rsidP="003872DB">
      <w:pPr>
        <w:pStyle w:val="TAMainText"/>
        <w:ind w:firstLine="0"/>
        <w:rPr>
          <w:rFonts w:cs="Times"/>
          <w:b/>
          <w:lang w:val="en-CA"/>
        </w:rPr>
      </w:pPr>
    </w:p>
    <w:p w14:paraId="72ECD81E" w14:textId="49F1CC1C" w:rsidR="003872DB" w:rsidRPr="00D039E9" w:rsidRDefault="00131D60" w:rsidP="003872DB">
      <w:pPr>
        <w:pStyle w:val="TAMainText"/>
        <w:ind w:firstLine="0"/>
        <w:rPr>
          <w:rFonts w:cs="Times"/>
          <w:b/>
          <w:lang w:val="en-CA"/>
        </w:rPr>
      </w:pPr>
      <w:r w:rsidRPr="00D039E9">
        <w:rPr>
          <w:rFonts w:cs="Times"/>
          <w:b/>
          <w:lang w:val="en-CA"/>
        </w:rPr>
        <w:t>5</w:t>
      </w:r>
      <w:r w:rsidR="003872DB" w:rsidRPr="00D039E9">
        <w:rPr>
          <w:rFonts w:cs="Times"/>
          <w:b/>
          <w:lang w:val="en-CA"/>
        </w:rPr>
        <w:t>.2. Practice</w:t>
      </w:r>
    </w:p>
    <w:p w14:paraId="032BF1A3" w14:textId="77777777" w:rsidR="003872DB" w:rsidRPr="00D039E9" w:rsidRDefault="003872DB" w:rsidP="003872DB">
      <w:pPr>
        <w:pStyle w:val="TAMainText"/>
        <w:ind w:firstLine="0"/>
        <w:rPr>
          <w:rFonts w:cs="Times"/>
          <w:lang w:val="en-CA"/>
        </w:rPr>
      </w:pPr>
    </w:p>
    <w:p w14:paraId="47E19BB5" w14:textId="01B0F16B" w:rsidR="003872DB" w:rsidRPr="00D039E9" w:rsidRDefault="00764924" w:rsidP="003872DB">
      <w:pPr>
        <w:pStyle w:val="TAMainText"/>
        <w:ind w:firstLine="0"/>
        <w:rPr>
          <w:rFonts w:cs="Times"/>
          <w:lang w:val="en-CA"/>
        </w:rPr>
      </w:pPr>
      <w:r w:rsidRPr="00D039E9">
        <w:rPr>
          <w:rFonts w:cs="Times"/>
          <w:lang w:val="en-CA"/>
        </w:rPr>
        <w:t xml:space="preserve">How the gel melting or </w:t>
      </w:r>
      <w:r w:rsidR="003872DB" w:rsidRPr="00D039E9">
        <w:rPr>
          <w:rFonts w:cs="Times"/>
          <w:lang w:val="en-CA"/>
        </w:rPr>
        <w:t xml:space="preserve">denaturation temperature depends on water activity, in combination with the enthalpy of melting/denaturation yields </w:t>
      </w:r>
      <m:oMath>
        <m:r>
          <m:rPr>
            <m:sty m:val="p"/>
          </m:rPr>
          <w:rPr>
            <w:rFonts w:ascii="Cambria Math" w:hAnsi="Cambria Math" w:cs="Times"/>
            <w:lang w:val="en-CA" w:eastAsia="ja-JP"/>
          </w:rPr>
          <m:t>Δ</m:t>
        </m:r>
        <m:sSub>
          <m:sSubPr>
            <m:ctrlPr>
              <w:rPr>
                <w:rFonts w:ascii="Cambria Math" w:hAnsi="Cambria Math" w:cs="Times"/>
                <w:bCs/>
                <w:i/>
                <w:lang w:val="en-CA" w:eastAsia="ja-JP"/>
              </w:rPr>
            </m:ctrlPr>
          </m:sSubPr>
          <m:e>
            <m:r>
              <w:rPr>
                <w:rFonts w:ascii="Cambria Math" w:hAnsi="Cambria Math" w:cs="Times"/>
                <w:lang w:val="en-CA" w:eastAsia="ja-JP"/>
              </w:rPr>
              <m:t>G</m:t>
            </m:r>
          </m:e>
          <m:sub>
            <m:r>
              <w:rPr>
                <w:rFonts w:ascii="Cambria Math" w:hAnsi="Cambria Math" w:cs="Times"/>
                <w:lang w:val="en-CA" w:eastAsia="ja-JP"/>
              </w:rPr>
              <m:t>PW</m:t>
            </m:r>
          </m:sub>
        </m:sSub>
        <m:r>
          <w:rPr>
            <w:rFonts w:ascii="Cambria Math" w:hAnsi="Cambria Math" w:cs="Times"/>
            <w:lang w:val="en-CA" w:eastAsia="ja-JP"/>
          </w:rPr>
          <m:t>-</m:t>
        </m:r>
        <m:r>
          <m:rPr>
            <m:sty m:val="p"/>
          </m:rPr>
          <w:rPr>
            <w:rFonts w:ascii="Cambria Math" w:hAnsi="Cambria Math" w:cs="Times"/>
            <w:lang w:val="en-CA" w:eastAsia="ja-JP"/>
          </w:rPr>
          <m:t>Δ</m:t>
        </m:r>
        <m:sSub>
          <m:sSubPr>
            <m:ctrlPr>
              <w:rPr>
                <w:rFonts w:ascii="Cambria Math" w:hAnsi="Cambria Math" w:cs="Times"/>
                <w:i/>
                <w:lang w:val="en-CA" w:eastAsia="ja-JP"/>
              </w:rPr>
            </m:ctrlPr>
          </m:sSubPr>
          <m:e>
            <m:r>
              <w:rPr>
                <w:rFonts w:ascii="Cambria Math" w:hAnsi="Cambria Math" w:cs="Times"/>
                <w:lang w:val="en-CA" w:eastAsia="ja-JP"/>
              </w:rPr>
              <m:t>G</m:t>
            </m:r>
          </m:e>
          <m:sub>
            <m:r>
              <w:rPr>
                <w:rFonts w:ascii="Cambria Math" w:hAnsi="Cambria Math" w:cs="Times"/>
                <w:lang w:val="en-CA" w:eastAsia="ja-JP"/>
              </w:rPr>
              <m:t>PF</m:t>
            </m:r>
          </m:sub>
        </m:sSub>
      </m:oMath>
      <w:r w:rsidR="001E7FBA" w:rsidRPr="00D039E9">
        <w:rPr>
          <w:rFonts w:cs="Times"/>
          <w:lang w:val="en-CA" w:eastAsia="ja-JP"/>
        </w:rPr>
        <w:t xml:space="preserve"> via Eq. (12</w:t>
      </w:r>
      <w:r w:rsidR="003872DB" w:rsidRPr="00D039E9">
        <w:rPr>
          <w:rFonts w:cs="Times"/>
          <w:lang w:val="en-CA" w:eastAsia="ja-JP"/>
        </w:rPr>
        <w:t>). The analysis is simplified drastically when the flavour molecules are dilute, which is generally</w:t>
      </w:r>
      <w:r w:rsidR="00F157F4" w:rsidRPr="00D039E9">
        <w:rPr>
          <w:rFonts w:cs="Times"/>
          <w:lang w:val="en-CA" w:eastAsia="ja-JP"/>
        </w:rPr>
        <w:t xml:space="preserve"> the case.</w:t>
      </w:r>
      <w:r w:rsidR="003A3149" w:rsidRPr="00D039E9">
        <w:rPr>
          <w:rFonts w:cs="Times"/>
          <w:lang w:val="en-CA"/>
        </w:rPr>
        <w:fldChar w:fldCharType="begin" w:fldLock="1"/>
      </w:r>
      <w:r w:rsidR="003E67FA" w:rsidRPr="00D039E9">
        <w:rPr>
          <w:rFonts w:cs="Times"/>
          <w:lang w:val="en-CA"/>
        </w:rPr>
        <w:instrText>ADDIN CSL_CITATION { "citationItems" : [ { "id" : "ITEM-1", "itemData" : { "DOI" : "10.1016/j.cplett.2011.08.038", "ISSN" : "00092614", "abstract" : "Various cosolvents are known to modulate the thermal stability of the proteins. To understand its molecular origin, a statistical thermodynamic analysis, based upon the Kirkwood-Buff (KB) theory, has been performed to obtain information regarding the accumulation or depletion of solvent molecules around proteins, based upon published experimental data. The analysis shows the dominant importance of cosolvent's accumulation or depletion around the proteins, whereas the role of protein hydration is minor. ?? 2011 Elsevier B.V. All rights reserved.", "author" : [ { "dropping-particle" : "", "family" : "Shimizu", "given" : "Seishi", "non-dropping-particle" : "", "parse-names" : false, "suffix" : "" } ], "container-title" : "Chemical Physics Letters", "id" : "ITEM-1", "issue" : "1-3", "issued" : { "date-parts" : [ [ "2011" ] ] }, "page" : "156-158", "publisher" : "Elsevier B.V.", "title" : "Molecular origin of the cosolvent-induced changes in the thermal stability of proteins", "type" : "article-journal", "volume" : "514" }, "uris" : [ "http://www.mendeley.com/documents/?uuid=f72a9936-cbbc-4fe0-8a8f-d5f1c1425260" ] }, { "id" : "ITEM-2", "itemData" : { "DOI" : "10.1021/jp509099h", "ISSN" : "15205207", "PMID" : "25375260", "abstract" : "Gelation is enhanced by the addition of sugars and polyols. How, at a microscopic level, do such cosolvents enhance gelation? The following two different hypotheses have been proposed so far to answer this question: (i) enhancement of water structure around the biopolymer induced by cosolvents; (ii) exclusion of cosolvents from biopolymer surfaces. To examine the validity of the above hypotheses, as well as to quantify the driving forces of cosolvent-induced gelation, we have constructed a statistical thermodynamic theory of gelation, by extending our Kirkwood-Buff theory of cosolvency; biopolymer-water and biopolymer-cosolvent interactions can both be determined from thermodynamic data. The exclusion of cosolvents is shown to be the dominant contribution, whereas the hydration change is a minor contribution, which may be important only so far as to mediate the exclusion of cosolvents.", "author" : [ { "dropping-particle" : "", "family" : "Shimizu", "given" : "Seishi", "non-dropping-particle" : "", "parse-names" : false, "suffix" : "" }, { "dropping-particle" : "", "family" : "Matubayasi", "given" : "Nobuyuki", "non-dropping-particle" : "", "parse-names" : false, "suffix" : "" } ], "container-title" : "Journal of Physical Chemistry B", "id" : "ITEM-2", "issue" : "46", "issued" : { "date-parts" : [ [ "2014" ] ] }, "page" : "13210-13216", "title" : "Gelation: The role of sugars and polyols on gelatin and agarose", "type" : "article-journal", "volume" : "118" }, "uris" : [ "http://www.mendeley.com/documents/?uuid=3f487fe1-7c16-485b-971c-d2e69e2da704" ] }, { "id" : "ITEM-3", "itemData" : { "DOI" : "10.1016/j.foodhyd.2015.10.007", "ISSN" : "0268005X", "abstract" : "The gelation of ??-carrageenan, a common polysaccharide for food gelling and thickening, is enhanced by the addition of sugars and polyols. Three different hypotheses have been proposed to explain this phenomenon: (i) the enhancement of the water structure around polysaccharides, and the concurrent change in polysaccharide hydration, induced by the cosolvent; (ii) exclusion of cosolvents from polysaccharide surfaces; (iii) binding between sugars/polyols and polysaccharides in the gel phase. To examine the above hypotheses, as well as to reveal the true driving forces responsible for gelation enhancement, we applied our recent statistical thermodynamic theory of gelation, derived from the rigorous Kirkwood-Buff theory. The hydration change is shown to be negligibly small relative to cosolvent exclusion and cosolvent-biopolymer binding, which can be rationalized by considering a sol-gel equilibrium in which (1) the exclusion of sugars/polyols from ??-carrageenan's surface in the sol phase, and (2) the binding of sugars and polyols in the gel phase, shift the sol-gel equilibrium of ??-carrageenan to the gel state. This novel picture is consistent with a wealth of experimental evidence and provides a mechanistic insight into how polyol and sugar cosolvents influence the gelation of ??-carrageenan on a molecular level.", "author" : [ { "dropping-particle" : "", "family" : "Stenner", "given" : "Richard", "non-dropping-particle" : "", "parse-names" : false, "suffix" : "" }, { "dropping-particle" : "", "family" : "Matubayasi", "given" : "Nobuyuki", "non-dropping-particle" : "", "parse-names" : false, "suffix" : "" }, { "dropping-particle" : "", "family" : "Shimizu", "given" : "Seishi", "non-dropping-particle" : "", "parse-names" : false, "suffix" : "" } ], "container-title" : "Food Hydrocolloids", "id" : "ITEM-3", "issued" : { "date-parts" : [ [ "2016" ] ] }, "page" : "284-292", "publisher" : "Elsevier Ltd", "title" : "Gelation of carrageenan: Effects of sugars and polyols", "type" : "article-journal", "volume" : "54" }, "uris" : [ "http://www.mendeley.com/documents/?uuid=1ba0dc87-aef9-4f66-a843-a82ff360fd80" ] }, { "id" : "ITEM-4",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"ITEM-4",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"mendeley" : { "formattedCitation" : "&lt;sup&gt;14,19,21,22&lt;/sup&gt;", "plainTextFormattedCitation" : "14,19,21,22", "previouslyFormattedCitation" : "&lt;sup&gt;14,19,21,22&lt;/sup&gt;" }, "properties" : { "noteIndex" : 0 }, "schema" : "https://github.com/citation-style-language/schema/raw/master/csl-citation.json" }</w:instrText>
      </w:r>
      <w:r w:rsidR="003A3149" w:rsidRPr="00D039E9">
        <w:rPr>
          <w:rFonts w:cs="Times"/>
          <w:lang w:val="en-CA"/>
        </w:rPr>
        <w:fldChar w:fldCharType="separate"/>
      </w:r>
      <w:r w:rsidR="003E67FA" w:rsidRPr="00D039E9">
        <w:rPr>
          <w:rFonts w:cs="Times"/>
          <w:noProof/>
          <w:vertAlign w:val="superscript"/>
          <w:lang w:val="en-CA"/>
        </w:rPr>
        <w:t>14,19,21,22</w:t>
      </w:r>
      <w:r w:rsidR="003A3149" w:rsidRPr="00D039E9">
        <w:rPr>
          <w:rFonts w:cs="Times"/>
          <w:lang w:val="en-CA"/>
        </w:rPr>
        <w:fldChar w:fldCharType="end"/>
      </w:r>
      <w:r w:rsidR="003A3149" w:rsidRPr="00D039E9">
        <w:rPr>
          <w:rFonts w:cs="Times"/>
          <w:lang w:val="en-CA"/>
        </w:rPr>
        <w:t xml:space="preserve"> </w:t>
      </w:r>
      <w:r w:rsidR="00F157F4" w:rsidRPr="00D039E9">
        <w:rPr>
          <w:rFonts w:cs="Times"/>
          <w:lang w:val="en-CA" w:eastAsia="ja-JP"/>
        </w:rPr>
        <w:t>In th</w:t>
      </w:r>
      <w:r w:rsidR="003B6A27" w:rsidRPr="00D039E9">
        <w:rPr>
          <w:rFonts w:cs="Times"/>
          <w:lang w:val="en-CA" w:eastAsia="ja-JP"/>
        </w:rPr>
        <w:t>ese circumstances</w:t>
      </w:r>
      <w:r w:rsidR="001E7FBA" w:rsidRPr="00D039E9">
        <w:rPr>
          <w:rFonts w:cs="Times"/>
          <w:lang w:val="en-CA" w:eastAsia="ja-JP"/>
        </w:rPr>
        <w:t>, Eq. (13</w:t>
      </w:r>
      <w:r w:rsidR="003872DB" w:rsidRPr="00D039E9">
        <w:rPr>
          <w:rFonts w:cs="Times"/>
          <w:lang w:val="en-CA" w:eastAsia="ja-JP"/>
        </w:rPr>
        <w:t>) can be used, which shows that measuring the flavour concentration dependence of the melting temperature is suf</w:t>
      </w:r>
      <w:r w:rsidR="00D71279" w:rsidRPr="00D039E9">
        <w:rPr>
          <w:rFonts w:cs="Times"/>
          <w:lang w:val="en-CA" w:eastAsia="ja-JP"/>
        </w:rPr>
        <w:t>ficient to yield the KBI</w:t>
      </w:r>
      <w:r w:rsidR="003872DB" w:rsidRPr="00D039E9">
        <w:rPr>
          <w:rFonts w:cs="Times"/>
          <w:lang w:val="en-CA" w:eastAsia="ja-JP"/>
        </w:rPr>
        <w:t>s, in combination with the melting</w:t>
      </w:r>
      <w:r w:rsidR="003D2F36" w:rsidRPr="00D039E9">
        <w:rPr>
          <w:rFonts w:cs="Times"/>
          <w:lang w:val="en-CA" w:eastAsia="ja-JP"/>
        </w:rPr>
        <w:t>/denaturation</w:t>
      </w:r>
      <w:r w:rsidR="003872DB" w:rsidRPr="00D039E9">
        <w:rPr>
          <w:rFonts w:cs="Times"/>
          <w:lang w:val="en-CA" w:eastAsia="ja-JP"/>
        </w:rPr>
        <w:t xml:space="preserve"> enthalpy in the absence of the flavour.</w:t>
      </w:r>
      <w:r w:rsidR="00BB3004" w:rsidRPr="00D039E9">
        <w:rPr>
          <w:rFonts w:cs="Times"/>
          <w:lang w:val="en-CA"/>
        </w:rPr>
        <w:fldChar w:fldCharType="begin" w:fldLock="1"/>
      </w:r>
      <w:r w:rsidR="00BB3004" w:rsidRPr="00D039E9">
        <w:rPr>
          <w:rFonts w:cs="Times"/>
          <w:lang w:val="en-CA"/>
        </w:rPr>
        <w:instrText>ADDIN CSL_CITATION { "citationItems" : [ { "id" : "ITEM-1", "itemData" : { "DOI" : "10.1016/S0268-005X(97)80024-0", "ISBN" : "0268-005X", "ISSN" : "0268005X", "PMID" : "73", "abstract" : "The thermodynamic incompatibility of proteins and polysaccharides is of a general nature. This phenomenon is observed under conditions which inhibit complexing between proteins and polysaccharides and promote association between macromolecules of the same type, i.e. provide self-association of biopolymers. Conditions for incompatibility are dependent on the structure and composition of a given biopolymer pair. Incompatibility decreases in the order: carboxyl-containing polysaccharides &gt; neutral polysaccharides &gt; sulphate-containing polysaccharides. Normally, linear polysaccharides are more incompatible with proteins than branched polysaccharides. The difference in hydrophilicity between proteins and polysaccharides, the so-called \u0394\u03c7-effect, is of great importance for phase equilibria in protein\u2014polysaccharide\u2014water systems and significantly affects this phenomenon. This is reflected in the marked tie slope asymmetry of the phase diagrams of mixed pro tein\u2014polysaccharide solutions.", "author" : [ { "dropping-particle" : "", "family" : "Polyakov", "given" : "V.I.", "non-dropping-particle" : "", "parse-names" : false, "suffix" : "" }, { "dropping-particle" : "", "family" : "Grinberg", "given" : "V.Ya.", "non-dropping-particle" : "", "parse-names" : false, "suffix" : "" }, { "dropping-particle" : "", "family" : "Tolstoguzov", "given" : "V.B.", "non-dropping-particle" : "", "parse-names" : false, "suffix" : "" } ], "container-title" : "Food Hydrocolloids", "id" : "ITEM-1", "issue" : "2", "issued" : { "date-parts" : [ [ "1997" ] ] }, "page" : "171-180", "title" : "Thermodynamic incompatibility of proteins", "type" : "article-journal", "volume" : "11" }, "uris" : [ "http://www.mendeley.com/documents/?uuid=98e61668-e154-4bdc-8ddb-4805986f51e2" ] }, { "id" : "ITEM-2", "itemData" : { "author" : [ { "dropping-particle" : "", "family" : "Mikheeva", "given" : "L M", "non-dropping-particle" : "", "parse-names" : false, "suffix" : "" }, { "dropping-particle" : "V", "family" : "Grinberg", "given" : "N", "non-dropping-particle" : "", "parse-names" : false, "suffix" : "" }, { "dropping-particle" : "", "family" : "Grinberg", "given" : "V Ya", "non-dropping-particle" : "", "parse-names" : false, "suffix" : "" }, { "dropping-particle" : "", "family" : "Tolstoguzov", "given" : "V B", "non-dropping-particle" : "", "parse-names" : false, "suffix" : "" } ], "container-title" : "Nahrung", "id" : "ITEM-2", "issued" : { "date-parts" : [ [ "1998" ] ] }, "page" : "185-186", "title" : "Effect of thermal denaturation on vanillin binding to some food proteins", "type" : "article-journal", "volume" : "42" }, "uris" : [ "http://www.mendeley.com/documents/?uuid=c5eab56b-aa32-4ecc-b8ab-8ab9644b35a1" ] }, { "id" : "ITEM-3", "itemData" : { "DOI" : "10.1016/S0268-005X(98)00059-9", "ISBN" : "0268-005X", "ISSN" : "0268005X", "abstract" : "The release of 2-octanone bound by bovine serum albumin (BSA)/pectin complexes in aqueous solutions was induced by shift of pH from neutral (pH 6.4) to acid (pH 4.3). The release of 2-octanone was due to BSA unfolding on the oppositely charged rigid polysaccharide matrix at pHs below BSA's isoelectric point (IEP). The amount of released and freely available flavour was estimated by the effect of 2-octanone on the conformational stability of BSA, i.e. using BSA added to 2-octanone solution as an internal molecular detector. DSC was used to study the effects of: (i) protein denaturation on flavour binding capacity, (ii) binding of flavour on conformational stability of the protein and (iii) to develop an instrumental technique to measure the flavour release.", "author" : [ { "dropping-particle" : "", "family" : "Burova", "given" : "T.V", "non-dropping-particle" : "", "parse-names" : false, "suffix" : "" }, { "dropping-particle" : "", "family" : "Grinberg", "given" : "N.V", "non-dropping-particle" : "", "parse-names" : false, "suffix" : "" }, { "dropping-particle" : "", "family" : "Golubeva", "given" : "I.a", "non-dropping-particle" : "", "parse-names" : false, "suffix" : "" }, { "dropping-particle" : "", "family" : "Mashkevich", "given" : "A.Ya", "non-dropping-particle" : "", "parse-names" : false, "suffix" : "" }, { "dropping-particle" : "", "family" : "Grinberg", "given" : "V.Ya", "non-dropping-particle" : "", "parse-names" : false, "suffix" : "" }, { "dropping-particle" : "", "family" : "Tolstoguzov", "given" : "V.B", "non-dropping-particle" : "", "parse-names" : false, "suffix" : "" } ], "container-title" : "Food Hydrocolloids", "id" : "ITEM-3", "issue" : "1", "issued" : { "date-parts" : [ [ "1999" ] ] }, "page" : "7-14", "title" : "Flavour release in model bovine serum albumin/pectin/2-octanone systems", "type" : "article-journal", "volume" : "13" }, "uris" : [ "http://www.mendeley.com/documents/?uuid=0dbd056c-fea3-46d9-9aac-b988588577f1" ] }, { "id" : "ITEM-4", "itemData" : { "DOI" : "10.1016/S0268-005X(01)00106-0", "ISBN" : "0268-005X", "ISSN" : "0268005X", "abstract" : "The effect of vanillin on thermal denaturation of ovalbumin was studied using high-sensitivity differential scanning calorimetry. At neutral and acidic (6.7 and 3.0) pH values thermal denaturation of ovalbumin depends on the heating rate and is irreversible. The experimental denaturation thermograms of ovalbumin were compared with thermograms simulated according to the Lumry-Eyring model of irreversible protein denaturation (N ??? D ??? A). It was shown that general tendencies of changes in the calorimetric parameters of ovalbumin denaturation as a function of the heating rate are in accordance with those predicted by this model. It was concluded that the heating rate could be considered as a factor shifting the denaturation equilibrium of ovalbumin (N ??? D) similarly to its shifts caused by such physicochemical factors as pH, ionic strength or ligand concentration. Both the temperature and the enthalpy of ovalbumin denaturation decrease with an increase in the vanillin concentration within the pH range from 3.0 to 9.0. This effect of vanillin binding does not depend on the heating rate. The equilibrium parameters of ovalbumin denaturation have been determined by an extrapolation procedure at different vanillin concentrations. The equilibrium denaturation parameters have been used for calculation of the excess free energy of denaturation as a function of vanillin concentration. The vanillin binding constant Kb equals 5 M-1 at pH 6.7 and 33 M-1 at pH 3.0. The denaturation increment of the numbers of binding sites is ??d?? = 20 at pH 6.7 and ??d?? = 3 at pH 3.0. Possible mechanism of the vanillin binding to ovalbumin and its applied aspects are discussed. ?? 2002 Elsevier Science Ltd. All rights reserved.", "author" : [ { "dropping-particle" : "", "family" : "Grinberg", "given" : "V. Ya", "non-dropping-particle" : "", "parse-names" : false, "suffix" : "" }, { "dropping-particle" : "V.", "family" : "Grinberg", "given" : "N.", "non-dropping-particle" : "", "parse-names" : false, "suffix" : "" }, { "dropping-particle" : "", "family" : "Mashkevich", "given" : "A. Ya", "non-dropping-particle" : "", "parse-names" : false, "suffix" : "" }, { "dropping-particle" : "V.", "family" : "Burova", "given" : "T.", "non-dropping-particle" : "", "parse-names" : false, "suffix" : "" }, { "dropping-particle" : "", "family" : "Tolstoguzov", "given" : "V. B.", "non-dropping-particle" : "", "parse-names" : false, "suffix" : "" } ], "container-title" : "Food Hydrocolloids", "id" : "ITEM-4", "issue" : "4", "issued" : { "date-parts" : [ [ "2002" ] ] }, "page" : "333-343", "title" : "Calorimetric study of interaction of ovalbumin with vanillin", "type" : "article-journal", "volume" : "16" }, "uris" : [ "http://www.mendeley.com/documents/?uuid=f8afb1a8-1f26-4c53-98af-9584e02d22a5" ] }, { "id" : "ITEM-5", "itemData" : { "DOI" : "10.1016/S0268-005X(01)00111-4", "ISBN" : "0268-005X", "ISSN" : "0268005X", "PMID" : "65", "abstract" : "Several factors underlie the thermodynamic similarity of foods. First is the common physiological storage function of most important components of food raw materials. Second is the general character of non-specific intermolecular interactions of food macromolecules. Third is the mimicry of biopolymers that underlie quite similar physico-chemical properties of biopolymer species. Molecular mimicry and molecular symbiosis affect phase behaviour and rheology of biopolymer mixtures. Molecular mimicry implies the chemical and structural similarity of hydrophilic surfaces of globular proteins with their chemical information hidden in the hydrophobic interior, and the low excluded volume of the globules. Another mimicry technique is the binding of different biopolymers into a new hybrid (e.g. conjugates) macromolecule acquiring an affinity to the macromolecular constituents as co-solutes. Molecular symbiosis means that interactions (attraction or repulsion) between biopolymer molecules greatly differing in conformation (globular and rod-like), favour the biological efficiency of one of them, at least. Thermodynamic incompatibility is typical of food macromolecules, whose denaturation, association, complexing and chemical modification reduce their mimicry and co-solubility. Biopolymer incompatibility, self-association and interbiopolymer complexing contribute to synergistic and antagonistic effects of food formulation. The thermodynamic approach is highly promising for modelling of food formulation. Food formulation aims to control interactions between proteins, polysaccharides and their interactions with other food components. Thermodynamic aspects of food digestion mechanisms and the multifunctionality of exopolysaccharides, prebiotics, storage proteins and other chyme components are considered in terms of food formulation. Normally, food and chyme are phase-separated systems. Thermodynamic similarity, which is a fundamental feature of processed food systems determines the high efficiency of empirically developed food technologies and the low sensitivity of structural and mechanical properties of the chyme to the composition of diets. ?? 2002 Elsevier Science Ltd. All rights reserved.", "author" : [ { "dropping-particle" : "", "family" : "Tolstoguzov", "given" : "Vladimir", "non-dropping-particle" : "", "parse-names" : false, "suffix" : "" } ], "container-title" : "Food Hydrocolloids", "id" : "ITEM-5", "issue" : "1", "issued" : { "date-parts" : [ [ "2003" ] ] }, "page" : "1-23", "title" : "Some thermodynamic considerations in food formulation", "type" : "article-journal", "volume" : "17" }, "uris" : [ "http://www.mendeley.com/documents/?uuid=b60143fc-92e0-49db-9551-7990ec90c02c" ] }, { "id" : "ITEM-6", "itemData" : { "DOI" : "10.1016/S0927-7757(02)00516-2", "ISSN" : "09277757", "abstract" : "The unfolding-association-refolding behaviour of proteins and their interactions with odorants are significant to the processing and flavoring of foods. Interactions of 2-octanone and vanillin (aliphatic and aromatic odorants) with individual proteins and their mixtures have been studied using: native, acid and thermally denatured bovine serum albumin (BSA), native and thermally denatured ovalbumin (OA) and bovine \u03b2-casein (BC). Equilibrium dialysis and differential scanning calorimetry methods were used to study flavor binding and flavor release in protein solutions. The binding of vanillin to native BSA exhibited two equivalent binding sites with binding constants in the order of 103 M-1 and these binding parameters were not markedly changed within the range of temperature from 25 to 63\u00b0C. The binding site number was monotonously reduced to about zero as the pH was decreased from 6.4 to 2.5, consistent with the N\u21d4F transition of BSA. The complete loss of vanillin binding activity was also coupled with both acid and thermal denaturation of BSA. Neither the associated BC nor thermally denatured OA produced a detectable competition with BSA for the binding of vanillin or octanone. The associated BC did not bind vanillin. It has been proposed that the adsorption of hydrophobic low-molecular weight compounds acts to plasticize the globule state of the protein. Plasticized globular proteins seem to tend towards self-association and refolding with separation of hydrophobic ligands (e.g. odorants). \u00a9 2002 Elsevier Science B.V. All rights reserved.", "author" : [ { "dropping-particle" : "V.", "family" : "Burova", "given" : "Tatiana", "non-dropping-particle" : "", "parse-names" : false, "suffix" : "" }, { "dropping-particle" : "V.", "family" : "Grinberg", "given" : "Natalia", "non-dropping-particle" : "", "parse-names" : false, "suffix" : "" }, { "dropping-particle" : "", "family" : "Grinberg", "given" : "Valerij Ya", "non-dropping-particle" : "", "parse-names" : false, "suffix" : "" }, { "dropping-particle" : "", "family" : "Tolstoguzov", "given" : "Vladimir B.", "non-dropping-particle" : "", "parse-names" : false, "suffix" : "" } ], "container-title" : "Colloids and Surfaces A: Physicochemical and Engineering Aspects", "id" : "ITEM-6", "issue" : "2-3", "issued" : { "date-parts" : [ [ "2003" ] ] }, "page" : "235-244", "title" : "Binding of odorants to individual proteins and their mixtures. Effects of protein denaturation and association. A plasticized globule state", "type" : "article-journal", "volume" : "213" }, "uris" : [ "http://www.mendeley.com/documents/?uuid=1895ed0f-5b04-40e3-a583-74ccb973fe40" ] } ], "mendeley" : { "formattedCitation" : "&lt;sup&gt;23\u201328&lt;/sup&gt;", "plainTextFormattedCitation" : "23\u201328", "previouslyFormattedCitation" : "&lt;sup&gt;23\u201328&lt;/sup&gt;" }, "properties" : { "noteIndex" : 0 }, "schema" : "https://github.com/citation-style-language/schema/raw/master/csl-citation.json" }</w:instrText>
      </w:r>
      <w:r w:rsidR="00BB3004" w:rsidRPr="00D039E9">
        <w:rPr>
          <w:rFonts w:cs="Times"/>
          <w:lang w:val="en-CA"/>
        </w:rPr>
        <w:fldChar w:fldCharType="separate"/>
      </w:r>
      <w:r w:rsidR="00BB3004" w:rsidRPr="00D039E9">
        <w:rPr>
          <w:rFonts w:cs="Times"/>
          <w:noProof/>
          <w:vertAlign w:val="superscript"/>
          <w:lang w:val="en-CA"/>
        </w:rPr>
        <w:t>23–28</w:t>
      </w:r>
      <w:r w:rsidR="00BB3004" w:rsidRPr="00D039E9">
        <w:rPr>
          <w:rFonts w:cs="Times"/>
          <w:lang w:val="en-CA"/>
        </w:rPr>
        <w:fldChar w:fldCharType="end"/>
      </w:r>
      <w:r w:rsidR="00BB3004" w:rsidRPr="00D039E9">
        <w:rPr>
          <w:rFonts w:cs="Times"/>
          <w:lang w:val="en-CA"/>
        </w:rPr>
        <w:t xml:space="preserve"> </w:t>
      </w:r>
      <w:r w:rsidR="003872DB" w:rsidRPr="00D039E9">
        <w:rPr>
          <w:rFonts w:cs="Times"/>
          <w:lang w:val="en-CA" w:eastAsia="ja-JP"/>
        </w:rPr>
        <w:t xml:space="preserve"> </w:t>
      </w:r>
    </w:p>
    <w:p w14:paraId="351F5004" w14:textId="77777777" w:rsidR="003872DB" w:rsidRPr="00D039E9" w:rsidRDefault="003872DB" w:rsidP="003872DB">
      <w:pPr>
        <w:pStyle w:val="TAMainText"/>
        <w:ind w:firstLine="0"/>
        <w:rPr>
          <w:rFonts w:cs="Times"/>
          <w:lang w:val="en-CA"/>
        </w:rPr>
      </w:pPr>
    </w:p>
    <w:p w14:paraId="0D4D6B18" w14:textId="5CF4157E" w:rsidR="003872DB" w:rsidRPr="00D039E9" w:rsidRDefault="003872DB" w:rsidP="003872DB">
      <w:pPr>
        <w:pStyle w:val="TAMainText"/>
        <w:rPr>
          <w:lang w:val="en-CA"/>
        </w:rPr>
      </w:pPr>
      <w:r w:rsidRPr="00D039E9">
        <w:rPr>
          <w:lang w:val="en-CA"/>
        </w:rPr>
        <w:t xml:space="preserve">In many applications </w:t>
      </w:r>
      <m:oMath>
        <m:r>
          <m:rPr>
            <m:sty m:val="p"/>
          </m:rPr>
          <w:rPr>
            <w:rFonts w:ascii="Cambria Math" w:hAnsi="Cambria Math"/>
            <w:lang w:val="en-CA"/>
          </w:rPr>
          <m:t>Δ</m:t>
        </m:r>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PW</m:t>
            </m:r>
          </m:sub>
        </m:sSub>
      </m:oMath>
      <w:r w:rsidRPr="00D039E9">
        <w:rPr>
          <w:lang w:val="en-CA"/>
        </w:rPr>
        <w:t xml:space="preserve"> has been reported to be negligible compared to </w:t>
      </w:r>
      <m:oMath>
        <m:r>
          <m:rPr>
            <m:sty m:val="p"/>
          </m:rPr>
          <w:rPr>
            <w:rFonts w:ascii="Cambria Math" w:hAnsi="Cambria Math"/>
            <w:lang w:val="en-CA"/>
          </w:rPr>
          <m:t>Δ</m:t>
        </m:r>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PF</m:t>
            </m:r>
          </m:sub>
        </m:sSub>
      </m:oMath>
      <w:r w:rsidRPr="00D039E9">
        <w:rPr>
          <w:lang w:val="en-CA"/>
        </w:rPr>
        <w:t>, which simplifies the analysis significantly.</w:t>
      </w:r>
      <w:r w:rsidR="003A3149" w:rsidRPr="00D039E9">
        <w:rPr>
          <w:lang w:val="en-CA"/>
        </w:rPr>
        <w:fldChar w:fldCharType="begin" w:fldLock="1"/>
      </w:r>
      <w:r w:rsidR="003E67FA" w:rsidRPr="00D039E9">
        <w:rPr>
          <w:lang w:val="en-CA"/>
        </w:rPr>
        <w:instrText>ADDIN CSL_CITATION { "citationItems" : [ { "id" : "ITEM-1", "itemData" : { "DOI" : "10.1063/1.1806402", "ISSN" : "00219606", "PMID" : "15527383", "abstract" : "Cosolvents added to aqueous solutions of biomolecules profoundly affect protein stability, as well as biochemical equilibria. Some cosolvents, such as urea and guanidine hydrochloride, denature proteins, whereas others, such as osmolytes and crowders, stabilize the native structures of proteins. The way cosolvents interact with biomolecules is crucial information required to understand the cosolvent effect at a molecular level. We present a statistical mechanical framework based upon Kirkwood-Buff theory, which enables one to extract this picture from experimental data. The combination of two experimental results, namely, the cosolvent-induced equilibrium shift and the partial molar volume change upon the reaction, supplimented by the structural change, is shown to yield the number of water and cosolvent molecules bound or released during a reaction. Previously, denaturation experiments (e.g., m-value analysis) were analyzed by empirical and stoichiometric solvent-binding models, while the effects of osmolytes and crowders were analyzed by the approximate molecular crowding approach for low cosolvent concentration. Here we synthesize these previous approaches in a rigorous statistical mechanical treatment, which is applicable at any cosolvent concentration. The usefulness and accuracy of previous approaches was also evaluated.", "author" : [ { "dropping-particle" : "", "family" : "Shimizu", "given" : "Seishi", "non-dropping-particle" : "", "parse-names" : false, "suffix" : "" }, { "dropping-particle" : "", "family" : "Boon", "given" : "Chandra L.", "non-dropping-particle" : "", "parse-names" : false, "suffix" : "" } ], "container-title" : "Journal of Chemical Physics", "id" : "ITEM-1", "issue" : "18", "issued" : { "date-parts" : [ [ "2004" ] ] }, "page" : "9147-9155", "title" : "The Kirkwood-Buff theory and the effect of cosolvents on biochemical reactions", "type" : "article-journal", "volume" : "121" }, "uris" : [ "http://www.mendeley.com/documents/?uuid=773d4c28-f2d5-421b-a5a5-0066df199fbe" ] }, { "id" : "ITEM-2", "itemData" : { "DOI" : "10.1016/j.cplett.2011.08.038", "ISSN" : "00092614", "abstract" : "Various cosolvents are known to modulate the thermal stability of the proteins. To understand its molecular origin, a statistical thermodynamic analysis, based upon the Kirkwood-Buff (KB) theory, has been performed to obtain information regarding the accumulation or depletion of solvent molecules around proteins, based upon published experimental data. The analysis shows the dominant importance of cosolvent's accumulation or depletion around the proteins, whereas the role of protein hydration is minor. ?? 2011 Elsevier B.V. All rights reserved.", "author" : [ { "dropping-particle" : "", "family" : "Shimizu", "given" : "Seishi", "non-dropping-particle" : "", "parse-names" : false, "suffix" : "" } ], "container-title" : "Chemical Physics Letters", "id" : "ITEM-2", "issue" : "1-3", "issued" : { "date-parts" : [ [ "2011" ] ] }, "page" : "156-158", "publisher" : "Elsevier B.V.", "title" : "Molecular origin of the cosolvent-induced changes in the thermal stability of proteins", "type" : "article-journal", "volume" : "514" }, "uris" : [ "http://www.mendeley.com/documents/?uuid=f72a9936-cbbc-4fe0-8a8f-d5f1c1425260" ] }, { "id" : "ITEM-3",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"ITEM-3", "issue" : "14", "issued" : { "date-parts" : [ [ "2014" ] ] }, "page" : "3922-3930", "title" : "Preferential solvation: Dividing surface vs excess numbers", "type" : "article-journal", "volume" : "118" }, "uris" : [ "http://www.mendeley.com/documents/?uuid=896fec6b-354e-41cd-a8de-55bd371a22f5" ] }, { "id" : "ITEM-4", "itemData" : { "DOI" : "10.1021/jp509099h", "ISSN" : "15205207", "PMID" : "25375260", "abstract" : "Gelation is enhanced by the addition of sugars and polyols. How, at a microscopic level, do such cosolvents enhance gelation? The following two different hypotheses have been proposed so far to answer this question: (i) enhancement of water structure around the biopolymer induced by cosolvents; (ii) exclusion of cosolvents from biopolymer surfaces. To examine the validity of the above hypotheses, as well as to quantify the driving forces of cosolvent-induced gelation, we have constructed a statistical thermodynamic theory of gelation, by extending our Kirkwood-Buff theory of cosolvency; biopolymer-water and biopolymer-cosolvent interactions can both be determined from thermodynamic data. The exclusion of cosolvents is shown to be the dominant contribution, whereas the hydration change is a minor contribution, which may be important only so far as to mediate the exclusion of cosolvents.", "author" : [ { "dropping-particle" : "", "family" : "Shimizu", "given" : "Seishi", "non-dropping-particle" : "", "parse-names" : false, "suffix" : "" }, { "dropping-particle" : "", "family" : "Matubayasi", "given" : "Nobuyuki", "non-dropping-particle" : "", "parse-names" : false, "suffix" : "" } ], "container-title" : "Journal of Physical Chemistry B", "id" : "ITEM-4", "issue" : "46", "issued" : { "date-parts" : [ [ "2014" ] ] }, "page" : "13210-13216", "title" : "Gelation: The role of sugars and polyols on gelatin and agarose", "type" : "article-journal", "volume" : "118" }, "uris" : [ "http://www.mendeley.com/documents/?uuid=3f487fe1-7c16-485b-971c-d2e69e2da704" ] }, { "id" : "ITEM-5", "itemData" : { "DOI" : "10.1016/j.foodhyd.2015.10.007", "ISSN" : "0268005X", "abstract" : "The gelation of ??-carrageenan, a common polysaccharide for food gelling and thickening, is enhanced by the addition of sugars and polyols. Three different hypotheses have been proposed to explain this phenomenon: (i) the enhancement of the water structure around polysaccharides, and the concurrent change in polysaccharide hydration, induced by the cosolvent; (ii) exclusion of cosolvents from polysaccharide surfaces; (iii) binding between sugars/polyols and polysaccharides in the gel phase. To examine the above hypotheses, as well as to reveal the true driving forces responsible for gelation enhancement, we applied our recent statistical thermodynamic theory of gelation, derived from the rigorous Kirkwood-Buff theory. The hydration change is shown to be negligibly small relative to cosolvent exclusion and cosolvent-biopolymer binding, which can be rationalized by considering a sol-gel equilibrium in which (1) the exclusion of sugars/polyols from ??-carrageenan's surface in the sol phase, and (2) the binding of sugars and polyols in the gel phase, shift the sol-gel equilibrium of ??-carrageenan to the gel state. This novel picture is consistent with a wealth of experimental evidence and provides a mechanistic insight into how polyol and sugar cosolvents influence the gelation of ??-carrageenan on a molecular level.", "author" : [ { "dropping-particle" : "", "family" : "Stenner", "given" : "Richard", "non-dropping-particle" : "", "parse-names" : false, "suffix" : "" }, { "dropping-particle" : "", "family" : "Matubayasi", "given" : "Nobuyuki", "non-dropping-particle" : "", "parse-names" : false, "suffix" : "" }, { "dropping-particle" : "", "family" : "Shimizu", "given" : "Seishi", "non-dropping-particle" : "", "parse-names" : false, "suffix" : "" } ], "container-title" : "Food Hydrocolloids", "id" : "ITEM-5", "issued" : { "date-parts" : [ [ "2016" ] ] }, "page" : "284-292", "publisher" : "Elsevier Ltd", "title" : "Gelation of carrageenan: Effects of sugars and polyols", "type" : "article-journal", "volume" : "54" }, "uris" : [ "http://www.mendeley.com/documents/?uuid=1ba0dc87-aef9-4f66-a843-a82ff360fd80" ] }, { "id" : "ITEM-6",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"ITEM-6",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"mendeley" : { "formattedCitation" : "&lt;sup&gt;12,14,17,19,21,22&lt;/sup&gt;", "plainTextFormattedCitation" : "12,14,17,19,21,22", "previouslyFormattedCitation" : "&lt;sup&gt;12,14,17,19,21,22&lt;/sup&gt;" }, "properties" : { "noteIndex" : 0 }, "schema" : "https://github.com/citation-style-language/schema/raw/master/csl-citation.json" }</w:instrText>
      </w:r>
      <w:r w:rsidR="003A3149" w:rsidRPr="00D039E9">
        <w:rPr>
          <w:lang w:val="en-CA"/>
        </w:rPr>
        <w:fldChar w:fldCharType="separate"/>
      </w:r>
      <w:r w:rsidR="003E67FA" w:rsidRPr="00D039E9">
        <w:rPr>
          <w:noProof/>
          <w:vertAlign w:val="superscript"/>
          <w:lang w:val="en-CA"/>
        </w:rPr>
        <w:t>12,14,17,19,21,22</w:t>
      </w:r>
      <w:r w:rsidR="003A3149" w:rsidRPr="00D039E9">
        <w:rPr>
          <w:lang w:val="en-CA"/>
        </w:rPr>
        <w:fldChar w:fldCharType="end"/>
      </w:r>
      <w:r w:rsidRPr="00D039E9">
        <w:rPr>
          <w:lang w:val="en-CA"/>
        </w:rPr>
        <w:t xml:space="preserve"> The volume changes that accompany denaturation or gelation are usually reported to be very small. Whether or not this is indeed the case can be examined using the rela</w:t>
      </w:r>
      <w:r w:rsidR="00D71279" w:rsidRPr="00D039E9">
        <w:rPr>
          <w:lang w:val="en-CA"/>
        </w:rPr>
        <w:t>tionship between the KBI</w:t>
      </w:r>
      <w:r w:rsidRPr="00D039E9">
        <w:rPr>
          <w:lang w:val="en-CA"/>
        </w:rPr>
        <w:t xml:space="preserve"> and the volume change that accompanies denaturation, </w:t>
      </w:r>
      <m:oMath>
        <m:r>
          <m:rPr>
            <m:sty m:val="p"/>
          </m:rPr>
          <w:rPr>
            <w:rFonts w:ascii="Cambria Math" w:hAnsi="Cambria Math"/>
            <w:lang w:val="en-CA"/>
          </w:rPr>
          <m:t>Δ</m:t>
        </m:r>
        <m:sSub>
          <m:sSubPr>
            <m:ctrlPr>
              <w:rPr>
                <w:rFonts w:ascii="Cambria Math" w:hAnsi="Cambria Math"/>
                <w:i/>
                <w:lang w:val="en-CA"/>
              </w:rPr>
            </m:ctrlPr>
          </m:sSubPr>
          <m:e>
            <m:r>
              <w:rPr>
                <w:rFonts w:ascii="Cambria Math" w:hAnsi="Cambria Math"/>
                <w:lang w:val="en-CA"/>
              </w:rPr>
              <m:t>V</m:t>
            </m:r>
          </m:e>
          <m:sub>
            <m:r>
              <w:rPr>
                <w:rFonts w:ascii="Cambria Math" w:hAnsi="Cambria Math"/>
                <w:lang w:val="en-CA"/>
              </w:rPr>
              <m:t>P</m:t>
            </m:r>
          </m:sub>
        </m:sSub>
        <m:r>
          <w:rPr>
            <w:rFonts w:ascii="Cambria Math" w:hAnsi="Cambria Math"/>
            <w:lang w:val="en-CA"/>
          </w:rPr>
          <m:t>=-</m:t>
        </m:r>
        <m:r>
          <m:rPr>
            <m:sty m:val="p"/>
          </m:rPr>
          <w:rPr>
            <w:rFonts w:ascii="Cambria Math" w:hAnsi="Cambria Math"/>
            <w:lang w:val="en-CA"/>
          </w:rPr>
          <m:t>Δ</m:t>
        </m:r>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PW</m:t>
            </m:r>
          </m:sub>
        </m:sSub>
      </m:oMath>
      <w:r w:rsidRPr="00D039E9">
        <w:rPr>
          <w:lang w:val="en-CA"/>
        </w:rPr>
        <w:t xml:space="preserve">, which allows a direct comparison between </w:t>
      </w:r>
      <m:oMath>
        <m:r>
          <m:rPr>
            <m:sty m:val="p"/>
          </m:rPr>
          <w:rPr>
            <w:rFonts w:ascii="Cambria Math" w:hAnsi="Cambria Math"/>
            <w:lang w:val="en-CA"/>
          </w:rPr>
          <m:t>Δ</m:t>
        </m:r>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PW</m:t>
            </m:r>
          </m:sub>
        </m:sSub>
      </m:oMath>
      <w:r w:rsidRPr="00D039E9">
        <w:rPr>
          <w:lang w:val="en-CA"/>
        </w:rPr>
        <w:t xml:space="preserve"> and </w:t>
      </w:r>
      <m:oMath>
        <m:r>
          <m:rPr>
            <m:sty m:val="p"/>
          </m:rPr>
          <w:rPr>
            <w:rFonts w:ascii="Cambria Math" w:hAnsi="Cambria Math"/>
            <w:lang w:val="en-CA"/>
          </w:rPr>
          <m:t>Δ</m:t>
        </m:r>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PF</m:t>
            </m:r>
          </m:sub>
        </m:sSub>
      </m:oMath>
      <w:r w:rsidRPr="00D039E9">
        <w:rPr>
          <w:lang w:val="en-CA"/>
        </w:rPr>
        <w:t xml:space="preserve">. Under </w:t>
      </w:r>
      <m:oMath>
        <m:d>
          <m:dPr>
            <m:begChr m:val="|"/>
            <m:endChr m:val="|"/>
            <m:ctrlPr>
              <w:rPr>
                <w:rFonts w:ascii="Cambria Math" w:hAnsi="Cambria Math"/>
                <w:i/>
                <w:lang w:val="en-CA"/>
              </w:rPr>
            </m:ctrlPr>
          </m:dPr>
          <m:e>
            <m:r>
              <m:rPr>
                <m:sty m:val="p"/>
              </m:rPr>
              <w:rPr>
                <w:rFonts w:ascii="Cambria Math" w:hAnsi="Cambria Math"/>
                <w:lang w:val="en-CA"/>
              </w:rPr>
              <m:t>Δ</m:t>
            </m:r>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PW</m:t>
                </m:r>
              </m:sub>
            </m:sSub>
          </m:e>
        </m:d>
        <m:r>
          <w:rPr>
            <w:rFonts w:ascii="Cambria Math" w:hAnsi="Cambria Math"/>
            <w:lang w:val="en-CA"/>
          </w:rPr>
          <m:t>≪</m:t>
        </m:r>
        <m:d>
          <m:dPr>
            <m:begChr m:val="|"/>
            <m:endChr m:val="|"/>
            <m:ctrlPr>
              <w:rPr>
                <w:rFonts w:ascii="Cambria Math" w:hAnsi="Cambria Math"/>
                <w:i/>
                <w:lang w:val="en-CA"/>
              </w:rPr>
            </m:ctrlPr>
          </m:dPr>
          <m:e>
            <m:r>
              <m:rPr>
                <m:sty m:val="p"/>
              </m:rPr>
              <w:rPr>
                <w:rFonts w:ascii="Cambria Math" w:hAnsi="Cambria Math"/>
                <w:lang w:val="en-CA"/>
              </w:rPr>
              <m:t>Δ</m:t>
            </m:r>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PF</m:t>
                </m:r>
              </m:sub>
            </m:sSub>
          </m:e>
        </m:d>
      </m:oMath>
      <w:r w:rsidR="001E7FBA" w:rsidRPr="00D039E9">
        <w:rPr>
          <w:lang w:val="en-CA"/>
        </w:rPr>
        <w:t>, Eq. (13</w:t>
      </w:r>
      <w:r w:rsidRPr="00D039E9">
        <w:rPr>
          <w:lang w:val="en-CA"/>
        </w:rPr>
        <w:t>) can be simplified further as</w:t>
      </w:r>
    </w:p>
    <w:p w14:paraId="6E122FB0" w14:textId="4EB8B11A" w:rsidR="003872DB" w:rsidRPr="00D039E9" w:rsidRDefault="000E5B3F" w:rsidP="003872DB">
      <w:pPr>
        <w:pStyle w:val="TAMainText"/>
        <w:rPr>
          <w:lang w:val="en-CA"/>
        </w:rPr>
      </w:pPr>
      <m:oMath>
        <m:f>
          <m:fPr>
            <m:ctrlPr>
              <w:rPr>
                <w:rFonts w:ascii="Cambria Math" w:hAnsi="Cambria Math"/>
                <w:i/>
                <w:lang w:val="en-CA"/>
              </w:rPr>
            </m:ctrlPr>
          </m:fPr>
          <m:num>
            <m:r>
              <m:rPr>
                <m:sty m:val="p"/>
              </m:rPr>
              <w:rPr>
                <w:rFonts w:ascii="Cambria Math" w:hAnsi="Cambria Math"/>
                <w:lang w:val="en-CA"/>
              </w:rPr>
              <m:t>Δ</m:t>
            </m:r>
            <m:sSub>
              <m:sSubPr>
                <m:ctrlPr>
                  <w:rPr>
                    <w:rFonts w:ascii="Cambria Math" w:hAnsi="Cambria Math"/>
                    <w:i/>
                    <w:lang w:val="en-CA"/>
                  </w:rPr>
                </m:ctrlPr>
              </m:sSubPr>
              <m:e>
                <m:r>
                  <w:rPr>
                    <w:rFonts w:ascii="Cambria Math" w:hAnsi="Cambria Math"/>
                    <w:lang w:val="en-CA" w:eastAsia="ja-JP"/>
                  </w:rPr>
                  <m:t>H</m:t>
                </m:r>
              </m:e>
              <m:sub>
                <m:r>
                  <w:rPr>
                    <w:rFonts w:ascii="Cambria Math" w:hAnsi="Cambria Math"/>
                    <w:lang w:val="en-CA" w:eastAsia="ja-JP"/>
                  </w:rPr>
                  <m:t>g→s</m:t>
                </m:r>
              </m:sub>
            </m:sSub>
          </m:num>
          <m:den>
            <m:r>
              <w:rPr>
                <w:rFonts w:ascii="Cambria Math" w:hAnsi="Cambria Math"/>
                <w:lang w:val="en-CA"/>
              </w:rPr>
              <m:t>R</m:t>
            </m:r>
            <m:sSup>
              <m:sSupPr>
                <m:ctrlPr>
                  <w:rPr>
                    <w:rFonts w:ascii="Cambria Math" w:hAnsi="Cambria Math"/>
                    <w:i/>
                    <w:lang w:val="en-CA"/>
                  </w:rPr>
                </m:ctrlPr>
              </m:sSupPr>
              <m:e>
                <m:r>
                  <w:rPr>
                    <w:rFonts w:ascii="Cambria Math" w:hAnsi="Cambria Math"/>
                    <w:lang w:val="en-CA"/>
                  </w:rPr>
                  <m:t>T</m:t>
                </m:r>
              </m:e>
              <m:sup>
                <m:r>
                  <w:rPr>
                    <w:rFonts w:ascii="Cambria Math" w:hAnsi="Cambria Math"/>
                    <w:lang w:val="en-CA"/>
                  </w:rPr>
                  <m:t>2</m:t>
                </m:r>
              </m:sup>
            </m:sSup>
          </m:den>
        </m:f>
        <m:f>
          <m:fPr>
            <m:ctrlPr>
              <w:rPr>
                <w:rFonts w:ascii="Cambria Math" w:hAnsi="Cambria Math"/>
                <w:i/>
                <w:lang w:val="en-CA"/>
              </w:rPr>
            </m:ctrlPr>
          </m:fPr>
          <m:num>
            <m:r>
              <w:rPr>
                <w:rFonts w:ascii="Cambria Math" w:hAnsi="Cambria Math"/>
                <w:lang w:val="en-CA" w:eastAsia="ja-JP"/>
              </w:rPr>
              <m:t>δ</m:t>
            </m:r>
            <m:sSub>
              <m:sSubPr>
                <m:ctrlPr>
                  <w:rPr>
                    <w:rFonts w:ascii="Cambria Math" w:hAnsi="Cambria Math"/>
                    <w:i/>
                    <w:lang w:val="en-CA"/>
                  </w:rPr>
                </m:ctrlPr>
              </m:sSubPr>
              <m:e>
                <m:r>
                  <w:rPr>
                    <w:rFonts w:ascii="Cambria Math" w:hAnsi="Cambria Math"/>
                    <w:lang w:val="en-CA" w:eastAsia="ja-JP"/>
                  </w:rPr>
                  <m:t>T</m:t>
                </m:r>
              </m:e>
              <m:sub>
                <m:r>
                  <w:rPr>
                    <w:rFonts w:ascii="Cambria Math" w:hAnsi="Cambria Math"/>
                    <w:lang w:val="en-CA" w:eastAsia="ja-JP"/>
                  </w:rPr>
                  <m:t>g→s</m:t>
                </m:r>
              </m:sub>
            </m:sSub>
          </m:num>
          <m:den>
            <m:r>
              <w:rPr>
                <w:rFonts w:ascii="Cambria Math" w:hAnsi="Cambria Math"/>
                <w:lang w:val="en-CA" w:eastAsia="ja-JP"/>
              </w:rPr>
              <m:t>δ</m:t>
            </m:r>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F</m:t>
                </m:r>
              </m:sub>
            </m:sSub>
          </m:den>
        </m:f>
        <m:r>
          <w:rPr>
            <w:rFonts w:ascii="Cambria Math" w:hAnsi="Cambria Math" w:cs="Times"/>
            <w:lang w:val="en-CA" w:eastAsia="ja-JP"/>
          </w:rPr>
          <m:t>≃ -</m:t>
        </m:r>
        <m:r>
          <m:rPr>
            <m:sty m:val="p"/>
          </m:rPr>
          <w:rPr>
            <w:rFonts w:ascii="Cambria Math" w:hAnsi="Cambria Math" w:cs="Times"/>
            <w:lang w:val="en-CA" w:eastAsia="ja-JP"/>
          </w:rPr>
          <m:t>Δ</m:t>
        </m:r>
        <m:sSub>
          <m:sSubPr>
            <m:ctrlPr>
              <w:rPr>
                <w:rFonts w:ascii="Cambria Math" w:hAnsi="Cambria Math" w:cs="Times"/>
                <w:i/>
                <w:lang w:val="en-CA" w:eastAsia="ja-JP"/>
              </w:rPr>
            </m:ctrlPr>
          </m:sSubPr>
          <m:e>
            <m:r>
              <w:rPr>
                <w:rFonts w:ascii="Cambria Math" w:hAnsi="Cambria Math" w:cs="Times"/>
                <w:lang w:val="en-CA" w:eastAsia="ja-JP"/>
              </w:rPr>
              <m:t>G</m:t>
            </m:r>
          </m:e>
          <m:sub>
            <m:r>
              <w:rPr>
                <w:rFonts w:ascii="Cambria Math" w:hAnsi="Cambria Math" w:cs="Times"/>
                <w:lang w:val="en-CA" w:eastAsia="ja-JP"/>
              </w:rPr>
              <m:t>PF</m:t>
            </m:r>
          </m:sub>
        </m:sSub>
        <m:r>
          <w:rPr>
            <w:rFonts w:ascii="Cambria Math" w:hAnsi="Cambria Math" w:cs="Times"/>
            <w:lang w:val="en-CA" w:eastAsia="ja-JP"/>
          </w:rPr>
          <m:t xml:space="preserve"> </m:t>
        </m:r>
      </m:oMath>
      <w:r w:rsidR="003872DB" w:rsidRPr="00D039E9">
        <w:rPr>
          <w:lang w:val="en-CA" w:eastAsia="ja-JP"/>
        </w:rPr>
        <w:tab/>
      </w:r>
      <w:r w:rsidR="003872DB" w:rsidRPr="00D039E9">
        <w:rPr>
          <w:lang w:val="en-CA" w:eastAsia="ja-JP"/>
        </w:rPr>
        <w:tab/>
      </w:r>
      <w:r w:rsidR="003872DB" w:rsidRPr="00D039E9">
        <w:rPr>
          <w:lang w:val="en-CA" w:eastAsia="ja-JP"/>
        </w:rPr>
        <w:tab/>
      </w:r>
      <w:r w:rsidR="003872DB" w:rsidRPr="00D039E9">
        <w:rPr>
          <w:lang w:val="en-CA" w:eastAsia="ja-JP"/>
        </w:rPr>
        <w:tab/>
      </w:r>
      <w:r w:rsidR="003872DB" w:rsidRPr="00D039E9">
        <w:rPr>
          <w:lang w:val="en-CA" w:eastAsia="ja-JP"/>
        </w:rPr>
        <w:tab/>
      </w:r>
      <w:r w:rsidR="003872DB" w:rsidRPr="00D039E9">
        <w:rPr>
          <w:lang w:val="en-CA" w:eastAsia="ja-JP"/>
        </w:rPr>
        <w:tab/>
      </w:r>
      <w:r w:rsidR="003872DB" w:rsidRPr="00D039E9">
        <w:rPr>
          <w:lang w:val="en-CA" w:eastAsia="ja-JP"/>
        </w:rPr>
        <w:tab/>
      </w:r>
      <w:r w:rsidR="003872DB" w:rsidRPr="00D039E9">
        <w:rPr>
          <w:lang w:val="en-CA" w:eastAsia="ja-JP"/>
        </w:rPr>
        <w:tab/>
      </w:r>
      <w:r w:rsidR="003872DB" w:rsidRPr="00D039E9">
        <w:rPr>
          <w:lang w:val="en-CA" w:eastAsia="ja-JP"/>
        </w:rPr>
        <w:tab/>
      </w:r>
      <w:r w:rsidR="001E7FBA" w:rsidRPr="00D039E9">
        <w:rPr>
          <w:lang w:val="en-CA"/>
        </w:rPr>
        <w:t>(14</w:t>
      </w:r>
      <w:r w:rsidR="003872DB" w:rsidRPr="00D039E9">
        <w:rPr>
          <w:lang w:val="en-CA"/>
        </w:rPr>
        <w:t>)</w:t>
      </w:r>
    </w:p>
    <w:p w14:paraId="7EAD8A87" w14:textId="77777777" w:rsidR="007938E0" w:rsidRPr="00D039E9" w:rsidRDefault="007938E0" w:rsidP="003872DB">
      <w:pPr>
        <w:pStyle w:val="TAMainText"/>
        <w:ind w:firstLine="0"/>
        <w:rPr>
          <w:rFonts w:cs="Times"/>
          <w:b/>
          <w:lang w:val="en-CA"/>
        </w:rPr>
      </w:pPr>
    </w:p>
    <w:p w14:paraId="4ABC6713" w14:textId="5E7A933C" w:rsidR="003872DB" w:rsidRPr="00D039E9" w:rsidRDefault="001C35A5" w:rsidP="007938E0">
      <w:pPr>
        <w:pStyle w:val="TAMainText"/>
        <w:rPr>
          <w:lang w:val="en-CA"/>
        </w:rPr>
      </w:pPr>
      <w:r w:rsidRPr="00D039E9">
        <w:rPr>
          <w:b/>
          <w:lang w:val="en-CA"/>
        </w:rPr>
        <w:t xml:space="preserve">The app-based approach </w:t>
      </w:r>
      <w:r w:rsidR="00841725" w:rsidRPr="00D039E9">
        <w:rPr>
          <w:lang w:val="en-CA"/>
        </w:rPr>
        <w:t>requires the user to input the</w:t>
      </w:r>
      <w:r w:rsidR="003D2F36" w:rsidRPr="00D039E9">
        <w:rPr>
          <w:lang w:val="en-CA"/>
        </w:rPr>
        <w:t xml:space="preserve"> </w:t>
      </w:r>
      <w:r w:rsidR="003D2F36" w:rsidRPr="00D039E9">
        <w:rPr>
          <w:lang w:val="el-GR"/>
        </w:rPr>
        <w:t>Δ</w:t>
      </w:r>
      <w:r w:rsidR="003D2F36" w:rsidRPr="00D039E9">
        <w:rPr>
          <w:i/>
          <w:lang w:val="en-GB"/>
        </w:rPr>
        <w:t>H</w:t>
      </w:r>
      <w:r w:rsidR="003D2F36" w:rsidRPr="00D039E9">
        <w:rPr>
          <w:lang w:val="en-GB"/>
        </w:rPr>
        <w:t xml:space="preserve"> of </w:t>
      </w:r>
      <w:r w:rsidR="003D2F36" w:rsidRPr="00D039E9">
        <w:rPr>
          <w:lang w:val="en-CA"/>
        </w:rPr>
        <w:t>melting/denaturation in the absence of flavour molecules and the melting/denaturation</w:t>
      </w:r>
      <w:r w:rsidR="00841725" w:rsidRPr="00D039E9">
        <w:rPr>
          <w:lang w:val="en-CA"/>
        </w:rPr>
        <w:t xml:space="preserve"> temperature as a function of flavour concentration, </w:t>
      </w:r>
      <m:oMath>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F</m:t>
            </m:r>
          </m:sub>
        </m:sSub>
      </m:oMath>
      <w:r w:rsidR="00841725" w:rsidRPr="00D039E9">
        <w:rPr>
          <w:lang w:val="en-CA"/>
        </w:rPr>
        <w:t xml:space="preserve"> as described above in the practical procedure.</w:t>
      </w:r>
      <w:r w:rsidR="006143F6" w:rsidRPr="00D039E9">
        <w:rPr>
          <w:lang w:val="en-CA"/>
        </w:rPr>
        <w:t xml:space="preserve"> The experimental data gathered  from the literature have been provided in the app to demonstrate the process of analysis all the way from the raw data to the KB</w:t>
      </w:r>
      <w:r w:rsidR="00D71279" w:rsidRPr="00D039E9">
        <w:rPr>
          <w:lang w:val="en-CA"/>
        </w:rPr>
        <w:t>I</w:t>
      </w:r>
      <w:r w:rsidR="006143F6" w:rsidRPr="00D039E9">
        <w:rPr>
          <w:lang w:val="en-CA"/>
        </w:rPr>
        <w:t>s.</w:t>
      </w:r>
      <w:r w:rsidR="00BB3004" w:rsidRPr="00D039E9">
        <w:rPr>
          <w:rFonts w:cs="Times"/>
          <w:lang w:val="en-CA"/>
        </w:rPr>
        <w:fldChar w:fldCharType="begin" w:fldLock="1"/>
      </w:r>
      <w:r w:rsidR="00BB3004" w:rsidRPr="00D039E9">
        <w:rPr>
          <w:rFonts w:cs="Times"/>
          <w:lang w:val="en-CA"/>
        </w:rPr>
        <w:instrText>ADDIN CSL_CITATION { "citationItems" : [ { "id" : "ITEM-1", "itemData" : { "DOI" : "10.1016/S0268-005X(97)80024-0", "ISBN" : "0268-005X", "ISSN" : "0268005X", "PMID" : "73", "abstract" : "The thermodynamic incompatibility of proteins and polysaccharides is of a general nature. This phenomenon is observed under conditions which inhibit complexing between proteins and polysaccharides and promote association between macromolecules of the same type, i.e. provide self-association of biopolymers. Conditions for incompatibility are dependent on the structure and composition of a given biopolymer pair. Incompatibility decreases in the order: carboxyl-containing polysaccharides &gt; neutral polysaccharides &gt; sulphate-containing polysaccharides. Normally, linear polysaccharides are more incompatible with proteins than branched polysaccharides. The difference in hydrophilicity between proteins and polysaccharides, the so-called \u0394\u03c7-effect, is of great importance for phase equilibria in protein\u2014polysaccharide\u2014water systems and significantly affects this phenomenon. This is reflected in the marked tie slope asymmetry of the phase diagrams of mixed pro tein\u2014polysaccharide solutions.", "author" : [ { "dropping-particle" : "", "family" : "Polyakov", "given" : "V.I.", "non-dropping-particle" : "", "parse-names" : false, "suffix" : "" }, { "dropping-particle" : "", "family" : "Grinberg", "given" : "V.Ya.", "non-dropping-particle" : "", "parse-names" : false, "suffix" : "" }, { "dropping-particle" : "", "family" : "Tolstoguzov", "given" : "V.B.", "non-dropping-particle" : "", "parse-names" : false, "suffix" : "" } ], "container-title" : "Food Hydrocolloids", "id" : "ITEM-1", "issue" : "2", "issued" : { "date-parts" : [ [ "1997" ] ] }, "page" : "171-180", "title" : "Thermodynamic incompatibility of proteins", "type" : "article-journal", "volume" : "11" }, "uris" : [ "http://www.mendeley.com/documents/?uuid=98e61668-e154-4bdc-8ddb-4805986f51e2" ] }, { "id" : "ITEM-2", "itemData" : { "author" : [ { "dropping-particle" : "", "family" : "Mikheeva", "given" : "L M", "non-dropping-particle" : "", "parse-names" : false, "suffix" : "" }, { "dropping-particle" : "V", "family" : "Grinberg", "given" : "N", "non-dropping-particle" : "", "parse-names" : false, "suffix" : "" }, { "dropping-particle" : "", "family" : "Grinberg", "given" : "V Ya", "non-dropping-particle" : "", "parse-names" : false, "suffix" : "" }, { "dropping-particle" : "", "family" : "Tolstoguzov", "given" : "V B", "non-dropping-particle" : "", "parse-names" : false, "suffix" : "" } ], "container-title" : "Nahrung", "id" : "ITEM-2", "issued" : { "date-parts" : [ [ "1998" ] ] }, "page" : "185-186", "title" : "Effect of thermal denaturation on vanillin binding to some food proteins", "type" : "article-journal", "volume" : "42" }, "uris" : [ "http://www.mendeley.com/documents/?uuid=c5eab56b-aa32-4ecc-b8ab-8ab9644b35a1" ] }, { "id" : "ITEM-3", "itemData" : { "DOI" : "10.1016/S0268-005X(98)00059-9", "ISBN" : "0268-005X", "ISSN" : "0268005X", "abstract" : "The release of 2-octanone bound by bovine serum albumin (BSA)/pectin complexes in aqueous solutions was induced by shift of pH from neutral (pH 6.4) to acid (pH 4.3). The release of 2-octanone was due to BSA unfolding on the oppositely charged rigid polysaccharide matrix at pHs below BSA's isoelectric point (IEP). The amount of released and freely available flavour was estimated by the effect of 2-octanone on the conformational stability of BSA, i.e. using BSA added to 2-octanone solution as an internal molecular detector. DSC was used to study the effects of: (i) protein denaturation on flavour binding capacity, (ii) binding of flavour on conformational stability of the protein and (iii) to develop an instrumental technique to measure the flavour release.", "author" : [ { "dropping-particle" : "", "family" : "Burova", "given" : "T.V", "non-dropping-particle" : "", "parse-names" : false, "suffix" : "" }, { "dropping-particle" : "", "family" : "Grinberg", "given" : "N.V", "non-dropping-particle" : "", "parse-names" : false, "suffix" : "" }, { "dropping-particle" : "", "family" : "Golubeva", "given" : "I.a", "non-dropping-particle" : "", "parse-names" : false, "suffix" : "" }, { "dropping-particle" : "", "family" : "Mashkevich", "given" : "A.Ya", "non-dropping-particle" : "", "parse-names" : false, "suffix" : "" }, { "dropping-particle" : "", "family" : "Grinberg", "given" : "V.Ya", "non-dropping-particle" : "", "parse-names" : false, "suffix" : "" }, { "dropping-particle" : "", "family" : "Tolstoguzov", "given" : "V.B", "non-dropping-particle" : "", "parse-names" : false, "suffix" : "" } ], "container-title" : "Food Hydrocolloids", "id" : "ITEM-3", "issue" : "1", "issued" : { "date-parts" : [ [ "1999" ] ] }, "page" : "7-14", "title" : "Flavour release in model bovine serum albumin/pectin/2-octanone systems", "type" : "article-journal", "volume" : "13" }, "uris" : [ "http://www.mendeley.com/documents/?uuid=0dbd056c-fea3-46d9-9aac-b988588577f1" ] }, { "id" : "ITEM-4", "itemData" : { "DOI" : "10.1016/S0268-005X(01)00106-0", "ISBN" : "0268-005X", "ISSN" : "0268005X", "abstract" : "The effect of vanillin on thermal denaturation of ovalbumin was studied using high-sensitivity differential scanning calorimetry. At neutral and acidic (6.7 and 3.0) pH values thermal denaturation of ovalbumin depends on the heating rate and is irreversible. The experimental denaturation thermograms of ovalbumin were compared with thermograms simulated according to the Lumry-Eyring model of irreversible protein denaturation (N ??? D ??? A). It was shown that general tendencies of changes in the calorimetric parameters of ovalbumin denaturation as a function of the heating rate are in accordance with those predicted by this model. It was concluded that the heating rate could be considered as a factor shifting the denaturation equilibrium of ovalbumin (N ??? D) similarly to its shifts caused by such physicochemical factors as pH, ionic strength or ligand concentration. Both the temperature and the enthalpy of ovalbumin denaturation decrease with an increase in the vanillin concentration within the pH range from 3.0 to 9.0. This effect of vanillin binding does not depend on the heating rate. The equilibrium parameters of ovalbumin denaturation have been determined by an extrapolation procedure at different vanillin concentrations. The equilibrium denaturation parameters have been used for calculation of the excess free energy of denaturation as a function of vanillin concentration. The vanillin binding constant Kb equals 5 M-1 at pH 6.7 and 33 M-1 at pH 3.0. The denaturation increment of the numbers of binding sites is ??d?? = 20 at pH 6.7 and ??d?? = 3 at pH 3.0. Possible mechanism of the vanillin binding to ovalbumin and its applied aspects are discussed. ?? 2002 Elsevier Science Ltd. All rights reserved.", "author" : [ { "dropping-particle" : "", "family" : "Grinberg", "given" : "V. Ya", "non-dropping-particle" : "", "parse-names" : false, "suffix" : "" }, { "dropping-particle" : "V.", "family" : "Grinberg", "given" : "N.", "non-dropping-particle" : "", "parse-names" : false, "suffix" : "" }, { "dropping-particle" : "", "family" : "Mashkevich", "given" : "A. Ya", "non-dropping-particle" : "", "parse-names" : false, "suffix" : "" }, { "dropping-particle" : "V.", "family" : "Burova", "given" : "T.", "non-dropping-particle" : "", "parse-names" : false, "suffix" : "" }, { "dropping-particle" : "", "family" : "Tolstoguzov", "given" : "V. B.", "non-dropping-particle" : "", "parse-names" : false, "suffix" : "" } ], "container-title" : "Food Hydrocolloids", "id" : "ITEM-4", "issue" : "4", "issued" : { "date-parts" : [ [ "2002" ] ] }, "page" : "333-343", "title" : "Calorimetric study of interaction of ovalbumin with vanillin", "type" : "article-journal", "volume" : "16" }, "uris" : [ "http://www.mendeley.com/documents/?uuid=f8afb1a8-1f26-4c53-98af-9584e02d22a5" ] }, { "id" : "ITEM-5", "itemData" : { "DOI" : "10.1016/S0268-005X(01)00111-4", "ISBN" : "0268-005X", "ISSN" : "0268005X", "PMID" : "65", "abstract" : "Several factors underlie the thermodynamic similarity of foods. First is the common physiological storage function of most important components of food raw materials. Second is the general character of non-specific intermolecular interactions of food macromolecules. Third is the mimicry of biopolymers that underlie quite similar physico-chemical properties of biopolymer species. Molecular mimicry and molecular symbiosis affect phase behaviour and rheology of biopolymer mixtures. Molecular mimicry implies the chemical and structural similarity of hydrophilic surfaces of globular proteins with their chemical information hidden in the hydrophobic interior, and the low excluded volume of the globules. Another mimicry technique is the binding of different biopolymers into a new hybrid (e.g. conjugates) macromolecule acquiring an affinity to the macromolecular constituents as co-solutes. Molecular symbiosis means that interactions (attraction or repulsion) between biopolymer molecules greatly differing in conformation (globular and rod-like), favour the biological efficiency of one of them, at least. Thermodynamic incompatibility is typical of food macromolecules, whose denaturation, association, complexing and chemical modification reduce their mimicry and co-solubility. Biopolymer incompatibility, self-association and interbiopolymer complexing contribute to synergistic and antagonistic effects of food formulation. The thermodynamic approach is highly promising for modelling of food formulation. Food formulation aims to control interactions between proteins, polysaccharides and their interactions with other food components. Thermodynamic aspects of food digestion mechanisms and the multifunctionality of exopolysaccharides, prebiotics, storage proteins and other chyme components are considered in terms of food formulation. Normally, food and chyme are phase-separated systems. Thermodynamic similarity, which is a fundamental feature of processed food systems determines the high efficiency of empirically developed food technologies and the low sensitivity of structural and mechanical properties of the chyme to the composition of diets. ?? 2002 Elsevier Science Ltd. All rights reserved.", "author" : [ { "dropping-particle" : "", "family" : "Tolstoguzov", "given" : "Vladimir", "non-dropping-particle" : "", "parse-names" : false, "suffix" : "" } ], "container-title" : "Food Hydrocolloids", "id" : "ITEM-5", "issue" : "1", "issued" : { "date-parts" : [ [ "2003" ] ] }, "page" : "1-23", "title" : "Some thermodynamic considerations in food formulation", "type" : "article-journal", "volume" : "17" }, "uris" : [ "http://www.mendeley.com/documents/?uuid=b60143fc-92e0-49db-9551-7990ec90c02c" ] }, { "id" : "ITEM-6", "itemData" : { "DOI" : "10.1016/S0927-7757(02)00516-2", "ISSN" : "09277757", "abstract" : "The unfolding-association-refolding behaviour of proteins and their interactions with odorants are significant to the processing and flavoring of foods. Interactions of 2-octanone and vanillin (aliphatic and aromatic odorants) with individual proteins and their mixtures have been studied using: native, acid and thermally denatured bovine serum albumin (BSA), native and thermally denatured ovalbumin (OA) and bovine \u03b2-casein (BC). Equilibrium dialysis and differential scanning calorimetry methods were used to study flavor binding and flavor release in protein solutions. The binding of vanillin to native BSA exhibited two equivalent binding sites with binding constants in the order of 103 M-1 and these binding parameters were not markedly changed within the range of temperature from 25 to 63\u00b0C. The binding site number was monotonously reduced to about zero as the pH was decreased from 6.4 to 2.5, consistent with the N\u21d4F transition of BSA. The complete loss of vanillin binding activity was also coupled with both acid and thermal denaturation of BSA. Neither the associated BC nor thermally denatured OA produced a detectable competition with BSA for the binding of vanillin or octanone. The associated BC did not bind vanillin. It has been proposed that the adsorption of hydrophobic low-molecular weight compounds acts to plasticize the globule state of the protein. Plasticized globular proteins seem to tend towards self-association and refolding with separation of hydrophobic ligands (e.g. odorants). \u00a9 2002 Elsevier Science B.V. All rights reserved.", "author" : [ { "dropping-particle" : "V.", "family" : "Burova", "given" : "Tatiana", "non-dropping-particle" : "", "parse-names" : false, "suffix" : "" }, { "dropping-particle" : "V.", "family" : "Grinberg", "given" : "Natalia", "non-dropping-particle" : "", "parse-names" : false, "suffix" : "" }, { "dropping-particle" : "", "family" : "Grinberg", "given" : "Valerij Ya", "non-dropping-particle" : "", "parse-names" : false, "suffix" : "" }, { "dropping-particle" : "", "family" : "Tolstoguzov", "given" : "Vladimir B.", "non-dropping-particle" : "", "parse-names" : false, "suffix" : "" } ], "container-title" : "Colloids and Surfaces A: Physicochemical and Engineering Aspects", "id" : "ITEM-6", "issue" : "2-3", "issued" : { "date-parts" : [ [ "2003" ] ] }, "page" : "235-244", "title" : "Binding of odorants to individual proteins and their mixtures. Effects of protein denaturation and association. A plasticized globule state", "type" : "article-journal", "volume" : "213" }, "uris" : [ "http://www.mendeley.com/documents/?uuid=1895ed0f-5b04-40e3-a583-74ccb973fe40" ] } ], "mendeley" : { "formattedCitation" : "&lt;sup&gt;23\u201328&lt;/sup&gt;", "plainTextFormattedCitation" : "23\u201328", "previouslyFormattedCitation" : "&lt;sup&gt;23\u201328&lt;/sup&gt;" }, "properties" : { "noteIndex" : 0 }, "schema" : "https://github.com/citation-style-language/schema/raw/master/csl-citation.json" }</w:instrText>
      </w:r>
      <w:r w:rsidR="00BB3004" w:rsidRPr="00D039E9">
        <w:rPr>
          <w:rFonts w:cs="Times"/>
          <w:lang w:val="en-CA"/>
        </w:rPr>
        <w:fldChar w:fldCharType="separate"/>
      </w:r>
      <w:r w:rsidR="00BB3004" w:rsidRPr="00D039E9">
        <w:rPr>
          <w:rFonts w:cs="Times"/>
          <w:noProof/>
          <w:vertAlign w:val="superscript"/>
          <w:lang w:val="en-CA"/>
        </w:rPr>
        <w:t>23–28</w:t>
      </w:r>
      <w:r w:rsidR="00BB3004" w:rsidRPr="00D039E9">
        <w:rPr>
          <w:rFonts w:cs="Times"/>
          <w:lang w:val="en-CA"/>
        </w:rPr>
        <w:fldChar w:fldCharType="end"/>
      </w:r>
      <w:r w:rsidR="00BB3004" w:rsidRPr="00D039E9">
        <w:rPr>
          <w:rFonts w:cs="Times"/>
          <w:lang w:val="en-CA"/>
        </w:rPr>
        <w:t xml:space="preserve"> </w:t>
      </w:r>
      <w:r w:rsidR="00841725" w:rsidRPr="00D039E9">
        <w:rPr>
          <w:lang w:val="en-CA"/>
        </w:rPr>
        <w:t xml:space="preserve"> </w:t>
      </w:r>
      <w:r w:rsidR="007B78DD" w:rsidRPr="00D039E9">
        <w:rPr>
          <w:lang w:val="en-CA"/>
        </w:rPr>
        <w:t>As demonstrated in Figure 4, t</w:t>
      </w:r>
      <w:r w:rsidR="00841725" w:rsidRPr="00D039E9">
        <w:rPr>
          <w:lang w:val="en-CA"/>
        </w:rPr>
        <w:t xml:space="preserve">he app will then carry out regression so that the gradient required in Eq. (14) can be calculated (centre). Note that Eq. (14) is only valid at </w:t>
      </w:r>
      <m:oMath>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F</m:t>
            </m:r>
          </m:sub>
        </m:sSub>
        <m:r>
          <w:rPr>
            <w:rFonts w:ascii="Cambria Math" w:hAnsi="Cambria Math"/>
            <w:lang w:val="en-CA"/>
          </w:rPr>
          <m:t>→0</m:t>
        </m:r>
      </m:oMath>
      <w:r w:rsidR="00841725" w:rsidRPr="00D039E9">
        <w:rPr>
          <w:lang w:val="en-CA"/>
        </w:rPr>
        <w:t>. The output (</w:t>
      </w:r>
      <m:oMath>
        <m:r>
          <m:rPr>
            <m:sty m:val="p"/>
          </m:rPr>
          <w:rPr>
            <w:rFonts w:ascii="Cambria Math" w:hAnsi="Cambria Math"/>
            <w:lang w:val="en-CA"/>
          </w:rPr>
          <m:t>Δ</m:t>
        </m:r>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PF</m:t>
            </m:r>
          </m:sub>
        </m:sSub>
      </m:oMath>
      <w:r w:rsidR="00841725" w:rsidRPr="00D039E9">
        <w:rPr>
          <w:lang w:val="en-CA"/>
        </w:rPr>
        <w:t>) is smaller in magnitude than the output from vapour and membrane experiments</w:t>
      </w:r>
      <w:r w:rsidR="00AA69BA" w:rsidRPr="00D039E9">
        <w:rPr>
          <w:lang w:val="en-CA"/>
        </w:rPr>
        <w:t xml:space="preserve"> (and is reported in cc/mol)</w:t>
      </w:r>
      <w:r w:rsidR="00841725" w:rsidRPr="00D039E9">
        <w:rPr>
          <w:lang w:val="en-CA"/>
        </w:rPr>
        <w:t>, because, unlike the above two</w:t>
      </w:r>
      <w:r w:rsidR="00AA69BA" w:rsidRPr="00D039E9">
        <w:rPr>
          <w:lang w:val="en-CA"/>
        </w:rPr>
        <w:t xml:space="preserve"> apps</w:t>
      </w:r>
      <w:r w:rsidR="00841725" w:rsidRPr="00D039E9">
        <w:rPr>
          <w:lang w:val="en-CA"/>
        </w:rPr>
        <w:t xml:space="preserve">, </w:t>
      </w:r>
      <m:oMath>
        <m:r>
          <m:rPr>
            <m:sty m:val="p"/>
          </m:rPr>
          <w:rPr>
            <w:rFonts w:ascii="Cambria Math" w:hAnsi="Cambria Math"/>
            <w:lang w:val="en-CA"/>
          </w:rPr>
          <m:t>Δ</m:t>
        </m:r>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PF</m:t>
            </m:r>
          </m:sub>
        </m:sSub>
      </m:oMath>
      <w:r w:rsidR="00841725" w:rsidRPr="00D039E9">
        <w:rPr>
          <w:lang w:val="en-CA"/>
        </w:rPr>
        <w:t xml:space="preserve"> refers to the </w:t>
      </w:r>
      <w:r w:rsidR="00841725" w:rsidRPr="00D039E9">
        <w:rPr>
          <w:i/>
          <w:lang w:val="en-CA"/>
        </w:rPr>
        <w:t>difference</w:t>
      </w:r>
      <w:r w:rsidR="00841725" w:rsidRPr="00D039E9">
        <w:rPr>
          <w:lang w:val="en-CA"/>
        </w:rPr>
        <w:t xml:space="preserve"> in flavour binding between the denatured and the native states or sol and gel states.  </w:t>
      </w:r>
    </w:p>
    <w:p w14:paraId="1C7499D9" w14:textId="1337D1A9" w:rsidR="001C35A5" w:rsidRPr="00D039E9" w:rsidRDefault="001C35A5" w:rsidP="003872DB">
      <w:pPr>
        <w:pStyle w:val="TAMainText"/>
        <w:ind w:firstLine="0"/>
        <w:rPr>
          <w:rFonts w:cs="Times"/>
          <w:b/>
          <w:lang w:val="en-CA"/>
        </w:rPr>
      </w:pPr>
    </w:p>
    <w:p w14:paraId="38CB32B9" w14:textId="745B1D99" w:rsidR="003872DB" w:rsidRPr="00D039E9" w:rsidRDefault="00131D60" w:rsidP="003872DB">
      <w:pPr>
        <w:pStyle w:val="TAMainText"/>
        <w:ind w:firstLine="0"/>
        <w:rPr>
          <w:rFonts w:cs="Times"/>
          <w:b/>
          <w:lang w:val="en-CA"/>
        </w:rPr>
      </w:pPr>
      <w:r w:rsidRPr="00D039E9">
        <w:rPr>
          <w:rFonts w:cs="Times"/>
          <w:b/>
          <w:lang w:val="en-CA"/>
        </w:rPr>
        <w:t>6</w:t>
      </w:r>
      <w:r w:rsidR="003872DB" w:rsidRPr="00D039E9">
        <w:rPr>
          <w:rFonts w:cs="Times"/>
          <w:b/>
          <w:lang w:val="en-CA"/>
        </w:rPr>
        <w:t xml:space="preserve">. Comparison between different techniques and link to wider context of food science  </w:t>
      </w:r>
    </w:p>
    <w:p w14:paraId="6665AF7B" w14:textId="177E9E7F" w:rsidR="003872DB" w:rsidRPr="00D039E9" w:rsidRDefault="00FA7B73" w:rsidP="00FA7B73">
      <w:pPr>
        <w:pStyle w:val="TAMainText"/>
        <w:tabs>
          <w:tab w:val="left" w:pos="2016"/>
        </w:tabs>
        <w:ind w:firstLine="0"/>
        <w:rPr>
          <w:rFonts w:cs="Times"/>
          <w:lang w:val="en-CA"/>
        </w:rPr>
      </w:pPr>
      <w:r w:rsidRPr="00D039E9">
        <w:rPr>
          <w:rFonts w:cs="Times"/>
          <w:lang w:val="en-CA"/>
        </w:rPr>
        <w:tab/>
      </w:r>
    </w:p>
    <w:p w14:paraId="6609FE70" w14:textId="613F6683" w:rsidR="003872DB" w:rsidRPr="00D039E9" w:rsidRDefault="003872DB" w:rsidP="003872DB">
      <w:pPr>
        <w:pStyle w:val="TAMainText"/>
        <w:ind w:firstLine="0"/>
        <w:rPr>
          <w:rFonts w:cs="Times"/>
          <w:lang w:val="en-CA"/>
        </w:rPr>
      </w:pPr>
      <w:r w:rsidRPr="00D039E9">
        <w:rPr>
          <w:rFonts w:cs="Times"/>
          <w:lang w:val="en-CA"/>
        </w:rPr>
        <w:t>The rigorous theoretical der</w:t>
      </w:r>
      <w:r w:rsidR="00F04F0F" w:rsidRPr="00D039E9">
        <w:rPr>
          <w:rFonts w:cs="Times"/>
          <w:lang w:val="en-CA"/>
        </w:rPr>
        <w:t>ivations presented in Sections 3 and 4</w:t>
      </w:r>
      <w:r w:rsidRPr="00D039E9">
        <w:rPr>
          <w:rFonts w:cs="Times"/>
          <w:lang w:val="en-CA"/>
        </w:rPr>
        <w:t xml:space="preserve"> have shown that the same </w:t>
      </w:r>
      <m:oMath>
        <m:sSub>
          <m:sSubPr>
            <m:ctrlPr>
              <w:rPr>
                <w:rFonts w:ascii="Cambria Math" w:hAnsi="Cambria Math" w:cs="Times"/>
                <w:i/>
                <w:lang w:val="en-CA"/>
              </w:rPr>
            </m:ctrlPr>
          </m:sSubPr>
          <m:e>
            <m:r>
              <w:rPr>
                <w:rFonts w:ascii="Cambria Math" w:hAnsi="Cambria Math" w:cs="Times"/>
                <w:lang w:val="en-CA"/>
              </w:rPr>
              <m:t>G</m:t>
            </m:r>
          </m:e>
          <m:sub>
            <m:r>
              <w:rPr>
                <w:rFonts w:ascii="Cambria Math" w:hAnsi="Cambria Math" w:cs="Times"/>
                <w:lang w:val="en-CA"/>
              </w:rPr>
              <m:t>FP</m:t>
            </m:r>
          </m:sub>
        </m:sSub>
      </m:oMath>
      <w:r w:rsidRPr="00D039E9">
        <w:rPr>
          <w:rFonts w:cs="Times"/>
          <w:lang w:val="en-CA"/>
        </w:rPr>
        <w:t xml:space="preserve"> can be obtained from two different routes, headspace and membrane binding measurements. Since the equivalence and differences of these two experiments have been clearly laid out, the investigator can choose the appropriate technique based upon availability and technical facility.  </w:t>
      </w:r>
    </w:p>
    <w:p w14:paraId="2872F916" w14:textId="77777777" w:rsidR="003872DB" w:rsidRPr="00D039E9" w:rsidRDefault="003872DB" w:rsidP="003872DB">
      <w:pPr>
        <w:pStyle w:val="TAMainText"/>
        <w:ind w:firstLine="0"/>
        <w:rPr>
          <w:rFonts w:cs="Times"/>
          <w:lang w:val="en-CA"/>
        </w:rPr>
      </w:pPr>
    </w:p>
    <w:p w14:paraId="5DCA9822" w14:textId="141EDEF3" w:rsidR="003872DB" w:rsidRPr="00D039E9" w:rsidRDefault="00F04F0F" w:rsidP="003872DB">
      <w:pPr>
        <w:pStyle w:val="TAMainText"/>
        <w:rPr>
          <w:lang w:val="en-CA"/>
        </w:rPr>
      </w:pPr>
      <w:r w:rsidRPr="00D039E9">
        <w:rPr>
          <w:lang w:val="en-CA"/>
        </w:rPr>
        <w:t>Section 5</w:t>
      </w:r>
      <w:r w:rsidR="003872DB" w:rsidRPr="00D039E9">
        <w:rPr>
          <w:lang w:val="en-CA"/>
        </w:rPr>
        <w:t xml:space="preserve"> demonstrated that the effect of flavour on denaturation or gel melting temperature is also driven by </w:t>
      </w:r>
      <m:oMath>
        <m:r>
          <m:rPr>
            <m:sty m:val="p"/>
          </m:rPr>
          <w:rPr>
            <w:rFonts w:ascii="Cambria Math" w:hAnsi="Cambria Math"/>
            <w:lang w:val="en-CA"/>
          </w:rPr>
          <m:t>Δ</m:t>
        </m:r>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PF</m:t>
            </m:r>
          </m:sub>
        </m:sSub>
        <m:r>
          <w:rPr>
            <w:rFonts w:ascii="Cambria Math" w:hAnsi="Cambria Math"/>
            <w:lang w:val="en-CA"/>
          </w:rPr>
          <m:t>=</m:t>
        </m:r>
        <m:sSubSup>
          <m:sSubSupPr>
            <m:ctrlPr>
              <w:rPr>
                <w:rFonts w:ascii="Cambria Math" w:hAnsi="Cambria Math"/>
                <w:i/>
                <w:lang w:val="en-CA"/>
              </w:rPr>
            </m:ctrlPr>
          </m:sSubSupPr>
          <m:e>
            <m:r>
              <w:rPr>
                <w:rFonts w:ascii="Cambria Math" w:hAnsi="Cambria Math"/>
                <w:lang w:val="en-CA"/>
              </w:rPr>
              <m:t>G</m:t>
            </m:r>
          </m:e>
          <m:sub>
            <m:r>
              <w:rPr>
                <w:rFonts w:ascii="Cambria Math" w:hAnsi="Cambria Math"/>
                <w:lang w:val="en-CA"/>
              </w:rPr>
              <m:t>PF</m:t>
            </m:r>
          </m:sub>
          <m:sup>
            <m:r>
              <w:rPr>
                <w:rFonts w:ascii="Cambria Math" w:hAnsi="Cambria Math"/>
                <w:lang w:val="en-CA"/>
              </w:rPr>
              <m:t>(d)</m:t>
            </m:r>
          </m:sup>
        </m:sSubSup>
        <m:r>
          <w:rPr>
            <w:rFonts w:ascii="Cambria Math" w:hAnsi="Cambria Math"/>
            <w:lang w:val="en-CA"/>
          </w:rPr>
          <m:t>-</m:t>
        </m:r>
        <m:sSubSup>
          <m:sSubSupPr>
            <m:ctrlPr>
              <w:rPr>
                <w:rFonts w:ascii="Cambria Math" w:hAnsi="Cambria Math"/>
                <w:i/>
                <w:lang w:val="en-CA"/>
              </w:rPr>
            </m:ctrlPr>
          </m:sSubSupPr>
          <m:e>
            <m:r>
              <w:rPr>
                <w:rFonts w:ascii="Cambria Math" w:hAnsi="Cambria Math"/>
                <w:lang w:val="en-CA"/>
              </w:rPr>
              <m:t>G</m:t>
            </m:r>
          </m:e>
          <m:sub>
            <m:r>
              <w:rPr>
                <w:rFonts w:ascii="Cambria Math" w:hAnsi="Cambria Math"/>
                <w:lang w:val="en-CA"/>
              </w:rPr>
              <m:t>PF</m:t>
            </m:r>
          </m:sub>
          <m:sup>
            <m:r>
              <w:rPr>
                <w:rFonts w:ascii="Cambria Math" w:hAnsi="Cambria Math"/>
                <w:lang w:val="en-CA"/>
              </w:rPr>
              <m:t>(n)</m:t>
            </m:r>
          </m:sup>
        </m:sSubSup>
      </m:oMath>
      <w:r w:rsidR="003872DB" w:rsidRPr="00D039E9">
        <w:rPr>
          <w:lang w:val="en-CA"/>
        </w:rPr>
        <w:t xml:space="preserve">, the difference of </w:t>
      </w:r>
      <m:oMath>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PF</m:t>
            </m:r>
          </m:sub>
        </m:sSub>
      </m:oMath>
      <w:r w:rsidR="003872DB" w:rsidRPr="00D039E9">
        <w:rPr>
          <w:lang w:val="en-CA"/>
        </w:rPr>
        <w:t xml:space="preserve"> between the native and the denatured states at the melting temperature.</w:t>
      </w:r>
      <w:r w:rsidR="00D547D5" w:rsidRPr="00D039E9">
        <w:rPr>
          <w:lang w:val="en-CA"/>
        </w:rPr>
        <w:fldChar w:fldCharType="begin" w:fldLock="1"/>
      </w:r>
      <w:r w:rsidR="003E67FA" w:rsidRPr="00D039E9">
        <w:rPr>
          <w:lang w:val="en-CA"/>
        </w:rPr>
        <w:instrText>ADDIN CSL_CITATION { "citationItems" : [ { "id" : "ITEM-1", "itemData" : { "DOI" : "10.1021/jp509099h", "ISSN" : "15205207", "PMID" : "25375260", "abstract" : "Gelation is enhanced by the addition of sugars and polyols. How, at a microscopic level, do such cosolvents enhance gelation? The following two different hypotheses have been proposed so far to answer this question: (i) enhancement of water structure around the biopolymer induced by cosolvents; (ii) exclusion of cosolvents from biopolymer surfaces. To examine the validity of the above hypotheses, as well as to quantify the driving forces of cosolvent-induced gelation, we have constructed a statistical thermodynamic theory of gelation, by extending our Kirkwood-Buff theory of cosolvency; biopolymer-water and biopolymer-cosolvent interactions can both be determined from thermodynamic data. The exclusion of cosolvents is shown to be the dominant contribution, whereas the hydration change is a minor contribution, which may be important only so far as to mediate the exclusion of cosolvents.", "author" : [ { "dropping-particle" : "", "family" : "Shimizu", "given" : "Seishi", "non-dropping-particle" : "", "parse-names" : false, "suffix" : "" }, { "dropping-particle" : "", "family" : "Matubayasi", "given" : "Nobuyuki", "non-dropping-particle" : "", "parse-names" : false, "suffix" : "" } ], "container-title" : "Journal of Physical Chemistry B", "id" : "ITEM-1", "issue" : "46", "issued" : { "date-parts" : [ [ "2014" ] ] }, "page" : "13210-13216", "title" : "Gelation: The role of sugars and polyols on gelatin and agarose", "type" : "article-journal", "volume" : "118" }, "uris" : [ "http://www.mendeley.com/documents/?uuid=3f487fe1-7c16-485b-971c-d2e69e2da704" ] }, { "id" : "ITEM-2", "itemData" : { "DOI" : "10.1016/j.cplett.2011.08.038", "ISSN" : "00092614", "abstract" : "Various cosolvents are known to modulate the thermal stability of the proteins. To understand its molecular origin, a statistical thermodynamic analysis, based upon the Kirkwood-Buff (KB) theory, has been performed to obtain information regarding the accumulation or depletion of solvent molecules around proteins, based upon published experimental data. The analysis shows the dominant importance of cosolvent's accumulation or depletion around the proteins, whereas the role of protein hydration is minor. ?? 2011 Elsevier B.V. All rights reserved.", "author" : [ { "dropping-particle" : "", "family" : "Shimizu", "given" : "Seishi", "non-dropping-particle" : "", "parse-names" : false, "suffix" : "" } ], "container-title" : "Chemical Physics Letters", "id" : "ITEM-2", "issue" : "1-3", "issued" : { "date-parts" : [ [ "2011" ] ] }, "page" : "156-158", "publisher" : "Elsevier B.V.", "title" : "Molecular origin of the cosolvent-induced changes in the thermal stability of proteins", "type" : "article-journal", "volume" : "514" }, "uris" : [ "http://www.mendeley.com/documents/?uuid=f72a9936-cbbc-4fe0-8a8f-d5f1c1425260" ] }, { "id" : "ITEM-3", "itemData" : { "DOI" : "10.1016/j.foodhyd.2015.10.007", "ISSN" : "0268005X", "abstract" : "The gelation of ??-carrageenan, a common polysaccharide for food gelling and thickening, is enhanced by the addition of sugars and polyols. Three different hypotheses have been proposed to explain this phenomenon: (i) the enhancement of the water structure around polysaccharides, and the concurrent change in polysaccharide hydration, induced by the cosolvent; (ii) exclusion of cosolvents from polysaccharide surfaces; (iii) binding between sugars/polyols and polysaccharides in the gel phase. To examine the above hypotheses, as well as to reveal the true driving forces responsible for gelation enhancement, we applied our recent statistical thermodynamic theory of gelation, derived from the rigorous Kirkwood-Buff theory. The hydration change is shown to be negligibly small relative to cosolvent exclusion and cosolvent-biopolymer binding, which can be rationalized by considering a sol-gel equilibrium in which (1) the exclusion of sugars/polyols from ??-carrageenan's surface in the sol phase, and (2) the binding of sugars and polyols in the gel phase, shift the sol-gel equilibrium of ??-carrageenan to the gel state. This novel picture is consistent with a wealth of experimental evidence and provides a mechanistic insight into how polyol and sugar cosolvents influence the gelation of ??-carrageenan on a molecular level.", "author" : [ { "dropping-particle" : "", "family" : "Stenner", "given" : "Richard", "non-dropping-particle" : "", "parse-names" : false, "suffix" : "" }, { "dropping-particle" : "", "family" : "Matubayasi", "given" : "Nobuyuki", "non-dropping-particle" : "", "parse-names" : false, "suffix" : "" }, { "dropping-particle" : "", "family" : "Shimizu", "given" : "Seishi", "non-dropping-particle" : "", "parse-names" : false, "suffix" : "" } ], "container-title" : "Food Hydrocolloids", "id" : "ITEM-3", "issued" : { "date-parts" : [ [ "2016" ] ] }, "page" : "284-292", "publisher" : "Elsevier Ltd", "title" : "Gelation of carrageenan: Effects of sugars and polyols", "type" : "article-journal", "volume" : "54" }, "uris" : [ "http://www.mendeley.com/documents/?uuid=1ba0dc87-aef9-4f66-a843-a82ff360fd80" ] }, { "id" : "ITEM-4",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"ITEM-4",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"mendeley" : { "formattedCitation" : "&lt;sup&gt;14,19,21,22&lt;/sup&gt;", "plainTextFormattedCitation" : "14,19,21,22", "previouslyFormattedCitation" : "&lt;sup&gt;14,19,21,22&lt;/sup&gt;" }, "properties" : { "noteIndex" : 0 }, "schema" : "https://github.com/citation-style-language/schema/raw/master/csl-citation.json" }</w:instrText>
      </w:r>
      <w:r w:rsidR="00D547D5" w:rsidRPr="00D039E9">
        <w:rPr>
          <w:lang w:val="en-CA"/>
        </w:rPr>
        <w:fldChar w:fldCharType="separate"/>
      </w:r>
      <w:r w:rsidR="003E67FA" w:rsidRPr="00D039E9">
        <w:rPr>
          <w:noProof/>
          <w:vertAlign w:val="superscript"/>
          <w:lang w:val="en-CA"/>
        </w:rPr>
        <w:t>14,19,21,22</w:t>
      </w:r>
      <w:r w:rsidR="00D547D5" w:rsidRPr="00D039E9">
        <w:rPr>
          <w:lang w:val="en-CA"/>
        </w:rPr>
        <w:fldChar w:fldCharType="end"/>
      </w:r>
      <w:r w:rsidR="003872DB" w:rsidRPr="00D039E9">
        <w:rPr>
          <w:lang w:val="en-CA"/>
        </w:rPr>
        <w:t xml:space="preserve"> Note that </w:t>
      </w:r>
      <m:oMath>
        <m:sSubSup>
          <m:sSubSupPr>
            <m:ctrlPr>
              <w:rPr>
                <w:rFonts w:ascii="Cambria Math" w:hAnsi="Cambria Math"/>
                <w:i/>
                <w:lang w:val="en-CA"/>
              </w:rPr>
            </m:ctrlPr>
          </m:sSubSupPr>
          <m:e>
            <m:r>
              <w:rPr>
                <w:rFonts w:ascii="Cambria Math" w:hAnsi="Cambria Math"/>
                <w:lang w:val="en-CA"/>
              </w:rPr>
              <m:t>G</m:t>
            </m:r>
          </m:e>
          <m:sub>
            <m:r>
              <w:rPr>
                <w:rFonts w:ascii="Cambria Math" w:hAnsi="Cambria Math"/>
                <w:lang w:val="en-CA"/>
              </w:rPr>
              <m:t>PF</m:t>
            </m:r>
          </m:sub>
          <m:sup>
            <m:r>
              <w:rPr>
                <w:rFonts w:ascii="Cambria Math" w:hAnsi="Cambria Math"/>
                <w:lang w:val="en-CA"/>
              </w:rPr>
              <m:t>(n)</m:t>
            </m:r>
          </m:sup>
        </m:sSubSup>
      </m:oMath>
      <w:r w:rsidR="003872DB" w:rsidRPr="00D039E9">
        <w:rPr>
          <w:lang w:val="en-CA"/>
        </w:rPr>
        <w:t xml:space="preserve"> can be obtained from headspace and binding measurements, usually at temperatures much lower than the denaturation/melting temperature. If </w:t>
      </w:r>
      <m:oMath>
        <m:sSubSup>
          <m:sSubSupPr>
            <m:ctrlPr>
              <w:rPr>
                <w:rFonts w:ascii="Cambria Math" w:hAnsi="Cambria Math"/>
                <w:i/>
                <w:lang w:val="en-CA"/>
              </w:rPr>
            </m:ctrlPr>
          </m:sSubSupPr>
          <m:e>
            <m:r>
              <w:rPr>
                <w:rFonts w:ascii="Cambria Math" w:hAnsi="Cambria Math"/>
                <w:lang w:val="en-CA"/>
              </w:rPr>
              <m:t>G</m:t>
            </m:r>
          </m:e>
          <m:sub>
            <m:r>
              <w:rPr>
                <w:rFonts w:ascii="Cambria Math" w:hAnsi="Cambria Math"/>
                <w:lang w:val="en-CA"/>
              </w:rPr>
              <m:t>PF</m:t>
            </m:r>
          </m:sub>
          <m:sup>
            <m:r>
              <w:rPr>
                <w:rFonts w:ascii="Cambria Math" w:hAnsi="Cambria Math"/>
                <w:lang w:val="en-CA"/>
              </w:rPr>
              <m:t>(n)</m:t>
            </m:r>
          </m:sup>
        </m:sSubSup>
      </m:oMath>
      <w:r w:rsidR="003872DB" w:rsidRPr="00D039E9">
        <w:rPr>
          <w:lang w:val="en-CA"/>
        </w:rPr>
        <w:t xml:space="preserve"> at the melting temperature can be obtained by the extrapolation of the temperature dependence of </w:t>
      </w:r>
      <m:oMath>
        <m:sSubSup>
          <m:sSubSupPr>
            <m:ctrlPr>
              <w:rPr>
                <w:rFonts w:ascii="Cambria Math" w:hAnsi="Cambria Math"/>
                <w:i/>
                <w:lang w:val="en-CA"/>
              </w:rPr>
            </m:ctrlPr>
          </m:sSubSupPr>
          <m:e>
            <m:r>
              <w:rPr>
                <w:rFonts w:ascii="Cambria Math" w:hAnsi="Cambria Math"/>
                <w:lang w:val="en-CA"/>
              </w:rPr>
              <m:t>G</m:t>
            </m:r>
          </m:e>
          <m:sub>
            <m:r>
              <w:rPr>
                <w:rFonts w:ascii="Cambria Math" w:hAnsi="Cambria Math"/>
                <w:lang w:val="en-CA"/>
              </w:rPr>
              <m:t>PF</m:t>
            </m:r>
          </m:sub>
          <m:sup>
            <m:r>
              <w:rPr>
                <w:rFonts w:ascii="Cambria Math" w:hAnsi="Cambria Math"/>
                <w:lang w:val="en-CA"/>
              </w:rPr>
              <m:t>(n)</m:t>
            </m:r>
          </m:sup>
        </m:sSubSup>
      </m:oMath>
      <w:r w:rsidR="003872DB" w:rsidRPr="00D039E9">
        <w:rPr>
          <w:lang w:val="en-CA"/>
        </w:rPr>
        <w:t xml:space="preserve"> at lower temperatures, </w:t>
      </w:r>
      <m:oMath>
        <m:sSubSup>
          <m:sSubSupPr>
            <m:ctrlPr>
              <w:rPr>
                <w:rFonts w:ascii="Cambria Math" w:hAnsi="Cambria Math"/>
                <w:i/>
                <w:lang w:val="en-CA"/>
              </w:rPr>
            </m:ctrlPr>
          </m:sSubSupPr>
          <m:e>
            <m:r>
              <w:rPr>
                <w:rFonts w:ascii="Cambria Math" w:hAnsi="Cambria Math"/>
                <w:lang w:val="en-CA"/>
              </w:rPr>
              <m:t>G</m:t>
            </m:r>
          </m:e>
          <m:sub>
            <m:r>
              <w:rPr>
                <w:rFonts w:ascii="Cambria Math" w:hAnsi="Cambria Math"/>
                <w:lang w:val="en-CA"/>
              </w:rPr>
              <m:t>PF</m:t>
            </m:r>
          </m:sub>
          <m:sup>
            <m:r>
              <w:rPr>
                <w:rFonts w:ascii="Cambria Math" w:hAnsi="Cambria Math"/>
                <w:lang w:val="en-CA"/>
              </w:rPr>
              <m:t>(n)</m:t>
            </m:r>
          </m:sup>
        </m:sSubSup>
      </m:oMath>
      <w:r w:rsidR="003872DB" w:rsidRPr="00D039E9">
        <w:rPr>
          <w:lang w:val="en-CA"/>
        </w:rPr>
        <w:t xml:space="preserve"> and </w:t>
      </w:r>
      <m:oMath>
        <m:sSubSup>
          <m:sSubSupPr>
            <m:ctrlPr>
              <w:rPr>
                <w:rFonts w:ascii="Cambria Math" w:hAnsi="Cambria Math"/>
                <w:i/>
                <w:lang w:val="en-CA"/>
              </w:rPr>
            </m:ctrlPr>
          </m:sSubSupPr>
          <m:e>
            <m:r>
              <w:rPr>
                <w:rFonts w:ascii="Cambria Math" w:hAnsi="Cambria Math"/>
                <w:lang w:val="en-CA"/>
              </w:rPr>
              <m:t>G</m:t>
            </m:r>
          </m:e>
          <m:sub>
            <m:r>
              <w:rPr>
                <w:rFonts w:ascii="Cambria Math" w:hAnsi="Cambria Math"/>
                <w:lang w:val="en-CA"/>
              </w:rPr>
              <m:t>PF</m:t>
            </m:r>
          </m:sub>
          <m:sup>
            <m:r>
              <w:rPr>
                <w:rFonts w:ascii="Cambria Math" w:hAnsi="Cambria Math"/>
                <w:lang w:val="en-CA"/>
              </w:rPr>
              <m:t>(d)</m:t>
            </m:r>
          </m:sup>
        </m:sSubSup>
      </m:oMath>
      <w:r w:rsidR="003872DB" w:rsidRPr="00D039E9">
        <w:rPr>
          <w:lang w:val="en-CA"/>
        </w:rPr>
        <w:t xml:space="preserve"> at the denaturation/melting temperature can be obtained, yielding useful information on flavour-biomolecule interaction for each conformational state. However, the presence of the flavour may affect the native conformational structure of the biomolecule, which may affect the estimation. </w:t>
      </w:r>
    </w:p>
    <w:p w14:paraId="403B33B5" w14:textId="77777777" w:rsidR="003872DB" w:rsidRPr="00D039E9" w:rsidRDefault="003872DB" w:rsidP="003872DB">
      <w:pPr>
        <w:pStyle w:val="TAMainText"/>
        <w:rPr>
          <w:lang w:val="en-CA"/>
        </w:rPr>
      </w:pPr>
    </w:p>
    <w:p w14:paraId="3A3B7B0D" w14:textId="406D93BB" w:rsidR="003872DB" w:rsidRPr="00D039E9" w:rsidRDefault="003872DB" w:rsidP="003872DB">
      <w:pPr>
        <w:pStyle w:val="TAMainText"/>
        <w:rPr>
          <w:lang w:val="en-CA"/>
        </w:rPr>
      </w:pPr>
      <w:r w:rsidRPr="00D039E9">
        <w:rPr>
          <w:lang w:val="en-CA"/>
        </w:rPr>
        <w:t xml:space="preserve">Thus we have demonstrated the different route into the flavour-biomolecule interactions </w:t>
      </w:r>
      <w:r w:rsidR="00D71279" w:rsidRPr="00D039E9">
        <w:rPr>
          <w:lang w:val="en-CA"/>
        </w:rPr>
        <w:t>characterized by the KBI</w:t>
      </w:r>
      <w:r w:rsidRPr="00D039E9">
        <w:rPr>
          <w:lang w:val="en-CA"/>
        </w:rPr>
        <w:t>s, establishing that flavour-biomolecule interactions can be described in the same language that has been used to describe</w:t>
      </w:r>
      <w:r w:rsidR="001322DE" w:rsidRPr="00D039E9">
        <w:rPr>
          <w:lang w:val="en-CA"/>
        </w:rPr>
        <w:t xml:space="preserve"> a</w:t>
      </w:r>
      <w:r w:rsidRPr="00D039E9">
        <w:rPr>
          <w:lang w:val="en-CA"/>
        </w:rPr>
        <w:t xml:space="preserve"> wider range of phenomena in food science.</w:t>
      </w:r>
      <w:r w:rsidR="00D547D5" w:rsidRPr="00D039E9">
        <w:rPr>
          <w:lang w:val="en-CA"/>
        </w:rPr>
        <w:fldChar w:fldCharType="begin" w:fldLock="1"/>
      </w:r>
      <w:r w:rsidR="00C65F5C" w:rsidRPr="00D039E9">
        <w:rPr>
          <w:lang w:val="en-CA"/>
        </w:rPr>
        <w:instrText>ADDIN CSL_CITATION { "citationItems" : [ { "id" : "ITEM-1", "itemData" : { "DOI" : "10.1021/jp509099h", "ISSN" : "15205207", "PMID" : "25375260", "abstract" : "Gelation is enhanced by the addition of sugars and polyols. How, at a microscopic level, do such cosolvents enhance gelation? The following two different hypotheses have been proposed so far to answer this question: (i) enhancement of water structure around the biopolymer induced by cosolvents; (ii) exclusion of cosolvents from biopolymer surfaces. To examine the validity of the above hypotheses, as well as to quantify the driving forces of cosolvent-induced gelation, we have constructed a statistical thermodynamic theory of gelation, by extending our Kirkwood-Buff theory of cosolvency; biopolymer-water and biopolymer-cosolvent interactions can both be determined from thermodynamic data. The exclusion of cosolvents is shown to be the dominant contribution, whereas the hydration change is a minor contribution, which may be important only so far as to mediate the exclusion of cosolvents.", "author" : [ { "dropping-particle" : "", "family" : "Shimizu", "given" : "Seishi", "non-dropping-particle" : "", "parse-names" : false, "suffix" : "" }, { "dropping-particle" : "", "family" : "Matubayasi", "given" : "Nobuyuki", "non-dropping-particle" : "", "parse-names" : false, "suffix" : "" } ], "container-title" : "Journal of Physical Chemistry B", "id" : "ITEM-1", "issue" : "46", "issued" : { "date-parts" : [ [ "2014" ] ] }, "page" : "13210-13216", "title" : "Gelation: The role of sugars and polyols on gelatin and agarose", "type" : "article-journal", "volume" : "118" }, "uris" : [ "http://www.mendeley.com/documents/?uuid=3f487fe1-7c16-485b-971c-d2e69e2da704" ] }, { "id" : "ITEM-2", "itemData" : { "DOI" : "10.1016/j.foodhyd.2015.10.007", "ISSN" : "0268005X", "abstract" : "The gelation of ??-carrageenan, a common polysaccharide for food gelling and thickening, is enhanced by the addition of sugars and polyols. Three different hypotheses have been proposed to explain this phenomenon: (i) the enhancement of the water structure around polysaccharides, and the concurrent change in polysaccharide hydration, induced by the cosolvent; (ii) exclusion of cosolvents from polysaccharide surfaces; (iii) binding between sugars/polyols and polysaccharides in the gel phase. To examine the above hypotheses, as well as to reveal the true driving forces responsible for gelation enhancement, we applied our recent statistical thermodynamic theory of gelation, derived from the rigorous Kirkwood-Buff theory. The hydration change is shown to be negligibly small relative to cosolvent exclusion and cosolvent-biopolymer binding, which can be rationalized by considering a sol-gel equilibrium in which (1) the exclusion of sugars/polyols from ??-carrageenan's surface in the sol phase, and (2) the binding of sugars and polyols in the gel phase, shift the sol-gel equilibrium of ??-carrageenan to the gel state. This novel picture is consistent with a wealth of experimental evidence and provides a mechanistic insight into how polyol and sugar cosolvents influence the gelation of ??-carrageenan on a molecular level.", "author" : [ { "dropping-particle" : "", "family" : "Stenner", "given" : "Richard", "non-dropping-particle" : "", "parse-names" : false, "suffix" : "" }, { "dropping-particle" : "", "family" : "Matubayasi", "given" : "Nobuyuki", "non-dropping-particle" : "", "parse-names" : false, "suffix" : "" }, { "dropping-particle" : "", "family" : "Shimizu", "given" : "Seishi", "non-dropping-particle" : "", "parse-names" : false, "suffix" : "" } ], "container-title" : "Food Hydrocolloids", "id" : "ITEM-2", "issued" : { "date-parts" : [ [ "2016" ] ] }, "page" : "284-292", "publisher" : "Elsevier Ltd", "title" : "Gelation of carrageenan: Effects of sugars and polyols", "type" : "article-journal", "volume" : "54" }, "uris" : [ "http://www.mendeley.com/documents/?uuid=1ba0dc87-aef9-4f66-a843-a82ff360fd80" ] }, { "id" : "ITEM-3", "itemData" : { "DOI" : "10.1039/C5FO00610D", "ISSN" : "2042-6496", "PMID" : "26222923", "abstract" : "Sugars and salts strongly affect the dimerization of caffeine in water. Such a change of dimerization, considered to be crucial for bitter taste suppression, has long been rationalized by the change of \u201cwater structure\u201d induced by the additives; \u201ckosmotropic\u201d (water structure enhancing) salts and sugars promote dimerization, whereas \u201cchaotropic\u201d (water structure breaking) salts suppress dimerization. Based on statistical thermodynamics, here we challenge this consensus; we combine the rigorous Kirkwood\u2013Buff theory of solution with the classical isodesmic model of caffeine association. Instead of the change of water structure, we show that the enhancement of caffeine dimerization is due to the exclusion of additives from caffeine, and that the weakening of dimerization is due to the binding of additives on caffeine.", "author" : [ { "dropping-particle" : "", "family" : "Shimizu", "given" : "Seishi", "non-dropping-particle" : "", "parse-names" : false, "suffix" : "" } ], "container-title" : "Food Funct.", "id" : "ITEM-3", "issue" : "10", "issued" : { "date-parts" : [ [ "2015" ] ] }, "page" : "3228-3235", "title" : "Caffeine dimerization: effects of sugar, salts, and water structure", "type" : "article-journal", "volume" : "6" }, "uris" : [ "http://www.mendeley.com/documents/?uuid=e7a43198-7480-4c39-add5-51eeb7353a01" ] }, { "id" : "ITEM-4",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"ITEM-4",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"mendeley" : { "formattedCitation" : "&lt;sup&gt;19,21,22,69&lt;/sup&gt;", "plainTextFormattedCitation" : "19,21,22,69", "previouslyFormattedCitation" : "&lt;sup&gt;19,21,22,69&lt;/sup&gt;" }, "properties" : { "noteIndex" : 0 }, "schema" : "https://github.com/citation-style-language/schema/raw/master/csl-citation.json" }</w:instrText>
      </w:r>
      <w:r w:rsidR="00D547D5" w:rsidRPr="00D039E9">
        <w:rPr>
          <w:lang w:val="en-CA"/>
        </w:rPr>
        <w:fldChar w:fldCharType="separate"/>
      </w:r>
      <w:r w:rsidR="00BB3004" w:rsidRPr="00D039E9">
        <w:rPr>
          <w:noProof/>
          <w:vertAlign w:val="superscript"/>
          <w:lang w:val="en-CA"/>
        </w:rPr>
        <w:t>19,21,22,69</w:t>
      </w:r>
      <w:r w:rsidR="00D547D5" w:rsidRPr="00D039E9">
        <w:rPr>
          <w:lang w:val="en-CA"/>
        </w:rPr>
        <w:fldChar w:fldCharType="end"/>
      </w:r>
      <w:r w:rsidRPr="00D039E9">
        <w:rPr>
          <w:lang w:val="en-CA"/>
        </w:rPr>
        <w:t xml:space="preserve"> The effect of sugars, polyols and salts on biomolecular gelation and denaturation can be described in the same theoretic</w:t>
      </w:r>
      <w:r w:rsidR="00F04F0F" w:rsidRPr="00D039E9">
        <w:rPr>
          <w:lang w:val="en-CA"/>
        </w:rPr>
        <w:t>al framework as in Sections 4 and 5</w:t>
      </w:r>
      <w:r w:rsidR="008A307F" w:rsidRPr="00D039E9">
        <w:rPr>
          <w:lang w:val="en-CA"/>
        </w:rPr>
        <w:t>.</w:t>
      </w:r>
      <w:r w:rsidR="00D547D5" w:rsidRPr="00D039E9">
        <w:rPr>
          <w:lang w:val="en-CA"/>
        </w:rPr>
        <w:fldChar w:fldCharType="begin" w:fldLock="1"/>
      </w:r>
      <w:r w:rsidR="003E67FA" w:rsidRPr="00D039E9">
        <w:rPr>
          <w:lang w:val="en-CA"/>
        </w:rPr>
        <w:instrText>ADDIN CSL_CITATION { "citationItems" : [ { "id" : "ITEM-1", "itemData" : { "DOI" : "10.1016/j.cplett.2011.08.038", "ISSN" : "00092614", "abstract" : "Various cosolvents are known to modulate the thermal stability of the proteins. To understand its molecular origin, a statistical thermodynamic analysis, based upon the Kirkwood-Buff (KB) theory, has been performed to obtain information regarding the accumulation or depletion of solvent molecules around proteins, based upon published experimental data. The analysis shows the dominant importance of cosolvent's accumulation or depletion around the proteins, whereas the role of protein hydration is minor. ?? 2011 Elsevier B.V. All rights reserved.", "author" : [ { "dropping-particle" : "", "family" : "Shimizu", "given" : "Seishi", "non-dropping-particle" : "", "parse-names" : false, "suffix" : "" } ], "container-title" : "Chemical Physics Letters", "id" : "ITEM-1", "issue" : "1-3", "issued" : { "date-parts" : [ [ "2011" ] ] }, "page" : "156-158", "publisher" : "Elsevier B.V.", "title" : "Molecular origin of the cosolvent-induced changes in the thermal stability of proteins", "type" : "article-journal", "volume" : "514" }, "uris" : [ "http://www.mendeley.com/documents/?uuid=f72a9936-cbbc-4fe0-8a8f-d5f1c1425260" ] }, { "id" : "ITEM-2", "itemData" : { "DOI" : "10.1021/jp509099h", "ISSN" : "15205207", "PMID" : "25375260", "abstract" : "Gelation is enhanced by the addition of sugars and polyols. How, at a microscopic level, do such cosolvents enhance gelation? The following two different hypotheses have been proposed so far to answer this question: (i) enhancement of water structure around the biopolymer induced by cosolvents; (ii) exclusion of cosolvents from biopolymer surfaces. To examine the validity of the above hypotheses, as well as to quantify the driving forces of cosolvent-induced gelation, we have constructed a statistical thermodynamic theory of gelation, by extending our Kirkwood-Buff theory of cosolvency; biopolymer-water and biopolymer-cosolvent interactions can both be determined from thermodynamic data. The exclusion of cosolvents is shown to be the dominant contribution, whereas the hydration change is a minor contribution, which may be important only so far as to mediate the exclusion of cosolvents.", "author" : [ { "dropping-particle" : "", "family" : "Shimizu", "given" : "Seishi", "non-dropping-particle" : "", "parse-names" : false, "suffix" : "" }, { "dropping-particle" : "", "family" : "Matubayasi", "given" : "Nobuyuki", "non-dropping-particle" : "", "parse-names" : false, "suffix" : "" } ], "container-title" : "Journal of Physical Chemistry B", "id" : "ITEM-2", "issue" : "46", "issued" : { "date-parts" : [ [ "2014" ] ] }, "page" : "13210-13216", "title" : "Gelation: The role of sugars and polyols on gelatin and agarose", "type" : "article-journal", "volume" : "118" }, "uris" : [ "http://www.mendeley.com/documents/?uuid=3f487fe1-7c16-485b-971c-d2e69e2da704" ] }, { "id" : "ITEM-3", "itemData" : { "DOI" : "10.1016/j.foodhyd.2015.10.007", "ISSN" : "0268005X", "abstract" : "The gelation of ??-carrageenan, a common polysaccharide for food gelling and thickening, is enhanced by the addition of sugars and polyols. Three different hypotheses have been proposed to explain this phenomenon: (i) the enhancement of the water structure around polysaccharides, and the concurrent change in polysaccharide hydration, induced by the cosolvent; (ii) exclusion of cosolvents from polysaccharide surfaces; (iii) binding between sugars/polyols and polysaccharides in the gel phase. To examine the above hypotheses, as well as to reveal the true driving forces responsible for gelation enhancement, we applied our recent statistical thermodynamic theory of gelation, derived from the rigorous Kirkwood-Buff theory. The hydration change is shown to be negligibly small relative to cosolvent exclusion and cosolvent-biopolymer binding, which can be rationalized by considering a sol-gel equilibrium in which (1) the exclusion of sugars/polyols from ??-carrageenan's surface in the sol phase, and (2) the binding of sugars and polyols in the gel phase, shift the sol-gel equilibrium of ??-carrageenan to the gel state. This novel picture is consistent with a wealth of experimental evidence and provides a mechanistic insight into how polyol and sugar cosolvents influence the gelation of ??-carrageenan on a molecular level.", "author" : [ { "dropping-particle" : "", "family" : "Stenner", "given" : "Richard", "non-dropping-particle" : "", "parse-names" : false, "suffix" : "" }, { "dropping-particle" : "", "family" : "Matubayasi", "given" : "Nobuyuki", "non-dropping-particle" : "", "parse-names" : false, "suffix" : "" }, { "dropping-particle" : "", "family" : "Shimizu", "given" : "Seishi", "non-dropping-particle" : "", "parse-names" : false, "suffix" : "" } ], "container-title" : "Food Hydrocolloids", "id" : "ITEM-3", "issued" : { "date-parts" : [ [ "2016" ] ] }, "page" : "284-292", "publisher" : "Elsevier Ltd", "title" : "Gelation of carrageenan: Effects of sugars and polyols", "type" : "article-journal", "volume" : "54" }, "uris" : [ "http://www.mendeley.com/documents/?uuid=1ba0dc87-aef9-4f66-a843-a82ff360fd80" ] }, { "id" : "ITEM-4",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"ITEM-4",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"mendeley" : { "formattedCitation" : "&lt;sup&gt;14,19,21,22&lt;/sup&gt;", "plainTextFormattedCitation" : "14,19,21,22", "previouslyFormattedCitation" : "&lt;sup&gt;14,19,21,22&lt;/sup&gt;" }, "properties" : { "noteIndex" : 0 }, "schema" : "https://github.com/citation-style-language/schema/raw/master/csl-citation.json" }</w:instrText>
      </w:r>
      <w:r w:rsidR="00D547D5" w:rsidRPr="00D039E9">
        <w:rPr>
          <w:lang w:val="en-CA"/>
        </w:rPr>
        <w:fldChar w:fldCharType="separate"/>
      </w:r>
      <w:r w:rsidR="003E67FA" w:rsidRPr="00D039E9">
        <w:rPr>
          <w:noProof/>
          <w:vertAlign w:val="superscript"/>
          <w:lang w:val="en-CA"/>
        </w:rPr>
        <w:t>14,19,21,22</w:t>
      </w:r>
      <w:r w:rsidR="00D547D5" w:rsidRPr="00D039E9">
        <w:rPr>
          <w:lang w:val="en-CA"/>
        </w:rPr>
        <w:fldChar w:fldCharType="end"/>
      </w:r>
      <w:r w:rsidR="008A307F" w:rsidRPr="00D039E9">
        <w:rPr>
          <w:lang w:val="en-CA"/>
        </w:rPr>
        <w:t xml:space="preserve"> Solubilis</w:t>
      </w:r>
      <w:r w:rsidRPr="00D039E9">
        <w:rPr>
          <w:lang w:val="en-CA"/>
        </w:rPr>
        <w:t>ation of hydrophobic solutes, including flavours, using hydrotropes has been shown to be descri</w:t>
      </w:r>
      <w:r w:rsidR="00F04F0F" w:rsidRPr="00D039E9">
        <w:rPr>
          <w:lang w:val="en-CA"/>
        </w:rPr>
        <w:t>bed by an extension of Section 4</w:t>
      </w:r>
      <w:r w:rsidRPr="00D039E9">
        <w:rPr>
          <w:lang w:val="en-CA"/>
        </w:rPr>
        <w:t>.</w:t>
      </w:r>
      <w:r w:rsidR="00D547D5" w:rsidRPr="00D039E9">
        <w:rPr>
          <w:lang w:val="en-CA"/>
        </w:rPr>
        <w:fldChar w:fldCharType="begin" w:fldLock="1"/>
      </w:r>
      <w:r w:rsidR="00C65F5C" w:rsidRPr="00D039E9">
        <w:rPr>
          <w:lang w:val="en-CA"/>
        </w:rPr>
        <w:instrText>ADDIN CSL_CITATION { "citationItems" : [ { "id" : "ITEM-1", "itemData" : { "DOI" : "10.1021/jp309819r", "ISBN" : "1520-6106", "ISSN" : "15205207", "PMID" : "23236952", "abstract" : "Drugs that are poorly soluble in water can be solubilized by the addition of hydrotropes. Albeit known for almost a century, how they work at a molecular basis is still controversial due to the lack of a rigorous theoretical basis. To clear up this situation, a combination of experimental data and Fluctuation Theory of Solutions (FTS) has been employed; information on the interactions between all the molecular species present in the solution has been evaluated directly. FTS has identified two major factors of hydrotrope-induced solubilization: preferential hydrotrope-solute interaction and water activity depression. The former is dominated by hydrotrope-solute association, and the latter is enhanced by ionic dissociation and hindered by the self-aggregation of the hydrotropes. Moreover, in stark contrast to previous hypotheses, neither the change of solute hydration nor the water structure accounts for hydrotropy. Indeed, the rigorous FTS poses serious doubts over the other common hypothesis: self-aggregation of the hydrotrope hinders, rather than promotes, solubilization.", "author" : [ { "dropping-particle" : "", "family" : "Booth", "given" : "Jonathan J.", "non-dropping-particle" : "", "parse-names" : false, "suffix" : "" }, { "dropping-particle" : "", "family" : "Abbott", "given" : "Steven", "non-dropping-particle" : "", "parse-names" : false, "suffix" : "" }, { "dropping-particle" : "", "family" : "Shimizu", "given" : "Seishi", "non-dropping-particle" : "", "parse-names" : false, "suffix" : "" } ], "container-title" : "Journal of Physical Chemistry B", "id" : "ITEM-1", "issue" : "51", "issued" : { "date-parts" : [ [ "2012" ] ] }, "page" : "14915-14921", "title" : "Mechanism of hydrophobic drug solubilization by small molecule hydrotropes", "type" : "article-journal", "volume" : "116" }, "uris" : [ "http://www.mendeley.com/documents/?uuid=33c3cbc9-707a-4097-91a4-e91008bc3dd6" ] }, { "id" : "ITEM-2", "itemData" : { "DOI" : "10.1039/c3cp53791a", "ISBN" : "1463-9076", "ISSN" : "1463-9084", "PMID" : "24189644", "abstract" : "Hydrophobic drugs can often be solubilized by the addition of hydrotropes. We have previously shown that preferential drug-hydrotrope association is one of the major factors of increased solubility (but not \"hydrotrope clustering\" or changes in \"water structure\"). How, then, can we understand this drug-hydrotrope interaction at a molecular level? Thermodynamic models based upon stoichiometric solute-water and solute-hydrotrope binding have long been used to understand solubilization microscopically. Such binding models have shown that the solvation numbers or coordination numbers of the water and hydrotrope molecules around the drug solute is the key quantity for solute-water and solute-hydrotrope interaction. However, we show that a rigorous statistical thermodynamic theory (the fluctuation solution theory originated by Kirkwood and Buff) requires the total reconsideration of such a paradigm. Here we show that (i) the excess solvation number (the net increase or decrease, relative to the bulk, of the solvent molecules around the solute), not the coordination number, is the key quantity for describing the solute-hydrotrope interaction; (ii) solute-hydrotrope binding is beyond the reach of the stoichiometric models because long-range solvation structure plays an important role.", "author" : [ { "dropping-particle" : "", "family" : "Shimizu", "given" : "Seishi", "non-dropping-particle" : "", "parse-names" : false, "suffix" : "" }, { "dropping-particle" : "", "family" : "Booth", "given" : "Jonathan J", "non-dropping-particle" : "", "parse-names" : false, "suffix" : "" }, { "dropping-particle" : "", "family" : "Abbott", "given" : "Steven", "non-dropping-particle" : "", "parse-names" : false, "suffix" : "" } ], "container-title" : "Physical chemistry chemical physics : PCCP", "id" : "ITEM-2", "issue" : "47", "issued" : { "date-parts" : [ [ "2013" ] ] }, "page" : "20625-20632", "title" : "Hydrotropy: binding models vs. statistical thermodynamics.", "type" : "article-journal", "volume" : "15" }, "uris" : [ "http://www.mendeley.com/documents/?uuid=d239f09f-553e-48eb-882f-c22d5aa8ac8c" ] }, { "id" : "ITEM-3", "itemData" : { "DOI" : "10.1021/jp505869m", "ISBN" : "1520-5207 (Electronic)\\r1520-5207 (Linking)", "ISSN" : "15205207", "PMID" : "25144510", "abstract" : "Drug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 "author" : [ { "dropping-particle" : "", "family" : "Shimizu", "given" : "Seishi", "non-dropping-particle" : "", "parse-names" : false, "suffix" : "" }, { "dropping-particle" : "", "family" : "Matubayasi", "given" : "Nobuyuki", "non-dropping-particle" : "", "parse-names" : false, "suffix" : "" } ], "container-title" : "Journal of Physical Chemistry B", "id" : "ITEM-3", "issue" : "35", "issued" : { "date-parts" : [ [ "2014" ] ] }, "page" : "10515-10524", "title" : "Hydrotropy: Monomer-micelle equilibrium and minimum hydrotrope concentration", "type" : "article-journal", "volume" : "118" }, "uris" : [ "http://www.mendeley.com/documents/?uuid=0cd1508f-d197-4e8d-a474-504cfaeae922" ] }, { "id" : "ITEM-4", "itemData" : { "DOI" : "10.1039/C4CP05414H", "ISBN" : "1463-9084", "ISSN" : "1463-9076", "abstract" : "Nicotinamide is an effective non-micellar hydrotrope (solubilizer) for drugs with low aqueous solubility. To clarify the molecular basis of nicotinamide's hydrotropic effectiveness, we present here a rigorous statistical thermodynamic theory, based on the Kirkwood-Buff theory of solutions, and our recent application of it to hydrotropy. We have shown that (i) nicotinamide self-association reduces solubilization efficiency, contrary to the previous hypothesis which claimed that self-association drives solubilization and (ii) the minimum hydrotrope concentration (MHC), namely, the threshold concentration above which solubility suddenly increases, is caused not by the bulk-phase self-association of nicotinamides as has been postulated previously, but by the enhancement of nicotinamide-nicotinamide interaction around the drug molecules. We have thus established a new view of hydrotropy - it is nicotinamide's non-stoichiometric accumulation around the drug that is the basis of solubility increase above MHC.[on SciFinder (R)]", "author" : [ { "dropping-particle" : "", "family" : "Booth", "given" : "Jonathan J", "non-dropping-particle" : "", "parse-names" : false, "suffix" : "" }, { "dropping-particle" : "", "family" : "Omar", "given" : "Muhiadin", "non-dropping-particle" : "", "parse-names" : false, "suffix" : "" }, { "dropping-particle" : "", "family" : "Abbott", "given" : "Steven", "non-dropping-particle" : "", "parse-names" : false, "suffix" : "" }, { "dropping-particle" : "", "family" : "Shimizu", "given" : "Seishi", "non-dropping-particle" : "", "parse-names" : false, "suffix" : "" } ], "container-title" : "Phys Chem Chem Phys", "id" : "ITEM-4", "issue" : "12", "issued" : { "date-parts" : [ [ "2015" ] ] }, "page" : "8028-8037", "publisher" : "Royal Society of Chemistry", "title" : "Hydrotrope accumulation around the drug: the driving force for solubilization and minimum hydrotrope concentration for nicotinamide and urea", "type" : "article-journal", "volume" : "17" }, "uris" : [ "http://www.mendeley.com/documents/?uuid=5c6e1dca-c577-4d43-8836-d1f313635128" ] }, { "id" : "ITEM-5", "itemData" : { "DOI" : "10.1039/C5FO00610D", "ISSN" : "2042-6496", "PMID" : "26222923", "abstract" : "Sugars and salts strongly affect the dimerization of caffeine in water. Such a change of dimerization, considered to be crucial for bitter taste suppression, has long been rationalized by the change of \u201cwater structure\u201d induced by the additives; \u201ckosmotropic\u201d (water structure enhancing) salts and sugars promote dimerization, whereas \u201cchaotropic\u201d (water structure breaking) salts suppress dimerization. Based on statistical thermodynamics, here we challenge this consensus; we combine the rigorous Kirkwood\u2013Buff theory of solution with the classical isodesmic model of caffeine association. Instead of the change of water structure, we show that the enhancement of caffeine dimerization is due to the exclusion of additives from caffeine, and that the weakening of dimerization is due to the binding of additives on caffeine.", "author" : [ { "dropping-particle" : "", "family" : "Shimizu", "given" : "Seishi", "non-dropping-particle" : "", "parse-names" : false, "suffix" : "" } ], "container-title" : "Food Funct.", "id" : "ITEM-5", "issue" : "10", "issued" : { "date-parts" : [ [ "2015" ] ] }, "page" : "3228-3235", "title" : "Caffeine dimerization: effects of sugar, salts, and water structure", "type" : "article-journal", "volume" : "6" }, "uris" : [ "http://www.mendeley.com/documents/?uuid=e7a43198-7480-4c39-add5-51eeb7353a01" ] }, { "id" : "ITEM-6", "itemData" : { "DOI" : "10.1039/C6CP01582D", "ISSN" : "1463-9076", "author" : [ { "dropping-particle" : "", "family" : "Nicol", "given" : "Thomas W. J.", "non-dropping-particle" : "", "parse-names" : false, "suffix" : "" }, { "dropping-particle" : "", "family" : "Matubayasi", "given" : "Nobuyuki", "non-dropping-particle" : "", "parse-names" : false, "suffix" : "" }, { "dropping-particle" : "", "family" : "Shimizu", "given" : "Seishi", "non-dropping-particle" : "", "parse-names" : false, "suffix" : "" } ], "container-title" : "Phys. Chem. Chem. Phys.", "id" : "ITEM-6", "issue" : "22", "issued" : { "date-parts" : [ [ "2016" ] ] }, "page" : "15205-15217", "publisher" : "Royal Society of Chemistry", "title" : "Origin of non-linearity in phase solubility: solubilisation by cyclodextrin beyond stoichiometric complexation", "type" : "article-journal", "volume" : "18" }, "uris" : [ "http://www.mendeley.com/documents/?uuid=3e5ca0e4-272d-4ab6-ae08-f7609fe1bd68" ] } ], "mendeley" : { "formattedCitation" : "&lt;sup&gt;15,16,18,20,69,70&lt;/sup&gt;", "plainTextFormattedCitation" : "15,16,18,20,69,70", "previouslyFormattedCitation" : "&lt;sup&gt;15,16,18,20,69,70&lt;/sup&gt;" }, "properties" : { "noteIndex" : 0 }, "schema" : "https://github.com/citation-style-language/schema/raw/master/csl-citation.json" }</w:instrText>
      </w:r>
      <w:r w:rsidR="00D547D5" w:rsidRPr="00D039E9">
        <w:rPr>
          <w:lang w:val="en-CA"/>
        </w:rPr>
        <w:fldChar w:fldCharType="separate"/>
      </w:r>
      <w:r w:rsidR="00BB3004" w:rsidRPr="00D039E9">
        <w:rPr>
          <w:noProof/>
          <w:vertAlign w:val="superscript"/>
          <w:lang w:val="en-CA"/>
        </w:rPr>
        <w:t>15,16,18,20,69,70</w:t>
      </w:r>
      <w:r w:rsidR="00D547D5" w:rsidRPr="00D039E9">
        <w:rPr>
          <w:lang w:val="en-CA"/>
        </w:rPr>
        <w:fldChar w:fldCharType="end"/>
      </w:r>
      <w:r w:rsidRPr="00D039E9">
        <w:rPr>
          <w:lang w:val="en-CA"/>
        </w:rPr>
        <w:t xml:space="preserve"> Flavour-biomolecule interaction has thus been given </w:t>
      </w:r>
      <w:r w:rsidR="001322DE" w:rsidRPr="00D039E9">
        <w:rPr>
          <w:lang w:val="en-CA"/>
        </w:rPr>
        <w:t xml:space="preserve">a </w:t>
      </w:r>
      <w:r w:rsidRPr="00D039E9">
        <w:rPr>
          <w:lang w:val="en-CA"/>
        </w:rPr>
        <w:t xml:space="preserve">theoretical foundation which </w:t>
      </w:r>
      <w:r w:rsidR="001322DE" w:rsidRPr="00D039E9">
        <w:rPr>
          <w:lang w:val="en-CA"/>
        </w:rPr>
        <w:t>fits into a wider range of</w:t>
      </w:r>
      <w:r w:rsidRPr="00D039E9">
        <w:rPr>
          <w:lang w:val="en-CA"/>
        </w:rPr>
        <w:t xml:space="preserve"> food science</w:t>
      </w:r>
      <w:r w:rsidR="001322DE" w:rsidRPr="00D039E9">
        <w:rPr>
          <w:lang w:val="en-CA"/>
        </w:rPr>
        <w:t xml:space="preserve"> issues, providing a common, deep, molecular language as a basis for rational understanding and control of complex food behaviours</w:t>
      </w:r>
      <w:r w:rsidRPr="00D039E9">
        <w:rPr>
          <w:lang w:val="en-CA"/>
        </w:rPr>
        <w:t xml:space="preserve">. </w:t>
      </w:r>
    </w:p>
    <w:p w14:paraId="648543CA" w14:textId="3FFE8702" w:rsidR="003872DB" w:rsidRPr="00D039E9" w:rsidRDefault="003872DB" w:rsidP="003872DB">
      <w:pPr>
        <w:pStyle w:val="TAMainText"/>
        <w:ind w:firstLine="0"/>
        <w:rPr>
          <w:rFonts w:cs="Times"/>
          <w:lang w:val="en-CA"/>
        </w:rPr>
      </w:pPr>
    </w:p>
    <w:p w14:paraId="67867698" w14:textId="77777777" w:rsidR="003872DB" w:rsidRPr="00D039E9" w:rsidRDefault="003872DB" w:rsidP="003872DB">
      <w:pPr>
        <w:pStyle w:val="TAMainText"/>
        <w:ind w:firstLine="0"/>
        <w:rPr>
          <w:rFonts w:cs="Times"/>
          <w:b/>
          <w:lang w:val="en-CA"/>
        </w:rPr>
      </w:pPr>
      <w:r w:rsidRPr="00D039E9">
        <w:rPr>
          <w:rFonts w:cs="Times"/>
          <w:b/>
          <w:lang w:val="en-CA"/>
        </w:rPr>
        <w:t xml:space="preserve">7. Conclusion </w:t>
      </w:r>
    </w:p>
    <w:p w14:paraId="2C8099BC" w14:textId="77777777" w:rsidR="003872DB" w:rsidRPr="00D039E9" w:rsidRDefault="003872DB" w:rsidP="003872DB">
      <w:pPr>
        <w:pStyle w:val="TAMainText"/>
        <w:ind w:firstLine="0"/>
        <w:rPr>
          <w:rFonts w:cs="Times"/>
          <w:lang w:val="en-CA"/>
        </w:rPr>
      </w:pPr>
    </w:p>
    <w:p w14:paraId="5C968614" w14:textId="49625C46" w:rsidR="003872DB" w:rsidRPr="00D039E9" w:rsidRDefault="003872DB" w:rsidP="003872DB">
      <w:pPr>
        <w:pStyle w:val="TAMainText"/>
        <w:rPr>
          <w:lang w:val="en-CA"/>
        </w:rPr>
      </w:pPr>
      <w:r w:rsidRPr="00D039E9">
        <w:rPr>
          <w:lang w:val="en-CA"/>
        </w:rPr>
        <w:t>It has long been recognized that flavour molecules interact with food macromolecules in a non-specific manner. However, the lack of an appropriate theoretical language for non-specific interactions forced the interaction to be modelled by stoichiometry models, which not only introduced a number of unrealistic assumptions but also made the experimental analysis more complicated than it should be.</w:t>
      </w:r>
      <w:r w:rsidR="003D2C4C" w:rsidRPr="00D039E9">
        <w:rPr>
          <w:lang w:val="en-CA"/>
        </w:rPr>
        <w:fldChar w:fldCharType="begin" w:fldLock="1"/>
      </w:r>
      <w:r w:rsidR="003E67FA" w:rsidRPr="00D039E9">
        <w:rPr>
          <w:lang w:val="en-CA"/>
        </w:rPr>
        <w:instrText>ADDIN CSL_CITATION { "citationItems" : [ { "id" : "ITEM-1",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"ITEM-1",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"id" : "ITEM-2",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"ITEM-2", "issue" : "14", "issued" : { "date-parts" : [ [ "2014" ] ] }, "page" : "3922-3930", "title" : "Preferential solvation: Dividing surface vs excess numbers", "type" : "article-journal", "volume" : "118" }, "uris" : [ "http://www.mendeley.com/documents/?uuid=896fec6b-354e-41cd-a8de-55bd371a22f5" ] }, { "id" : "ITEM-3", "itemData" : { "DOI" : "10.1039/c3cp53791a", "ISBN" : "1463-9076", "ISSN" : "1463-9084", "PMID" : "24189644", "abstract" : "Hydrophobic drugs can often be solubilized by the addition of hydrotropes. We have previously shown that preferential drug-hydrotrope association is one of the major factors of increased solubility (but not \"hydrotrope clustering\" or changes in \"water structure\"). How, then, can we understand this drug-hydrotrope interaction at a molecular level? Thermodynamic models based upon stoichiometric solute-water and solute-hydrotrope binding have long been used to understand solubilization microscopically. Such binding models have shown that the solvation numbers or coordination numbers of the water and hydrotrope molecules around the drug solute is the key quantity for solute-water and solute-hydrotrope interaction. However, we show that a rigorous statistical thermodynamic theory (the fluctuation solution theory originated by Kirkwood and Buff) requires the total reconsideration of such a paradigm. Here we show that (i) the excess solvation number (the net increase or decrease, relative to the bulk, of the solvent molecules around the solute), not the coordination number, is the key quantity for describing the solute-hydrotrope interaction; (ii) solute-hydrotrope binding is beyond the reach of the stoichiometric models because long-range solvation structure plays an important role.", "author" : [ { "dropping-particle" : "", "family" : "Shimizu", "given" : "Seishi", "non-dropping-particle" : "", "parse-names" : false, "suffix" : "" }, { "dropping-particle" : "", "family" : "Booth", "given" : "Jonathan J", "non-dropping-particle" : "", "parse-names" : false, "suffix" : "" }, { "dropping-particle" : "", "family" : "Abbott", "given" : "Steven", "non-dropping-particle" : "", "parse-names" : false, "suffix" : "" } ], "container-title" : "Physical chemistry chemical physics : PCCP", "id" : "ITEM-3", "issue" : "47", "issued" : { "date-parts" : [ [ "2013" ] ] }, "page" : "20625-20632", "title" : "Hydrotropy: binding models vs. statistical thermodynamics.", "type" : "article-journal", "volume" : "15" }, "uris" : [ "http://www.mendeley.com/documents/?uuid=d239f09f-553e-48eb-882f-c22d5aa8ac8c" ] }, { "id" : "ITEM-4",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"ITEM-4",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"mendeley" : { "formattedCitation" : "&lt;sup&gt;11,16,17,22&lt;/sup&gt;", "plainTextFormattedCitation" : "11,16,17,22", "previouslyFormattedCitation" : "&lt;sup&gt;11,16,17,22&lt;/sup&gt;" }, "properties" : { "noteIndex" : 0 }, "schema" : "https://github.com/citation-style-language/schema/raw/master/csl-citation.json" }</w:instrText>
      </w:r>
      <w:r w:rsidR="003D2C4C" w:rsidRPr="00D039E9">
        <w:rPr>
          <w:lang w:val="en-CA"/>
        </w:rPr>
        <w:fldChar w:fldCharType="separate"/>
      </w:r>
      <w:r w:rsidR="003E67FA" w:rsidRPr="00D039E9">
        <w:rPr>
          <w:noProof/>
          <w:vertAlign w:val="superscript"/>
          <w:lang w:val="en-CA"/>
        </w:rPr>
        <w:t>11,16,17,22</w:t>
      </w:r>
      <w:r w:rsidR="003D2C4C" w:rsidRPr="00D039E9">
        <w:rPr>
          <w:lang w:val="en-CA"/>
        </w:rPr>
        <w:fldChar w:fldCharType="end"/>
      </w:r>
    </w:p>
    <w:p w14:paraId="15A2A3BB" w14:textId="77777777" w:rsidR="003872DB" w:rsidRPr="00D039E9" w:rsidRDefault="003872DB" w:rsidP="003872DB">
      <w:pPr>
        <w:pStyle w:val="TAMainText"/>
        <w:rPr>
          <w:lang w:val="en-CA"/>
        </w:rPr>
      </w:pPr>
    </w:p>
    <w:p w14:paraId="1B6FF715" w14:textId="5BF7DF4C" w:rsidR="003872DB" w:rsidRPr="00D039E9" w:rsidRDefault="003872DB" w:rsidP="003872DB">
      <w:pPr>
        <w:pStyle w:val="TAMainText"/>
        <w:rPr>
          <w:lang w:val="en-CA"/>
        </w:rPr>
      </w:pPr>
      <w:r w:rsidRPr="00D039E9">
        <w:rPr>
          <w:lang w:val="en-CA"/>
        </w:rPr>
        <w:t>We have proposed a much better alternative. It can not only describe the non-specific interactions without any unrealistic assumptions but also comes directly from the first principles of molecular thermodynamics.</w:t>
      </w:r>
      <w:r w:rsidR="003D2C4C" w:rsidRPr="00D039E9">
        <w:rPr>
          <w:lang w:val="en-CA"/>
        </w:rPr>
        <w:fldChar w:fldCharType="begin" w:fldLock="1"/>
      </w:r>
      <w:r w:rsidR="003E67FA" w:rsidRPr="00D039E9">
        <w:rPr>
          <w:lang w:val="en-CA"/>
        </w:rPr>
        <w:instrText>ADDIN CSL_CITATION { "citationItems" : [ { "id" : "ITEM-1",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"ITEM-1",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"id" : "ITEM-2", "itemData" : { "DOI" : "10.1063/1.1806402", "ISSN" : "00219606", "PMID" : "15527383", "abstract" : "Cosolvents added to aqueous solutions of biomolecules profoundly affect protein stability, as well as biochemical equilibria. Some cosolvents, such as urea and guanidine hydrochloride, denature proteins, whereas others, such as osmolytes and crowders, stabilize the native structures of proteins. The way cosolvents interact with biomolecules is crucial information required to understand the cosolvent effect at a molecular level. We present a statistical mechanical framework based upon Kirkwood-Buff theory, which enables one to extract this picture from experimental data. The combination of two experimental results, namely, the cosolvent-induced equilibrium shift and the partial molar volume change upon the reaction, supplimented by the structural change, is shown to yield the number of water and cosolvent molecules bound or released during a reaction. Previously, denaturation experiments (e.g., m-value analysis) were analyzed by empirical and stoichiometric solvent-binding models, while the effects of osmolytes and crowders were analyzed by the approximate molecular crowding approach for low cosolvent concentration. Here we synthesize these previous approaches in a rigorous statistical mechanical treatment, which is applicable at any cosolvent concentration. The usefulness and accuracy of previous approaches was also evaluated.", "author" : [ { "dropping-particle" : "", "family" : "Shimizu", "given" : "Seishi", "non-dropping-particle" : "", "parse-names" : false, "suffix" : "" }, { "dropping-particle" : "", "family" : "Boon", "given" : "Chandra L.", "non-dropping-particle" : "", "parse-names" : false, "suffix" : "" } ], "container-title" : "Journal of Chemical Physics", "id" : "ITEM-2", "issue" : "18", "issued" : { "date-parts" : [ [ "2004" ] ] }, "page" : "9147-9155", "title" : "The Kirkwood-Buff theory and the effect of cosolvents on biochemical reactions", "type" : "article-journal", "volume" : "121" }, "uris" : [ "http://www.mendeley.com/documents/?uuid=773d4c28-f2d5-421b-a5a5-0066df199fbe" ] }, { "id" : "ITEM-3",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"ITEM-3", "issue" : "14", "issued" : { "date-parts" : [ [ "2014" ] ] }, "page" : "3922-3930", "title" : "Preferential solvation: Dividing surface vs excess numbers", "type" : "article-journal", "volume" : "118" }, "uris" : [ "http://www.mendeley.com/documents/?uuid=896fec6b-354e-41cd-a8de-55bd371a22f5" ] }, { "id" : "ITEM-4", "itemData" : { "DOI" : "10.1016/j.foodhyd.2015.10.007", "ISSN" : "0268005X", "abstract" : "The gelation of ??-carrageenan, a common polysaccharide for food gelling and thickening, is enhanced by the addition of sugars and polyols. Three different hypotheses have been proposed to explain this phenomenon: (i) the enhancement of the water structure around polysaccharides, and the concurrent change in polysaccharide hydration, induced by the cosolvent; (ii) exclusion of cosolvents from polysaccharide surfaces; (iii) binding between sugars/polyols and polysaccharides in the gel phase. To examine the above hypotheses, as well as to reveal the true driving forces responsible for gelation enhancement, we applied our recent statistical thermodynamic theory of gelation, derived from the rigorous Kirkwood-Buff theory. The hydration change is shown to be negligibly small relative to cosolvent exclusion and cosolvent-biopolymer binding, which can be rationalized by considering a sol-gel equilibrium in which (1) the exclusion of sugars/polyols from ??-carrageenan's surface in the sol phase, and (2) the binding of sugars and polyols in the gel phase, shift the sol-gel equilibrium of ??-carrageenan to the gel state. This novel picture is consistent with a wealth of experimental evidence and provides a mechanistic insight into how polyol and sugar cosolvents influence the gelation of ??-carrageenan on a molecular level.", "author" : [ { "dropping-particle" : "", "family" : "Stenner", "given" : "Richard", "non-dropping-particle" : "", "parse-names" : false, "suffix" : "" }, { "dropping-particle" : "", "family" : "Matubayasi", "given" : "Nobuyuki", "non-dropping-particle" : "", "parse-names" : false, "suffix" : "" }, { "dropping-particle" : "", "family" : "Shimizu", "given" : "Seishi", "non-dropping-particle" : "", "parse-names" : false, "suffix" : "" } ], "container-title" : "Food Hydrocolloids", "id" : "ITEM-4", "issued" : { "date-parts" : [ [ "2016" ] ] }, "page" : "284-292", "publisher" : "Elsevier Ltd", "title" : "Gelation of carrageenan: Effects of sugars and polyols", "type" : "article-journal", "volume" : "54" }, "uris" : [ "http://www.mendeley.com/documents/?uuid=1ba0dc87-aef9-4f66-a843-a82ff360fd80" ] }, { "id" : "ITEM-5",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"ITEM-5",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"mendeley" : { "formattedCitation" : "&lt;sup&gt;11,12,17,21,22&lt;/sup&gt;", "plainTextFormattedCitation" : "11,12,17,21,22", "previouslyFormattedCitation" : "&lt;sup&gt;11,12,17,21,22&lt;/sup&gt;" }, "properties" : { "noteIndex" : 0 }, "schema" : "https://github.com/citation-style-language/schema/raw/master/csl-citation.json" }</w:instrText>
      </w:r>
      <w:r w:rsidR="003D2C4C" w:rsidRPr="00D039E9">
        <w:rPr>
          <w:lang w:val="en-CA"/>
        </w:rPr>
        <w:fldChar w:fldCharType="separate"/>
      </w:r>
      <w:r w:rsidR="003E67FA" w:rsidRPr="00D039E9">
        <w:rPr>
          <w:noProof/>
          <w:vertAlign w:val="superscript"/>
          <w:lang w:val="en-CA"/>
        </w:rPr>
        <w:t>11,12,17,21,22</w:t>
      </w:r>
      <w:r w:rsidR="003D2C4C" w:rsidRPr="00D039E9">
        <w:rPr>
          <w:lang w:val="en-CA"/>
        </w:rPr>
        <w:fldChar w:fldCharType="end"/>
      </w:r>
      <w:r w:rsidR="003D2C4C" w:rsidRPr="00D039E9">
        <w:rPr>
          <w:lang w:val="en-CA"/>
        </w:rPr>
        <w:t xml:space="preserve"> </w:t>
      </w:r>
      <w:r w:rsidRPr="00D039E9">
        <w:rPr>
          <w:lang w:val="en-CA"/>
        </w:rPr>
        <w:t>More importantly, it simplifies the analysis of experimental measurements drastically by making the stoichiometry assumption redundant, and links the experiments directly to the collective, statistical behavior of molecules in the solution phase.</w:t>
      </w:r>
    </w:p>
    <w:p w14:paraId="3166924F" w14:textId="77777777" w:rsidR="003872DB" w:rsidRPr="00D039E9" w:rsidRDefault="003872DB" w:rsidP="003872DB">
      <w:pPr>
        <w:pStyle w:val="TAMainText"/>
        <w:rPr>
          <w:lang w:val="en-CA"/>
        </w:rPr>
      </w:pPr>
    </w:p>
    <w:p w14:paraId="1761A111" w14:textId="5CB82DE4" w:rsidR="007938E0" w:rsidRPr="00D039E9" w:rsidRDefault="003872DB" w:rsidP="007938E0">
      <w:pPr>
        <w:pStyle w:val="TAMainText"/>
        <w:rPr>
          <w:lang w:val="en-CA"/>
        </w:rPr>
      </w:pPr>
      <w:r w:rsidRPr="00D039E9">
        <w:rPr>
          <w:lang w:val="en-CA"/>
        </w:rPr>
        <w:t>We have provided a practical guide to analyzing headspace, binding, and melting/denaturation measurements</w:t>
      </w:r>
      <w:r w:rsidR="006143F6" w:rsidRPr="00D039E9">
        <w:rPr>
          <w:lang w:val="en-CA"/>
        </w:rPr>
        <w:t xml:space="preserve"> and by making available</w:t>
      </w:r>
      <w:r w:rsidR="001C35A5" w:rsidRPr="00D039E9">
        <w:rPr>
          <w:lang w:val="en-CA"/>
        </w:rPr>
        <w:t xml:space="preserve"> a set of open-source apps </w:t>
      </w:r>
      <w:r w:rsidR="006143F6" w:rsidRPr="00D039E9">
        <w:rPr>
          <w:lang w:val="en-CA"/>
        </w:rPr>
        <w:t xml:space="preserve">(with the collection of experimental data from the literature) </w:t>
      </w:r>
      <w:r w:rsidR="001C35A5" w:rsidRPr="00D039E9">
        <w:rPr>
          <w:lang w:val="en-CA"/>
        </w:rPr>
        <w:t>have made it easy to apply the theories</w:t>
      </w:r>
      <w:r w:rsidRPr="00D039E9">
        <w:rPr>
          <w:lang w:val="en-CA"/>
        </w:rPr>
        <w:t>. The equivalence and interrelationship between these measurements have been clearly laid out, based firmly on a rigorous theory.</w:t>
      </w:r>
      <w:r w:rsidR="003D2C4C" w:rsidRPr="00D039E9">
        <w:rPr>
          <w:lang w:val="en-CA"/>
        </w:rPr>
        <w:t xml:space="preserve"> </w:t>
      </w:r>
      <w:r w:rsidR="003D2C4C" w:rsidRPr="00D039E9">
        <w:rPr>
          <w:lang w:val="en-CA"/>
        </w:rPr>
        <w:fldChar w:fldCharType="begin" w:fldLock="1"/>
      </w:r>
      <w:r w:rsidR="003E67FA" w:rsidRPr="00D039E9">
        <w:rPr>
          <w:lang w:val="en-CA"/>
        </w:rPr>
        <w:instrText>ADDIN CSL_CITATION { "citationItems" : [ { "id" : "ITEM-1",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"ITEM-1",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"id" : "ITEM-2", "itemData" : { "DOI" : "10.1063/1.1806402", "ISSN" : "00219606", "PMID" : "15527383", "abstract" : "Cosolvents added to aqueous solutions of biomolecules profoundly affect protein stability, as well as biochemical equilibria. Some cosolvents, such as urea and guanidine hydrochloride, denature proteins, whereas others, such as osmolytes and crowders, stabilize the native structures of proteins. The way cosolvents interact with biomolecules is crucial information required to understand the cosolvent effect at a molecular level. We present a statistical mechanical framework based upon Kirkwood-Buff theory, which enables one to extract this picture from experimental data. The combination of two experimental results, namely, the cosolvent-induced equilibrium shift and the partial molar volume change upon the reaction, supplimented by the structural change, is shown to yield the number of water and cosolvent molecules bound or released during a reaction. Previously, denaturation experiments (e.g., m-value analysis) were analyzed by empirical and stoichiometric solvent-binding models, while the effects of osmolytes and crowders were analyzed by the approximate molecular crowding approach for low cosolvent concentration. Here we synthesize these previous approaches in a rigorous statistical mechanical treatment, which is applicable at any cosolvent concentration. The usefulness and accuracy of previous approaches was also evaluated.", "author" : [ { "dropping-particle" : "", "family" : "Shimizu", "given" : "Seishi", "non-dropping-particle" : "", "parse-names" : false, "suffix" : "" }, { "dropping-particle" : "", "family" : "Boon", "given" : "Chandra L.", "non-dropping-particle" : "", "parse-names" : false, "suffix" : "" } ], "container-title" : "Journal of Chemical Physics", "id" : "ITEM-2", "issue" : "18", "issued" : { "date-parts" : [ [ "2004" ] ] }, "page" : "9147-9155", "title" : "The Kirkwood-Buff theory and the effect of cosolvents on biochemical reactions", "type" : "article-journal", "volume" : "121" }, "uris" : [ "http://www.mendeley.com/documents/?uuid=773d4c28-f2d5-421b-a5a5-0066df199fbe" ] }, { "id" : "ITEM-3",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"ITEM-3", "issue" : "14", "issued" : { "date-parts" : [ [ "2014" ] ] }, "page" : "3922-3930", "title" : "Preferential solvation: Dividing surface vs excess numbers", "type" : "article-journal", "volume" : "118" }, "uris" : [ "http://www.mendeley.com/documents/?uuid=896fec6b-354e-41cd-a8de-55bd371a22f5" ] }, { "id" : "ITEM-4", "itemData" : { "DOI" : "10.1016/j.foodhyd.2015.10.007", "ISSN" : "0268005X", "abstract" : "The gelation of ??-carrageenan, a common polysaccharide for food gelling and thickening, is enhanced by the addition of sugars and polyols. Three different hypotheses have been proposed to explain this phenomenon: (i) the enhancement of the water structure around polysaccharides, and the concurrent change in polysaccharide hydration, induced by the cosolvent; (ii) exclusion of cosolvents from polysaccharide surfaces; (iii) binding between sugars/polyols and polysaccharides in the gel phase. To examine the above hypotheses, as well as to reveal the true driving forces responsible for gelation enhancement, we applied our recent statistical thermodynamic theory of gelation, derived from the rigorous Kirkwood-Buff theory. The hydration change is shown to be negligibly small relative to cosolvent exclusion and cosolvent-biopolymer binding, which can be rationalized by considering a sol-gel equilibrium in which (1) the exclusion of sugars/polyols from ??-carrageenan's surface in the sol phase, and (2) the binding of sugars and polyols in the gel phase, shift the sol-gel equilibrium of ??-carrageenan to the gel state. This novel picture is consistent with a wealth of experimental evidence and provides a mechanistic insight into how polyol and sugar cosolvents influence the gelation of ??-carrageenan on a molecular level.", "author" : [ { "dropping-particle" : "", "family" : "Stenner", "given" : "Richard", "non-dropping-particle" : "", "parse-names" : false, "suffix" : "" }, { "dropping-particle" : "", "family" : "Matubayasi", "given" : "Nobuyuki", "non-dropping-particle" : "", "parse-names" : false, "suffix" : "" }, { "dropping-particle" : "", "family" : "Shimizu", "given" : "Seishi", "non-dropping-particle" : "", "parse-names" : false, "suffix" : "" } ], "container-title" : "Food Hydrocolloids", "id" : "ITEM-4", "issued" : { "date-parts" : [ [ "2016" ] ] }, "page" : "284-292", "publisher" : "Elsevier Ltd", "title" : "Gelation of carrageenan: Effects of sugars and polyols", "type" : "article-journal", "volume" : "54" }, "uris" : [ "http://www.mendeley.com/documents/?uuid=1ba0dc87-aef9-4f66-a843-a82ff360fd80" ] }, { "id" : "ITEM-5",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"ITEM-5",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"mendeley" : { "formattedCitation" : "&lt;sup&gt;11,12,17,21,22&lt;/sup&gt;", "plainTextFormattedCitation" : "11,12,17,21,22", "previouslyFormattedCitation" : "&lt;sup&gt;11,12,17,21,22&lt;/sup&gt;" }, "properties" : { "noteIndex" : 0 }, "schema" : "https://github.com/citation-style-language/schema/raw/master/csl-citation.json" }</w:instrText>
      </w:r>
      <w:r w:rsidR="003D2C4C" w:rsidRPr="00D039E9">
        <w:rPr>
          <w:lang w:val="en-CA"/>
        </w:rPr>
        <w:fldChar w:fldCharType="separate"/>
      </w:r>
      <w:r w:rsidR="003E67FA" w:rsidRPr="00D039E9">
        <w:rPr>
          <w:noProof/>
          <w:vertAlign w:val="superscript"/>
          <w:lang w:val="en-CA"/>
        </w:rPr>
        <w:t>11,12,17,21,22</w:t>
      </w:r>
      <w:r w:rsidR="003D2C4C" w:rsidRPr="00D039E9">
        <w:rPr>
          <w:lang w:val="en-CA"/>
        </w:rPr>
        <w:fldChar w:fldCharType="end"/>
      </w:r>
      <w:r w:rsidRPr="00D039E9">
        <w:rPr>
          <w:lang w:val="en-CA"/>
        </w:rPr>
        <w:t xml:space="preserve"> The food scientist has now acquired a language which is appropriate for the subtlety of flavour-biomolecule interactions. </w:t>
      </w:r>
    </w:p>
    <w:p w14:paraId="67D662B5" w14:textId="65D91730" w:rsidR="0086721A" w:rsidRPr="00D039E9" w:rsidRDefault="0086721A" w:rsidP="007938E0">
      <w:pPr>
        <w:pStyle w:val="TAMainText"/>
        <w:rPr>
          <w:lang w:val="en-CA"/>
        </w:rPr>
      </w:pPr>
    </w:p>
    <w:p w14:paraId="545B79E8" w14:textId="05A154A3" w:rsidR="0086721A" w:rsidRPr="00D039E9" w:rsidRDefault="0086721A" w:rsidP="0086721A">
      <w:pPr>
        <w:pStyle w:val="TAMainText"/>
        <w:ind w:firstLine="0"/>
        <w:rPr>
          <w:b/>
          <w:lang w:val="en-CA"/>
        </w:rPr>
      </w:pPr>
      <w:r w:rsidRPr="00D039E9">
        <w:rPr>
          <w:b/>
          <w:lang w:val="en-CA"/>
        </w:rPr>
        <w:t>Acknowledgements</w:t>
      </w:r>
    </w:p>
    <w:p w14:paraId="1938963B" w14:textId="77777777" w:rsidR="0086721A" w:rsidRPr="00D039E9" w:rsidRDefault="0086721A" w:rsidP="0086721A">
      <w:pPr>
        <w:pStyle w:val="TAMainText"/>
        <w:ind w:firstLine="0"/>
        <w:rPr>
          <w:b/>
          <w:lang w:val="en-CA"/>
        </w:rPr>
      </w:pPr>
    </w:p>
    <w:p w14:paraId="03DD5C54" w14:textId="1EC3438C" w:rsidR="0086721A" w:rsidRPr="00D039E9" w:rsidRDefault="0086721A" w:rsidP="0086721A">
      <w:pPr>
        <w:pStyle w:val="TAMainText"/>
        <w:ind w:firstLine="0"/>
        <w:rPr>
          <w:rFonts w:cs="Times"/>
          <w:szCs w:val="24"/>
          <w:lang w:val="en-GB" w:eastAsia="ja-JP"/>
        </w:rPr>
      </w:pPr>
      <w:r w:rsidRPr="00D039E9">
        <w:rPr>
          <w:rFonts w:cs="Times"/>
          <w:szCs w:val="24"/>
          <w:lang w:val="en-GB" w:eastAsia="ja-JP"/>
        </w:rPr>
        <w:t>This work was supported by the Gen Foundation, the Grants-in-Aid for Scientific Research (Nos. 15K13550 and 26240045) from the Japan Society for the Promotion of Science, the Elements Strategy Initiative for Catalysts and Batteries and the Post-K Supercomputing Project from the Ministry of Education, Culture, Sports, Science, and Technology, and the HPCI System Research Project (Project IDs: hp160013, hp160019, and hp160214).</w:t>
      </w:r>
    </w:p>
    <w:p w14:paraId="1B41CC4F" w14:textId="102B29AA" w:rsidR="000407B5" w:rsidRPr="00D039E9" w:rsidRDefault="000407B5" w:rsidP="007938E0">
      <w:pPr>
        <w:pStyle w:val="TAMainText"/>
        <w:rPr>
          <w:lang w:val="en-CA"/>
        </w:rPr>
      </w:pPr>
      <w:r w:rsidRPr="00D039E9">
        <w:rPr>
          <w:rFonts w:cs="Times"/>
          <w:lang w:val="en-CA"/>
        </w:rPr>
        <w:br w:type="page"/>
      </w:r>
    </w:p>
    <w:p w14:paraId="3E4776EE" w14:textId="77777777" w:rsidR="006C4568" w:rsidRPr="00D039E9" w:rsidRDefault="006C4568" w:rsidP="003872DB">
      <w:pPr>
        <w:pStyle w:val="TAMainText"/>
        <w:ind w:firstLine="0"/>
        <w:rPr>
          <w:rFonts w:cs="Times"/>
          <w:lang w:val="en-CA"/>
        </w:rPr>
      </w:pPr>
    </w:p>
    <w:p w14:paraId="45BCD672" w14:textId="5A90CCC5" w:rsidR="006C4568" w:rsidRPr="00D039E9" w:rsidRDefault="003872DB" w:rsidP="006C4568">
      <w:pPr>
        <w:pStyle w:val="TAMainText"/>
        <w:ind w:firstLine="0"/>
        <w:rPr>
          <w:rFonts w:cs="Times"/>
          <w:b/>
          <w:lang w:val="en-CA"/>
        </w:rPr>
      </w:pPr>
      <w:r w:rsidRPr="00D039E9">
        <w:rPr>
          <w:rFonts w:cs="Times"/>
          <w:b/>
          <w:lang w:val="en-CA"/>
        </w:rPr>
        <w:t>Appendix A</w:t>
      </w:r>
    </w:p>
    <w:p w14:paraId="2397B8CE" w14:textId="77777777" w:rsidR="00470AF7" w:rsidRPr="00D039E9" w:rsidRDefault="00470AF7" w:rsidP="006C4568">
      <w:pPr>
        <w:pStyle w:val="TAMainText"/>
        <w:ind w:firstLine="0"/>
        <w:rPr>
          <w:rFonts w:cs="Times"/>
          <w:bCs/>
          <w:lang w:val="en-CA" w:eastAsia="ja-JP"/>
        </w:rPr>
      </w:pPr>
    </w:p>
    <w:p w14:paraId="0DBDBBD8" w14:textId="1C8ADE31" w:rsidR="006C4568" w:rsidRPr="00D039E9" w:rsidRDefault="006C4568" w:rsidP="006C4568">
      <w:pPr>
        <w:pStyle w:val="TAMainText"/>
        <w:ind w:firstLine="0"/>
        <w:rPr>
          <w:rFonts w:cs="Times"/>
          <w:lang w:val="en-CA"/>
        </w:rPr>
      </w:pPr>
      <w:r w:rsidRPr="00D039E9">
        <w:rPr>
          <w:rFonts w:cs="Times"/>
          <w:bCs/>
          <w:lang w:val="en-CA" w:eastAsia="ja-JP"/>
        </w:rPr>
        <w:t>To derive Eq. (1), let us first consider the bulk solution away from the flavour molecule as the reference state.</w:t>
      </w:r>
      <w:r w:rsidR="00470AF7" w:rsidRPr="00D039E9">
        <w:rPr>
          <w:rFonts w:cs="Times"/>
          <w:bCs/>
          <w:lang w:val="en-CA" w:eastAsia="ja-JP"/>
        </w:rPr>
        <w:fldChar w:fldCharType="begin" w:fldLock="1"/>
      </w:r>
      <w:r w:rsidR="00C65F5C" w:rsidRPr="00D039E9">
        <w:rPr>
          <w:rFonts w:cs="Times"/>
          <w:bCs/>
          <w:lang w:val="en-CA" w:eastAsia="ja-JP"/>
        </w:rPr>
        <w:instrText>ADDIN CSL_CITATION { "citationItems" : [ { "id" : "ITEM-1",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"ITEM-1",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"id" : "ITEM-2",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"ITEM-2",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"id" : "ITEM-3",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"ITEM-3", "issue" : "14", "issued" : { "date-parts" : [ [ "2014" ] ] }, "page" : "3922-3930", "title" : "Preferential solvation: Dividing surface vs excess numbers", "type" : "article-journal", "volume" : "118" }, "uris" : [ "http://www.mendeley.com/documents/?uuid=896fec6b-354e-41cd-a8de-55bd371a22f5" ] }, { "id" : "ITEM-4", "itemData" : { "DOI" : "10.1021/jp505869m", "ISBN" : "1520-5207 (Electronic)\\r1520-5207 (Linking)", "ISSN" : "15205207", "PMID" : "25144510", "abstract" : "Drug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 "author" : [ { "dropping-particle" : "", "family" : "Shimizu", "given" : "Seishi", "non-dropping-particle" : "", "parse-names" : false, "suffix" : "" }, { "dropping-particle" : "", "family" : "Matubayasi", "given" : "Nobuyuki", "non-dropping-particle" : "", "parse-names" : false, "suffix" : "" } ], "container-title" : "Journal of Physical Chemistry B", "id" : "ITEM-4", "issue" : "35", "issued" : { "date-parts" : [ [ "2014" ] ] }, "page" : "10515-10524", "title" : "Hydrotropy: Monomer-micelle equilibrium and minimum hydrotrope concentration", "type" : "article-journal", "volume" : "118" }, "uris" : [ "http://www.mendeley.com/documents/?uuid=0cd1508f-d197-4e8d-a474-504cfaeae922" ] }, { "id" : "ITEM-5", "itemData" : { "DOI" : "10.1039/tf9716702516", "ISSN" : "0014-7672", "abstract" : "An alternative derivation of part of the Kirkwood-Buff theory of solutions, which uses essentially classical thermodynamic concepts is presented. This theory relates the thermodynamic properties of a solution to the integrals of the radial distribution functions of the various molecular pairs present. Useful expressions are derived for electrolyte solutions and for solutions of two and three components. Of particular importance are the general expression for the primary medium effect for a neutral electrolyte and the expression for the effect of one component on the solubility of another in a three component system, which shows how the theory can be used as a general basis for discussing hydrotropy and related phenomena.", "author" : [ { "dropping-particle" : "", "family" : "Hall", "given" : "D. G.", "non-dropping-particle" : "", "parse-names" : false, "suffix" : "" } ], "container-title" : "Transactions of the Faraday Society", "id" : "ITEM-5", "issue" : "0", "issued" : { "date-parts" : [ [ "1971" ] ] }, "page" : "2516", "publisher" : "The Royal Society of Chemistry", "title" : "Kirkwood-Buff theory of solutions. An alternative derivation of part of it and some applications", "type" : "article-journal", "volume" : "67" }, "uris" : [ "http://www.mendeley.com/documents/?uuid=f29dc205-be25-31b1-ab4c-c0d01d88246f" ] }, { "id" : "ITEM-6", "itemData" : { "DOI" : "10.1039/CS9942300031", "ISSN" : "0306-0012", "abstract" : "No abstract available", "author" : [ { "dropping-particle" : "", "family" : "Newman", "given" : "Kenneth E.", "non-dropping-particle" : "", "parse-names" : false, "suffix" : "" } ], "container-title" : "Chem. Soc. Rev.", "id" : "ITEM-6", "issue" : "1", "issued" : { "date-parts" : [ [ "1994" ] ] }, "page" : "31-40", "publisher" : "The Royal Society of Chemistry", "title" : "Kirkwood\u2013Buff solution theory: derivation and applications", "type" : "article-journal", "volume" : "23" }, "uris" : [ "http://www.mendeley.com/documents/?uuid=4ba4106e-8081-3548-88ce-5332351b1d98" ] } ], "mendeley" : { "formattedCitation" : "&lt;sup&gt;11,17,18,22,53,55&lt;/sup&gt;", "plainTextFormattedCitation" : "11,17,18,22,53,55", "previouslyFormattedCitation" : "&lt;sup&gt;11,17,18,22,53,55&lt;/sup&gt;" }, "properties" : { "noteIndex" : 0 }, "schema" : "https://github.com/citation-style-language/schema/raw/master/csl-citation.json" }</w:instrText>
      </w:r>
      <w:r w:rsidR="00470AF7" w:rsidRPr="00D039E9">
        <w:rPr>
          <w:rFonts w:cs="Times"/>
          <w:bCs/>
          <w:lang w:val="en-CA" w:eastAsia="ja-JP"/>
        </w:rPr>
        <w:fldChar w:fldCharType="separate"/>
      </w:r>
      <w:r w:rsidR="00BB3004" w:rsidRPr="00D039E9">
        <w:rPr>
          <w:rFonts w:cs="Times"/>
          <w:bCs/>
          <w:noProof/>
          <w:vertAlign w:val="superscript"/>
          <w:lang w:val="en-CA" w:eastAsia="ja-JP"/>
        </w:rPr>
        <w:t>11,17,18,22,53,55</w:t>
      </w:r>
      <w:r w:rsidR="00470AF7" w:rsidRPr="00D039E9">
        <w:rPr>
          <w:rFonts w:cs="Times"/>
          <w:bCs/>
          <w:lang w:val="en-CA" w:eastAsia="ja-JP"/>
        </w:rPr>
        <w:fldChar w:fldCharType="end"/>
      </w:r>
      <w:r w:rsidRPr="00D039E9">
        <w:rPr>
          <w:rFonts w:cs="Times"/>
          <w:bCs/>
          <w:lang w:val="en-CA" w:eastAsia="ja-JP"/>
        </w:rPr>
        <w:t xml:space="preserve"> Under constant temperature (i.e., </w:t>
      </w:r>
      <m:oMath>
        <m:r>
          <w:rPr>
            <w:rFonts w:ascii="Cambria Math" w:hAnsi="Cambria Math" w:cs="Times"/>
            <w:lang w:val="en-CA" w:eastAsia="ja-JP"/>
          </w:rPr>
          <m:t>dT=0</m:t>
        </m:r>
      </m:oMath>
      <w:r w:rsidRPr="00D039E9">
        <w:rPr>
          <w:rFonts w:cs="Times"/>
          <w:bCs/>
          <w:lang w:val="en-CA" w:eastAsia="ja-JP"/>
        </w:rPr>
        <w:t xml:space="preserve">) the Gibbs-Duhem equation for the bulk solution is </w:t>
      </w:r>
    </w:p>
    <w:p w14:paraId="42DBFCE6" w14:textId="55D72E53" w:rsidR="006C4568" w:rsidRPr="00D039E9" w:rsidRDefault="000E5B3F" w:rsidP="006C4568">
      <w:pPr>
        <w:pStyle w:val="TAMainText"/>
        <w:ind w:firstLine="0"/>
        <w:rPr>
          <w:rFonts w:cs="Times"/>
          <w:bCs/>
          <w:lang w:val="en-CA" w:eastAsia="ja-JP"/>
        </w:rPr>
      </w:pPr>
      <m:oMath>
        <m:sSub>
          <m:sSubPr>
            <m:ctrlPr>
              <w:rPr>
                <w:rFonts w:ascii="Cambria Math" w:hAnsi="Cambria Math" w:cs="Times"/>
                <w:bCs/>
                <w:lang w:val="en-CA" w:eastAsia="ja-JP"/>
              </w:rPr>
            </m:ctrlPr>
          </m:sSubPr>
          <m:e>
            <m:r>
              <w:rPr>
                <w:rFonts w:ascii="Cambria Math" w:hAnsi="Cambria Math" w:cs="Times"/>
                <w:lang w:val="en-CA" w:eastAsia="ja-JP"/>
              </w:rPr>
              <m:t>N</m:t>
            </m:r>
          </m:e>
          <m:sub>
            <m:r>
              <m:rPr>
                <m:sty m:val="p"/>
              </m:rPr>
              <w:rPr>
                <w:rFonts w:ascii="Cambria Math" w:hAnsi="Cambria Math" w:cs="Times"/>
                <w:lang w:val="en-CA" w:eastAsia="ja-JP"/>
              </w:rPr>
              <m:t>W</m:t>
            </m:r>
          </m:sub>
        </m:sSub>
        <m:r>
          <w:rPr>
            <w:rFonts w:ascii="Cambria Math" w:hAnsi="Cambria Math" w:cs="Times"/>
            <w:lang w:val="en-CA" w:eastAsia="ja-JP"/>
          </w:rPr>
          <m:t>d</m:t>
        </m:r>
        <m:sSub>
          <m:sSubPr>
            <m:ctrlPr>
              <w:rPr>
                <w:rFonts w:ascii="Cambria Math" w:hAnsi="Cambria Math" w:cs="Times"/>
                <w:bCs/>
                <w:lang w:val="en-CA" w:eastAsia="ja-JP"/>
              </w:rPr>
            </m:ctrlPr>
          </m:sSubPr>
          <m:e>
            <m:r>
              <w:rPr>
                <w:rFonts w:ascii="Cambria Math" w:hAnsi="Cambria Math" w:cs="Times"/>
                <w:lang w:val="en-CA" w:eastAsia="ja-JP"/>
              </w:rPr>
              <m:t>μ</m:t>
            </m:r>
          </m:e>
          <m:sub>
            <m:r>
              <m:rPr>
                <m:sty m:val="p"/>
              </m:rPr>
              <w:rPr>
                <w:rFonts w:ascii="Cambria Math" w:hAnsi="Cambria Math" w:cs="Times"/>
                <w:lang w:val="en-CA" w:eastAsia="ja-JP"/>
              </w:rPr>
              <m:t>W</m:t>
            </m:r>
          </m:sub>
        </m:sSub>
        <m:r>
          <m:rPr>
            <m:sty m:val="p"/>
          </m:rPr>
          <w:rPr>
            <w:rFonts w:ascii="Cambria Math" w:hAnsi="Cambria Math" w:cs="Times"/>
            <w:lang w:val="en-CA" w:eastAsia="ja-JP"/>
          </w:rPr>
          <m:t>+</m:t>
        </m:r>
        <m:sSub>
          <m:sSubPr>
            <m:ctrlPr>
              <w:rPr>
                <w:rFonts w:ascii="Cambria Math" w:hAnsi="Cambria Math" w:cs="Times"/>
                <w:bCs/>
                <w:lang w:val="en-CA" w:eastAsia="ja-JP"/>
              </w:rPr>
            </m:ctrlPr>
          </m:sSubPr>
          <m:e>
            <m:r>
              <w:rPr>
                <w:rFonts w:ascii="Cambria Math" w:hAnsi="Cambria Math" w:cs="Times"/>
                <w:lang w:val="en-CA" w:eastAsia="ja-JP"/>
              </w:rPr>
              <m:t>N</m:t>
            </m:r>
          </m:e>
          <m:sub>
            <m:r>
              <m:rPr>
                <m:sty m:val="p"/>
              </m:rPr>
              <w:rPr>
                <w:rFonts w:ascii="Cambria Math" w:hAnsi="Cambria Math" w:cs="Times"/>
                <w:lang w:val="en-CA" w:eastAsia="ja-JP"/>
              </w:rPr>
              <m:t>P</m:t>
            </m:r>
          </m:sub>
        </m:sSub>
        <m:r>
          <w:rPr>
            <w:rFonts w:ascii="Cambria Math" w:hAnsi="Cambria Math" w:cs="Times"/>
            <w:lang w:val="en-CA" w:eastAsia="ja-JP"/>
          </w:rPr>
          <m:t>d</m:t>
        </m:r>
        <m:sSub>
          <m:sSubPr>
            <m:ctrlPr>
              <w:rPr>
                <w:rFonts w:ascii="Cambria Math" w:hAnsi="Cambria Math" w:cs="Times"/>
                <w:bCs/>
                <w:lang w:val="en-CA" w:eastAsia="ja-JP"/>
              </w:rPr>
            </m:ctrlPr>
          </m:sSubPr>
          <m:e>
            <m:r>
              <w:rPr>
                <w:rFonts w:ascii="Cambria Math" w:hAnsi="Cambria Math" w:cs="Times"/>
                <w:lang w:val="en-CA" w:eastAsia="ja-JP"/>
              </w:rPr>
              <m:t>μ</m:t>
            </m:r>
          </m:e>
          <m:sub>
            <m:r>
              <m:rPr>
                <m:sty m:val="p"/>
              </m:rPr>
              <w:rPr>
                <w:rFonts w:ascii="Cambria Math" w:hAnsi="Cambria Math" w:cs="Times"/>
                <w:lang w:val="en-CA" w:eastAsia="ja-JP"/>
              </w:rPr>
              <m:t>P</m:t>
            </m:r>
          </m:sub>
        </m:sSub>
        <m:r>
          <m:rPr>
            <m:sty m:val="p"/>
          </m:rPr>
          <w:rPr>
            <w:rFonts w:ascii="Cambria Math" w:hAnsi="Cambria Math" w:cs="Times"/>
            <w:lang w:val="en-CA" w:eastAsia="ja-JP"/>
          </w:rPr>
          <m:t>=V</m:t>
        </m:r>
        <m:r>
          <w:rPr>
            <w:rFonts w:ascii="Cambria Math" w:hAnsi="Cambria Math" w:cs="Times"/>
            <w:lang w:val="en-CA" w:eastAsia="ja-JP"/>
          </w:rPr>
          <m:t>dP</m:t>
        </m:r>
      </m:oMath>
      <w:r w:rsidR="006C4568" w:rsidRPr="00D039E9">
        <w:rPr>
          <w:rFonts w:cs="Times"/>
          <w:bCs/>
          <w:lang w:val="en-CA" w:eastAsia="ja-JP"/>
        </w:rPr>
        <w:tab/>
      </w:r>
      <w:r w:rsidR="006C4568" w:rsidRPr="00D039E9">
        <w:rPr>
          <w:rFonts w:cs="Times"/>
          <w:bCs/>
          <w:lang w:val="en-CA" w:eastAsia="ja-JP"/>
        </w:rPr>
        <w:tab/>
      </w:r>
      <w:r w:rsidR="006C4568" w:rsidRPr="00D039E9">
        <w:rPr>
          <w:rFonts w:cs="Times"/>
          <w:bCs/>
          <w:lang w:val="en-CA" w:eastAsia="ja-JP"/>
        </w:rPr>
        <w:tab/>
      </w:r>
      <w:r w:rsidR="006C4568" w:rsidRPr="00D039E9">
        <w:rPr>
          <w:rFonts w:cs="Times"/>
          <w:bCs/>
          <w:lang w:val="en-CA" w:eastAsia="ja-JP"/>
        </w:rPr>
        <w:tab/>
      </w:r>
      <w:r w:rsidR="006C4568" w:rsidRPr="00D039E9">
        <w:rPr>
          <w:rFonts w:cs="Times"/>
          <w:bCs/>
          <w:lang w:val="en-CA" w:eastAsia="ja-JP"/>
        </w:rPr>
        <w:tab/>
      </w:r>
      <w:r w:rsidR="006C4568" w:rsidRPr="00D039E9">
        <w:rPr>
          <w:rFonts w:cs="Times"/>
          <w:bCs/>
          <w:lang w:val="en-CA" w:eastAsia="ja-JP"/>
        </w:rPr>
        <w:tab/>
      </w:r>
      <w:r w:rsidR="006C4568" w:rsidRPr="00D039E9">
        <w:rPr>
          <w:rFonts w:cs="Times"/>
          <w:bCs/>
          <w:lang w:val="en-CA" w:eastAsia="ja-JP"/>
        </w:rPr>
        <w:tab/>
      </w:r>
      <w:r w:rsidR="006C4568" w:rsidRPr="00D039E9">
        <w:rPr>
          <w:rFonts w:cs="Times"/>
          <w:bCs/>
          <w:lang w:val="en-CA" w:eastAsia="ja-JP"/>
        </w:rPr>
        <w:tab/>
      </w:r>
      <w:r w:rsidR="006C4568" w:rsidRPr="00D039E9">
        <w:rPr>
          <w:rFonts w:cs="Times"/>
          <w:bCs/>
          <w:lang w:val="en-CA" w:eastAsia="ja-JP"/>
        </w:rPr>
        <w:tab/>
        <w:t>(A1)</w:t>
      </w:r>
    </w:p>
    <w:p w14:paraId="0C81DC93" w14:textId="684922F3" w:rsidR="006C4568" w:rsidRPr="00D039E9" w:rsidRDefault="006C4568" w:rsidP="006C4568">
      <w:pPr>
        <w:pStyle w:val="TAMainText"/>
        <w:ind w:firstLine="0"/>
        <w:rPr>
          <w:rFonts w:cs="Times"/>
          <w:bCs/>
          <w:lang w:val="en-CA" w:eastAsia="ja-JP"/>
        </w:rPr>
      </w:pPr>
      <w:r w:rsidRPr="00D039E9">
        <w:rPr>
          <w:rFonts w:cs="Times"/>
          <w:bCs/>
          <w:lang w:val="en-CA" w:eastAsia="ja-JP"/>
        </w:rPr>
        <w:t xml:space="preserve">where </w:t>
      </w:r>
      <m:oMath>
        <m:sSub>
          <m:sSubPr>
            <m:ctrlPr>
              <w:rPr>
                <w:rFonts w:ascii="Cambria Math" w:hAnsi="Cambria Math" w:cs="Times"/>
                <w:bCs/>
                <w:i/>
                <w:lang w:val="en-CA" w:eastAsia="ja-JP"/>
              </w:rPr>
            </m:ctrlPr>
          </m:sSubPr>
          <m:e>
            <m:r>
              <w:rPr>
                <w:rFonts w:ascii="Cambria Math" w:hAnsi="Cambria Math" w:cs="Times"/>
                <w:lang w:val="en-CA" w:eastAsia="ja-JP"/>
              </w:rPr>
              <m:t>N</m:t>
            </m:r>
          </m:e>
          <m:sub>
            <m:r>
              <w:rPr>
                <w:rFonts w:ascii="Cambria Math" w:hAnsi="Cambria Math" w:cs="Times"/>
                <w:lang w:val="en-CA" w:eastAsia="ja-JP"/>
              </w:rPr>
              <m:t>i</m:t>
            </m:r>
          </m:sub>
        </m:sSub>
      </m:oMath>
      <w:r w:rsidRPr="00D039E9">
        <w:rPr>
          <w:rFonts w:cs="Times"/>
          <w:bCs/>
          <w:lang w:val="en-CA" w:eastAsia="ja-JP"/>
        </w:rPr>
        <w:t xml:space="preserve"> and </w:t>
      </w:r>
      <m:oMath>
        <m:sSub>
          <m:sSubPr>
            <m:ctrlPr>
              <w:rPr>
                <w:rFonts w:ascii="Cambria Math" w:hAnsi="Cambria Math" w:cs="Times"/>
                <w:bCs/>
                <w:i/>
                <w:lang w:val="en-CA" w:eastAsia="ja-JP"/>
              </w:rPr>
            </m:ctrlPr>
          </m:sSubPr>
          <m:e>
            <m:r>
              <w:rPr>
                <w:rFonts w:ascii="Cambria Math" w:hAnsi="Cambria Math" w:cs="Times"/>
                <w:lang w:val="en-CA" w:eastAsia="ja-JP"/>
              </w:rPr>
              <m:t>μ</m:t>
            </m:r>
          </m:e>
          <m:sub>
            <m:r>
              <w:rPr>
                <w:rFonts w:ascii="Cambria Math" w:hAnsi="Cambria Math" w:cs="Times"/>
                <w:lang w:val="en-CA" w:eastAsia="ja-JP"/>
              </w:rPr>
              <m:t>i</m:t>
            </m:r>
          </m:sub>
        </m:sSub>
      </m:oMath>
      <w:r w:rsidRPr="00D039E9">
        <w:rPr>
          <w:rFonts w:cs="Times"/>
          <w:bCs/>
          <w:lang w:val="en-CA" w:eastAsia="ja-JP"/>
        </w:rPr>
        <w:t xml:space="preserve"> respectively express the number and chemical potential of species </w:t>
      </w:r>
      <m:oMath>
        <m:r>
          <w:rPr>
            <w:rFonts w:ascii="Cambria Math" w:hAnsi="Cambria Math" w:cs="Times"/>
            <w:lang w:val="en-CA" w:eastAsia="ja-JP"/>
          </w:rPr>
          <m:t>i</m:t>
        </m:r>
      </m:oMath>
      <w:r w:rsidRPr="00D039E9">
        <w:rPr>
          <w:rFonts w:cs="Times"/>
          <w:bCs/>
          <w:lang w:val="en-CA" w:eastAsia="ja-JP"/>
        </w:rPr>
        <w:t xml:space="preserve">, </w:t>
      </w:r>
      <m:oMath>
        <m:r>
          <w:rPr>
            <w:rFonts w:ascii="Cambria Math" w:hAnsi="Cambria Math" w:cs="Times"/>
            <w:lang w:val="en-CA" w:eastAsia="ja-JP"/>
          </w:rPr>
          <m:t>V</m:t>
        </m:r>
      </m:oMath>
      <w:r w:rsidRPr="00D039E9">
        <w:rPr>
          <w:rFonts w:cs="Times"/>
          <w:bCs/>
          <w:lang w:val="en-CA" w:eastAsia="ja-JP"/>
        </w:rPr>
        <w:t xml:space="preserve"> is the volume, </w:t>
      </w:r>
      <m:oMath>
        <m:r>
          <w:rPr>
            <w:rFonts w:ascii="Cambria Math" w:hAnsi="Cambria Math" w:cs="Times"/>
            <w:lang w:val="en-CA" w:eastAsia="ja-JP"/>
          </w:rPr>
          <m:t>P</m:t>
        </m:r>
      </m:oMath>
      <w:r w:rsidRPr="00D039E9">
        <w:rPr>
          <w:rFonts w:cs="Times"/>
          <w:bCs/>
          <w:lang w:val="en-CA" w:eastAsia="ja-JP"/>
        </w:rPr>
        <w:t xml:space="preserve"> is the pressure of the system. Now we consider the vicinity of a flavour molecule. Such a consideration requires the flavour molecule to be fixed in its position,</w:t>
      </w:r>
      <w:r w:rsidR="00262C94" w:rsidRPr="00D039E9">
        <w:rPr>
          <w:rFonts w:cs="Times"/>
          <w:bCs/>
          <w:lang w:val="en-CA" w:eastAsia="ja-JP"/>
        </w:rPr>
        <w:fldChar w:fldCharType="begin" w:fldLock="1"/>
      </w:r>
      <w:r w:rsidR="00C65F5C" w:rsidRPr="00D039E9">
        <w:rPr>
          <w:rFonts w:cs="Times"/>
          <w:bCs/>
          <w:lang w:val="en-CA" w:eastAsia="ja-JP"/>
        </w:rPr>
        <w:instrText>ADDIN CSL_CITATION { "citationItems" : [ { "id" : "ITEM-1", "itemData" : { "author" : [ { "dropping-particle" : "", "family" : "Ben-Naim", "given" : "Arieh", "non-dropping-particle" : "", "parse-names" : false, "suffix" : "" } ], "id" : "ITEM-1", "issued" : { "date-parts" : [ [ "2006" ] ] }, "publisher" : "Oxford University Press", "publisher-place" : "Oxford", "title" : "Molecular Theory of Solutions", "type" : "book" }, "uris" : [ "http://www.mendeley.com/documents/?uuid=c69c8ec7-b100-38af-a990-6baa3f6c9810" ] } ], "mendeley" : { "formattedCitation" : "&lt;sup&gt;71&lt;/sup&gt;", "plainTextFormattedCitation" : "71", "previouslyFormattedCitation" : "&lt;sup&gt;71&lt;/sup&gt;" }, "properties" : { "noteIndex" : 0 }, "schema" : "https://github.com/citation-style-language/schema/raw/master/csl-citation.json" }</w:instrText>
      </w:r>
      <w:r w:rsidR="00262C94" w:rsidRPr="00D039E9">
        <w:rPr>
          <w:rFonts w:cs="Times"/>
          <w:bCs/>
          <w:lang w:val="en-CA" w:eastAsia="ja-JP"/>
        </w:rPr>
        <w:fldChar w:fldCharType="separate"/>
      </w:r>
      <w:r w:rsidR="00BB3004" w:rsidRPr="00D039E9">
        <w:rPr>
          <w:rFonts w:cs="Times"/>
          <w:bCs/>
          <w:noProof/>
          <w:vertAlign w:val="superscript"/>
          <w:lang w:val="en-CA" w:eastAsia="ja-JP"/>
        </w:rPr>
        <w:t>71</w:t>
      </w:r>
      <w:r w:rsidR="00262C94" w:rsidRPr="00D039E9">
        <w:rPr>
          <w:rFonts w:cs="Times"/>
          <w:bCs/>
          <w:lang w:val="en-CA" w:eastAsia="ja-JP"/>
        </w:rPr>
        <w:fldChar w:fldCharType="end"/>
      </w:r>
      <w:r w:rsidRPr="00D039E9">
        <w:rPr>
          <w:rFonts w:cs="Times"/>
          <w:bCs/>
          <w:lang w:val="en-CA" w:eastAsia="ja-JP"/>
        </w:rPr>
        <w:t xml:space="preserve"> namely that of its centre of mass in order for the vicinity to be defined. Such a thought experiment has been facilitated by the fact that the free energy of liberation can be calculated exactly from the molar concentration of the flavour molecule. We denote the species with the fixed </w:t>
      </w:r>
      <w:r w:rsidR="006B3984" w:rsidRPr="00D039E9">
        <w:rPr>
          <w:rFonts w:cs="Times"/>
          <w:bCs/>
          <w:lang w:val="en-CA" w:eastAsia="ja-JP"/>
        </w:rPr>
        <w:t>centre of mass by an asterisk *.</w:t>
      </w:r>
      <w:r w:rsidRPr="00D039E9">
        <w:rPr>
          <w:rFonts w:cs="Times"/>
          <w:bCs/>
          <w:lang w:val="en-CA" w:eastAsia="ja-JP"/>
        </w:rPr>
        <w:t xml:space="preserve"> The Gibbs-Duhem equation for the vicinity of a flavour molecule is</w:t>
      </w:r>
      <w:r w:rsidR="00262C94" w:rsidRPr="00D039E9">
        <w:rPr>
          <w:rFonts w:cs="Times"/>
          <w:bCs/>
          <w:lang w:val="en-CA" w:eastAsia="ja-JP"/>
        </w:rPr>
        <w:fldChar w:fldCharType="begin" w:fldLock="1"/>
      </w:r>
      <w:r w:rsidR="00C65F5C" w:rsidRPr="00D039E9">
        <w:rPr>
          <w:rFonts w:cs="Times"/>
          <w:bCs/>
          <w:lang w:val="en-CA" w:eastAsia="ja-JP"/>
        </w:rPr>
        <w:instrText>ADDIN CSL_CITATION { "citationItems" : [ { "id" : "ITEM-1",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"ITEM-1",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"id" : "ITEM-2",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"ITEM-2",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"id" : "ITEM-3",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"ITEM-3", "issue" : "14", "issued" : { "date-parts" : [ [ "2014" ] ] }, "page" : "3922-3930", "title" : "Preferential solvation: Dividing surface vs excess numbers", "type" : "article-journal", "volume" : "118" }, "uris" : [ "http://www.mendeley.com/documents/?uuid=896fec6b-354e-41cd-a8de-55bd371a22f5" ] }, { "id" : "ITEM-4", "itemData" : { "DOI" : "10.1021/jp505869m", "ISBN" : "1520-5207 (Electronic)\\r1520-5207 (Linking)", "ISSN" : "15205207", "PMID" : "25144510", "abstract" : "Drug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 "author" : [ { "dropping-particle" : "", "family" : "Shimizu", "given" : "Seishi", "non-dropping-particle" : "", "parse-names" : false, "suffix" : "" }, { "dropping-particle" : "", "family" : "Matubayasi", "given" : "Nobuyuki", "non-dropping-particle" : "", "parse-names" : false, "suffix" : "" } ], "container-title" : "Journal of Physical Chemistry B", "id" : "ITEM-4", "issue" : "35", "issued" : { "date-parts" : [ [ "2014" ] ] }, "page" : "10515-10524", "title" : "Hydrotropy: Monomer-micelle equilibrium and minimum hydrotrope concentration", "type" : "article-journal", "volume" : "118" }, "uris" : [ "http://www.mendeley.com/documents/?uuid=0cd1508f-d197-4e8d-a474-504cfaeae922" ] }, { "id" : "ITEM-5", "itemData" : { "DOI" : "10.1039/tf9716702516", "ISSN" : "0014-7672", "abstract" : "An alternative derivation of part of the Kirkwood-Buff theory of solutions, which uses essentially classical thermodynamic concepts is presented. This theory relates the thermodynamic properties of a solution to the integrals of the radial distribution functions of the various molecular pairs present. Useful expressions are derived for electrolyte solutions and for solutions of two and three components. Of particular importance are the general expression for the primary medium effect for a neutral electrolyte and the expression for the effect of one component on the solubility of another in a three component system, which shows how the theory can be used as a general basis for discussing hydrotropy and related phenomena.", "author" : [ { "dropping-particle" : "", "family" : "Hall", "given" : "D. G.", "non-dropping-particle" : "", "parse-names" : false, "suffix" : "" } ], "container-title" : "Transactions of the Faraday Society", "id" : "ITEM-5", "issue" : "0", "issued" : { "date-parts" : [ [ "1971" ] ] }, "page" : "2516", "publisher" : "The Royal Society of Chemistry", "title" : "Kirkwood-Buff theory of solutions. An alternative derivation of part of it and some applications", "type" : "article-journal", "volume" : "67" }, "uris" : [ "http://www.mendeley.com/documents/?uuid=f29dc205-be25-31b1-ab4c-c0d01d88246f" ] }, { "id" : "ITEM-6", "itemData" : { "DOI" : "10.1039/CS9942300031", "ISSN" : "0306-0012", "abstract" : "No abstract available", "author" : [ { "dropping-particle" : "", "family" : "Newman", "given" : "Kenneth E.", "non-dropping-particle" : "", "parse-names" : false, "suffix" : "" } ], "container-title" : "Chem. Soc. Rev.", "id" : "ITEM-6", "issue" : "1", "issued" : { "date-parts" : [ [ "1994" ] ] }, "page" : "31-40", "publisher" : "The Royal Society of Chemistry", "title" : "Kirkwood\u2013Buff solution theory: derivation and applications", "type" : "article-journal", "volume" : "23" }, "uris" : [ "http://www.mendeley.com/documents/?uuid=4ba4106e-8081-3548-88ce-5332351b1d98" ] } ], "mendeley" : { "formattedCitation" : "&lt;sup&gt;11,17,18,22,53,55&lt;/sup&gt;", "plainTextFormattedCitation" : "11,17,18,22,53,55", "previouslyFormattedCitation" : "&lt;sup&gt;11,17,18,22,53,55&lt;/sup&gt;" }, "properties" : { "noteIndex" : 0 }, "schema" : "https://github.com/citation-style-language/schema/raw/master/csl-citation.json" }</w:instrText>
      </w:r>
      <w:r w:rsidR="00262C94" w:rsidRPr="00D039E9">
        <w:rPr>
          <w:rFonts w:cs="Times"/>
          <w:bCs/>
          <w:lang w:val="en-CA" w:eastAsia="ja-JP"/>
        </w:rPr>
        <w:fldChar w:fldCharType="separate"/>
      </w:r>
      <w:r w:rsidR="00BB3004" w:rsidRPr="00D039E9">
        <w:rPr>
          <w:rFonts w:cs="Times"/>
          <w:bCs/>
          <w:noProof/>
          <w:vertAlign w:val="superscript"/>
          <w:lang w:val="en-CA" w:eastAsia="ja-JP"/>
        </w:rPr>
        <w:t>11,17,18,22,53,55</w:t>
      </w:r>
      <w:r w:rsidR="00262C94" w:rsidRPr="00D039E9">
        <w:rPr>
          <w:rFonts w:cs="Times"/>
          <w:bCs/>
          <w:lang w:val="en-CA" w:eastAsia="ja-JP"/>
        </w:rPr>
        <w:fldChar w:fldCharType="end"/>
      </w:r>
      <w:r w:rsidRPr="00D039E9">
        <w:rPr>
          <w:rFonts w:cs="Times"/>
          <w:bCs/>
          <w:lang w:val="en-CA" w:eastAsia="ja-JP"/>
        </w:rPr>
        <w:t xml:space="preserve">  </w:t>
      </w:r>
    </w:p>
    <w:p w14:paraId="6CF79EC9" w14:textId="2D2D8AF6" w:rsidR="006C4568" w:rsidRPr="00D039E9" w:rsidRDefault="000E5B3F" w:rsidP="006C4568">
      <w:pPr>
        <w:pStyle w:val="TAMainText"/>
        <w:ind w:firstLine="0"/>
        <w:rPr>
          <w:rFonts w:cs="Times"/>
          <w:bCs/>
          <w:lang w:val="en-CA" w:eastAsia="ja-JP"/>
        </w:rPr>
      </w:pPr>
      <m:oMath>
        <m:sSubSup>
          <m:sSubSupPr>
            <m:ctrlPr>
              <w:rPr>
                <w:rFonts w:ascii="Cambria Math" w:hAnsi="Cambria Math" w:cs="Times"/>
                <w:bCs/>
                <w:lang w:val="en-CA" w:eastAsia="ja-JP"/>
              </w:rPr>
            </m:ctrlPr>
          </m:sSubSupPr>
          <m:e>
            <m:r>
              <w:rPr>
                <w:rFonts w:ascii="Cambria Math" w:hAnsi="Cambria Math" w:cs="Times"/>
                <w:lang w:val="en-CA" w:eastAsia="ja-JP"/>
              </w:rPr>
              <m:t>N</m:t>
            </m:r>
          </m:e>
          <m:sub>
            <m:r>
              <m:rPr>
                <m:sty m:val="p"/>
              </m:rPr>
              <w:rPr>
                <w:rFonts w:ascii="Cambria Math" w:hAnsi="Cambria Math" w:cs="Times"/>
                <w:lang w:val="en-CA" w:eastAsia="ja-JP"/>
              </w:rPr>
              <m:t>W</m:t>
            </m:r>
          </m:sub>
          <m:sup>
            <m:r>
              <w:rPr>
                <w:rFonts w:ascii="Cambria Math" w:hAnsi="Cambria Math" w:cs="Times"/>
                <w:lang w:val="en-CA" w:eastAsia="ja-JP"/>
              </w:rPr>
              <m:t>vic</m:t>
            </m:r>
          </m:sup>
        </m:sSubSup>
        <m:r>
          <w:rPr>
            <w:rFonts w:ascii="Cambria Math" w:hAnsi="Cambria Math" w:cs="Times"/>
            <w:lang w:val="en-CA" w:eastAsia="ja-JP"/>
          </w:rPr>
          <m:t>d</m:t>
        </m:r>
        <m:sSub>
          <m:sSubPr>
            <m:ctrlPr>
              <w:rPr>
                <w:rFonts w:ascii="Cambria Math" w:hAnsi="Cambria Math" w:cs="Times"/>
                <w:bCs/>
                <w:lang w:val="en-CA" w:eastAsia="ja-JP"/>
              </w:rPr>
            </m:ctrlPr>
          </m:sSubPr>
          <m:e>
            <m:r>
              <w:rPr>
                <w:rFonts w:ascii="Cambria Math" w:hAnsi="Cambria Math" w:cs="Times"/>
                <w:lang w:val="en-CA" w:eastAsia="ja-JP"/>
              </w:rPr>
              <m:t>μ</m:t>
            </m:r>
          </m:e>
          <m:sub>
            <m:r>
              <m:rPr>
                <m:sty m:val="p"/>
              </m:rPr>
              <w:rPr>
                <w:rFonts w:ascii="Cambria Math" w:hAnsi="Cambria Math" w:cs="Times"/>
                <w:lang w:val="en-CA" w:eastAsia="ja-JP"/>
              </w:rPr>
              <m:t>W</m:t>
            </m:r>
          </m:sub>
        </m:sSub>
        <m:r>
          <m:rPr>
            <m:sty m:val="p"/>
          </m:rPr>
          <w:rPr>
            <w:rFonts w:ascii="Cambria Math" w:hAnsi="Cambria Math" w:cs="Times"/>
            <w:lang w:val="en-CA" w:eastAsia="ja-JP"/>
          </w:rPr>
          <m:t>+</m:t>
        </m:r>
        <m:sSubSup>
          <m:sSubSupPr>
            <m:ctrlPr>
              <w:rPr>
                <w:rFonts w:ascii="Cambria Math" w:hAnsi="Cambria Math" w:cs="Times"/>
                <w:i/>
                <w:lang w:val="en-CA" w:eastAsia="ja-JP"/>
              </w:rPr>
            </m:ctrlPr>
          </m:sSubSupPr>
          <m:e>
            <m:r>
              <w:rPr>
                <w:rFonts w:ascii="Cambria Math" w:hAnsi="Cambria Math" w:cs="Times"/>
                <w:lang w:val="en-CA" w:eastAsia="ja-JP"/>
              </w:rPr>
              <m:t>N</m:t>
            </m:r>
          </m:e>
          <m:sub>
            <m:r>
              <m:rPr>
                <m:sty m:val="p"/>
              </m:rPr>
              <w:rPr>
                <w:rFonts w:ascii="Cambria Math" w:hAnsi="Cambria Math" w:cs="Times"/>
                <w:lang w:val="en-CA" w:eastAsia="ja-JP"/>
              </w:rPr>
              <m:t>P</m:t>
            </m:r>
            <m:ctrlPr>
              <w:rPr>
                <w:rFonts w:ascii="Cambria Math" w:hAnsi="Cambria Math" w:cs="Times"/>
                <w:lang w:val="en-CA" w:eastAsia="ja-JP"/>
              </w:rPr>
            </m:ctrlPr>
          </m:sub>
          <m:sup>
            <m:r>
              <w:rPr>
                <w:rFonts w:ascii="Cambria Math" w:hAnsi="Cambria Math" w:cs="Times"/>
                <w:lang w:val="en-CA" w:eastAsia="ja-JP"/>
              </w:rPr>
              <m:t>vic</m:t>
            </m:r>
          </m:sup>
        </m:sSubSup>
        <m:r>
          <w:rPr>
            <w:rFonts w:ascii="Cambria Math" w:hAnsi="Cambria Math" w:cs="Times"/>
            <w:lang w:val="en-CA" w:eastAsia="ja-JP"/>
          </w:rPr>
          <m:t>d</m:t>
        </m:r>
        <m:sSub>
          <m:sSubPr>
            <m:ctrlPr>
              <w:rPr>
                <w:rFonts w:ascii="Cambria Math" w:hAnsi="Cambria Math" w:cs="Times"/>
                <w:bCs/>
                <w:lang w:val="en-CA" w:eastAsia="ja-JP"/>
              </w:rPr>
            </m:ctrlPr>
          </m:sSubPr>
          <m:e>
            <m:r>
              <w:rPr>
                <w:rFonts w:ascii="Cambria Math" w:hAnsi="Cambria Math" w:cs="Times"/>
                <w:lang w:val="en-CA" w:eastAsia="ja-JP"/>
              </w:rPr>
              <m:t>μ</m:t>
            </m:r>
          </m:e>
          <m:sub>
            <m:r>
              <m:rPr>
                <m:sty m:val="p"/>
              </m:rPr>
              <w:rPr>
                <w:rFonts w:ascii="Cambria Math" w:hAnsi="Cambria Math" w:cs="Times"/>
                <w:lang w:val="en-CA" w:eastAsia="ja-JP"/>
              </w:rPr>
              <m:t>P</m:t>
            </m:r>
          </m:sub>
        </m:sSub>
        <m:r>
          <m:rPr>
            <m:sty m:val="p"/>
          </m:rPr>
          <w:rPr>
            <w:rFonts w:ascii="Cambria Math" w:hAnsi="Cambria Math" w:cs="Times"/>
            <w:lang w:val="en-CA" w:eastAsia="ja-JP"/>
          </w:rPr>
          <m:t>+</m:t>
        </m:r>
        <m:sSubSup>
          <m:sSubSupPr>
            <m:ctrlPr>
              <w:rPr>
                <w:rFonts w:ascii="Cambria Math" w:hAnsi="Cambria Math" w:cs="Times"/>
                <w:bCs/>
                <w:lang w:val="en-CA" w:eastAsia="ja-JP"/>
              </w:rPr>
            </m:ctrlPr>
          </m:sSubSupPr>
          <m:e>
            <m:r>
              <w:rPr>
                <w:rFonts w:ascii="Cambria Math" w:hAnsi="Cambria Math" w:cs="Times"/>
                <w:lang w:val="en-CA" w:eastAsia="ja-JP"/>
              </w:rPr>
              <m:t>N</m:t>
            </m:r>
          </m:e>
          <m:sub>
            <m:r>
              <m:rPr>
                <m:sty m:val="p"/>
              </m:rPr>
              <w:rPr>
                <w:rFonts w:ascii="Cambria Math" w:hAnsi="Cambria Math" w:cs="Times"/>
                <w:lang w:val="en-CA" w:eastAsia="ja-JP"/>
              </w:rPr>
              <m:t>F</m:t>
            </m:r>
          </m:sub>
          <m:sup>
            <m:r>
              <w:rPr>
                <w:rFonts w:ascii="Cambria Math" w:hAnsi="Cambria Math" w:cs="Times"/>
                <w:lang w:val="en-CA" w:eastAsia="ja-JP"/>
              </w:rPr>
              <m:t>vic</m:t>
            </m:r>
          </m:sup>
        </m:sSubSup>
        <m:r>
          <w:rPr>
            <w:rFonts w:ascii="Cambria Math" w:hAnsi="Cambria Math" w:cs="Times"/>
            <w:lang w:val="en-CA" w:eastAsia="ja-JP"/>
          </w:rPr>
          <m:t>d</m:t>
        </m:r>
        <m:sSubSup>
          <m:sSubSupPr>
            <m:ctrlPr>
              <w:rPr>
                <w:rFonts w:ascii="Cambria Math" w:hAnsi="Cambria Math" w:cs="Times"/>
                <w:lang w:val="en-CA" w:eastAsia="ja-JP"/>
              </w:rPr>
            </m:ctrlPr>
          </m:sSubSupPr>
          <m:e>
            <m:r>
              <w:rPr>
                <w:rFonts w:ascii="Cambria Math" w:hAnsi="Cambria Math" w:cs="Times"/>
                <w:lang w:val="en-CA" w:eastAsia="ja-JP"/>
              </w:rPr>
              <m:t>μ</m:t>
            </m:r>
            <m:ctrlPr>
              <w:rPr>
                <w:rFonts w:ascii="Cambria Math" w:hAnsi="Cambria Math" w:cs="Times"/>
                <w:i/>
                <w:lang w:val="en-CA" w:eastAsia="ja-JP"/>
              </w:rPr>
            </m:ctrlPr>
          </m:e>
          <m:sub>
            <m:r>
              <m:rPr>
                <m:sty m:val="p"/>
              </m:rPr>
              <w:rPr>
                <w:rFonts w:ascii="Cambria Math" w:hAnsi="Cambria Math" w:cs="Times"/>
                <w:lang w:val="en-CA" w:eastAsia="ja-JP"/>
              </w:rPr>
              <m:t>F</m:t>
            </m:r>
          </m:sub>
          <m:sup>
            <m:r>
              <m:rPr>
                <m:sty m:val="p"/>
              </m:rPr>
              <w:rPr>
                <w:rFonts w:ascii="Cambria Math" w:hAnsi="Cambria Math" w:cs="Times"/>
                <w:lang w:val="en-CA" w:eastAsia="ja-JP"/>
              </w:rPr>
              <m:t>*</m:t>
            </m:r>
          </m:sup>
        </m:sSubSup>
        <m:r>
          <m:rPr>
            <m:sty m:val="p"/>
          </m:rPr>
          <w:rPr>
            <w:rFonts w:ascii="Cambria Math" w:hAnsi="Cambria Math" w:cs="Times"/>
            <w:lang w:val="en-CA" w:eastAsia="ja-JP"/>
          </w:rPr>
          <m:t>=</m:t>
        </m:r>
        <m:sSup>
          <m:sSupPr>
            <m:ctrlPr>
              <w:rPr>
                <w:rFonts w:ascii="Cambria Math" w:hAnsi="Cambria Math" w:cs="Times"/>
                <w:lang w:val="en-CA" w:eastAsia="ja-JP"/>
              </w:rPr>
            </m:ctrlPr>
          </m:sSupPr>
          <m:e>
            <m:r>
              <m:rPr>
                <m:sty m:val="p"/>
              </m:rPr>
              <w:rPr>
                <w:rFonts w:ascii="Cambria Math" w:hAnsi="Cambria Math" w:cs="Times"/>
                <w:lang w:val="en-CA" w:eastAsia="ja-JP"/>
              </w:rPr>
              <m:t>V</m:t>
            </m:r>
          </m:e>
          <m:sup>
            <m:r>
              <w:rPr>
                <w:rFonts w:ascii="Cambria Math" w:hAnsi="Cambria Math" w:cs="Times"/>
                <w:lang w:val="en-CA" w:eastAsia="ja-JP"/>
              </w:rPr>
              <m:t>vic</m:t>
            </m:r>
          </m:sup>
        </m:sSup>
        <m:r>
          <w:rPr>
            <w:rFonts w:ascii="Cambria Math" w:hAnsi="Cambria Math" w:cs="Times"/>
            <w:lang w:val="en-CA" w:eastAsia="ja-JP"/>
          </w:rPr>
          <m:t>dP</m:t>
        </m:r>
      </m:oMath>
      <w:r w:rsidR="006C4568" w:rsidRPr="00D039E9">
        <w:rPr>
          <w:rFonts w:cs="Times"/>
          <w:lang w:val="en-CA" w:eastAsia="ja-JP"/>
        </w:rPr>
        <w:tab/>
      </w:r>
      <w:r w:rsidR="006C4568" w:rsidRPr="00D039E9">
        <w:rPr>
          <w:rFonts w:cs="Times"/>
          <w:bCs/>
          <w:lang w:val="en-CA" w:eastAsia="ja-JP"/>
        </w:rPr>
        <w:t xml:space="preserve"> </w:t>
      </w:r>
      <w:r w:rsidR="006C4568" w:rsidRPr="00D039E9">
        <w:rPr>
          <w:rFonts w:cs="Times"/>
          <w:bCs/>
          <w:lang w:val="en-CA" w:eastAsia="ja-JP"/>
        </w:rPr>
        <w:tab/>
      </w:r>
      <w:r w:rsidR="006C4568" w:rsidRPr="00D039E9">
        <w:rPr>
          <w:rFonts w:cs="Times"/>
          <w:bCs/>
          <w:lang w:val="en-CA" w:eastAsia="ja-JP"/>
        </w:rPr>
        <w:tab/>
      </w:r>
      <w:r w:rsidR="006C4568" w:rsidRPr="00D039E9">
        <w:rPr>
          <w:rFonts w:cs="Times"/>
          <w:bCs/>
          <w:lang w:val="en-CA" w:eastAsia="ja-JP"/>
        </w:rPr>
        <w:tab/>
      </w:r>
      <w:r w:rsidR="006C4568" w:rsidRPr="00D039E9">
        <w:rPr>
          <w:rFonts w:cs="Times"/>
          <w:bCs/>
          <w:lang w:val="en-CA" w:eastAsia="ja-JP"/>
        </w:rPr>
        <w:tab/>
      </w:r>
      <w:r w:rsidR="006C4568" w:rsidRPr="00D039E9">
        <w:rPr>
          <w:rFonts w:cs="Times"/>
          <w:bCs/>
          <w:lang w:val="en-CA" w:eastAsia="ja-JP"/>
        </w:rPr>
        <w:tab/>
      </w:r>
      <w:r w:rsidR="006C4568" w:rsidRPr="00D039E9">
        <w:rPr>
          <w:rFonts w:cs="Times"/>
          <w:bCs/>
          <w:lang w:val="en-CA" w:eastAsia="ja-JP"/>
        </w:rPr>
        <w:tab/>
        <w:t>(A2)</w:t>
      </w:r>
    </w:p>
    <w:p w14:paraId="72936560" w14:textId="7ABCDE6A" w:rsidR="006C4568" w:rsidRPr="00D039E9" w:rsidRDefault="006C4568" w:rsidP="006C4568">
      <w:pPr>
        <w:pStyle w:val="TAMainText"/>
        <w:ind w:firstLine="0"/>
        <w:rPr>
          <w:rFonts w:cs="Times"/>
          <w:bCs/>
          <w:lang w:val="en-CA" w:eastAsia="ja-JP"/>
        </w:rPr>
      </w:pPr>
      <w:r w:rsidRPr="00D039E9">
        <w:rPr>
          <w:rFonts w:cs="Times"/>
          <w:bCs/>
          <w:lang w:val="en-CA" w:eastAsia="ja-JP"/>
        </w:rPr>
        <w:t>where “</w:t>
      </w:r>
      <m:oMath>
        <m:r>
          <w:rPr>
            <w:rFonts w:ascii="Cambria Math" w:hAnsi="Cambria Math" w:cs="Times"/>
            <w:lang w:val="en-CA" w:eastAsia="ja-JP"/>
          </w:rPr>
          <m:t>v</m:t>
        </m:r>
      </m:oMath>
      <w:r w:rsidR="005E079C" w:rsidRPr="00D039E9">
        <w:rPr>
          <w:rFonts w:cs="Times"/>
          <w:i/>
          <w:lang w:val="en-CA" w:eastAsia="ja-JP"/>
        </w:rPr>
        <w:t>ic</w:t>
      </w:r>
      <w:r w:rsidRPr="00D039E9">
        <w:rPr>
          <w:rFonts w:cs="Times"/>
          <w:bCs/>
          <w:lang w:val="en-CA" w:eastAsia="ja-JP"/>
        </w:rPr>
        <w:t xml:space="preserve">” indicates the number and volume of the vicinity. Note that </w:t>
      </w:r>
      <m:oMath>
        <m:sSub>
          <m:sSubPr>
            <m:ctrlPr>
              <w:rPr>
                <w:rFonts w:ascii="Cambria Math" w:hAnsi="Cambria Math" w:cs="Times"/>
                <w:bCs/>
                <w:i/>
                <w:lang w:val="en-CA" w:eastAsia="ja-JP"/>
              </w:rPr>
            </m:ctrlPr>
          </m:sSubPr>
          <m:e>
            <m:r>
              <w:rPr>
                <w:rFonts w:ascii="Cambria Math" w:hAnsi="Cambria Math" w:cs="Times"/>
                <w:lang w:val="en-CA" w:eastAsia="ja-JP"/>
              </w:rPr>
              <m:t>μ</m:t>
            </m:r>
          </m:e>
          <m:sub>
            <m:r>
              <w:rPr>
                <w:rFonts w:ascii="Cambria Math" w:hAnsi="Cambria Math" w:cs="Times"/>
                <w:lang w:val="en-CA" w:eastAsia="ja-JP"/>
              </w:rPr>
              <m:t>i</m:t>
            </m:r>
          </m:sub>
        </m:sSub>
      </m:oMath>
      <w:r w:rsidRPr="00D039E9">
        <w:rPr>
          <w:rFonts w:cs="Times"/>
          <w:bCs/>
          <w:lang w:val="en-CA" w:eastAsia="ja-JP"/>
        </w:rPr>
        <w:t xml:space="preserve"> and </w:t>
      </w:r>
      <m:oMath>
        <m:r>
          <w:rPr>
            <w:rFonts w:ascii="Cambria Math" w:hAnsi="Cambria Math" w:cs="Times"/>
            <w:lang w:val="en-CA" w:eastAsia="ja-JP"/>
          </w:rPr>
          <m:t>P</m:t>
        </m:r>
      </m:oMath>
      <w:r w:rsidRPr="00D039E9">
        <w:rPr>
          <w:rFonts w:cs="Times"/>
          <w:bCs/>
          <w:lang w:val="en-CA" w:eastAsia="ja-JP"/>
        </w:rPr>
        <w:t xml:space="preserve"> are the same in the local and bulk systems due</w:t>
      </w:r>
      <w:r w:rsidR="00262C94" w:rsidRPr="00D039E9">
        <w:rPr>
          <w:rFonts w:cs="Times"/>
          <w:bCs/>
          <w:lang w:val="en-CA" w:eastAsia="ja-JP"/>
        </w:rPr>
        <w:t xml:space="preserve"> to phase equilibrium condition</w:t>
      </w:r>
      <w:r w:rsidRPr="00D039E9">
        <w:rPr>
          <w:rFonts w:cs="Times"/>
          <w:bCs/>
          <w:lang w:val="en-CA" w:eastAsia="ja-JP"/>
        </w:rPr>
        <w:t>.</w:t>
      </w:r>
      <w:r w:rsidR="00262C94" w:rsidRPr="00D039E9">
        <w:rPr>
          <w:rFonts w:cs="Times"/>
          <w:bCs/>
          <w:lang w:val="en-CA" w:eastAsia="ja-JP"/>
        </w:rPr>
        <w:fldChar w:fldCharType="begin" w:fldLock="1"/>
      </w:r>
      <w:r w:rsidR="00C65F5C" w:rsidRPr="00D039E9">
        <w:rPr>
          <w:rFonts w:cs="Times"/>
          <w:bCs/>
          <w:lang w:val="en-CA" w:eastAsia="ja-JP"/>
        </w:rPr>
        <w:instrText>ADDIN CSL_CITATION { "citationItems" : [ { "id" : "ITEM-1",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"ITEM-1",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"id" : "ITEM-2",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"ITEM-2",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"id" : "ITEM-3",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"ITEM-3", "issue" : "14", "issued" : { "date-parts" : [ [ "2014" ] ] }, "page" : "3922-3930", "title" : "Preferential solvation: Dividing surface vs excess numbers", "type" : "article-journal", "volume" : "118" }, "uris" : [ "http://www.mendeley.com/documents/?uuid=896fec6b-354e-41cd-a8de-55bd371a22f5" ] }, { "id" : "ITEM-4", "itemData" : { "DOI" : "10.1021/jp505869m", "ISBN" : "1520-5207 (Electronic)\\r1520-5207 (Linking)", "ISSN" : "15205207", "PMID" : "25144510", "abstract" : "Drug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 "author" : [ { "dropping-particle" : "", "family" : "Shimizu", "given" : "Seishi", "non-dropping-particle" : "", "parse-names" : false, "suffix" : "" }, { "dropping-particle" : "", "family" : "Matubayasi", "given" : "Nobuyuki", "non-dropping-particle" : "", "parse-names" : false, "suffix" : "" } ], "container-title" : "Journal of Physical Chemistry B", "id" : "ITEM-4", "issue" : "35", "issued" : { "date-parts" : [ [ "2014" ] ] }, "page" : "10515-10524", "title" : "Hydrotropy: Monomer-micelle equilibrium and minimum hydrotrope concentration", "type" : "article-journal", "volume" : "118" }, "uris" : [ "http://www.mendeley.com/documents/?uuid=0cd1508f-d197-4e8d-a474-504cfaeae922" ] }, { "id" : "ITEM-5", "itemData" : { "DOI" : "10.1039/tf9716702516", "ISSN" : "0014-7672", "abstract" : "An alternative derivation of part of the Kirkwood-Buff theory of solutions, which uses essentially classical thermodynamic concepts is presented. This theory relates the thermodynamic properties of a solution to the integrals of the radial distribution functions of the various molecular pairs present. Useful expressions are derived for electrolyte solutions and for solutions of two and three components. Of particular importance are the general expression for the primary medium effect for a neutral electrolyte and the expression for the effect of one component on the solubility of another in a three component system, which shows how the theory can be used as a general basis for discussing hydrotropy and related phenomena.", "author" : [ { "dropping-particle" : "", "family" : "Hall", "given" : "D. G.", "non-dropping-particle" : "", "parse-names" : false, "suffix" : "" } ], "container-title" : "Transactions of the Faraday Society", "id" : "ITEM-5", "issue" : "0", "issued" : { "date-parts" : [ [ "1971" ] ] }, "page" : "2516", "publisher" : "The Royal Society of Chemistry", "title" : "Kirkwood-Buff theory of solutions. An alternative derivation of part of it and some applications", "type" : "article-journal", "volume" : "67" }, "uris" : [ "http://www.mendeley.com/documents/?uuid=f29dc205-be25-31b1-ab4c-c0d01d88246f" ] }, { "id" : "ITEM-6", "itemData" : { "DOI" : "10.1039/CS9942300031", "ISSN" : "0306-0012", "abstract" : "No abstract available", "author" : [ { "dropping-particle" : "", "family" : "Newman", "given" : "Kenneth E.", "non-dropping-particle" : "", "parse-names" : false, "suffix" : "" } ], "container-title" : "Chem. Soc. Rev.", "id" : "ITEM-6", "issue" : "1", "issued" : { "date-parts" : [ [ "1994" ] ] }, "page" : "31-40", "publisher" : "The Royal Society of Chemistry", "title" : "Kirkwood\u2013Buff solution theory: derivation and applications", "type" : "article-journal", "volume" : "23" }, "uris" : [ "http://www.mendeley.com/documents/?uuid=4ba4106e-8081-3548-88ce-5332351b1d98" ] } ], "mendeley" : { "formattedCitation" : "&lt;sup&gt;11,17,18,22,53,55&lt;/sup&gt;", "plainTextFormattedCitation" : "11,17,18,22,53,55", "previouslyFormattedCitation" : "&lt;sup&gt;11,17,18,22,53,55&lt;/sup&gt;" }, "properties" : { "noteIndex" : 0 }, "schema" : "https://github.com/citation-style-language/schema/raw/master/csl-citation.json" }</w:instrText>
      </w:r>
      <w:r w:rsidR="00262C94" w:rsidRPr="00D039E9">
        <w:rPr>
          <w:rFonts w:cs="Times"/>
          <w:bCs/>
          <w:lang w:val="en-CA" w:eastAsia="ja-JP"/>
        </w:rPr>
        <w:fldChar w:fldCharType="separate"/>
      </w:r>
      <w:r w:rsidR="00BB3004" w:rsidRPr="00D039E9">
        <w:rPr>
          <w:rFonts w:cs="Times"/>
          <w:bCs/>
          <w:noProof/>
          <w:vertAlign w:val="superscript"/>
          <w:lang w:val="en-CA" w:eastAsia="ja-JP"/>
        </w:rPr>
        <w:t>11,17,18,22,53,55</w:t>
      </w:r>
      <w:r w:rsidR="00262C94" w:rsidRPr="00D039E9">
        <w:rPr>
          <w:rFonts w:cs="Times"/>
          <w:bCs/>
          <w:lang w:val="en-CA" w:eastAsia="ja-JP"/>
        </w:rPr>
        <w:fldChar w:fldCharType="end"/>
      </w:r>
      <w:r w:rsidR="00262C94" w:rsidRPr="00D039E9">
        <w:rPr>
          <w:rFonts w:cs="Times"/>
          <w:bCs/>
          <w:lang w:val="en-CA" w:eastAsia="ja-JP"/>
        </w:rPr>
        <w:t xml:space="preserve"> </w:t>
      </w:r>
    </w:p>
    <w:p w14:paraId="1BA5047F" w14:textId="77777777" w:rsidR="006C4568" w:rsidRPr="00D039E9" w:rsidRDefault="006C4568" w:rsidP="006C4568">
      <w:pPr>
        <w:pStyle w:val="TAMainText"/>
        <w:ind w:firstLine="0"/>
        <w:rPr>
          <w:rFonts w:cs="Times"/>
          <w:bCs/>
          <w:lang w:val="en-CA" w:eastAsia="ja-JP"/>
        </w:rPr>
      </w:pPr>
    </w:p>
    <w:p w14:paraId="24AA2FEA" w14:textId="5242038A" w:rsidR="006C4568" w:rsidRPr="00D039E9" w:rsidRDefault="006C4568" w:rsidP="006C4568">
      <w:pPr>
        <w:pStyle w:val="TAMainText"/>
        <w:rPr>
          <w:rFonts w:cs="Times"/>
          <w:bCs/>
          <w:lang w:val="en-CA" w:eastAsia="ja-JP"/>
        </w:rPr>
      </w:pPr>
      <w:r w:rsidRPr="00D039E9">
        <w:rPr>
          <w:rFonts w:cs="Times"/>
          <w:bCs/>
          <w:lang w:val="en-CA" w:eastAsia="ja-JP"/>
        </w:rPr>
        <w:t xml:space="preserve">In this framework, flavour-protein interaction can be translated into the </w:t>
      </w:r>
      <w:r w:rsidRPr="00D039E9">
        <w:rPr>
          <w:rFonts w:cs="Times"/>
          <w:bCs/>
          <w:i/>
          <w:lang w:val="en-CA" w:eastAsia="ja-JP"/>
        </w:rPr>
        <w:t>concentration</w:t>
      </w:r>
      <w:r w:rsidRPr="00D039E9">
        <w:rPr>
          <w:rFonts w:cs="Times"/>
          <w:bCs/>
          <w:lang w:val="en-CA" w:eastAsia="ja-JP"/>
        </w:rPr>
        <w:t xml:space="preserve"> difference between the bulk and the vicinity, namely, how the presence of the flavour molecule changes the concentration of proteins and water. To do so, we introduce the vicinity and bulk molar concentrations, </w:t>
      </w:r>
      <m:oMath>
        <m:sSubSup>
          <m:sSubSupPr>
            <m:ctrlPr>
              <w:rPr>
                <w:rFonts w:ascii="Cambria Math" w:hAnsi="Cambria Math" w:cs="Times"/>
                <w:bCs/>
                <w:i/>
                <w:lang w:val="en-CA" w:eastAsia="ja-JP"/>
              </w:rPr>
            </m:ctrlPr>
          </m:sSubSupPr>
          <m:e>
            <m:r>
              <w:rPr>
                <w:rFonts w:ascii="Cambria Math" w:hAnsi="Cambria Math" w:cs="Times"/>
                <w:lang w:val="en-CA" w:eastAsia="ja-JP"/>
              </w:rPr>
              <m:t>c</m:t>
            </m:r>
          </m:e>
          <m:sub>
            <m:r>
              <w:rPr>
                <w:rFonts w:ascii="Cambria Math" w:hAnsi="Cambria Math" w:cs="Times"/>
                <w:lang w:val="en-CA" w:eastAsia="ja-JP"/>
              </w:rPr>
              <m:t>i</m:t>
            </m:r>
          </m:sub>
          <m:sup>
            <m:r>
              <w:rPr>
                <w:rFonts w:ascii="Cambria Math" w:hAnsi="Cambria Math" w:cs="Times"/>
                <w:lang w:val="en-CA" w:eastAsia="ja-JP"/>
              </w:rPr>
              <m:t>vic</m:t>
            </m:r>
          </m:sup>
        </m:sSubSup>
        <m:r>
          <w:rPr>
            <w:rFonts w:ascii="Cambria Math" w:hAnsi="Cambria Math" w:cs="Times"/>
            <w:lang w:val="en-CA" w:eastAsia="ja-JP"/>
          </w:rPr>
          <m:t>=</m:t>
        </m:r>
        <m:sSubSup>
          <m:sSubSupPr>
            <m:ctrlPr>
              <w:rPr>
                <w:rFonts w:ascii="Cambria Math" w:hAnsi="Cambria Math" w:cs="Times"/>
                <w:bCs/>
                <w:i/>
                <w:lang w:val="en-CA" w:eastAsia="ja-JP"/>
              </w:rPr>
            </m:ctrlPr>
          </m:sSubSupPr>
          <m:e>
            <m:r>
              <w:rPr>
                <w:rFonts w:ascii="Cambria Math" w:hAnsi="Cambria Math" w:cs="Times"/>
                <w:lang w:val="en-CA" w:eastAsia="ja-JP"/>
              </w:rPr>
              <m:t>N</m:t>
            </m:r>
          </m:e>
          <m:sub>
            <m:r>
              <w:rPr>
                <w:rFonts w:ascii="Cambria Math" w:hAnsi="Cambria Math" w:cs="Times"/>
                <w:lang w:val="en-CA" w:eastAsia="ja-JP"/>
              </w:rPr>
              <m:t>i</m:t>
            </m:r>
          </m:sub>
          <m:sup>
            <m:r>
              <w:rPr>
                <w:rFonts w:ascii="Cambria Math" w:hAnsi="Cambria Math" w:cs="Times"/>
                <w:lang w:val="en-CA" w:eastAsia="ja-JP"/>
              </w:rPr>
              <m:t>vic</m:t>
            </m:r>
          </m:sup>
        </m:sSubSup>
        <m:r>
          <w:rPr>
            <w:rFonts w:ascii="Cambria Math" w:hAnsi="Cambria Math" w:cs="Times"/>
            <w:lang w:val="en-CA" w:eastAsia="ja-JP"/>
          </w:rPr>
          <m:t>/</m:t>
        </m:r>
        <m:sSup>
          <m:sSupPr>
            <m:ctrlPr>
              <w:rPr>
                <w:rFonts w:ascii="Cambria Math" w:hAnsi="Cambria Math" w:cs="Times"/>
                <w:i/>
                <w:lang w:val="en-CA" w:eastAsia="ja-JP"/>
              </w:rPr>
            </m:ctrlPr>
          </m:sSupPr>
          <m:e>
            <m:r>
              <w:rPr>
                <w:rFonts w:ascii="Cambria Math" w:hAnsi="Cambria Math" w:cs="Times"/>
                <w:lang w:val="en-CA" w:eastAsia="ja-JP"/>
              </w:rPr>
              <m:t>V</m:t>
            </m:r>
          </m:e>
          <m:sup>
            <m:r>
              <w:rPr>
                <w:rFonts w:ascii="Cambria Math" w:hAnsi="Cambria Math" w:cs="Times"/>
                <w:lang w:val="en-CA" w:eastAsia="ja-JP"/>
              </w:rPr>
              <m:t>vic</m:t>
            </m:r>
          </m:sup>
        </m:sSup>
      </m:oMath>
      <w:r w:rsidRPr="00D039E9">
        <w:rPr>
          <w:rFonts w:cs="Times"/>
          <w:bCs/>
          <w:lang w:val="en-CA" w:eastAsia="ja-JP"/>
        </w:rPr>
        <w:t xml:space="preserve"> and </w:t>
      </w:r>
      <m:oMath>
        <m:sSub>
          <m:sSubPr>
            <m:ctrlPr>
              <w:rPr>
                <w:rFonts w:ascii="Cambria Math" w:hAnsi="Cambria Math" w:cs="Times"/>
                <w:bCs/>
                <w:i/>
                <w:lang w:val="en-CA" w:eastAsia="ja-JP"/>
              </w:rPr>
            </m:ctrlPr>
          </m:sSubPr>
          <m:e>
            <m:r>
              <w:rPr>
                <w:rFonts w:ascii="Cambria Math" w:hAnsi="Cambria Math" w:cs="Times"/>
                <w:lang w:val="en-CA" w:eastAsia="ja-JP"/>
              </w:rPr>
              <m:t>c</m:t>
            </m:r>
          </m:e>
          <m:sub>
            <m:r>
              <w:rPr>
                <w:rFonts w:ascii="Cambria Math" w:hAnsi="Cambria Math" w:cs="Times"/>
                <w:lang w:val="en-CA" w:eastAsia="ja-JP"/>
              </w:rPr>
              <m:t>i</m:t>
            </m:r>
          </m:sub>
        </m:sSub>
        <m:r>
          <w:rPr>
            <w:rFonts w:ascii="Cambria Math" w:hAnsi="Cambria Math" w:cs="Times"/>
            <w:lang w:val="en-CA" w:eastAsia="ja-JP"/>
          </w:rPr>
          <m:t>=</m:t>
        </m:r>
        <m:sSub>
          <m:sSubPr>
            <m:ctrlPr>
              <w:rPr>
                <w:rFonts w:ascii="Cambria Math" w:hAnsi="Cambria Math" w:cs="Times"/>
                <w:bCs/>
                <w:i/>
                <w:lang w:val="en-CA" w:eastAsia="ja-JP"/>
              </w:rPr>
            </m:ctrlPr>
          </m:sSubPr>
          <m:e>
            <m:r>
              <w:rPr>
                <w:rFonts w:ascii="Cambria Math" w:hAnsi="Cambria Math" w:cs="Times"/>
                <w:lang w:val="en-CA" w:eastAsia="ja-JP"/>
              </w:rPr>
              <m:t>N</m:t>
            </m:r>
          </m:e>
          <m:sub>
            <m:r>
              <w:rPr>
                <w:rFonts w:ascii="Cambria Math" w:hAnsi="Cambria Math" w:cs="Times"/>
                <w:lang w:val="en-CA" w:eastAsia="ja-JP"/>
              </w:rPr>
              <m:t>i</m:t>
            </m:r>
          </m:sub>
        </m:sSub>
        <m:r>
          <w:rPr>
            <w:rFonts w:ascii="Cambria Math" w:hAnsi="Cambria Math" w:cs="Times"/>
            <w:lang w:val="en-CA" w:eastAsia="ja-JP"/>
          </w:rPr>
          <m:t>/V</m:t>
        </m:r>
      </m:oMath>
      <w:r w:rsidRPr="00D039E9">
        <w:rPr>
          <w:rFonts w:cs="Times"/>
          <w:bCs/>
          <w:lang w:val="en-CA" w:eastAsia="ja-JP"/>
        </w:rPr>
        <w:t xml:space="preserve">, which transform </w:t>
      </w:r>
      <w:r w:rsidR="00DB2563" w:rsidRPr="00D039E9">
        <w:rPr>
          <w:rFonts w:cs="Times"/>
          <w:bCs/>
          <w:lang w:val="en-CA" w:eastAsia="ja-JP"/>
        </w:rPr>
        <w:t xml:space="preserve">the combination of </w:t>
      </w:r>
      <w:r w:rsidRPr="00D039E9">
        <w:rPr>
          <w:rFonts w:cs="Times"/>
          <w:bCs/>
          <w:lang w:val="en-CA" w:eastAsia="ja-JP"/>
        </w:rPr>
        <w:t>Eqs. (A1) and (A</w:t>
      </w:r>
      <w:r w:rsidR="00DB2563" w:rsidRPr="00D039E9">
        <w:rPr>
          <w:rFonts w:cs="Times"/>
          <w:bCs/>
          <w:lang w:val="en-CA" w:eastAsia="ja-JP"/>
        </w:rPr>
        <w:t xml:space="preserve">2) </w:t>
      </w:r>
      <w:r w:rsidRPr="00D039E9">
        <w:rPr>
          <w:rFonts w:cs="Times"/>
          <w:bCs/>
          <w:lang w:val="en-CA" w:eastAsia="ja-JP"/>
        </w:rPr>
        <w:t xml:space="preserve">into the following form expressed in terms of the vicinity-bulk concentration difference,  </w:t>
      </w:r>
      <m:oMath>
        <m:sSubSup>
          <m:sSubSupPr>
            <m:ctrlPr>
              <w:rPr>
                <w:rFonts w:ascii="Cambria Math" w:hAnsi="Cambria Math" w:cs="Times"/>
                <w:bCs/>
                <w:lang w:val="en-CA" w:eastAsia="ja-JP"/>
              </w:rPr>
            </m:ctrlPr>
          </m:sSubSupPr>
          <m:e>
            <m:r>
              <w:rPr>
                <w:rFonts w:ascii="Cambria Math" w:hAnsi="Cambria Math" w:cs="Times"/>
                <w:lang w:val="en-CA" w:eastAsia="ja-JP"/>
              </w:rPr>
              <m:t>c</m:t>
            </m:r>
          </m:e>
          <m:sub>
            <m:r>
              <m:rPr>
                <m:sty m:val="p"/>
              </m:rPr>
              <w:rPr>
                <w:rFonts w:ascii="Cambria Math" w:hAnsi="Cambria Math" w:cs="Times"/>
                <w:lang w:val="en-CA" w:eastAsia="ja-JP"/>
              </w:rPr>
              <m:t>i</m:t>
            </m:r>
          </m:sub>
          <m:sup>
            <m:r>
              <w:rPr>
                <w:rFonts w:ascii="Cambria Math" w:hAnsi="Cambria Math" w:cs="Times"/>
                <w:lang w:val="en-CA" w:eastAsia="ja-JP"/>
              </w:rPr>
              <m:t>vic</m:t>
            </m:r>
          </m:sup>
        </m:sSubSup>
        <m:r>
          <m:rPr>
            <m:sty m:val="p"/>
          </m:rPr>
          <w:rPr>
            <w:rFonts w:ascii="Cambria Math" w:hAnsi="Cambria Math" w:cs="Times"/>
            <w:lang w:val="en-CA" w:eastAsia="ja-JP"/>
          </w:rPr>
          <m:t>-</m:t>
        </m:r>
        <m:sSub>
          <m:sSubPr>
            <m:ctrlPr>
              <w:rPr>
                <w:rFonts w:ascii="Cambria Math" w:hAnsi="Cambria Math" w:cs="Times"/>
                <w:bCs/>
                <w:lang w:val="en-CA" w:eastAsia="ja-JP"/>
              </w:rPr>
            </m:ctrlPr>
          </m:sSubPr>
          <m:e>
            <m:r>
              <w:rPr>
                <w:rFonts w:ascii="Cambria Math" w:hAnsi="Cambria Math" w:cs="Times"/>
                <w:lang w:val="en-CA" w:eastAsia="ja-JP"/>
              </w:rPr>
              <m:t>c</m:t>
            </m:r>
          </m:e>
          <m:sub>
            <m:r>
              <m:rPr>
                <m:sty m:val="p"/>
              </m:rPr>
              <w:rPr>
                <w:rFonts w:ascii="Cambria Math" w:hAnsi="Cambria Math" w:cs="Times"/>
                <w:lang w:val="en-CA" w:eastAsia="ja-JP"/>
              </w:rPr>
              <m:t>i</m:t>
            </m:r>
          </m:sub>
        </m:sSub>
      </m:oMath>
      <w:r w:rsidRPr="00D039E9">
        <w:rPr>
          <w:rFonts w:cs="Times"/>
          <w:bCs/>
          <w:lang w:val="en-CA" w:eastAsia="ja-JP"/>
        </w:rPr>
        <w:t xml:space="preserve">:  </w:t>
      </w:r>
    </w:p>
    <w:p w14:paraId="2FFCEB31" w14:textId="168EE098" w:rsidR="006C4568" w:rsidRPr="00D039E9" w:rsidRDefault="000E5B3F" w:rsidP="006C4568">
      <w:pPr>
        <w:pStyle w:val="TAMainText"/>
        <w:rPr>
          <w:rFonts w:cs="Times"/>
          <w:bCs/>
          <w:lang w:val="en-CA" w:eastAsia="ja-JP"/>
        </w:rPr>
      </w:pPr>
      <m:oMath>
        <m:d>
          <m:dPr>
            <m:ctrlPr>
              <w:rPr>
                <w:rFonts w:ascii="Cambria Math" w:hAnsi="Cambria Math" w:cs="Times"/>
                <w:bCs/>
                <w:lang w:val="en-CA" w:eastAsia="ja-JP"/>
              </w:rPr>
            </m:ctrlPr>
          </m:dPr>
          <m:e>
            <m:sSubSup>
              <m:sSubSupPr>
                <m:ctrlPr>
                  <w:rPr>
                    <w:rFonts w:ascii="Cambria Math" w:hAnsi="Cambria Math" w:cs="Times"/>
                    <w:bCs/>
                    <w:lang w:val="en-CA" w:eastAsia="ja-JP"/>
                  </w:rPr>
                </m:ctrlPr>
              </m:sSubSupPr>
              <m:e>
                <m:r>
                  <w:rPr>
                    <w:rFonts w:ascii="Cambria Math" w:hAnsi="Cambria Math" w:cs="Times"/>
                    <w:lang w:val="en-CA" w:eastAsia="ja-JP"/>
                  </w:rPr>
                  <m:t>c</m:t>
                </m:r>
              </m:e>
              <m:sub>
                <m:r>
                  <m:rPr>
                    <m:sty m:val="p"/>
                  </m:rPr>
                  <w:rPr>
                    <w:rFonts w:ascii="Cambria Math" w:hAnsi="Cambria Math" w:cs="Times"/>
                    <w:lang w:val="en-CA" w:eastAsia="ja-JP"/>
                  </w:rPr>
                  <m:t>W</m:t>
                </m:r>
              </m:sub>
              <m:sup>
                <m:r>
                  <w:rPr>
                    <w:rFonts w:ascii="Cambria Math" w:hAnsi="Cambria Math" w:cs="Times"/>
                    <w:lang w:val="en-CA" w:eastAsia="ja-JP"/>
                  </w:rPr>
                  <m:t>vic</m:t>
                </m:r>
              </m:sup>
            </m:sSubSup>
            <m:r>
              <m:rPr>
                <m:sty m:val="p"/>
              </m:rPr>
              <w:rPr>
                <w:rFonts w:ascii="Cambria Math" w:hAnsi="Cambria Math" w:cs="Times"/>
                <w:lang w:val="en-CA" w:eastAsia="ja-JP"/>
              </w:rPr>
              <m:t>-</m:t>
            </m:r>
            <m:sSub>
              <m:sSubPr>
                <m:ctrlPr>
                  <w:rPr>
                    <w:rFonts w:ascii="Cambria Math" w:hAnsi="Cambria Math" w:cs="Times"/>
                    <w:bCs/>
                    <w:lang w:val="en-CA" w:eastAsia="ja-JP"/>
                  </w:rPr>
                </m:ctrlPr>
              </m:sSubPr>
              <m:e>
                <m:r>
                  <w:rPr>
                    <w:rFonts w:ascii="Cambria Math" w:hAnsi="Cambria Math" w:cs="Times"/>
                    <w:lang w:val="en-CA" w:eastAsia="ja-JP"/>
                  </w:rPr>
                  <m:t>c</m:t>
                </m:r>
              </m:e>
              <m:sub>
                <m:r>
                  <m:rPr>
                    <m:sty m:val="p"/>
                  </m:rPr>
                  <w:rPr>
                    <w:rFonts w:ascii="Cambria Math" w:hAnsi="Cambria Math" w:cs="Times"/>
                    <w:lang w:val="en-CA" w:eastAsia="ja-JP"/>
                  </w:rPr>
                  <m:t>W</m:t>
                </m:r>
              </m:sub>
            </m:sSub>
          </m:e>
        </m:d>
        <m:r>
          <w:rPr>
            <w:rFonts w:ascii="Cambria Math" w:hAnsi="Cambria Math" w:cs="Times"/>
            <w:lang w:val="en-CA" w:eastAsia="ja-JP"/>
          </w:rPr>
          <m:t>d</m:t>
        </m:r>
        <m:sSub>
          <m:sSubPr>
            <m:ctrlPr>
              <w:rPr>
                <w:rFonts w:ascii="Cambria Math" w:hAnsi="Cambria Math" w:cs="Times"/>
                <w:bCs/>
                <w:lang w:val="en-CA" w:eastAsia="ja-JP"/>
              </w:rPr>
            </m:ctrlPr>
          </m:sSubPr>
          <m:e>
            <m:r>
              <w:rPr>
                <w:rFonts w:ascii="Cambria Math" w:hAnsi="Cambria Math" w:cs="Times"/>
                <w:lang w:val="en-CA" w:eastAsia="ja-JP"/>
              </w:rPr>
              <m:t>μ</m:t>
            </m:r>
          </m:e>
          <m:sub>
            <m:r>
              <m:rPr>
                <m:sty m:val="p"/>
              </m:rPr>
              <w:rPr>
                <w:rFonts w:ascii="Cambria Math" w:hAnsi="Cambria Math" w:cs="Times"/>
                <w:lang w:val="en-CA" w:eastAsia="ja-JP"/>
              </w:rPr>
              <m:t>W</m:t>
            </m:r>
          </m:sub>
        </m:sSub>
        <m:r>
          <m:rPr>
            <m:sty m:val="p"/>
          </m:rPr>
          <w:rPr>
            <w:rFonts w:ascii="Cambria Math" w:hAnsi="Cambria Math" w:cs="Times"/>
            <w:lang w:val="en-CA" w:eastAsia="ja-JP"/>
          </w:rPr>
          <m:t>+</m:t>
        </m:r>
        <m:d>
          <m:dPr>
            <m:ctrlPr>
              <w:rPr>
                <w:rFonts w:ascii="Cambria Math" w:hAnsi="Cambria Math" w:cs="Times"/>
                <w:bCs/>
                <w:lang w:val="en-CA" w:eastAsia="ja-JP"/>
              </w:rPr>
            </m:ctrlPr>
          </m:dPr>
          <m:e>
            <m:sSubSup>
              <m:sSubSupPr>
                <m:ctrlPr>
                  <w:rPr>
                    <w:rFonts w:ascii="Cambria Math" w:hAnsi="Cambria Math" w:cs="Times"/>
                    <w:bCs/>
                    <w:lang w:val="en-CA" w:eastAsia="ja-JP"/>
                  </w:rPr>
                </m:ctrlPr>
              </m:sSubSupPr>
              <m:e>
                <m:r>
                  <w:rPr>
                    <w:rFonts w:ascii="Cambria Math" w:hAnsi="Cambria Math" w:cs="Times"/>
                    <w:lang w:val="en-CA" w:eastAsia="ja-JP"/>
                  </w:rPr>
                  <m:t>c</m:t>
                </m:r>
              </m:e>
              <m:sub>
                <m:r>
                  <m:rPr>
                    <m:sty m:val="p"/>
                  </m:rPr>
                  <w:rPr>
                    <w:rFonts w:ascii="Cambria Math" w:hAnsi="Cambria Math" w:cs="Times"/>
                    <w:lang w:val="en-CA" w:eastAsia="ja-JP"/>
                  </w:rPr>
                  <m:t>P</m:t>
                </m:r>
              </m:sub>
              <m:sup>
                <m:r>
                  <w:rPr>
                    <w:rFonts w:ascii="Cambria Math" w:hAnsi="Cambria Math" w:cs="Times"/>
                    <w:lang w:val="en-CA" w:eastAsia="ja-JP"/>
                  </w:rPr>
                  <m:t>vic</m:t>
                </m:r>
              </m:sup>
            </m:sSubSup>
            <m:r>
              <m:rPr>
                <m:sty m:val="p"/>
              </m:rPr>
              <w:rPr>
                <w:rFonts w:ascii="Cambria Math" w:hAnsi="Cambria Math" w:cs="Times"/>
                <w:lang w:val="en-CA" w:eastAsia="ja-JP"/>
              </w:rPr>
              <m:t>-</m:t>
            </m:r>
            <m:sSub>
              <m:sSubPr>
                <m:ctrlPr>
                  <w:rPr>
                    <w:rFonts w:ascii="Cambria Math" w:hAnsi="Cambria Math" w:cs="Times"/>
                    <w:bCs/>
                    <w:lang w:val="en-CA" w:eastAsia="ja-JP"/>
                  </w:rPr>
                </m:ctrlPr>
              </m:sSubPr>
              <m:e>
                <m:r>
                  <w:rPr>
                    <w:rFonts w:ascii="Cambria Math" w:hAnsi="Cambria Math" w:cs="Times"/>
                    <w:lang w:val="en-CA" w:eastAsia="ja-JP"/>
                  </w:rPr>
                  <m:t>c</m:t>
                </m:r>
              </m:e>
              <m:sub>
                <m:r>
                  <m:rPr>
                    <m:sty m:val="p"/>
                  </m:rPr>
                  <w:rPr>
                    <w:rFonts w:ascii="Cambria Math" w:hAnsi="Cambria Math" w:cs="Times"/>
                    <w:lang w:val="en-CA" w:eastAsia="ja-JP"/>
                  </w:rPr>
                  <m:t>P</m:t>
                </m:r>
              </m:sub>
            </m:sSub>
          </m:e>
        </m:d>
        <m:r>
          <w:rPr>
            <w:rFonts w:ascii="Cambria Math" w:hAnsi="Cambria Math" w:cs="Times"/>
            <w:lang w:val="en-CA" w:eastAsia="ja-JP"/>
          </w:rPr>
          <m:t>d</m:t>
        </m:r>
        <m:sSub>
          <m:sSubPr>
            <m:ctrlPr>
              <w:rPr>
                <w:rFonts w:ascii="Cambria Math" w:hAnsi="Cambria Math" w:cs="Times"/>
                <w:bCs/>
                <w:lang w:val="en-CA" w:eastAsia="ja-JP"/>
              </w:rPr>
            </m:ctrlPr>
          </m:sSubPr>
          <m:e>
            <m:r>
              <w:rPr>
                <w:rFonts w:ascii="Cambria Math" w:hAnsi="Cambria Math" w:cs="Times"/>
                <w:lang w:val="en-CA" w:eastAsia="ja-JP"/>
              </w:rPr>
              <m:t>μ</m:t>
            </m:r>
          </m:e>
          <m:sub>
            <m:r>
              <m:rPr>
                <m:sty m:val="p"/>
              </m:rPr>
              <w:rPr>
                <w:rFonts w:ascii="Cambria Math" w:hAnsi="Cambria Math" w:cs="Times"/>
                <w:lang w:val="en-CA" w:eastAsia="ja-JP"/>
              </w:rPr>
              <m:t>P</m:t>
            </m:r>
          </m:sub>
        </m:sSub>
        <m:r>
          <w:rPr>
            <w:rFonts w:ascii="Cambria Math" w:hAnsi="Cambria Math" w:cs="Times"/>
            <w:lang w:val="en-CA" w:eastAsia="ja-JP"/>
          </w:rPr>
          <m:t>+</m:t>
        </m:r>
        <m:sSubSup>
          <m:sSubSupPr>
            <m:ctrlPr>
              <w:rPr>
                <w:rFonts w:ascii="Cambria Math" w:hAnsi="Cambria Math" w:cs="Times"/>
                <w:i/>
                <w:lang w:val="en-CA" w:eastAsia="ja-JP"/>
              </w:rPr>
            </m:ctrlPr>
          </m:sSubSupPr>
          <m:e>
            <m:r>
              <w:rPr>
                <w:rFonts w:ascii="Cambria Math" w:hAnsi="Cambria Math" w:cs="Times"/>
                <w:lang w:val="en-CA" w:eastAsia="ja-JP"/>
              </w:rPr>
              <m:t>c</m:t>
            </m:r>
          </m:e>
          <m:sub>
            <m:r>
              <m:rPr>
                <m:sty m:val="p"/>
              </m:rPr>
              <w:rPr>
                <w:rFonts w:ascii="Cambria Math" w:hAnsi="Cambria Math" w:cs="Times"/>
                <w:lang w:val="en-CA" w:eastAsia="ja-JP"/>
              </w:rPr>
              <m:t>F</m:t>
            </m:r>
            <m:ctrlPr>
              <w:rPr>
                <w:rFonts w:ascii="Cambria Math" w:hAnsi="Cambria Math" w:cs="Times"/>
                <w:lang w:val="en-CA" w:eastAsia="ja-JP"/>
              </w:rPr>
            </m:ctrlPr>
          </m:sub>
          <m:sup>
            <m:r>
              <w:rPr>
                <w:rFonts w:ascii="Cambria Math" w:hAnsi="Cambria Math" w:cs="Cambria Math"/>
                <w:lang w:val="en-CA" w:eastAsia="ja-JP"/>
              </w:rPr>
              <m:t>v</m:t>
            </m:r>
            <m:r>
              <w:rPr>
                <w:rFonts w:ascii="Cambria Math" w:hAnsi="Cambria Math" w:cs="Times"/>
                <w:lang w:val="en-CA" w:eastAsia="ja-JP"/>
              </w:rPr>
              <m:t>ic</m:t>
            </m:r>
          </m:sup>
        </m:sSubSup>
        <m:r>
          <w:rPr>
            <w:rFonts w:ascii="Cambria Math" w:hAnsi="Cambria Math" w:cs="Times"/>
            <w:lang w:val="en-CA" w:eastAsia="ja-JP"/>
          </w:rPr>
          <m:t>d</m:t>
        </m:r>
        <m:sSubSup>
          <m:sSubSupPr>
            <m:ctrlPr>
              <w:rPr>
                <w:rFonts w:ascii="Cambria Math" w:hAnsi="Cambria Math" w:cs="Times"/>
                <w:lang w:val="en-CA" w:eastAsia="ja-JP"/>
              </w:rPr>
            </m:ctrlPr>
          </m:sSubSupPr>
          <m:e>
            <m:r>
              <w:rPr>
                <w:rFonts w:ascii="Cambria Math" w:hAnsi="Cambria Math" w:cs="Times"/>
                <w:lang w:val="en-CA" w:eastAsia="ja-JP"/>
              </w:rPr>
              <m:t>μ</m:t>
            </m:r>
            <m:ctrlPr>
              <w:rPr>
                <w:rFonts w:ascii="Cambria Math" w:hAnsi="Cambria Math" w:cs="Times"/>
                <w:i/>
                <w:lang w:val="en-CA" w:eastAsia="ja-JP"/>
              </w:rPr>
            </m:ctrlPr>
          </m:e>
          <m:sub>
            <m:r>
              <m:rPr>
                <m:sty m:val="p"/>
              </m:rPr>
              <w:rPr>
                <w:rFonts w:ascii="Cambria Math" w:hAnsi="Cambria Math" w:cs="Times"/>
                <w:lang w:val="en-CA" w:eastAsia="ja-JP"/>
              </w:rPr>
              <m:t>F</m:t>
            </m:r>
          </m:sub>
          <m:sup>
            <m:r>
              <m:rPr>
                <m:sty m:val="p"/>
              </m:rPr>
              <w:rPr>
                <w:rFonts w:ascii="Cambria Math" w:hAnsi="Cambria Math" w:cs="Times"/>
                <w:lang w:val="en-CA" w:eastAsia="ja-JP"/>
              </w:rPr>
              <m:t>*</m:t>
            </m:r>
          </m:sup>
        </m:sSubSup>
        <m:r>
          <m:rPr>
            <m:sty m:val="p"/>
          </m:rPr>
          <w:rPr>
            <w:rFonts w:ascii="Cambria Math" w:hAnsi="Cambria Math" w:cs="Times"/>
            <w:lang w:val="en-CA" w:eastAsia="ja-JP"/>
          </w:rPr>
          <m:t>=0</m:t>
        </m:r>
      </m:oMath>
      <w:r w:rsidR="005E079C" w:rsidRPr="00D039E9">
        <w:rPr>
          <w:rFonts w:cs="Times"/>
          <w:bCs/>
          <w:lang w:val="en-CA" w:eastAsia="ja-JP"/>
        </w:rPr>
        <w:tab/>
      </w:r>
      <w:r w:rsidR="005E079C" w:rsidRPr="00D039E9">
        <w:rPr>
          <w:rFonts w:cs="Times"/>
          <w:bCs/>
          <w:lang w:val="en-CA" w:eastAsia="ja-JP"/>
        </w:rPr>
        <w:tab/>
      </w:r>
      <w:r w:rsidR="005E079C" w:rsidRPr="00D039E9">
        <w:rPr>
          <w:rFonts w:cs="Times"/>
          <w:bCs/>
          <w:lang w:val="en-CA" w:eastAsia="ja-JP"/>
        </w:rPr>
        <w:tab/>
      </w:r>
      <w:r w:rsidR="005E079C" w:rsidRPr="00D039E9">
        <w:rPr>
          <w:rFonts w:cs="Times"/>
          <w:bCs/>
          <w:lang w:val="en-CA" w:eastAsia="ja-JP"/>
        </w:rPr>
        <w:tab/>
      </w:r>
      <w:r w:rsidR="005E079C" w:rsidRPr="00D039E9">
        <w:rPr>
          <w:rFonts w:cs="Times"/>
          <w:bCs/>
          <w:lang w:val="en-CA" w:eastAsia="ja-JP"/>
        </w:rPr>
        <w:tab/>
      </w:r>
      <w:r w:rsidR="006C4568" w:rsidRPr="00D039E9">
        <w:rPr>
          <w:rFonts w:cs="Times"/>
          <w:bCs/>
          <w:lang w:val="en-CA" w:eastAsia="ja-JP"/>
        </w:rPr>
        <w:t>(A3)</w:t>
      </w:r>
    </w:p>
    <w:p w14:paraId="14D77FB5" w14:textId="722279AC" w:rsidR="006C4568" w:rsidRPr="00D039E9" w:rsidRDefault="006C4568" w:rsidP="006C4568">
      <w:pPr>
        <w:pStyle w:val="TAMainText"/>
        <w:ind w:firstLine="0"/>
        <w:rPr>
          <w:rFonts w:cs="Times"/>
          <w:bCs/>
          <w:lang w:val="en-CA" w:eastAsia="ja-JP"/>
        </w:rPr>
      </w:pPr>
      <w:r w:rsidRPr="00D039E9">
        <w:rPr>
          <w:rFonts w:cs="Times"/>
          <w:bCs/>
          <w:lang w:val="en-CA" w:eastAsia="ja-JP"/>
        </w:rPr>
        <w:t xml:space="preserve">Now we introduce the key concept, </w:t>
      </w:r>
      <w:r w:rsidRPr="00D039E9">
        <w:rPr>
          <w:rFonts w:cs="Times"/>
          <w:bCs/>
          <w:i/>
          <w:lang w:val="en-CA" w:eastAsia="ja-JP"/>
        </w:rPr>
        <w:t>excess solvation numbers</w:t>
      </w:r>
      <w:r w:rsidRPr="00D039E9">
        <w:rPr>
          <w:rFonts w:cs="Times"/>
          <w:bCs/>
          <w:lang w:val="en-CA" w:eastAsia="ja-JP"/>
        </w:rPr>
        <w:t xml:space="preserve">, </w:t>
      </w:r>
      <m:oMath>
        <m:sSub>
          <m:sSubPr>
            <m:ctrlPr>
              <w:rPr>
                <w:rFonts w:ascii="Cambria Math" w:hAnsi="Cambria Math" w:cs="Times"/>
                <w:bCs/>
                <w:i/>
                <w:lang w:val="en-CA" w:eastAsia="ja-JP"/>
              </w:rPr>
            </m:ctrlPr>
          </m:sSubPr>
          <m:e>
            <m:r>
              <w:rPr>
                <w:rFonts w:ascii="Cambria Math" w:hAnsi="Cambria Math" w:cs="Times"/>
                <w:lang w:val="en-CA" w:eastAsia="ja-JP"/>
              </w:rPr>
              <m:t>N</m:t>
            </m:r>
          </m:e>
          <m:sub>
            <m:r>
              <w:rPr>
                <w:rFonts w:ascii="Cambria Math" w:hAnsi="Cambria Math" w:cs="Times"/>
                <w:lang w:val="en-CA" w:eastAsia="ja-JP"/>
              </w:rPr>
              <m:t>Fi</m:t>
            </m:r>
          </m:sub>
        </m:sSub>
      </m:oMath>
      <w:r w:rsidRPr="00D039E9">
        <w:rPr>
          <w:rFonts w:cs="Times"/>
          <w:bCs/>
          <w:lang w:val="en-CA" w:eastAsia="ja-JP"/>
        </w:rPr>
        <w:t>, defined as the vicinity-bulk concentration change per solute molecule</w:t>
      </w:r>
      <w:r w:rsidR="00262C94" w:rsidRPr="00D039E9">
        <w:rPr>
          <w:rFonts w:cs="Times"/>
          <w:bCs/>
          <w:lang w:val="en-CA" w:eastAsia="ja-JP"/>
        </w:rPr>
        <w:fldChar w:fldCharType="begin" w:fldLock="1"/>
      </w:r>
      <w:r w:rsidR="00C65F5C" w:rsidRPr="00D039E9">
        <w:rPr>
          <w:rFonts w:cs="Times"/>
          <w:bCs/>
          <w:lang w:val="en-CA" w:eastAsia="ja-JP"/>
        </w:rPr>
        <w:instrText>ADDIN CSL_CITATION { "citationItems" : [ { "id" : "ITEM-1",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"ITEM-1",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"id" : "ITEM-2",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"ITEM-2",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"id" : "ITEM-3",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"ITEM-3", "issue" : "14", "issued" : { "date-parts" : [ [ "2014" ] ] }, "page" : "3922-3930", "title" : "Preferential solvation: Dividing surface vs excess numbers", "type" : "article-journal", "volume" : "118" }, "uris" : [ "http://www.mendeley.com/documents/?uuid=896fec6b-354e-41cd-a8de-55bd371a22f5" ] }, { "id" : "ITEM-4", "itemData" : { "DOI" : "10.1021/jp505869m", "ISBN" : "1520-5207 (Electronic)\\r1520-5207 (Linking)", "ISSN" : "15205207", "PMID" : "25144510", "abstract" : "Drug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 "author" : [ { "dropping-particle" : "", "family" : "Shimizu", "given" : "Seishi", "non-dropping-particle" : "", "parse-names" : false, "suffix" : "" }, { "dropping-particle" : "", "family" : "Matubayasi", "given" : "Nobuyuki", "non-dropping-particle" : "", "parse-names" : false, "suffix" : "" } ], "container-title" : "Journal of Physical Chemistry B", "id" : "ITEM-4", "issue" : "35", "issued" : { "date-parts" : [ [ "2014" ] ] }, "page" : "10515-10524", "title" : "Hydrotropy: Monomer-micelle equilibrium and minimum hydrotrope concentration", "type" : "article-journal", "volume" : "118" }, "uris" : [ "http://www.mendeley.com/documents/?uuid=0cd1508f-d197-4e8d-a474-504cfaeae922" ] }, { "id" : "ITEM-5", "itemData" : { "DOI" : "10.1039/tf9716702516", "ISSN" : "0014-7672", "abstract" : "An alternative derivation of part of the Kirkwood-Buff theory of solutions, which uses essentially classical thermodynamic concepts is presented. This theory relates the thermodynamic properties of a solution to the integrals of the radial distribution functions of the various molecular pairs present. Useful expressions are derived for electrolyte solutions and for solutions of two and three components. Of particular importance are the general expression for the primary medium effect for a neutral electrolyte and the expression for the effect of one component on the solubility of another in a three component system, which shows how the theory can be used as a general basis for discussing hydrotropy and related phenomena.", "author" : [ { "dropping-particle" : "", "family" : "Hall", "given" : "D. G.", "non-dropping-particle" : "", "parse-names" : false, "suffix" : "" } ], "container-title" : "Transactions of the Faraday Society", "id" : "ITEM-5", "issue" : "0", "issued" : { "date-parts" : [ [ "1971" ] ] }, "page" : "2516", "publisher" : "The Royal Society of Chemistry", "title" : "Kirkwood-Buff theory of solutions. An alternative derivation of part of it and some applications", "type" : "article-journal", "volume" : "67" }, "uris" : [ "http://www.mendeley.com/documents/?uuid=f29dc205-be25-31b1-ab4c-c0d01d88246f" ] }, { "id" : "ITEM-6", "itemData" : { "DOI" : "10.1039/CS9942300031", "ISSN" : "0306-0012", "abstract" : "No abstract available", "author" : [ { "dropping-particle" : "", "family" : "Newman", "given" : "Kenneth E.", "non-dropping-particle" : "", "parse-names" : false, "suffix" : "" } ], "container-title" : "Chem. Soc. Rev.", "id" : "ITEM-6", "issue" : "1", "issued" : { "date-parts" : [ [ "1994" ] ] }, "page" : "31-40", "publisher" : "The Royal Society of Chemistry", "title" : "Kirkwood\u2013Buff solution theory: derivation and applications", "type" : "article-journal", "volume" : "23" }, "uris" : [ "http://www.mendeley.com/documents/?uuid=4ba4106e-8081-3548-88ce-5332351b1d98" ] } ], "mendeley" : { "formattedCitation" : "&lt;sup&gt;11,17,18,22,53,55&lt;/sup&gt;", "plainTextFormattedCitation" : "11,17,18,22,53,55", "previouslyFormattedCitation" : "&lt;sup&gt;11,17,18,22,53,55&lt;/sup&gt;" }, "properties" : { "noteIndex" : 0 }, "schema" : "https://github.com/citation-style-language/schema/raw/master/csl-citation.json" }</w:instrText>
      </w:r>
      <w:r w:rsidR="00262C94" w:rsidRPr="00D039E9">
        <w:rPr>
          <w:rFonts w:cs="Times"/>
          <w:bCs/>
          <w:lang w:val="en-CA" w:eastAsia="ja-JP"/>
        </w:rPr>
        <w:fldChar w:fldCharType="separate"/>
      </w:r>
      <w:r w:rsidR="00BB3004" w:rsidRPr="00D039E9">
        <w:rPr>
          <w:rFonts w:cs="Times"/>
          <w:bCs/>
          <w:noProof/>
          <w:vertAlign w:val="superscript"/>
          <w:lang w:val="en-CA" w:eastAsia="ja-JP"/>
        </w:rPr>
        <w:t>11,17,18,22,53,55</w:t>
      </w:r>
      <w:r w:rsidR="00262C94" w:rsidRPr="00D039E9">
        <w:rPr>
          <w:rFonts w:cs="Times"/>
          <w:bCs/>
          <w:lang w:val="en-CA" w:eastAsia="ja-JP"/>
        </w:rPr>
        <w:fldChar w:fldCharType="end"/>
      </w:r>
    </w:p>
    <w:p w14:paraId="2A4B127B" w14:textId="49BE00D2" w:rsidR="006C4568" w:rsidRPr="00D039E9" w:rsidRDefault="000E5B3F" w:rsidP="006C4568">
      <w:pPr>
        <w:pStyle w:val="TAMainText"/>
        <w:rPr>
          <w:rFonts w:cs="Times"/>
          <w:bCs/>
          <w:lang w:val="en-CA" w:eastAsia="ja-JP"/>
        </w:rPr>
      </w:pPr>
      <m:oMath>
        <m:sSub>
          <m:sSubPr>
            <m:ctrlPr>
              <w:rPr>
                <w:rFonts w:ascii="Cambria Math" w:hAnsi="Cambria Math" w:cs="Times"/>
                <w:bCs/>
                <w:lang w:val="en-CA" w:eastAsia="ja-JP"/>
              </w:rPr>
            </m:ctrlPr>
          </m:sSubPr>
          <m:e>
            <m:r>
              <w:rPr>
                <w:rFonts w:ascii="Cambria Math" w:hAnsi="Cambria Math" w:cs="Times"/>
                <w:lang w:val="en-CA" w:eastAsia="ja-JP"/>
              </w:rPr>
              <m:t>N</m:t>
            </m:r>
          </m:e>
          <m:sub>
            <m:r>
              <m:rPr>
                <m:sty m:val="p"/>
              </m:rPr>
              <w:rPr>
                <w:rFonts w:ascii="Cambria Math" w:hAnsi="Cambria Math" w:cs="Times"/>
                <w:lang w:val="en-CA" w:eastAsia="ja-JP"/>
              </w:rPr>
              <m:t>Fi</m:t>
            </m:r>
          </m:sub>
        </m:sSub>
        <m:r>
          <m:rPr>
            <m:sty m:val="p"/>
          </m:rPr>
          <w:rPr>
            <w:rFonts w:ascii="Cambria Math" w:hAnsi="Cambria Math" w:cs="Times"/>
            <w:lang w:val="en-CA" w:eastAsia="ja-JP"/>
          </w:rPr>
          <m:t>=</m:t>
        </m:r>
        <m:f>
          <m:fPr>
            <m:ctrlPr>
              <w:rPr>
                <w:rFonts w:ascii="Cambria Math" w:hAnsi="Cambria Math" w:cs="Times"/>
                <w:bCs/>
                <w:lang w:val="en-CA" w:eastAsia="ja-JP"/>
              </w:rPr>
            </m:ctrlPr>
          </m:fPr>
          <m:num>
            <m:sSubSup>
              <m:sSubSupPr>
                <m:ctrlPr>
                  <w:rPr>
                    <w:rFonts w:ascii="Cambria Math" w:hAnsi="Cambria Math" w:cs="Times"/>
                    <w:bCs/>
                    <w:lang w:val="en-CA" w:eastAsia="ja-JP"/>
                  </w:rPr>
                </m:ctrlPr>
              </m:sSubSupPr>
              <m:e>
                <m:r>
                  <w:rPr>
                    <w:rFonts w:ascii="Cambria Math" w:hAnsi="Cambria Math" w:cs="Times"/>
                    <w:lang w:val="en-CA" w:eastAsia="ja-JP"/>
                  </w:rPr>
                  <m:t>c</m:t>
                </m:r>
              </m:e>
              <m:sub>
                <m:r>
                  <w:rPr>
                    <w:rFonts w:ascii="Cambria Math" w:hAnsi="Cambria Math" w:cs="Times"/>
                    <w:lang w:val="en-CA" w:eastAsia="ja-JP"/>
                  </w:rPr>
                  <m:t>i</m:t>
                </m:r>
              </m:sub>
              <m:sup>
                <m:r>
                  <w:rPr>
                    <w:rFonts w:ascii="Cambria Math" w:hAnsi="Cambria Math" w:cs="Times"/>
                    <w:lang w:val="en-CA" w:eastAsia="ja-JP"/>
                  </w:rPr>
                  <m:t>vic</m:t>
                </m:r>
              </m:sup>
            </m:sSubSup>
            <m:r>
              <m:rPr>
                <m:sty m:val="p"/>
              </m:rPr>
              <w:rPr>
                <w:rFonts w:ascii="Cambria Math" w:hAnsi="Cambria Math" w:cs="Times"/>
                <w:lang w:val="en-CA" w:eastAsia="ja-JP"/>
              </w:rPr>
              <m:t>-</m:t>
            </m:r>
            <m:sSub>
              <m:sSubPr>
                <m:ctrlPr>
                  <w:rPr>
                    <w:rFonts w:ascii="Cambria Math" w:hAnsi="Cambria Math" w:cs="Times"/>
                    <w:bCs/>
                    <w:lang w:val="en-CA" w:eastAsia="ja-JP"/>
                  </w:rPr>
                </m:ctrlPr>
              </m:sSubPr>
              <m:e>
                <m:r>
                  <w:rPr>
                    <w:rFonts w:ascii="Cambria Math" w:hAnsi="Cambria Math" w:cs="Times"/>
                    <w:lang w:val="en-CA" w:eastAsia="ja-JP"/>
                  </w:rPr>
                  <m:t>c</m:t>
                </m:r>
              </m:e>
              <m:sub>
                <m:r>
                  <w:rPr>
                    <w:rFonts w:ascii="Cambria Math" w:hAnsi="Cambria Math" w:cs="Times"/>
                    <w:lang w:val="en-CA" w:eastAsia="ja-JP"/>
                  </w:rPr>
                  <m:t>i</m:t>
                </m:r>
              </m:sub>
            </m:sSub>
          </m:num>
          <m:den>
            <m:sSubSup>
              <m:sSubSupPr>
                <m:ctrlPr>
                  <w:rPr>
                    <w:rFonts w:ascii="Cambria Math" w:hAnsi="Cambria Math" w:cs="Times"/>
                    <w:i/>
                    <w:lang w:val="en-CA" w:eastAsia="ja-JP"/>
                  </w:rPr>
                </m:ctrlPr>
              </m:sSubSupPr>
              <m:e>
                <m:r>
                  <w:rPr>
                    <w:rFonts w:ascii="Cambria Math" w:hAnsi="Cambria Math" w:cs="Times"/>
                    <w:lang w:val="en-CA" w:eastAsia="ja-JP"/>
                  </w:rPr>
                  <m:t>c</m:t>
                </m:r>
              </m:e>
              <m:sub>
                <m:r>
                  <m:rPr>
                    <m:sty m:val="p"/>
                  </m:rPr>
                  <w:rPr>
                    <w:rFonts w:ascii="Cambria Math" w:hAnsi="Cambria Math" w:cs="Times"/>
                    <w:lang w:val="en-CA" w:eastAsia="ja-JP"/>
                  </w:rPr>
                  <m:t>F</m:t>
                </m:r>
                <m:ctrlPr>
                  <w:rPr>
                    <w:rFonts w:ascii="Cambria Math" w:hAnsi="Cambria Math" w:cs="Times"/>
                    <w:lang w:val="en-CA" w:eastAsia="ja-JP"/>
                  </w:rPr>
                </m:ctrlPr>
              </m:sub>
              <m:sup>
                <m:r>
                  <w:rPr>
                    <w:rFonts w:ascii="Cambria Math" w:hAnsi="Cambria Math" w:cs="Times"/>
                    <w:lang w:val="en-CA" w:eastAsia="ja-JP"/>
                  </w:rPr>
                  <m:t>vic</m:t>
                </m:r>
              </m:sup>
            </m:sSubSup>
          </m:den>
        </m:f>
      </m:oMath>
      <w:r w:rsidR="006C4568" w:rsidRPr="00D039E9">
        <w:rPr>
          <w:rFonts w:cs="Times"/>
          <w:bCs/>
          <w:lang w:val="en-CA" w:eastAsia="ja-JP"/>
        </w:rPr>
        <w:tab/>
      </w:r>
      <w:r w:rsidR="006C4568" w:rsidRPr="00D039E9">
        <w:rPr>
          <w:rFonts w:cs="Times"/>
          <w:bCs/>
          <w:lang w:val="en-CA" w:eastAsia="ja-JP"/>
        </w:rPr>
        <w:tab/>
      </w:r>
      <w:r w:rsidR="006C4568" w:rsidRPr="00D039E9">
        <w:rPr>
          <w:rFonts w:cs="Times"/>
          <w:bCs/>
          <w:lang w:val="en-CA" w:eastAsia="ja-JP"/>
        </w:rPr>
        <w:tab/>
      </w:r>
      <w:r w:rsidR="006C4568" w:rsidRPr="00D039E9">
        <w:rPr>
          <w:rFonts w:cs="Times"/>
          <w:bCs/>
          <w:lang w:val="en-CA" w:eastAsia="ja-JP"/>
        </w:rPr>
        <w:tab/>
      </w:r>
      <w:r w:rsidR="006C4568" w:rsidRPr="00D039E9">
        <w:rPr>
          <w:rFonts w:cs="Times"/>
          <w:bCs/>
          <w:lang w:val="en-CA" w:eastAsia="ja-JP"/>
        </w:rPr>
        <w:tab/>
      </w:r>
      <w:r w:rsidR="006C4568" w:rsidRPr="00D039E9">
        <w:rPr>
          <w:rFonts w:cs="Times"/>
          <w:bCs/>
          <w:lang w:val="en-CA" w:eastAsia="ja-JP"/>
        </w:rPr>
        <w:tab/>
      </w:r>
      <w:r w:rsidR="006C4568" w:rsidRPr="00D039E9">
        <w:rPr>
          <w:rFonts w:cs="Times"/>
          <w:bCs/>
          <w:lang w:val="en-CA" w:eastAsia="ja-JP"/>
        </w:rPr>
        <w:tab/>
      </w:r>
      <w:r w:rsidR="006C4568" w:rsidRPr="00D039E9">
        <w:rPr>
          <w:rFonts w:cs="Times"/>
          <w:bCs/>
          <w:lang w:val="en-CA" w:eastAsia="ja-JP"/>
        </w:rPr>
        <w:tab/>
      </w:r>
      <w:r w:rsidR="006C4568" w:rsidRPr="00D039E9">
        <w:rPr>
          <w:rFonts w:cs="Times"/>
          <w:bCs/>
          <w:lang w:val="en-CA" w:eastAsia="ja-JP"/>
        </w:rPr>
        <w:tab/>
      </w:r>
      <w:r w:rsidR="006C4568" w:rsidRPr="00D039E9">
        <w:rPr>
          <w:rFonts w:cs="Times"/>
          <w:bCs/>
          <w:lang w:val="en-CA" w:eastAsia="ja-JP"/>
        </w:rPr>
        <w:tab/>
      </w:r>
      <w:r w:rsidR="006C4568" w:rsidRPr="00D039E9">
        <w:rPr>
          <w:rFonts w:cs="Times"/>
          <w:bCs/>
          <w:lang w:val="en-CA" w:eastAsia="ja-JP"/>
        </w:rPr>
        <w:tab/>
        <w:t>(A4)</w:t>
      </w:r>
    </w:p>
    <w:p w14:paraId="1D10B65A" w14:textId="1C1E79EB" w:rsidR="006C4568" w:rsidRPr="00D039E9" w:rsidRDefault="006B3984" w:rsidP="006C4568">
      <w:pPr>
        <w:pStyle w:val="TAMainText"/>
        <w:ind w:firstLine="0"/>
        <w:rPr>
          <w:rFonts w:cs="Times"/>
          <w:bCs/>
          <w:lang w:val="en-CA" w:eastAsia="ja-JP"/>
        </w:rPr>
      </w:pPr>
      <w:r w:rsidRPr="00D039E9">
        <w:rPr>
          <w:rFonts w:cs="Times"/>
          <w:bCs/>
          <w:lang w:val="en-CA" w:eastAsia="ja-JP"/>
        </w:rPr>
        <w:t>With the help of Eq. (A4),</w:t>
      </w:r>
      <w:r w:rsidR="006C4568" w:rsidRPr="00D039E9">
        <w:rPr>
          <w:rFonts w:cs="Times"/>
          <w:bCs/>
          <w:lang w:val="en-CA" w:eastAsia="ja-JP"/>
        </w:rPr>
        <w:t xml:space="preserve"> Eq. (</w:t>
      </w:r>
      <w:r w:rsidRPr="00D039E9">
        <w:rPr>
          <w:rFonts w:cs="Times"/>
          <w:bCs/>
          <w:lang w:val="en-CA" w:eastAsia="ja-JP"/>
        </w:rPr>
        <w:t>A</w:t>
      </w:r>
      <w:r w:rsidR="006C4568" w:rsidRPr="00D039E9">
        <w:rPr>
          <w:rFonts w:cs="Times"/>
          <w:bCs/>
          <w:lang w:val="en-CA" w:eastAsia="ja-JP"/>
        </w:rPr>
        <w:t xml:space="preserve">3) can be rewritten as </w:t>
      </w:r>
    </w:p>
    <w:p w14:paraId="253060FB" w14:textId="589C0B8A" w:rsidR="006C4568" w:rsidRPr="00D039E9" w:rsidRDefault="006C4568" w:rsidP="006C4568">
      <w:pPr>
        <w:pStyle w:val="TAMainText"/>
        <w:ind w:firstLine="0"/>
        <w:rPr>
          <w:rFonts w:cs="Times"/>
          <w:bCs/>
          <w:lang w:val="en-CA" w:eastAsia="ja-JP"/>
        </w:rPr>
      </w:pPr>
      <m:oMath>
        <m:r>
          <w:rPr>
            <w:rFonts w:ascii="Cambria Math" w:hAnsi="Cambria Math" w:cs="Times"/>
            <w:lang w:val="en-CA" w:eastAsia="ja-JP"/>
          </w:rPr>
          <m:t>-d</m:t>
        </m:r>
        <m:sSubSup>
          <m:sSubSupPr>
            <m:ctrlPr>
              <w:rPr>
                <w:rFonts w:ascii="Cambria Math" w:hAnsi="Cambria Math" w:cs="Times"/>
                <w:bCs/>
                <w:i/>
                <w:lang w:val="en-CA" w:eastAsia="ja-JP"/>
              </w:rPr>
            </m:ctrlPr>
          </m:sSubSupPr>
          <m:e>
            <m:r>
              <w:rPr>
                <w:rFonts w:ascii="Cambria Math" w:hAnsi="Cambria Math" w:cs="Times"/>
                <w:lang w:val="en-CA" w:eastAsia="ja-JP"/>
              </w:rPr>
              <m:t>μ</m:t>
            </m:r>
          </m:e>
          <m:sub>
            <m:r>
              <w:rPr>
                <w:rFonts w:ascii="Cambria Math" w:hAnsi="Cambria Math" w:cs="Times"/>
                <w:lang w:val="en-CA" w:eastAsia="ja-JP"/>
              </w:rPr>
              <m:t>F</m:t>
            </m:r>
          </m:sub>
          <m:sup>
            <m:r>
              <w:rPr>
                <w:rFonts w:ascii="Cambria Math" w:hAnsi="Cambria Math" w:cs="Times"/>
                <w:lang w:val="en-CA" w:eastAsia="ja-JP"/>
              </w:rPr>
              <m:t>*</m:t>
            </m:r>
          </m:sup>
        </m:sSubSup>
        <m:r>
          <w:rPr>
            <w:rFonts w:ascii="Cambria Math" w:hAnsi="Cambria Math" w:cs="Times"/>
            <w:lang w:val="en-CA" w:eastAsia="ja-JP"/>
          </w:rPr>
          <m:t>=</m:t>
        </m:r>
        <m:sSub>
          <m:sSubPr>
            <m:ctrlPr>
              <w:rPr>
                <w:rFonts w:ascii="Cambria Math" w:hAnsi="Cambria Math" w:cs="Times"/>
                <w:bCs/>
                <w:i/>
                <w:lang w:val="en-CA" w:eastAsia="ja-JP"/>
              </w:rPr>
            </m:ctrlPr>
          </m:sSubPr>
          <m:e>
            <m:r>
              <w:rPr>
                <w:rFonts w:ascii="Cambria Math" w:hAnsi="Cambria Math" w:cs="Times"/>
                <w:lang w:val="en-CA" w:eastAsia="ja-JP"/>
              </w:rPr>
              <m:t>N</m:t>
            </m:r>
          </m:e>
          <m:sub>
            <m:r>
              <w:rPr>
                <w:rFonts w:ascii="Cambria Math" w:hAnsi="Cambria Math" w:cs="Times"/>
                <w:lang w:val="en-CA" w:eastAsia="ja-JP"/>
              </w:rPr>
              <m:t>FW</m:t>
            </m:r>
          </m:sub>
        </m:sSub>
        <m:r>
          <w:rPr>
            <w:rFonts w:ascii="Cambria Math" w:hAnsi="Cambria Math" w:cs="Times"/>
            <w:lang w:val="en-CA" w:eastAsia="ja-JP"/>
          </w:rPr>
          <m:t>d</m:t>
        </m:r>
        <m:sSub>
          <m:sSubPr>
            <m:ctrlPr>
              <w:rPr>
                <w:rFonts w:ascii="Cambria Math" w:hAnsi="Cambria Math" w:cs="Times"/>
                <w:bCs/>
                <w:i/>
                <w:lang w:val="en-CA" w:eastAsia="ja-JP"/>
              </w:rPr>
            </m:ctrlPr>
          </m:sSubPr>
          <m:e>
            <m:r>
              <w:rPr>
                <w:rFonts w:ascii="Cambria Math" w:hAnsi="Cambria Math" w:cs="Times"/>
                <w:lang w:val="en-CA" w:eastAsia="ja-JP"/>
              </w:rPr>
              <m:t>μ</m:t>
            </m:r>
          </m:e>
          <m:sub>
            <m:r>
              <w:rPr>
                <w:rFonts w:ascii="Cambria Math" w:hAnsi="Cambria Math" w:cs="Times"/>
                <w:lang w:val="en-CA" w:eastAsia="ja-JP"/>
              </w:rPr>
              <m:t>W</m:t>
            </m:r>
          </m:sub>
        </m:sSub>
        <m:r>
          <w:rPr>
            <w:rFonts w:ascii="Cambria Math" w:hAnsi="Cambria Math" w:cs="Times"/>
            <w:lang w:val="en-CA" w:eastAsia="ja-JP"/>
          </w:rPr>
          <m:t>+</m:t>
        </m:r>
        <m:sSub>
          <m:sSubPr>
            <m:ctrlPr>
              <w:rPr>
                <w:rFonts w:ascii="Cambria Math" w:hAnsi="Cambria Math" w:cs="Times"/>
                <w:bCs/>
                <w:i/>
                <w:lang w:val="en-CA" w:eastAsia="ja-JP"/>
              </w:rPr>
            </m:ctrlPr>
          </m:sSubPr>
          <m:e>
            <m:r>
              <w:rPr>
                <w:rFonts w:ascii="Cambria Math" w:hAnsi="Cambria Math" w:cs="Times"/>
                <w:lang w:val="en-CA" w:eastAsia="ja-JP"/>
              </w:rPr>
              <m:t>N</m:t>
            </m:r>
          </m:e>
          <m:sub>
            <m:r>
              <w:rPr>
                <w:rFonts w:ascii="Cambria Math" w:hAnsi="Cambria Math" w:cs="Times"/>
                <w:lang w:val="en-CA" w:eastAsia="ja-JP"/>
              </w:rPr>
              <m:t>FP</m:t>
            </m:r>
          </m:sub>
        </m:sSub>
        <m:r>
          <w:rPr>
            <w:rFonts w:ascii="Cambria Math" w:hAnsi="Cambria Math" w:cs="Times"/>
            <w:lang w:val="en-CA" w:eastAsia="ja-JP"/>
          </w:rPr>
          <m:t>d</m:t>
        </m:r>
        <m:sSub>
          <m:sSubPr>
            <m:ctrlPr>
              <w:rPr>
                <w:rFonts w:ascii="Cambria Math" w:hAnsi="Cambria Math" w:cs="Times"/>
                <w:bCs/>
                <w:i/>
                <w:lang w:val="en-CA" w:eastAsia="ja-JP"/>
              </w:rPr>
            </m:ctrlPr>
          </m:sSubPr>
          <m:e>
            <m:r>
              <w:rPr>
                <w:rFonts w:ascii="Cambria Math" w:hAnsi="Cambria Math" w:cs="Times"/>
                <w:lang w:val="en-CA" w:eastAsia="ja-JP"/>
              </w:rPr>
              <m:t>μ</m:t>
            </m:r>
          </m:e>
          <m:sub>
            <m:r>
              <w:rPr>
                <w:rFonts w:ascii="Cambria Math" w:hAnsi="Cambria Math" w:cs="Times"/>
                <w:lang w:val="en-CA" w:eastAsia="ja-JP"/>
              </w:rPr>
              <m:t>P</m:t>
            </m:r>
          </m:sub>
        </m:sSub>
      </m:oMath>
      <w:r w:rsidRPr="00D039E9">
        <w:rPr>
          <w:rFonts w:cs="Times"/>
          <w:bCs/>
          <w:lang w:val="en-CA" w:eastAsia="ja-JP"/>
        </w:rPr>
        <w:tab/>
      </w:r>
      <w:r w:rsidRPr="00D039E9">
        <w:rPr>
          <w:rFonts w:cs="Times"/>
          <w:bCs/>
          <w:lang w:val="en-CA" w:eastAsia="ja-JP"/>
        </w:rPr>
        <w:tab/>
      </w:r>
      <w:r w:rsidRPr="00D039E9">
        <w:rPr>
          <w:rFonts w:cs="Times"/>
          <w:bCs/>
          <w:lang w:val="en-CA" w:eastAsia="ja-JP"/>
        </w:rPr>
        <w:tab/>
      </w:r>
      <w:r w:rsidRPr="00D039E9">
        <w:rPr>
          <w:rFonts w:cs="Times"/>
          <w:bCs/>
          <w:lang w:val="en-CA" w:eastAsia="ja-JP"/>
        </w:rPr>
        <w:tab/>
      </w:r>
      <w:r w:rsidRPr="00D039E9">
        <w:rPr>
          <w:rFonts w:cs="Times"/>
          <w:bCs/>
          <w:lang w:val="en-CA" w:eastAsia="ja-JP"/>
        </w:rPr>
        <w:tab/>
      </w:r>
      <w:r w:rsidRPr="00D039E9">
        <w:rPr>
          <w:rFonts w:cs="Times"/>
          <w:bCs/>
          <w:lang w:val="en-CA" w:eastAsia="ja-JP"/>
        </w:rPr>
        <w:tab/>
      </w:r>
      <w:r w:rsidRPr="00D039E9">
        <w:rPr>
          <w:rFonts w:cs="Times"/>
          <w:bCs/>
          <w:lang w:val="en-CA" w:eastAsia="ja-JP"/>
        </w:rPr>
        <w:tab/>
      </w:r>
      <w:r w:rsidRPr="00D039E9">
        <w:rPr>
          <w:rFonts w:cs="Times"/>
          <w:bCs/>
          <w:lang w:val="en-CA" w:eastAsia="ja-JP"/>
        </w:rPr>
        <w:tab/>
      </w:r>
      <w:r w:rsidRPr="00D039E9">
        <w:rPr>
          <w:rFonts w:cs="Times"/>
          <w:bCs/>
          <w:lang w:val="en-CA" w:eastAsia="ja-JP"/>
        </w:rPr>
        <w:tab/>
        <w:t xml:space="preserve">(A5) </w:t>
      </w:r>
    </w:p>
    <w:p w14:paraId="4C053F32" w14:textId="759BA432" w:rsidR="006C4568" w:rsidRPr="00D039E9" w:rsidRDefault="006C4568" w:rsidP="006C4568">
      <w:pPr>
        <w:pStyle w:val="TAMainText"/>
        <w:ind w:firstLine="0"/>
        <w:rPr>
          <w:lang w:val="en-CA"/>
        </w:rPr>
      </w:pPr>
      <w:r w:rsidRPr="00D039E9">
        <w:rPr>
          <w:lang w:val="en-CA"/>
        </w:rPr>
        <w:t>Now differentiating Eq. (</w:t>
      </w:r>
      <w:r w:rsidR="006B3984" w:rsidRPr="00D039E9">
        <w:rPr>
          <w:lang w:val="en-CA"/>
        </w:rPr>
        <w:t>A</w:t>
      </w:r>
      <w:r w:rsidRPr="00D039E9">
        <w:rPr>
          <w:lang w:val="en-CA"/>
        </w:rPr>
        <w:t xml:space="preserve">5) with respect to </w:t>
      </w:r>
      <m:oMath>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W</m:t>
            </m:r>
          </m:sub>
        </m:sSub>
      </m:oMath>
      <w:r w:rsidRPr="00D039E9">
        <w:rPr>
          <w:lang w:val="en-CA"/>
        </w:rPr>
        <w:t xml:space="preserve"> yields</w:t>
      </w:r>
    </w:p>
    <w:p w14:paraId="00563BFB" w14:textId="28B7710F" w:rsidR="006C4568" w:rsidRPr="00D039E9" w:rsidRDefault="006C4568" w:rsidP="006C4568">
      <w:pPr>
        <w:pStyle w:val="TAMainText"/>
        <w:ind w:firstLine="0"/>
        <w:rPr>
          <w:rFonts w:cs="Times"/>
          <w:bCs/>
          <w:lang w:val="en-CA" w:eastAsia="ja-JP"/>
        </w:rPr>
      </w:pPr>
      <m:oMath>
        <m:r>
          <w:rPr>
            <w:rFonts w:ascii="Cambria Math" w:hAnsi="Cambria Math" w:cs="Times"/>
            <w:lang w:val="en-CA" w:eastAsia="ja-JP"/>
          </w:rPr>
          <m:t>-</m:t>
        </m:r>
        <m:sSub>
          <m:sSubPr>
            <m:ctrlPr>
              <w:rPr>
                <w:rFonts w:ascii="Cambria Math" w:hAnsi="Cambria Math" w:cs="Times"/>
                <w:bCs/>
                <w:i/>
                <w:lang w:val="en-CA" w:eastAsia="ja-JP"/>
              </w:rPr>
            </m:ctrlPr>
          </m:sSubPr>
          <m:e>
            <m:d>
              <m:dPr>
                <m:ctrlPr>
                  <w:rPr>
                    <w:rFonts w:ascii="Cambria Math" w:hAnsi="Cambria Math" w:cs="Times"/>
                    <w:bCs/>
                    <w:i/>
                    <w:lang w:val="en-CA" w:eastAsia="ja-JP"/>
                  </w:rPr>
                </m:ctrlPr>
              </m:dPr>
              <m:e>
                <m:f>
                  <m:fPr>
                    <m:ctrlPr>
                      <w:rPr>
                        <w:rFonts w:ascii="Cambria Math" w:hAnsi="Cambria Math" w:cs="Times"/>
                        <w:bCs/>
                        <w:i/>
                        <w:lang w:val="en-CA" w:eastAsia="ja-JP"/>
                      </w:rPr>
                    </m:ctrlPr>
                  </m:fPr>
                  <m:num>
                    <m:r>
                      <w:rPr>
                        <w:rFonts w:ascii="Cambria Math" w:hAnsi="Cambria Math" w:cs="Times"/>
                        <w:lang w:val="en-CA" w:eastAsia="ja-JP"/>
                      </w:rPr>
                      <m:t>∂</m:t>
                    </m:r>
                    <m:sSubSup>
                      <m:sSubSupPr>
                        <m:ctrlPr>
                          <w:rPr>
                            <w:rFonts w:ascii="Cambria Math" w:hAnsi="Cambria Math" w:cs="Times"/>
                            <w:bCs/>
                            <w:i/>
                            <w:lang w:val="en-CA" w:eastAsia="ja-JP"/>
                          </w:rPr>
                        </m:ctrlPr>
                      </m:sSubSupPr>
                      <m:e>
                        <m:r>
                          <w:rPr>
                            <w:rFonts w:ascii="Cambria Math" w:hAnsi="Cambria Math" w:cs="Times"/>
                            <w:lang w:val="en-CA" w:eastAsia="ja-JP"/>
                          </w:rPr>
                          <m:t>μ</m:t>
                        </m:r>
                      </m:e>
                      <m:sub>
                        <m:r>
                          <w:rPr>
                            <w:rFonts w:ascii="Cambria Math" w:hAnsi="Cambria Math" w:cs="Times"/>
                            <w:lang w:val="en-CA" w:eastAsia="ja-JP"/>
                          </w:rPr>
                          <m:t>F</m:t>
                        </m:r>
                      </m:sub>
                      <m:sup>
                        <m:r>
                          <w:rPr>
                            <w:rFonts w:ascii="Cambria Math" w:hAnsi="Cambria Math" w:cs="Times"/>
                            <w:lang w:val="en-CA" w:eastAsia="ja-JP"/>
                          </w:rPr>
                          <m:t>*</m:t>
                        </m:r>
                      </m:sup>
                    </m:sSubSup>
                  </m:num>
                  <m:den>
                    <m:r>
                      <w:rPr>
                        <w:rFonts w:ascii="Cambria Math" w:hAnsi="Cambria Math" w:cs="Times"/>
                        <w:lang w:val="en-CA" w:eastAsia="ja-JP"/>
                      </w:rPr>
                      <m:t>∂</m:t>
                    </m:r>
                    <m:sSub>
                      <m:sSubPr>
                        <m:ctrlPr>
                          <w:rPr>
                            <w:rFonts w:ascii="Cambria Math" w:hAnsi="Cambria Math" w:cs="Times"/>
                            <w:bCs/>
                            <w:i/>
                            <w:lang w:val="en-CA" w:eastAsia="ja-JP"/>
                          </w:rPr>
                        </m:ctrlPr>
                      </m:sSubPr>
                      <m:e>
                        <m:r>
                          <w:rPr>
                            <w:rFonts w:ascii="Cambria Math" w:hAnsi="Cambria Math" w:cs="Times"/>
                            <w:lang w:val="en-CA" w:eastAsia="ja-JP"/>
                          </w:rPr>
                          <m:t>μ</m:t>
                        </m:r>
                      </m:e>
                      <m:sub>
                        <m:r>
                          <w:rPr>
                            <w:rFonts w:ascii="Cambria Math" w:hAnsi="Cambria Math" w:cs="Times"/>
                            <w:lang w:val="en-CA" w:eastAsia="ja-JP"/>
                          </w:rPr>
                          <m:t>W</m:t>
                        </m:r>
                      </m:sub>
                    </m:sSub>
                  </m:den>
                </m:f>
              </m:e>
            </m:d>
          </m:e>
          <m:sub>
            <m:r>
              <w:rPr>
                <w:rFonts w:ascii="Cambria Math" w:hAnsi="Cambria Math" w:cs="Times"/>
                <w:lang w:val="en-CA" w:eastAsia="ja-JP"/>
              </w:rPr>
              <m:t>T,P,</m:t>
            </m:r>
            <m:sSub>
              <m:sSubPr>
                <m:ctrlPr>
                  <w:rPr>
                    <w:rFonts w:ascii="Cambria Math" w:hAnsi="Cambria Math" w:cs="Times"/>
                    <w:bCs/>
                    <w:i/>
                    <w:lang w:val="en-CA" w:eastAsia="ja-JP"/>
                  </w:rPr>
                </m:ctrlPr>
              </m:sSubPr>
              <m:e>
                <m:r>
                  <w:rPr>
                    <w:rFonts w:ascii="Cambria Math" w:hAnsi="Cambria Math" w:cs="Times"/>
                    <w:lang w:val="en-CA" w:eastAsia="ja-JP"/>
                  </w:rPr>
                  <m:t>c</m:t>
                </m:r>
              </m:e>
              <m:sub>
                <m:r>
                  <w:rPr>
                    <w:rFonts w:ascii="Cambria Math" w:hAnsi="Cambria Math" w:cs="Times"/>
                    <w:lang w:val="en-CA" w:eastAsia="ja-JP"/>
                  </w:rPr>
                  <m:t>F</m:t>
                </m:r>
              </m:sub>
            </m:sSub>
            <m:r>
              <w:rPr>
                <w:rFonts w:ascii="Cambria Math" w:hAnsi="Cambria Math" w:cs="Times"/>
                <w:lang w:val="en-CA" w:eastAsia="ja-JP"/>
              </w:rPr>
              <m:t>→0</m:t>
            </m:r>
          </m:sub>
        </m:sSub>
        <m:r>
          <w:rPr>
            <w:rFonts w:ascii="Cambria Math" w:hAnsi="Cambria Math" w:cs="Times"/>
            <w:lang w:val="en-CA" w:eastAsia="ja-JP"/>
          </w:rPr>
          <m:t>=</m:t>
        </m:r>
        <m:sSub>
          <m:sSubPr>
            <m:ctrlPr>
              <w:rPr>
                <w:rFonts w:ascii="Cambria Math" w:hAnsi="Cambria Math" w:cs="Times"/>
                <w:bCs/>
                <w:i/>
                <w:lang w:val="en-CA" w:eastAsia="ja-JP"/>
              </w:rPr>
            </m:ctrlPr>
          </m:sSubPr>
          <m:e>
            <m:r>
              <w:rPr>
                <w:rFonts w:ascii="Cambria Math" w:hAnsi="Cambria Math" w:cs="Times"/>
                <w:lang w:val="en-CA" w:eastAsia="ja-JP"/>
              </w:rPr>
              <m:t>N</m:t>
            </m:r>
          </m:e>
          <m:sub>
            <m:r>
              <w:rPr>
                <w:rFonts w:ascii="Cambria Math" w:hAnsi="Cambria Math" w:cs="Times"/>
                <w:lang w:val="en-CA" w:eastAsia="ja-JP"/>
              </w:rPr>
              <m:t>FW</m:t>
            </m:r>
          </m:sub>
        </m:sSub>
        <m:r>
          <w:rPr>
            <w:rFonts w:ascii="Cambria Math" w:hAnsi="Cambria Math" w:cs="Times"/>
            <w:lang w:val="en-CA" w:eastAsia="ja-JP"/>
          </w:rPr>
          <m:t>+</m:t>
        </m:r>
        <m:sSub>
          <m:sSubPr>
            <m:ctrlPr>
              <w:rPr>
                <w:rFonts w:ascii="Cambria Math" w:hAnsi="Cambria Math" w:cs="Times"/>
                <w:bCs/>
                <w:i/>
                <w:lang w:val="en-CA" w:eastAsia="ja-JP"/>
              </w:rPr>
            </m:ctrlPr>
          </m:sSubPr>
          <m:e>
            <m:r>
              <w:rPr>
                <w:rFonts w:ascii="Cambria Math" w:hAnsi="Cambria Math" w:cs="Times"/>
                <w:lang w:val="en-CA" w:eastAsia="ja-JP"/>
              </w:rPr>
              <m:t>N</m:t>
            </m:r>
          </m:e>
          <m:sub>
            <m:r>
              <w:rPr>
                <w:rFonts w:ascii="Cambria Math" w:hAnsi="Cambria Math" w:cs="Times"/>
                <w:lang w:val="en-CA" w:eastAsia="ja-JP"/>
              </w:rPr>
              <m:t>FP</m:t>
            </m:r>
          </m:sub>
        </m:sSub>
        <m:sSub>
          <m:sSubPr>
            <m:ctrlPr>
              <w:rPr>
                <w:rFonts w:ascii="Cambria Math" w:hAnsi="Cambria Math" w:cs="Times"/>
                <w:bCs/>
                <w:i/>
                <w:lang w:val="en-CA" w:eastAsia="ja-JP"/>
              </w:rPr>
            </m:ctrlPr>
          </m:sSubPr>
          <m:e>
            <m:d>
              <m:dPr>
                <m:ctrlPr>
                  <w:rPr>
                    <w:rFonts w:ascii="Cambria Math" w:hAnsi="Cambria Math" w:cs="Times"/>
                    <w:bCs/>
                    <w:i/>
                    <w:lang w:val="en-CA" w:eastAsia="ja-JP"/>
                  </w:rPr>
                </m:ctrlPr>
              </m:dPr>
              <m:e>
                <m:f>
                  <m:fPr>
                    <m:ctrlPr>
                      <w:rPr>
                        <w:rFonts w:ascii="Cambria Math" w:hAnsi="Cambria Math" w:cs="Times"/>
                        <w:bCs/>
                        <w:i/>
                        <w:lang w:val="en-CA" w:eastAsia="ja-JP"/>
                      </w:rPr>
                    </m:ctrlPr>
                  </m:fPr>
                  <m:num>
                    <m:r>
                      <w:rPr>
                        <w:rFonts w:ascii="Cambria Math" w:hAnsi="Cambria Math" w:cs="Times"/>
                        <w:lang w:val="en-CA" w:eastAsia="ja-JP"/>
                      </w:rPr>
                      <m:t>∂</m:t>
                    </m:r>
                    <m:sSub>
                      <m:sSubPr>
                        <m:ctrlPr>
                          <w:rPr>
                            <w:rFonts w:ascii="Cambria Math" w:hAnsi="Cambria Math" w:cs="Times"/>
                            <w:bCs/>
                            <w:i/>
                            <w:lang w:val="en-CA" w:eastAsia="ja-JP"/>
                          </w:rPr>
                        </m:ctrlPr>
                      </m:sSubPr>
                      <m:e>
                        <m:r>
                          <w:rPr>
                            <w:rFonts w:ascii="Cambria Math" w:hAnsi="Cambria Math" w:cs="Times"/>
                            <w:lang w:val="en-CA" w:eastAsia="ja-JP"/>
                          </w:rPr>
                          <m:t>μ</m:t>
                        </m:r>
                      </m:e>
                      <m:sub>
                        <m:r>
                          <w:rPr>
                            <w:rFonts w:ascii="Cambria Math" w:hAnsi="Cambria Math" w:cs="Times"/>
                            <w:lang w:val="en-CA" w:eastAsia="ja-JP"/>
                          </w:rPr>
                          <m:t>P</m:t>
                        </m:r>
                      </m:sub>
                    </m:sSub>
                  </m:num>
                  <m:den>
                    <m:r>
                      <w:rPr>
                        <w:rFonts w:ascii="Cambria Math" w:hAnsi="Cambria Math" w:cs="Times"/>
                        <w:lang w:val="en-CA" w:eastAsia="ja-JP"/>
                      </w:rPr>
                      <m:t>∂</m:t>
                    </m:r>
                    <m:sSub>
                      <m:sSubPr>
                        <m:ctrlPr>
                          <w:rPr>
                            <w:rFonts w:ascii="Cambria Math" w:hAnsi="Cambria Math" w:cs="Times"/>
                            <w:bCs/>
                            <w:i/>
                            <w:lang w:val="en-CA" w:eastAsia="ja-JP"/>
                          </w:rPr>
                        </m:ctrlPr>
                      </m:sSubPr>
                      <m:e>
                        <m:r>
                          <w:rPr>
                            <w:rFonts w:ascii="Cambria Math" w:hAnsi="Cambria Math" w:cs="Times"/>
                            <w:lang w:val="en-CA" w:eastAsia="ja-JP"/>
                          </w:rPr>
                          <m:t>μ</m:t>
                        </m:r>
                      </m:e>
                      <m:sub>
                        <m:r>
                          <w:rPr>
                            <w:rFonts w:ascii="Cambria Math" w:hAnsi="Cambria Math" w:cs="Times"/>
                            <w:lang w:val="en-CA" w:eastAsia="ja-JP"/>
                          </w:rPr>
                          <m:t>W</m:t>
                        </m:r>
                      </m:sub>
                    </m:sSub>
                  </m:den>
                </m:f>
              </m:e>
            </m:d>
          </m:e>
          <m:sub>
            <m:r>
              <w:rPr>
                <w:rFonts w:ascii="Cambria Math" w:hAnsi="Cambria Math" w:cs="Times"/>
                <w:lang w:val="en-CA" w:eastAsia="ja-JP"/>
              </w:rPr>
              <m:t>T,P,</m:t>
            </m:r>
            <m:sSub>
              <m:sSubPr>
                <m:ctrlPr>
                  <w:rPr>
                    <w:rFonts w:ascii="Cambria Math" w:hAnsi="Cambria Math" w:cs="Times"/>
                    <w:bCs/>
                    <w:i/>
                    <w:lang w:val="en-CA" w:eastAsia="ja-JP"/>
                  </w:rPr>
                </m:ctrlPr>
              </m:sSubPr>
              <m:e>
                <m:r>
                  <w:rPr>
                    <w:rFonts w:ascii="Cambria Math" w:hAnsi="Cambria Math" w:cs="Times"/>
                    <w:lang w:val="en-CA" w:eastAsia="ja-JP"/>
                  </w:rPr>
                  <m:t>c</m:t>
                </m:r>
              </m:e>
              <m:sub>
                <m:r>
                  <w:rPr>
                    <w:rFonts w:ascii="Cambria Math" w:hAnsi="Cambria Math" w:cs="Times"/>
                    <w:lang w:val="en-CA" w:eastAsia="ja-JP"/>
                  </w:rPr>
                  <m:t>F</m:t>
                </m:r>
              </m:sub>
            </m:sSub>
            <m:r>
              <w:rPr>
                <w:rFonts w:ascii="Cambria Math" w:hAnsi="Cambria Math" w:cs="Times"/>
                <w:lang w:val="en-CA" w:eastAsia="ja-JP"/>
              </w:rPr>
              <m:t>→0</m:t>
            </m:r>
          </m:sub>
        </m:sSub>
      </m:oMath>
      <w:r w:rsidRPr="00D039E9">
        <w:rPr>
          <w:rFonts w:cs="Times"/>
          <w:bCs/>
          <w:lang w:val="en-CA" w:eastAsia="ja-JP"/>
        </w:rPr>
        <w:tab/>
      </w:r>
      <w:r w:rsidRPr="00D039E9">
        <w:rPr>
          <w:rFonts w:cs="Times"/>
          <w:bCs/>
          <w:lang w:val="en-CA" w:eastAsia="ja-JP"/>
        </w:rPr>
        <w:tab/>
      </w:r>
      <w:r w:rsidRPr="00D039E9">
        <w:rPr>
          <w:rFonts w:cs="Times"/>
          <w:bCs/>
          <w:lang w:val="en-CA" w:eastAsia="ja-JP"/>
        </w:rPr>
        <w:tab/>
      </w:r>
      <w:r w:rsidRPr="00D039E9">
        <w:rPr>
          <w:rFonts w:cs="Times"/>
          <w:bCs/>
          <w:lang w:val="en-CA" w:eastAsia="ja-JP"/>
        </w:rPr>
        <w:tab/>
      </w:r>
      <w:r w:rsidRPr="00D039E9">
        <w:rPr>
          <w:rFonts w:cs="Times"/>
          <w:bCs/>
          <w:lang w:val="en-CA" w:eastAsia="ja-JP"/>
        </w:rPr>
        <w:tab/>
      </w:r>
      <w:r w:rsidRPr="00D039E9">
        <w:rPr>
          <w:rFonts w:cs="Times"/>
          <w:bCs/>
          <w:lang w:val="en-CA" w:eastAsia="ja-JP"/>
        </w:rPr>
        <w:tab/>
        <w:t xml:space="preserve">(A6) </w:t>
      </w:r>
    </w:p>
    <w:p w14:paraId="7ECEBC31" w14:textId="62F9FD76" w:rsidR="006C4568" w:rsidRPr="00D039E9" w:rsidRDefault="006C4568" w:rsidP="006C4568">
      <w:pPr>
        <w:pStyle w:val="TAMainText"/>
        <w:ind w:firstLine="0"/>
        <w:rPr>
          <w:rFonts w:cs="Times"/>
          <w:bCs/>
          <w:lang w:val="en-CA" w:eastAsia="ja-JP"/>
        </w:rPr>
      </w:pPr>
      <w:r w:rsidRPr="00D039E9">
        <w:rPr>
          <w:lang w:val="en-CA"/>
        </w:rPr>
        <w:t xml:space="preserve">Combining Eq. (A6) with </w:t>
      </w:r>
      <m:oMath>
        <m:sSub>
          <m:sSubPr>
            <m:ctrlPr>
              <w:rPr>
                <w:rFonts w:ascii="Cambria Math" w:hAnsi="Cambria Math" w:cs="Times"/>
                <w:bCs/>
                <w:i/>
                <w:lang w:val="en-CA" w:eastAsia="ja-JP"/>
              </w:rPr>
            </m:ctrlPr>
          </m:sSubPr>
          <m:e>
            <m:d>
              <m:dPr>
                <m:ctrlPr>
                  <w:rPr>
                    <w:rFonts w:ascii="Cambria Math" w:hAnsi="Cambria Math" w:cs="Times"/>
                    <w:bCs/>
                    <w:i/>
                    <w:lang w:val="en-CA" w:eastAsia="ja-JP"/>
                  </w:rPr>
                </m:ctrlPr>
              </m:dPr>
              <m:e>
                <m:f>
                  <m:fPr>
                    <m:ctrlPr>
                      <w:rPr>
                        <w:rFonts w:ascii="Cambria Math" w:hAnsi="Cambria Math" w:cs="Times"/>
                        <w:bCs/>
                        <w:i/>
                        <w:lang w:val="en-CA" w:eastAsia="ja-JP"/>
                      </w:rPr>
                    </m:ctrlPr>
                  </m:fPr>
                  <m:num>
                    <m:r>
                      <w:rPr>
                        <w:rFonts w:ascii="Cambria Math" w:hAnsi="Cambria Math" w:cs="Times"/>
                        <w:lang w:val="en-CA" w:eastAsia="ja-JP"/>
                      </w:rPr>
                      <m:t>∂</m:t>
                    </m:r>
                    <m:sSub>
                      <m:sSubPr>
                        <m:ctrlPr>
                          <w:rPr>
                            <w:rFonts w:ascii="Cambria Math" w:hAnsi="Cambria Math" w:cs="Times"/>
                            <w:bCs/>
                            <w:i/>
                            <w:lang w:val="en-CA" w:eastAsia="ja-JP"/>
                          </w:rPr>
                        </m:ctrlPr>
                      </m:sSubPr>
                      <m:e>
                        <m:r>
                          <w:rPr>
                            <w:rFonts w:ascii="Cambria Math" w:hAnsi="Cambria Math" w:cs="Times"/>
                            <w:lang w:val="en-CA" w:eastAsia="ja-JP"/>
                          </w:rPr>
                          <m:t>μ</m:t>
                        </m:r>
                      </m:e>
                      <m:sub>
                        <m:r>
                          <w:rPr>
                            <w:rFonts w:ascii="Cambria Math" w:hAnsi="Cambria Math" w:cs="Times"/>
                            <w:lang w:val="en-CA" w:eastAsia="ja-JP"/>
                          </w:rPr>
                          <m:t>P</m:t>
                        </m:r>
                      </m:sub>
                    </m:sSub>
                  </m:num>
                  <m:den>
                    <m:r>
                      <w:rPr>
                        <w:rFonts w:ascii="Cambria Math" w:hAnsi="Cambria Math" w:cs="Times"/>
                        <w:lang w:val="en-CA" w:eastAsia="ja-JP"/>
                      </w:rPr>
                      <m:t>∂</m:t>
                    </m:r>
                    <m:sSub>
                      <m:sSubPr>
                        <m:ctrlPr>
                          <w:rPr>
                            <w:rFonts w:ascii="Cambria Math" w:hAnsi="Cambria Math" w:cs="Times"/>
                            <w:bCs/>
                            <w:i/>
                            <w:lang w:val="en-CA" w:eastAsia="ja-JP"/>
                          </w:rPr>
                        </m:ctrlPr>
                      </m:sSubPr>
                      <m:e>
                        <m:r>
                          <w:rPr>
                            <w:rFonts w:ascii="Cambria Math" w:hAnsi="Cambria Math" w:cs="Times"/>
                            <w:lang w:val="en-CA" w:eastAsia="ja-JP"/>
                          </w:rPr>
                          <m:t>μ</m:t>
                        </m:r>
                      </m:e>
                      <m:sub>
                        <m:r>
                          <w:rPr>
                            <w:rFonts w:ascii="Cambria Math" w:hAnsi="Cambria Math" w:cs="Times"/>
                            <w:lang w:val="en-CA" w:eastAsia="ja-JP"/>
                          </w:rPr>
                          <m:t>W</m:t>
                        </m:r>
                      </m:sub>
                    </m:sSub>
                  </m:den>
                </m:f>
              </m:e>
            </m:d>
          </m:e>
          <m:sub>
            <m:r>
              <w:rPr>
                <w:rFonts w:ascii="Cambria Math" w:hAnsi="Cambria Math" w:cs="Times"/>
                <w:lang w:val="en-CA" w:eastAsia="ja-JP"/>
              </w:rPr>
              <m:t>T,P,</m:t>
            </m:r>
            <m:sSub>
              <m:sSubPr>
                <m:ctrlPr>
                  <w:rPr>
                    <w:rFonts w:ascii="Cambria Math" w:hAnsi="Cambria Math" w:cs="Times"/>
                    <w:bCs/>
                    <w:i/>
                    <w:lang w:val="en-CA" w:eastAsia="ja-JP"/>
                  </w:rPr>
                </m:ctrlPr>
              </m:sSubPr>
              <m:e>
                <m:r>
                  <w:rPr>
                    <w:rFonts w:ascii="Cambria Math" w:hAnsi="Cambria Math" w:cs="Times"/>
                    <w:lang w:val="en-CA" w:eastAsia="ja-JP"/>
                  </w:rPr>
                  <m:t>c</m:t>
                </m:r>
              </m:e>
              <m:sub>
                <m:r>
                  <w:rPr>
                    <w:rFonts w:ascii="Cambria Math" w:hAnsi="Cambria Math" w:cs="Times"/>
                    <w:lang w:val="en-CA" w:eastAsia="ja-JP"/>
                  </w:rPr>
                  <m:t>F</m:t>
                </m:r>
              </m:sub>
            </m:sSub>
            <m:r>
              <w:rPr>
                <w:rFonts w:ascii="Cambria Math" w:hAnsi="Cambria Math" w:cs="Times"/>
                <w:lang w:val="en-CA" w:eastAsia="ja-JP"/>
              </w:rPr>
              <m:t>→0</m:t>
            </m:r>
          </m:sub>
        </m:sSub>
        <m:r>
          <w:rPr>
            <w:rFonts w:ascii="Cambria Math" w:hAnsi="Cambria Math" w:cs="Times"/>
            <w:lang w:val="en-CA" w:eastAsia="ja-JP"/>
          </w:rPr>
          <m:t>=-</m:t>
        </m:r>
        <m:f>
          <m:fPr>
            <m:ctrlPr>
              <w:rPr>
                <w:rFonts w:ascii="Cambria Math" w:hAnsi="Cambria Math" w:cs="Times"/>
                <w:bCs/>
                <w:i/>
                <w:lang w:val="en-CA" w:eastAsia="ja-JP"/>
              </w:rPr>
            </m:ctrlPr>
          </m:fPr>
          <m:num>
            <m:sSub>
              <m:sSubPr>
                <m:ctrlPr>
                  <w:rPr>
                    <w:rFonts w:ascii="Cambria Math" w:hAnsi="Cambria Math" w:cs="Times"/>
                    <w:bCs/>
                    <w:i/>
                    <w:lang w:val="en-CA" w:eastAsia="ja-JP"/>
                  </w:rPr>
                </m:ctrlPr>
              </m:sSubPr>
              <m:e>
                <m:r>
                  <w:rPr>
                    <w:rFonts w:ascii="Cambria Math" w:hAnsi="Cambria Math" w:cs="Times"/>
                    <w:lang w:val="en-CA" w:eastAsia="ja-JP"/>
                  </w:rPr>
                  <m:t>c</m:t>
                </m:r>
              </m:e>
              <m:sub>
                <m:r>
                  <w:rPr>
                    <w:rFonts w:ascii="Cambria Math" w:hAnsi="Cambria Math" w:cs="Times"/>
                    <w:lang w:val="en-CA" w:eastAsia="ja-JP"/>
                  </w:rPr>
                  <m:t>W</m:t>
                </m:r>
              </m:sub>
            </m:sSub>
            <m:ctrlPr>
              <w:rPr>
                <w:rFonts w:ascii="Cambria Math" w:hAnsi="Cambria Math"/>
                <w:i/>
                <w:lang w:val="en-CA"/>
              </w:rPr>
            </m:ctrlPr>
          </m:num>
          <m:den>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P</m:t>
                </m:r>
              </m:sub>
            </m:sSub>
          </m:den>
        </m:f>
      </m:oMath>
      <w:r w:rsidRPr="00D039E9">
        <w:rPr>
          <w:bCs/>
          <w:lang w:val="en-CA" w:eastAsia="ja-JP"/>
        </w:rPr>
        <w:t xml:space="preserve">, which can be shown straightforwardly from Eq. (A1) under the isobaric condition </w:t>
      </w:r>
      <m:oMath>
        <m:r>
          <w:rPr>
            <w:rFonts w:ascii="Cambria Math" w:hAnsi="Cambria Math"/>
            <w:lang w:val="en-CA" w:eastAsia="ja-JP"/>
          </w:rPr>
          <m:t>dP=0</m:t>
        </m:r>
      </m:oMath>
      <w:r w:rsidRPr="00D039E9">
        <w:rPr>
          <w:bCs/>
          <w:lang w:val="en-CA" w:eastAsia="ja-JP"/>
        </w:rPr>
        <w:t xml:space="preserve">, and </w:t>
      </w:r>
      <w:r w:rsidRPr="00D039E9">
        <w:rPr>
          <w:rFonts w:cs="Times"/>
          <w:lang w:val="en-CA"/>
        </w:rPr>
        <w:t>th</w:t>
      </w:r>
      <w:r w:rsidR="00D71279" w:rsidRPr="00D039E9">
        <w:rPr>
          <w:rFonts w:cs="Times"/>
          <w:lang w:val="en-CA"/>
        </w:rPr>
        <w:t>e definitions of the KBI</w:t>
      </w:r>
      <w:r w:rsidRPr="00D039E9">
        <w:rPr>
          <w:rFonts w:cs="Times"/>
          <w:lang w:val="en-CA"/>
        </w:rPr>
        <w:t xml:space="preserve">s, </w:t>
      </w:r>
      <m:oMath>
        <m:sSub>
          <m:sSubPr>
            <m:ctrlPr>
              <w:rPr>
                <w:rFonts w:ascii="Cambria Math" w:hAnsi="Cambria Math" w:cs="Times"/>
                <w:bCs/>
                <w:i/>
                <w:lang w:val="en-CA" w:eastAsia="ja-JP"/>
              </w:rPr>
            </m:ctrlPr>
          </m:sSubPr>
          <m:e>
            <m:r>
              <w:rPr>
                <w:rFonts w:ascii="Cambria Math" w:hAnsi="Cambria Math" w:cs="Times"/>
                <w:lang w:val="en-CA" w:eastAsia="ja-JP"/>
              </w:rPr>
              <m:t>N</m:t>
            </m:r>
          </m:e>
          <m:sub>
            <m:r>
              <w:rPr>
                <w:rFonts w:ascii="Cambria Math" w:hAnsi="Cambria Math" w:cs="Times"/>
                <w:lang w:val="en-CA" w:eastAsia="ja-JP"/>
              </w:rPr>
              <m:t>FW</m:t>
            </m:r>
          </m:sub>
        </m:sSub>
        <m:r>
          <w:rPr>
            <w:rFonts w:ascii="Cambria Math" w:hAnsi="Cambria Math" w:cs="Times"/>
            <w:lang w:val="en-CA" w:eastAsia="ja-JP"/>
          </w:rPr>
          <m:t>=</m:t>
        </m:r>
        <m:sSub>
          <m:sSubPr>
            <m:ctrlPr>
              <w:rPr>
                <w:rFonts w:ascii="Cambria Math" w:hAnsi="Cambria Math" w:cs="Times"/>
                <w:bCs/>
                <w:i/>
                <w:lang w:val="en-CA" w:eastAsia="ja-JP"/>
              </w:rPr>
            </m:ctrlPr>
          </m:sSubPr>
          <m:e>
            <m:r>
              <w:rPr>
                <w:rFonts w:ascii="Cambria Math" w:hAnsi="Cambria Math" w:cs="Times"/>
                <w:lang w:val="en-CA" w:eastAsia="ja-JP"/>
              </w:rPr>
              <m:t>c</m:t>
            </m:r>
          </m:e>
          <m:sub>
            <m:r>
              <w:rPr>
                <w:rFonts w:ascii="Cambria Math" w:hAnsi="Cambria Math" w:cs="Times"/>
                <w:lang w:val="en-CA" w:eastAsia="ja-JP"/>
              </w:rPr>
              <m:t>W</m:t>
            </m:r>
          </m:sub>
        </m:sSub>
        <m:sSub>
          <m:sSubPr>
            <m:ctrlPr>
              <w:rPr>
                <w:rFonts w:ascii="Cambria Math" w:hAnsi="Cambria Math" w:cs="Times"/>
                <w:bCs/>
                <w:i/>
                <w:lang w:val="en-CA" w:eastAsia="ja-JP"/>
              </w:rPr>
            </m:ctrlPr>
          </m:sSubPr>
          <m:e>
            <m:r>
              <w:rPr>
                <w:rFonts w:ascii="Cambria Math" w:hAnsi="Cambria Math" w:cs="Times"/>
                <w:lang w:val="en-CA" w:eastAsia="ja-JP"/>
              </w:rPr>
              <m:t>G</m:t>
            </m:r>
          </m:e>
          <m:sub>
            <m:r>
              <w:rPr>
                <w:rFonts w:ascii="Cambria Math" w:hAnsi="Cambria Math" w:cs="Times"/>
                <w:lang w:val="en-CA" w:eastAsia="ja-JP"/>
              </w:rPr>
              <m:t>FW</m:t>
            </m:r>
          </m:sub>
        </m:sSub>
      </m:oMath>
      <w:r w:rsidRPr="00D039E9">
        <w:rPr>
          <w:rFonts w:cs="Times"/>
          <w:bCs/>
          <w:lang w:val="en-CA" w:eastAsia="ja-JP"/>
        </w:rPr>
        <w:t xml:space="preserve"> and </w:t>
      </w:r>
      <m:oMath>
        <m:sSub>
          <m:sSubPr>
            <m:ctrlPr>
              <w:rPr>
                <w:rFonts w:ascii="Cambria Math" w:hAnsi="Cambria Math" w:cs="Times"/>
                <w:bCs/>
                <w:i/>
                <w:lang w:val="en-CA" w:eastAsia="ja-JP"/>
              </w:rPr>
            </m:ctrlPr>
          </m:sSubPr>
          <m:e>
            <m:r>
              <w:rPr>
                <w:rFonts w:ascii="Cambria Math" w:hAnsi="Cambria Math" w:cs="Times"/>
                <w:lang w:val="en-CA" w:eastAsia="ja-JP"/>
              </w:rPr>
              <m:t>N</m:t>
            </m:r>
          </m:e>
          <m:sub>
            <m:r>
              <w:rPr>
                <w:rFonts w:ascii="Cambria Math" w:hAnsi="Cambria Math" w:cs="Times"/>
                <w:lang w:val="en-CA" w:eastAsia="ja-JP"/>
              </w:rPr>
              <m:t>FP</m:t>
            </m:r>
          </m:sub>
        </m:sSub>
        <m:r>
          <w:rPr>
            <w:rFonts w:ascii="Cambria Math" w:hAnsi="Cambria Math" w:cs="Times"/>
            <w:lang w:val="en-CA" w:eastAsia="ja-JP"/>
          </w:rPr>
          <m:t>=</m:t>
        </m:r>
        <m:sSub>
          <m:sSubPr>
            <m:ctrlPr>
              <w:rPr>
                <w:rFonts w:ascii="Cambria Math" w:hAnsi="Cambria Math" w:cs="Times"/>
                <w:bCs/>
                <w:i/>
                <w:lang w:val="en-CA" w:eastAsia="ja-JP"/>
              </w:rPr>
            </m:ctrlPr>
          </m:sSubPr>
          <m:e>
            <m:r>
              <w:rPr>
                <w:rFonts w:ascii="Cambria Math" w:hAnsi="Cambria Math" w:cs="Times"/>
                <w:lang w:val="en-CA" w:eastAsia="ja-JP"/>
              </w:rPr>
              <m:t>c</m:t>
            </m:r>
          </m:e>
          <m:sub>
            <m:r>
              <w:rPr>
                <w:rFonts w:ascii="Cambria Math" w:hAnsi="Cambria Math" w:cs="Times"/>
                <w:lang w:val="en-CA" w:eastAsia="ja-JP"/>
              </w:rPr>
              <m:t>P</m:t>
            </m:r>
          </m:sub>
        </m:sSub>
        <m:sSub>
          <m:sSubPr>
            <m:ctrlPr>
              <w:rPr>
                <w:rFonts w:ascii="Cambria Math" w:hAnsi="Cambria Math" w:cs="Times"/>
                <w:bCs/>
                <w:i/>
                <w:lang w:val="en-CA" w:eastAsia="ja-JP"/>
              </w:rPr>
            </m:ctrlPr>
          </m:sSubPr>
          <m:e>
            <m:r>
              <w:rPr>
                <w:rFonts w:ascii="Cambria Math" w:hAnsi="Cambria Math" w:cs="Times"/>
                <w:lang w:val="en-CA" w:eastAsia="ja-JP"/>
              </w:rPr>
              <m:t>G</m:t>
            </m:r>
          </m:e>
          <m:sub>
            <m:r>
              <w:rPr>
                <w:rFonts w:ascii="Cambria Math" w:hAnsi="Cambria Math" w:cs="Times"/>
                <w:lang w:val="en-CA" w:eastAsia="ja-JP"/>
              </w:rPr>
              <m:t>FP</m:t>
            </m:r>
          </m:sub>
        </m:sSub>
      </m:oMath>
      <w:r w:rsidRPr="00D039E9">
        <w:rPr>
          <w:rFonts w:cs="Times"/>
          <w:bCs/>
          <w:lang w:val="en-CA" w:eastAsia="ja-JP"/>
        </w:rPr>
        <w:t>, we obtain</w:t>
      </w:r>
      <w:r w:rsidR="00262C94" w:rsidRPr="00D039E9">
        <w:rPr>
          <w:rFonts w:cs="Times"/>
          <w:bCs/>
          <w:lang w:val="en-CA" w:eastAsia="ja-JP"/>
        </w:rPr>
        <w:fldChar w:fldCharType="begin" w:fldLock="1"/>
      </w:r>
      <w:r w:rsidR="00C65F5C" w:rsidRPr="00D039E9">
        <w:rPr>
          <w:rFonts w:cs="Times"/>
          <w:bCs/>
          <w:lang w:val="en-CA" w:eastAsia="ja-JP"/>
        </w:rPr>
        <w:instrText>ADDIN CSL_CITATION { "citationItems" : [ { "id" : "ITEM-1",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"ITEM-1",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"id" : "ITEM-2",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"ITEM-2",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"id" : "ITEM-3",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"ITEM-3", "issue" : "14", "issued" : { "date-parts" : [ [ "2014" ] ] }, "page" : "3922-3930", "title" : "Preferential solvation: Dividing surface vs excess numbers", "type" : "article-journal", "volume" : "118" }, "uris" : [ "http://www.mendeley.com/documents/?uuid=896fec6b-354e-41cd-a8de-55bd371a22f5" ] }, { "id" : "ITEM-4", "itemData" : { "DOI" : "10.1021/jp505869m", "ISBN" : "1520-5207 (Electronic)\\r1520-5207 (Linking)", "ISSN" : "15205207", "PMID" : "25144510", "abstract" : "Drug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 "author" : [ { "dropping-particle" : "", "family" : "Shimizu", "given" : "Seishi", "non-dropping-particle" : "", "parse-names" : false, "suffix" : "" }, { "dropping-particle" : "", "family" : "Matubayasi", "given" : "Nobuyuki", "non-dropping-particle" : "", "parse-names" : false, "suffix" : "" } ], "container-title" : "Journal of Physical Chemistry B", "id" : "ITEM-4", "issue" : "35", "issued" : { "date-parts" : [ [ "2014" ] ] }, "page" : "10515-10524", "title" : "Hydrotropy: Monomer-micelle equilibrium and minimum hydrotrope concentration", "type" : "article-journal", "volume" : "118" }, "uris" : [ "http://www.mendeley.com/documents/?uuid=0cd1508f-d197-4e8d-a474-504cfaeae922" ] }, { "id" : "ITEM-5", "itemData" : { "DOI" : "10.1039/tf9716702516", "ISSN" : "0014-7672", "abstract" : "An alternative derivation of part of the Kirkwood-Buff theory of solutions, which uses essentially classical thermodynamic concepts is presented. This theory relates the thermodynamic properties of a solution to the integrals of the radial distribution functions of the various molecular pairs present. Useful expressions are derived for electrolyte solutions and for solutions of two and three components. Of particular importance are the general expression for the primary medium effect for a neutral electrolyte and the expression for the effect of one component on the solubility of another in a three component system, which shows how the theory can be used as a general basis for discussing hydrotropy and related phenomena.", "author" : [ { "dropping-particle" : "", "family" : "Hall", "given" : "D. G.", "non-dropping-particle" : "", "parse-names" : false, "suffix" : "" } ], "container-title" : "Transactions of the Faraday Society", "id" : "ITEM-5", "issue" : "0", "issued" : { "date-parts" : [ [ "1971" ] ] }, "page" : "2516", "publisher" : "The Royal Society of Chemistry", "title" : "Kirkwood-Buff theory of solutions. An alternative derivation of part of it and some applications", "type" : "article-journal", "volume" : "67" }, "uris" : [ "http://www.mendeley.com/documents/?uuid=f29dc205-be25-31b1-ab4c-c0d01d88246f" ] }, { "id" : "ITEM-6", "itemData" : { "DOI" : "10.1039/CS9942300031", "ISSN" : "0306-0012", "abstract" : "No abstract available", "author" : [ { "dropping-particle" : "", "family" : "Newman", "given" : "Kenneth E.", "non-dropping-particle" : "", "parse-names" : false, "suffix" : "" } ], "container-title" : "Chem. Soc. Rev.", "id" : "ITEM-6", "issue" : "1", "issued" : { "date-parts" : [ [ "1994" ] ] }, "page" : "31-40", "publisher" : "The Royal Society of Chemistry", "title" : "Kirkwood\u2013Buff solution theory: derivation and applications", "type" : "article-journal", "volume" : "23" }, "uris" : [ "http://www.mendeley.com/documents/?uuid=4ba4106e-8081-3548-88ce-5332351b1d98" ] } ], "mendeley" : { "formattedCitation" : "&lt;sup&gt;11,17,18,22,53,55&lt;/sup&gt;", "plainTextFormattedCitation" : "11,17,18,22,53,55", "previouslyFormattedCitation" : "&lt;sup&gt;11,17,18,22,53,55&lt;/sup&gt;" }, "properties" : { "noteIndex" : 0 }, "schema" : "https://github.com/citation-style-language/schema/raw/master/csl-citation.json" }</w:instrText>
      </w:r>
      <w:r w:rsidR="00262C94" w:rsidRPr="00D039E9">
        <w:rPr>
          <w:rFonts w:cs="Times"/>
          <w:bCs/>
          <w:lang w:val="en-CA" w:eastAsia="ja-JP"/>
        </w:rPr>
        <w:fldChar w:fldCharType="separate"/>
      </w:r>
      <w:r w:rsidR="00BB3004" w:rsidRPr="00D039E9">
        <w:rPr>
          <w:rFonts w:cs="Times"/>
          <w:bCs/>
          <w:noProof/>
          <w:vertAlign w:val="superscript"/>
          <w:lang w:val="en-CA" w:eastAsia="ja-JP"/>
        </w:rPr>
        <w:t>11,17,18,22,53,55</w:t>
      </w:r>
      <w:r w:rsidR="00262C94" w:rsidRPr="00D039E9">
        <w:rPr>
          <w:rFonts w:cs="Times"/>
          <w:bCs/>
          <w:lang w:val="en-CA" w:eastAsia="ja-JP"/>
        </w:rPr>
        <w:fldChar w:fldCharType="end"/>
      </w:r>
    </w:p>
    <w:p w14:paraId="5C16A653" w14:textId="6EE5FC66" w:rsidR="006C4568" w:rsidRPr="00D039E9" w:rsidRDefault="006C4568" w:rsidP="006C4568">
      <w:pPr>
        <w:pStyle w:val="TAMainText"/>
        <w:ind w:firstLine="0"/>
        <w:rPr>
          <w:rFonts w:cs="Times"/>
          <w:bCs/>
          <w:lang w:val="en-CA" w:eastAsia="ja-JP"/>
        </w:rPr>
      </w:pPr>
      <m:oMath>
        <m:r>
          <w:rPr>
            <w:rFonts w:ascii="Cambria Math" w:hAnsi="Cambria Math" w:cs="Times"/>
            <w:lang w:val="en-CA" w:eastAsia="ja-JP"/>
          </w:rPr>
          <m:t>-</m:t>
        </m:r>
        <m:sSub>
          <m:sSubPr>
            <m:ctrlPr>
              <w:rPr>
                <w:rFonts w:ascii="Cambria Math" w:hAnsi="Cambria Math" w:cs="Times"/>
                <w:bCs/>
                <w:i/>
                <w:lang w:val="en-CA" w:eastAsia="ja-JP"/>
              </w:rPr>
            </m:ctrlPr>
          </m:sSubPr>
          <m:e>
            <m:d>
              <m:dPr>
                <m:ctrlPr>
                  <w:rPr>
                    <w:rFonts w:ascii="Cambria Math" w:hAnsi="Cambria Math" w:cs="Times"/>
                    <w:bCs/>
                    <w:i/>
                    <w:lang w:val="en-CA" w:eastAsia="ja-JP"/>
                  </w:rPr>
                </m:ctrlPr>
              </m:dPr>
              <m:e>
                <m:f>
                  <m:fPr>
                    <m:ctrlPr>
                      <w:rPr>
                        <w:rFonts w:ascii="Cambria Math" w:hAnsi="Cambria Math" w:cs="Times"/>
                        <w:bCs/>
                        <w:i/>
                        <w:lang w:val="en-CA" w:eastAsia="ja-JP"/>
                      </w:rPr>
                    </m:ctrlPr>
                  </m:fPr>
                  <m:num>
                    <m:r>
                      <w:rPr>
                        <w:rFonts w:ascii="Cambria Math" w:hAnsi="Cambria Math" w:cs="Times"/>
                        <w:lang w:val="en-CA" w:eastAsia="ja-JP"/>
                      </w:rPr>
                      <m:t>∂</m:t>
                    </m:r>
                    <m:sSubSup>
                      <m:sSubSupPr>
                        <m:ctrlPr>
                          <w:rPr>
                            <w:rFonts w:ascii="Cambria Math" w:hAnsi="Cambria Math" w:cs="Times"/>
                            <w:bCs/>
                            <w:i/>
                            <w:lang w:val="en-CA" w:eastAsia="ja-JP"/>
                          </w:rPr>
                        </m:ctrlPr>
                      </m:sSubSupPr>
                      <m:e>
                        <m:r>
                          <w:rPr>
                            <w:rFonts w:ascii="Cambria Math" w:hAnsi="Cambria Math" w:cs="Times"/>
                            <w:lang w:val="en-CA" w:eastAsia="ja-JP"/>
                          </w:rPr>
                          <m:t>μ</m:t>
                        </m:r>
                      </m:e>
                      <m:sub>
                        <m:r>
                          <w:rPr>
                            <w:rFonts w:ascii="Cambria Math" w:hAnsi="Cambria Math" w:cs="Times"/>
                            <w:lang w:val="en-CA" w:eastAsia="ja-JP"/>
                          </w:rPr>
                          <m:t>F</m:t>
                        </m:r>
                      </m:sub>
                      <m:sup>
                        <m:r>
                          <w:rPr>
                            <w:rFonts w:ascii="Cambria Math" w:hAnsi="Cambria Math" w:cs="Times"/>
                            <w:lang w:val="en-CA" w:eastAsia="ja-JP"/>
                          </w:rPr>
                          <m:t>*</m:t>
                        </m:r>
                      </m:sup>
                    </m:sSubSup>
                  </m:num>
                  <m:den>
                    <m:r>
                      <w:rPr>
                        <w:rFonts w:ascii="Cambria Math" w:hAnsi="Cambria Math" w:cs="Times"/>
                        <w:lang w:val="en-CA" w:eastAsia="ja-JP"/>
                      </w:rPr>
                      <m:t>∂</m:t>
                    </m:r>
                    <m:sSub>
                      <m:sSubPr>
                        <m:ctrlPr>
                          <w:rPr>
                            <w:rFonts w:ascii="Cambria Math" w:hAnsi="Cambria Math" w:cs="Times"/>
                            <w:bCs/>
                            <w:i/>
                            <w:lang w:val="en-CA" w:eastAsia="ja-JP"/>
                          </w:rPr>
                        </m:ctrlPr>
                      </m:sSubPr>
                      <m:e>
                        <m:r>
                          <w:rPr>
                            <w:rFonts w:ascii="Cambria Math" w:hAnsi="Cambria Math" w:cs="Times"/>
                            <w:lang w:val="en-CA" w:eastAsia="ja-JP"/>
                          </w:rPr>
                          <m:t>μ</m:t>
                        </m:r>
                      </m:e>
                      <m:sub>
                        <m:r>
                          <w:rPr>
                            <w:rFonts w:ascii="Cambria Math" w:hAnsi="Cambria Math" w:cs="Times"/>
                            <w:lang w:val="en-CA" w:eastAsia="ja-JP"/>
                          </w:rPr>
                          <m:t>W</m:t>
                        </m:r>
                      </m:sub>
                    </m:sSub>
                  </m:den>
                </m:f>
              </m:e>
            </m:d>
          </m:e>
          <m:sub>
            <m:r>
              <w:rPr>
                <w:rFonts w:ascii="Cambria Math" w:hAnsi="Cambria Math" w:cs="Times"/>
                <w:lang w:val="en-CA" w:eastAsia="ja-JP"/>
              </w:rPr>
              <m:t>T,P,</m:t>
            </m:r>
            <m:sSub>
              <m:sSubPr>
                <m:ctrlPr>
                  <w:rPr>
                    <w:rFonts w:ascii="Cambria Math" w:hAnsi="Cambria Math" w:cs="Times"/>
                    <w:bCs/>
                    <w:i/>
                    <w:lang w:val="en-CA" w:eastAsia="ja-JP"/>
                  </w:rPr>
                </m:ctrlPr>
              </m:sSubPr>
              <m:e>
                <m:r>
                  <w:rPr>
                    <w:rFonts w:ascii="Cambria Math" w:hAnsi="Cambria Math" w:cs="Times"/>
                    <w:lang w:val="en-CA" w:eastAsia="ja-JP"/>
                  </w:rPr>
                  <m:t>c</m:t>
                </m:r>
              </m:e>
              <m:sub>
                <m:r>
                  <w:rPr>
                    <w:rFonts w:ascii="Cambria Math" w:hAnsi="Cambria Math" w:cs="Times"/>
                    <w:lang w:val="en-CA" w:eastAsia="ja-JP"/>
                  </w:rPr>
                  <m:t>F</m:t>
                </m:r>
              </m:sub>
            </m:sSub>
            <m:r>
              <w:rPr>
                <w:rFonts w:ascii="Cambria Math" w:hAnsi="Cambria Math" w:cs="Times"/>
                <w:lang w:val="en-CA" w:eastAsia="ja-JP"/>
              </w:rPr>
              <m:t>→0</m:t>
            </m:r>
          </m:sub>
        </m:sSub>
        <m:r>
          <w:rPr>
            <w:rFonts w:ascii="Cambria Math" w:hAnsi="Cambria Math" w:cs="Times"/>
            <w:lang w:val="en-CA" w:eastAsia="ja-JP"/>
          </w:rPr>
          <m:t>=</m:t>
        </m:r>
        <m:sSub>
          <m:sSubPr>
            <m:ctrlPr>
              <w:rPr>
                <w:rFonts w:ascii="Cambria Math" w:hAnsi="Cambria Math" w:cs="Times"/>
                <w:bCs/>
                <w:i/>
                <w:lang w:val="en-CA" w:eastAsia="ja-JP"/>
              </w:rPr>
            </m:ctrlPr>
          </m:sSubPr>
          <m:e>
            <m:r>
              <w:rPr>
                <w:rFonts w:ascii="Cambria Math" w:hAnsi="Cambria Math" w:cs="Times"/>
                <w:lang w:val="en-CA" w:eastAsia="ja-JP"/>
              </w:rPr>
              <m:t>c</m:t>
            </m:r>
          </m:e>
          <m:sub>
            <m:r>
              <w:rPr>
                <w:rFonts w:ascii="Cambria Math" w:hAnsi="Cambria Math" w:cs="Times"/>
                <w:lang w:val="en-CA" w:eastAsia="ja-JP"/>
              </w:rPr>
              <m:t>W</m:t>
            </m:r>
          </m:sub>
        </m:sSub>
        <m:d>
          <m:dPr>
            <m:ctrlPr>
              <w:rPr>
                <w:rFonts w:ascii="Cambria Math" w:hAnsi="Cambria Math" w:cs="Times"/>
                <w:bCs/>
                <w:i/>
                <w:lang w:val="en-CA" w:eastAsia="ja-JP"/>
              </w:rPr>
            </m:ctrlPr>
          </m:dPr>
          <m:e>
            <m:sSub>
              <m:sSubPr>
                <m:ctrlPr>
                  <w:rPr>
                    <w:rFonts w:ascii="Cambria Math" w:hAnsi="Cambria Math" w:cs="Times"/>
                    <w:bCs/>
                    <w:i/>
                    <w:lang w:val="en-CA" w:eastAsia="ja-JP"/>
                  </w:rPr>
                </m:ctrlPr>
              </m:sSubPr>
              <m:e>
                <m:r>
                  <w:rPr>
                    <w:rFonts w:ascii="Cambria Math" w:hAnsi="Cambria Math" w:cs="Times"/>
                    <w:lang w:val="en-CA" w:eastAsia="ja-JP"/>
                  </w:rPr>
                  <m:t>G</m:t>
                </m:r>
              </m:e>
              <m:sub>
                <m:r>
                  <w:rPr>
                    <w:rFonts w:ascii="Cambria Math" w:hAnsi="Cambria Math" w:cs="Times"/>
                    <w:lang w:val="en-CA" w:eastAsia="ja-JP"/>
                  </w:rPr>
                  <m:t>FW</m:t>
                </m:r>
              </m:sub>
            </m:sSub>
            <m:r>
              <w:rPr>
                <w:rFonts w:ascii="Cambria Math" w:hAnsi="Cambria Math" w:cs="Times"/>
                <w:lang w:val="en-CA" w:eastAsia="ja-JP"/>
              </w:rPr>
              <m:t>-</m:t>
            </m:r>
            <m:sSub>
              <m:sSubPr>
                <m:ctrlPr>
                  <w:rPr>
                    <w:rFonts w:ascii="Cambria Math" w:hAnsi="Cambria Math" w:cs="Times"/>
                    <w:bCs/>
                    <w:i/>
                    <w:lang w:val="en-CA" w:eastAsia="ja-JP"/>
                  </w:rPr>
                </m:ctrlPr>
              </m:sSubPr>
              <m:e>
                <m:r>
                  <w:rPr>
                    <w:rFonts w:ascii="Cambria Math" w:hAnsi="Cambria Math" w:cs="Times"/>
                    <w:lang w:val="en-CA" w:eastAsia="ja-JP"/>
                  </w:rPr>
                  <m:t>G</m:t>
                </m:r>
              </m:e>
              <m:sub>
                <m:r>
                  <w:rPr>
                    <w:rFonts w:ascii="Cambria Math" w:hAnsi="Cambria Math" w:cs="Times"/>
                    <w:lang w:val="en-CA" w:eastAsia="ja-JP"/>
                  </w:rPr>
                  <m:t>FP</m:t>
                </m:r>
              </m:sub>
            </m:sSub>
          </m:e>
        </m:d>
      </m:oMath>
      <w:r w:rsidRPr="00D039E9">
        <w:rPr>
          <w:rFonts w:cs="Times"/>
          <w:bCs/>
          <w:lang w:val="en-CA" w:eastAsia="ja-JP"/>
        </w:rPr>
        <w:tab/>
      </w:r>
      <w:r w:rsidRPr="00D039E9">
        <w:rPr>
          <w:rFonts w:cs="Times"/>
          <w:bCs/>
          <w:lang w:val="en-CA" w:eastAsia="ja-JP"/>
        </w:rPr>
        <w:tab/>
      </w:r>
      <w:r w:rsidRPr="00D039E9">
        <w:rPr>
          <w:rFonts w:cs="Times"/>
          <w:bCs/>
          <w:lang w:val="en-CA" w:eastAsia="ja-JP"/>
        </w:rPr>
        <w:tab/>
      </w:r>
      <w:r w:rsidRPr="00D039E9">
        <w:rPr>
          <w:rFonts w:cs="Times"/>
          <w:bCs/>
          <w:lang w:val="en-CA" w:eastAsia="ja-JP"/>
        </w:rPr>
        <w:tab/>
      </w:r>
      <w:r w:rsidRPr="00D039E9">
        <w:rPr>
          <w:rFonts w:cs="Times"/>
          <w:bCs/>
          <w:lang w:val="en-CA" w:eastAsia="ja-JP"/>
        </w:rPr>
        <w:tab/>
      </w:r>
      <w:r w:rsidRPr="00D039E9">
        <w:rPr>
          <w:rFonts w:cs="Times"/>
          <w:bCs/>
          <w:lang w:val="en-CA" w:eastAsia="ja-JP"/>
        </w:rPr>
        <w:tab/>
      </w:r>
      <w:r w:rsidRPr="00D039E9">
        <w:rPr>
          <w:rFonts w:cs="Times"/>
          <w:bCs/>
          <w:lang w:val="en-CA" w:eastAsia="ja-JP"/>
        </w:rPr>
        <w:tab/>
      </w:r>
      <w:r w:rsidRPr="00D039E9">
        <w:rPr>
          <w:rFonts w:cs="Times"/>
          <w:bCs/>
          <w:lang w:val="en-CA" w:eastAsia="ja-JP"/>
        </w:rPr>
        <w:tab/>
        <w:t xml:space="preserve">(A7) </w:t>
      </w:r>
    </w:p>
    <w:p w14:paraId="6BF7A82C" w14:textId="77777777" w:rsidR="006C4568" w:rsidRPr="00D039E9" w:rsidRDefault="006C4568" w:rsidP="006C4568">
      <w:pPr>
        <w:pStyle w:val="TAMainText"/>
        <w:ind w:firstLine="0"/>
        <w:rPr>
          <w:rFonts w:cs="Times"/>
          <w:b/>
          <w:lang w:val="en-CA"/>
        </w:rPr>
      </w:pPr>
    </w:p>
    <w:p w14:paraId="16FBA104" w14:textId="2AEDA726" w:rsidR="006C4568" w:rsidRPr="00D039E9" w:rsidRDefault="006C4568" w:rsidP="006C4568">
      <w:pPr>
        <w:pStyle w:val="TAMainText"/>
        <w:rPr>
          <w:lang w:val="en-CA" w:eastAsia="ja-JP"/>
        </w:rPr>
      </w:pPr>
      <w:r w:rsidRPr="00D039E9">
        <w:rPr>
          <w:lang w:val="en-CA"/>
        </w:rPr>
        <w:t>To render Eq. (</w:t>
      </w:r>
      <w:r w:rsidR="006B3984" w:rsidRPr="00D039E9">
        <w:rPr>
          <w:lang w:val="en-CA"/>
        </w:rPr>
        <w:t>A</w:t>
      </w:r>
      <w:r w:rsidRPr="00D039E9">
        <w:rPr>
          <w:lang w:val="en-CA"/>
        </w:rPr>
        <w:t xml:space="preserve">7) useful, we have to consider how </w:t>
      </w:r>
      <m:oMath>
        <m:sSubSup>
          <m:sSubSupPr>
            <m:ctrlPr>
              <w:rPr>
                <w:rFonts w:ascii="Cambria Math" w:hAnsi="Cambria Math"/>
                <w:i/>
                <w:lang w:val="en-CA" w:eastAsia="ja-JP"/>
              </w:rPr>
            </m:ctrlPr>
          </m:sSubSupPr>
          <m:e>
            <m:r>
              <w:rPr>
                <w:rFonts w:ascii="Cambria Math" w:hAnsi="Cambria Math"/>
                <w:lang w:val="en-CA" w:eastAsia="ja-JP"/>
              </w:rPr>
              <m:t>μ</m:t>
            </m:r>
          </m:e>
          <m:sub>
            <m:r>
              <w:rPr>
                <w:rFonts w:ascii="Cambria Math" w:hAnsi="Cambria Math"/>
                <w:lang w:val="en-CA" w:eastAsia="ja-JP"/>
              </w:rPr>
              <m:t>F</m:t>
            </m:r>
          </m:sub>
          <m:sup>
            <m:r>
              <w:rPr>
                <w:rFonts w:ascii="Cambria Math" w:hAnsi="Cambria Math"/>
                <w:lang w:val="en-CA" w:eastAsia="ja-JP"/>
              </w:rPr>
              <m:t>*</m:t>
            </m:r>
          </m:sup>
        </m:sSubSup>
      </m:oMath>
      <w:r w:rsidRPr="00D039E9">
        <w:rPr>
          <w:lang w:val="en-CA" w:eastAsia="ja-JP"/>
        </w:rPr>
        <w:t xml:space="preserve"> can be measured experimentally. To do so, let us consider the equilibrium condition between the flavour molecules in the vapour phase and those in the aqueous phase. This means that the chemical potential in the vapour </w:t>
      </w:r>
      <m:oMath>
        <m:sSubSup>
          <m:sSubSupPr>
            <m:ctrlPr>
              <w:rPr>
                <w:rFonts w:ascii="Cambria Math" w:hAnsi="Cambria Math"/>
                <w:i/>
                <w:lang w:val="en-CA" w:eastAsia="ja-JP"/>
              </w:rPr>
            </m:ctrlPr>
          </m:sSubSupPr>
          <m:e>
            <m:r>
              <w:rPr>
                <w:rFonts w:ascii="Cambria Math" w:hAnsi="Cambria Math"/>
                <w:lang w:val="en-CA" w:eastAsia="ja-JP"/>
              </w:rPr>
              <m:t>μ</m:t>
            </m:r>
          </m:e>
          <m:sub>
            <m:r>
              <w:rPr>
                <w:rFonts w:ascii="Cambria Math" w:hAnsi="Cambria Math"/>
                <w:lang w:val="en-CA" w:eastAsia="ja-JP"/>
              </w:rPr>
              <m:t>F</m:t>
            </m:r>
          </m:sub>
          <m:sup>
            <m:r>
              <w:rPr>
                <w:rFonts w:ascii="Cambria Math" w:hAnsi="Cambria Math"/>
                <w:lang w:val="en-CA" w:eastAsia="ja-JP"/>
              </w:rPr>
              <m:t>vap</m:t>
            </m:r>
          </m:sup>
        </m:sSubSup>
      </m:oMath>
      <w:r w:rsidRPr="00D039E9">
        <w:rPr>
          <w:lang w:val="en-CA" w:eastAsia="ja-JP"/>
        </w:rPr>
        <w:t xml:space="preserve"> and the aqueous </w:t>
      </w:r>
      <m:oMath>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F</m:t>
            </m:r>
          </m:sub>
        </m:sSub>
      </m:oMath>
      <w:r w:rsidRPr="00D039E9">
        <w:rPr>
          <w:lang w:val="en-CA"/>
        </w:rPr>
        <w:t xml:space="preserve"> </w:t>
      </w:r>
      <w:r w:rsidRPr="00D039E9">
        <w:rPr>
          <w:lang w:val="en-CA" w:eastAsia="ja-JP"/>
        </w:rPr>
        <w:t>phases are constrained by</w:t>
      </w:r>
    </w:p>
    <w:p w14:paraId="4E5CC1D6" w14:textId="5CA9F5FD" w:rsidR="006C4568" w:rsidRPr="00D039E9" w:rsidRDefault="000E5B3F" w:rsidP="006C4568">
      <w:pPr>
        <w:pStyle w:val="TAMainText"/>
        <w:ind w:firstLine="0"/>
        <w:rPr>
          <w:rFonts w:cs="Times"/>
          <w:lang w:val="en-CA"/>
        </w:rPr>
      </w:pPr>
      <m:oMath>
        <m:sSubSup>
          <m:sSubSupPr>
            <m:ctrlPr>
              <w:rPr>
                <w:rFonts w:ascii="Cambria Math" w:hAnsi="Cambria Math" w:cs="Times"/>
                <w:i/>
                <w:lang w:val="en-CA"/>
              </w:rPr>
            </m:ctrlPr>
          </m:sSubSupPr>
          <m:e>
            <m:r>
              <w:rPr>
                <w:rFonts w:ascii="Cambria Math" w:hAnsi="Cambria Math" w:cs="Times"/>
                <w:lang w:val="en-CA"/>
              </w:rPr>
              <m:t>μ</m:t>
            </m:r>
          </m:e>
          <m:sub>
            <m:r>
              <w:rPr>
                <w:rFonts w:ascii="Cambria Math" w:hAnsi="Cambria Math" w:cs="Times"/>
                <w:lang w:val="en-CA"/>
              </w:rPr>
              <m:t>F</m:t>
            </m:r>
          </m:sub>
          <m:sup>
            <m:r>
              <w:rPr>
                <w:rFonts w:ascii="Cambria Math" w:hAnsi="Cambria Math" w:cs="Times"/>
                <w:lang w:val="en-CA"/>
              </w:rPr>
              <m:t>vap</m:t>
            </m:r>
          </m:sup>
        </m:sSubSup>
        <m:r>
          <w:rPr>
            <w:rFonts w:ascii="Cambria Math" w:hAnsi="Cambria Math" w:cs="Times"/>
            <w:lang w:val="en-CA"/>
          </w:rPr>
          <m:t>=</m:t>
        </m:r>
        <m:sSub>
          <m:sSubPr>
            <m:ctrlPr>
              <w:rPr>
                <w:rFonts w:ascii="Cambria Math" w:hAnsi="Cambria Math" w:cs="Times"/>
                <w:i/>
                <w:lang w:val="en-CA"/>
              </w:rPr>
            </m:ctrlPr>
          </m:sSubPr>
          <m:e>
            <m:r>
              <w:rPr>
                <w:rFonts w:ascii="Cambria Math" w:hAnsi="Cambria Math" w:cs="Times"/>
                <w:lang w:val="en-CA"/>
              </w:rPr>
              <m:t>μ</m:t>
            </m:r>
          </m:e>
          <m:sub>
            <m:r>
              <w:rPr>
                <w:rFonts w:ascii="Cambria Math" w:hAnsi="Cambria Math" w:cs="Times"/>
                <w:lang w:val="en-CA"/>
              </w:rPr>
              <m:t>F</m:t>
            </m:r>
          </m:sub>
        </m:sSub>
      </m:oMath>
      <w:r w:rsidR="006C4568" w:rsidRPr="00D039E9">
        <w:rPr>
          <w:rFonts w:cs="Times"/>
          <w:lang w:val="en-CA"/>
        </w:rPr>
        <w:tab/>
      </w:r>
      <w:r w:rsidR="006C4568" w:rsidRPr="00D039E9">
        <w:rPr>
          <w:rFonts w:cs="Times"/>
          <w:lang w:val="en-CA"/>
        </w:rPr>
        <w:tab/>
      </w:r>
      <w:r w:rsidR="006C4568" w:rsidRPr="00D039E9">
        <w:rPr>
          <w:rFonts w:cs="Times"/>
          <w:lang w:val="en-CA"/>
        </w:rPr>
        <w:tab/>
      </w:r>
      <w:r w:rsidR="006C4568" w:rsidRPr="00D039E9">
        <w:rPr>
          <w:rFonts w:cs="Times"/>
          <w:lang w:val="en-CA"/>
        </w:rPr>
        <w:tab/>
      </w:r>
      <w:r w:rsidR="006C4568" w:rsidRPr="00D039E9">
        <w:rPr>
          <w:rFonts w:cs="Times"/>
          <w:lang w:val="en-CA"/>
        </w:rPr>
        <w:tab/>
      </w:r>
      <w:r w:rsidR="006C4568" w:rsidRPr="00D039E9">
        <w:rPr>
          <w:rFonts w:cs="Times"/>
          <w:lang w:val="en-CA"/>
        </w:rPr>
        <w:tab/>
      </w:r>
      <w:r w:rsidR="006C4568" w:rsidRPr="00D039E9">
        <w:rPr>
          <w:rFonts w:cs="Times"/>
          <w:lang w:val="en-CA"/>
        </w:rPr>
        <w:tab/>
      </w:r>
      <w:r w:rsidR="006C4568" w:rsidRPr="00D039E9">
        <w:rPr>
          <w:rFonts w:cs="Times"/>
          <w:lang w:val="en-CA"/>
        </w:rPr>
        <w:tab/>
      </w:r>
      <w:r w:rsidR="006C4568" w:rsidRPr="00D039E9">
        <w:rPr>
          <w:rFonts w:cs="Times"/>
          <w:lang w:val="en-CA"/>
        </w:rPr>
        <w:tab/>
      </w:r>
      <w:r w:rsidR="006C4568" w:rsidRPr="00D039E9">
        <w:rPr>
          <w:rFonts w:cs="Times"/>
          <w:lang w:val="en-CA"/>
        </w:rPr>
        <w:tab/>
      </w:r>
      <w:r w:rsidR="006C4568" w:rsidRPr="00D039E9">
        <w:rPr>
          <w:rFonts w:cs="Times"/>
          <w:lang w:val="en-CA"/>
        </w:rPr>
        <w:tab/>
        <w:t>(</w:t>
      </w:r>
      <w:r w:rsidR="006B3984" w:rsidRPr="00D039E9">
        <w:rPr>
          <w:rFonts w:cs="Times"/>
          <w:lang w:val="en-CA"/>
        </w:rPr>
        <w:t>A</w:t>
      </w:r>
      <w:r w:rsidR="006C4568" w:rsidRPr="00D039E9">
        <w:rPr>
          <w:rFonts w:cs="Times"/>
          <w:lang w:val="en-CA"/>
        </w:rPr>
        <w:t>8)</w:t>
      </w:r>
    </w:p>
    <w:p w14:paraId="79B0F9AE" w14:textId="77777777" w:rsidR="00AA22FE" w:rsidRPr="00D039E9" w:rsidRDefault="00AA22FE" w:rsidP="006C4568">
      <w:pPr>
        <w:pStyle w:val="TAMainText"/>
        <w:rPr>
          <w:lang w:val="en-CA"/>
        </w:rPr>
      </w:pPr>
    </w:p>
    <w:p w14:paraId="57850F19" w14:textId="46994FE6" w:rsidR="006C4568" w:rsidRPr="00D039E9" w:rsidRDefault="006C4568" w:rsidP="006C4568">
      <w:pPr>
        <w:pStyle w:val="TAMainText"/>
        <w:rPr>
          <w:lang w:val="en-CA"/>
        </w:rPr>
      </w:pPr>
      <w:r w:rsidRPr="00D039E9">
        <w:rPr>
          <w:lang w:val="en-CA"/>
        </w:rPr>
        <w:t>Now we relate the chemical potentials of the freely-moving flavour molecules with those with the fixed centres of mass. Utilizing the well-established statistical thermod</w:t>
      </w:r>
      <w:r w:rsidR="00262C94" w:rsidRPr="00D039E9">
        <w:rPr>
          <w:lang w:val="en-CA"/>
        </w:rPr>
        <w:t>ynamic relationships</w:t>
      </w:r>
      <w:r w:rsidRPr="00D039E9">
        <w:rPr>
          <w:lang w:val="en-CA"/>
        </w:rPr>
        <w:t>, the following holds true respectively in the vapour and aqueous phases</w:t>
      </w:r>
      <w:r w:rsidR="00262C94" w:rsidRPr="00D039E9">
        <w:rPr>
          <w:lang w:val="en-CA"/>
        </w:rPr>
        <w:fldChar w:fldCharType="begin" w:fldLock="1"/>
      </w:r>
      <w:r w:rsidR="00C65F5C" w:rsidRPr="00D039E9">
        <w:rPr>
          <w:lang w:val="en-CA"/>
        </w:rPr>
        <w:instrText>ADDIN CSL_CITATION { "citationItems" : [ { "id" : "ITEM-1", "itemData" : { "author" : [ { "dropping-particle" : "", "family" : "Ben-Naim", "given" : "Arieh", "non-dropping-particle" : "", "parse-names" : false, "suffix" : "" } ], "id" : "ITEM-1", "issued" : { "date-parts" : [ [ "2006" ] ] }, "publisher" : "Oxford University Press", "publisher-place" : "Oxford", "title" : "Molecular Theory of Solutions", "type" : "book" }, "uris" : [ "http://www.mendeley.com/documents/?uuid=c69c8ec7-b100-38af-a990-6baa3f6c9810" ] } ], "mendeley" : { "formattedCitation" : "&lt;sup&gt;71&lt;/sup&gt;", "plainTextFormattedCitation" : "71", "previouslyFormattedCitation" : "&lt;sup&gt;71&lt;/sup&gt;" }, "properties" : { "noteIndex" : 0 }, "schema" : "https://github.com/citation-style-language/schema/raw/master/csl-citation.json" }</w:instrText>
      </w:r>
      <w:r w:rsidR="00262C94" w:rsidRPr="00D039E9">
        <w:rPr>
          <w:lang w:val="en-CA"/>
        </w:rPr>
        <w:fldChar w:fldCharType="separate"/>
      </w:r>
      <w:r w:rsidR="00BB3004" w:rsidRPr="00D039E9">
        <w:rPr>
          <w:noProof/>
          <w:vertAlign w:val="superscript"/>
          <w:lang w:val="en-CA"/>
        </w:rPr>
        <w:t>71</w:t>
      </w:r>
      <w:r w:rsidR="00262C94" w:rsidRPr="00D039E9">
        <w:rPr>
          <w:lang w:val="en-CA"/>
        </w:rPr>
        <w:fldChar w:fldCharType="end"/>
      </w:r>
    </w:p>
    <w:p w14:paraId="26A1228D" w14:textId="63DC586F" w:rsidR="006C4568" w:rsidRPr="00D039E9" w:rsidRDefault="000E5B3F" w:rsidP="006C4568">
      <w:pPr>
        <w:pStyle w:val="TAMainText"/>
        <w:ind w:firstLine="0"/>
        <w:rPr>
          <w:rFonts w:cs="Times"/>
          <w:bCs/>
          <w:lang w:val="en-CA" w:eastAsia="ja-JP"/>
        </w:rPr>
      </w:pPr>
      <m:oMath>
        <m:sSubSup>
          <m:sSubSupPr>
            <m:ctrlPr>
              <w:rPr>
                <w:rFonts w:ascii="Cambria Math" w:hAnsi="Cambria Math" w:cs="Times"/>
                <w:bCs/>
                <w:i/>
                <w:lang w:val="en-CA" w:eastAsia="ja-JP"/>
              </w:rPr>
            </m:ctrlPr>
          </m:sSubSupPr>
          <m:e>
            <m:r>
              <w:rPr>
                <w:rFonts w:ascii="Cambria Math" w:hAnsi="Cambria Math" w:cs="Times"/>
                <w:lang w:val="en-CA" w:eastAsia="ja-JP"/>
              </w:rPr>
              <m:t>μ</m:t>
            </m:r>
          </m:e>
          <m:sub>
            <m:r>
              <w:rPr>
                <w:rFonts w:ascii="Cambria Math" w:hAnsi="Cambria Math" w:cs="Times"/>
                <w:lang w:val="en-CA" w:eastAsia="ja-JP"/>
              </w:rPr>
              <m:t>F</m:t>
            </m:r>
          </m:sub>
          <m:sup>
            <m:r>
              <w:rPr>
                <w:rFonts w:ascii="Cambria Math" w:hAnsi="Cambria Math" w:cs="Times"/>
                <w:lang w:val="en-CA" w:eastAsia="ja-JP"/>
              </w:rPr>
              <m:t>vap</m:t>
            </m:r>
          </m:sup>
        </m:sSubSup>
        <m:r>
          <w:rPr>
            <w:rFonts w:ascii="Cambria Math" w:hAnsi="Cambria Math" w:cs="Times"/>
            <w:lang w:val="en-CA" w:eastAsia="ja-JP"/>
          </w:rPr>
          <m:t>=RT</m:t>
        </m:r>
        <m:func>
          <m:funcPr>
            <m:ctrlPr>
              <w:rPr>
                <w:rFonts w:ascii="Cambria Math" w:hAnsi="Cambria Math" w:cs="Times"/>
                <w:bCs/>
                <w:i/>
                <w:lang w:val="en-CA" w:eastAsia="ja-JP"/>
              </w:rPr>
            </m:ctrlPr>
          </m:funcPr>
          <m:fName>
            <m:r>
              <m:rPr>
                <m:sty m:val="p"/>
              </m:rPr>
              <w:rPr>
                <w:rFonts w:ascii="Cambria Math" w:hAnsi="Cambria Math" w:cs="Times"/>
                <w:lang w:val="en-CA" w:eastAsia="ja-JP"/>
              </w:rPr>
              <m:t>ln</m:t>
            </m:r>
          </m:fName>
          <m:e>
            <m:sSubSup>
              <m:sSubSupPr>
                <m:ctrlPr>
                  <w:rPr>
                    <w:rFonts w:ascii="Cambria Math" w:hAnsi="Cambria Math" w:cs="Times"/>
                    <w:bCs/>
                    <w:i/>
                    <w:lang w:val="en-CA" w:eastAsia="ja-JP"/>
                  </w:rPr>
                </m:ctrlPr>
              </m:sSubSupPr>
              <m:e>
                <m:r>
                  <w:rPr>
                    <w:rFonts w:ascii="Cambria Math" w:hAnsi="Cambria Math" w:cs="Times"/>
                    <w:lang w:val="en-CA" w:eastAsia="ja-JP"/>
                  </w:rPr>
                  <m:t>c</m:t>
                </m:r>
              </m:e>
              <m:sub>
                <m:r>
                  <w:rPr>
                    <w:rFonts w:ascii="Cambria Math" w:hAnsi="Cambria Math" w:cs="Times"/>
                    <w:lang w:val="en-CA" w:eastAsia="ja-JP"/>
                  </w:rPr>
                  <m:t>F</m:t>
                </m:r>
              </m:sub>
              <m:sup>
                <m:r>
                  <w:rPr>
                    <w:rFonts w:ascii="Cambria Math" w:hAnsi="Cambria Math" w:cs="Times"/>
                    <w:lang w:val="en-CA" w:eastAsia="ja-JP"/>
                  </w:rPr>
                  <m:t>vap</m:t>
                </m:r>
              </m:sup>
            </m:sSubSup>
            <m:sSubSup>
              <m:sSubSupPr>
                <m:ctrlPr>
                  <w:rPr>
                    <w:rFonts w:ascii="Cambria Math" w:hAnsi="Cambria Math" w:cs="Times"/>
                    <w:bCs/>
                    <w:i/>
                    <w:lang w:val="en-CA" w:eastAsia="ja-JP"/>
                  </w:rPr>
                </m:ctrlPr>
              </m:sSubSupPr>
              <m:e>
                <m:r>
                  <m:rPr>
                    <m:sty m:val="p"/>
                  </m:rPr>
                  <w:rPr>
                    <w:rFonts w:ascii="Cambria Math" w:hAnsi="Cambria Math" w:cs="Times"/>
                    <w:lang w:val="en-CA" w:eastAsia="ja-JP"/>
                  </w:rPr>
                  <m:t>Λ</m:t>
                </m:r>
                <m:ctrlPr>
                  <w:rPr>
                    <w:rFonts w:ascii="Cambria Math" w:hAnsi="Cambria Math" w:cs="Times"/>
                    <w:bCs/>
                    <w:lang w:val="en-CA" w:eastAsia="ja-JP"/>
                  </w:rPr>
                </m:ctrlPr>
              </m:e>
              <m:sub>
                <m:r>
                  <w:rPr>
                    <w:rFonts w:ascii="Cambria Math" w:hAnsi="Cambria Math" w:cs="Times"/>
                    <w:lang w:val="en-CA" w:eastAsia="ja-JP"/>
                  </w:rPr>
                  <m:t>F</m:t>
                </m:r>
              </m:sub>
              <m:sup>
                <m:r>
                  <w:rPr>
                    <w:rFonts w:ascii="Cambria Math" w:hAnsi="Cambria Math" w:cs="Times"/>
                    <w:lang w:val="en-CA" w:eastAsia="ja-JP"/>
                  </w:rPr>
                  <m:t>3</m:t>
                </m:r>
              </m:sup>
            </m:sSubSup>
          </m:e>
        </m:func>
      </m:oMath>
      <w:r w:rsidR="006C4568" w:rsidRPr="00D039E9">
        <w:rPr>
          <w:rFonts w:cs="Times"/>
          <w:bCs/>
          <w:lang w:val="en-CA" w:eastAsia="ja-JP"/>
        </w:rPr>
        <w:t xml:space="preserve"> </w:t>
      </w:r>
      <w:r w:rsidR="006C4568" w:rsidRPr="00D039E9">
        <w:rPr>
          <w:rFonts w:cs="Times"/>
          <w:bCs/>
          <w:lang w:val="en-CA" w:eastAsia="ja-JP"/>
        </w:rPr>
        <w:tab/>
      </w:r>
      <w:r w:rsidR="006C4568" w:rsidRPr="00D039E9">
        <w:rPr>
          <w:rFonts w:cs="Times"/>
          <w:bCs/>
          <w:lang w:val="en-CA" w:eastAsia="ja-JP"/>
        </w:rPr>
        <w:tab/>
      </w:r>
      <w:r w:rsidR="006C4568" w:rsidRPr="00D039E9">
        <w:rPr>
          <w:rFonts w:cs="Times"/>
          <w:bCs/>
          <w:lang w:val="en-CA" w:eastAsia="ja-JP"/>
        </w:rPr>
        <w:tab/>
      </w:r>
      <w:r w:rsidR="006C4568" w:rsidRPr="00D039E9">
        <w:rPr>
          <w:rFonts w:cs="Times"/>
          <w:bCs/>
          <w:lang w:val="en-CA" w:eastAsia="ja-JP"/>
        </w:rPr>
        <w:tab/>
      </w:r>
      <w:r w:rsidR="006C4568" w:rsidRPr="00D039E9">
        <w:rPr>
          <w:rFonts w:cs="Times"/>
          <w:bCs/>
          <w:lang w:val="en-CA" w:eastAsia="ja-JP"/>
        </w:rPr>
        <w:tab/>
      </w:r>
      <w:r w:rsidR="006C4568" w:rsidRPr="00D039E9">
        <w:rPr>
          <w:rFonts w:cs="Times"/>
          <w:bCs/>
          <w:lang w:val="en-CA" w:eastAsia="ja-JP"/>
        </w:rPr>
        <w:tab/>
      </w:r>
      <w:r w:rsidR="006C4568" w:rsidRPr="00D039E9">
        <w:rPr>
          <w:rFonts w:cs="Times"/>
          <w:bCs/>
          <w:lang w:val="en-CA" w:eastAsia="ja-JP"/>
        </w:rPr>
        <w:tab/>
      </w:r>
      <w:r w:rsidR="006C4568" w:rsidRPr="00D039E9">
        <w:rPr>
          <w:rFonts w:cs="Times"/>
          <w:bCs/>
          <w:lang w:val="en-CA" w:eastAsia="ja-JP"/>
        </w:rPr>
        <w:tab/>
      </w:r>
      <w:r w:rsidR="006C4568" w:rsidRPr="00D039E9">
        <w:rPr>
          <w:rFonts w:cs="Times"/>
          <w:bCs/>
          <w:lang w:val="en-CA" w:eastAsia="ja-JP"/>
        </w:rPr>
        <w:tab/>
      </w:r>
      <w:r w:rsidR="006C4568" w:rsidRPr="00D039E9">
        <w:rPr>
          <w:rFonts w:cs="Times"/>
          <w:bCs/>
          <w:lang w:val="en-CA" w:eastAsia="ja-JP"/>
        </w:rPr>
        <w:tab/>
        <w:t>(</w:t>
      </w:r>
      <w:r w:rsidR="006B3984" w:rsidRPr="00D039E9">
        <w:rPr>
          <w:rFonts w:cs="Times"/>
          <w:bCs/>
          <w:lang w:val="en-CA" w:eastAsia="ja-JP"/>
        </w:rPr>
        <w:t>A</w:t>
      </w:r>
      <w:r w:rsidR="006C4568" w:rsidRPr="00D039E9">
        <w:rPr>
          <w:rFonts w:cs="Times"/>
          <w:bCs/>
          <w:lang w:val="en-CA" w:eastAsia="ja-JP"/>
        </w:rPr>
        <w:t>9)</w:t>
      </w:r>
    </w:p>
    <w:p w14:paraId="0EB7475A" w14:textId="2CAE6348" w:rsidR="006C4568" w:rsidRPr="00D039E9" w:rsidRDefault="000E5B3F" w:rsidP="006C4568">
      <w:pPr>
        <w:pStyle w:val="TAMainText"/>
        <w:ind w:firstLine="0"/>
        <w:rPr>
          <w:rFonts w:cs="Times"/>
          <w:bCs/>
          <w:lang w:val="en-CA" w:eastAsia="ja-JP"/>
        </w:rPr>
      </w:pPr>
      <m:oMath>
        <m:sSub>
          <m:sSubPr>
            <m:ctrlPr>
              <w:rPr>
                <w:rFonts w:ascii="Cambria Math" w:hAnsi="Cambria Math" w:cs="Times"/>
                <w:bCs/>
                <w:i/>
                <w:lang w:val="en-CA" w:eastAsia="ja-JP"/>
              </w:rPr>
            </m:ctrlPr>
          </m:sSubPr>
          <m:e>
            <m:r>
              <w:rPr>
                <w:rFonts w:ascii="Cambria Math" w:hAnsi="Cambria Math" w:cs="Times"/>
                <w:lang w:val="en-CA" w:eastAsia="ja-JP"/>
              </w:rPr>
              <m:t>μ</m:t>
            </m:r>
          </m:e>
          <m:sub>
            <m:r>
              <w:rPr>
                <w:rFonts w:ascii="Cambria Math" w:hAnsi="Cambria Math" w:cs="Times"/>
                <w:lang w:val="en-CA" w:eastAsia="ja-JP"/>
              </w:rPr>
              <m:t>F</m:t>
            </m:r>
          </m:sub>
        </m:sSub>
        <m:r>
          <w:rPr>
            <w:rFonts w:ascii="Cambria Math" w:hAnsi="Cambria Math" w:cs="Times"/>
            <w:lang w:val="en-CA" w:eastAsia="ja-JP"/>
          </w:rPr>
          <m:t>=</m:t>
        </m:r>
        <m:sSubSup>
          <m:sSubSupPr>
            <m:ctrlPr>
              <w:rPr>
                <w:rFonts w:ascii="Cambria Math" w:hAnsi="Cambria Math" w:cs="Times"/>
                <w:bCs/>
                <w:i/>
                <w:lang w:val="en-CA" w:eastAsia="ja-JP"/>
              </w:rPr>
            </m:ctrlPr>
          </m:sSubSupPr>
          <m:e>
            <m:r>
              <w:rPr>
                <w:rFonts w:ascii="Cambria Math" w:hAnsi="Cambria Math" w:cs="Times"/>
                <w:lang w:val="en-CA" w:eastAsia="ja-JP"/>
              </w:rPr>
              <m:t>μ</m:t>
            </m:r>
          </m:e>
          <m:sub>
            <m:r>
              <w:rPr>
                <w:rFonts w:ascii="Cambria Math" w:hAnsi="Cambria Math" w:cs="Times"/>
                <w:lang w:val="en-CA" w:eastAsia="ja-JP"/>
              </w:rPr>
              <m:t>F</m:t>
            </m:r>
          </m:sub>
          <m:sup>
            <m:r>
              <w:rPr>
                <w:rFonts w:ascii="Cambria Math" w:hAnsi="Cambria Math" w:cs="Times"/>
                <w:lang w:val="en-CA" w:eastAsia="ja-JP"/>
              </w:rPr>
              <m:t>*</m:t>
            </m:r>
          </m:sup>
        </m:sSubSup>
        <m:r>
          <w:rPr>
            <w:rFonts w:ascii="Cambria Math" w:hAnsi="Cambria Math" w:cs="Times"/>
            <w:lang w:val="en-CA" w:eastAsia="ja-JP"/>
          </w:rPr>
          <m:t>+RT</m:t>
        </m:r>
        <m:func>
          <m:funcPr>
            <m:ctrlPr>
              <w:rPr>
                <w:rFonts w:ascii="Cambria Math" w:hAnsi="Cambria Math" w:cs="Times"/>
                <w:bCs/>
                <w:i/>
                <w:lang w:val="en-CA" w:eastAsia="ja-JP"/>
              </w:rPr>
            </m:ctrlPr>
          </m:funcPr>
          <m:fName>
            <m:r>
              <m:rPr>
                <m:sty m:val="p"/>
              </m:rPr>
              <w:rPr>
                <w:rFonts w:ascii="Cambria Math" w:hAnsi="Cambria Math" w:cs="Times"/>
                <w:lang w:val="en-CA" w:eastAsia="ja-JP"/>
              </w:rPr>
              <m:t>ln</m:t>
            </m:r>
          </m:fName>
          <m:e>
            <m:sSub>
              <m:sSubPr>
                <m:ctrlPr>
                  <w:rPr>
                    <w:rFonts w:ascii="Cambria Math" w:hAnsi="Cambria Math" w:cs="Times"/>
                    <w:bCs/>
                    <w:i/>
                    <w:lang w:val="en-CA" w:eastAsia="ja-JP"/>
                  </w:rPr>
                </m:ctrlPr>
              </m:sSubPr>
              <m:e>
                <m:r>
                  <w:rPr>
                    <w:rFonts w:ascii="Cambria Math" w:hAnsi="Cambria Math" w:cs="Times"/>
                    <w:lang w:val="en-CA" w:eastAsia="ja-JP"/>
                  </w:rPr>
                  <m:t>c</m:t>
                </m:r>
              </m:e>
              <m:sub>
                <m:r>
                  <w:rPr>
                    <w:rFonts w:ascii="Cambria Math" w:hAnsi="Cambria Math" w:cs="Times"/>
                    <w:lang w:val="en-CA" w:eastAsia="ja-JP"/>
                  </w:rPr>
                  <m:t>F</m:t>
                </m:r>
              </m:sub>
            </m:sSub>
            <m:sSubSup>
              <m:sSubSupPr>
                <m:ctrlPr>
                  <w:rPr>
                    <w:rFonts w:ascii="Cambria Math" w:hAnsi="Cambria Math" w:cs="Times"/>
                    <w:bCs/>
                    <w:i/>
                    <w:lang w:val="en-CA" w:eastAsia="ja-JP"/>
                  </w:rPr>
                </m:ctrlPr>
              </m:sSubSupPr>
              <m:e>
                <m:r>
                  <m:rPr>
                    <m:sty m:val="p"/>
                  </m:rPr>
                  <w:rPr>
                    <w:rFonts w:ascii="Cambria Math" w:hAnsi="Cambria Math" w:cs="Times"/>
                    <w:lang w:val="en-CA" w:eastAsia="ja-JP"/>
                  </w:rPr>
                  <m:t>Λ</m:t>
                </m:r>
                <m:ctrlPr>
                  <w:rPr>
                    <w:rFonts w:ascii="Cambria Math" w:hAnsi="Cambria Math" w:cs="Times"/>
                    <w:bCs/>
                    <w:lang w:val="en-CA" w:eastAsia="ja-JP"/>
                  </w:rPr>
                </m:ctrlPr>
              </m:e>
              <m:sub>
                <m:r>
                  <w:rPr>
                    <w:rFonts w:ascii="Cambria Math" w:hAnsi="Cambria Math" w:cs="Times"/>
                    <w:lang w:val="en-CA" w:eastAsia="ja-JP"/>
                  </w:rPr>
                  <m:t>F</m:t>
                </m:r>
              </m:sub>
              <m:sup>
                <m:r>
                  <w:rPr>
                    <w:rFonts w:ascii="Cambria Math" w:hAnsi="Cambria Math" w:cs="Times"/>
                    <w:lang w:val="en-CA" w:eastAsia="ja-JP"/>
                  </w:rPr>
                  <m:t>3</m:t>
                </m:r>
              </m:sup>
            </m:sSubSup>
          </m:e>
        </m:func>
      </m:oMath>
      <w:r w:rsidR="006C4568" w:rsidRPr="00D039E9">
        <w:rPr>
          <w:rFonts w:cs="Times"/>
          <w:bCs/>
          <w:lang w:val="en-CA" w:eastAsia="ja-JP"/>
        </w:rPr>
        <w:t xml:space="preserve"> </w:t>
      </w:r>
      <w:r w:rsidR="006C4568" w:rsidRPr="00D039E9">
        <w:rPr>
          <w:rFonts w:cs="Times"/>
          <w:bCs/>
          <w:lang w:val="en-CA" w:eastAsia="ja-JP"/>
        </w:rPr>
        <w:tab/>
      </w:r>
      <w:r w:rsidR="006C4568" w:rsidRPr="00D039E9">
        <w:rPr>
          <w:rFonts w:cs="Times"/>
          <w:bCs/>
          <w:lang w:val="en-CA" w:eastAsia="ja-JP"/>
        </w:rPr>
        <w:tab/>
      </w:r>
      <w:r w:rsidR="006C4568" w:rsidRPr="00D039E9">
        <w:rPr>
          <w:rFonts w:cs="Times"/>
          <w:bCs/>
          <w:lang w:val="en-CA" w:eastAsia="ja-JP"/>
        </w:rPr>
        <w:tab/>
      </w:r>
      <w:r w:rsidR="006C4568" w:rsidRPr="00D039E9">
        <w:rPr>
          <w:rFonts w:cs="Times"/>
          <w:bCs/>
          <w:lang w:val="en-CA" w:eastAsia="ja-JP"/>
        </w:rPr>
        <w:tab/>
      </w:r>
      <w:r w:rsidR="006C4568" w:rsidRPr="00D039E9">
        <w:rPr>
          <w:rFonts w:cs="Times"/>
          <w:bCs/>
          <w:lang w:val="en-CA" w:eastAsia="ja-JP"/>
        </w:rPr>
        <w:tab/>
      </w:r>
      <w:r w:rsidR="006C4568" w:rsidRPr="00D039E9">
        <w:rPr>
          <w:rFonts w:cs="Times"/>
          <w:bCs/>
          <w:lang w:val="en-CA" w:eastAsia="ja-JP"/>
        </w:rPr>
        <w:tab/>
      </w:r>
      <w:r w:rsidR="006C4568" w:rsidRPr="00D039E9">
        <w:rPr>
          <w:rFonts w:cs="Times"/>
          <w:bCs/>
          <w:lang w:val="en-CA" w:eastAsia="ja-JP"/>
        </w:rPr>
        <w:tab/>
      </w:r>
      <w:r w:rsidR="006C4568" w:rsidRPr="00D039E9">
        <w:rPr>
          <w:rFonts w:cs="Times"/>
          <w:bCs/>
          <w:lang w:val="en-CA" w:eastAsia="ja-JP"/>
        </w:rPr>
        <w:tab/>
      </w:r>
      <w:r w:rsidR="006C4568" w:rsidRPr="00D039E9">
        <w:rPr>
          <w:rFonts w:cs="Times"/>
          <w:bCs/>
          <w:lang w:val="en-CA" w:eastAsia="ja-JP"/>
        </w:rPr>
        <w:tab/>
        <w:t>(</w:t>
      </w:r>
      <w:r w:rsidR="006B3984" w:rsidRPr="00D039E9">
        <w:rPr>
          <w:rFonts w:cs="Times"/>
          <w:bCs/>
          <w:lang w:val="en-CA" w:eastAsia="ja-JP"/>
        </w:rPr>
        <w:t>A</w:t>
      </w:r>
      <w:r w:rsidR="006C4568" w:rsidRPr="00D039E9">
        <w:rPr>
          <w:rFonts w:cs="Times"/>
          <w:bCs/>
          <w:lang w:val="en-CA" w:eastAsia="ja-JP"/>
        </w:rPr>
        <w:t>10)</w:t>
      </w:r>
    </w:p>
    <w:p w14:paraId="28391027" w14:textId="5CCE7B47" w:rsidR="006C4568" w:rsidRPr="00D039E9" w:rsidRDefault="006C4568" w:rsidP="006C4568">
      <w:pPr>
        <w:pStyle w:val="TAMainText"/>
        <w:ind w:firstLine="0"/>
        <w:rPr>
          <w:rFonts w:cs="Times"/>
          <w:bCs/>
          <w:lang w:val="en-CA" w:eastAsia="ja-JP"/>
        </w:rPr>
      </w:pPr>
      <w:r w:rsidRPr="00D039E9">
        <w:rPr>
          <w:rFonts w:cs="Times"/>
          <w:bCs/>
          <w:lang w:val="en-CA" w:eastAsia="ja-JP"/>
        </w:rPr>
        <w:t xml:space="preserve">where </w:t>
      </w:r>
      <m:oMath>
        <m:sSubSup>
          <m:sSubSupPr>
            <m:ctrlPr>
              <w:rPr>
                <w:rFonts w:ascii="Cambria Math" w:hAnsi="Cambria Math" w:cs="Times"/>
                <w:bCs/>
                <w:i/>
                <w:lang w:val="en-CA" w:eastAsia="ja-JP"/>
              </w:rPr>
            </m:ctrlPr>
          </m:sSubSupPr>
          <m:e>
            <m:r>
              <m:rPr>
                <m:sty m:val="p"/>
              </m:rPr>
              <w:rPr>
                <w:rFonts w:ascii="Cambria Math" w:hAnsi="Cambria Math" w:cs="Times"/>
                <w:lang w:val="en-CA" w:eastAsia="ja-JP"/>
              </w:rPr>
              <m:t>Λ</m:t>
            </m:r>
            <m:ctrlPr>
              <w:rPr>
                <w:rFonts w:ascii="Cambria Math" w:hAnsi="Cambria Math" w:cs="Times"/>
                <w:bCs/>
                <w:lang w:val="en-CA" w:eastAsia="ja-JP"/>
              </w:rPr>
            </m:ctrlPr>
          </m:e>
          <m:sub>
            <m:r>
              <w:rPr>
                <w:rFonts w:ascii="Cambria Math" w:hAnsi="Cambria Math" w:cs="Times"/>
                <w:lang w:val="en-CA" w:eastAsia="ja-JP"/>
              </w:rPr>
              <m:t>F</m:t>
            </m:r>
          </m:sub>
          <m:sup>
            <m:r>
              <w:rPr>
                <w:rFonts w:ascii="Cambria Math" w:hAnsi="Cambria Math" w:cs="Times"/>
                <w:lang w:val="en-CA" w:eastAsia="ja-JP"/>
              </w:rPr>
              <m:t>3</m:t>
            </m:r>
          </m:sup>
        </m:sSubSup>
      </m:oMath>
      <w:r w:rsidRPr="00D039E9">
        <w:rPr>
          <w:rFonts w:cs="Times"/>
          <w:bCs/>
          <w:lang w:val="en-CA" w:eastAsia="ja-JP"/>
        </w:rPr>
        <w:t xml:space="preserve"> is the momentum distribution function, which will vanish below upon the d</w:t>
      </w:r>
      <w:r w:rsidR="00205109" w:rsidRPr="00D039E9">
        <w:rPr>
          <w:rFonts w:cs="Times"/>
          <w:bCs/>
          <w:lang w:val="en-CA" w:eastAsia="ja-JP"/>
        </w:rPr>
        <w:t>efinition of the vapour-water</w:t>
      </w:r>
      <w:r w:rsidRPr="00D039E9">
        <w:rPr>
          <w:rFonts w:cs="Times"/>
          <w:bCs/>
          <w:lang w:val="en-CA" w:eastAsia="ja-JP"/>
        </w:rPr>
        <w:t xml:space="preserve"> partition coefficient </w:t>
      </w:r>
      <m:oMath>
        <m:sSub>
          <m:sSubPr>
            <m:ctrlPr>
              <w:rPr>
                <w:rFonts w:ascii="Cambria Math" w:hAnsi="Cambria Math" w:cs="Times"/>
                <w:i/>
                <w:lang w:val="en-CA" w:eastAsia="ja-JP"/>
              </w:rPr>
            </m:ctrlPr>
          </m:sSubPr>
          <m:e>
            <m:r>
              <w:rPr>
                <w:rFonts w:ascii="Cambria Math" w:hAnsi="Cambria Math" w:cs="Times"/>
                <w:lang w:val="en-CA" w:eastAsia="ja-JP"/>
              </w:rPr>
              <m:t>K</m:t>
            </m:r>
          </m:e>
          <m:sub>
            <m:r>
              <w:rPr>
                <w:rFonts w:ascii="Cambria Math" w:hAnsi="Cambria Math" w:cs="Times"/>
                <w:lang w:val="en-CA" w:eastAsia="ja-JP"/>
              </w:rPr>
              <m:t>vw</m:t>
            </m:r>
          </m:sub>
        </m:sSub>
      </m:oMath>
      <w:r w:rsidRPr="00D039E9">
        <w:rPr>
          <w:rFonts w:cs="Times"/>
          <w:bCs/>
          <w:lang w:val="en-CA" w:eastAsia="ja-JP"/>
        </w:rPr>
        <w:t xml:space="preserve"> of the flavour, through which Eqs. (</w:t>
      </w:r>
      <w:r w:rsidR="006B3984" w:rsidRPr="00D039E9">
        <w:rPr>
          <w:rFonts w:cs="Times"/>
          <w:bCs/>
          <w:lang w:val="en-CA" w:eastAsia="ja-JP"/>
        </w:rPr>
        <w:t>A</w:t>
      </w:r>
      <w:r w:rsidRPr="00D039E9">
        <w:rPr>
          <w:rFonts w:cs="Times"/>
          <w:bCs/>
          <w:lang w:val="en-CA" w:eastAsia="ja-JP"/>
        </w:rPr>
        <w:t>9) and (</w:t>
      </w:r>
      <w:r w:rsidR="006B3984" w:rsidRPr="00D039E9">
        <w:rPr>
          <w:rFonts w:cs="Times"/>
          <w:bCs/>
          <w:lang w:val="en-CA" w:eastAsia="ja-JP"/>
        </w:rPr>
        <w:t>A</w:t>
      </w:r>
      <w:r w:rsidRPr="00D039E9">
        <w:rPr>
          <w:rFonts w:cs="Times"/>
          <w:bCs/>
          <w:lang w:val="en-CA" w:eastAsia="ja-JP"/>
        </w:rPr>
        <w:t xml:space="preserve">10) can be combined into the following form: </w:t>
      </w:r>
    </w:p>
    <w:p w14:paraId="302D7472" w14:textId="6EECCBEA" w:rsidR="006C4568" w:rsidRPr="00D039E9" w:rsidRDefault="000E5B3F" w:rsidP="006C4568">
      <w:pPr>
        <w:pStyle w:val="TAMainText"/>
        <w:ind w:firstLine="0"/>
        <w:rPr>
          <w:rFonts w:cs="Times"/>
          <w:lang w:val="en-CA"/>
        </w:rPr>
      </w:pPr>
      <m:oMath>
        <m:sSubSup>
          <m:sSubSupPr>
            <m:ctrlPr>
              <w:rPr>
                <w:rFonts w:ascii="Cambria Math" w:hAnsi="Cambria Math" w:cs="Times"/>
                <w:i/>
                <w:lang w:val="en-CA"/>
              </w:rPr>
            </m:ctrlPr>
          </m:sSubSupPr>
          <m:e>
            <m:r>
              <w:rPr>
                <w:rFonts w:ascii="Cambria Math" w:hAnsi="Cambria Math" w:cs="Times"/>
                <w:lang w:val="en-CA"/>
              </w:rPr>
              <m:t>μ</m:t>
            </m:r>
          </m:e>
          <m:sub>
            <m:r>
              <w:rPr>
                <w:rFonts w:ascii="Cambria Math" w:hAnsi="Cambria Math" w:cs="Times"/>
                <w:lang w:val="en-CA"/>
              </w:rPr>
              <m:t>F</m:t>
            </m:r>
          </m:sub>
          <m:sup>
            <m:r>
              <w:rPr>
                <w:rFonts w:ascii="Cambria Math" w:hAnsi="Cambria Math" w:cs="Times"/>
                <w:lang w:val="en-CA"/>
              </w:rPr>
              <m:t>*</m:t>
            </m:r>
          </m:sup>
        </m:sSubSup>
        <m:r>
          <w:rPr>
            <w:rFonts w:ascii="Cambria Math" w:hAnsi="Cambria Math" w:cs="Times"/>
            <w:lang w:val="en-CA"/>
          </w:rPr>
          <m:t>=-RT</m:t>
        </m:r>
        <m:func>
          <m:funcPr>
            <m:ctrlPr>
              <w:rPr>
                <w:rFonts w:ascii="Cambria Math" w:hAnsi="Cambria Math" w:cs="Times"/>
                <w:i/>
                <w:lang w:val="en-CA"/>
              </w:rPr>
            </m:ctrlPr>
          </m:funcPr>
          <m:fName>
            <m:r>
              <m:rPr>
                <m:sty m:val="p"/>
              </m:rPr>
              <w:rPr>
                <w:rFonts w:ascii="Cambria Math" w:hAnsi="Cambria Math" w:cs="Times"/>
                <w:lang w:val="en-CA"/>
              </w:rPr>
              <m:t>ln</m:t>
            </m:r>
          </m:fName>
          <m:e>
            <m:f>
              <m:fPr>
                <m:ctrlPr>
                  <w:rPr>
                    <w:rFonts w:ascii="Cambria Math" w:hAnsi="Cambria Math" w:cs="Times"/>
                    <w:i/>
                    <w:lang w:val="en-CA"/>
                  </w:rPr>
                </m:ctrlPr>
              </m:fPr>
              <m:num>
                <m:sSub>
                  <m:sSubPr>
                    <m:ctrlPr>
                      <w:rPr>
                        <w:rFonts w:ascii="Cambria Math" w:hAnsi="Cambria Math" w:cs="Times"/>
                        <w:i/>
                        <w:lang w:val="en-CA"/>
                      </w:rPr>
                    </m:ctrlPr>
                  </m:sSubPr>
                  <m:e>
                    <m:r>
                      <w:rPr>
                        <w:rFonts w:ascii="Cambria Math" w:hAnsi="Cambria Math" w:cs="Times"/>
                        <w:lang w:val="en-CA"/>
                      </w:rPr>
                      <m:t>c</m:t>
                    </m:r>
                  </m:e>
                  <m:sub>
                    <m:r>
                      <w:rPr>
                        <w:rFonts w:ascii="Cambria Math" w:hAnsi="Cambria Math" w:cs="Times"/>
                        <w:lang w:val="en-CA"/>
                      </w:rPr>
                      <m:t>F</m:t>
                    </m:r>
                  </m:sub>
                </m:sSub>
              </m:num>
              <m:den>
                <m:sSubSup>
                  <m:sSubSupPr>
                    <m:ctrlPr>
                      <w:rPr>
                        <w:rFonts w:ascii="Cambria Math" w:hAnsi="Cambria Math" w:cs="Times"/>
                        <w:i/>
                        <w:lang w:val="en-CA"/>
                      </w:rPr>
                    </m:ctrlPr>
                  </m:sSubSupPr>
                  <m:e>
                    <m:r>
                      <w:rPr>
                        <w:rFonts w:ascii="Cambria Math" w:hAnsi="Cambria Math" w:cs="Times"/>
                        <w:lang w:val="en-CA"/>
                      </w:rPr>
                      <m:t>c</m:t>
                    </m:r>
                  </m:e>
                  <m:sub>
                    <m:r>
                      <w:rPr>
                        <w:rFonts w:ascii="Cambria Math" w:hAnsi="Cambria Math" w:cs="Times"/>
                        <w:lang w:val="en-CA"/>
                      </w:rPr>
                      <m:t>F</m:t>
                    </m:r>
                  </m:sub>
                  <m:sup>
                    <m:r>
                      <w:rPr>
                        <w:rFonts w:ascii="Cambria Math" w:hAnsi="Cambria Math" w:cs="Times"/>
                        <w:lang w:val="en-CA"/>
                      </w:rPr>
                      <m:t>vap</m:t>
                    </m:r>
                  </m:sup>
                </m:sSubSup>
              </m:den>
            </m:f>
          </m:e>
        </m:func>
        <m:r>
          <w:rPr>
            <w:rFonts w:ascii="Cambria Math" w:hAnsi="Cambria Math" w:cs="Times"/>
            <w:lang w:val="en-CA"/>
          </w:rPr>
          <m:t>=-RT</m:t>
        </m:r>
        <m:func>
          <m:funcPr>
            <m:ctrlPr>
              <w:rPr>
                <w:rFonts w:ascii="Cambria Math" w:hAnsi="Cambria Math" w:cs="Times"/>
                <w:i/>
                <w:lang w:val="en-CA"/>
              </w:rPr>
            </m:ctrlPr>
          </m:funcPr>
          <m:fName>
            <m:r>
              <m:rPr>
                <m:sty m:val="p"/>
              </m:rPr>
              <w:rPr>
                <w:rFonts w:ascii="Cambria Math" w:hAnsi="Cambria Math" w:cs="Times"/>
                <w:lang w:val="en-CA"/>
              </w:rPr>
              <m:t>ln</m:t>
            </m:r>
          </m:fName>
          <m:e>
            <m:sSub>
              <m:sSubPr>
                <m:ctrlPr>
                  <w:rPr>
                    <w:rFonts w:ascii="Cambria Math" w:hAnsi="Cambria Math" w:cs="Times"/>
                    <w:i/>
                    <w:lang w:val="en-CA"/>
                  </w:rPr>
                </m:ctrlPr>
              </m:sSubPr>
              <m:e>
                <m:r>
                  <w:rPr>
                    <w:rFonts w:ascii="Cambria Math" w:hAnsi="Cambria Math" w:cs="Times"/>
                    <w:lang w:val="en-CA"/>
                  </w:rPr>
                  <m:t>K</m:t>
                </m:r>
              </m:e>
              <m:sub>
                <m:r>
                  <w:rPr>
                    <w:rFonts w:ascii="Cambria Math" w:hAnsi="Cambria Math" w:cs="Times"/>
                    <w:lang w:val="en-CA"/>
                  </w:rPr>
                  <m:t>vw</m:t>
                </m:r>
              </m:sub>
            </m:sSub>
          </m:e>
        </m:func>
      </m:oMath>
      <w:r w:rsidR="006C4568" w:rsidRPr="00D039E9">
        <w:rPr>
          <w:rFonts w:cs="Times"/>
          <w:lang w:val="en-CA"/>
        </w:rPr>
        <w:tab/>
      </w:r>
      <w:r w:rsidR="006C4568" w:rsidRPr="00D039E9">
        <w:rPr>
          <w:rFonts w:cs="Times"/>
          <w:lang w:val="en-CA"/>
        </w:rPr>
        <w:tab/>
      </w:r>
      <w:r w:rsidR="006C4568" w:rsidRPr="00D039E9">
        <w:rPr>
          <w:rFonts w:cs="Times"/>
          <w:lang w:val="en-CA"/>
        </w:rPr>
        <w:tab/>
      </w:r>
      <w:r w:rsidR="006C4568" w:rsidRPr="00D039E9">
        <w:rPr>
          <w:rFonts w:cs="Times"/>
          <w:lang w:val="en-CA"/>
        </w:rPr>
        <w:tab/>
      </w:r>
      <w:r w:rsidR="006C4568" w:rsidRPr="00D039E9">
        <w:rPr>
          <w:rFonts w:cs="Times"/>
          <w:lang w:val="en-CA"/>
        </w:rPr>
        <w:tab/>
      </w:r>
      <w:r w:rsidR="006C4568" w:rsidRPr="00D039E9">
        <w:rPr>
          <w:rFonts w:cs="Times"/>
          <w:lang w:val="en-CA"/>
        </w:rPr>
        <w:tab/>
      </w:r>
      <w:r w:rsidR="006C4568" w:rsidRPr="00D039E9">
        <w:rPr>
          <w:rFonts w:cs="Times"/>
          <w:lang w:val="en-CA"/>
        </w:rPr>
        <w:tab/>
      </w:r>
      <w:r w:rsidR="006C4568" w:rsidRPr="00D039E9">
        <w:rPr>
          <w:rFonts w:cs="Times"/>
          <w:lang w:val="en-CA"/>
        </w:rPr>
        <w:tab/>
        <w:t>(</w:t>
      </w:r>
      <w:r w:rsidR="006B3984" w:rsidRPr="00D039E9">
        <w:rPr>
          <w:rFonts w:cs="Times"/>
          <w:lang w:val="en-CA"/>
        </w:rPr>
        <w:t>A</w:t>
      </w:r>
      <w:r w:rsidR="006C4568" w:rsidRPr="00D039E9">
        <w:rPr>
          <w:rFonts w:cs="Times"/>
          <w:lang w:val="en-CA"/>
        </w:rPr>
        <w:t>11)</w:t>
      </w:r>
    </w:p>
    <w:p w14:paraId="546C3C42" w14:textId="231925BA" w:rsidR="006C4568" w:rsidRPr="00D039E9" w:rsidRDefault="008D60D2" w:rsidP="006C4568">
      <w:pPr>
        <w:pStyle w:val="TAMainText"/>
        <w:ind w:firstLine="0"/>
        <w:rPr>
          <w:bCs/>
          <w:lang w:val="en-CA" w:eastAsia="ja-JP"/>
        </w:rPr>
      </w:pPr>
      <w:r w:rsidRPr="00D039E9">
        <w:rPr>
          <w:bCs/>
          <w:lang w:val="en-CA" w:eastAsia="ja-JP"/>
        </w:rPr>
        <w:t xml:space="preserve">Combination of Eqs. (A11) and (A7) yields Eq. (1). </w:t>
      </w:r>
      <w:r w:rsidR="0052010A" w:rsidRPr="00D039E9">
        <w:rPr>
          <w:bCs/>
          <w:lang w:val="en-CA" w:eastAsia="ja-JP"/>
        </w:rPr>
        <w:t xml:space="preserve">Note that Eq. (A9) assumes the vapour behaves as an ideal gas. </w:t>
      </w:r>
    </w:p>
    <w:p w14:paraId="4CE25D01" w14:textId="4F182D37" w:rsidR="00F84241" w:rsidRPr="00D039E9" w:rsidRDefault="00F84241" w:rsidP="006C4568">
      <w:pPr>
        <w:pStyle w:val="TAMainText"/>
        <w:ind w:firstLine="0"/>
        <w:rPr>
          <w:bCs/>
          <w:lang w:val="en-CA" w:eastAsia="ja-JP"/>
        </w:rPr>
      </w:pPr>
    </w:p>
    <w:p w14:paraId="20D28863" w14:textId="3248C654" w:rsidR="00F84241" w:rsidRPr="00D039E9" w:rsidRDefault="00AA22FE" w:rsidP="006C4568">
      <w:pPr>
        <w:pStyle w:val="TAMainText"/>
        <w:ind w:firstLine="0"/>
        <w:rPr>
          <w:b/>
          <w:bCs/>
          <w:lang w:val="en-CA" w:eastAsia="ja-JP"/>
        </w:rPr>
      </w:pPr>
      <w:r w:rsidRPr="00D039E9">
        <w:rPr>
          <w:b/>
          <w:bCs/>
          <w:lang w:val="en-CA" w:eastAsia="ja-JP"/>
        </w:rPr>
        <w:t xml:space="preserve">Appendix B </w:t>
      </w:r>
    </w:p>
    <w:p w14:paraId="3B8B224D" w14:textId="77777777" w:rsidR="00561360" w:rsidRPr="00D039E9" w:rsidRDefault="00561360" w:rsidP="00F84241">
      <w:pPr>
        <w:pStyle w:val="TAMainText"/>
        <w:ind w:firstLine="0"/>
        <w:rPr>
          <w:rFonts w:cs="Times"/>
          <w:lang w:val="en-CA"/>
        </w:rPr>
      </w:pPr>
    </w:p>
    <w:p w14:paraId="42B24061" w14:textId="1298CFF3" w:rsidR="00F84241" w:rsidRPr="00D039E9" w:rsidRDefault="00F84241" w:rsidP="00F84241">
      <w:pPr>
        <w:pStyle w:val="TAMainText"/>
        <w:ind w:firstLine="0"/>
        <w:rPr>
          <w:rFonts w:cs="Times"/>
          <w:lang w:val="en-CA"/>
        </w:rPr>
      </w:pPr>
      <w:r w:rsidRPr="00D039E9">
        <w:rPr>
          <w:rFonts w:cs="Times"/>
          <w:lang w:val="en-CA"/>
        </w:rPr>
        <w:t>The outline thermodynamic derivation presented below is necessary only for the sake of connecting the experimental reality (protein molecules are freely moving around in the solution confined within the membrane) and the theoretical necessity (a protein molecule must be fixed in its position to calculate the flavour density in its vicinity).</w:t>
      </w:r>
      <w:r w:rsidR="00F550F3" w:rsidRPr="00D039E9">
        <w:rPr>
          <w:rFonts w:cs="Times"/>
          <w:bCs/>
          <w:lang w:val="en-CA" w:eastAsia="ja-JP"/>
        </w:rPr>
        <w:fldChar w:fldCharType="begin" w:fldLock="1"/>
      </w:r>
      <w:r w:rsidR="00C65F5C" w:rsidRPr="00D039E9">
        <w:rPr>
          <w:rFonts w:cs="Times"/>
          <w:bCs/>
          <w:lang w:val="en-CA" w:eastAsia="ja-JP"/>
        </w:rPr>
        <w:instrText>ADDIN CSL_CITATION { "citationItems" : [ { "id" : "ITEM-1",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"ITEM-1",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"id" : "ITEM-2",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"ITEM-2",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"id" : "ITEM-3",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"ITEM-3", "issue" : "14", "issued" : { "date-parts" : [ [ "2014" ] ] }, "page" : "3922-3930", "title" : "Preferential solvation: Dividing surface vs excess numbers", "type" : "article-journal", "volume" : "118" }, "uris" : [ "http://www.mendeley.com/documents/?uuid=896fec6b-354e-41cd-a8de-55bd371a22f5" ] }, { "id" : "ITEM-4", "itemData" : { "DOI" : "10.1021/jp505869m", "ISBN" : "1520-5207 (Electronic)\\r1520-5207 (Linking)", "ISSN" : "15205207", "PMID" : "25144510", "abstract" : "Drug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 "author" : [ { "dropping-particle" : "", "family" : "Shimizu", "given" : "Seishi", "non-dropping-particle" : "", "parse-names" : false, "suffix" : "" }, { "dropping-particle" : "", "family" : "Matubayasi", "given" : "Nobuyuki", "non-dropping-particle" : "", "parse-names" : false, "suffix" : "" } ], "container-title" : "Journal of Physical Chemistry B", "id" : "ITEM-4", "issue" : "35", "issued" : { "date-parts" : [ [ "2014" ] ] }, "page" : "10515-10524", "title" : "Hydrotropy: Monomer-micelle equilibrium and minimum hydrotrope concentration", "type" : "article-journal", "volume" : "118" }, "uris" : [ "http://www.mendeley.com/documents/?uuid=0cd1508f-d197-4e8d-a474-504cfaeae922" ] }, { "id" : "ITEM-5", "itemData" : { "DOI" : "10.1039/tf9716702516", "ISSN" : "0014-7672", "abstract" : "An alternative derivation of part of the Kirkwood-Buff theory of solutions, which uses essentially classical thermodynamic concepts is presented. This theory relates the thermodynamic properties of a solution to the integrals of the radial distribution functions of the various molecular pairs present. Useful expressions are derived for electrolyte solutions and for solutions of two and three components. Of particular importance are the general expression for the primary medium effect for a neutral electrolyte and the expression for the effect of one component on the solubility of another in a three component system, which shows how the theory can be used as a general basis for discussing hydrotropy and related phenomena.", "author" : [ { "dropping-particle" : "", "family" : "Hall", "given" : "D. G.", "non-dropping-particle" : "", "parse-names" : false, "suffix" : "" } ], "container-title" : "Transactions of the Faraday Society", "id" : "ITEM-5", "issue" : "0", "issued" : { "date-parts" : [ [ "1971" ] ] }, "page" : "2516", "publisher" : "The Royal Society of Chemistry", "title" : "Kirkwood-Buff theory of solutions. An alternative derivation of part of it and some applications", "type" : "article-journal", "volume" : "67" }, "uris" : [ "http://www.mendeley.com/documents/?uuid=f29dc205-be25-31b1-ab4c-c0d01d88246f" ] }, { "id" : "ITEM-6", "itemData" : { "DOI" : "10.1039/CS9942300031", "ISSN" : "0306-0012", "abstract" : "No abstract available", "author" : [ { "dropping-particle" : "", "family" : "Newman", "given" : "Kenneth E.", "non-dropping-particle" : "", "parse-names" : false, "suffix" : "" } ], "container-title" : "Chem. Soc. Rev.", "id" : "ITEM-6", "issue" : "1", "issued" : { "date-parts" : [ [ "1994" ] ] }, "page" : "31-40", "publisher" : "The Royal Society of Chemistry", "title" : "Kirkwood\u2013Buff solution theory: derivation and applications", "type" : "article-journal", "volume" : "23" }, "uris" : [ "http://www.mendeley.com/documents/?uuid=4ba4106e-8081-3548-88ce-5332351b1d98" ] } ], "mendeley" : { "formattedCitation" : "&lt;sup&gt;11,17,18,22,53,55&lt;/sup&gt;", "plainTextFormattedCitation" : "11,17,18,22,53,55", "previouslyFormattedCitation" : "&lt;sup&gt;11,17,18,22,53,55&lt;/sup&gt;" }, "properties" : { "noteIndex" : 0 }, "schema" : "https://github.com/citation-style-language/schema/raw/master/csl-citation.json" }</w:instrText>
      </w:r>
      <w:r w:rsidR="00F550F3" w:rsidRPr="00D039E9">
        <w:rPr>
          <w:rFonts w:cs="Times"/>
          <w:bCs/>
          <w:lang w:val="en-CA" w:eastAsia="ja-JP"/>
        </w:rPr>
        <w:fldChar w:fldCharType="separate"/>
      </w:r>
      <w:r w:rsidR="00BB3004" w:rsidRPr="00D039E9">
        <w:rPr>
          <w:rFonts w:cs="Times"/>
          <w:bCs/>
          <w:noProof/>
          <w:vertAlign w:val="superscript"/>
          <w:lang w:val="en-CA" w:eastAsia="ja-JP"/>
        </w:rPr>
        <w:t>11,17,18,22,53,55</w:t>
      </w:r>
      <w:r w:rsidR="00F550F3" w:rsidRPr="00D039E9">
        <w:rPr>
          <w:rFonts w:cs="Times"/>
          <w:bCs/>
          <w:lang w:val="en-CA" w:eastAsia="ja-JP"/>
        </w:rPr>
        <w:fldChar w:fldCharType="end"/>
      </w:r>
      <w:r w:rsidR="00F550F3" w:rsidRPr="00D039E9">
        <w:rPr>
          <w:rFonts w:cs="Times"/>
          <w:lang w:val="en-CA"/>
        </w:rPr>
        <w:t xml:space="preserve"> </w:t>
      </w:r>
      <w:r w:rsidRPr="00D039E9">
        <w:rPr>
          <w:rFonts w:cs="Times"/>
          <w:lang w:val="en-CA"/>
        </w:rPr>
        <w:t xml:space="preserve">For completeness, there is intentionally some overlap between Appendix A and the discussion below. </w:t>
      </w:r>
    </w:p>
    <w:p w14:paraId="4B5CA88C" w14:textId="77777777" w:rsidR="00F84241" w:rsidRPr="00D039E9" w:rsidRDefault="00F84241" w:rsidP="00F84241">
      <w:pPr>
        <w:pStyle w:val="TAMainText"/>
        <w:ind w:firstLine="0"/>
        <w:rPr>
          <w:rFonts w:cs="Times"/>
          <w:lang w:val="en-CA"/>
        </w:rPr>
      </w:pPr>
    </w:p>
    <w:p w14:paraId="3CBADE7F" w14:textId="6D8ACACA" w:rsidR="00F84241" w:rsidRPr="00D039E9" w:rsidRDefault="00F84241" w:rsidP="00F84241">
      <w:pPr>
        <w:pStyle w:val="TAMainText"/>
        <w:rPr>
          <w:lang w:val="en-CA"/>
        </w:rPr>
      </w:pPr>
      <w:r w:rsidRPr="00D039E9">
        <w:rPr>
          <w:lang w:val="en-CA"/>
        </w:rPr>
        <w:t xml:space="preserve">The Gibbs-Duhem equation for the bulk phase (membrane exterior) </w:t>
      </w:r>
      <w:r w:rsidRPr="00D039E9">
        <w:rPr>
          <w:lang w:val="en-CA" w:eastAsia="ja-JP"/>
        </w:rPr>
        <w:t xml:space="preserve">solution can be expressed in terms of the bulk concentrations </w:t>
      </w:r>
      <m:oMath>
        <m:sSub>
          <m:sSubPr>
            <m:ctrlPr>
              <w:rPr>
                <w:rFonts w:ascii="Cambria Math" w:hAnsi="Cambria Math"/>
                <w:i/>
                <w:lang w:val="en-CA" w:eastAsia="ja-JP"/>
              </w:rPr>
            </m:ctrlPr>
          </m:sSubPr>
          <m:e>
            <m:r>
              <w:rPr>
                <w:rFonts w:ascii="Cambria Math" w:hAnsi="Cambria Math"/>
                <w:lang w:val="en-CA" w:eastAsia="ja-JP"/>
              </w:rPr>
              <m:t>c</m:t>
            </m:r>
          </m:e>
          <m:sub>
            <m:r>
              <w:rPr>
                <w:rFonts w:ascii="Cambria Math" w:hAnsi="Cambria Math"/>
                <w:lang w:val="en-CA" w:eastAsia="ja-JP"/>
              </w:rPr>
              <m:t>i</m:t>
            </m:r>
          </m:sub>
        </m:sSub>
      </m:oMath>
      <w:r w:rsidRPr="00D039E9">
        <w:rPr>
          <w:lang w:val="en-CA" w:eastAsia="ja-JP"/>
        </w:rPr>
        <w:t xml:space="preserve"> as</w:t>
      </w:r>
      <w:r w:rsidR="00F550F3" w:rsidRPr="00D039E9">
        <w:rPr>
          <w:rFonts w:cs="Times"/>
          <w:bCs/>
          <w:lang w:val="en-CA" w:eastAsia="ja-JP"/>
        </w:rPr>
        <w:fldChar w:fldCharType="begin" w:fldLock="1"/>
      </w:r>
      <w:r w:rsidR="00C65F5C" w:rsidRPr="00D039E9">
        <w:rPr>
          <w:rFonts w:cs="Times"/>
          <w:bCs/>
          <w:lang w:val="en-CA" w:eastAsia="ja-JP"/>
        </w:rPr>
        <w:instrText>ADDIN CSL_CITATION { "citationItems" : [ { "id" : "ITEM-1",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"ITEM-1",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"id" : "ITEM-2",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"ITEM-2",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"id" : "ITEM-3",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"ITEM-3", "issue" : "14", "issued" : { "date-parts" : [ [ "2014" ] ] }, "page" : "3922-3930", "title" : "Preferential solvation: Dividing surface vs excess numbers", "type" : "article-journal", "volume" : "118" }, "uris" : [ "http://www.mendeley.com/documents/?uuid=896fec6b-354e-41cd-a8de-55bd371a22f5" ] }, { "id" : "ITEM-4", "itemData" : { "DOI" : "10.1021/jp505869m", "ISBN" : "1520-5207 (Electronic)\\r1520-5207 (Linking)", "ISSN" : "15205207", "PMID" : "25144510", "abstract" : "Drug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 "author" : [ { "dropping-particle" : "", "family" : "Shimizu", "given" : "Seishi", "non-dropping-particle" : "", "parse-names" : false, "suffix" : "" }, { "dropping-particle" : "", "family" : "Matubayasi", "given" : "Nobuyuki", "non-dropping-particle" : "", "parse-names" : false, "suffix" : "" } ], "container-title" : "Journal of Physical Chemistry B", "id" : "ITEM-4", "issue" : "35", "issued" : { "date-parts" : [ [ "2014" ] ] }, "page" : "10515-10524", "title" : "Hydrotropy: Monomer-micelle equilibrium and minimum hydrotrope concentration", "type" : "article-journal", "volume" : "118" }, "uris" : [ "http://www.mendeley.com/documents/?uuid=0cd1508f-d197-4e8d-a474-504cfaeae922" ] }, { "id" : "ITEM-5", "itemData" : { "DOI" : "10.1039/tf9716702516", "ISSN" : "0014-7672", "abstract" : "An alternative derivation of part of the Kirkwood-Buff theory of solutions, which uses essentially classical thermodynamic concepts is presented. This theory relates the thermodynamic properties of a solution to the integrals of the radial distribution functions of the various molecular pairs present. Useful expressions are derived for electrolyte solutions and for solutions of two and three components. Of particular importance are the general expression for the primary medium effect for a neutral electrolyte and the expression for the effect of one component on the solubility of another in a three component system, which shows how the theory can be used as a general basis for discussing hydrotropy and related phenomena.", "author" : [ { "dropping-particle" : "", "family" : "Hall", "given" : "D. G.", "non-dropping-particle" : "", "parse-names" : false, "suffix" : "" } ], "container-title" : "Transactions of the Faraday Society", "id" : "ITEM-5", "issue" : "0", "issued" : { "date-parts" : [ [ "1971" ] ] }, "page" : "2516", "publisher" : "The Royal Society of Chemistry", "title" : "Kirkwood-Buff theory of solutions. An alternative derivation of part of it and some applications", "type" : "article-journal", "volume" : "67" }, "uris" : [ "http://www.mendeley.com/documents/?uuid=f29dc205-be25-31b1-ab4c-c0d01d88246f" ] }, { "id" : "ITEM-6", "itemData" : { "DOI" : "10.1039/CS9942300031", "ISSN" : "0306-0012", "abstract" : "No abstract available", "author" : [ { "dropping-particle" : "", "family" : "Newman", "given" : "Kenneth E.", "non-dropping-particle" : "", "parse-names" : false, "suffix" : "" } ], "container-title" : "Chem. Soc. Rev.", "id" : "ITEM-6", "issue" : "1", "issued" : { "date-parts" : [ [ "1994" ] ] }, "page" : "31-40", "publisher" : "The Royal Society of Chemistry", "title" : "Kirkwood\u2013Buff solution theory: derivation and applications", "type" : "article-journal", "volume" : "23" }, "uris" : [ "http://www.mendeley.com/documents/?uuid=4ba4106e-8081-3548-88ce-5332351b1d98" ] } ], "mendeley" : { "formattedCitation" : "&lt;sup&gt;11,17,18,22,53,55&lt;/sup&gt;", "plainTextFormattedCitation" : "11,17,18,22,53,55", "previouslyFormattedCitation" : "&lt;sup&gt;11,17,18,22,53,55&lt;/sup&gt;" }, "properties" : { "noteIndex" : 0 }, "schema" : "https://github.com/citation-style-language/schema/raw/master/csl-citation.json" }</w:instrText>
      </w:r>
      <w:r w:rsidR="00F550F3" w:rsidRPr="00D039E9">
        <w:rPr>
          <w:rFonts w:cs="Times"/>
          <w:bCs/>
          <w:lang w:val="en-CA" w:eastAsia="ja-JP"/>
        </w:rPr>
        <w:fldChar w:fldCharType="separate"/>
      </w:r>
      <w:r w:rsidR="00BB3004" w:rsidRPr="00D039E9">
        <w:rPr>
          <w:rFonts w:cs="Times"/>
          <w:bCs/>
          <w:noProof/>
          <w:vertAlign w:val="superscript"/>
          <w:lang w:val="en-CA" w:eastAsia="ja-JP"/>
        </w:rPr>
        <w:t>11,17,18,22,53,55</w:t>
      </w:r>
      <w:r w:rsidR="00F550F3" w:rsidRPr="00D039E9">
        <w:rPr>
          <w:rFonts w:cs="Times"/>
          <w:bCs/>
          <w:lang w:val="en-CA" w:eastAsia="ja-JP"/>
        </w:rPr>
        <w:fldChar w:fldCharType="end"/>
      </w:r>
    </w:p>
    <w:p w14:paraId="67F68D98" w14:textId="57257953" w:rsidR="00F84241" w:rsidRPr="00D039E9" w:rsidRDefault="000E5B3F" w:rsidP="00F84241">
      <w:pPr>
        <w:pStyle w:val="TAMainText"/>
        <w:ind w:firstLine="0"/>
        <w:rPr>
          <w:rFonts w:cs="Times"/>
          <w:bCs/>
          <w:lang w:val="en-CA" w:eastAsia="ja-JP"/>
        </w:rPr>
      </w:pPr>
      <m:oMath>
        <m:sSub>
          <m:sSubPr>
            <m:ctrlPr>
              <w:rPr>
                <w:rFonts w:ascii="Cambria Math" w:hAnsi="Cambria Math" w:cs="Times"/>
                <w:bCs/>
                <w:lang w:val="en-CA" w:eastAsia="ja-JP"/>
              </w:rPr>
            </m:ctrlPr>
          </m:sSubPr>
          <m:e>
            <m:r>
              <w:rPr>
                <w:rFonts w:ascii="Cambria Math" w:hAnsi="Cambria Math" w:cs="Times"/>
                <w:lang w:val="en-CA" w:eastAsia="ja-JP"/>
              </w:rPr>
              <m:t>c</m:t>
            </m:r>
          </m:e>
          <m:sub>
            <m:r>
              <w:rPr>
                <w:rFonts w:ascii="Cambria Math" w:hAnsi="Cambria Math" w:cs="Times"/>
                <w:lang w:val="en-CA" w:eastAsia="ja-JP"/>
              </w:rPr>
              <m:t>W</m:t>
            </m:r>
          </m:sub>
        </m:sSub>
        <m:r>
          <w:rPr>
            <w:rFonts w:ascii="Cambria Math" w:hAnsi="Cambria Math" w:cs="Times"/>
            <w:lang w:val="en-CA" w:eastAsia="ja-JP"/>
          </w:rPr>
          <m:t>d</m:t>
        </m:r>
        <m:sSub>
          <m:sSubPr>
            <m:ctrlPr>
              <w:rPr>
                <w:rFonts w:ascii="Cambria Math" w:hAnsi="Cambria Math" w:cs="Times"/>
                <w:bCs/>
                <w:lang w:val="en-CA" w:eastAsia="ja-JP"/>
              </w:rPr>
            </m:ctrlPr>
          </m:sSubPr>
          <m:e>
            <m:r>
              <w:rPr>
                <w:rFonts w:ascii="Cambria Math" w:hAnsi="Cambria Math" w:cs="Times"/>
                <w:lang w:val="en-CA" w:eastAsia="ja-JP"/>
              </w:rPr>
              <m:t>μ</m:t>
            </m:r>
          </m:e>
          <m:sub>
            <m:r>
              <w:rPr>
                <w:rFonts w:ascii="Cambria Math" w:hAnsi="Cambria Math" w:cs="Times"/>
                <w:lang w:val="en-CA" w:eastAsia="ja-JP"/>
              </w:rPr>
              <m:t>W</m:t>
            </m:r>
          </m:sub>
        </m:sSub>
        <m:r>
          <m:rPr>
            <m:sty m:val="p"/>
          </m:rPr>
          <w:rPr>
            <w:rFonts w:ascii="Cambria Math" w:hAnsi="Cambria Math" w:cs="Times"/>
            <w:lang w:val="en-CA" w:eastAsia="ja-JP"/>
          </w:rPr>
          <m:t>+</m:t>
        </m:r>
        <m:sSub>
          <m:sSubPr>
            <m:ctrlPr>
              <w:rPr>
                <w:rFonts w:ascii="Cambria Math" w:hAnsi="Cambria Math" w:cs="Times"/>
                <w:bCs/>
                <w:lang w:val="en-CA" w:eastAsia="ja-JP"/>
              </w:rPr>
            </m:ctrlPr>
          </m:sSubPr>
          <m:e>
            <m:r>
              <w:rPr>
                <w:rFonts w:ascii="Cambria Math" w:hAnsi="Cambria Math" w:cs="Times"/>
                <w:lang w:val="en-CA" w:eastAsia="ja-JP"/>
              </w:rPr>
              <m:t>c</m:t>
            </m:r>
          </m:e>
          <m:sub>
            <m:r>
              <w:rPr>
                <w:rFonts w:ascii="Cambria Math" w:hAnsi="Cambria Math" w:cs="Times"/>
                <w:lang w:val="en-CA" w:eastAsia="ja-JP"/>
              </w:rPr>
              <m:t>F</m:t>
            </m:r>
          </m:sub>
        </m:sSub>
        <m:r>
          <w:rPr>
            <w:rFonts w:ascii="Cambria Math" w:hAnsi="Cambria Math" w:cs="Times"/>
            <w:lang w:val="en-CA" w:eastAsia="ja-JP"/>
          </w:rPr>
          <m:t>d</m:t>
        </m:r>
        <m:sSub>
          <m:sSubPr>
            <m:ctrlPr>
              <w:rPr>
                <w:rFonts w:ascii="Cambria Math" w:hAnsi="Cambria Math" w:cs="Times"/>
                <w:bCs/>
                <w:lang w:val="en-CA" w:eastAsia="ja-JP"/>
              </w:rPr>
            </m:ctrlPr>
          </m:sSubPr>
          <m:e>
            <m:r>
              <w:rPr>
                <w:rFonts w:ascii="Cambria Math" w:hAnsi="Cambria Math" w:cs="Times"/>
                <w:lang w:val="en-CA" w:eastAsia="ja-JP"/>
              </w:rPr>
              <m:t>μ</m:t>
            </m:r>
          </m:e>
          <m:sub>
            <m:r>
              <w:rPr>
                <w:rFonts w:ascii="Cambria Math" w:hAnsi="Cambria Math" w:cs="Times"/>
                <w:lang w:val="en-CA" w:eastAsia="ja-JP"/>
              </w:rPr>
              <m:t>F</m:t>
            </m:r>
          </m:sub>
        </m:sSub>
        <m:r>
          <m:rPr>
            <m:sty m:val="p"/>
          </m:rPr>
          <w:rPr>
            <w:rFonts w:ascii="Cambria Math" w:hAnsi="Cambria Math" w:cs="Times"/>
            <w:lang w:val="en-CA" w:eastAsia="ja-JP"/>
          </w:rPr>
          <m:t>=</m:t>
        </m:r>
        <m:r>
          <w:rPr>
            <w:rFonts w:ascii="Cambria Math" w:hAnsi="Cambria Math" w:cs="Times"/>
            <w:lang w:val="en-CA" w:eastAsia="ja-JP"/>
          </w:rPr>
          <m:t>dP</m:t>
        </m:r>
      </m:oMath>
      <w:r w:rsidR="00F84241" w:rsidRPr="00D039E9">
        <w:rPr>
          <w:rFonts w:cs="Times"/>
          <w:bCs/>
          <w:lang w:val="en-CA" w:eastAsia="ja-JP"/>
        </w:rPr>
        <w:tab/>
      </w:r>
      <w:r w:rsidR="00F84241" w:rsidRPr="00D039E9">
        <w:rPr>
          <w:rFonts w:cs="Times"/>
          <w:bCs/>
          <w:lang w:val="en-CA" w:eastAsia="ja-JP"/>
        </w:rPr>
        <w:tab/>
      </w:r>
      <w:r w:rsidR="00F84241" w:rsidRPr="00D039E9">
        <w:rPr>
          <w:rFonts w:cs="Times"/>
          <w:bCs/>
          <w:lang w:val="en-CA" w:eastAsia="ja-JP"/>
        </w:rPr>
        <w:tab/>
      </w:r>
      <w:r w:rsidR="00F84241" w:rsidRPr="00D039E9">
        <w:rPr>
          <w:rFonts w:cs="Times"/>
          <w:bCs/>
          <w:lang w:val="en-CA" w:eastAsia="ja-JP"/>
        </w:rPr>
        <w:tab/>
      </w:r>
      <w:r w:rsidR="00F84241" w:rsidRPr="00D039E9">
        <w:rPr>
          <w:rFonts w:cs="Times"/>
          <w:bCs/>
          <w:lang w:val="en-CA" w:eastAsia="ja-JP"/>
        </w:rPr>
        <w:tab/>
      </w:r>
      <w:r w:rsidR="00F84241" w:rsidRPr="00D039E9">
        <w:rPr>
          <w:rFonts w:cs="Times"/>
          <w:bCs/>
          <w:lang w:val="en-CA" w:eastAsia="ja-JP"/>
        </w:rPr>
        <w:tab/>
      </w:r>
      <w:r w:rsidR="00F84241" w:rsidRPr="00D039E9">
        <w:rPr>
          <w:rFonts w:cs="Times"/>
          <w:bCs/>
          <w:lang w:val="en-CA" w:eastAsia="ja-JP"/>
        </w:rPr>
        <w:tab/>
      </w:r>
      <w:r w:rsidR="00F84241" w:rsidRPr="00D039E9">
        <w:rPr>
          <w:rFonts w:cs="Times"/>
          <w:bCs/>
          <w:lang w:val="en-CA" w:eastAsia="ja-JP"/>
        </w:rPr>
        <w:tab/>
      </w:r>
      <w:r w:rsidR="00F84241" w:rsidRPr="00D039E9">
        <w:rPr>
          <w:rFonts w:cs="Times"/>
          <w:bCs/>
          <w:lang w:val="en-CA" w:eastAsia="ja-JP"/>
        </w:rPr>
        <w:tab/>
        <w:t>(B1)</w:t>
      </w:r>
    </w:p>
    <w:p w14:paraId="78A2E9CA" w14:textId="36637097" w:rsidR="00F84241" w:rsidRPr="00D039E9" w:rsidRDefault="00F84241" w:rsidP="00F84241">
      <w:pPr>
        <w:pStyle w:val="TAMainText"/>
        <w:ind w:firstLine="0"/>
        <w:rPr>
          <w:rFonts w:cs="Times"/>
          <w:bCs/>
          <w:lang w:val="en-CA" w:eastAsia="ja-JP"/>
        </w:rPr>
      </w:pPr>
      <w:r w:rsidRPr="00D039E9">
        <w:rPr>
          <w:rFonts w:cs="Times"/>
          <w:bCs/>
          <w:lang w:val="en-CA" w:eastAsia="ja-JP"/>
        </w:rPr>
        <w:t xml:space="preserve">Likewise, the Gibbs-Duhem equation inside the semi-permeable membrane, using the “vicinity” concentration </w:t>
      </w:r>
      <m:oMath>
        <m:sSubSup>
          <m:sSubSupPr>
            <m:ctrlPr>
              <w:rPr>
                <w:rFonts w:ascii="Cambria Math" w:hAnsi="Cambria Math" w:cs="Times"/>
                <w:bCs/>
                <w:i/>
                <w:lang w:val="en-CA" w:eastAsia="ja-JP"/>
              </w:rPr>
            </m:ctrlPr>
          </m:sSubSupPr>
          <m:e>
            <m:r>
              <w:rPr>
                <w:rFonts w:ascii="Cambria Math" w:hAnsi="Cambria Math" w:cs="Times"/>
                <w:lang w:val="en-CA" w:eastAsia="ja-JP"/>
              </w:rPr>
              <m:t>c</m:t>
            </m:r>
          </m:e>
          <m:sub>
            <m:r>
              <w:rPr>
                <w:rFonts w:ascii="Cambria Math" w:hAnsi="Cambria Math" w:cs="Times"/>
                <w:lang w:val="en-CA" w:eastAsia="ja-JP"/>
              </w:rPr>
              <m:t>i</m:t>
            </m:r>
          </m:sub>
          <m:sup>
            <m:r>
              <w:rPr>
                <w:rFonts w:ascii="Cambria Math" w:hAnsi="Cambria Math" w:cs="Times"/>
                <w:lang w:val="en-CA" w:eastAsia="ja-JP"/>
              </w:rPr>
              <m:t>vic</m:t>
            </m:r>
          </m:sup>
        </m:sSubSup>
      </m:oMath>
      <w:r w:rsidRPr="00D039E9">
        <w:rPr>
          <w:rFonts w:cs="Times"/>
          <w:bCs/>
          <w:lang w:val="en-CA" w:eastAsia="ja-JP"/>
        </w:rPr>
        <w:t>, is</w:t>
      </w:r>
      <w:r w:rsidR="00F550F3" w:rsidRPr="00D039E9">
        <w:rPr>
          <w:rFonts w:cs="Times"/>
          <w:bCs/>
          <w:lang w:val="en-CA" w:eastAsia="ja-JP"/>
        </w:rPr>
        <w:fldChar w:fldCharType="begin" w:fldLock="1"/>
      </w:r>
      <w:r w:rsidR="00C65F5C" w:rsidRPr="00D039E9">
        <w:rPr>
          <w:rFonts w:cs="Times"/>
          <w:bCs/>
          <w:lang w:val="en-CA" w:eastAsia="ja-JP"/>
        </w:rPr>
        <w:instrText>ADDIN CSL_CITATION { "citationItems" : [ { "id" : "ITEM-1",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"ITEM-1",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"id" : "ITEM-2",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"ITEM-2",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"id" : "ITEM-3",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"ITEM-3", "issue" : "14", "issued" : { "date-parts" : [ [ "2014" ] ] }, "page" : "3922-3930", "title" : "Preferential solvation: Dividing surface vs excess numbers", "type" : "article-journal", "volume" : "118" }, "uris" : [ "http://www.mendeley.com/documents/?uuid=896fec6b-354e-41cd-a8de-55bd371a22f5" ] }, { "id" : "ITEM-4", "itemData" : { "DOI" : "10.1021/jp505869m", "ISBN" : "1520-5207 (Electronic)\\r1520-5207 (Linking)", "ISSN" : "15205207", "PMID" : "25144510", "abstract" : "Drug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 "author" : [ { "dropping-particle" : "", "family" : "Shimizu", "given" : "Seishi", "non-dropping-particle" : "", "parse-names" : false, "suffix" : "" }, { "dropping-particle" : "", "family" : "Matubayasi", "given" : "Nobuyuki", "non-dropping-particle" : "", "parse-names" : false, "suffix" : "" } ], "container-title" : "Journal of Physical Chemistry B", "id" : "ITEM-4", "issue" : "35", "issued" : { "date-parts" : [ [ "2014" ] ] }, "page" : "10515-10524", "title" : "Hydrotropy: Monomer-micelle equilibrium and minimum hydrotrope concentration", "type" : "article-journal", "volume" : "118" }, "uris" : [ "http://www.mendeley.com/documents/?uuid=0cd1508f-d197-4e8d-a474-504cfaeae922" ] }, { "id" : "ITEM-5", "itemData" : { "DOI" : "10.1039/tf9716702516", "ISSN" : "0014-7672", "abstract" : "An alternative derivation of part of the Kirkwood-Buff theory of solutions, which uses essentially classical thermodynamic concepts is presented. This theory relates the thermodynamic properties of a solution to the integrals of the radial distribution functions of the various molecular pairs present. Useful expressions are derived for electrolyte solutions and for solutions of two and three components. Of particular importance are the general expression for the primary medium effect for a neutral electrolyte and the expression for the effect of one component on the solubility of another in a three component system, which shows how the theory can be used as a general basis for discussing hydrotropy and related phenomena.", "author" : [ { "dropping-particle" : "", "family" : "Hall", "given" : "D. G.", "non-dropping-particle" : "", "parse-names" : false, "suffix" : "" } ], "container-title" : "Transactions of the Faraday Society", "id" : "ITEM-5", "issue" : "0", "issued" : { "date-parts" : [ [ "1971" ] ] }, "page" : "2516", "publisher" : "The Royal Society of Chemistry", "title" : "Kirkwood-Buff theory of solutions. An alternative derivation of part of it and some applications", "type" : "article-journal", "volume" : "67" }, "uris" : [ "http://www.mendeley.com/documents/?uuid=f29dc205-be25-31b1-ab4c-c0d01d88246f" ] }, { "id" : "ITEM-6", "itemData" : { "DOI" : "10.1039/CS9942300031", "ISSN" : "0306-0012", "abstract" : "No abstract available", "author" : [ { "dropping-particle" : "", "family" : "Newman", "given" : "Kenneth E.", "non-dropping-particle" : "", "parse-names" : false, "suffix" : "" } ], "container-title" : "Chem. Soc. Rev.", "id" : "ITEM-6", "issue" : "1", "issued" : { "date-parts" : [ [ "1994" ] ] }, "page" : "31-40", "publisher" : "The Royal Society of Chemistry", "title" : "Kirkwood\u2013Buff solution theory: derivation and applications", "type" : "article-journal", "volume" : "23" }, "uris" : [ "http://www.mendeley.com/documents/?uuid=4ba4106e-8081-3548-88ce-5332351b1d98" ] } ], "mendeley" : { "formattedCitation" : "&lt;sup&gt;11,17,18,22,53,55&lt;/sup&gt;", "plainTextFormattedCitation" : "11,17,18,22,53,55", "previouslyFormattedCitation" : "&lt;sup&gt;11,17,18,22,53,55&lt;/sup&gt;" }, "properties" : { "noteIndex" : 0 }, "schema" : "https://github.com/citation-style-language/schema/raw/master/csl-citation.json" }</w:instrText>
      </w:r>
      <w:r w:rsidR="00F550F3" w:rsidRPr="00D039E9">
        <w:rPr>
          <w:rFonts w:cs="Times"/>
          <w:bCs/>
          <w:lang w:val="en-CA" w:eastAsia="ja-JP"/>
        </w:rPr>
        <w:fldChar w:fldCharType="separate"/>
      </w:r>
      <w:r w:rsidR="00BB3004" w:rsidRPr="00D039E9">
        <w:rPr>
          <w:rFonts w:cs="Times"/>
          <w:bCs/>
          <w:noProof/>
          <w:vertAlign w:val="superscript"/>
          <w:lang w:val="en-CA" w:eastAsia="ja-JP"/>
        </w:rPr>
        <w:t>11,17,18,22,53,55</w:t>
      </w:r>
      <w:r w:rsidR="00F550F3" w:rsidRPr="00D039E9">
        <w:rPr>
          <w:rFonts w:cs="Times"/>
          <w:bCs/>
          <w:lang w:val="en-CA" w:eastAsia="ja-JP"/>
        </w:rPr>
        <w:fldChar w:fldCharType="end"/>
      </w:r>
      <w:r w:rsidRPr="00D039E9">
        <w:rPr>
          <w:rFonts w:cs="Times"/>
          <w:bCs/>
          <w:lang w:val="en-CA" w:eastAsia="ja-JP"/>
        </w:rPr>
        <w:t xml:space="preserve"> </w:t>
      </w:r>
    </w:p>
    <w:p w14:paraId="1CEFE7F7" w14:textId="0FDDB17F" w:rsidR="00F84241" w:rsidRPr="00D039E9" w:rsidRDefault="000E5B3F" w:rsidP="00F84241">
      <w:pPr>
        <w:pStyle w:val="TAMainText"/>
        <w:ind w:firstLine="0"/>
        <w:rPr>
          <w:rFonts w:cs="Times"/>
          <w:bCs/>
          <w:lang w:val="en-CA" w:eastAsia="ja-JP"/>
        </w:rPr>
      </w:pPr>
      <m:oMath>
        <m:sSubSup>
          <m:sSubSupPr>
            <m:ctrlPr>
              <w:rPr>
                <w:rFonts w:ascii="Cambria Math" w:hAnsi="Cambria Math" w:cs="Times"/>
                <w:bCs/>
                <w:lang w:val="en-CA" w:eastAsia="ja-JP"/>
              </w:rPr>
            </m:ctrlPr>
          </m:sSubSupPr>
          <m:e>
            <m:r>
              <w:rPr>
                <w:rFonts w:ascii="Cambria Math" w:hAnsi="Cambria Math" w:cs="Times"/>
                <w:lang w:val="en-CA" w:eastAsia="ja-JP"/>
              </w:rPr>
              <m:t>c</m:t>
            </m:r>
          </m:e>
          <m:sub>
            <m:r>
              <w:rPr>
                <w:rFonts w:ascii="Cambria Math" w:hAnsi="Cambria Math" w:cs="Times"/>
                <w:lang w:val="en-CA" w:eastAsia="ja-JP"/>
              </w:rPr>
              <m:t>W</m:t>
            </m:r>
          </m:sub>
          <m:sup>
            <m:r>
              <w:rPr>
                <w:rFonts w:ascii="Cambria Math" w:hAnsi="Cambria Math" w:cs="Times"/>
                <w:lang w:val="en-CA" w:eastAsia="ja-JP"/>
              </w:rPr>
              <m:t>vic</m:t>
            </m:r>
          </m:sup>
        </m:sSubSup>
        <m:r>
          <w:rPr>
            <w:rFonts w:ascii="Cambria Math" w:hAnsi="Cambria Math" w:cs="Times"/>
            <w:lang w:val="en-CA" w:eastAsia="ja-JP"/>
          </w:rPr>
          <m:t>d</m:t>
        </m:r>
        <m:sSub>
          <m:sSubPr>
            <m:ctrlPr>
              <w:rPr>
                <w:rFonts w:ascii="Cambria Math" w:hAnsi="Cambria Math" w:cs="Times"/>
                <w:bCs/>
                <w:lang w:val="en-CA" w:eastAsia="ja-JP"/>
              </w:rPr>
            </m:ctrlPr>
          </m:sSubPr>
          <m:e>
            <m:r>
              <w:rPr>
                <w:rFonts w:ascii="Cambria Math" w:hAnsi="Cambria Math" w:cs="Times"/>
                <w:lang w:val="en-CA" w:eastAsia="ja-JP"/>
              </w:rPr>
              <m:t>μ</m:t>
            </m:r>
          </m:e>
          <m:sub>
            <m:r>
              <m:rPr>
                <m:sty m:val="p"/>
              </m:rPr>
              <w:rPr>
                <w:rFonts w:ascii="Cambria Math" w:hAnsi="Cambria Math" w:cs="Times"/>
                <w:lang w:val="en-CA" w:eastAsia="ja-JP"/>
              </w:rPr>
              <m:t>W</m:t>
            </m:r>
          </m:sub>
        </m:sSub>
        <m:r>
          <m:rPr>
            <m:sty m:val="p"/>
          </m:rPr>
          <w:rPr>
            <w:rFonts w:ascii="Cambria Math" w:hAnsi="Cambria Math" w:cs="Times"/>
            <w:lang w:val="en-CA" w:eastAsia="ja-JP"/>
          </w:rPr>
          <m:t>+</m:t>
        </m:r>
        <m:sSubSup>
          <m:sSubSupPr>
            <m:ctrlPr>
              <w:rPr>
                <w:rFonts w:ascii="Cambria Math" w:hAnsi="Cambria Math" w:cs="Times"/>
                <w:i/>
                <w:lang w:val="en-CA" w:eastAsia="ja-JP"/>
              </w:rPr>
            </m:ctrlPr>
          </m:sSubSupPr>
          <m:e>
            <m:r>
              <w:rPr>
                <w:rFonts w:ascii="Cambria Math" w:hAnsi="Cambria Math" w:cs="Times"/>
                <w:lang w:val="en-CA" w:eastAsia="ja-JP"/>
              </w:rPr>
              <m:t>c</m:t>
            </m:r>
          </m:e>
          <m:sub>
            <m:r>
              <w:rPr>
                <w:rFonts w:ascii="Cambria Math" w:hAnsi="Cambria Math" w:cs="Times"/>
                <w:lang w:val="en-CA" w:eastAsia="ja-JP"/>
              </w:rPr>
              <m:t>F</m:t>
            </m:r>
            <m:ctrlPr>
              <w:rPr>
                <w:rFonts w:ascii="Cambria Math" w:hAnsi="Cambria Math" w:cs="Times"/>
                <w:lang w:val="en-CA" w:eastAsia="ja-JP"/>
              </w:rPr>
            </m:ctrlPr>
          </m:sub>
          <m:sup>
            <m:r>
              <w:rPr>
                <w:rFonts w:ascii="Cambria Math" w:hAnsi="Cambria Math" w:cs="Times"/>
                <w:lang w:val="en-CA" w:eastAsia="ja-JP"/>
              </w:rPr>
              <m:t>vic</m:t>
            </m:r>
          </m:sup>
        </m:sSubSup>
        <m:r>
          <w:rPr>
            <w:rFonts w:ascii="Cambria Math" w:hAnsi="Cambria Math" w:cs="Times"/>
            <w:lang w:val="en-CA" w:eastAsia="ja-JP"/>
          </w:rPr>
          <m:t>d</m:t>
        </m:r>
        <m:sSub>
          <m:sSubPr>
            <m:ctrlPr>
              <w:rPr>
                <w:rFonts w:ascii="Cambria Math" w:hAnsi="Cambria Math" w:cs="Times"/>
                <w:bCs/>
                <w:lang w:val="en-CA" w:eastAsia="ja-JP"/>
              </w:rPr>
            </m:ctrlPr>
          </m:sSubPr>
          <m:e>
            <m:r>
              <w:rPr>
                <w:rFonts w:ascii="Cambria Math" w:hAnsi="Cambria Math" w:cs="Times"/>
                <w:lang w:val="en-CA" w:eastAsia="ja-JP"/>
              </w:rPr>
              <m:t>μ</m:t>
            </m:r>
          </m:e>
          <m:sub>
            <m:r>
              <m:rPr>
                <m:sty m:val="p"/>
              </m:rPr>
              <w:rPr>
                <w:rFonts w:ascii="Cambria Math" w:hAnsi="Cambria Math" w:cs="Times"/>
                <w:lang w:val="en-CA" w:eastAsia="ja-JP"/>
              </w:rPr>
              <m:t>F</m:t>
            </m:r>
          </m:sub>
        </m:sSub>
        <m:r>
          <m:rPr>
            <m:sty m:val="p"/>
          </m:rPr>
          <w:rPr>
            <w:rFonts w:ascii="Cambria Math" w:hAnsi="Cambria Math" w:cs="Times"/>
            <w:lang w:val="en-CA" w:eastAsia="ja-JP"/>
          </w:rPr>
          <m:t>+</m:t>
        </m:r>
        <m:sSubSup>
          <m:sSubSupPr>
            <m:ctrlPr>
              <w:rPr>
                <w:rFonts w:ascii="Cambria Math" w:hAnsi="Cambria Math" w:cs="Times"/>
                <w:bCs/>
                <w:lang w:val="en-CA" w:eastAsia="ja-JP"/>
              </w:rPr>
            </m:ctrlPr>
          </m:sSubSupPr>
          <m:e>
            <m:r>
              <w:rPr>
                <w:rFonts w:ascii="Cambria Math" w:hAnsi="Cambria Math" w:cs="Times"/>
                <w:lang w:val="en-CA" w:eastAsia="ja-JP"/>
              </w:rPr>
              <m:t>c</m:t>
            </m:r>
          </m:e>
          <m:sub>
            <m:r>
              <w:rPr>
                <w:rFonts w:ascii="Cambria Math" w:hAnsi="Cambria Math" w:cs="Times"/>
                <w:lang w:val="en-CA" w:eastAsia="ja-JP"/>
              </w:rPr>
              <m:t>P</m:t>
            </m:r>
          </m:sub>
          <m:sup>
            <m:r>
              <w:rPr>
                <w:rFonts w:ascii="Cambria Math" w:hAnsi="Cambria Math" w:cs="Times"/>
                <w:lang w:val="en-CA" w:eastAsia="ja-JP"/>
              </w:rPr>
              <m:t>vic</m:t>
            </m:r>
          </m:sup>
        </m:sSubSup>
        <m:r>
          <w:rPr>
            <w:rFonts w:ascii="Cambria Math" w:hAnsi="Cambria Math" w:cs="Times"/>
            <w:lang w:val="en-CA" w:eastAsia="ja-JP"/>
          </w:rPr>
          <m:t>d</m:t>
        </m:r>
        <m:sSub>
          <m:sSubPr>
            <m:ctrlPr>
              <w:rPr>
                <w:rFonts w:ascii="Cambria Math" w:hAnsi="Cambria Math" w:cs="Times"/>
                <w:i/>
                <w:lang w:val="en-CA" w:eastAsia="ja-JP"/>
              </w:rPr>
            </m:ctrlPr>
          </m:sSubPr>
          <m:e>
            <m:r>
              <w:rPr>
                <w:rFonts w:ascii="Cambria Math" w:hAnsi="Cambria Math" w:cs="Times"/>
                <w:lang w:val="en-CA" w:eastAsia="ja-JP"/>
              </w:rPr>
              <m:t>μ</m:t>
            </m:r>
          </m:e>
          <m:sub>
            <m:r>
              <w:rPr>
                <w:rFonts w:ascii="Cambria Math" w:hAnsi="Cambria Math" w:cs="Times"/>
                <w:lang w:val="en-CA" w:eastAsia="ja-JP"/>
              </w:rPr>
              <m:t>P</m:t>
            </m:r>
          </m:sub>
        </m:sSub>
        <m:r>
          <w:rPr>
            <w:rFonts w:ascii="Cambria Math" w:hAnsi="Cambria Math" w:cs="Times"/>
            <w:lang w:val="en-CA" w:eastAsia="ja-JP"/>
          </w:rPr>
          <m:t>-d</m:t>
        </m:r>
        <m:r>
          <m:rPr>
            <m:sty m:val="p"/>
          </m:rPr>
          <w:rPr>
            <w:rFonts w:ascii="Cambria Math" w:hAnsi="Cambria Math" w:cs="Times"/>
            <w:lang w:val="en-CA" w:eastAsia="ja-JP"/>
          </w:rPr>
          <m:t>Π=</m:t>
        </m:r>
        <m:r>
          <w:rPr>
            <w:rFonts w:ascii="Cambria Math" w:hAnsi="Cambria Math" w:cs="Times"/>
            <w:lang w:val="en-CA" w:eastAsia="ja-JP"/>
          </w:rPr>
          <m:t>dP</m:t>
        </m:r>
      </m:oMath>
      <w:r w:rsidR="00F84241" w:rsidRPr="00D039E9">
        <w:rPr>
          <w:rFonts w:cs="Times"/>
          <w:lang w:val="en-CA" w:eastAsia="ja-JP"/>
        </w:rPr>
        <w:tab/>
      </w:r>
      <w:r w:rsidR="00F84241" w:rsidRPr="00D039E9">
        <w:rPr>
          <w:rFonts w:cs="Times"/>
          <w:bCs/>
          <w:lang w:val="en-CA" w:eastAsia="ja-JP"/>
        </w:rPr>
        <w:t xml:space="preserve"> </w:t>
      </w:r>
      <w:r w:rsidR="00F84241" w:rsidRPr="00D039E9">
        <w:rPr>
          <w:rFonts w:cs="Times"/>
          <w:bCs/>
          <w:lang w:val="en-CA" w:eastAsia="ja-JP"/>
        </w:rPr>
        <w:tab/>
      </w:r>
      <w:r w:rsidR="00F84241" w:rsidRPr="00D039E9">
        <w:rPr>
          <w:rFonts w:cs="Times"/>
          <w:bCs/>
          <w:lang w:val="en-CA" w:eastAsia="ja-JP"/>
        </w:rPr>
        <w:tab/>
      </w:r>
      <w:r w:rsidR="00F84241" w:rsidRPr="00D039E9">
        <w:rPr>
          <w:rFonts w:cs="Times"/>
          <w:bCs/>
          <w:lang w:val="en-CA" w:eastAsia="ja-JP"/>
        </w:rPr>
        <w:tab/>
      </w:r>
      <w:r w:rsidR="00F84241" w:rsidRPr="00D039E9">
        <w:rPr>
          <w:rFonts w:cs="Times"/>
          <w:bCs/>
          <w:lang w:val="en-CA" w:eastAsia="ja-JP"/>
        </w:rPr>
        <w:tab/>
      </w:r>
      <w:r w:rsidR="00F84241" w:rsidRPr="00D039E9">
        <w:rPr>
          <w:rFonts w:cs="Times"/>
          <w:bCs/>
          <w:lang w:val="en-CA" w:eastAsia="ja-JP"/>
        </w:rPr>
        <w:tab/>
      </w:r>
      <w:r w:rsidR="00F84241" w:rsidRPr="00D039E9">
        <w:rPr>
          <w:rFonts w:cs="Times"/>
          <w:bCs/>
          <w:lang w:val="en-CA" w:eastAsia="ja-JP"/>
        </w:rPr>
        <w:tab/>
        <w:t>(B2)</w:t>
      </w:r>
    </w:p>
    <w:p w14:paraId="3AA2B2B1" w14:textId="3C85C0D9" w:rsidR="00F84241" w:rsidRPr="00D039E9" w:rsidRDefault="00F84241" w:rsidP="00F84241">
      <w:pPr>
        <w:pStyle w:val="TAMainText"/>
        <w:ind w:firstLine="0"/>
        <w:rPr>
          <w:rFonts w:cs="Times"/>
          <w:bCs/>
          <w:lang w:val="en-CA" w:eastAsia="ja-JP"/>
        </w:rPr>
      </w:pPr>
      <w:r w:rsidRPr="00D039E9">
        <w:rPr>
          <w:rFonts w:cs="Times"/>
          <w:bCs/>
          <w:lang w:val="en-CA" w:eastAsia="ja-JP"/>
        </w:rPr>
        <w:t xml:space="preserve">since </w:t>
      </w:r>
      <m:oMath>
        <m:sSub>
          <m:sSubPr>
            <m:ctrlPr>
              <w:rPr>
                <w:rFonts w:ascii="Cambria Math" w:hAnsi="Cambria Math" w:cs="Times"/>
                <w:bCs/>
                <w:i/>
                <w:lang w:val="en-CA" w:eastAsia="ja-JP"/>
              </w:rPr>
            </m:ctrlPr>
          </m:sSubPr>
          <m:e>
            <m:r>
              <w:rPr>
                <w:rFonts w:ascii="Cambria Math" w:hAnsi="Cambria Math" w:cs="Times"/>
                <w:lang w:val="en-CA" w:eastAsia="ja-JP"/>
              </w:rPr>
              <m:t>μ</m:t>
            </m:r>
          </m:e>
          <m:sub>
            <m:r>
              <w:rPr>
                <w:rFonts w:ascii="Cambria Math" w:hAnsi="Cambria Math" w:cs="Times"/>
                <w:lang w:val="en-CA" w:eastAsia="ja-JP"/>
              </w:rPr>
              <m:t>W</m:t>
            </m:r>
          </m:sub>
        </m:sSub>
      </m:oMath>
      <w:r w:rsidRPr="00D039E9">
        <w:rPr>
          <w:rFonts w:cs="Times"/>
          <w:bCs/>
          <w:lang w:val="en-CA" w:eastAsia="ja-JP"/>
        </w:rPr>
        <w:t xml:space="preserve">, </w:t>
      </w:r>
      <m:oMath>
        <m:sSub>
          <m:sSubPr>
            <m:ctrlPr>
              <w:rPr>
                <w:rFonts w:ascii="Cambria Math" w:hAnsi="Cambria Math" w:cs="Times"/>
                <w:bCs/>
                <w:i/>
                <w:lang w:val="en-CA" w:eastAsia="ja-JP"/>
              </w:rPr>
            </m:ctrlPr>
          </m:sSubPr>
          <m:e>
            <m:r>
              <w:rPr>
                <w:rFonts w:ascii="Cambria Math" w:hAnsi="Cambria Math" w:cs="Times"/>
                <w:lang w:val="en-CA" w:eastAsia="ja-JP"/>
              </w:rPr>
              <m:t>μ</m:t>
            </m:r>
          </m:e>
          <m:sub>
            <m:r>
              <w:rPr>
                <w:rFonts w:ascii="Cambria Math" w:hAnsi="Cambria Math" w:cs="Times"/>
                <w:lang w:val="en-CA" w:eastAsia="ja-JP"/>
              </w:rPr>
              <m:t>P</m:t>
            </m:r>
          </m:sub>
        </m:sSub>
      </m:oMath>
      <w:r w:rsidRPr="00D039E9">
        <w:rPr>
          <w:rFonts w:cs="Times"/>
          <w:bCs/>
          <w:lang w:val="en-CA" w:eastAsia="ja-JP"/>
        </w:rPr>
        <w:t xml:space="preserve"> and </w:t>
      </w:r>
      <m:oMath>
        <m:r>
          <w:rPr>
            <w:rFonts w:ascii="Cambria Math" w:hAnsi="Cambria Math" w:cs="Times"/>
            <w:lang w:val="en-CA" w:eastAsia="ja-JP"/>
          </w:rPr>
          <m:t>P</m:t>
        </m:r>
      </m:oMath>
      <w:r w:rsidRPr="00D039E9">
        <w:rPr>
          <w:rFonts w:cs="Times"/>
          <w:bCs/>
          <w:lang w:val="en-CA" w:eastAsia="ja-JP"/>
        </w:rPr>
        <w:t xml:space="preserve"> are the same in the local and bulk systems due to phase equilibrium condition, and the osmotic pressure arises from the confi</w:t>
      </w:r>
      <w:r w:rsidR="00F550F3" w:rsidRPr="00D039E9">
        <w:rPr>
          <w:rFonts w:cs="Times"/>
          <w:bCs/>
          <w:lang w:val="en-CA" w:eastAsia="ja-JP"/>
        </w:rPr>
        <w:t>nement of the protein molecules.</w:t>
      </w:r>
      <w:r w:rsidR="00F550F3" w:rsidRPr="00D039E9">
        <w:rPr>
          <w:rFonts w:cs="Times"/>
          <w:bCs/>
          <w:lang w:val="en-CA" w:eastAsia="ja-JP"/>
        </w:rPr>
        <w:fldChar w:fldCharType="begin" w:fldLock="1"/>
      </w:r>
      <w:r w:rsidR="00C65F5C" w:rsidRPr="00D039E9">
        <w:rPr>
          <w:rFonts w:cs="Times"/>
          <w:bCs/>
          <w:lang w:val="en-CA" w:eastAsia="ja-JP"/>
        </w:rPr>
        <w:instrText>ADDIN CSL_CITATION { "citationItems" : [ { "id" : "ITEM-1",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"ITEM-1",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"id" : "ITEM-2",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"ITEM-2",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"id" : "ITEM-3",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"ITEM-3", "issue" : "14", "issued" : { "date-parts" : [ [ "2014" ] ] }, "page" : "3922-3930", "title" : "Preferential solvation: Dividing surface vs excess numbers", "type" : "article-journal", "volume" : "118" }, "uris" : [ "http://www.mendeley.com/documents/?uuid=896fec6b-354e-41cd-a8de-55bd371a22f5" ] }, { "id" : "ITEM-4", "itemData" : { "DOI" : "10.1021/jp505869m", "ISBN" : "1520-5207 (Electronic)\\r1520-5207 (Linking)", "ISSN" : "15205207", "PMID" : "25144510", "abstract" : "Drug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 "author" : [ { "dropping-particle" : "", "family" : "Shimizu", "given" : "Seishi", "non-dropping-particle" : "", "parse-names" : false, "suffix" : "" }, { "dropping-particle" : "", "family" : "Matubayasi", "given" : "Nobuyuki", "non-dropping-particle" : "", "parse-names" : false, "suffix" : "" } ], "container-title" : "Journal of Physical Chemistry B", "id" : "ITEM-4", "issue" : "35", "issued" : { "date-parts" : [ [ "2014" ] ] }, "page" : "10515-10524", "title" : "Hydrotropy: Monomer-micelle equilibrium and minimum hydrotrope concentration", "type" : "article-journal", "volume" : "118" }, "uris" : [ "http://www.mendeley.com/documents/?uuid=0cd1508f-d197-4e8d-a474-504cfaeae922" ] }, { "id" : "ITEM-5", "itemData" : { "DOI" : "10.1039/tf9716702516", "ISSN" : "0014-7672", "abstract" : "An alternative derivation of part of the Kirkwood-Buff theory of solutions, which uses essentially classical thermodynamic concepts is presented. This theory relates the thermodynamic properties of a solution to the integrals of the radial distribution functions of the various molecular pairs present. Useful expressions are derived for electrolyte solutions and for solutions of two and three components. Of particular importance are the general expression for the primary medium effect for a neutral electrolyte and the expression for the effect of one component on the solubility of another in a three component system, which shows how the theory can be used as a general basis for discussing hydrotropy and related phenomena.", "author" : [ { "dropping-particle" : "", "family" : "Hall", "given" : "D. G.", "non-dropping-particle" : "", "parse-names" : false, "suffix" : "" } ], "container-title" : "Transactions of the Faraday Society", "id" : "ITEM-5", "issue" : "0", "issued" : { "date-parts" : [ [ "1971" ] ] }, "page" : "2516", "publisher" : "The Royal Society of Chemistry", "title" : "Kirkwood-Buff theory of solutions. An alternative derivation of part of it and some applications", "type" : "article-journal", "volume" : "67" }, "uris" : [ "http://www.mendeley.com/documents/?uuid=f29dc205-be25-31b1-ab4c-c0d01d88246f" ] }, { "id" : "ITEM-6", "itemData" : { "DOI" : "10.1039/CS9942300031", "ISSN" : "0306-0012", "abstract" : "No abstract available", "author" : [ { "dropping-particle" : "", "family" : "Newman", "given" : "Kenneth E.", "non-dropping-particle" : "", "parse-names" : false, "suffix" : "" } ], "container-title" : "Chem. Soc. Rev.", "id" : "ITEM-6", "issue" : "1", "issued" : { "date-parts" : [ [ "1994" ] ] }, "page" : "31-40", "publisher" : "The Royal Society of Chemistry", "title" : "Kirkwood\u2013Buff solution theory: derivation and applications", "type" : "article-journal", "volume" : "23" }, "uris" : [ "http://www.mendeley.com/documents/?uuid=4ba4106e-8081-3548-88ce-5332351b1d98" ] } ], "mendeley" : { "formattedCitation" : "&lt;sup&gt;11,17,18,22,53,55&lt;/sup&gt;", "plainTextFormattedCitation" : "11,17,18,22,53,55", "previouslyFormattedCitation" : "&lt;sup&gt;11,17,18,22,53,55&lt;/sup&gt;" }, "properties" : { "noteIndex" : 0 }, "schema" : "https://github.com/citation-style-language/schema/raw/master/csl-citation.json" }</w:instrText>
      </w:r>
      <w:r w:rsidR="00F550F3" w:rsidRPr="00D039E9">
        <w:rPr>
          <w:rFonts w:cs="Times"/>
          <w:bCs/>
          <w:lang w:val="en-CA" w:eastAsia="ja-JP"/>
        </w:rPr>
        <w:fldChar w:fldCharType="separate"/>
      </w:r>
      <w:r w:rsidR="00BB3004" w:rsidRPr="00D039E9">
        <w:rPr>
          <w:rFonts w:cs="Times"/>
          <w:bCs/>
          <w:noProof/>
          <w:vertAlign w:val="superscript"/>
          <w:lang w:val="en-CA" w:eastAsia="ja-JP"/>
        </w:rPr>
        <w:t>11,17,18,22,53,55</w:t>
      </w:r>
      <w:r w:rsidR="00F550F3" w:rsidRPr="00D039E9">
        <w:rPr>
          <w:rFonts w:cs="Times"/>
          <w:bCs/>
          <w:lang w:val="en-CA" w:eastAsia="ja-JP"/>
        </w:rPr>
        <w:fldChar w:fldCharType="end"/>
      </w:r>
      <w:r w:rsidR="00F550F3" w:rsidRPr="00D039E9">
        <w:rPr>
          <w:rFonts w:cs="Times"/>
          <w:bCs/>
          <w:lang w:val="en-CA" w:eastAsia="ja-JP"/>
        </w:rPr>
        <w:t xml:space="preserve"> </w:t>
      </w:r>
      <w:r w:rsidRPr="00D039E9">
        <w:rPr>
          <w:rFonts w:cs="Times"/>
          <w:bCs/>
          <w:lang w:val="en-CA" w:eastAsia="ja-JP"/>
        </w:rPr>
        <w:t xml:space="preserve">Now the transition from the free to fixed protein molecules, requested by the KB theory, can be made by the use of van’t Hoff’s law, </w:t>
      </w:r>
      <m:oMath>
        <m:r>
          <m:rPr>
            <m:sty m:val="p"/>
          </m:rPr>
          <w:rPr>
            <w:rFonts w:ascii="Cambria Math" w:hAnsi="Cambria Math" w:cs="Times"/>
            <w:lang w:val="en-CA" w:eastAsia="ja-JP"/>
          </w:rPr>
          <m:t>Π</m:t>
        </m:r>
        <m:r>
          <w:rPr>
            <w:rFonts w:ascii="Cambria Math" w:hAnsi="Cambria Math" w:cs="Times"/>
            <w:lang w:val="en-CA" w:eastAsia="ja-JP"/>
          </w:rPr>
          <m:t xml:space="preserve">=RT </m:t>
        </m:r>
        <m:sSub>
          <m:sSubPr>
            <m:ctrlPr>
              <w:rPr>
                <w:rFonts w:ascii="Cambria Math" w:hAnsi="Cambria Math" w:cs="Times"/>
                <w:bCs/>
                <w:i/>
                <w:lang w:val="en-CA" w:eastAsia="ja-JP"/>
              </w:rPr>
            </m:ctrlPr>
          </m:sSubPr>
          <m:e>
            <m:r>
              <w:rPr>
                <w:rFonts w:ascii="Cambria Math" w:hAnsi="Cambria Math" w:cs="Times"/>
                <w:lang w:val="en-CA" w:eastAsia="ja-JP"/>
              </w:rPr>
              <m:t>c</m:t>
            </m:r>
          </m:e>
          <m:sub>
            <m:r>
              <w:rPr>
                <w:rFonts w:ascii="Cambria Math" w:hAnsi="Cambria Math" w:cs="Times"/>
                <w:lang w:val="en-CA" w:eastAsia="ja-JP"/>
              </w:rPr>
              <m:t>P</m:t>
            </m:r>
          </m:sub>
        </m:sSub>
      </m:oMath>
      <w:r w:rsidRPr="00D039E9">
        <w:rPr>
          <w:rFonts w:cs="Times"/>
          <w:bCs/>
          <w:lang w:val="en-CA" w:eastAsia="ja-JP"/>
        </w:rPr>
        <w:t>,</w:t>
      </w:r>
      <w:r w:rsidR="00F550F3" w:rsidRPr="00D039E9">
        <w:rPr>
          <w:rFonts w:cs="Times"/>
          <w:bCs/>
          <w:lang w:val="en-CA" w:eastAsia="ja-JP"/>
        </w:rPr>
        <w:fldChar w:fldCharType="begin" w:fldLock="1"/>
      </w:r>
      <w:r w:rsidR="00C65F5C" w:rsidRPr="00D039E9">
        <w:rPr>
          <w:rFonts w:cs="Times"/>
          <w:bCs/>
          <w:lang w:val="en-CA" w:eastAsia="ja-JP"/>
        </w:rPr>
        <w:instrText>ADDIN CSL_CITATION { "citationItems" : [ { "id" : "ITEM-1",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"ITEM-1",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"id" : "ITEM-2",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"ITEM-2",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"id" : "ITEM-3",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"ITEM-3", "issue" : "14", "issued" : { "date-parts" : [ [ "2014" ] ] }, "page" : "3922-3930", "title" : "Preferential solvation: Dividing surface vs excess numbers", "type" : "article-journal", "volume" : "118" }, "uris" : [ "http://www.mendeley.com/documents/?uuid=896fec6b-354e-41cd-a8de-55bd371a22f5" ] }, { "id" : "ITEM-4", "itemData" : { "DOI" : "10.1021/jp505869m", "ISBN" : "1520-5207 (Electronic)\\r1520-5207 (Linking)", "ISSN" : "15205207", "PMID" : "25144510", "abstract" : "Drug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 "author" : [ { "dropping-particle" : "", "family" : "Shimizu", "given" : "Seishi", "non-dropping-particle" : "", "parse-names" : false, "suffix" : "" }, { "dropping-particle" : "", "family" : "Matubayasi", "given" : "Nobuyuki", "non-dropping-particle" : "", "parse-names" : false, "suffix" : "" } ], "container-title" : "Journal of Physical Chemistry B", "id" : "ITEM-4", "issue" : "35", "issued" : { "date-parts" : [ [ "2014" ] ] }, "page" : "10515-10524", "title" : "Hydrotropy: Monomer-micelle equilibrium and minimum hydrotrope concentration", "type" : "article-journal", "volume" : "118" }, "uris" : [ "http://www.mendeley.com/documents/?uuid=0cd1508f-d197-4e8d-a474-504cfaeae922" ] }, { "id" : "ITEM-5", "itemData" : { "DOI" : "10.1039/tf9716702516", "ISSN" : "0014-7672", "abstract" : "An alternative derivation of part of the Kirkwood-Buff theory of solutions, which uses essentially classical thermodynamic concepts is presented. This theory relates the thermodynamic properties of a solution to the integrals of the radial distribution functions of the various molecular pairs present. Useful expressions are derived for electrolyte solutions and for solutions of two and three components. Of particular importance are the general expression for the primary medium effect for a neutral electrolyte and the expression for the effect of one component on the solubility of another in a three component system, which shows how the theory can be used as a general basis for discussing hydrotropy and related phenomena.", "author" : [ { "dropping-particle" : "", "family" : "Hall", "given" : "D. G.", "non-dropping-particle" : "", "parse-names" : false, "suffix" : "" } ], "container-title" : "Transactions of the Faraday Society", "id" : "ITEM-5", "issue" : "0", "issued" : { "date-parts" : [ [ "1971" ] ] }, "page" : "2516", "publisher" : "The Royal Society of Chemistry", "title" : "Kirkwood-Buff theory of solutions. An alternative derivation of part of it and some applications", "type" : "article-journal", "volume" : "67" }, "uris" : [ "http://www.mendeley.com/documents/?uuid=f29dc205-be25-31b1-ab4c-c0d01d88246f" ] }, { "id" : "ITEM-6", "itemData" : { "DOI" : "10.1039/CS9942300031", "ISSN" : "0306-0012", "abstract" : "No abstract available", "author" : [ { "dropping-particle" : "", "family" : "Newman", "given" : "Kenneth E.", "non-dropping-particle" : "", "parse-names" : false, "suffix" : "" } ], "container-title" : "Chem. Soc. Rev.", "id" : "ITEM-6", "issue" : "1", "issued" : { "date-parts" : [ [ "1994" ] ] }, "page" : "31-40", "publisher" : "The Royal Society of Chemistry", "title" : "Kirkwood\u2013Buff solution theory: derivation and applications", "type" : "article-journal", "volume" : "23" }, "uris" : [ "http://www.mendeley.com/documents/?uuid=4ba4106e-8081-3548-88ce-5332351b1d98" ] } ], "mendeley" : { "formattedCitation" : "&lt;sup&gt;11,17,18,22,53,55&lt;/sup&gt;", "plainTextFormattedCitation" : "11,17,18,22,53,55", "previouslyFormattedCitation" : "&lt;sup&gt;11,17,18,22,53,55&lt;/sup&gt;" }, "properties" : { "noteIndex" : 0 }, "schema" : "https://github.com/citation-style-language/schema/raw/master/csl-citation.json" }</w:instrText>
      </w:r>
      <w:r w:rsidR="00F550F3" w:rsidRPr="00D039E9">
        <w:rPr>
          <w:rFonts w:cs="Times"/>
          <w:bCs/>
          <w:lang w:val="en-CA" w:eastAsia="ja-JP"/>
        </w:rPr>
        <w:fldChar w:fldCharType="separate"/>
      </w:r>
      <w:r w:rsidR="00BB3004" w:rsidRPr="00D039E9">
        <w:rPr>
          <w:rFonts w:cs="Times"/>
          <w:bCs/>
          <w:noProof/>
          <w:vertAlign w:val="superscript"/>
          <w:lang w:val="en-CA" w:eastAsia="ja-JP"/>
        </w:rPr>
        <w:t>11,17,18,22,53,55</w:t>
      </w:r>
      <w:r w:rsidR="00F550F3" w:rsidRPr="00D039E9">
        <w:rPr>
          <w:rFonts w:cs="Times"/>
          <w:bCs/>
          <w:lang w:val="en-CA" w:eastAsia="ja-JP"/>
        </w:rPr>
        <w:fldChar w:fldCharType="end"/>
      </w:r>
      <w:r w:rsidRPr="00D039E9">
        <w:rPr>
          <w:rFonts w:cs="Times"/>
          <w:bCs/>
          <w:lang w:val="en-CA" w:eastAsia="ja-JP"/>
        </w:rPr>
        <w:t xml:space="preserve"> through which Eq. (</w:t>
      </w:r>
      <w:r w:rsidR="00102BF6" w:rsidRPr="00D039E9">
        <w:rPr>
          <w:rFonts w:cs="Times"/>
          <w:bCs/>
          <w:lang w:val="en-CA" w:eastAsia="ja-JP"/>
        </w:rPr>
        <w:t>B2</w:t>
      </w:r>
      <w:r w:rsidRPr="00D039E9">
        <w:rPr>
          <w:rFonts w:cs="Times"/>
          <w:bCs/>
          <w:lang w:val="en-CA" w:eastAsia="ja-JP"/>
        </w:rPr>
        <w:t>) can be rewritten in terms of the fixed protein</w:t>
      </w:r>
    </w:p>
    <w:p w14:paraId="0EAE007A" w14:textId="7FD13728" w:rsidR="00F84241" w:rsidRPr="00D039E9" w:rsidRDefault="00F84241" w:rsidP="00F84241">
      <w:pPr>
        <w:pStyle w:val="TAMainText"/>
        <w:ind w:firstLine="0"/>
        <w:rPr>
          <w:rFonts w:cs="Times"/>
          <w:bCs/>
          <w:lang w:val="en-CA" w:eastAsia="ja-JP"/>
        </w:rPr>
      </w:pPr>
      <w:r w:rsidRPr="00D039E9">
        <w:rPr>
          <w:rFonts w:cs="Times"/>
          <w:bCs/>
          <w:lang w:val="en-CA" w:eastAsia="ja-JP"/>
        </w:rPr>
        <w:t xml:space="preserve"> </w:t>
      </w:r>
      <m:oMath>
        <m:sSubSup>
          <m:sSubSupPr>
            <m:ctrlPr>
              <w:rPr>
                <w:rFonts w:ascii="Cambria Math" w:hAnsi="Cambria Math" w:cs="Times"/>
                <w:bCs/>
                <w:lang w:val="en-CA" w:eastAsia="ja-JP"/>
              </w:rPr>
            </m:ctrlPr>
          </m:sSubSupPr>
          <m:e>
            <m:r>
              <w:rPr>
                <w:rFonts w:ascii="Cambria Math" w:hAnsi="Cambria Math" w:cs="Times"/>
                <w:lang w:val="en-CA" w:eastAsia="ja-JP"/>
              </w:rPr>
              <m:t>c</m:t>
            </m:r>
          </m:e>
          <m:sub>
            <m:r>
              <w:rPr>
                <w:rFonts w:ascii="Cambria Math" w:hAnsi="Cambria Math" w:cs="Times"/>
                <w:lang w:val="en-CA" w:eastAsia="ja-JP"/>
              </w:rPr>
              <m:t>W</m:t>
            </m:r>
          </m:sub>
          <m:sup>
            <m:r>
              <w:rPr>
                <w:rFonts w:ascii="Cambria Math" w:hAnsi="Cambria Math" w:cs="Times"/>
                <w:lang w:val="en-CA" w:eastAsia="ja-JP"/>
              </w:rPr>
              <m:t>vic</m:t>
            </m:r>
          </m:sup>
        </m:sSubSup>
        <m:r>
          <w:rPr>
            <w:rFonts w:ascii="Cambria Math" w:hAnsi="Cambria Math" w:cs="Times"/>
            <w:lang w:val="en-CA" w:eastAsia="ja-JP"/>
          </w:rPr>
          <m:t>d</m:t>
        </m:r>
        <m:sSub>
          <m:sSubPr>
            <m:ctrlPr>
              <w:rPr>
                <w:rFonts w:ascii="Cambria Math" w:hAnsi="Cambria Math" w:cs="Times"/>
                <w:bCs/>
                <w:lang w:val="en-CA" w:eastAsia="ja-JP"/>
              </w:rPr>
            </m:ctrlPr>
          </m:sSubPr>
          <m:e>
            <m:r>
              <w:rPr>
                <w:rFonts w:ascii="Cambria Math" w:hAnsi="Cambria Math" w:cs="Times"/>
                <w:lang w:val="en-CA" w:eastAsia="ja-JP"/>
              </w:rPr>
              <m:t>μ</m:t>
            </m:r>
          </m:e>
          <m:sub>
            <m:r>
              <w:rPr>
                <w:rFonts w:ascii="Cambria Math" w:hAnsi="Cambria Math" w:cs="Times"/>
                <w:lang w:val="en-CA" w:eastAsia="ja-JP"/>
              </w:rPr>
              <m:t>W</m:t>
            </m:r>
          </m:sub>
        </m:sSub>
        <m:r>
          <m:rPr>
            <m:sty m:val="p"/>
          </m:rPr>
          <w:rPr>
            <w:rFonts w:ascii="Cambria Math" w:hAnsi="Cambria Math" w:cs="Times"/>
            <w:lang w:val="en-CA" w:eastAsia="ja-JP"/>
          </w:rPr>
          <m:t>+</m:t>
        </m:r>
        <m:sSubSup>
          <m:sSubSupPr>
            <m:ctrlPr>
              <w:rPr>
                <w:rFonts w:ascii="Cambria Math" w:hAnsi="Cambria Math" w:cs="Times"/>
                <w:i/>
                <w:lang w:val="en-CA" w:eastAsia="ja-JP"/>
              </w:rPr>
            </m:ctrlPr>
          </m:sSubSupPr>
          <m:e>
            <m:r>
              <w:rPr>
                <w:rFonts w:ascii="Cambria Math" w:hAnsi="Cambria Math" w:cs="Times"/>
                <w:lang w:val="en-CA" w:eastAsia="ja-JP"/>
              </w:rPr>
              <m:t>c</m:t>
            </m:r>
          </m:e>
          <m:sub>
            <m:r>
              <w:rPr>
                <w:rFonts w:ascii="Cambria Math" w:hAnsi="Cambria Math" w:cs="Times"/>
                <w:lang w:val="en-CA" w:eastAsia="ja-JP"/>
              </w:rPr>
              <m:t>F</m:t>
            </m:r>
            <m:ctrlPr>
              <w:rPr>
                <w:rFonts w:ascii="Cambria Math" w:hAnsi="Cambria Math" w:cs="Times"/>
                <w:lang w:val="en-CA" w:eastAsia="ja-JP"/>
              </w:rPr>
            </m:ctrlPr>
          </m:sub>
          <m:sup>
            <m:r>
              <w:rPr>
                <w:rFonts w:ascii="Cambria Math" w:hAnsi="Cambria Math" w:cs="Times"/>
                <w:lang w:val="en-CA" w:eastAsia="ja-JP"/>
              </w:rPr>
              <m:t>vic</m:t>
            </m:r>
          </m:sup>
        </m:sSubSup>
        <m:r>
          <w:rPr>
            <w:rFonts w:ascii="Cambria Math" w:hAnsi="Cambria Math" w:cs="Times"/>
            <w:lang w:val="en-CA" w:eastAsia="ja-JP"/>
          </w:rPr>
          <m:t>d</m:t>
        </m:r>
        <m:sSub>
          <m:sSubPr>
            <m:ctrlPr>
              <w:rPr>
                <w:rFonts w:ascii="Cambria Math" w:hAnsi="Cambria Math" w:cs="Times"/>
                <w:bCs/>
                <w:lang w:val="en-CA" w:eastAsia="ja-JP"/>
              </w:rPr>
            </m:ctrlPr>
          </m:sSubPr>
          <m:e>
            <m:r>
              <w:rPr>
                <w:rFonts w:ascii="Cambria Math" w:hAnsi="Cambria Math" w:cs="Times"/>
                <w:lang w:val="en-CA" w:eastAsia="ja-JP"/>
              </w:rPr>
              <m:t>μ</m:t>
            </m:r>
          </m:e>
          <m:sub>
            <m:r>
              <m:rPr>
                <m:sty m:val="p"/>
              </m:rPr>
              <w:rPr>
                <w:rFonts w:ascii="Cambria Math" w:hAnsi="Cambria Math" w:cs="Times"/>
                <w:lang w:val="en-CA" w:eastAsia="ja-JP"/>
              </w:rPr>
              <m:t>F</m:t>
            </m:r>
          </m:sub>
        </m:sSub>
        <m:r>
          <m:rPr>
            <m:sty m:val="p"/>
          </m:rPr>
          <w:rPr>
            <w:rFonts w:ascii="Cambria Math" w:hAnsi="Cambria Math" w:cs="Times"/>
            <w:lang w:val="en-CA" w:eastAsia="ja-JP"/>
          </w:rPr>
          <m:t>+</m:t>
        </m:r>
        <m:sSubSup>
          <m:sSubSupPr>
            <m:ctrlPr>
              <w:rPr>
                <w:rFonts w:ascii="Cambria Math" w:hAnsi="Cambria Math" w:cs="Times"/>
                <w:bCs/>
                <w:lang w:val="en-CA" w:eastAsia="ja-JP"/>
              </w:rPr>
            </m:ctrlPr>
          </m:sSubSupPr>
          <m:e>
            <m:r>
              <w:rPr>
                <w:rFonts w:ascii="Cambria Math" w:hAnsi="Cambria Math" w:cs="Times"/>
                <w:lang w:val="en-CA" w:eastAsia="ja-JP"/>
              </w:rPr>
              <m:t>c</m:t>
            </m:r>
          </m:e>
          <m:sub>
            <m:r>
              <w:rPr>
                <w:rFonts w:ascii="Cambria Math" w:hAnsi="Cambria Math" w:cs="Times"/>
                <w:lang w:val="en-CA" w:eastAsia="ja-JP"/>
              </w:rPr>
              <m:t>P</m:t>
            </m:r>
          </m:sub>
          <m:sup>
            <m:r>
              <w:rPr>
                <w:rFonts w:ascii="Cambria Math" w:hAnsi="Cambria Math" w:cs="Times"/>
                <w:lang w:val="en-CA" w:eastAsia="ja-JP"/>
              </w:rPr>
              <m:t>vic</m:t>
            </m:r>
          </m:sup>
        </m:sSubSup>
        <m:r>
          <w:rPr>
            <w:rFonts w:ascii="Cambria Math" w:hAnsi="Cambria Math" w:cs="Times"/>
            <w:lang w:val="en-CA" w:eastAsia="ja-JP"/>
          </w:rPr>
          <m:t>d</m:t>
        </m:r>
        <m:sSubSup>
          <m:sSubSupPr>
            <m:ctrlPr>
              <w:rPr>
                <w:rFonts w:ascii="Cambria Math" w:hAnsi="Cambria Math" w:cs="Times"/>
                <w:i/>
                <w:lang w:val="en-CA" w:eastAsia="ja-JP"/>
              </w:rPr>
            </m:ctrlPr>
          </m:sSubSupPr>
          <m:e>
            <m:r>
              <w:rPr>
                <w:rFonts w:ascii="Cambria Math" w:hAnsi="Cambria Math" w:cs="Times"/>
                <w:lang w:val="en-CA" w:eastAsia="ja-JP"/>
              </w:rPr>
              <m:t>μ</m:t>
            </m:r>
          </m:e>
          <m:sub>
            <m:r>
              <w:rPr>
                <w:rFonts w:ascii="Cambria Math" w:hAnsi="Cambria Math" w:cs="Times"/>
                <w:lang w:val="en-CA" w:eastAsia="ja-JP"/>
              </w:rPr>
              <m:t>P</m:t>
            </m:r>
          </m:sub>
          <m:sup>
            <m:r>
              <w:rPr>
                <w:rFonts w:ascii="Cambria Math" w:hAnsi="Cambria Math" w:cs="Times"/>
                <w:lang w:val="en-CA" w:eastAsia="ja-JP"/>
              </w:rPr>
              <m:t>*</m:t>
            </m:r>
          </m:sup>
        </m:sSubSup>
        <m:r>
          <m:rPr>
            <m:sty m:val="p"/>
          </m:rPr>
          <w:rPr>
            <w:rFonts w:ascii="Cambria Math" w:hAnsi="Cambria Math" w:cs="Times"/>
            <w:lang w:val="en-CA" w:eastAsia="ja-JP"/>
          </w:rPr>
          <m:t>=</m:t>
        </m:r>
        <m:r>
          <w:rPr>
            <w:rFonts w:ascii="Cambria Math" w:hAnsi="Cambria Math" w:cs="Times"/>
            <w:lang w:val="en-CA" w:eastAsia="ja-JP"/>
          </w:rPr>
          <m:t>dP</m:t>
        </m:r>
      </m:oMath>
      <w:r w:rsidRPr="00D039E9">
        <w:rPr>
          <w:rFonts w:cs="Times"/>
          <w:lang w:val="en-CA" w:eastAsia="ja-JP"/>
        </w:rPr>
        <w:tab/>
      </w:r>
      <w:r w:rsidR="00357214" w:rsidRPr="00D039E9">
        <w:rPr>
          <w:rFonts w:cs="Times"/>
          <w:bCs/>
          <w:lang w:val="en-CA" w:eastAsia="ja-JP"/>
        </w:rPr>
        <w:t xml:space="preserve"> </w:t>
      </w:r>
      <w:r w:rsidR="00357214" w:rsidRPr="00D039E9">
        <w:rPr>
          <w:rFonts w:cs="Times"/>
          <w:bCs/>
          <w:lang w:val="en-CA" w:eastAsia="ja-JP"/>
        </w:rPr>
        <w:tab/>
      </w:r>
      <w:r w:rsidR="00357214" w:rsidRPr="00D039E9">
        <w:rPr>
          <w:rFonts w:cs="Times"/>
          <w:bCs/>
          <w:lang w:val="en-CA" w:eastAsia="ja-JP"/>
        </w:rPr>
        <w:tab/>
      </w:r>
      <w:r w:rsidR="00357214" w:rsidRPr="00D039E9">
        <w:rPr>
          <w:rFonts w:cs="Times"/>
          <w:bCs/>
          <w:lang w:val="en-CA" w:eastAsia="ja-JP"/>
        </w:rPr>
        <w:tab/>
      </w:r>
      <w:r w:rsidR="00357214" w:rsidRPr="00D039E9">
        <w:rPr>
          <w:rFonts w:cs="Times"/>
          <w:bCs/>
          <w:lang w:val="en-CA" w:eastAsia="ja-JP"/>
        </w:rPr>
        <w:tab/>
      </w:r>
      <w:r w:rsidR="00357214" w:rsidRPr="00D039E9">
        <w:rPr>
          <w:rFonts w:cs="Times"/>
          <w:bCs/>
          <w:lang w:val="en-CA" w:eastAsia="ja-JP"/>
        </w:rPr>
        <w:tab/>
      </w:r>
      <w:r w:rsidR="00357214" w:rsidRPr="00D039E9">
        <w:rPr>
          <w:rFonts w:cs="Times"/>
          <w:bCs/>
          <w:lang w:val="en-CA" w:eastAsia="ja-JP"/>
        </w:rPr>
        <w:tab/>
      </w:r>
      <w:r w:rsidRPr="00D039E9">
        <w:rPr>
          <w:rFonts w:cs="Times"/>
          <w:bCs/>
          <w:lang w:val="en-CA" w:eastAsia="ja-JP"/>
        </w:rPr>
        <w:t>(B3)</w:t>
      </w:r>
    </w:p>
    <w:p w14:paraId="7FB1D532" w14:textId="27D49157" w:rsidR="00F84241" w:rsidRPr="00D039E9" w:rsidRDefault="00C224A1" w:rsidP="006C4568">
      <w:pPr>
        <w:pStyle w:val="TAMainText"/>
        <w:ind w:firstLine="0"/>
        <w:rPr>
          <w:rFonts w:cs="Times"/>
          <w:bCs/>
          <w:lang w:val="en-CA" w:eastAsia="ja-JP"/>
        </w:rPr>
      </w:pPr>
      <w:r w:rsidRPr="00D039E9">
        <w:rPr>
          <w:rFonts w:cs="Times"/>
          <w:bCs/>
          <w:lang w:val="en-CA" w:eastAsia="ja-JP"/>
        </w:rPr>
        <w:t>As in Appendix A</w:t>
      </w:r>
      <w:r w:rsidR="00F84241" w:rsidRPr="00D039E9">
        <w:rPr>
          <w:rFonts w:cs="Times"/>
          <w:bCs/>
          <w:lang w:val="en-CA" w:eastAsia="ja-JP"/>
        </w:rPr>
        <w:t>, Eqs. (B</w:t>
      </w:r>
      <w:r w:rsidR="007B78DD" w:rsidRPr="00D039E9">
        <w:rPr>
          <w:rFonts w:cs="Times"/>
          <w:bCs/>
          <w:lang w:val="en-CA" w:eastAsia="ja-JP"/>
        </w:rPr>
        <w:t>2</w:t>
      </w:r>
      <w:r w:rsidR="00F84241" w:rsidRPr="00D039E9">
        <w:rPr>
          <w:rFonts w:cs="Times"/>
          <w:bCs/>
          <w:lang w:val="en-CA" w:eastAsia="ja-JP"/>
        </w:rPr>
        <w:t xml:space="preserve">) and (B3) are combined through the vicinity-bulk </w:t>
      </w:r>
      <w:r w:rsidR="00F84241" w:rsidRPr="00D039E9">
        <w:rPr>
          <w:rFonts w:cs="Times"/>
          <w:bCs/>
          <w:i/>
          <w:lang w:val="en-CA" w:eastAsia="ja-JP"/>
        </w:rPr>
        <w:t>concentration</w:t>
      </w:r>
      <w:r w:rsidR="00F84241" w:rsidRPr="00D039E9">
        <w:rPr>
          <w:rFonts w:cs="Times"/>
          <w:bCs/>
          <w:lang w:val="en-CA" w:eastAsia="ja-JP"/>
        </w:rPr>
        <w:t xml:space="preserve"> difference </w:t>
      </w:r>
      <m:oMath>
        <m:sSubSup>
          <m:sSubSupPr>
            <m:ctrlPr>
              <w:rPr>
                <w:rFonts w:ascii="Cambria Math" w:hAnsi="Cambria Math" w:cs="Times"/>
                <w:i/>
                <w:lang w:val="en-CA"/>
              </w:rPr>
            </m:ctrlPr>
          </m:sSubSupPr>
          <m:e>
            <m:r>
              <w:rPr>
                <w:rFonts w:ascii="Cambria Math" w:hAnsi="Cambria Math" w:cs="Times"/>
                <w:lang w:val="en-CA"/>
              </w:rPr>
              <m:t>c</m:t>
            </m:r>
          </m:e>
          <m:sub>
            <m:r>
              <w:rPr>
                <w:rFonts w:ascii="Cambria Math" w:hAnsi="Cambria Math" w:cs="Times"/>
                <w:lang w:val="en-CA"/>
              </w:rPr>
              <m:t>F</m:t>
            </m:r>
          </m:sub>
          <m:sup>
            <m:r>
              <w:rPr>
                <w:rFonts w:ascii="Cambria Math" w:hAnsi="Cambria Math" w:cs="Times"/>
                <w:lang w:val="en-CA"/>
              </w:rPr>
              <m:t>vic</m:t>
            </m:r>
          </m:sup>
        </m:sSubSup>
        <m:r>
          <w:rPr>
            <w:rFonts w:ascii="Cambria Math" w:hAnsi="Cambria Math" w:cs="Times"/>
            <w:lang w:val="en-CA"/>
          </w:rPr>
          <m:t>-</m:t>
        </m:r>
        <m:sSub>
          <m:sSubPr>
            <m:ctrlPr>
              <w:rPr>
                <w:rFonts w:ascii="Cambria Math" w:hAnsi="Cambria Math" w:cs="Times"/>
                <w:i/>
                <w:lang w:val="en-CA"/>
              </w:rPr>
            </m:ctrlPr>
          </m:sSubPr>
          <m:e>
            <m:r>
              <w:rPr>
                <w:rFonts w:ascii="Cambria Math" w:hAnsi="Cambria Math" w:cs="Times"/>
                <w:lang w:val="en-CA"/>
              </w:rPr>
              <m:t>c</m:t>
            </m:r>
          </m:e>
          <m:sub>
            <m:r>
              <w:rPr>
                <w:rFonts w:ascii="Cambria Math" w:hAnsi="Cambria Math" w:cs="Times"/>
                <w:lang w:val="en-CA"/>
              </w:rPr>
              <m:t>F</m:t>
            </m:r>
          </m:sub>
        </m:sSub>
      </m:oMath>
      <w:r w:rsidR="00F84241" w:rsidRPr="00D039E9">
        <w:rPr>
          <w:rFonts w:cs="Times"/>
          <w:lang w:val="en-CA"/>
        </w:rPr>
        <w:t xml:space="preserve"> </w:t>
      </w:r>
      <w:r w:rsidR="00AA22FE" w:rsidRPr="00D039E9">
        <w:rPr>
          <w:rFonts w:cs="Times"/>
          <w:bCs/>
          <w:lang w:val="en-CA" w:eastAsia="ja-JP"/>
        </w:rPr>
        <w:t xml:space="preserve">and </w:t>
      </w:r>
      <w:r w:rsidR="00D71279" w:rsidRPr="00D039E9">
        <w:rPr>
          <w:rFonts w:cs="Times"/>
          <w:bCs/>
          <w:lang w:val="en-CA" w:eastAsia="ja-JP"/>
        </w:rPr>
        <w:t>KBI</w:t>
      </w:r>
      <w:r w:rsidRPr="00D039E9">
        <w:rPr>
          <w:rFonts w:cs="Times"/>
          <w:bCs/>
          <w:lang w:val="en-CA" w:eastAsia="ja-JP"/>
        </w:rPr>
        <w:t xml:space="preserve"> defined by Eq. (5) to yield</w:t>
      </w:r>
      <w:r w:rsidR="00F550F3" w:rsidRPr="00D039E9">
        <w:rPr>
          <w:rFonts w:cs="Times"/>
          <w:bCs/>
          <w:lang w:val="en-CA" w:eastAsia="ja-JP"/>
        </w:rPr>
        <w:fldChar w:fldCharType="begin" w:fldLock="1"/>
      </w:r>
      <w:r w:rsidR="00C65F5C" w:rsidRPr="00D039E9">
        <w:rPr>
          <w:rFonts w:cs="Times"/>
          <w:bCs/>
          <w:lang w:val="en-CA" w:eastAsia="ja-JP"/>
        </w:rPr>
        <w:instrText>ADDIN CSL_CITATION { "citationItems" : [ { "id" : "ITEM-1",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"ITEM-1",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"id" : "ITEM-2",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"ITEM-2",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"id" : "ITEM-3",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"ITEM-3", "issue" : "14", "issued" : { "date-parts" : [ [ "2014" ] ] }, "page" : "3922-3930", "title" : "Preferential solvation: Dividing surface vs excess numbers", "type" : "article-journal", "volume" : "118" }, "uris" : [ "http://www.mendeley.com/documents/?uuid=896fec6b-354e-41cd-a8de-55bd371a22f5" ] }, { "id" : "ITEM-4", "itemData" : { "DOI" : "10.1021/jp505869m", "ISBN" : "1520-5207 (Electronic)\\r1520-5207 (Linking)", "ISSN" : "15205207", "PMID" : "25144510", "abstract" : "Drug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 "author" : [ { "dropping-particle" : "", "family" : "Shimizu", "given" : "Seishi", "non-dropping-particle" : "", "parse-names" : false, "suffix" : "" }, { "dropping-particle" : "", "family" : "Matubayasi", "given" : "Nobuyuki", "non-dropping-particle" : "", "parse-names" : false, "suffix" : "" } ], "container-title" : "Journal of Physical Chemistry B", "id" : "ITEM-4", "issue" : "35", "issued" : { "date-parts" : [ [ "2014" ] ] }, "page" : "10515-10524", "title" : "Hydrotropy: Monomer-micelle equilibrium and minimum hydrotrope concentration", "type" : "article-journal", "volume" : "118" }, "uris" : [ "http://www.mendeley.com/documents/?uuid=0cd1508f-d197-4e8d-a474-504cfaeae922" ] }, { "id" : "ITEM-5", "itemData" : { "DOI" : "10.1039/tf9716702516", "ISSN" : "0014-7672", "abstract" : "An alternative derivation of part of the Kirkwood-Buff theory of solutions, which uses essentially classical thermodynamic concepts is presented. This theory relates the thermodynamic properties of a solution to the integrals of the radial distribution functions of the various molecular pairs present. Useful expressions are derived for electrolyte solutions and for solutions of two and three components. Of particular importance are the general expression for the primary medium effect for a neutral electrolyte and the expression for the effect of one component on the solubility of another in a three component system, which shows how the theory can be used as a general basis for discussing hydrotropy and related phenomena.", "author" : [ { "dropping-particle" : "", "family" : "Hall", "given" : "D. G.", "non-dropping-particle" : "", "parse-names" : false, "suffix" : "" } ], "container-title" : "Transactions of the Faraday Society", "id" : "ITEM-5", "issue" : "0", "issued" : { "date-parts" : [ [ "1971" ] ] }, "page" : "2516", "publisher" : "The Royal Society of Chemistry", "title" : "Kirkwood-Buff theory of solutions. An alternative derivation of part of it and some applications", "type" : "article-journal", "volume" : "67" }, "uris" : [ "http://www.mendeley.com/documents/?uuid=f29dc205-be25-31b1-ab4c-c0d01d88246f" ] }, { "id" : "ITEM-6", "itemData" : { "DOI" : "10.1039/CS9942300031", "ISSN" : "0306-0012", "abstract" : "No abstract available", "author" : [ { "dropping-particle" : "", "family" : "Newman", "given" : "Kenneth E.", "non-dropping-particle" : "", "parse-names" : false, "suffix" : "" } ], "container-title" : "Chem. Soc. Rev.", "id" : "ITEM-6", "issue" : "1", "issued" : { "date-parts" : [ [ "1994" ] ] }, "page" : "31-40", "publisher" : "The Royal Society of Chemistry", "title" : "Kirkwood\u2013Buff solution theory: derivation and applications", "type" : "article-journal", "volume" : "23" }, "uris" : [ "http://www.mendeley.com/documents/?uuid=4ba4106e-8081-3548-88ce-5332351b1d98" ] } ], "mendeley" : { "formattedCitation" : "&lt;sup&gt;11,17,18,22,53,55&lt;/sup&gt;", "plainTextFormattedCitation" : "11,17,18,22,53,55", "previouslyFormattedCitation" : "&lt;sup&gt;11,17,18,22,53,55&lt;/sup&gt;" }, "properties" : { "noteIndex" : 0 }, "schema" : "https://github.com/citation-style-language/schema/raw/master/csl-citation.json" }</w:instrText>
      </w:r>
      <w:r w:rsidR="00F550F3" w:rsidRPr="00D039E9">
        <w:rPr>
          <w:rFonts w:cs="Times"/>
          <w:bCs/>
          <w:lang w:val="en-CA" w:eastAsia="ja-JP"/>
        </w:rPr>
        <w:fldChar w:fldCharType="separate"/>
      </w:r>
      <w:r w:rsidR="00BB3004" w:rsidRPr="00D039E9">
        <w:rPr>
          <w:rFonts w:cs="Times"/>
          <w:bCs/>
          <w:noProof/>
          <w:vertAlign w:val="superscript"/>
          <w:lang w:val="en-CA" w:eastAsia="ja-JP"/>
        </w:rPr>
        <w:t>11,17,18,22,53,55</w:t>
      </w:r>
      <w:r w:rsidR="00F550F3" w:rsidRPr="00D039E9">
        <w:rPr>
          <w:rFonts w:cs="Times"/>
          <w:bCs/>
          <w:lang w:val="en-CA" w:eastAsia="ja-JP"/>
        </w:rPr>
        <w:fldChar w:fldCharType="end"/>
      </w:r>
    </w:p>
    <w:p w14:paraId="7E15638B" w14:textId="73F13B3C" w:rsidR="00C224A1" w:rsidRPr="00D039E9" w:rsidRDefault="00C224A1" w:rsidP="00C224A1">
      <w:pPr>
        <w:pStyle w:val="TAMainText"/>
        <w:ind w:firstLine="0"/>
        <w:rPr>
          <w:rFonts w:cs="Times"/>
          <w:bCs/>
          <w:lang w:val="en-CA" w:eastAsia="ja-JP"/>
        </w:rPr>
      </w:pPr>
      <m:oMath>
        <m:r>
          <w:rPr>
            <w:rFonts w:ascii="Cambria Math" w:hAnsi="Cambria Math" w:cs="Times"/>
            <w:lang w:val="en-CA" w:eastAsia="ja-JP"/>
          </w:rPr>
          <m:t>-</m:t>
        </m:r>
        <m:sSub>
          <m:sSubPr>
            <m:ctrlPr>
              <w:rPr>
                <w:rFonts w:ascii="Cambria Math" w:hAnsi="Cambria Math" w:cs="Times"/>
                <w:i/>
                <w:lang w:val="en-CA" w:eastAsia="ja-JP"/>
              </w:rPr>
            </m:ctrlPr>
          </m:sSubPr>
          <m:e>
            <m:d>
              <m:dPr>
                <m:ctrlPr>
                  <w:rPr>
                    <w:rFonts w:ascii="Cambria Math" w:hAnsi="Cambria Math" w:cs="Times"/>
                    <w:i/>
                    <w:lang w:val="en-CA" w:eastAsia="ja-JP"/>
                  </w:rPr>
                </m:ctrlPr>
              </m:dPr>
              <m:e>
                <m:f>
                  <m:fPr>
                    <m:ctrlPr>
                      <w:rPr>
                        <w:rFonts w:ascii="Cambria Math" w:hAnsi="Cambria Math" w:cs="Times"/>
                        <w:i/>
                        <w:lang w:val="en-CA" w:eastAsia="ja-JP"/>
                      </w:rPr>
                    </m:ctrlPr>
                  </m:fPr>
                  <m:num>
                    <m:r>
                      <w:rPr>
                        <w:rFonts w:ascii="Cambria Math" w:hAnsi="Cambria Math" w:cs="Times"/>
                        <w:lang w:val="en-CA" w:eastAsia="ja-JP"/>
                      </w:rPr>
                      <m:t>∂</m:t>
                    </m:r>
                    <m:sSubSup>
                      <m:sSubSupPr>
                        <m:ctrlPr>
                          <w:rPr>
                            <w:rFonts w:ascii="Cambria Math" w:hAnsi="Cambria Math" w:cs="Times"/>
                            <w:bCs/>
                            <w:i/>
                            <w:lang w:val="en-CA" w:eastAsia="ja-JP"/>
                          </w:rPr>
                        </m:ctrlPr>
                      </m:sSubSupPr>
                      <m:e>
                        <m:r>
                          <w:rPr>
                            <w:rFonts w:ascii="Cambria Math" w:hAnsi="Cambria Math" w:cs="Times"/>
                            <w:lang w:val="en-CA" w:eastAsia="ja-JP"/>
                          </w:rPr>
                          <m:t>μ</m:t>
                        </m:r>
                      </m:e>
                      <m:sub>
                        <m:r>
                          <w:rPr>
                            <w:rFonts w:ascii="Cambria Math" w:hAnsi="Cambria Math" w:cs="Times"/>
                            <w:lang w:val="en-CA" w:eastAsia="ja-JP"/>
                          </w:rPr>
                          <m:t>P</m:t>
                        </m:r>
                      </m:sub>
                      <m:sup>
                        <m:r>
                          <w:rPr>
                            <w:rFonts w:ascii="Cambria Math" w:hAnsi="Cambria Math" w:cs="Times"/>
                            <w:lang w:val="en-CA" w:eastAsia="ja-JP"/>
                          </w:rPr>
                          <m:t>*</m:t>
                        </m:r>
                      </m:sup>
                    </m:sSubSup>
                  </m:num>
                  <m:den>
                    <m:r>
                      <w:rPr>
                        <w:rFonts w:ascii="Cambria Math" w:hAnsi="Cambria Math" w:cs="Times"/>
                        <w:lang w:val="en-CA" w:eastAsia="ja-JP"/>
                      </w:rPr>
                      <m:t>∂</m:t>
                    </m:r>
                    <m:sSub>
                      <m:sSubPr>
                        <m:ctrlPr>
                          <w:rPr>
                            <w:rFonts w:ascii="Cambria Math" w:hAnsi="Cambria Math" w:cs="Times"/>
                            <w:i/>
                            <w:lang w:val="en-CA" w:eastAsia="ja-JP"/>
                          </w:rPr>
                        </m:ctrlPr>
                      </m:sSubPr>
                      <m:e>
                        <m:r>
                          <w:rPr>
                            <w:rFonts w:ascii="Cambria Math" w:hAnsi="Cambria Math" w:cs="Times"/>
                            <w:lang w:val="en-CA" w:eastAsia="ja-JP"/>
                          </w:rPr>
                          <m:t>μ</m:t>
                        </m:r>
                      </m:e>
                      <m:sub>
                        <m:r>
                          <w:rPr>
                            <w:rFonts w:ascii="Cambria Math" w:hAnsi="Cambria Math" w:cs="Times"/>
                            <w:lang w:val="en-CA" w:eastAsia="ja-JP"/>
                          </w:rPr>
                          <m:t>W</m:t>
                        </m:r>
                      </m:sub>
                    </m:sSub>
                  </m:den>
                </m:f>
              </m:e>
            </m:d>
          </m:e>
          <m:sub>
            <m:r>
              <w:rPr>
                <w:rFonts w:ascii="Cambria Math" w:hAnsi="Cambria Math" w:cs="Times"/>
                <w:lang w:val="en-CA" w:eastAsia="ja-JP"/>
              </w:rPr>
              <m:t>T,P,</m:t>
            </m:r>
            <m:sSub>
              <m:sSubPr>
                <m:ctrlPr>
                  <w:rPr>
                    <w:rFonts w:ascii="Cambria Math" w:hAnsi="Cambria Math" w:cs="Times"/>
                    <w:i/>
                    <w:lang w:val="en-CA" w:eastAsia="ja-JP"/>
                  </w:rPr>
                </m:ctrlPr>
              </m:sSubPr>
              <m:e>
                <m:r>
                  <w:rPr>
                    <w:rFonts w:ascii="Cambria Math" w:hAnsi="Cambria Math" w:cs="Times"/>
                    <w:lang w:val="en-CA" w:eastAsia="ja-JP"/>
                  </w:rPr>
                  <m:t>c</m:t>
                </m:r>
              </m:e>
              <m:sub>
                <m:r>
                  <w:rPr>
                    <w:rFonts w:ascii="Cambria Math" w:hAnsi="Cambria Math" w:cs="Times"/>
                    <w:lang w:val="en-CA" w:eastAsia="ja-JP"/>
                  </w:rPr>
                  <m:t>P</m:t>
                </m:r>
              </m:sub>
            </m:sSub>
            <m:r>
              <w:rPr>
                <w:rFonts w:ascii="Cambria Math" w:hAnsi="Cambria Math" w:cs="Times"/>
                <w:lang w:val="en-CA" w:eastAsia="ja-JP"/>
              </w:rPr>
              <m:t>→0</m:t>
            </m:r>
          </m:sub>
        </m:sSub>
        <m:r>
          <w:rPr>
            <w:rFonts w:ascii="Cambria Math" w:hAnsi="Cambria Math" w:cs="Times"/>
            <w:lang w:val="en-CA" w:eastAsia="ja-JP"/>
          </w:rPr>
          <m:t>=</m:t>
        </m:r>
        <m:sSub>
          <m:sSubPr>
            <m:ctrlPr>
              <w:rPr>
                <w:rFonts w:ascii="Cambria Math" w:hAnsi="Cambria Math" w:cs="Times"/>
                <w:i/>
                <w:lang w:val="en-CA" w:eastAsia="ja-JP"/>
              </w:rPr>
            </m:ctrlPr>
          </m:sSubPr>
          <m:e>
            <m:r>
              <w:rPr>
                <w:rFonts w:ascii="Cambria Math" w:hAnsi="Cambria Math" w:cs="Times"/>
                <w:lang w:val="en-CA" w:eastAsia="ja-JP"/>
              </w:rPr>
              <m:t>c</m:t>
            </m:r>
          </m:e>
          <m:sub>
            <m:r>
              <w:rPr>
                <w:rFonts w:ascii="Cambria Math" w:hAnsi="Cambria Math" w:cs="Times"/>
                <w:lang w:val="en-CA" w:eastAsia="ja-JP"/>
              </w:rPr>
              <m:t>W</m:t>
            </m:r>
          </m:sub>
        </m:sSub>
        <m:r>
          <w:rPr>
            <w:rFonts w:ascii="Cambria Math" w:hAnsi="Cambria Math" w:cs="Times"/>
            <w:lang w:val="en-CA" w:eastAsia="ja-JP"/>
          </w:rPr>
          <m:t xml:space="preserve"> (</m:t>
        </m:r>
        <m:sSub>
          <m:sSubPr>
            <m:ctrlPr>
              <w:rPr>
                <w:rFonts w:ascii="Cambria Math" w:hAnsi="Cambria Math" w:cs="Times"/>
                <w:bCs/>
                <w:i/>
                <w:lang w:val="en-CA" w:eastAsia="ja-JP"/>
              </w:rPr>
            </m:ctrlPr>
          </m:sSubPr>
          <m:e>
            <m:r>
              <w:rPr>
                <w:rFonts w:ascii="Cambria Math" w:hAnsi="Cambria Math" w:cs="Times"/>
                <w:lang w:val="en-CA" w:eastAsia="ja-JP"/>
              </w:rPr>
              <m:t>G</m:t>
            </m:r>
          </m:e>
          <m:sub>
            <m:r>
              <w:rPr>
                <w:rFonts w:ascii="Cambria Math" w:hAnsi="Cambria Math" w:cs="Times"/>
                <w:lang w:val="en-CA" w:eastAsia="ja-JP"/>
              </w:rPr>
              <m:t>PW</m:t>
            </m:r>
          </m:sub>
        </m:sSub>
        <m:r>
          <w:rPr>
            <w:rFonts w:ascii="Cambria Math" w:hAnsi="Cambria Math" w:cs="Times"/>
            <w:lang w:val="en-CA" w:eastAsia="ja-JP"/>
          </w:rPr>
          <m:t>-</m:t>
        </m:r>
        <m:sSub>
          <m:sSubPr>
            <m:ctrlPr>
              <w:rPr>
                <w:rFonts w:ascii="Cambria Math" w:hAnsi="Cambria Math" w:cs="Times"/>
                <w:i/>
                <w:lang w:val="en-CA" w:eastAsia="ja-JP"/>
              </w:rPr>
            </m:ctrlPr>
          </m:sSubPr>
          <m:e>
            <m:r>
              <w:rPr>
                <w:rFonts w:ascii="Cambria Math" w:hAnsi="Cambria Math" w:cs="Times"/>
                <w:lang w:val="en-CA" w:eastAsia="ja-JP"/>
              </w:rPr>
              <m:t>G</m:t>
            </m:r>
          </m:e>
          <m:sub>
            <m:r>
              <w:rPr>
                <w:rFonts w:ascii="Cambria Math" w:hAnsi="Cambria Math" w:cs="Times"/>
                <w:lang w:val="en-CA" w:eastAsia="ja-JP"/>
              </w:rPr>
              <m:t>PF</m:t>
            </m:r>
          </m:sub>
        </m:sSub>
        <m:r>
          <w:rPr>
            <w:rFonts w:ascii="Cambria Math" w:hAnsi="Cambria Math" w:cs="Times"/>
            <w:lang w:val="en-CA" w:eastAsia="ja-JP"/>
          </w:rPr>
          <m:t xml:space="preserve"> )</m:t>
        </m:r>
      </m:oMath>
      <w:r w:rsidRPr="00D039E9">
        <w:rPr>
          <w:rFonts w:cs="Times"/>
          <w:bCs/>
          <w:lang w:val="en-CA" w:eastAsia="ja-JP"/>
        </w:rPr>
        <w:tab/>
      </w:r>
      <w:r w:rsidRPr="00D039E9">
        <w:rPr>
          <w:rFonts w:cs="Times"/>
          <w:bCs/>
          <w:lang w:val="en-CA" w:eastAsia="ja-JP"/>
        </w:rPr>
        <w:tab/>
      </w:r>
      <w:r w:rsidRPr="00D039E9">
        <w:rPr>
          <w:rFonts w:cs="Times"/>
          <w:bCs/>
          <w:lang w:val="en-CA" w:eastAsia="ja-JP"/>
        </w:rPr>
        <w:tab/>
      </w:r>
      <w:r w:rsidRPr="00D039E9">
        <w:rPr>
          <w:rFonts w:cs="Times"/>
          <w:bCs/>
          <w:lang w:val="en-CA" w:eastAsia="ja-JP"/>
        </w:rPr>
        <w:tab/>
      </w:r>
      <w:r w:rsidRPr="00D039E9">
        <w:rPr>
          <w:rFonts w:cs="Times"/>
          <w:bCs/>
          <w:lang w:val="en-CA" w:eastAsia="ja-JP"/>
        </w:rPr>
        <w:tab/>
      </w:r>
      <w:r w:rsidRPr="00D039E9">
        <w:rPr>
          <w:rFonts w:cs="Times"/>
          <w:bCs/>
          <w:lang w:val="en-CA" w:eastAsia="ja-JP"/>
        </w:rPr>
        <w:tab/>
      </w:r>
      <w:r w:rsidRPr="00D039E9">
        <w:rPr>
          <w:rFonts w:cs="Times"/>
          <w:bCs/>
          <w:lang w:val="en-CA" w:eastAsia="ja-JP"/>
        </w:rPr>
        <w:tab/>
      </w:r>
      <w:r w:rsidRPr="00D039E9">
        <w:rPr>
          <w:rFonts w:cs="Times"/>
          <w:bCs/>
          <w:lang w:val="en-CA" w:eastAsia="ja-JP"/>
        </w:rPr>
        <w:tab/>
        <w:t xml:space="preserve">(B4) </w:t>
      </w:r>
    </w:p>
    <w:p w14:paraId="1598BE5D" w14:textId="78379944" w:rsidR="00C224A1" w:rsidRPr="00D039E9" w:rsidRDefault="00C224A1" w:rsidP="00C224A1">
      <w:pPr>
        <w:pStyle w:val="TAMainText"/>
        <w:ind w:firstLine="0"/>
        <w:rPr>
          <w:rFonts w:cs="Times"/>
          <w:lang w:val="en-CA"/>
        </w:rPr>
      </w:pPr>
      <w:r w:rsidRPr="00D039E9">
        <w:rPr>
          <w:rFonts w:cs="Times"/>
          <w:lang w:val="en-CA"/>
        </w:rPr>
        <w:t xml:space="preserve"> At the </w:t>
      </w:r>
      <m:oMath>
        <m:sSub>
          <m:sSubPr>
            <m:ctrlPr>
              <w:rPr>
                <w:rFonts w:ascii="Cambria Math" w:hAnsi="Cambria Math" w:cs="Times"/>
                <w:i/>
                <w:lang w:val="en-CA"/>
              </w:rPr>
            </m:ctrlPr>
          </m:sSubPr>
          <m:e>
            <m:r>
              <w:rPr>
                <w:rFonts w:ascii="Cambria Math" w:hAnsi="Cambria Math" w:cs="Times"/>
                <w:lang w:val="en-CA"/>
              </w:rPr>
              <m:t>c</m:t>
            </m:r>
          </m:e>
          <m:sub>
            <m:r>
              <w:rPr>
                <w:rFonts w:ascii="Cambria Math" w:hAnsi="Cambria Math" w:cs="Times"/>
                <w:lang w:val="en-CA"/>
              </w:rPr>
              <m:t>F</m:t>
            </m:r>
          </m:sub>
        </m:sSub>
        <m:r>
          <w:rPr>
            <w:rFonts w:ascii="Cambria Math" w:hAnsi="Cambria Math" w:cs="Times"/>
            <w:lang w:val="en-CA"/>
          </w:rPr>
          <m:t>→0</m:t>
        </m:r>
      </m:oMath>
      <w:r w:rsidRPr="00D039E9">
        <w:rPr>
          <w:rFonts w:cs="Times"/>
          <w:lang w:val="en-CA"/>
        </w:rPr>
        <w:t xml:space="preserve"> limit, Eq. (B4) can be simplified to</w:t>
      </w:r>
      <w:r w:rsidR="00F550F3" w:rsidRPr="00D039E9">
        <w:rPr>
          <w:rFonts w:cs="Times"/>
          <w:lang w:val="en-CA"/>
        </w:rPr>
        <w:fldChar w:fldCharType="begin" w:fldLock="1"/>
      </w:r>
      <w:r w:rsidR="003E67FA" w:rsidRPr="00D039E9">
        <w:rPr>
          <w:rFonts w:cs="Times"/>
          <w:lang w:val="en-CA"/>
        </w:rPr>
        <w:instrText>ADDIN CSL_CITATION { "citationItems" : [ { "id" : "ITEM-1", "itemData" : { "DOI" : "10.1063/1.1806402", "ISSN" : "00219606", "PMID" : "15527383", "abstract" : "Cosolvents added to aqueous solutions of biomolecules profoundly affect protein stability, as well as biochemical equilibria. Some cosolvents, such as urea and guanidine hydrochloride, denature proteins, whereas others, such as osmolytes and crowders, stabilize the native structures of proteins. The way cosolvents interact with biomolecules is crucial information required to understand the cosolvent effect at a molecular level. We present a statistical mechanical framework based upon Kirkwood-Buff theory, which enables one to extract this picture from experimental data. The combination of two experimental results, namely, the cosolvent-induced equilibrium shift and the partial molar volume change upon the reaction, supplimented by the structural change, is shown to yield the number of water and cosolvent molecules bound or released during a reaction. Previously, denaturation experiments (e.g., m-value analysis) were analyzed by empirical and stoichiometric solvent-binding models, while the effects of osmolytes and crowders were analyzed by the approximate molecular crowding approach for low cosolvent concentration. Here we synthesize these previous approaches in a rigorous statistical mechanical treatment, which is applicable at any cosolvent concentration. The usefulness and accuracy of previous approaches was also evaluated.", "author" : [ { "dropping-particle" : "", "family" : "Shimizu", "given" : "Seishi", "non-dropping-particle" : "", "parse-names" : false, "suffix" : "" }, { "dropping-particle" : "", "family" : "Boon", "given" : "Chandra L.", "non-dropping-particle" : "", "parse-names" : false, "suffix" : "" } ], "container-title" : "Journal of Chemical Physics", "id" : "ITEM-1", "issue" : "18", "issued" : { "date-parts" : [ [ "2004" ] ] }, "page" : "9147-9155", "title" : "The Kirkwood-Buff theory and the effect of cosolvents on biochemical reactions", "type" : "article-journal", "volume" : "121" }, "uris" : [ "http://www.mendeley.com/documents/?uuid=773d4c28-f2d5-421b-a5a5-0066df199fbe" ] }, { "id" : "ITEM-2",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"ITEM-2", "issue" : "14", "issued" : { "date-parts" : [ [ "2014" ] ] }, "page" : "3922-3930", "title" : "Preferential solvation: Dividing surface vs excess numbers", "type" : "article-journal", "volume" : "118" }, "uris" : [ "http://www.mendeley.com/documents/?uuid=896fec6b-354e-41cd-a8de-55bd371a22f5" ] }, { "id" : "ITEM-3",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"ITEM-3",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"mendeley" : { "formattedCitation" : "&lt;sup&gt;12,17,22&lt;/sup&gt;", "plainTextFormattedCitation" : "12,17,22", "previouslyFormattedCitation" : "&lt;sup&gt;12,17,22&lt;/sup&gt;" }, "properties" : { "noteIndex" : 0 }, "schema" : "https://github.com/citation-style-language/schema/raw/master/csl-citation.json" }</w:instrText>
      </w:r>
      <w:r w:rsidR="00F550F3" w:rsidRPr="00D039E9">
        <w:rPr>
          <w:rFonts w:cs="Times"/>
          <w:lang w:val="en-CA"/>
        </w:rPr>
        <w:fldChar w:fldCharType="separate"/>
      </w:r>
      <w:r w:rsidR="003E67FA" w:rsidRPr="00D039E9">
        <w:rPr>
          <w:rFonts w:cs="Times"/>
          <w:noProof/>
          <w:vertAlign w:val="superscript"/>
          <w:lang w:val="en-CA"/>
        </w:rPr>
        <w:t>12,17,22</w:t>
      </w:r>
      <w:r w:rsidR="00F550F3" w:rsidRPr="00D039E9">
        <w:rPr>
          <w:rFonts w:cs="Times"/>
          <w:lang w:val="en-CA"/>
        </w:rPr>
        <w:fldChar w:fldCharType="end"/>
      </w:r>
      <w:r w:rsidRPr="00D039E9">
        <w:rPr>
          <w:rFonts w:cs="Times"/>
          <w:lang w:val="en-CA"/>
        </w:rPr>
        <w:t xml:space="preserve"> </w:t>
      </w:r>
    </w:p>
    <w:p w14:paraId="1FCBBACC" w14:textId="14DD2A6B" w:rsidR="00C224A1" w:rsidRPr="00D039E9" w:rsidRDefault="000E5B3F" w:rsidP="00C224A1">
      <w:pPr>
        <w:pStyle w:val="TAMainText"/>
        <w:ind w:firstLine="0"/>
        <w:rPr>
          <w:rFonts w:cs="Times"/>
          <w:bCs/>
          <w:lang w:val="en-CA" w:eastAsia="ja-JP"/>
        </w:rPr>
      </w:pPr>
      <m:oMath>
        <m:sSub>
          <m:sSubPr>
            <m:ctrlPr>
              <w:rPr>
                <w:rFonts w:ascii="Cambria Math" w:hAnsi="Cambria Math" w:cs="Times"/>
                <w:i/>
                <w:lang w:val="en-CA" w:eastAsia="ja-JP"/>
              </w:rPr>
            </m:ctrlPr>
          </m:sSubPr>
          <m:e>
            <m:d>
              <m:dPr>
                <m:ctrlPr>
                  <w:rPr>
                    <w:rFonts w:ascii="Cambria Math" w:hAnsi="Cambria Math" w:cs="Times"/>
                    <w:i/>
                    <w:lang w:val="en-CA" w:eastAsia="ja-JP"/>
                  </w:rPr>
                </m:ctrlPr>
              </m:dPr>
              <m:e>
                <m:f>
                  <m:fPr>
                    <m:ctrlPr>
                      <w:rPr>
                        <w:rFonts w:ascii="Cambria Math" w:hAnsi="Cambria Math" w:cs="Times"/>
                        <w:i/>
                        <w:lang w:val="en-CA" w:eastAsia="ja-JP"/>
                      </w:rPr>
                    </m:ctrlPr>
                  </m:fPr>
                  <m:num>
                    <m:r>
                      <w:rPr>
                        <w:rFonts w:ascii="Cambria Math" w:hAnsi="Cambria Math" w:cs="Times"/>
                        <w:lang w:val="en-CA" w:eastAsia="ja-JP"/>
                      </w:rPr>
                      <m:t>∂</m:t>
                    </m:r>
                    <m:sSubSup>
                      <m:sSubSupPr>
                        <m:ctrlPr>
                          <w:rPr>
                            <w:rFonts w:ascii="Cambria Math" w:hAnsi="Cambria Math" w:cs="Times"/>
                            <w:bCs/>
                            <w:i/>
                            <w:lang w:val="en-CA" w:eastAsia="ja-JP"/>
                          </w:rPr>
                        </m:ctrlPr>
                      </m:sSubSupPr>
                      <m:e>
                        <m:r>
                          <w:rPr>
                            <w:rFonts w:ascii="Cambria Math" w:hAnsi="Cambria Math" w:cs="Times"/>
                            <w:lang w:val="en-CA" w:eastAsia="ja-JP"/>
                          </w:rPr>
                          <m:t>μ</m:t>
                        </m:r>
                      </m:e>
                      <m:sub>
                        <m:r>
                          <w:rPr>
                            <w:rFonts w:ascii="Cambria Math" w:hAnsi="Cambria Math" w:cs="Times"/>
                            <w:lang w:val="en-CA" w:eastAsia="ja-JP"/>
                          </w:rPr>
                          <m:t>P</m:t>
                        </m:r>
                      </m:sub>
                      <m:sup>
                        <m:r>
                          <w:rPr>
                            <w:rFonts w:ascii="Cambria Math" w:hAnsi="Cambria Math" w:cs="Times"/>
                            <w:lang w:val="en-CA" w:eastAsia="ja-JP"/>
                          </w:rPr>
                          <m:t>*</m:t>
                        </m:r>
                      </m:sup>
                    </m:sSubSup>
                  </m:num>
                  <m:den>
                    <m:r>
                      <w:rPr>
                        <w:rFonts w:ascii="Cambria Math" w:hAnsi="Cambria Math" w:cs="Times"/>
                        <w:lang w:val="en-CA" w:eastAsia="ja-JP"/>
                      </w:rPr>
                      <m:t>∂</m:t>
                    </m:r>
                    <m:sSub>
                      <m:sSubPr>
                        <m:ctrlPr>
                          <w:rPr>
                            <w:rFonts w:ascii="Cambria Math" w:hAnsi="Cambria Math" w:cs="Times"/>
                            <w:i/>
                            <w:lang w:val="en-CA" w:eastAsia="ja-JP"/>
                          </w:rPr>
                        </m:ctrlPr>
                      </m:sSubPr>
                      <m:e>
                        <m:r>
                          <w:rPr>
                            <w:rFonts w:ascii="Cambria Math" w:hAnsi="Cambria Math" w:cs="Times"/>
                            <w:lang w:val="en-CA" w:eastAsia="ja-JP"/>
                          </w:rPr>
                          <m:t>c</m:t>
                        </m:r>
                      </m:e>
                      <m:sub>
                        <m:r>
                          <w:rPr>
                            <w:rFonts w:ascii="Cambria Math" w:hAnsi="Cambria Math" w:cs="Times"/>
                            <w:lang w:val="en-CA" w:eastAsia="ja-JP"/>
                          </w:rPr>
                          <m:t>F</m:t>
                        </m:r>
                      </m:sub>
                    </m:sSub>
                  </m:den>
                </m:f>
              </m:e>
            </m:d>
          </m:e>
          <m:sub>
            <m:r>
              <w:rPr>
                <w:rFonts w:ascii="Cambria Math" w:hAnsi="Cambria Math" w:cs="Times"/>
                <w:lang w:val="en-CA" w:eastAsia="ja-JP"/>
              </w:rPr>
              <m:t>T,P,</m:t>
            </m:r>
            <m:sSub>
              <m:sSubPr>
                <m:ctrlPr>
                  <w:rPr>
                    <w:rFonts w:ascii="Cambria Math" w:hAnsi="Cambria Math" w:cs="Times"/>
                    <w:i/>
                    <w:lang w:val="en-CA" w:eastAsia="ja-JP"/>
                  </w:rPr>
                </m:ctrlPr>
              </m:sSubPr>
              <m:e>
                <m:r>
                  <w:rPr>
                    <w:rFonts w:ascii="Cambria Math" w:hAnsi="Cambria Math" w:cs="Times"/>
                    <w:lang w:val="en-CA" w:eastAsia="ja-JP"/>
                  </w:rPr>
                  <m:t>c</m:t>
                </m:r>
              </m:e>
              <m:sub>
                <m:r>
                  <w:rPr>
                    <w:rFonts w:ascii="Cambria Math" w:hAnsi="Cambria Math" w:cs="Times"/>
                    <w:lang w:val="en-CA" w:eastAsia="ja-JP"/>
                  </w:rPr>
                  <m:t>P</m:t>
                </m:r>
              </m:sub>
            </m:sSub>
            <m:r>
              <w:rPr>
                <w:rFonts w:ascii="Cambria Math" w:hAnsi="Cambria Math" w:cs="Times"/>
                <w:lang w:val="en-CA" w:eastAsia="ja-JP"/>
              </w:rPr>
              <m:t>→0</m:t>
            </m:r>
          </m:sub>
        </m:sSub>
        <m:r>
          <w:rPr>
            <w:rFonts w:ascii="Cambria Math" w:hAnsi="Cambria Math" w:cs="Times"/>
            <w:lang w:val="en-CA" w:eastAsia="ja-JP"/>
          </w:rPr>
          <m:t xml:space="preserve">= </m:t>
        </m:r>
        <m:sSub>
          <m:sSubPr>
            <m:ctrlPr>
              <w:rPr>
                <w:rFonts w:ascii="Cambria Math" w:hAnsi="Cambria Math" w:cs="Times"/>
                <w:bCs/>
                <w:i/>
                <w:lang w:val="en-CA" w:eastAsia="ja-JP"/>
              </w:rPr>
            </m:ctrlPr>
          </m:sSubPr>
          <m:e>
            <m:r>
              <w:rPr>
                <w:rFonts w:ascii="Cambria Math" w:hAnsi="Cambria Math" w:cs="Times"/>
                <w:lang w:val="en-CA" w:eastAsia="ja-JP"/>
              </w:rPr>
              <m:t>G</m:t>
            </m:r>
          </m:e>
          <m:sub>
            <m:r>
              <w:rPr>
                <w:rFonts w:ascii="Cambria Math" w:hAnsi="Cambria Math" w:cs="Times"/>
                <w:lang w:val="en-CA" w:eastAsia="ja-JP"/>
              </w:rPr>
              <m:t>PW</m:t>
            </m:r>
          </m:sub>
        </m:sSub>
        <m:r>
          <w:rPr>
            <w:rFonts w:ascii="Cambria Math" w:hAnsi="Cambria Math" w:cs="Times"/>
            <w:lang w:val="en-CA" w:eastAsia="ja-JP"/>
          </w:rPr>
          <m:t>-</m:t>
        </m:r>
        <m:sSub>
          <m:sSubPr>
            <m:ctrlPr>
              <w:rPr>
                <w:rFonts w:ascii="Cambria Math" w:hAnsi="Cambria Math" w:cs="Times"/>
                <w:i/>
                <w:lang w:val="en-CA" w:eastAsia="ja-JP"/>
              </w:rPr>
            </m:ctrlPr>
          </m:sSubPr>
          <m:e>
            <m:r>
              <w:rPr>
                <w:rFonts w:ascii="Cambria Math" w:hAnsi="Cambria Math" w:cs="Times"/>
                <w:lang w:val="en-CA" w:eastAsia="ja-JP"/>
              </w:rPr>
              <m:t>G</m:t>
            </m:r>
          </m:e>
          <m:sub>
            <m:r>
              <w:rPr>
                <w:rFonts w:ascii="Cambria Math" w:hAnsi="Cambria Math" w:cs="Times"/>
                <w:lang w:val="en-CA" w:eastAsia="ja-JP"/>
              </w:rPr>
              <m:t>PF</m:t>
            </m:r>
          </m:sub>
        </m:sSub>
      </m:oMath>
      <w:r w:rsidR="00C224A1" w:rsidRPr="00D039E9">
        <w:rPr>
          <w:rFonts w:cs="Times"/>
          <w:bCs/>
          <w:lang w:val="en-CA" w:eastAsia="ja-JP"/>
        </w:rPr>
        <w:tab/>
      </w:r>
      <w:r w:rsidR="00C224A1" w:rsidRPr="00D039E9">
        <w:rPr>
          <w:rFonts w:cs="Times"/>
          <w:bCs/>
          <w:lang w:val="en-CA" w:eastAsia="ja-JP"/>
        </w:rPr>
        <w:tab/>
      </w:r>
      <w:r w:rsidR="00C224A1" w:rsidRPr="00D039E9">
        <w:rPr>
          <w:rFonts w:cs="Times"/>
          <w:bCs/>
          <w:lang w:val="en-CA" w:eastAsia="ja-JP"/>
        </w:rPr>
        <w:tab/>
      </w:r>
      <w:r w:rsidR="00C224A1" w:rsidRPr="00D039E9">
        <w:rPr>
          <w:rFonts w:cs="Times"/>
          <w:bCs/>
          <w:lang w:val="en-CA" w:eastAsia="ja-JP"/>
        </w:rPr>
        <w:tab/>
      </w:r>
      <w:r w:rsidR="00C224A1" w:rsidRPr="00D039E9">
        <w:rPr>
          <w:rFonts w:cs="Times"/>
          <w:bCs/>
          <w:lang w:val="en-CA" w:eastAsia="ja-JP"/>
        </w:rPr>
        <w:tab/>
      </w:r>
      <w:r w:rsidR="00C224A1" w:rsidRPr="00D039E9">
        <w:rPr>
          <w:rFonts w:cs="Times"/>
          <w:bCs/>
          <w:lang w:val="en-CA" w:eastAsia="ja-JP"/>
        </w:rPr>
        <w:tab/>
      </w:r>
      <w:r w:rsidR="00C224A1" w:rsidRPr="00D039E9">
        <w:rPr>
          <w:rFonts w:cs="Times"/>
          <w:bCs/>
          <w:lang w:val="en-CA" w:eastAsia="ja-JP"/>
        </w:rPr>
        <w:tab/>
      </w:r>
      <w:r w:rsidR="00C224A1" w:rsidRPr="00D039E9">
        <w:rPr>
          <w:rFonts w:cs="Times"/>
          <w:bCs/>
          <w:lang w:val="en-CA" w:eastAsia="ja-JP"/>
        </w:rPr>
        <w:tab/>
      </w:r>
      <w:r w:rsidR="00C224A1" w:rsidRPr="00D039E9">
        <w:rPr>
          <w:rFonts w:cs="Times"/>
          <w:bCs/>
          <w:lang w:val="en-CA" w:eastAsia="ja-JP"/>
        </w:rPr>
        <w:tab/>
        <w:t xml:space="preserve">(B5) </w:t>
      </w:r>
    </w:p>
    <w:p w14:paraId="65C9E2BF" w14:textId="0253E389" w:rsidR="00C224A1" w:rsidRPr="00D039E9" w:rsidRDefault="00C224A1" w:rsidP="00C224A1">
      <w:pPr>
        <w:pStyle w:val="TAMainText"/>
        <w:ind w:firstLine="0"/>
        <w:rPr>
          <w:rFonts w:cs="Times"/>
          <w:lang w:val="en-CA"/>
        </w:rPr>
      </w:pPr>
      <w:r w:rsidRPr="00D039E9">
        <w:rPr>
          <w:rFonts w:cs="Times"/>
          <w:lang w:val="en-CA"/>
        </w:rPr>
        <w:t xml:space="preserve"> </w:t>
      </w:r>
    </w:p>
    <w:p w14:paraId="29DAA053" w14:textId="1683AEFF" w:rsidR="003872DB" w:rsidRPr="00D039E9" w:rsidRDefault="001E7FBA" w:rsidP="008A307F">
      <w:pPr>
        <w:spacing w:after="160" w:line="259" w:lineRule="auto"/>
        <w:jc w:val="left"/>
        <w:rPr>
          <w:rFonts w:cs="Times"/>
          <w:b/>
          <w:lang w:val="en-CA" w:eastAsia="ja-JP"/>
        </w:rPr>
      </w:pPr>
      <w:r w:rsidRPr="00D039E9">
        <w:rPr>
          <w:rFonts w:cs="Times"/>
          <w:b/>
          <w:szCs w:val="24"/>
          <w:lang w:val="en-CA"/>
        </w:rPr>
        <w:t>Appendix C</w:t>
      </w:r>
      <w:r w:rsidR="00FA204C" w:rsidRPr="00D039E9">
        <w:rPr>
          <w:rFonts w:cs="Times"/>
          <w:b/>
          <w:szCs w:val="24"/>
          <w:lang w:val="en-CA"/>
        </w:rPr>
        <w:t xml:space="preserve"> </w:t>
      </w:r>
    </w:p>
    <w:p w14:paraId="32A5EB81" w14:textId="77777777" w:rsidR="008A307F" w:rsidRPr="00D039E9" w:rsidRDefault="008A307F" w:rsidP="003872DB">
      <w:pPr>
        <w:pStyle w:val="TAMainText"/>
        <w:ind w:firstLine="0"/>
        <w:rPr>
          <w:rFonts w:cs="Times"/>
          <w:szCs w:val="24"/>
          <w:lang w:val="en-CA"/>
        </w:rPr>
      </w:pPr>
    </w:p>
    <w:p w14:paraId="3EBE1C3D" w14:textId="543E3A6C" w:rsidR="00FA204C" w:rsidRPr="00D039E9" w:rsidRDefault="00F009F0" w:rsidP="003872DB">
      <w:pPr>
        <w:pStyle w:val="TAMainText"/>
        <w:ind w:firstLine="0"/>
        <w:rPr>
          <w:rFonts w:cs="Times"/>
          <w:szCs w:val="24"/>
          <w:lang w:val="en-CA"/>
        </w:rPr>
      </w:pPr>
      <w:r w:rsidRPr="00D039E9">
        <w:rPr>
          <w:rFonts w:cs="Times"/>
          <w:szCs w:val="24"/>
          <w:lang w:val="en-CA"/>
        </w:rPr>
        <w:t xml:space="preserve">Here we summarize the outline results used to discuss the KB approach to membrane equilibrium. A forthcoming paper will be devoted to a clear and concise </w:t>
      </w:r>
      <w:r w:rsidR="00F550F3" w:rsidRPr="00D039E9">
        <w:rPr>
          <w:rFonts w:cs="Times"/>
          <w:szCs w:val="24"/>
          <w:lang w:val="en-CA"/>
        </w:rPr>
        <w:t>statistical</w:t>
      </w:r>
      <w:r w:rsidR="00AE65B4" w:rsidRPr="00D039E9">
        <w:rPr>
          <w:rFonts w:cs="Times"/>
          <w:szCs w:val="24"/>
          <w:lang w:val="en-CA"/>
        </w:rPr>
        <w:t xml:space="preserve"> </w:t>
      </w:r>
      <w:r w:rsidRPr="00D039E9">
        <w:rPr>
          <w:rFonts w:cs="Times"/>
          <w:szCs w:val="24"/>
          <w:lang w:val="en-CA"/>
        </w:rPr>
        <w:t xml:space="preserve">thermodynamic re-derivation of all the results. Here we refer to the original papers that used thermodynamic approaches. </w:t>
      </w:r>
    </w:p>
    <w:p w14:paraId="0A10EF5E" w14:textId="0E213506" w:rsidR="00F009F0" w:rsidRPr="00D039E9" w:rsidRDefault="00F009F0" w:rsidP="003872DB">
      <w:pPr>
        <w:pStyle w:val="TAMainText"/>
        <w:ind w:firstLine="0"/>
        <w:rPr>
          <w:rFonts w:cs="Times"/>
          <w:szCs w:val="24"/>
          <w:lang w:val="en-CA"/>
        </w:rPr>
      </w:pPr>
    </w:p>
    <w:p w14:paraId="2AFBEB11" w14:textId="12FC2A46" w:rsidR="00F009F0" w:rsidRPr="00D039E9" w:rsidRDefault="00F009F0" w:rsidP="003872DB">
      <w:pPr>
        <w:pStyle w:val="TAMainText"/>
        <w:ind w:firstLine="0"/>
        <w:rPr>
          <w:rFonts w:cs="Times"/>
          <w:szCs w:val="24"/>
          <w:lang w:val="en-CA"/>
        </w:rPr>
      </w:pPr>
      <w:r w:rsidRPr="00D039E9">
        <w:rPr>
          <w:rFonts w:cs="Times"/>
          <w:szCs w:val="24"/>
          <w:lang w:val="en-CA"/>
        </w:rPr>
        <w:t>Let us start fr</w:t>
      </w:r>
      <w:r w:rsidR="00F550F3" w:rsidRPr="00D039E9">
        <w:rPr>
          <w:rFonts w:cs="Times"/>
          <w:szCs w:val="24"/>
          <w:lang w:val="en-CA"/>
        </w:rPr>
        <w:t>om the following thermodynamic relationship</w:t>
      </w:r>
      <w:r w:rsidR="00F550F3" w:rsidRPr="00D039E9">
        <w:rPr>
          <w:rFonts w:cs="Times"/>
          <w:szCs w:val="24"/>
          <w:lang w:val="en-CA"/>
        </w:rPr>
        <w:fldChar w:fldCharType="begin" w:fldLock="1"/>
      </w:r>
      <w:r w:rsidR="00C65F5C" w:rsidRPr="00D039E9">
        <w:rPr>
          <w:rFonts w:cs="Times"/>
          <w:szCs w:val="24"/>
          <w:lang w:val="en-CA"/>
        </w:rPr>
        <w:instrText>ADDIN CSL_CITATION { "citationItems" : [ { "id" : "ITEM-1", "itemData" : { "DOI" : "10.1063/1.2011388", "ISSN" : "00219606", "PMID" : "16108695", "abstract" : "In the present paper a procedure to calculate the properties of proteins in aqueous mixed solvents, particularly the excesses of the constituents of the mixed solvent near the protein molecule and the preferential binding parameters, is suggested. Expressions for the Kirkwood-Buff integrals in ternary mixtures and for the preferential binding parameter were derived and used to calculate various properties of infinitely dilute proteins in aqueous mixed solvents. The derived expressions and experimental information regarding the partial molar volumes and the preferential binding parameters were used to calculate the excesses (deficits) of water and cosolvent (in comparison with the bulk concentrations of protein-free mixed solvent) in the vicinity of ribonuclease A, ribonuclease T1, and lysozyme molecules. The calculations showed that water was in excess in the vicinity of ribonuclease A for water/glycerol and water/trehalose mixtures, and the cosolvent urea was in excess in the vicinity of ribonuclease T1 and lysozyme. The derivative of the activity coefficient of the protein with respect to the mole fraction of water was also calculated. This derivative was negative for the water/glycerol and water/trehalose mixed solvents and positive for the water/urea mixture. The mixture of lysozyme in the water/urea solvent is of particular interest, because the lysozyme at pH 7.0 is in its native state up to 9.3M urea, while at pH 2.0 it is denaturated between 2.5 and 5M and higher concentrations of urea. Our results demonstrated a striking similarity in the hydration of lysozyme at both pHs. It is worthwhile to note that the excesses of urea were only weakly composition dependent on both cases.", "author" : [ { "dropping-particle" : "", "family" : "Shulgin", "given" : "Ivan L", "non-dropping-particle" : "", "parse-names" : false, "suffix" : "" }, { "dropping-particle" : "", "family" : "Ruckenstein", "given" : "Eli", "non-dropping-particle" : "", "parse-names" : false, "suffix" : "" } ], "container-title" : "Journal of Chemical Physics", "id" : "ITEM-1", "issue" : "5", "issued" : { "date-parts" : [ [ "2005" ] ] }, "page" : "054909/1-054909/9", "title" : "A protein molecule in an aqueous mixed solvent: Fluctuation theory outlook", "type" : "article-journal", "volume" : "123" }, "uris" : [ "http://www.mendeley.com/documents/?uuid=277b2516-18c8-4064-8993-76ed73d49386" ] } ], "mendeley" : { "formattedCitation" : "&lt;sup&gt;50&lt;/sup&gt;", "plainTextFormattedCitation" : "50", "previouslyFormattedCitation" : "&lt;sup&gt;50&lt;/sup&gt;" }, "properties" : { "noteIndex" : 0 }, "schema" : "https://github.com/citation-style-language/schema/raw/master/csl-citation.json" }</w:instrText>
      </w:r>
      <w:r w:rsidR="00F550F3" w:rsidRPr="00D039E9">
        <w:rPr>
          <w:rFonts w:cs="Times"/>
          <w:szCs w:val="24"/>
          <w:lang w:val="en-CA"/>
        </w:rPr>
        <w:fldChar w:fldCharType="separate"/>
      </w:r>
      <w:r w:rsidR="00BB3004" w:rsidRPr="00D039E9">
        <w:rPr>
          <w:rFonts w:cs="Times"/>
          <w:noProof/>
          <w:szCs w:val="24"/>
          <w:vertAlign w:val="superscript"/>
          <w:lang w:val="en-CA"/>
        </w:rPr>
        <w:t>50</w:t>
      </w:r>
      <w:r w:rsidR="00F550F3" w:rsidRPr="00D039E9">
        <w:rPr>
          <w:rFonts w:cs="Times"/>
          <w:szCs w:val="24"/>
          <w:lang w:val="en-CA"/>
        </w:rPr>
        <w:fldChar w:fldCharType="end"/>
      </w:r>
    </w:p>
    <w:p w14:paraId="3DA67CAC" w14:textId="2DB94953" w:rsidR="00582990" w:rsidRPr="00D039E9" w:rsidRDefault="000E5B3F" w:rsidP="00582990">
      <w:pPr>
        <w:pStyle w:val="TAMainText"/>
        <w:ind w:firstLine="0"/>
        <w:rPr>
          <w:rFonts w:cs="Times"/>
          <w:szCs w:val="24"/>
          <w:lang w:val="en-CA"/>
        </w:rPr>
      </w:pPr>
      <m:oMath>
        <m:sSub>
          <m:sSubPr>
            <m:ctrlPr>
              <w:rPr>
                <w:rFonts w:ascii="Cambria Math" w:hAnsi="Cambria Math" w:cs="Times"/>
                <w:i/>
                <w:szCs w:val="24"/>
                <w:lang w:val="en-CA"/>
              </w:rPr>
            </m:ctrlPr>
          </m:sSubPr>
          <m:e>
            <m:d>
              <m:dPr>
                <m:ctrlPr>
                  <w:rPr>
                    <w:rFonts w:ascii="Cambria Math" w:hAnsi="Cambria Math" w:cs="Times"/>
                    <w:i/>
                    <w:szCs w:val="24"/>
                    <w:lang w:val="en-CA"/>
                  </w:rPr>
                </m:ctrlPr>
              </m:dPr>
              <m:e>
                <m:f>
                  <m:fPr>
                    <m:ctrlPr>
                      <w:rPr>
                        <w:rFonts w:ascii="Cambria Math" w:hAnsi="Cambria Math" w:cs="Times"/>
                        <w:i/>
                        <w:szCs w:val="24"/>
                        <w:lang w:val="en-CA"/>
                      </w:rPr>
                    </m:ctrlPr>
                  </m:fPr>
                  <m:num>
                    <m:r>
                      <w:rPr>
                        <w:rFonts w:ascii="Cambria Math" w:hAnsi="Cambria Math" w:cs="Times"/>
                        <w:szCs w:val="24"/>
                        <w:lang w:val="en-CA"/>
                      </w:rPr>
                      <m:t>∂</m:t>
                    </m:r>
                    <m:sSub>
                      <m:sSubPr>
                        <m:ctrlPr>
                          <w:rPr>
                            <w:rFonts w:ascii="Cambria Math" w:hAnsi="Cambria Math" w:cs="Times"/>
                            <w:i/>
                            <w:szCs w:val="24"/>
                            <w:lang w:val="en-CA"/>
                          </w:rPr>
                        </m:ctrlPr>
                      </m:sSubPr>
                      <m:e>
                        <m:r>
                          <w:rPr>
                            <w:rFonts w:ascii="Cambria Math" w:hAnsi="Cambria Math" w:cs="Times"/>
                            <w:szCs w:val="24"/>
                            <w:lang w:val="en-CA"/>
                          </w:rPr>
                          <m:t>c</m:t>
                        </m:r>
                      </m:e>
                      <m:sub>
                        <m:r>
                          <w:rPr>
                            <w:rFonts w:ascii="Cambria Math" w:hAnsi="Cambria Math" w:cs="Times"/>
                            <w:szCs w:val="24"/>
                            <w:lang w:val="en-CA"/>
                          </w:rPr>
                          <m:t>F</m:t>
                        </m:r>
                      </m:sub>
                    </m:sSub>
                  </m:num>
                  <m:den>
                    <m:r>
                      <w:rPr>
                        <w:rFonts w:ascii="Cambria Math" w:hAnsi="Cambria Math" w:cs="Times"/>
                        <w:szCs w:val="24"/>
                        <w:lang w:val="en-CA"/>
                      </w:rPr>
                      <m:t>∂</m:t>
                    </m:r>
                    <m:sSub>
                      <m:sSubPr>
                        <m:ctrlPr>
                          <w:rPr>
                            <w:rFonts w:ascii="Cambria Math" w:hAnsi="Cambria Math" w:cs="Times"/>
                            <w:i/>
                            <w:szCs w:val="24"/>
                            <w:lang w:val="en-CA"/>
                          </w:rPr>
                        </m:ctrlPr>
                      </m:sSubPr>
                      <m:e>
                        <m:r>
                          <w:rPr>
                            <w:rFonts w:ascii="Cambria Math" w:hAnsi="Cambria Math" w:cs="Times"/>
                            <w:szCs w:val="24"/>
                            <w:lang w:val="en-CA"/>
                          </w:rPr>
                          <m:t>c</m:t>
                        </m:r>
                      </m:e>
                      <m:sub>
                        <m:r>
                          <w:rPr>
                            <w:rFonts w:ascii="Cambria Math" w:hAnsi="Cambria Math" w:cs="Times"/>
                            <w:szCs w:val="24"/>
                            <w:lang w:val="en-CA"/>
                          </w:rPr>
                          <m:t>P</m:t>
                        </m:r>
                      </m:sub>
                    </m:sSub>
                  </m:den>
                </m:f>
              </m:e>
            </m:d>
          </m:e>
          <m:sub>
            <m:r>
              <w:rPr>
                <w:rFonts w:ascii="Cambria Math" w:hAnsi="Cambria Math" w:cs="Times"/>
                <w:szCs w:val="24"/>
                <w:lang w:val="en-CA"/>
              </w:rPr>
              <m:t>T,P,</m:t>
            </m:r>
            <m:sSub>
              <m:sSubPr>
                <m:ctrlPr>
                  <w:rPr>
                    <w:rFonts w:ascii="Cambria Math" w:hAnsi="Cambria Math" w:cs="Times"/>
                    <w:i/>
                    <w:szCs w:val="24"/>
                    <w:lang w:val="en-CA"/>
                  </w:rPr>
                </m:ctrlPr>
              </m:sSubPr>
              <m:e>
                <m:r>
                  <w:rPr>
                    <w:rFonts w:ascii="Cambria Math" w:hAnsi="Cambria Math" w:cs="Times"/>
                    <w:szCs w:val="24"/>
                    <w:lang w:val="en-CA"/>
                  </w:rPr>
                  <m:t>μ</m:t>
                </m:r>
              </m:e>
              <m:sub>
                <m:r>
                  <w:rPr>
                    <w:rFonts w:ascii="Cambria Math" w:hAnsi="Cambria Math" w:cs="Times"/>
                    <w:szCs w:val="24"/>
                    <w:lang w:val="en-CA"/>
                  </w:rPr>
                  <m:t>F</m:t>
                </m:r>
              </m:sub>
            </m:sSub>
          </m:sub>
        </m:sSub>
        <m:r>
          <w:rPr>
            <w:rFonts w:ascii="Cambria Math" w:hAnsi="Cambria Math" w:cs="Times"/>
            <w:szCs w:val="24"/>
            <w:lang w:val="en-CA"/>
          </w:rPr>
          <m:t>=</m:t>
        </m:r>
        <m:d>
          <m:dPr>
            <m:ctrlPr>
              <w:rPr>
                <w:rFonts w:ascii="Cambria Math" w:hAnsi="Cambria Math" w:cs="Times"/>
                <w:i/>
                <w:szCs w:val="24"/>
                <w:lang w:val="en-CA"/>
              </w:rPr>
            </m:ctrlPr>
          </m:dPr>
          <m:e>
            <m:r>
              <w:rPr>
                <w:rFonts w:ascii="Cambria Math" w:hAnsi="Cambria Math" w:cs="Times"/>
                <w:szCs w:val="24"/>
                <w:lang w:val="en-CA"/>
              </w:rPr>
              <m:t>1-</m:t>
            </m:r>
            <m:sSub>
              <m:sSubPr>
                <m:ctrlPr>
                  <w:rPr>
                    <w:rFonts w:ascii="Cambria Math" w:hAnsi="Cambria Math" w:cs="Times"/>
                    <w:i/>
                    <w:szCs w:val="24"/>
                    <w:lang w:val="en-CA"/>
                  </w:rPr>
                </m:ctrlPr>
              </m:sSubPr>
              <m:e>
                <m:r>
                  <w:rPr>
                    <w:rFonts w:ascii="Cambria Math" w:hAnsi="Cambria Math" w:cs="Times"/>
                    <w:szCs w:val="24"/>
                    <w:lang w:val="en-CA"/>
                  </w:rPr>
                  <m:t>c</m:t>
                </m:r>
              </m:e>
              <m:sub>
                <m:r>
                  <w:rPr>
                    <w:rFonts w:ascii="Cambria Math" w:hAnsi="Cambria Math" w:cs="Times"/>
                    <w:szCs w:val="24"/>
                    <w:lang w:val="en-CA"/>
                  </w:rPr>
                  <m:t>F</m:t>
                </m:r>
              </m:sub>
            </m:sSub>
            <m:sSub>
              <m:sSubPr>
                <m:ctrlPr>
                  <w:rPr>
                    <w:rFonts w:ascii="Cambria Math" w:hAnsi="Cambria Math" w:cs="Times"/>
                    <w:i/>
                    <w:szCs w:val="24"/>
                    <w:lang w:val="en-CA"/>
                  </w:rPr>
                </m:ctrlPr>
              </m:sSubPr>
              <m:e>
                <m:r>
                  <w:rPr>
                    <w:rFonts w:ascii="Cambria Math" w:hAnsi="Cambria Math" w:cs="Times"/>
                    <w:szCs w:val="24"/>
                    <w:lang w:val="en-CA"/>
                  </w:rPr>
                  <m:t>V</m:t>
                </m:r>
              </m:e>
              <m:sub>
                <m:r>
                  <w:rPr>
                    <w:rFonts w:ascii="Cambria Math" w:hAnsi="Cambria Math" w:cs="Times"/>
                    <w:szCs w:val="24"/>
                    <w:lang w:val="en-CA"/>
                  </w:rPr>
                  <m:t>F</m:t>
                </m:r>
              </m:sub>
            </m:sSub>
          </m:e>
        </m:d>
        <m:sSub>
          <m:sSubPr>
            <m:ctrlPr>
              <w:rPr>
                <w:rFonts w:ascii="Cambria Math" w:hAnsi="Cambria Math" w:cs="Times"/>
                <w:i/>
                <w:szCs w:val="24"/>
                <w:lang w:val="en-CA"/>
              </w:rPr>
            </m:ctrlPr>
          </m:sSubPr>
          <m:e>
            <m:d>
              <m:dPr>
                <m:ctrlPr>
                  <w:rPr>
                    <w:rFonts w:ascii="Cambria Math" w:hAnsi="Cambria Math" w:cs="Times"/>
                    <w:i/>
                    <w:szCs w:val="24"/>
                    <w:lang w:val="en-CA"/>
                  </w:rPr>
                </m:ctrlPr>
              </m:dPr>
              <m:e>
                <m:f>
                  <m:fPr>
                    <m:ctrlPr>
                      <w:rPr>
                        <w:rFonts w:ascii="Cambria Math" w:hAnsi="Cambria Math" w:cs="Times"/>
                        <w:i/>
                        <w:szCs w:val="24"/>
                        <w:lang w:val="en-CA"/>
                      </w:rPr>
                    </m:ctrlPr>
                  </m:fPr>
                  <m:num>
                    <m:r>
                      <w:rPr>
                        <w:rFonts w:ascii="Cambria Math" w:hAnsi="Cambria Math" w:cs="Times"/>
                        <w:szCs w:val="24"/>
                        <w:lang w:val="en-CA"/>
                      </w:rPr>
                      <m:t>∂</m:t>
                    </m:r>
                    <m:sSub>
                      <m:sSubPr>
                        <m:ctrlPr>
                          <w:rPr>
                            <w:rFonts w:ascii="Cambria Math" w:hAnsi="Cambria Math" w:cs="Times"/>
                            <w:i/>
                            <w:szCs w:val="24"/>
                            <w:lang w:val="en-CA"/>
                          </w:rPr>
                        </m:ctrlPr>
                      </m:sSubPr>
                      <m:e>
                        <m:r>
                          <w:rPr>
                            <w:rFonts w:ascii="Cambria Math" w:hAnsi="Cambria Math" w:cs="Times"/>
                            <w:szCs w:val="24"/>
                            <w:lang w:val="en-CA"/>
                          </w:rPr>
                          <m:t>m</m:t>
                        </m:r>
                      </m:e>
                      <m:sub>
                        <m:r>
                          <w:rPr>
                            <w:rFonts w:ascii="Cambria Math" w:hAnsi="Cambria Math" w:cs="Times"/>
                            <w:szCs w:val="24"/>
                            <w:lang w:val="en-CA"/>
                          </w:rPr>
                          <m:t>F</m:t>
                        </m:r>
                      </m:sub>
                    </m:sSub>
                  </m:num>
                  <m:den>
                    <m:r>
                      <w:rPr>
                        <w:rFonts w:ascii="Cambria Math" w:hAnsi="Cambria Math" w:cs="Times"/>
                        <w:szCs w:val="24"/>
                        <w:lang w:val="en-CA"/>
                      </w:rPr>
                      <m:t>∂</m:t>
                    </m:r>
                    <m:sSub>
                      <m:sSubPr>
                        <m:ctrlPr>
                          <w:rPr>
                            <w:rFonts w:ascii="Cambria Math" w:hAnsi="Cambria Math" w:cs="Times"/>
                            <w:i/>
                            <w:szCs w:val="24"/>
                            <w:lang w:val="en-CA"/>
                          </w:rPr>
                        </m:ctrlPr>
                      </m:sSubPr>
                      <m:e>
                        <m:r>
                          <w:rPr>
                            <w:rFonts w:ascii="Cambria Math" w:hAnsi="Cambria Math" w:cs="Times"/>
                            <w:szCs w:val="24"/>
                            <w:lang w:val="en-CA"/>
                          </w:rPr>
                          <m:t>m</m:t>
                        </m:r>
                      </m:e>
                      <m:sub>
                        <m:r>
                          <w:rPr>
                            <w:rFonts w:ascii="Cambria Math" w:hAnsi="Cambria Math" w:cs="Times"/>
                            <w:szCs w:val="24"/>
                            <w:lang w:val="en-CA"/>
                          </w:rPr>
                          <m:t>P</m:t>
                        </m:r>
                      </m:sub>
                    </m:sSub>
                  </m:den>
                </m:f>
              </m:e>
            </m:d>
          </m:e>
          <m:sub>
            <m:r>
              <w:rPr>
                <w:rFonts w:ascii="Cambria Math" w:hAnsi="Cambria Math" w:cs="Times"/>
                <w:szCs w:val="24"/>
                <w:lang w:val="en-CA"/>
              </w:rPr>
              <m:t>T,P,</m:t>
            </m:r>
            <m:sSub>
              <m:sSubPr>
                <m:ctrlPr>
                  <w:rPr>
                    <w:rFonts w:ascii="Cambria Math" w:hAnsi="Cambria Math" w:cs="Times"/>
                    <w:i/>
                    <w:szCs w:val="24"/>
                    <w:lang w:val="en-CA"/>
                  </w:rPr>
                </m:ctrlPr>
              </m:sSubPr>
              <m:e>
                <m:r>
                  <w:rPr>
                    <w:rFonts w:ascii="Cambria Math" w:hAnsi="Cambria Math" w:cs="Times"/>
                    <w:szCs w:val="24"/>
                    <w:lang w:val="en-CA"/>
                  </w:rPr>
                  <m:t>μ</m:t>
                </m:r>
              </m:e>
              <m:sub>
                <m:r>
                  <w:rPr>
                    <w:rFonts w:ascii="Cambria Math" w:hAnsi="Cambria Math" w:cs="Times"/>
                    <w:szCs w:val="24"/>
                    <w:lang w:val="en-CA"/>
                  </w:rPr>
                  <m:t>F</m:t>
                </m:r>
              </m:sub>
            </m:sSub>
          </m:sub>
        </m:sSub>
        <m:r>
          <w:rPr>
            <w:rFonts w:ascii="Cambria Math" w:hAnsi="Cambria Math" w:cs="Times"/>
            <w:szCs w:val="24"/>
            <w:lang w:val="en-CA"/>
          </w:rPr>
          <m:t>-</m:t>
        </m:r>
        <m:sSub>
          <m:sSubPr>
            <m:ctrlPr>
              <w:rPr>
                <w:rFonts w:ascii="Cambria Math" w:hAnsi="Cambria Math" w:cs="Times"/>
                <w:i/>
                <w:szCs w:val="24"/>
                <w:lang w:val="en-CA"/>
              </w:rPr>
            </m:ctrlPr>
          </m:sSubPr>
          <m:e>
            <m:r>
              <w:rPr>
                <w:rFonts w:ascii="Cambria Math" w:hAnsi="Cambria Math" w:cs="Times"/>
                <w:szCs w:val="24"/>
                <w:lang w:val="en-CA"/>
              </w:rPr>
              <m:t>c</m:t>
            </m:r>
          </m:e>
          <m:sub>
            <m:r>
              <w:rPr>
                <w:rFonts w:ascii="Cambria Math" w:hAnsi="Cambria Math" w:cs="Times"/>
                <w:szCs w:val="24"/>
                <w:lang w:val="en-CA"/>
              </w:rPr>
              <m:t>F</m:t>
            </m:r>
          </m:sub>
        </m:sSub>
        <m:sSub>
          <m:sSubPr>
            <m:ctrlPr>
              <w:rPr>
                <w:rFonts w:ascii="Cambria Math" w:hAnsi="Cambria Math" w:cs="Times"/>
                <w:i/>
                <w:szCs w:val="24"/>
                <w:lang w:val="en-CA"/>
              </w:rPr>
            </m:ctrlPr>
          </m:sSubPr>
          <m:e>
            <m:r>
              <w:rPr>
                <w:rFonts w:ascii="Cambria Math" w:hAnsi="Cambria Math" w:cs="Times"/>
                <w:szCs w:val="24"/>
                <w:lang w:val="en-CA"/>
              </w:rPr>
              <m:t>V</m:t>
            </m:r>
          </m:e>
          <m:sub>
            <m:r>
              <w:rPr>
                <w:rFonts w:ascii="Cambria Math" w:hAnsi="Cambria Math" w:cs="Times"/>
                <w:szCs w:val="24"/>
                <w:lang w:val="en-CA"/>
              </w:rPr>
              <m:t>P</m:t>
            </m:r>
          </m:sub>
        </m:sSub>
      </m:oMath>
      <w:r w:rsidR="00582990" w:rsidRPr="00D039E9">
        <w:rPr>
          <w:rFonts w:cs="Times"/>
          <w:szCs w:val="24"/>
          <w:lang w:val="en-CA"/>
        </w:rPr>
        <w:tab/>
      </w:r>
      <w:r w:rsidR="00582990" w:rsidRPr="00D039E9">
        <w:rPr>
          <w:rFonts w:cs="Times"/>
          <w:szCs w:val="24"/>
          <w:lang w:val="en-CA"/>
        </w:rPr>
        <w:tab/>
      </w:r>
      <w:r w:rsidR="00582990" w:rsidRPr="00D039E9">
        <w:rPr>
          <w:rFonts w:cs="Times"/>
          <w:szCs w:val="24"/>
          <w:lang w:val="en-CA"/>
        </w:rPr>
        <w:tab/>
      </w:r>
      <w:r w:rsidR="00582990" w:rsidRPr="00D039E9">
        <w:rPr>
          <w:rFonts w:cs="Times"/>
          <w:szCs w:val="24"/>
          <w:lang w:val="en-CA"/>
        </w:rPr>
        <w:tab/>
      </w:r>
      <w:r w:rsidR="00582990" w:rsidRPr="00D039E9">
        <w:rPr>
          <w:rFonts w:cs="Times"/>
          <w:szCs w:val="24"/>
          <w:lang w:val="en-CA"/>
        </w:rPr>
        <w:tab/>
      </w:r>
      <w:r w:rsidR="00582990" w:rsidRPr="00D039E9">
        <w:rPr>
          <w:rFonts w:cs="Times"/>
          <w:szCs w:val="24"/>
          <w:lang w:val="en-CA"/>
        </w:rPr>
        <w:tab/>
      </w:r>
      <w:r w:rsidR="001E7FBA" w:rsidRPr="00D039E9">
        <w:rPr>
          <w:rFonts w:cs="Times"/>
          <w:szCs w:val="24"/>
          <w:lang w:val="en-CA"/>
        </w:rPr>
        <w:t>(C</w:t>
      </w:r>
      <w:r w:rsidR="00582990" w:rsidRPr="00D039E9">
        <w:rPr>
          <w:rFonts w:cs="Times"/>
          <w:szCs w:val="24"/>
          <w:lang w:val="en-CA"/>
        </w:rPr>
        <w:t xml:space="preserve">1) </w:t>
      </w:r>
    </w:p>
    <w:p w14:paraId="0E56FECD" w14:textId="208C8327" w:rsidR="00007049" w:rsidRPr="00D039E9" w:rsidRDefault="00582990" w:rsidP="00007049">
      <w:pPr>
        <w:pStyle w:val="TAMainText"/>
        <w:ind w:firstLine="0"/>
        <w:rPr>
          <w:rFonts w:cs="Times"/>
          <w:szCs w:val="24"/>
          <w:lang w:val="en-CA"/>
        </w:rPr>
      </w:pPr>
      <w:r w:rsidRPr="00D039E9">
        <w:rPr>
          <w:rFonts w:cs="Times"/>
          <w:szCs w:val="24"/>
          <w:lang w:val="en-CA"/>
        </w:rPr>
        <w:t xml:space="preserve">which </w:t>
      </w:r>
      <w:r w:rsidR="00063E72" w:rsidRPr="00D039E9">
        <w:rPr>
          <w:rFonts w:cs="Times"/>
          <w:szCs w:val="24"/>
          <w:lang w:val="en-CA"/>
        </w:rPr>
        <w:t>holds true for proteins at infinite-dilution. The same qua</w:t>
      </w:r>
      <w:r w:rsidR="001E7FBA" w:rsidRPr="00D039E9">
        <w:rPr>
          <w:rFonts w:cs="Times"/>
          <w:szCs w:val="24"/>
          <w:lang w:val="en-CA"/>
        </w:rPr>
        <w:t>n</w:t>
      </w:r>
      <w:r w:rsidR="00063E72" w:rsidRPr="00D039E9">
        <w:rPr>
          <w:rFonts w:cs="Times"/>
          <w:szCs w:val="24"/>
          <w:lang w:val="en-CA"/>
        </w:rPr>
        <w:t xml:space="preserve">tity can be expressed statistical thermodynamically </w:t>
      </w:r>
      <w:r w:rsidR="001E7FBA" w:rsidRPr="00D039E9">
        <w:rPr>
          <w:rFonts w:cs="Times"/>
          <w:szCs w:val="24"/>
          <w:lang w:val="en-CA"/>
        </w:rPr>
        <w:t>as</w:t>
      </w:r>
      <w:r w:rsidR="00F550F3" w:rsidRPr="00D039E9">
        <w:rPr>
          <w:rFonts w:cs="Times"/>
          <w:szCs w:val="24"/>
          <w:lang w:val="en-CA"/>
        </w:rPr>
        <w:fldChar w:fldCharType="begin" w:fldLock="1"/>
      </w:r>
      <w:r w:rsidR="00C65F5C" w:rsidRPr="00D039E9">
        <w:rPr>
          <w:rFonts w:cs="Times"/>
          <w:szCs w:val="24"/>
          <w:lang w:val="en-CA"/>
        </w:rPr>
        <w:instrText>ADDIN CSL_CITATION { "citationItems" : [ { "id" : "ITEM-1", "itemData" : { "DOI" : "10.1063/1.2011388", "ISSN" : "00219606", "PMID" : "16108695", "abstract" : "In the present paper a procedure to calculate the properties of proteins in aqueous mixed solvents, particularly the excesses of the constituents of the mixed solvent near the protein molecule and the preferential binding parameters, is suggested. Expressions for the Kirkwood-Buff integrals in ternary mixtures and for the preferential binding parameter were derived and used to calculate various properties of infinitely dilute proteins in aqueous mixed solvents. The derived expressions and experimental information regarding the partial molar volumes and the preferential binding parameters were used to calculate the excesses (deficits) of water and cosolvent (in comparison with the bulk concentrations of protein-free mixed solvent) in the vicinity of ribonuclease A, ribonuclease T1, and lysozyme molecules. The calculations showed that water was in excess in the vicinity of ribonuclease A for water/glycerol and water/trehalose mixtures, and the cosolvent urea was in excess in the vicinity of ribonuclease T1 and lysozyme. The derivative of the activity coefficient of the protein with respect to the mole fraction of water was also calculated. This derivative was negative for the water/glycerol and water/trehalose mixed solvents and positive for the water/urea mixture. The mixture of lysozyme in the water/urea solvent is of particular interest, because the lysozyme at pH 7.0 is in its native state up to 9.3M urea, while at pH 2.0 it is denaturated between 2.5 and 5M and higher concentrations of urea. Our results demonstrated a striking similarity in the hydration of lysozyme at both pHs. It is worthwhile to note that the excesses of urea were only weakly composition dependent on both cases.", "author" : [ { "dropping-particle" : "", "family" : "Shulgin", "given" : "Ivan L", "non-dropping-particle" : "", "parse-names" : false, "suffix" : "" }, { "dropping-particle" : "", "family" : "Ruckenstein", "given" : "Eli", "non-dropping-particle" : "", "parse-names" : false, "suffix" : "" } ], "container-title" : "Journal of Chemical Physics", "id" : "ITEM-1", "issue" : "5", "issued" : { "date-parts" : [ [ "2005" ] ] }, "page" : "054909/1-054909/9", "title" : "A protein molecule in an aqueous mixed solvent: Fluctuation theory outlook", "type" : "article-journal", "volume" : "123" }, "uris" : [ "http://www.mendeley.com/documents/?uuid=277b2516-18c8-4064-8993-76ed73d49386" ] }, { "id" : "ITEM-2", "itemData" : { "DOI" : "10.1063/1.2206174", "ISBN" : "0021-9606 (Print)\\r0021-9606 (Linking)", "ISSN" : "00219606", "PMID" : "16821951", "abstract" : "In order to understand the origin of the Hofmeister series, a statistical-mechanical analysis, based upon the Kirkwood-Buff (KB) theory, has been performed to extract information regarding protein hydration and water-mediated protein-salt interactions from published experimental data-preferential hydration and volumetric data for bovine serum albumin in the presence of a wide range of salts. The analysis showed a linear correlation between the preferential hydration parameter and the protein-cosolvent KB parameter. The same linear correlation holds even when nonelectrolyte cosolvents, such as polyethelene glycol, have been incorporated. These results suggest that the Hofmeister series is due to a wide variation of the water-mediated protein-cosolvent interaction (but not the change of protein hydration) and that this mechanism is a special case of a more general scenario common even to the macromolecular crowding.", "author" : [ { "dropping-particle" : "", "family" : "Shimizu", "given" : "Seishi", "non-dropping-particle" : "", "parse-names" : false, "suffix" : "" }, { "dropping-particle" : "", "family" : "McLaren", "given" : "William M.", "non-dropping-particle" : "", "parse-names" : false, "suffix" : "" }, { "dropping-particle" : "", "family" : "Matubayasi", "given" : "Nobuyuki", "non-dropping-particle" : "", "parse-names" : false, "suffix" : "" } ], "container-title" : "Journal of Chemical Physics", "id" : "ITEM-2", "issue" : "23", "issued" : { "date-parts" : [ [ "2006" ] ] }, "page" : "234905/1-234905/4", "title" : "The Hofmeister series and protein-salt interactions", "type" : "article-journal", "volume" : "124" }, "uris" : [ "http://www.mendeley.com/documents/?uuid=0a70a1b5-2739-4d43-a695-db256c211fdf" ] }, { "id" : "ITEM-3", "itemData" : { "DOI" : "10.1016/j.cplett.2006.01.034", "ISBN" : "0009-2614", "ISSN" : "00092614", "abstract" : "The presence of cosolvents affects the stability of proteins in aqueous solutions. Some (such as trehalose and polyethelene glycol) enhances the stability of proteins, whereas others (such as urea) denatures the proteins. We explain different actions of cosolvents based upon the recent theoretical developments in the application of Kirkwood-Buff theory. ?? 2006 Elsevier B.V. All rights reserved.", "author" : [ { "dropping-particle" : "", "family" : "Shimizu", "given" : "Seishi", "non-dropping-particle" : "", "parse-names" : false, "suffix" : "" }, { "dropping-particle" : "", "family" : "Matubayasi", "given" : "Nobuyuki", "non-dropping-particle" : "", "parse-names" : false, "suffix" : "" } ], "container-title" : "Chemical Physics Letters", "id" : "ITEM-3", "issue" : "4-6", "issued" : { "date-parts" : [ [ "2006" ] ] }, "page" : "518-522", "title" : "Preferential hydration of proteins: A Kirkwood-Buff approach", "type" : "article-journal", "volume" : "420" }, "uris" : [ "http://www.mendeley.com/documents/?uuid=e14dd7a1-f47c-4670-9b45-0128a02a27f4" ] } ], "mendeley" : { "formattedCitation" : "&lt;sup&gt;13,50,72&lt;/sup&gt;", "plainTextFormattedCitation" : "13,50,72", "previouslyFormattedCitation" : "&lt;sup&gt;13,50,72&lt;/sup&gt;" }, "properties" : { "noteIndex" : 0 }, "schema" : "https://github.com/citation-style-language/schema/raw/master/csl-citation.json" }</w:instrText>
      </w:r>
      <w:r w:rsidR="00F550F3" w:rsidRPr="00D039E9">
        <w:rPr>
          <w:rFonts w:cs="Times"/>
          <w:szCs w:val="24"/>
          <w:lang w:val="en-CA"/>
        </w:rPr>
        <w:fldChar w:fldCharType="separate"/>
      </w:r>
      <w:r w:rsidR="00BB3004" w:rsidRPr="00D039E9">
        <w:rPr>
          <w:rFonts w:cs="Times"/>
          <w:noProof/>
          <w:szCs w:val="24"/>
          <w:vertAlign w:val="superscript"/>
          <w:lang w:val="en-CA"/>
        </w:rPr>
        <w:t>13,50,72</w:t>
      </w:r>
      <w:r w:rsidR="00F550F3" w:rsidRPr="00D039E9">
        <w:rPr>
          <w:rFonts w:cs="Times"/>
          <w:szCs w:val="24"/>
          <w:lang w:val="en-CA"/>
        </w:rPr>
        <w:fldChar w:fldCharType="end"/>
      </w:r>
      <w:r w:rsidR="001E7FBA" w:rsidRPr="00D039E9">
        <w:rPr>
          <w:rFonts w:cs="Times"/>
          <w:szCs w:val="24"/>
          <w:lang w:val="en-CA"/>
        </w:rPr>
        <w:t xml:space="preserve"> </w:t>
      </w:r>
    </w:p>
    <w:p w14:paraId="3A79A80F" w14:textId="440437F3" w:rsidR="00007049" w:rsidRPr="00D039E9" w:rsidRDefault="000E5B3F" w:rsidP="00007049">
      <w:pPr>
        <w:pStyle w:val="TAMainText"/>
        <w:ind w:firstLine="0"/>
        <w:rPr>
          <w:rFonts w:cs="Times"/>
          <w:lang w:val="en-CA"/>
        </w:rPr>
      </w:pPr>
      <m:oMath>
        <m:sSub>
          <m:sSubPr>
            <m:ctrlPr>
              <w:rPr>
                <w:rFonts w:ascii="Cambria Math" w:hAnsi="Cambria Math" w:cs="Times"/>
                <w:i/>
                <w:lang w:val="en-CA"/>
              </w:rPr>
            </m:ctrlPr>
          </m:sSubPr>
          <m:e>
            <m:d>
              <m:dPr>
                <m:ctrlPr>
                  <w:rPr>
                    <w:rFonts w:ascii="Cambria Math" w:hAnsi="Cambria Math" w:cs="Times"/>
                    <w:i/>
                    <w:lang w:val="en-CA"/>
                  </w:rPr>
                </m:ctrlPr>
              </m:dPr>
              <m:e>
                <m:f>
                  <m:fPr>
                    <m:ctrlPr>
                      <w:rPr>
                        <w:rFonts w:ascii="Cambria Math" w:hAnsi="Cambria Math" w:cs="Times"/>
                        <w:i/>
                        <w:lang w:val="en-CA"/>
                      </w:rPr>
                    </m:ctrlPr>
                  </m:fPr>
                  <m:num>
                    <m:r>
                      <w:rPr>
                        <w:rFonts w:ascii="Cambria Math" w:hAnsi="Cambria Math" w:cs="Times"/>
                        <w:lang w:val="en-CA"/>
                      </w:rPr>
                      <m:t>∂</m:t>
                    </m:r>
                    <m:sSub>
                      <m:sSubPr>
                        <m:ctrlPr>
                          <w:rPr>
                            <w:rFonts w:ascii="Cambria Math" w:hAnsi="Cambria Math" w:cs="Times"/>
                            <w:i/>
                            <w:lang w:val="en-CA"/>
                          </w:rPr>
                        </m:ctrlPr>
                      </m:sSubPr>
                      <m:e>
                        <m:r>
                          <w:rPr>
                            <w:rFonts w:ascii="Cambria Math" w:hAnsi="Cambria Math" w:cs="Times"/>
                            <w:lang w:val="en-CA"/>
                          </w:rPr>
                          <m:t>c</m:t>
                        </m:r>
                      </m:e>
                      <m:sub>
                        <m:r>
                          <w:rPr>
                            <w:rFonts w:ascii="Cambria Math" w:hAnsi="Cambria Math" w:cs="Times"/>
                            <w:lang w:val="en-CA"/>
                          </w:rPr>
                          <m:t>F</m:t>
                        </m:r>
                      </m:sub>
                    </m:sSub>
                  </m:num>
                  <m:den>
                    <m:r>
                      <w:rPr>
                        <w:rFonts w:ascii="Cambria Math" w:hAnsi="Cambria Math" w:cs="Times"/>
                        <w:lang w:val="en-CA"/>
                      </w:rPr>
                      <m:t>∂</m:t>
                    </m:r>
                    <m:sSub>
                      <m:sSubPr>
                        <m:ctrlPr>
                          <w:rPr>
                            <w:rFonts w:ascii="Cambria Math" w:hAnsi="Cambria Math" w:cs="Times"/>
                            <w:i/>
                            <w:lang w:val="en-CA"/>
                          </w:rPr>
                        </m:ctrlPr>
                      </m:sSubPr>
                      <m:e>
                        <m:r>
                          <w:rPr>
                            <w:rFonts w:ascii="Cambria Math" w:hAnsi="Cambria Math" w:cs="Times"/>
                            <w:lang w:val="en-CA"/>
                          </w:rPr>
                          <m:t>c</m:t>
                        </m:r>
                      </m:e>
                      <m:sub>
                        <m:r>
                          <w:rPr>
                            <w:rFonts w:ascii="Cambria Math" w:hAnsi="Cambria Math" w:cs="Times"/>
                            <w:lang w:val="en-CA"/>
                          </w:rPr>
                          <m:t>P</m:t>
                        </m:r>
                      </m:sub>
                    </m:sSub>
                  </m:den>
                </m:f>
              </m:e>
            </m:d>
          </m:e>
          <m:sub>
            <m:r>
              <w:rPr>
                <w:rFonts w:ascii="Cambria Math" w:hAnsi="Cambria Math" w:cs="Times"/>
                <w:lang w:val="en-CA"/>
              </w:rPr>
              <m:t>T,P,</m:t>
            </m:r>
            <m:sSub>
              <m:sSubPr>
                <m:ctrlPr>
                  <w:rPr>
                    <w:rFonts w:ascii="Cambria Math" w:hAnsi="Cambria Math" w:cs="Times"/>
                    <w:i/>
                    <w:lang w:val="en-CA"/>
                  </w:rPr>
                </m:ctrlPr>
              </m:sSubPr>
              <m:e>
                <m:r>
                  <w:rPr>
                    <w:rFonts w:ascii="Cambria Math" w:hAnsi="Cambria Math" w:cs="Times"/>
                    <w:lang w:val="en-CA"/>
                  </w:rPr>
                  <m:t>μ</m:t>
                </m:r>
              </m:e>
              <m:sub>
                <m:r>
                  <w:rPr>
                    <w:rFonts w:ascii="Cambria Math" w:hAnsi="Cambria Math" w:cs="Times"/>
                    <w:lang w:val="en-CA"/>
                  </w:rPr>
                  <m:t>F</m:t>
                </m:r>
              </m:sub>
            </m:sSub>
          </m:sub>
        </m:sSub>
        <m:r>
          <w:rPr>
            <w:rFonts w:ascii="Cambria Math" w:hAnsi="Cambria Math" w:cs="Times"/>
            <w:lang w:val="en-CA"/>
          </w:rPr>
          <m:t>=</m:t>
        </m:r>
        <m:sSub>
          <m:sSubPr>
            <m:ctrlPr>
              <w:rPr>
                <w:rFonts w:ascii="Cambria Math" w:hAnsi="Cambria Math" w:cs="Times"/>
                <w:i/>
                <w:lang w:val="en-CA"/>
              </w:rPr>
            </m:ctrlPr>
          </m:sSubPr>
          <m:e>
            <m:r>
              <w:rPr>
                <w:rFonts w:ascii="Cambria Math" w:hAnsi="Cambria Math" w:cs="Times"/>
                <w:lang w:val="en-CA"/>
              </w:rPr>
              <m:t>c</m:t>
            </m:r>
          </m:e>
          <m:sub>
            <m:r>
              <w:rPr>
                <w:rFonts w:ascii="Cambria Math" w:hAnsi="Cambria Math" w:cs="Times"/>
                <w:lang w:val="en-CA"/>
              </w:rPr>
              <m:t>F</m:t>
            </m:r>
          </m:sub>
        </m:sSub>
        <m:d>
          <m:dPr>
            <m:ctrlPr>
              <w:rPr>
                <w:rFonts w:ascii="Cambria Math" w:hAnsi="Cambria Math" w:cs="Times"/>
                <w:i/>
                <w:lang w:val="en-CA"/>
              </w:rPr>
            </m:ctrlPr>
          </m:dPr>
          <m:e>
            <m:sSub>
              <m:sSubPr>
                <m:ctrlPr>
                  <w:rPr>
                    <w:rFonts w:ascii="Cambria Math" w:hAnsi="Cambria Math" w:cs="Times"/>
                    <w:i/>
                    <w:lang w:val="en-CA"/>
                  </w:rPr>
                </m:ctrlPr>
              </m:sSubPr>
              <m:e>
                <m:r>
                  <w:rPr>
                    <w:rFonts w:ascii="Cambria Math" w:hAnsi="Cambria Math" w:cs="Times"/>
                    <w:lang w:val="en-CA"/>
                  </w:rPr>
                  <m:t>G</m:t>
                </m:r>
              </m:e>
              <m:sub>
                <m:r>
                  <w:rPr>
                    <w:rFonts w:ascii="Cambria Math" w:hAnsi="Cambria Math" w:cs="Times"/>
                    <w:lang w:val="en-CA"/>
                  </w:rPr>
                  <m:t>PF</m:t>
                </m:r>
              </m:sub>
            </m:sSub>
            <m:r>
              <w:rPr>
                <w:rFonts w:ascii="Cambria Math" w:hAnsi="Cambria Math" w:cs="Times"/>
                <w:lang w:val="en-CA"/>
              </w:rPr>
              <m:t>-</m:t>
            </m:r>
            <m:sSub>
              <m:sSubPr>
                <m:ctrlPr>
                  <w:rPr>
                    <w:rFonts w:ascii="Cambria Math" w:hAnsi="Cambria Math" w:cs="Times"/>
                    <w:i/>
                    <w:lang w:val="en-CA"/>
                  </w:rPr>
                </m:ctrlPr>
              </m:sSubPr>
              <m:e>
                <m:r>
                  <w:rPr>
                    <w:rFonts w:ascii="Cambria Math" w:hAnsi="Cambria Math" w:cs="Times"/>
                    <w:lang w:val="en-CA"/>
                  </w:rPr>
                  <m:t>G</m:t>
                </m:r>
              </m:e>
              <m:sub>
                <m:r>
                  <w:rPr>
                    <w:rFonts w:ascii="Cambria Math" w:hAnsi="Cambria Math" w:cs="Times"/>
                    <w:lang w:val="en-CA"/>
                  </w:rPr>
                  <m:t>FW</m:t>
                </m:r>
              </m:sub>
            </m:sSub>
          </m:e>
        </m:d>
        <m:r>
          <w:rPr>
            <w:rFonts w:ascii="Cambria Math" w:hAnsi="Cambria Math" w:cs="Times"/>
            <w:lang w:val="en-CA"/>
          </w:rPr>
          <m:t>≈</m:t>
        </m:r>
        <m:sSub>
          <m:sSubPr>
            <m:ctrlPr>
              <w:rPr>
                <w:rFonts w:ascii="Cambria Math" w:hAnsi="Cambria Math" w:cs="Times"/>
                <w:i/>
                <w:lang w:val="en-CA"/>
              </w:rPr>
            </m:ctrlPr>
          </m:sSubPr>
          <m:e>
            <m:r>
              <w:rPr>
                <w:rFonts w:ascii="Cambria Math" w:hAnsi="Cambria Math" w:cs="Times"/>
                <w:lang w:val="en-CA"/>
              </w:rPr>
              <m:t>c</m:t>
            </m:r>
          </m:e>
          <m:sub>
            <m:r>
              <w:rPr>
                <w:rFonts w:ascii="Cambria Math" w:hAnsi="Cambria Math" w:cs="Times"/>
                <w:lang w:val="en-CA"/>
              </w:rPr>
              <m:t>F</m:t>
            </m:r>
          </m:sub>
        </m:sSub>
        <m:sSub>
          <m:sSubPr>
            <m:ctrlPr>
              <w:rPr>
                <w:rFonts w:ascii="Cambria Math" w:hAnsi="Cambria Math" w:cs="Times"/>
                <w:i/>
                <w:lang w:val="en-CA"/>
              </w:rPr>
            </m:ctrlPr>
          </m:sSubPr>
          <m:e>
            <m:r>
              <w:rPr>
                <w:rFonts w:ascii="Cambria Math" w:hAnsi="Cambria Math" w:cs="Times"/>
                <w:lang w:val="en-CA"/>
              </w:rPr>
              <m:t>G</m:t>
            </m:r>
          </m:e>
          <m:sub>
            <m:r>
              <w:rPr>
                <w:rFonts w:ascii="Cambria Math" w:hAnsi="Cambria Math" w:cs="Times"/>
                <w:lang w:val="en-CA"/>
              </w:rPr>
              <m:t>PF</m:t>
            </m:r>
          </m:sub>
        </m:sSub>
      </m:oMath>
      <w:r w:rsidR="00007049" w:rsidRPr="00D039E9">
        <w:rPr>
          <w:rFonts w:cs="Times"/>
          <w:lang w:val="en-CA"/>
        </w:rPr>
        <w:tab/>
      </w:r>
      <w:r w:rsidR="00007049" w:rsidRPr="00D039E9">
        <w:rPr>
          <w:rFonts w:cs="Times"/>
          <w:lang w:val="en-CA"/>
        </w:rPr>
        <w:tab/>
      </w:r>
      <w:r w:rsidR="00007049" w:rsidRPr="00D039E9">
        <w:rPr>
          <w:rFonts w:cs="Times"/>
          <w:lang w:val="en-CA"/>
        </w:rPr>
        <w:tab/>
      </w:r>
      <w:r w:rsidR="001E7FBA" w:rsidRPr="00D039E9">
        <w:rPr>
          <w:rFonts w:cs="Times"/>
          <w:lang w:val="en-CA"/>
        </w:rPr>
        <w:tab/>
      </w:r>
      <w:r w:rsidR="001E7FBA" w:rsidRPr="00D039E9">
        <w:rPr>
          <w:rFonts w:cs="Times"/>
          <w:lang w:val="en-CA"/>
        </w:rPr>
        <w:tab/>
      </w:r>
      <w:r w:rsidR="001E7FBA" w:rsidRPr="00D039E9">
        <w:rPr>
          <w:rFonts w:cs="Times"/>
          <w:lang w:val="en-CA"/>
        </w:rPr>
        <w:tab/>
      </w:r>
      <w:r w:rsidR="001E7FBA" w:rsidRPr="00D039E9">
        <w:rPr>
          <w:rFonts w:cs="Times"/>
          <w:lang w:val="en-CA"/>
        </w:rPr>
        <w:tab/>
        <w:t>(C</w:t>
      </w:r>
      <w:r w:rsidR="00007049" w:rsidRPr="00D039E9">
        <w:rPr>
          <w:rFonts w:cs="Times"/>
          <w:lang w:val="en-CA"/>
        </w:rPr>
        <w:t>2)</w:t>
      </w:r>
    </w:p>
    <w:p w14:paraId="37BABF41" w14:textId="77777777" w:rsidR="00195527" w:rsidRPr="00D039E9" w:rsidRDefault="00007049" w:rsidP="00195527">
      <w:pPr>
        <w:pStyle w:val="TAMainText"/>
        <w:ind w:firstLine="0"/>
        <w:rPr>
          <w:rFonts w:cs="Times"/>
          <w:szCs w:val="24"/>
          <w:lang w:val="en-CA"/>
        </w:rPr>
      </w:pPr>
      <w:r w:rsidRPr="00D039E9">
        <w:rPr>
          <w:rFonts w:cs="Times"/>
          <w:lang w:val="en-CA"/>
        </w:rPr>
        <w:t xml:space="preserve">The approximation holds true since biomolecules are much larger than flavour molecules, hence </w:t>
      </w:r>
      <m:oMath>
        <m:d>
          <m:dPr>
            <m:begChr m:val="|"/>
            <m:endChr m:val="|"/>
            <m:ctrlPr>
              <w:rPr>
                <w:rFonts w:ascii="Cambria Math" w:hAnsi="Cambria Math" w:cs="Times"/>
                <w:i/>
                <w:lang w:val="en-CA"/>
              </w:rPr>
            </m:ctrlPr>
          </m:dPr>
          <m:e>
            <m:sSub>
              <m:sSubPr>
                <m:ctrlPr>
                  <w:rPr>
                    <w:rFonts w:ascii="Cambria Math" w:hAnsi="Cambria Math" w:cs="Times"/>
                    <w:i/>
                    <w:lang w:val="en-CA"/>
                  </w:rPr>
                </m:ctrlPr>
              </m:sSubPr>
              <m:e>
                <m:r>
                  <w:rPr>
                    <w:rFonts w:ascii="Cambria Math" w:hAnsi="Cambria Math" w:cs="Times"/>
                    <w:lang w:val="en-CA"/>
                  </w:rPr>
                  <m:t>G</m:t>
                </m:r>
              </m:e>
              <m:sub>
                <m:r>
                  <w:rPr>
                    <w:rFonts w:ascii="Cambria Math" w:hAnsi="Cambria Math" w:cs="Times"/>
                    <w:lang w:val="en-CA"/>
                  </w:rPr>
                  <m:t>PF</m:t>
                </m:r>
              </m:sub>
            </m:sSub>
          </m:e>
        </m:d>
        <m:r>
          <w:rPr>
            <w:rFonts w:ascii="Cambria Math" w:hAnsi="Cambria Math" w:cs="Times"/>
            <w:lang w:val="en-CA"/>
          </w:rPr>
          <m:t>≫</m:t>
        </m:r>
        <m:d>
          <m:dPr>
            <m:begChr m:val="|"/>
            <m:endChr m:val="|"/>
            <m:ctrlPr>
              <w:rPr>
                <w:rFonts w:ascii="Cambria Math" w:hAnsi="Cambria Math" w:cs="Times"/>
                <w:i/>
                <w:lang w:val="en-CA"/>
              </w:rPr>
            </m:ctrlPr>
          </m:dPr>
          <m:e>
            <m:sSub>
              <m:sSubPr>
                <m:ctrlPr>
                  <w:rPr>
                    <w:rFonts w:ascii="Cambria Math" w:hAnsi="Cambria Math" w:cs="Times"/>
                    <w:i/>
                    <w:lang w:val="en-CA"/>
                  </w:rPr>
                </m:ctrlPr>
              </m:sSubPr>
              <m:e>
                <m:r>
                  <w:rPr>
                    <w:rFonts w:ascii="Cambria Math" w:hAnsi="Cambria Math" w:cs="Times"/>
                    <w:lang w:val="en-CA"/>
                  </w:rPr>
                  <m:t>G</m:t>
                </m:r>
              </m:e>
              <m:sub>
                <m:r>
                  <w:rPr>
                    <w:rFonts w:ascii="Cambria Math" w:hAnsi="Cambria Math" w:cs="Times"/>
                    <w:lang w:val="en-CA"/>
                  </w:rPr>
                  <m:t>FW</m:t>
                </m:r>
              </m:sub>
            </m:sSub>
          </m:e>
        </m:d>
      </m:oMath>
      <w:r w:rsidR="00063E72" w:rsidRPr="00D039E9">
        <w:rPr>
          <w:rFonts w:cs="Times"/>
          <w:szCs w:val="24"/>
          <w:lang w:val="en-CA"/>
        </w:rPr>
        <w:t xml:space="preserve"> in Eq. (</w:t>
      </w:r>
      <w:r w:rsidR="001E7FBA" w:rsidRPr="00D039E9">
        <w:rPr>
          <w:rFonts w:cs="Times"/>
          <w:szCs w:val="24"/>
          <w:lang w:val="en-CA"/>
        </w:rPr>
        <w:t>C2). Combining Eqs. (C1) and (C</w:t>
      </w:r>
      <w:r w:rsidRPr="00D039E9">
        <w:rPr>
          <w:rFonts w:cs="Times"/>
          <w:szCs w:val="24"/>
          <w:lang w:val="en-CA"/>
        </w:rPr>
        <w:t>2</w:t>
      </w:r>
      <w:r w:rsidR="00063E72" w:rsidRPr="00D039E9">
        <w:rPr>
          <w:rFonts w:cs="Times"/>
          <w:szCs w:val="24"/>
          <w:lang w:val="en-CA"/>
        </w:rPr>
        <w:t>)</w:t>
      </w:r>
      <w:r w:rsidR="001E7FBA" w:rsidRPr="00D039E9">
        <w:rPr>
          <w:rFonts w:cs="Times"/>
          <w:szCs w:val="24"/>
          <w:lang w:val="en-CA"/>
        </w:rPr>
        <w:t xml:space="preserve"> yields Eq. (8</w:t>
      </w:r>
      <w:r w:rsidRPr="00D039E9">
        <w:rPr>
          <w:rFonts w:cs="Times"/>
          <w:szCs w:val="24"/>
          <w:lang w:val="en-CA"/>
        </w:rPr>
        <w:t xml:space="preserve">). </w:t>
      </w:r>
      <w:r w:rsidR="00063E72" w:rsidRPr="00D039E9">
        <w:rPr>
          <w:rFonts w:cs="Times"/>
          <w:szCs w:val="24"/>
          <w:lang w:val="en-CA"/>
        </w:rPr>
        <w:t xml:space="preserve"> </w:t>
      </w:r>
    </w:p>
    <w:p w14:paraId="22AF3164" w14:textId="5E348B2E" w:rsidR="00195527" w:rsidRPr="00D039E9" w:rsidRDefault="00195527" w:rsidP="00AF7350">
      <w:pPr>
        <w:spacing w:after="160" w:line="259" w:lineRule="auto"/>
        <w:jc w:val="left"/>
        <w:rPr>
          <w:rFonts w:cs="Times"/>
          <w:szCs w:val="24"/>
          <w:lang w:val="en-CA"/>
        </w:rPr>
      </w:pPr>
      <w:r w:rsidRPr="00D039E9">
        <w:rPr>
          <w:rFonts w:cs="Times"/>
          <w:szCs w:val="24"/>
          <w:lang w:val="en-CA"/>
        </w:rPr>
        <w:br w:type="page"/>
      </w:r>
    </w:p>
    <w:p w14:paraId="490573AB" w14:textId="58441C5D" w:rsidR="00561360" w:rsidRPr="00D039E9" w:rsidRDefault="00561360" w:rsidP="002B6208">
      <w:pPr>
        <w:widowControl w:val="0"/>
        <w:autoSpaceDE w:val="0"/>
        <w:autoSpaceDN w:val="0"/>
        <w:adjustRightInd w:val="0"/>
        <w:spacing w:after="160"/>
        <w:ind w:left="640" w:hanging="640"/>
        <w:rPr>
          <w:rFonts w:cs="Times"/>
          <w:b/>
          <w:szCs w:val="24"/>
          <w:lang w:val="en-CA"/>
        </w:rPr>
      </w:pPr>
      <w:r w:rsidRPr="00D039E9">
        <w:rPr>
          <w:rFonts w:cs="Times"/>
          <w:b/>
          <w:szCs w:val="24"/>
          <w:lang w:val="en-CA"/>
        </w:rPr>
        <w:t>References</w:t>
      </w:r>
    </w:p>
    <w:p w14:paraId="49DF8EC5" w14:textId="77777777" w:rsidR="00561360" w:rsidRPr="00D039E9" w:rsidRDefault="00561360" w:rsidP="002B6208">
      <w:pPr>
        <w:widowControl w:val="0"/>
        <w:autoSpaceDE w:val="0"/>
        <w:autoSpaceDN w:val="0"/>
        <w:adjustRightInd w:val="0"/>
        <w:spacing w:after="160"/>
        <w:ind w:left="640" w:hanging="640"/>
        <w:rPr>
          <w:rFonts w:cs="Times"/>
          <w:szCs w:val="24"/>
          <w:lang w:val="en-CA"/>
        </w:rPr>
      </w:pPr>
    </w:p>
    <w:p w14:paraId="3134CAD7" w14:textId="2B83BBAD" w:rsidR="00C65F5C" w:rsidRPr="00D039E9" w:rsidRDefault="002B6208" w:rsidP="00C65F5C">
      <w:pPr>
        <w:widowControl w:val="0"/>
        <w:autoSpaceDE w:val="0"/>
        <w:autoSpaceDN w:val="0"/>
        <w:adjustRightInd w:val="0"/>
        <w:spacing w:after="160"/>
        <w:ind w:left="640" w:hanging="640"/>
        <w:rPr>
          <w:rFonts w:cs="Times"/>
          <w:noProof/>
          <w:szCs w:val="24"/>
        </w:rPr>
      </w:pPr>
      <w:r w:rsidRPr="00D039E9">
        <w:rPr>
          <w:rFonts w:cs="Times"/>
          <w:szCs w:val="24"/>
          <w:lang w:val="en-CA"/>
        </w:rPr>
        <w:fldChar w:fldCharType="begin" w:fldLock="1"/>
      </w:r>
      <w:r w:rsidRPr="00D039E9">
        <w:rPr>
          <w:rFonts w:cs="Times"/>
          <w:szCs w:val="24"/>
          <w:lang w:val="en-CA"/>
        </w:rPr>
        <w:instrText xml:space="preserve">ADDIN Mendeley Bibliography CSL_BIBLIOGRAPHY </w:instrText>
      </w:r>
      <w:r w:rsidRPr="00D039E9">
        <w:rPr>
          <w:rFonts w:cs="Times"/>
          <w:szCs w:val="24"/>
          <w:lang w:val="en-CA"/>
        </w:rPr>
        <w:fldChar w:fldCharType="separate"/>
      </w:r>
      <w:r w:rsidR="00C65F5C" w:rsidRPr="00D039E9">
        <w:rPr>
          <w:rFonts w:cs="Times"/>
          <w:noProof/>
          <w:szCs w:val="24"/>
        </w:rPr>
        <w:t>1</w:t>
      </w:r>
      <w:r w:rsidR="00C65F5C" w:rsidRPr="00D039E9">
        <w:rPr>
          <w:rFonts w:cs="Times"/>
          <w:noProof/>
          <w:szCs w:val="24"/>
        </w:rPr>
        <w:tab/>
        <w:t xml:space="preserve">S. Damodaran and J. E. Kinsella, </w:t>
      </w:r>
      <w:r w:rsidR="00C65F5C" w:rsidRPr="00D039E9">
        <w:rPr>
          <w:rFonts w:cs="Times"/>
          <w:i/>
          <w:iCs/>
          <w:noProof/>
          <w:szCs w:val="24"/>
        </w:rPr>
        <w:t>J. Agric. Food Chem.</w:t>
      </w:r>
      <w:r w:rsidR="00C65F5C" w:rsidRPr="00D039E9">
        <w:rPr>
          <w:rFonts w:cs="Times"/>
          <w:noProof/>
          <w:szCs w:val="24"/>
        </w:rPr>
        <w:t xml:space="preserve">, 1981, </w:t>
      </w:r>
      <w:r w:rsidR="00C65F5C" w:rsidRPr="00D039E9">
        <w:rPr>
          <w:rFonts w:cs="Times"/>
          <w:b/>
          <w:bCs/>
          <w:noProof/>
          <w:szCs w:val="24"/>
        </w:rPr>
        <w:t>29</w:t>
      </w:r>
      <w:r w:rsidR="00C65F5C" w:rsidRPr="00D039E9">
        <w:rPr>
          <w:rFonts w:cs="Times"/>
          <w:noProof/>
          <w:szCs w:val="24"/>
        </w:rPr>
        <w:t>, 1249–1253.</w:t>
      </w:r>
    </w:p>
    <w:p w14:paraId="515658F8"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2</w:t>
      </w:r>
      <w:r w:rsidRPr="00D039E9">
        <w:rPr>
          <w:rFonts w:cs="Times"/>
          <w:noProof/>
          <w:szCs w:val="24"/>
        </w:rPr>
        <w:tab/>
        <w:t xml:space="preserve">S. Damodaran and J. E. Kinsella, </w:t>
      </w:r>
      <w:r w:rsidRPr="00D039E9">
        <w:rPr>
          <w:rFonts w:cs="Times"/>
          <w:i/>
          <w:iCs/>
          <w:noProof/>
          <w:szCs w:val="24"/>
        </w:rPr>
        <w:t>J. Agric. Food Chem.</w:t>
      </w:r>
      <w:r w:rsidRPr="00D039E9">
        <w:rPr>
          <w:rFonts w:cs="Times"/>
          <w:noProof/>
          <w:szCs w:val="24"/>
        </w:rPr>
        <w:t xml:space="preserve">, 1981, </w:t>
      </w:r>
      <w:r w:rsidRPr="00D039E9">
        <w:rPr>
          <w:rFonts w:cs="Times"/>
          <w:b/>
          <w:bCs/>
          <w:noProof/>
          <w:szCs w:val="24"/>
        </w:rPr>
        <w:t>29</w:t>
      </w:r>
      <w:r w:rsidRPr="00D039E9">
        <w:rPr>
          <w:rFonts w:cs="Times"/>
          <w:noProof/>
          <w:szCs w:val="24"/>
        </w:rPr>
        <w:t>, 1253–1257.</w:t>
      </w:r>
    </w:p>
    <w:p w14:paraId="78A00B24"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3</w:t>
      </w:r>
      <w:r w:rsidRPr="00D039E9">
        <w:rPr>
          <w:rFonts w:cs="Times"/>
          <w:noProof/>
          <w:szCs w:val="24"/>
        </w:rPr>
        <w:tab/>
        <w:t xml:space="preserve">R. J. McGorrin and J. V. Leland, Eds., </w:t>
      </w:r>
      <w:r w:rsidRPr="00D039E9">
        <w:rPr>
          <w:rFonts w:cs="Times"/>
          <w:i/>
          <w:iCs/>
          <w:noProof/>
          <w:szCs w:val="24"/>
        </w:rPr>
        <w:t>Flavor-Food Interactions</w:t>
      </w:r>
      <w:r w:rsidRPr="00D039E9">
        <w:rPr>
          <w:rFonts w:cs="Times"/>
          <w:noProof/>
          <w:szCs w:val="24"/>
        </w:rPr>
        <w:t>, American Chemical Society, Washington, DC, 1996, vol. 633.</w:t>
      </w:r>
    </w:p>
    <w:p w14:paraId="2ED8573F"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4</w:t>
      </w:r>
      <w:r w:rsidRPr="00D039E9">
        <w:rPr>
          <w:rFonts w:cs="Times"/>
          <w:noProof/>
          <w:szCs w:val="24"/>
        </w:rPr>
        <w:tab/>
        <w:t xml:space="preserve">A. P. Hansen, </w:t>
      </w:r>
      <w:r w:rsidRPr="00D039E9">
        <w:rPr>
          <w:rFonts w:cs="Times"/>
          <w:i/>
          <w:iCs/>
          <w:noProof/>
          <w:szCs w:val="24"/>
        </w:rPr>
        <w:t>Adv Exp Med Biol</w:t>
      </w:r>
      <w:r w:rsidRPr="00D039E9">
        <w:rPr>
          <w:rFonts w:cs="Times"/>
          <w:noProof/>
          <w:szCs w:val="24"/>
        </w:rPr>
        <w:t xml:space="preserve">, 1997, </w:t>
      </w:r>
      <w:r w:rsidRPr="00D039E9">
        <w:rPr>
          <w:rFonts w:cs="Times"/>
          <w:b/>
          <w:bCs/>
          <w:noProof/>
          <w:szCs w:val="24"/>
        </w:rPr>
        <w:t>415</w:t>
      </w:r>
      <w:r w:rsidRPr="00D039E9">
        <w:rPr>
          <w:rFonts w:cs="Times"/>
          <w:noProof/>
          <w:szCs w:val="24"/>
        </w:rPr>
        <w:t>, 67–76.</w:t>
      </w:r>
    </w:p>
    <w:p w14:paraId="3C97C668"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5</w:t>
      </w:r>
      <w:r w:rsidRPr="00D039E9">
        <w:rPr>
          <w:rFonts w:cs="Times"/>
          <w:noProof/>
          <w:szCs w:val="24"/>
        </w:rPr>
        <w:tab/>
        <w:t xml:space="preserve">J. Kuhn, T. Considine and H. Singh, </w:t>
      </w:r>
      <w:r w:rsidRPr="00D039E9">
        <w:rPr>
          <w:rFonts w:cs="Times"/>
          <w:i/>
          <w:iCs/>
          <w:noProof/>
          <w:szCs w:val="24"/>
        </w:rPr>
        <w:t>J. Food Sci.</w:t>
      </w:r>
      <w:r w:rsidRPr="00D039E9">
        <w:rPr>
          <w:rFonts w:cs="Times"/>
          <w:noProof/>
          <w:szCs w:val="24"/>
        </w:rPr>
        <w:t xml:space="preserve">, 2006, </w:t>
      </w:r>
      <w:r w:rsidRPr="00D039E9">
        <w:rPr>
          <w:rFonts w:cs="Times"/>
          <w:b/>
          <w:bCs/>
          <w:noProof/>
          <w:szCs w:val="24"/>
        </w:rPr>
        <w:t>71</w:t>
      </w:r>
      <w:r w:rsidRPr="00D039E9">
        <w:rPr>
          <w:rFonts w:cs="Times"/>
          <w:noProof/>
          <w:szCs w:val="24"/>
        </w:rPr>
        <w:t>, R72–R82.</w:t>
      </w:r>
    </w:p>
    <w:p w14:paraId="25A3584D"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6</w:t>
      </w:r>
      <w:r w:rsidRPr="00D039E9">
        <w:rPr>
          <w:rFonts w:cs="Times"/>
          <w:noProof/>
          <w:szCs w:val="24"/>
        </w:rPr>
        <w:tab/>
        <w:t xml:space="preserve">A. Voilley and P. Etievant, Eds., </w:t>
      </w:r>
      <w:r w:rsidRPr="00D039E9">
        <w:rPr>
          <w:rFonts w:cs="Times"/>
          <w:i/>
          <w:iCs/>
          <w:noProof/>
          <w:szCs w:val="24"/>
        </w:rPr>
        <w:t>Flavour in Food</w:t>
      </w:r>
      <w:r w:rsidRPr="00D039E9">
        <w:rPr>
          <w:rFonts w:cs="Times"/>
          <w:noProof/>
          <w:szCs w:val="24"/>
        </w:rPr>
        <w:t>, CRC Press, Boca Raton, Fl, 2006.</w:t>
      </w:r>
    </w:p>
    <w:p w14:paraId="067F579F"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7</w:t>
      </w:r>
      <w:r w:rsidRPr="00D039E9">
        <w:rPr>
          <w:rFonts w:cs="Times"/>
          <w:noProof/>
          <w:szCs w:val="24"/>
        </w:rPr>
        <w:tab/>
        <w:t xml:space="preserve">J. Kühn, T. Considine and H. Singh, </w:t>
      </w:r>
      <w:r w:rsidRPr="00D039E9">
        <w:rPr>
          <w:rFonts w:cs="Times"/>
          <w:i/>
          <w:iCs/>
          <w:noProof/>
          <w:szCs w:val="24"/>
        </w:rPr>
        <w:t>J. Agric. Food Chem.</w:t>
      </w:r>
      <w:r w:rsidRPr="00D039E9">
        <w:rPr>
          <w:rFonts w:cs="Times"/>
          <w:noProof/>
          <w:szCs w:val="24"/>
        </w:rPr>
        <w:t xml:space="preserve">, 2008, </w:t>
      </w:r>
      <w:r w:rsidRPr="00D039E9">
        <w:rPr>
          <w:rFonts w:cs="Times"/>
          <w:b/>
          <w:bCs/>
          <w:noProof/>
          <w:szCs w:val="24"/>
        </w:rPr>
        <w:t>56</w:t>
      </w:r>
      <w:r w:rsidRPr="00D039E9">
        <w:rPr>
          <w:rFonts w:cs="Times"/>
          <w:noProof/>
          <w:szCs w:val="24"/>
        </w:rPr>
        <w:t>, 10218–10224.</w:t>
      </w:r>
    </w:p>
    <w:p w14:paraId="5E51137A"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8</w:t>
      </w:r>
      <w:r w:rsidRPr="00D039E9">
        <w:rPr>
          <w:rFonts w:cs="Times"/>
          <w:noProof/>
          <w:szCs w:val="24"/>
        </w:rPr>
        <w:tab/>
        <w:t xml:space="preserve">K. Wang and S. D. Arntfield, </w:t>
      </w:r>
      <w:r w:rsidRPr="00D039E9">
        <w:rPr>
          <w:rFonts w:cs="Times"/>
          <w:i/>
          <w:iCs/>
          <w:noProof/>
          <w:szCs w:val="24"/>
        </w:rPr>
        <w:t>Flavour Fragr. J.</w:t>
      </w:r>
      <w:r w:rsidRPr="00D039E9">
        <w:rPr>
          <w:rFonts w:cs="Times"/>
          <w:noProof/>
          <w:szCs w:val="24"/>
        </w:rPr>
        <w:t>, 2016.</w:t>
      </w:r>
    </w:p>
    <w:p w14:paraId="6765094F"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9</w:t>
      </w:r>
      <w:r w:rsidRPr="00D039E9">
        <w:rPr>
          <w:rFonts w:cs="Times"/>
          <w:noProof/>
          <w:szCs w:val="24"/>
        </w:rPr>
        <w:tab/>
        <w:t xml:space="preserve">I. M. Klotz, </w:t>
      </w:r>
      <w:r w:rsidRPr="00D039E9">
        <w:rPr>
          <w:rFonts w:cs="Times"/>
          <w:i/>
          <w:iCs/>
          <w:noProof/>
          <w:szCs w:val="24"/>
        </w:rPr>
        <w:t>Ligand-receptor energetics : a guide for the perplexed</w:t>
      </w:r>
      <w:r w:rsidRPr="00D039E9">
        <w:rPr>
          <w:rFonts w:cs="Times"/>
          <w:noProof/>
          <w:szCs w:val="24"/>
        </w:rPr>
        <w:t>, Wiley, New York, 1997.</w:t>
      </w:r>
    </w:p>
    <w:p w14:paraId="2A22FB4F"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10</w:t>
      </w:r>
      <w:r w:rsidRPr="00D039E9">
        <w:rPr>
          <w:rFonts w:cs="Times"/>
          <w:noProof/>
          <w:szCs w:val="24"/>
        </w:rPr>
        <w:tab/>
        <w:t xml:space="preserve">J. Wyman and S. J. Gill, </w:t>
      </w:r>
      <w:r w:rsidRPr="00D039E9">
        <w:rPr>
          <w:rFonts w:cs="Times"/>
          <w:i/>
          <w:iCs/>
          <w:noProof/>
          <w:szCs w:val="24"/>
        </w:rPr>
        <w:t>Binding and linkage : functional chemistry of biological macromolecules</w:t>
      </w:r>
      <w:r w:rsidRPr="00D039E9">
        <w:rPr>
          <w:rFonts w:cs="Times"/>
          <w:noProof/>
          <w:szCs w:val="24"/>
        </w:rPr>
        <w:t>, University Science Books, Mill Valley, CA, 1990.</w:t>
      </w:r>
    </w:p>
    <w:p w14:paraId="1B0FD6D9"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11</w:t>
      </w:r>
      <w:r w:rsidRPr="00D039E9">
        <w:rPr>
          <w:rFonts w:cs="Times"/>
          <w:noProof/>
          <w:szCs w:val="24"/>
        </w:rPr>
        <w:tab/>
        <w:t xml:space="preserve">S. Shimizu, </w:t>
      </w:r>
      <w:r w:rsidRPr="00D039E9">
        <w:rPr>
          <w:rFonts w:cs="Times"/>
          <w:i/>
          <w:iCs/>
          <w:noProof/>
          <w:szCs w:val="24"/>
        </w:rPr>
        <w:t>Proc. Natl. Acad. Sci. U. S. A.</w:t>
      </w:r>
      <w:r w:rsidRPr="00D039E9">
        <w:rPr>
          <w:rFonts w:cs="Times"/>
          <w:noProof/>
          <w:szCs w:val="24"/>
        </w:rPr>
        <w:t xml:space="preserve">, 2004, </w:t>
      </w:r>
      <w:r w:rsidRPr="00D039E9">
        <w:rPr>
          <w:rFonts w:cs="Times"/>
          <w:b/>
          <w:bCs/>
          <w:noProof/>
          <w:szCs w:val="24"/>
        </w:rPr>
        <w:t>101</w:t>
      </w:r>
      <w:r w:rsidRPr="00D039E9">
        <w:rPr>
          <w:rFonts w:cs="Times"/>
          <w:noProof/>
          <w:szCs w:val="24"/>
        </w:rPr>
        <w:t>, 1195–1199.</w:t>
      </w:r>
    </w:p>
    <w:p w14:paraId="49B211CE"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12</w:t>
      </w:r>
      <w:r w:rsidRPr="00D039E9">
        <w:rPr>
          <w:rFonts w:cs="Times"/>
          <w:noProof/>
          <w:szCs w:val="24"/>
        </w:rPr>
        <w:tab/>
        <w:t xml:space="preserve">S. Shimizu and C. L. Boon, </w:t>
      </w:r>
      <w:r w:rsidRPr="00D039E9">
        <w:rPr>
          <w:rFonts w:cs="Times"/>
          <w:i/>
          <w:iCs/>
          <w:noProof/>
          <w:szCs w:val="24"/>
        </w:rPr>
        <w:t>J. Chem. Phys.</w:t>
      </w:r>
      <w:r w:rsidRPr="00D039E9">
        <w:rPr>
          <w:rFonts w:cs="Times"/>
          <w:noProof/>
          <w:szCs w:val="24"/>
        </w:rPr>
        <w:t xml:space="preserve">, 2004, </w:t>
      </w:r>
      <w:r w:rsidRPr="00D039E9">
        <w:rPr>
          <w:rFonts w:cs="Times"/>
          <w:b/>
          <w:bCs/>
          <w:noProof/>
          <w:szCs w:val="24"/>
        </w:rPr>
        <w:t>121</w:t>
      </w:r>
      <w:r w:rsidRPr="00D039E9">
        <w:rPr>
          <w:rFonts w:cs="Times"/>
          <w:noProof/>
          <w:szCs w:val="24"/>
        </w:rPr>
        <w:t>, 9147–9155.</w:t>
      </w:r>
    </w:p>
    <w:p w14:paraId="4F61F6E8"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13</w:t>
      </w:r>
      <w:r w:rsidRPr="00D039E9">
        <w:rPr>
          <w:rFonts w:cs="Times"/>
          <w:noProof/>
          <w:szCs w:val="24"/>
        </w:rPr>
        <w:tab/>
        <w:t xml:space="preserve">S. Shimizu, W. M. McLaren and N. Matubayasi, </w:t>
      </w:r>
      <w:r w:rsidRPr="00D039E9">
        <w:rPr>
          <w:rFonts w:cs="Times"/>
          <w:i/>
          <w:iCs/>
          <w:noProof/>
          <w:szCs w:val="24"/>
        </w:rPr>
        <w:t>J. Chem. Phys.</w:t>
      </w:r>
      <w:r w:rsidRPr="00D039E9">
        <w:rPr>
          <w:rFonts w:cs="Times"/>
          <w:noProof/>
          <w:szCs w:val="24"/>
        </w:rPr>
        <w:t xml:space="preserve">, 2006, </w:t>
      </w:r>
      <w:r w:rsidRPr="00D039E9">
        <w:rPr>
          <w:rFonts w:cs="Times"/>
          <w:b/>
          <w:bCs/>
          <w:noProof/>
          <w:szCs w:val="24"/>
        </w:rPr>
        <w:t>124</w:t>
      </w:r>
      <w:r w:rsidRPr="00D039E9">
        <w:rPr>
          <w:rFonts w:cs="Times"/>
          <w:noProof/>
          <w:szCs w:val="24"/>
        </w:rPr>
        <w:t>, 234905/1-234905/4.</w:t>
      </w:r>
    </w:p>
    <w:p w14:paraId="7C4A11C5"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14</w:t>
      </w:r>
      <w:r w:rsidRPr="00D039E9">
        <w:rPr>
          <w:rFonts w:cs="Times"/>
          <w:noProof/>
          <w:szCs w:val="24"/>
        </w:rPr>
        <w:tab/>
        <w:t xml:space="preserve">S. Shimizu, </w:t>
      </w:r>
      <w:r w:rsidRPr="00D039E9">
        <w:rPr>
          <w:rFonts w:cs="Times"/>
          <w:i/>
          <w:iCs/>
          <w:noProof/>
          <w:szCs w:val="24"/>
        </w:rPr>
        <w:t>Chem. Phys. Lett.</w:t>
      </w:r>
      <w:r w:rsidRPr="00D039E9">
        <w:rPr>
          <w:rFonts w:cs="Times"/>
          <w:noProof/>
          <w:szCs w:val="24"/>
        </w:rPr>
        <w:t xml:space="preserve">, 2011, </w:t>
      </w:r>
      <w:r w:rsidRPr="00D039E9">
        <w:rPr>
          <w:rFonts w:cs="Times"/>
          <w:b/>
          <w:bCs/>
          <w:noProof/>
          <w:szCs w:val="24"/>
        </w:rPr>
        <w:t>514</w:t>
      </w:r>
      <w:r w:rsidRPr="00D039E9">
        <w:rPr>
          <w:rFonts w:cs="Times"/>
          <w:noProof/>
          <w:szCs w:val="24"/>
        </w:rPr>
        <w:t>, 156–158.</w:t>
      </w:r>
    </w:p>
    <w:p w14:paraId="4098BD8F"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15</w:t>
      </w:r>
      <w:r w:rsidRPr="00D039E9">
        <w:rPr>
          <w:rFonts w:cs="Times"/>
          <w:noProof/>
          <w:szCs w:val="24"/>
        </w:rPr>
        <w:tab/>
        <w:t xml:space="preserve">J. J. Booth, S. Abbott and S. Shimizu, </w:t>
      </w:r>
      <w:r w:rsidRPr="00D039E9">
        <w:rPr>
          <w:rFonts w:cs="Times"/>
          <w:i/>
          <w:iCs/>
          <w:noProof/>
          <w:szCs w:val="24"/>
        </w:rPr>
        <w:t>J. Phys. Chem. B</w:t>
      </w:r>
      <w:r w:rsidRPr="00D039E9">
        <w:rPr>
          <w:rFonts w:cs="Times"/>
          <w:noProof/>
          <w:szCs w:val="24"/>
        </w:rPr>
        <w:t xml:space="preserve">, 2012, </w:t>
      </w:r>
      <w:r w:rsidRPr="00D039E9">
        <w:rPr>
          <w:rFonts w:cs="Times"/>
          <w:b/>
          <w:bCs/>
          <w:noProof/>
          <w:szCs w:val="24"/>
        </w:rPr>
        <w:t>116</w:t>
      </w:r>
      <w:r w:rsidRPr="00D039E9">
        <w:rPr>
          <w:rFonts w:cs="Times"/>
          <w:noProof/>
          <w:szCs w:val="24"/>
        </w:rPr>
        <w:t>, 14915–14921.</w:t>
      </w:r>
    </w:p>
    <w:p w14:paraId="3EACEEB1"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16</w:t>
      </w:r>
      <w:r w:rsidRPr="00D039E9">
        <w:rPr>
          <w:rFonts w:cs="Times"/>
          <w:noProof/>
          <w:szCs w:val="24"/>
        </w:rPr>
        <w:tab/>
        <w:t xml:space="preserve">S. Shimizu, J. J. Booth and S. Abbott, </w:t>
      </w:r>
      <w:r w:rsidRPr="00D039E9">
        <w:rPr>
          <w:rFonts w:cs="Times"/>
          <w:i/>
          <w:iCs/>
          <w:noProof/>
          <w:szCs w:val="24"/>
        </w:rPr>
        <w:t>Phys. Chem. Chem. Phys.</w:t>
      </w:r>
      <w:r w:rsidRPr="00D039E9">
        <w:rPr>
          <w:rFonts w:cs="Times"/>
          <w:noProof/>
          <w:szCs w:val="24"/>
        </w:rPr>
        <w:t xml:space="preserve">, 2013, </w:t>
      </w:r>
      <w:r w:rsidRPr="00D039E9">
        <w:rPr>
          <w:rFonts w:cs="Times"/>
          <w:b/>
          <w:bCs/>
          <w:noProof/>
          <w:szCs w:val="24"/>
        </w:rPr>
        <w:t>15</w:t>
      </w:r>
      <w:r w:rsidRPr="00D039E9">
        <w:rPr>
          <w:rFonts w:cs="Times"/>
          <w:noProof/>
          <w:szCs w:val="24"/>
        </w:rPr>
        <w:t>, 20625–20632.</w:t>
      </w:r>
    </w:p>
    <w:p w14:paraId="0B4DCAAE"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17</w:t>
      </w:r>
      <w:r w:rsidRPr="00D039E9">
        <w:rPr>
          <w:rFonts w:cs="Times"/>
          <w:noProof/>
          <w:szCs w:val="24"/>
        </w:rPr>
        <w:tab/>
        <w:t xml:space="preserve">S. Shimizu and N. Matubayasi, </w:t>
      </w:r>
      <w:r w:rsidRPr="00D039E9">
        <w:rPr>
          <w:rFonts w:cs="Times"/>
          <w:i/>
          <w:iCs/>
          <w:noProof/>
          <w:szCs w:val="24"/>
        </w:rPr>
        <w:t>J. Phys. Chem. B</w:t>
      </w:r>
      <w:r w:rsidRPr="00D039E9">
        <w:rPr>
          <w:rFonts w:cs="Times"/>
          <w:noProof/>
          <w:szCs w:val="24"/>
        </w:rPr>
        <w:t xml:space="preserve">, 2014, </w:t>
      </w:r>
      <w:r w:rsidRPr="00D039E9">
        <w:rPr>
          <w:rFonts w:cs="Times"/>
          <w:b/>
          <w:bCs/>
          <w:noProof/>
          <w:szCs w:val="24"/>
        </w:rPr>
        <w:t>118</w:t>
      </w:r>
      <w:r w:rsidRPr="00D039E9">
        <w:rPr>
          <w:rFonts w:cs="Times"/>
          <w:noProof/>
          <w:szCs w:val="24"/>
        </w:rPr>
        <w:t>, 3922–3930.</w:t>
      </w:r>
    </w:p>
    <w:p w14:paraId="42652889"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18</w:t>
      </w:r>
      <w:r w:rsidRPr="00D039E9">
        <w:rPr>
          <w:rFonts w:cs="Times"/>
          <w:noProof/>
          <w:szCs w:val="24"/>
        </w:rPr>
        <w:tab/>
        <w:t xml:space="preserve">S. Shimizu and N. Matubayasi, </w:t>
      </w:r>
      <w:r w:rsidRPr="00D039E9">
        <w:rPr>
          <w:rFonts w:cs="Times"/>
          <w:i/>
          <w:iCs/>
          <w:noProof/>
          <w:szCs w:val="24"/>
        </w:rPr>
        <w:t>J. Phys. Chem. B</w:t>
      </w:r>
      <w:r w:rsidRPr="00D039E9">
        <w:rPr>
          <w:rFonts w:cs="Times"/>
          <w:noProof/>
          <w:szCs w:val="24"/>
        </w:rPr>
        <w:t xml:space="preserve">, 2014, </w:t>
      </w:r>
      <w:r w:rsidRPr="00D039E9">
        <w:rPr>
          <w:rFonts w:cs="Times"/>
          <w:b/>
          <w:bCs/>
          <w:noProof/>
          <w:szCs w:val="24"/>
        </w:rPr>
        <w:t>118</w:t>
      </w:r>
      <w:r w:rsidRPr="00D039E9">
        <w:rPr>
          <w:rFonts w:cs="Times"/>
          <w:noProof/>
          <w:szCs w:val="24"/>
        </w:rPr>
        <w:t>, 10515–10524.</w:t>
      </w:r>
    </w:p>
    <w:p w14:paraId="3DD0F9DE"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19</w:t>
      </w:r>
      <w:r w:rsidRPr="00D039E9">
        <w:rPr>
          <w:rFonts w:cs="Times"/>
          <w:noProof/>
          <w:szCs w:val="24"/>
        </w:rPr>
        <w:tab/>
        <w:t xml:space="preserve">S. Shimizu and N. Matubayasi, </w:t>
      </w:r>
      <w:r w:rsidRPr="00D039E9">
        <w:rPr>
          <w:rFonts w:cs="Times"/>
          <w:i/>
          <w:iCs/>
          <w:noProof/>
          <w:szCs w:val="24"/>
        </w:rPr>
        <w:t>J. Phys. Chem. B</w:t>
      </w:r>
      <w:r w:rsidRPr="00D039E9">
        <w:rPr>
          <w:rFonts w:cs="Times"/>
          <w:noProof/>
          <w:szCs w:val="24"/>
        </w:rPr>
        <w:t xml:space="preserve">, 2014, </w:t>
      </w:r>
      <w:r w:rsidRPr="00D039E9">
        <w:rPr>
          <w:rFonts w:cs="Times"/>
          <w:b/>
          <w:bCs/>
          <w:noProof/>
          <w:szCs w:val="24"/>
        </w:rPr>
        <w:t>118</w:t>
      </w:r>
      <w:r w:rsidRPr="00D039E9">
        <w:rPr>
          <w:rFonts w:cs="Times"/>
          <w:noProof/>
          <w:szCs w:val="24"/>
        </w:rPr>
        <w:t>, 13210–13216.</w:t>
      </w:r>
    </w:p>
    <w:p w14:paraId="150E9B48"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20</w:t>
      </w:r>
      <w:r w:rsidRPr="00D039E9">
        <w:rPr>
          <w:rFonts w:cs="Times"/>
          <w:noProof/>
          <w:szCs w:val="24"/>
        </w:rPr>
        <w:tab/>
        <w:t xml:space="preserve">J. J. Booth, M. Omar, S. Abbott and S. Shimizu, </w:t>
      </w:r>
      <w:r w:rsidRPr="00D039E9">
        <w:rPr>
          <w:rFonts w:cs="Times"/>
          <w:i/>
          <w:iCs/>
          <w:noProof/>
          <w:szCs w:val="24"/>
        </w:rPr>
        <w:t>Phys Chem Chem Phys</w:t>
      </w:r>
      <w:r w:rsidRPr="00D039E9">
        <w:rPr>
          <w:rFonts w:cs="Times"/>
          <w:noProof/>
          <w:szCs w:val="24"/>
        </w:rPr>
        <w:t xml:space="preserve">, 2015, </w:t>
      </w:r>
      <w:r w:rsidRPr="00D039E9">
        <w:rPr>
          <w:rFonts w:cs="Times"/>
          <w:b/>
          <w:bCs/>
          <w:noProof/>
          <w:szCs w:val="24"/>
        </w:rPr>
        <w:t>17</w:t>
      </w:r>
      <w:r w:rsidRPr="00D039E9">
        <w:rPr>
          <w:rFonts w:cs="Times"/>
          <w:noProof/>
          <w:szCs w:val="24"/>
        </w:rPr>
        <w:t>, 8028–8037.</w:t>
      </w:r>
    </w:p>
    <w:p w14:paraId="6C67E6A1"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21</w:t>
      </w:r>
      <w:r w:rsidRPr="00D039E9">
        <w:rPr>
          <w:rFonts w:cs="Times"/>
          <w:noProof/>
          <w:szCs w:val="24"/>
        </w:rPr>
        <w:tab/>
        <w:t xml:space="preserve">R. Stenner, N. Matubayasi and S. Shimizu, </w:t>
      </w:r>
      <w:r w:rsidRPr="00D039E9">
        <w:rPr>
          <w:rFonts w:cs="Times"/>
          <w:i/>
          <w:iCs/>
          <w:noProof/>
          <w:szCs w:val="24"/>
        </w:rPr>
        <w:t>Food Hydrocoll.</w:t>
      </w:r>
      <w:r w:rsidRPr="00D039E9">
        <w:rPr>
          <w:rFonts w:cs="Times"/>
          <w:noProof/>
          <w:szCs w:val="24"/>
        </w:rPr>
        <w:t xml:space="preserve">, 2016, </w:t>
      </w:r>
      <w:r w:rsidRPr="00D039E9">
        <w:rPr>
          <w:rFonts w:cs="Times"/>
          <w:b/>
          <w:bCs/>
          <w:noProof/>
          <w:szCs w:val="24"/>
        </w:rPr>
        <w:t>54</w:t>
      </w:r>
      <w:r w:rsidRPr="00D039E9">
        <w:rPr>
          <w:rFonts w:cs="Times"/>
          <w:noProof/>
          <w:szCs w:val="24"/>
        </w:rPr>
        <w:t>, 284–292.</w:t>
      </w:r>
    </w:p>
    <w:p w14:paraId="6907A7A5"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22</w:t>
      </w:r>
      <w:r w:rsidRPr="00D039E9">
        <w:rPr>
          <w:rFonts w:cs="Times"/>
          <w:noProof/>
          <w:szCs w:val="24"/>
        </w:rPr>
        <w:tab/>
        <w:t xml:space="preserve">S. Shimizu, R. Stenner and N. Matubayasi, </w:t>
      </w:r>
      <w:r w:rsidRPr="00D039E9">
        <w:rPr>
          <w:rFonts w:cs="Times"/>
          <w:i/>
          <w:iCs/>
          <w:noProof/>
          <w:szCs w:val="24"/>
        </w:rPr>
        <w:t>Food Hydrocoll.</w:t>
      </w:r>
      <w:r w:rsidRPr="00D039E9">
        <w:rPr>
          <w:rFonts w:cs="Times"/>
          <w:noProof/>
          <w:szCs w:val="24"/>
        </w:rPr>
        <w:t xml:space="preserve">, 2017, </w:t>
      </w:r>
      <w:r w:rsidRPr="00D039E9">
        <w:rPr>
          <w:rFonts w:cs="Times"/>
          <w:b/>
          <w:bCs/>
          <w:noProof/>
          <w:szCs w:val="24"/>
        </w:rPr>
        <w:t>62</w:t>
      </w:r>
      <w:r w:rsidRPr="00D039E9">
        <w:rPr>
          <w:rFonts w:cs="Times"/>
          <w:noProof/>
          <w:szCs w:val="24"/>
        </w:rPr>
        <w:t>, 128–139.</w:t>
      </w:r>
    </w:p>
    <w:p w14:paraId="65B75A34"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23</w:t>
      </w:r>
      <w:r w:rsidRPr="00D039E9">
        <w:rPr>
          <w:rFonts w:cs="Times"/>
          <w:noProof/>
          <w:szCs w:val="24"/>
        </w:rPr>
        <w:tab/>
        <w:t xml:space="preserve">L. M. Mikheeva, N. V Grinberg, V. Y. Grinberg and V. B. Tolstoguzov, </w:t>
      </w:r>
      <w:r w:rsidRPr="00D039E9">
        <w:rPr>
          <w:rFonts w:cs="Times"/>
          <w:i/>
          <w:iCs/>
          <w:noProof/>
          <w:szCs w:val="24"/>
        </w:rPr>
        <w:t>Nahrung</w:t>
      </w:r>
      <w:r w:rsidRPr="00D039E9">
        <w:rPr>
          <w:rFonts w:cs="Times"/>
          <w:noProof/>
          <w:szCs w:val="24"/>
        </w:rPr>
        <w:t xml:space="preserve">, 1998, </w:t>
      </w:r>
      <w:r w:rsidRPr="00D039E9">
        <w:rPr>
          <w:rFonts w:cs="Times"/>
          <w:b/>
          <w:bCs/>
          <w:noProof/>
          <w:szCs w:val="24"/>
        </w:rPr>
        <w:t>42</w:t>
      </w:r>
      <w:r w:rsidRPr="00D039E9">
        <w:rPr>
          <w:rFonts w:cs="Times"/>
          <w:noProof/>
          <w:szCs w:val="24"/>
        </w:rPr>
        <w:t>, 185–186.</w:t>
      </w:r>
    </w:p>
    <w:p w14:paraId="460C60FF"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24</w:t>
      </w:r>
      <w:r w:rsidRPr="00D039E9">
        <w:rPr>
          <w:rFonts w:cs="Times"/>
          <w:noProof/>
          <w:szCs w:val="24"/>
        </w:rPr>
        <w:tab/>
        <w:t xml:space="preserve">T. . Burova, N. . Grinberg, I. . Golubeva, A. Y. Mashkevich, V. Y. Grinberg and V. . Tolstoguzov, </w:t>
      </w:r>
      <w:r w:rsidRPr="00D039E9">
        <w:rPr>
          <w:rFonts w:cs="Times"/>
          <w:i/>
          <w:iCs/>
          <w:noProof/>
          <w:szCs w:val="24"/>
        </w:rPr>
        <w:t>Food Hydrocoll.</w:t>
      </w:r>
      <w:r w:rsidRPr="00D039E9">
        <w:rPr>
          <w:rFonts w:cs="Times"/>
          <w:noProof/>
          <w:szCs w:val="24"/>
        </w:rPr>
        <w:t xml:space="preserve">, 1999, </w:t>
      </w:r>
      <w:r w:rsidRPr="00D039E9">
        <w:rPr>
          <w:rFonts w:cs="Times"/>
          <w:b/>
          <w:bCs/>
          <w:noProof/>
          <w:szCs w:val="24"/>
        </w:rPr>
        <w:t>13</w:t>
      </w:r>
      <w:r w:rsidRPr="00D039E9">
        <w:rPr>
          <w:rFonts w:cs="Times"/>
          <w:noProof/>
          <w:szCs w:val="24"/>
        </w:rPr>
        <w:t>, 7–14.</w:t>
      </w:r>
    </w:p>
    <w:p w14:paraId="63F1E3E3"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25</w:t>
      </w:r>
      <w:r w:rsidRPr="00D039E9">
        <w:rPr>
          <w:rFonts w:cs="Times"/>
          <w:noProof/>
          <w:szCs w:val="24"/>
        </w:rPr>
        <w:tab/>
        <w:t xml:space="preserve">V. Tolstoguzov, </w:t>
      </w:r>
      <w:r w:rsidRPr="00D039E9">
        <w:rPr>
          <w:rFonts w:cs="Times"/>
          <w:i/>
          <w:iCs/>
          <w:noProof/>
          <w:szCs w:val="24"/>
        </w:rPr>
        <w:t>Food Hydrocoll.</w:t>
      </w:r>
      <w:r w:rsidRPr="00D039E9">
        <w:rPr>
          <w:rFonts w:cs="Times"/>
          <w:noProof/>
          <w:szCs w:val="24"/>
        </w:rPr>
        <w:t xml:space="preserve">, 2003, </w:t>
      </w:r>
      <w:r w:rsidRPr="00D039E9">
        <w:rPr>
          <w:rFonts w:cs="Times"/>
          <w:b/>
          <w:bCs/>
          <w:noProof/>
          <w:szCs w:val="24"/>
        </w:rPr>
        <w:t>17</w:t>
      </w:r>
      <w:r w:rsidRPr="00D039E9">
        <w:rPr>
          <w:rFonts w:cs="Times"/>
          <w:noProof/>
          <w:szCs w:val="24"/>
        </w:rPr>
        <w:t>, 1–23.</w:t>
      </w:r>
    </w:p>
    <w:p w14:paraId="51C05FB8"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26</w:t>
      </w:r>
      <w:r w:rsidRPr="00D039E9">
        <w:rPr>
          <w:rFonts w:cs="Times"/>
          <w:noProof/>
          <w:szCs w:val="24"/>
        </w:rPr>
        <w:tab/>
        <w:t xml:space="preserve">V. Y. Grinberg, N. V. Grinberg, A. Y. Mashkevich, T. V. Burova and V. B. Tolstoguzov, </w:t>
      </w:r>
      <w:r w:rsidRPr="00D039E9">
        <w:rPr>
          <w:rFonts w:cs="Times"/>
          <w:i/>
          <w:iCs/>
          <w:noProof/>
          <w:szCs w:val="24"/>
        </w:rPr>
        <w:t>Food Hydrocoll.</w:t>
      </w:r>
      <w:r w:rsidRPr="00D039E9">
        <w:rPr>
          <w:rFonts w:cs="Times"/>
          <w:noProof/>
          <w:szCs w:val="24"/>
        </w:rPr>
        <w:t xml:space="preserve">, 2002, </w:t>
      </w:r>
      <w:r w:rsidRPr="00D039E9">
        <w:rPr>
          <w:rFonts w:cs="Times"/>
          <w:b/>
          <w:bCs/>
          <w:noProof/>
          <w:szCs w:val="24"/>
        </w:rPr>
        <w:t>16</w:t>
      </w:r>
      <w:r w:rsidRPr="00D039E9">
        <w:rPr>
          <w:rFonts w:cs="Times"/>
          <w:noProof/>
          <w:szCs w:val="24"/>
        </w:rPr>
        <w:t>, 333–343.</w:t>
      </w:r>
    </w:p>
    <w:p w14:paraId="5C24F108"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27</w:t>
      </w:r>
      <w:r w:rsidRPr="00D039E9">
        <w:rPr>
          <w:rFonts w:cs="Times"/>
          <w:noProof/>
          <w:szCs w:val="24"/>
        </w:rPr>
        <w:tab/>
        <w:t xml:space="preserve">T. V. Burova, N. V. Grinberg, V. Y. Grinberg and V. B. Tolstoguzov, </w:t>
      </w:r>
      <w:r w:rsidRPr="00D039E9">
        <w:rPr>
          <w:rFonts w:cs="Times"/>
          <w:i/>
          <w:iCs/>
          <w:noProof/>
          <w:szCs w:val="24"/>
        </w:rPr>
        <w:t>Colloids Surfaces A Physicochem. Eng. Asp.</w:t>
      </w:r>
      <w:r w:rsidRPr="00D039E9">
        <w:rPr>
          <w:rFonts w:cs="Times"/>
          <w:noProof/>
          <w:szCs w:val="24"/>
        </w:rPr>
        <w:t xml:space="preserve">, 2003, </w:t>
      </w:r>
      <w:r w:rsidRPr="00D039E9">
        <w:rPr>
          <w:rFonts w:cs="Times"/>
          <w:b/>
          <w:bCs/>
          <w:noProof/>
          <w:szCs w:val="24"/>
        </w:rPr>
        <w:t>213</w:t>
      </w:r>
      <w:r w:rsidRPr="00D039E9">
        <w:rPr>
          <w:rFonts w:cs="Times"/>
          <w:noProof/>
          <w:szCs w:val="24"/>
        </w:rPr>
        <w:t>, 235–244.</w:t>
      </w:r>
    </w:p>
    <w:p w14:paraId="103F9BEC"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28</w:t>
      </w:r>
      <w:r w:rsidRPr="00D039E9">
        <w:rPr>
          <w:rFonts w:cs="Times"/>
          <w:noProof/>
          <w:szCs w:val="24"/>
        </w:rPr>
        <w:tab/>
        <w:t xml:space="preserve">V. I. Polyakov, V. Y. Grinberg and V. B. Tolstoguzov, </w:t>
      </w:r>
      <w:r w:rsidRPr="00D039E9">
        <w:rPr>
          <w:rFonts w:cs="Times"/>
          <w:i/>
          <w:iCs/>
          <w:noProof/>
          <w:szCs w:val="24"/>
        </w:rPr>
        <w:t>Food Hydrocoll.</w:t>
      </w:r>
      <w:r w:rsidRPr="00D039E9">
        <w:rPr>
          <w:rFonts w:cs="Times"/>
          <w:noProof/>
          <w:szCs w:val="24"/>
        </w:rPr>
        <w:t xml:space="preserve">, 1997, </w:t>
      </w:r>
      <w:r w:rsidRPr="00D039E9">
        <w:rPr>
          <w:rFonts w:cs="Times"/>
          <w:b/>
          <w:bCs/>
          <w:noProof/>
          <w:szCs w:val="24"/>
        </w:rPr>
        <w:t>11</w:t>
      </w:r>
      <w:r w:rsidRPr="00D039E9">
        <w:rPr>
          <w:rFonts w:cs="Times"/>
          <w:noProof/>
          <w:szCs w:val="24"/>
        </w:rPr>
        <w:t>, 171–180.</w:t>
      </w:r>
    </w:p>
    <w:p w14:paraId="734D624E"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29</w:t>
      </w:r>
      <w:r w:rsidRPr="00D039E9">
        <w:rPr>
          <w:rFonts w:cs="Times"/>
          <w:noProof/>
          <w:szCs w:val="24"/>
        </w:rPr>
        <w:tab/>
        <w:t xml:space="preserve">T. E. O’Neill and J. E. Kinsella, </w:t>
      </w:r>
      <w:r w:rsidRPr="00D039E9">
        <w:rPr>
          <w:rFonts w:cs="Times"/>
          <w:i/>
          <w:iCs/>
          <w:noProof/>
          <w:szCs w:val="24"/>
        </w:rPr>
        <w:t>J. Food Sci.</w:t>
      </w:r>
      <w:r w:rsidRPr="00D039E9">
        <w:rPr>
          <w:rFonts w:cs="Times"/>
          <w:noProof/>
          <w:szCs w:val="24"/>
        </w:rPr>
        <w:t xml:space="preserve">, 1987, </w:t>
      </w:r>
      <w:r w:rsidRPr="00D039E9">
        <w:rPr>
          <w:rFonts w:cs="Times"/>
          <w:b/>
          <w:bCs/>
          <w:noProof/>
          <w:szCs w:val="24"/>
        </w:rPr>
        <w:t>52</w:t>
      </w:r>
      <w:r w:rsidRPr="00D039E9">
        <w:rPr>
          <w:rFonts w:cs="Times"/>
          <w:noProof/>
          <w:szCs w:val="24"/>
        </w:rPr>
        <w:t>, 98–101.</w:t>
      </w:r>
    </w:p>
    <w:p w14:paraId="7AC145AA"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30</w:t>
      </w:r>
      <w:r w:rsidRPr="00D039E9">
        <w:rPr>
          <w:rFonts w:cs="Times"/>
          <w:noProof/>
          <w:szCs w:val="24"/>
        </w:rPr>
        <w:tab/>
        <w:t>T. E. O’Neill, 1996, pp. 59–74.</w:t>
      </w:r>
    </w:p>
    <w:p w14:paraId="639A8A5C"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31</w:t>
      </w:r>
      <w:r w:rsidRPr="00D039E9">
        <w:rPr>
          <w:rFonts w:cs="Times"/>
          <w:noProof/>
          <w:szCs w:val="24"/>
        </w:rPr>
        <w:tab/>
        <w:t xml:space="preserve">E. Guichard and S. Langourieux, </w:t>
      </w:r>
      <w:r w:rsidRPr="00D039E9">
        <w:rPr>
          <w:rFonts w:cs="Times"/>
          <w:i/>
          <w:iCs/>
          <w:noProof/>
          <w:szCs w:val="24"/>
        </w:rPr>
        <w:t>Food Chem.</w:t>
      </w:r>
      <w:r w:rsidRPr="00D039E9">
        <w:rPr>
          <w:rFonts w:cs="Times"/>
          <w:noProof/>
          <w:szCs w:val="24"/>
        </w:rPr>
        <w:t xml:space="preserve">, 2000, </w:t>
      </w:r>
      <w:r w:rsidRPr="00D039E9">
        <w:rPr>
          <w:rFonts w:cs="Times"/>
          <w:b/>
          <w:bCs/>
          <w:noProof/>
          <w:szCs w:val="24"/>
        </w:rPr>
        <w:t>71</w:t>
      </w:r>
      <w:r w:rsidRPr="00D039E9">
        <w:rPr>
          <w:rFonts w:cs="Times"/>
          <w:noProof/>
          <w:szCs w:val="24"/>
        </w:rPr>
        <w:t>, 301–308.</w:t>
      </w:r>
    </w:p>
    <w:p w14:paraId="3ABAD226"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32</w:t>
      </w:r>
      <w:r w:rsidRPr="00D039E9">
        <w:rPr>
          <w:rFonts w:cs="Times"/>
          <w:noProof/>
          <w:szCs w:val="24"/>
        </w:rPr>
        <w:tab/>
        <w:t xml:space="preserve">S. Muresan, A. van der Bent and F. A. De Wolf, </w:t>
      </w:r>
      <w:r w:rsidRPr="00D039E9">
        <w:rPr>
          <w:rFonts w:cs="Times"/>
          <w:i/>
          <w:iCs/>
          <w:noProof/>
          <w:szCs w:val="24"/>
        </w:rPr>
        <w:t>J. Agric. Food Chem.</w:t>
      </w:r>
      <w:r w:rsidRPr="00D039E9">
        <w:rPr>
          <w:rFonts w:cs="Times"/>
          <w:noProof/>
          <w:szCs w:val="24"/>
        </w:rPr>
        <w:t xml:space="preserve">, 2001, </w:t>
      </w:r>
      <w:r w:rsidRPr="00D039E9">
        <w:rPr>
          <w:rFonts w:cs="Times"/>
          <w:b/>
          <w:bCs/>
          <w:noProof/>
          <w:szCs w:val="24"/>
        </w:rPr>
        <w:t>49</w:t>
      </w:r>
      <w:r w:rsidRPr="00D039E9">
        <w:rPr>
          <w:rFonts w:cs="Times"/>
          <w:noProof/>
          <w:szCs w:val="24"/>
        </w:rPr>
        <w:t>, 2609–2618.</w:t>
      </w:r>
    </w:p>
    <w:p w14:paraId="2C1CD6C5"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33</w:t>
      </w:r>
      <w:r w:rsidRPr="00D039E9">
        <w:rPr>
          <w:rFonts w:cs="Times"/>
          <w:noProof/>
          <w:szCs w:val="24"/>
        </w:rPr>
        <w:tab/>
        <w:t xml:space="preserve">A. Arora and S. Damodaran, </w:t>
      </w:r>
      <w:r w:rsidRPr="00D039E9">
        <w:rPr>
          <w:rFonts w:cs="Times"/>
          <w:i/>
          <w:iCs/>
          <w:noProof/>
          <w:szCs w:val="24"/>
        </w:rPr>
        <w:t>J. Am. Oil Chem. Soc.</w:t>
      </w:r>
      <w:r w:rsidRPr="00D039E9">
        <w:rPr>
          <w:rFonts w:cs="Times"/>
          <w:noProof/>
          <w:szCs w:val="24"/>
        </w:rPr>
        <w:t xml:space="preserve">, 2010, </w:t>
      </w:r>
      <w:r w:rsidRPr="00D039E9">
        <w:rPr>
          <w:rFonts w:cs="Times"/>
          <w:b/>
          <w:bCs/>
          <w:noProof/>
          <w:szCs w:val="24"/>
        </w:rPr>
        <w:t>87</w:t>
      </w:r>
      <w:r w:rsidRPr="00D039E9">
        <w:rPr>
          <w:rFonts w:cs="Times"/>
          <w:noProof/>
          <w:szCs w:val="24"/>
        </w:rPr>
        <w:t>, 673–679.</w:t>
      </w:r>
    </w:p>
    <w:p w14:paraId="69680AAC"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34</w:t>
      </w:r>
      <w:r w:rsidRPr="00D039E9">
        <w:rPr>
          <w:rFonts w:cs="Times"/>
          <w:noProof/>
          <w:szCs w:val="24"/>
        </w:rPr>
        <w:tab/>
        <w:t xml:space="preserve">T. E. O’Neill and J. E. Kinsella, </w:t>
      </w:r>
      <w:r w:rsidRPr="00D039E9">
        <w:rPr>
          <w:rFonts w:cs="Times"/>
          <w:i/>
          <w:iCs/>
          <w:noProof/>
          <w:szCs w:val="24"/>
        </w:rPr>
        <w:t>J. Agric. Food Chem.</w:t>
      </w:r>
      <w:r w:rsidRPr="00D039E9">
        <w:rPr>
          <w:rFonts w:cs="Times"/>
          <w:noProof/>
          <w:szCs w:val="24"/>
        </w:rPr>
        <w:t xml:space="preserve">, 1987, </w:t>
      </w:r>
      <w:r w:rsidRPr="00D039E9">
        <w:rPr>
          <w:rFonts w:cs="Times"/>
          <w:b/>
          <w:bCs/>
          <w:noProof/>
          <w:szCs w:val="24"/>
        </w:rPr>
        <w:t>35</w:t>
      </w:r>
      <w:r w:rsidRPr="00D039E9">
        <w:rPr>
          <w:rFonts w:cs="Times"/>
          <w:noProof/>
          <w:szCs w:val="24"/>
        </w:rPr>
        <w:t>, 770–774.</w:t>
      </w:r>
    </w:p>
    <w:p w14:paraId="576E50C9"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35</w:t>
      </w:r>
      <w:r w:rsidRPr="00D039E9">
        <w:rPr>
          <w:rFonts w:cs="Times"/>
          <w:noProof/>
          <w:szCs w:val="24"/>
        </w:rPr>
        <w:tab/>
        <w:t xml:space="preserve">I. Andriot, I. Marin, G. Feron, P. Relkin and E. Guichard, </w:t>
      </w:r>
      <w:r w:rsidRPr="00D039E9">
        <w:rPr>
          <w:rFonts w:cs="Times"/>
          <w:i/>
          <w:iCs/>
          <w:noProof/>
          <w:szCs w:val="24"/>
        </w:rPr>
        <w:t>Lait</w:t>
      </w:r>
      <w:r w:rsidRPr="00D039E9">
        <w:rPr>
          <w:rFonts w:cs="Times"/>
          <w:noProof/>
          <w:szCs w:val="24"/>
        </w:rPr>
        <w:t xml:space="preserve">, 1999, </w:t>
      </w:r>
      <w:r w:rsidRPr="00D039E9">
        <w:rPr>
          <w:rFonts w:cs="Times"/>
          <w:b/>
          <w:bCs/>
          <w:noProof/>
          <w:szCs w:val="24"/>
        </w:rPr>
        <w:t>79</w:t>
      </w:r>
      <w:r w:rsidRPr="00D039E9">
        <w:rPr>
          <w:rFonts w:cs="Times"/>
          <w:noProof/>
          <w:szCs w:val="24"/>
        </w:rPr>
        <w:t>, 577–586.</w:t>
      </w:r>
    </w:p>
    <w:p w14:paraId="3E1E02DD"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36</w:t>
      </w:r>
      <w:r w:rsidRPr="00D039E9">
        <w:rPr>
          <w:rFonts w:cs="Times"/>
          <w:noProof/>
          <w:szCs w:val="24"/>
        </w:rPr>
        <w:tab/>
        <w:t xml:space="preserve">I. Andriot, M. Harrison, N. Fournier and E. Guichard, </w:t>
      </w:r>
      <w:r w:rsidRPr="00D039E9">
        <w:rPr>
          <w:rFonts w:cs="Times"/>
          <w:i/>
          <w:iCs/>
          <w:noProof/>
          <w:szCs w:val="24"/>
        </w:rPr>
        <w:t>J. Agric. Food Chem.</w:t>
      </w:r>
      <w:r w:rsidRPr="00D039E9">
        <w:rPr>
          <w:rFonts w:cs="Times"/>
          <w:noProof/>
          <w:szCs w:val="24"/>
        </w:rPr>
        <w:t xml:space="preserve">, 2000, </w:t>
      </w:r>
      <w:r w:rsidRPr="00D039E9">
        <w:rPr>
          <w:rFonts w:cs="Times"/>
          <w:b/>
          <w:bCs/>
          <w:noProof/>
          <w:szCs w:val="24"/>
        </w:rPr>
        <w:t>48</w:t>
      </w:r>
      <w:r w:rsidRPr="00D039E9">
        <w:rPr>
          <w:rFonts w:cs="Times"/>
          <w:noProof/>
          <w:szCs w:val="24"/>
        </w:rPr>
        <w:t>, 4246–4251.</w:t>
      </w:r>
    </w:p>
    <w:p w14:paraId="2060BBF1"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37</w:t>
      </w:r>
      <w:r w:rsidRPr="00D039E9">
        <w:rPr>
          <w:rFonts w:cs="Times"/>
          <w:noProof/>
          <w:szCs w:val="24"/>
        </w:rPr>
        <w:tab/>
        <w:t xml:space="preserve">M. Fabre, V. Aubry and E. Guichard, </w:t>
      </w:r>
      <w:r w:rsidRPr="00D039E9">
        <w:rPr>
          <w:rFonts w:cs="Times"/>
          <w:i/>
          <w:iCs/>
          <w:noProof/>
          <w:szCs w:val="24"/>
        </w:rPr>
        <w:t>J. Agric. Food Chem.</w:t>
      </w:r>
      <w:r w:rsidRPr="00D039E9">
        <w:rPr>
          <w:rFonts w:cs="Times"/>
          <w:noProof/>
          <w:szCs w:val="24"/>
        </w:rPr>
        <w:t xml:space="preserve">, 2002, </w:t>
      </w:r>
      <w:r w:rsidRPr="00D039E9">
        <w:rPr>
          <w:rFonts w:cs="Times"/>
          <w:b/>
          <w:bCs/>
          <w:noProof/>
          <w:szCs w:val="24"/>
        </w:rPr>
        <w:t>50</w:t>
      </w:r>
      <w:r w:rsidRPr="00D039E9">
        <w:rPr>
          <w:rFonts w:cs="Times"/>
          <w:noProof/>
          <w:szCs w:val="24"/>
        </w:rPr>
        <w:t>, 1497–1501.</w:t>
      </w:r>
    </w:p>
    <w:p w14:paraId="3A16D65B"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38</w:t>
      </w:r>
      <w:r w:rsidRPr="00D039E9">
        <w:rPr>
          <w:rFonts w:cs="Times"/>
          <w:noProof/>
          <w:szCs w:val="24"/>
        </w:rPr>
        <w:tab/>
        <w:t xml:space="preserve">S. M. van Ruth and E. Villeneuve, </w:t>
      </w:r>
      <w:r w:rsidRPr="00D039E9">
        <w:rPr>
          <w:rFonts w:cs="Times"/>
          <w:i/>
          <w:iCs/>
          <w:noProof/>
          <w:szCs w:val="24"/>
        </w:rPr>
        <w:t>Food Chem.</w:t>
      </w:r>
      <w:r w:rsidRPr="00D039E9">
        <w:rPr>
          <w:rFonts w:cs="Times"/>
          <w:noProof/>
          <w:szCs w:val="24"/>
        </w:rPr>
        <w:t xml:space="preserve">, 2002, </w:t>
      </w:r>
      <w:r w:rsidRPr="00D039E9">
        <w:rPr>
          <w:rFonts w:cs="Times"/>
          <w:b/>
          <w:bCs/>
          <w:noProof/>
          <w:szCs w:val="24"/>
        </w:rPr>
        <w:t>79</w:t>
      </w:r>
      <w:r w:rsidRPr="00D039E9">
        <w:rPr>
          <w:rFonts w:cs="Times"/>
          <w:noProof/>
          <w:szCs w:val="24"/>
        </w:rPr>
        <w:t>, 157–164.</w:t>
      </w:r>
    </w:p>
    <w:p w14:paraId="192A37AE"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39</w:t>
      </w:r>
      <w:r w:rsidRPr="00D039E9">
        <w:rPr>
          <w:rFonts w:cs="Times"/>
          <w:noProof/>
          <w:szCs w:val="24"/>
        </w:rPr>
        <w:tab/>
        <w:t xml:space="preserve">S. M. Van Ruth, </w:t>
      </w:r>
      <w:r w:rsidRPr="00D039E9">
        <w:rPr>
          <w:rFonts w:cs="Times"/>
          <w:i/>
          <w:iCs/>
          <w:noProof/>
          <w:szCs w:val="24"/>
        </w:rPr>
        <w:t>Biomol. Eng.</w:t>
      </w:r>
      <w:r w:rsidRPr="00D039E9">
        <w:rPr>
          <w:rFonts w:cs="Times"/>
          <w:noProof/>
          <w:szCs w:val="24"/>
        </w:rPr>
        <w:t xml:space="preserve">, 2001, </w:t>
      </w:r>
      <w:r w:rsidRPr="00D039E9">
        <w:rPr>
          <w:rFonts w:cs="Times"/>
          <w:b/>
          <w:bCs/>
          <w:noProof/>
          <w:szCs w:val="24"/>
        </w:rPr>
        <w:t>17</w:t>
      </w:r>
      <w:r w:rsidRPr="00D039E9">
        <w:rPr>
          <w:rFonts w:cs="Times"/>
          <w:noProof/>
          <w:szCs w:val="24"/>
        </w:rPr>
        <w:t>, 121–128.</w:t>
      </w:r>
    </w:p>
    <w:p w14:paraId="03A6C0CB"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40</w:t>
      </w:r>
      <w:r w:rsidRPr="00D039E9">
        <w:rPr>
          <w:rFonts w:cs="Times"/>
          <w:noProof/>
          <w:szCs w:val="24"/>
        </w:rPr>
        <w:tab/>
        <w:t xml:space="preserve">D.-M. Jung and S. E. Ebeler, </w:t>
      </w:r>
      <w:r w:rsidRPr="00D039E9">
        <w:rPr>
          <w:rFonts w:cs="Times"/>
          <w:i/>
          <w:iCs/>
          <w:noProof/>
          <w:szCs w:val="24"/>
        </w:rPr>
        <w:t>J. Agric. Food Chem.</w:t>
      </w:r>
      <w:r w:rsidRPr="00D039E9">
        <w:rPr>
          <w:rFonts w:cs="Times"/>
          <w:noProof/>
          <w:szCs w:val="24"/>
        </w:rPr>
        <w:t xml:space="preserve">, 2003, </w:t>
      </w:r>
      <w:r w:rsidRPr="00D039E9">
        <w:rPr>
          <w:rFonts w:cs="Times"/>
          <w:b/>
          <w:bCs/>
          <w:noProof/>
          <w:szCs w:val="24"/>
        </w:rPr>
        <w:t>51</w:t>
      </w:r>
      <w:r w:rsidRPr="00D039E9">
        <w:rPr>
          <w:rFonts w:cs="Times"/>
          <w:noProof/>
          <w:szCs w:val="24"/>
        </w:rPr>
        <w:t>, 200–205.</w:t>
      </w:r>
    </w:p>
    <w:p w14:paraId="2F3ED02A"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41</w:t>
      </w:r>
      <w:r w:rsidRPr="00D039E9">
        <w:rPr>
          <w:rFonts w:cs="Times"/>
          <w:noProof/>
          <w:szCs w:val="24"/>
        </w:rPr>
        <w:tab/>
        <w:t xml:space="preserve">J. Wyman, </w:t>
      </w:r>
      <w:r w:rsidRPr="00D039E9">
        <w:rPr>
          <w:rFonts w:cs="Times"/>
          <w:i/>
          <w:iCs/>
          <w:noProof/>
          <w:szCs w:val="24"/>
        </w:rPr>
        <w:t>Adv. Protein Chem.</w:t>
      </w:r>
      <w:r w:rsidRPr="00D039E9">
        <w:rPr>
          <w:rFonts w:cs="Times"/>
          <w:noProof/>
          <w:szCs w:val="24"/>
        </w:rPr>
        <w:t xml:space="preserve">, 1948, </w:t>
      </w:r>
      <w:r w:rsidRPr="00D039E9">
        <w:rPr>
          <w:rFonts w:cs="Times"/>
          <w:b/>
          <w:bCs/>
          <w:noProof/>
          <w:szCs w:val="24"/>
        </w:rPr>
        <w:t>4</w:t>
      </w:r>
      <w:r w:rsidRPr="00D039E9">
        <w:rPr>
          <w:rFonts w:cs="Times"/>
          <w:noProof/>
          <w:szCs w:val="24"/>
        </w:rPr>
        <w:t>, 407–531.</w:t>
      </w:r>
    </w:p>
    <w:p w14:paraId="17C49960"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42</w:t>
      </w:r>
      <w:r w:rsidRPr="00D039E9">
        <w:rPr>
          <w:rFonts w:cs="Times"/>
          <w:noProof/>
          <w:szCs w:val="24"/>
        </w:rPr>
        <w:tab/>
        <w:t xml:space="preserve">J. Wyman, </w:t>
      </w:r>
      <w:r w:rsidRPr="00D039E9">
        <w:rPr>
          <w:rFonts w:cs="Times"/>
          <w:i/>
          <w:iCs/>
          <w:noProof/>
          <w:szCs w:val="24"/>
        </w:rPr>
        <w:t>Adv. Protein Chem.</w:t>
      </w:r>
      <w:r w:rsidRPr="00D039E9">
        <w:rPr>
          <w:rFonts w:cs="Times"/>
          <w:noProof/>
          <w:szCs w:val="24"/>
        </w:rPr>
        <w:t xml:space="preserve">, 1964, </w:t>
      </w:r>
      <w:r w:rsidRPr="00D039E9">
        <w:rPr>
          <w:rFonts w:cs="Times"/>
          <w:b/>
          <w:bCs/>
          <w:noProof/>
          <w:szCs w:val="24"/>
        </w:rPr>
        <w:t>19</w:t>
      </w:r>
      <w:r w:rsidRPr="00D039E9">
        <w:rPr>
          <w:rFonts w:cs="Times"/>
          <w:noProof/>
          <w:szCs w:val="24"/>
        </w:rPr>
        <w:t>, 223–286.</w:t>
      </w:r>
    </w:p>
    <w:p w14:paraId="6C3CC19A"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43</w:t>
      </w:r>
      <w:r w:rsidRPr="00D039E9">
        <w:rPr>
          <w:rFonts w:cs="Times"/>
          <w:noProof/>
          <w:szCs w:val="24"/>
        </w:rPr>
        <w:tab/>
        <w:t xml:space="preserve">E. F. Casassa and H. Eisenberg, </w:t>
      </w:r>
      <w:r w:rsidRPr="00D039E9">
        <w:rPr>
          <w:rFonts w:cs="Times"/>
          <w:i/>
          <w:iCs/>
          <w:noProof/>
          <w:szCs w:val="24"/>
        </w:rPr>
        <w:t>Adv. Protein Chem.</w:t>
      </w:r>
      <w:r w:rsidRPr="00D039E9">
        <w:rPr>
          <w:rFonts w:cs="Times"/>
          <w:noProof/>
          <w:szCs w:val="24"/>
        </w:rPr>
        <w:t xml:space="preserve">, 1964, </w:t>
      </w:r>
      <w:r w:rsidRPr="00D039E9">
        <w:rPr>
          <w:rFonts w:cs="Times"/>
          <w:b/>
          <w:bCs/>
          <w:noProof/>
          <w:szCs w:val="24"/>
        </w:rPr>
        <w:t>19</w:t>
      </w:r>
      <w:r w:rsidRPr="00D039E9">
        <w:rPr>
          <w:rFonts w:cs="Times"/>
          <w:noProof/>
          <w:szCs w:val="24"/>
        </w:rPr>
        <w:t>, 287–395.</w:t>
      </w:r>
    </w:p>
    <w:p w14:paraId="71DC26F4"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44</w:t>
      </w:r>
      <w:r w:rsidRPr="00D039E9">
        <w:rPr>
          <w:rFonts w:cs="Times"/>
          <w:noProof/>
          <w:szCs w:val="24"/>
        </w:rPr>
        <w:tab/>
        <w:t xml:space="preserve">C. Tanford, </w:t>
      </w:r>
      <w:r w:rsidRPr="00D039E9">
        <w:rPr>
          <w:rFonts w:cs="Times"/>
          <w:i/>
          <w:iCs/>
          <w:noProof/>
          <w:szCs w:val="24"/>
        </w:rPr>
        <w:t>Adv. Protein Chem.</w:t>
      </w:r>
      <w:r w:rsidRPr="00D039E9">
        <w:rPr>
          <w:rFonts w:cs="Times"/>
          <w:noProof/>
          <w:szCs w:val="24"/>
        </w:rPr>
        <w:t xml:space="preserve">, 1968, </w:t>
      </w:r>
      <w:r w:rsidRPr="00D039E9">
        <w:rPr>
          <w:rFonts w:cs="Times"/>
          <w:b/>
          <w:bCs/>
          <w:noProof/>
          <w:szCs w:val="24"/>
        </w:rPr>
        <w:t>23</w:t>
      </w:r>
      <w:r w:rsidRPr="00D039E9">
        <w:rPr>
          <w:rFonts w:cs="Times"/>
          <w:noProof/>
          <w:szCs w:val="24"/>
        </w:rPr>
        <w:t>, 121–282.</w:t>
      </w:r>
    </w:p>
    <w:p w14:paraId="25CF6224"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45</w:t>
      </w:r>
      <w:r w:rsidRPr="00D039E9">
        <w:rPr>
          <w:rFonts w:cs="Times"/>
          <w:noProof/>
          <w:szCs w:val="24"/>
        </w:rPr>
        <w:tab/>
        <w:t xml:space="preserve">C. Tanford, </w:t>
      </w:r>
      <w:r w:rsidRPr="00D039E9">
        <w:rPr>
          <w:rFonts w:cs="Times"/>
          <w:i/>
          <w:iCs/>
          <w:noProof/>
          <w:szCs w:val="24"/>
        </w:rPr>
        <w:t>Adv. Protein Chem.</w:t>
      </w:r>
      <w:r w:rsidRPr="00D039E9">
        <w:rPr>
          <w:rFonts w:cs="Times"/>
          <w:noProof/>
          <w:szCs w:val="24"/>
        </w:rPr>
        <w:t xml:space="preserve">, 1970, </w:t>
      </w:r>
      <w:r w:rsidRPr="00D039E9">
        <w:rPr>
          <w:rFonts w:cs="Times"/>
          <w:b/>
          <w:bCs/>
          <w:noProof/>
          <w:szCs w:val="24"/>
        </w:rPr>
        <w:t>24</w:t>
      </w:r>
      <w:r w:rsidRPr="00D039E9">
        <w:rPr>
          <w:rFonts w:cs="Times"/>
          <w:noProof/>
          <w:szCs w:val="24"/>
        </w:rPr>
        <w:t>, 1–95.</w:t>
      </w:r>
    </w:p>
    <w:p w14:paraId="1FF4D087"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46</w:t>
      </w:r>
      <w:r w:rsidRPr="00D039E9">
        <w:rPr>
          <w:rFonts w:cs="Times"/>
          <w:noProof/>
          <w:szCs w:val="24"/>
        </w:rPr>
        <w:tab/>
        <w:t xml:space="preserve">J. A. Schellman, </w:t>
      </w:r>
      <w:r w:rsidRPr="00D039E9">
        <w:rPr>
          <w:rFonts w:cs="Times"/>
          <w:i/>
          <w:iCs/>
          <w:noProof/>
          <w:szCs w:val="24"/>
        </w:rPr>
        <w:t>Biopolymers</w:t>
      </w:r>
      <w:r w:rsidRPr="00D039E9">
        <w:rPr>
          <w:rFonts w:cs="Times"/>
          <w:noProof/>
          <w:szCs w:val="24"/>
        </w:rPr>
        <w:t xml:space="preserve">, 1975, </w:t>
      </w:r>
      <w:r w:rsidRPr="00D039E9">
        <w:rPr>
          <w:rFonts w:cs="Times"/>
          <w:b/>
          <w:bCs/>
          <w:noProof/>
          <w:szCs w:val="24"/>
        </w:rPr>
        <w:t>14</w:t>
      </w:r>
      <w:r w:rsidRPr="00D039E9">
        <w:rPr>
          <w:rFonts w:cs="Times"/>
          <w:noProof/>
          <w:szCs w:val="24"/>
        </w:rPr>
        <w:t>, 999–1018.</w:t>
      </w:r>
    </w:p>
    <w:p w14:paraId="0DF08F88"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47</w:t>
      </w:r>
      <w:r w:rsidRPr="00D039E9">
        <w:rPr>
          <w:rFonts w:cs="Times"/>
          <w:noProof/>
          <w:szCs w:val="24"/>
        </w:rPr>
        <w:tab/>
        <w:t xml:space="preserve">J. A. Schellman, </w:t>
      </w:r>
      <w:r w:rsidRPr="00D039E9">
        <w:rPr>
          <w:rFonts w:cs="Times"/>
          <w:i/>
          <w:iCs/>
          <w:noProof/>
          <w:szCs w:val="24"/>
        </w:rPr>
        <w:t>Biopolymers</w:t>
      </w:r>
      <w:r w:rsidRPr="00D039E9">
        <w:rPr>
          <w:rFonts w:cs="Times"/>
          <w:noProof/>
          <w:szCs w:val="24"/>
        </w:rPr>
        <w:t xml:space="preserve">, 1978, </w:t>
      </w:r>
      <w:r w:rsidRPr="00D039E9">
        <w:rPr>
          <w:rFonts w:cs="Times"/>
          <w:b/>
          <w:bCs/>
          <w:noProof/>
          <w:szCs w:val="24"/>
        </w:rPr>
        <w:t>17</w:t>
      </w:r>
      <w:r w:rsidRPr="00D039E9">
        <w:rPr>
          <w:rFonts w:cs="Times"/>
          <w:noProof/>
          <w:szCs w:val="24"/>
        </w:rPr>
        <w:t>, 1305–1322.</w:t>
      </w:r>
    </w:p>
    <w:p w14:paraId="60BF08A1"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48</w:t>
      </w:r>
      <w:r w:rsidRPr="00D039E9">
        <w:rPr>
          <w:rFonts w:cs="Times"/>
          <w:noProof/>
          <w:szCs w:val="24"/>
        </w:rPr>
        <w:tab/>
        <w:t xml:space="preserve">J. A. Schellman, </w:t>
      </w:r>
      <w:r w:rsidRPr="00D039E9">
        <w:rPr>
          <w:rFonts w:cs="Times"/>
          <w:i/>
          <w:iCs/>
          <w:noProof/>
          <w:szCs w:val="24"/>
        </w:rPr>
        <w:t>Biopolymers</w:t>
      </w:r>
      <w:r w:rsidRPr="00D039E9">
        <w:rPr>
          <w:rFonts w:cs="Times"/>
          <w:noProof/>
          <w:szCs w:val="24"/>
        </w:rPr>
        <w:t xml:space="preserve">, 1987, </w:t>
      </w:r>
      <w:r w:rsidRPr="00D039E9">
        <w:rPr>
          <w:rFonts w:cs="Times"/>
          <w:b/>
          <w:bCs/>
          <w:noProof/>
          <w:szCs w:val="24"/>
        </w:rPr>
        <w:t>26</w:t>
      </w:r>
      <w:r w:rsidRPr="00D039E9">
        <w:rPr>
          <w:rFonts w:cs="Times"/>
          <w:noProof/>
          <w:szCs w:val="24"/>
        </w:rPr>
        <w:t>, 549–559.</w:t>
      </w:r>
    </w:p>
    <w:p w14:paraId="1BBAF97C"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49</w:t>
      </w:r>
      <w:r w:rsidRPr="00D039E9">
        <w:rPr>
          <w:rFonts w:cs="Times"/>
          <w:noProof/>
          <w:szCs w:val="24"/>
        </w:rPr>
        <w:tab/>
        <w:t xml:space="preserve">P. E. Smith, </w:t>
      </w:r>
      <w:r w:rsidRPr="00D039E9">
        <w:rPr>
          <w:rFonts w:cs="Times"/>
          <w:i/>
          <w:iCs/>
          <w:noProof/>
          <w:szCs w:val="24"/>
        </w:rPr>
        <w:t>J. Phys. Chem. B</w:t>
      </w:r>
      <w:r w:rsidRPr="00D039E9">
        <w:rPr>
          <w:rFonts w:cs="Times"/>
          <w:noProof/>
          <w:szCs w:val="24"/>
        </w:rPr>
        <w:t xml:space="preserve">, 2004, </w:t>
      </w:r>
      <w:r w:rsidRPr="00D039E9">
        <w:rPr>
          <w:rFonts w:cs="Times"/>
          <w:b/>
          <w:bCs/>
          <w:noProof/>
          <w:szCs w:val="24"/>
        </w:rPr>
        <w:t>108</w:t>
      </w:r>
      <w:r w:rsidRPr="00D039E9">
        <w:rPr>
          <w:rFonts w:cs="Times"/>
          <w:noProof/>
          <w:szCs w:val="24"/>
        </w:rPr>
        <w:t>, 18716–18724.</w:t>
      </w:r>
    </w:p>
    <w:p w14:paraId="6F01BA39"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50</w:t>
      </w:r>
      <w:r w:rsidRPr="00D039E9">
        <w:rPr>
          <w:rFonts w:cs="Times"/>
          <w:noProof/>
          <w:szCs w:val="24"/>
        </w:rPr>
        <w:tab/>
        <w:t xml:space="preserve">I. L. Shulgin and E. Ruckenstein, </w:t>
      </w:r>
      <w:r w:rsidRPr="00D039E9">
        <w:rPr>
          <w:rFonts w:cs="Times"/>
          <w:i/>
          <w:iCs/>
          <w:noProof/>
          <w:szCs w:val="24"/>
        </w:rPr>
        <w:t>J. Chem. Phys.</w:t>
      </w:r>
      <w:r w:rsidRPr="00D039E9">
        <w:rPr>
          <w:rFonts w:cs="Times"/>
          <w:noProof/>
          <w:szCs w:val="24"/>
        </w:rPr>
        <w:t xml:space="preserve">, 2005, </w:t>
      </w:r>
      <w:r w:rsidRPr="00D039E9">
        <w:rPr>
          <w:rFonts w:cs="Times"/>
          <w:b/>
          <w:bCs/>
          <w:noProof/>
          <w:szCs w:val="24"/>
        </w:rPr>
        <w:t>123</w:t>
      </w:r>
      <w:r w:rsidRPr="00D039E9">
        <w:rPr>
          <w:rFonts w:cs="Times"/>
          <w:noProof/>
          <w:szCs w:val="24"/>
        </w:rPr>
        <w:t>, 054909/1-054909/9.</w:t>
      </w:r>
    </w:p>
    <w:p w14:paraId="3052150B"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51</w:t>
      </w:r>
      <w:r w:rsidRPr="00D039E9">
        <w:rPr>
          <w:rFonts w:cs="Times"/>
          <w:noProof/>
          <w:szCs w:val="24"/>
        </w:rPr>
        <w:tab/>
        <w:t xml:space="preserve">V. Pierce, M. Kang, M. Aburi, S. Weerasinghe and P. E. Smith, </w:t>
      </w:r>
      <w:r w:rsidRPr="00D039E9">
        <w:rPr>
          <w:rFonts w:cs="Times"/>
          <w:i/>
          <w:iCs/>
          <w:noProof/>
          <w:szCs w:val="24"/>
        </w:rPr>
        <w:t>Cell Biochem. Biophys.</w:t>
      </w:r>
      <w:r w:rsidRPr="00D039E9">
        <w:rPr>
          <w:rFonts w:cs="Times"/>
          <w:noProof/>
          <w:szCs w:val="24"/>
        </w:rPr>
        <w:t>, 2008, 50, 1–22.</w:t>
      </w:r>
    </w:p>
    <w:p w14:paraId="57FE160B"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52</w:t>
      </w:r>
      <w:r w:rsidRPr="00D039E9">
        <w:rPr>
          <w:rFonts w:cs="Times"/>
          <w:noProof/>
          <w:szCs w:val="24"/>
        </w:rPr>
        <w:tab/>
        <w:t xml:space="preserve">J. G. Kirkwood and F. P. Buff, </w:t>
      </w:r>
      <w:r w:rsidRPr="00D039E9">
        <w:rPr>
          <w:rFonts w:cs="Times"/>
          <w:i/>
          <w:iCs/>
          <w:noProof/>
          <w:szCs w:val="24"/>
        </w:rPr>
        <w:t>J. Chem. Phys.</w:t>
      </w:r>
      <w:r w:rsidRPr="00D039E9">
        <w:rPr>
          <w:rFonts w:cs="Times"/>
          <w:noProof/>
          <w:szCs w:val="24"/>
        </w:rPr>
        <w:t xml:space="preserve">, 1951, </w:t>
      </w:r>
      <w:r w:rsidRPr="00D039E9">
        <w:rPr>
          <w:rFonts w:cs="Times"/>
          <w:b/>
          <w:bCs/>
          <w:noProof/>
          <w:szCs w:val="24"/>
        </w:rPr>
        <w:t>19</w:t>
      </w:r>
      <w:r w:rsidRPr="00D039E9">
        <w:rPr>
          <w:rFonts w:cs="Times"/>
          <w:noProof/>
          <w:szCs w:val="24"/>
        </w:rPr>
        <w:t>, 774–777.</w:t>
      </w:r>
    </w:p>
    <w:p w14:paraId="49A09609"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53</w:t>
      </w:r>
      <w:r w:rsidRPr="00D039E9">
        <w:rPr>
          <w:rFonts w:cs="Times"/>
          <w:noProof/>
          <w:szCs w:val="24"/>
        </w:rPr>
        <w:tab/>
        <w:t xml:space="preserve">D. G. Hall, </w:t>
      </w:r>
      <w:r w:rsidRPr="00D039E9">
        <w:rPr>
          <w:rFonts w:cs="Times"/>
          <w:i/>
          <w:iCs/>
          <w:noProof/>
          <w:szCs w:val="24"/>
        </w:rPr>
        <w:t>Trans. Faraday Soc.</w:t>
      </w:r>
      <w:r w:rsidRPr="00D039E9">
        <w:rPr>
          <w:rFonts w:cs="Times"/>
          <w:noProof/>
          <w:szCs w:val="24"/>
        </w:rPr>
        <w:t xml:space="preserve">, 1971, </w:t>
      </w:r>
      <w:r w:rsidRPr="00D039E9">
        <w:rPr>
          <w:rFonts w:cs="Times"/>
          <w:b/>
          <w:bCs/>
          <w:noProof/>
          <w:szCs w:val="24"/>
        </w:rPr>
        <w:t>67</w:t>
      </w:r>
      <w:r w:rsidRPr="00D039E9">
        <w:rPr>
          <w:rFonts w:cs="Times"/>
          <w:noProof/>
          <w:szCs w:val="24"/>
        </w:rPr>
        <w:t>, 2516.</w:t>
      </w:r>
    </w:p>
    <w:p w14:paraId="30A8C2A5"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54</w:t>
      </w:r>
      <w:r w:rsidRPr="00D039E9">
        <w:rPr>
          <w:rFonts w:cs="Times"/>
          <w:noProof/>
          <w:szCs w:val="24"/>
        </w:rPr>
        <w:tab/>
        <w:t xml:space="preserve">A. Ben‐Naim, </w:t>
      </w:r>
      <w:r w:rsidRPr="00D039E9">
        <w:rPr>
          <w:rFonts w:cs="Times"/>
          <w:i/>
          <w:iCs/>
          <w:noProof/>
          <w:szCs w:val="24"/>
        </w:rPr>
        <w:t>J. Chem. Phys.</w:t>
      </w:r>
      <w:r w:rsidRPr="00D039E9">
        <w:rPr>
          <w:rFonts w:cs="Times"/>
          <w:noProof/>
          <w:szCs w:val="24"/>
        </w:rPr>
        <w:t xml:space="preserve">, 1977, </w:t>
      </w:r>
      <w:r w:rsidRPr="00D039E9">
        <w:rPr>
          <w:rFonts w:cs="Times"/>
          <w:b/>
          <w:bCs/>
          <w:noProof/>
          <w:szCs w:val="24"/>
        </w:rPr>
        <w:t>67</w:t>
      </w:r>
      <w:r w:rsidRPr="00D039E9">
        <w:rPr>
          <w:rFonts w:cs="Times"/>
          <w:noProof/>
          <w:szCs w:val="24"/>
        </w:rPr>
        <w:t>, 4884–4890.</w:t>
      </w:r>
    </w:p>
    <w:p w14:paraId="553FF295"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55</w:t>
      </w:r>
      <w:r w:rsidRPr="00D039E9">
        <w:rPr>
          <w:rFonts w:cs="Times"/>
          <w:noProof/>
          <w:szCs w:val="24"/>
        </w:rPr>
        <w:tab/>
        <w:t xml:space="preserve">K. E. Newman, </w:t>
      </w:r>
      <w:r w:rsidRPr="00D039E9">
        <w:rPr>
          <w:rFonts w:cs="Times"/>
          <w:i/>
          <w:iCs/>
          <w:noProof/>
          <w:szCs w:val="24"/>
        </w:rPr>
        <w:t>Chem. Soc. Rev.</w:t>
      </w:r>
      <w:r w:rsidRPr="00D039E9">
        <w:rPr>
          <w:rFonts w:cs="Times"/>
          <w:noProof/>
          <w:szCs w:val="24"/>
        </w:rPr>
        <w:t xml:space="preserve">, 1994, </w:t>
      </w:r>
      <w:r w:rsidRPr="00D039E9">
        <w:rPr>
          <w:rFonts w:cs="Times"/>
          <w:b/>
          <w:bCs/>
          <w:noProof/>
          <w:szCs w:val="24"/>
        </w:rPr>
        <w:t>23</w:t>
      </w:r>
      <w:r w:rsidRPr="00D039E9">
        <w:rPr>
          <w:rFonts w:cs="Times"/>
          <w:noProof/>
          <w:szCs w:val="24"/>
        </w:rPr>
        <w:t>, 31–40.</w:t>
      </w:r>
    </w:p>
    <w:p w14:paraId="114A1247"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56</w:t>
      </w:r>
      <w:r w:rsidRPr="00D039E9">
        <w:rPr>
          <w:rFonts w:cs="Times"/>
          <w:noProof/>
          <w:szCs w:val="24"/>
        </w:rPr>
        <w:tab/>
        <w:t xml:space="preserve">S. Shimizu and S. Abbott, </w:t>
      </w:r>
      <w:r w:rsidRPr="00D039E9">
        <w:rPr>
          <w:rFonts w:cs="Times"/>
          <w:i/>
          <w:iCs/>
          <w:noProof/>
          <w:szCs w:val="24"/>
        </w:rPr>
        <w:t>J. Phys. Chem. B</w:t>
      </w:r>
      <w:r w:rsidRPr="00D039E9">
        <w:rPr>
          <w:rFonts w:cs="Times"/>
          <w:noProof/>
          <w:szCs w:val="24"/>
        </w:rPr>
        <w:t xml:space="preserve">, 2016, </w:t>
      </w:r>
      <w:r w:rsidRPr="00D039E9">
        <w:rPr>
          <w:rFonts w:cs="Times"/>
          <w:b/>
          <w:bCs/>
          <w:noProof/>
          <w:szCs w:val="24"/>
        </w:rPr>
        <w:t>120</w:t>
      </w:r>
      <w:r w:rsidRPr="00D039E9">
        <w:rPr>
          <w:rFonts w:cs="Times"/>
          <w:noProof/>
          <w:szCs w:val="24"/>
        </w:rPr>
        <w:t>, 3713–3723.</w:t>
      </w:r>
    </w:p>
    <w:p w14:paraId="61ABE098"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57</w:t>
      </w:r>
      <w:r w:rsidRPr="00D039E9">
        <w:rPr>
          <w:rFonts w:cs="Times"/>
          <w:noProof/>
          <w:szCs w:val="24"/>
        </w:rPr>
        <w:tab/>
        <w:t xml:space="preserve">S. Abbott, J. J. Booth and S. Shimizu, </w:t>
      </w:r>
      <w:r w:rsidRPr="00D039E9">
        <w:rPr>
          <w:rFonts w:cs="Times"/>
          <w:i/>
          <w:iCs/>
          <w:noProof/>
          <w:szCs w:val="24"/>
        </w:rPr>
        <w:t>Green Chem.</w:t>
      </w:r>
      <w:r w:rsidRPr="00D039E9">
        <w:rPr>
          <w:rFonts w:cs="Times"/>
          <w:noProof/>
          <w:szCs w:val="24"/>
        </w:rPr>
        <w:t xml:space="preserve">, 2017, </w:t>
      </w:r>
      <w:r w:rsidRPr="00D039E9">
        <w:rPr>
          <w:rFonts w:cs="Times"/>
          <w:b/>
          <w:bCs/>
          <w:noProof/>
          <w:szCs w:val="24"/>
        </w:rPr>
        <w:t>19</w:t>
      </w:r>
      <w:r w:rsidRPr="00D039E9">
        <w:rPr>
          <w:rFonts w:cs="Times"/>
          <w:noProof/>
          <w:szCs w:val="24"/>
        </w:rPr>
        <w:t>, 68–75.</w:t>
      </w:r>
    </w:p>
    <w:p w14:paraId="19D406E8"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58</w:t>
      </w:r>
      <w:r w:rsidRPr="00D039E9">
        <w:rPr>
          <w:rFonts w:cs="Times"/>
          <w:noProof/>
          <w:szCs w:val="24"/>
        </w:rPr>
        <w:tab/>
        <w:t xml:space="preserve">S. N. Timasheff, </w:t>
      </w:r>
      <w:r w:rsidRPr="00D039E9">
        <w:rPr>
          <w:rFonts w:cs="Times"/>
          <w:i/>
          <w:iCs/>
          <w:noProof/>
          <w:szCs w:val="24"/>
        </w:rPr>
        <w:t>Proc. Natl. Acad. Sci.</w:t>
      </w:r>
      <w:r w:rsidRPr="00D039E9">
        <w:rPr>
          <w:rFonts w:cs="Times"/>
          <w:noProof/>
          <w:szCs w:val="24"/>
        </w:rPr>
        <w:t xml:space="preserve">, 2002, </w:t>
      </w:r>
      <w:r w:rsidRPr="00D039E9">
        <w:rPr>
          <w:rFonts w:cs="Times"/>
          <w:b/>
          <w:bCs/>
          <w:noProof/>
          <w:szCs w:val="24"/>
        </w:rPr>
        <w:t>99</w:t>
      </w:r>
      <w:r w:rsidRPr="00D039E9">
        <w:rPr>
          <w:rFonts w:cs="Times"/>
          <w:noProof/>
          <w:szCs w:val="24"/>
        </w:rPr>
        <w:t>, 9721–9726.</w:t>
      </w:r>
    </w:p>
    <w:p w14:paraId="7619A408"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59</w:t>
      </w:r>
      <w:r w:rsidRPr="00D039E9">
        <w:rPr>
          <w:rFonts w:cs="Times"/>
          <w:noProof/>
          <w:szCs w:val="24"/>
        </w:rPr>
        <w:tab/>
        <w:t xml:space="preserve">A. B. Bhatia and D. E. Thornton, </w:t>
      </w:r>
      <w:r w:rsidRPr="00D039E9">
        <w:rPr>
          <w:rFonts w:cs="Times"/>
          <w:i/>
          <w:iCs/>
          <w:noProof/>
          <w:szCs w:val="24"/>
        </w:rPr>
        <w:t>Phys. Rev. B</w:t>
      </w:r>
      <w:r w:rsidRPr="00D039E9">
        <w:rPr>
          <w:rFonts w:cs="Times"/>
          <w:noProof/>
          <w:szCs w:val="24"/>
        </w:rPr>
        <w:t xml:space="preserve">, 1970, </w:t>
      </w:r>
      <w:r w:rsidRPr="00D039E9">
        <w:rPr>
          <w:rFonts w:cs="Times"/>
          <w:b/>
          <w:bCs/>
          <w:noProof/>
          <w:szCs w:val="24"/>
        </w:rPr>
        <w:t>2</w:t>
      </w:r>
      <w:r w:rsidRPr="00D039E9">
        <w:rPr>
          <w:rFonts w:cs="Times"/>
          <w:noProof/>
          <w:szCs w:val="24"/>
        </w:rPr>
        <w:t>, 3004–3012.</w:t>
      </w:r>
    </w:p>
    <w:p w14:paraId="50B6B81F"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60</w:t>
      </w:r>
      <w:r w:rsidRPr="00D039E9">
        <w:rPr>
          <w:rFonts w:cs="Times"/>
          <w:noProof/>
          <w:szCs w:val="24"/>
        </w:rPr>
        <w:tab/>
        <w:t xml:space="preserve">K. Nishikawa, </w:t>
      </w:r>
      <w:r w:rsidRPr="00D039E9">
        <w:rPr>
          <w:rFonts w:cs="Times"/>
          <w:i/>
          <w:iCs/>
          <w:noProof/>
          <w:szCs w:val="24"/>
        </w:rPr>
        <w:t>Chem. Phys. Lett.</w:t>
      </w:r>
      <w:r w:rsidRPr="00D039E9">
        <w:rPr>
          <w:rFonts w:cs="Times"/>
          <w:noProof/>
          <w:szCs w:val="24"/>
        </w:rPr>
        <w:t xml:space="preserve">, 1986, </w:t>
      </w:r>
      <w:r w:rsidRPr="00D039E9">
        <w:rPr>
          <w:rFonts w:cs="Times"/>
          <w:b/>
          <w:bCs/>
          <w:noProof/>
          <w:szCs w:val="24"/>
        </w:rPr>
        <w:t>132</w:t>
      </w:r>
      <w:r w:rsidRPr="00D039E9">
        <w:rPr>
          <w:rFonts w:cs="Times"/>
          <w:noProof/>
          <w:szCs w:val="24"/>
        </w:rPr>
        <w:t>, 50–54.</w:t>
      </w:r>
    </w:p>
    <w:p w14:paraId="0CC268CA"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61</w:t>
      </w:r>
      <w:r w:rsidRPr="00D039E9">
        <w:rPr>
          <w:rFonts w:cs="Times"/>
          <w:noProof/>
          <w:szCs w:val="24"/>
        </w:rPr>
        <w:tab/>
        <w:t xml:space="preserve">D. T. Bowron, J. L. Finney, A. Hallbrucker, I. Kohl, T. Loerting, E. Mayer and A. K. Soper, </w:t>
      </w:r>
      <w:r w:rsidRPr="00D039E9">
        <w:rPr>
          <w:rFonts w:cs="Times"/>
          <w:i/>
          <w:iCs/>
          <w:noProof/>
          <w:szCs w:val="24"/>
        </w:rPr>
        <w:t>J. Chem. Phys.</w:t>
      </w:r>
      <w:r w:rsidRPr="00D039E9">
        <w:rPr>
          <w:rFonts w:cs="Times"/>
          <w:noProof/>
          <w:szCs w:val="24"/>
        </w:rPr>
        <w:t xml:space="preserve">, 2006, </w:t>
      </w:r>
      <w:r w:rsidRPr="00D039E9">
        <w:rPr>
          <w:rFonts w:cs="Times"/>
          <w:b/>
          <w:bCs/>
          <w:noProof/>
          <w:szCs w:val="24"/>
        </w:rPr>
        <w:t>125</w:t>
      </w:r>
      <w:r w:rsidRPr="00D039E9">
        <w:rPr>
          <w:rFonts w:cs="Times"/>
          <w:noProof/>
          <w:szCs w:val="24"/>
        </w:rPr>
        <w:t>, 1–14.</w:t>
      </w:r>
    </w:p>
    <w:p w14:paraId="193AB399"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62</w:t>
      </w:r>
      <w:r w:rsidRPr="00D039E9">
        <w:rPr>
          <w:rFonts w:cs="Times"/>
          <w:noProof/>
          <w:szCs w:val="24"/>
        </w:rPr>
        <w:tab/>
        <w:t xml:space="preserve">T. V. Chalikian, </w:t>
      </w:r>
      <w:r w:rsidRPr="00D039E9">
        <w:rPr>
          <w:rFonts w:cs="Times"/>
          <w:i/>
          <w:iCs/>
          <w:noProof/>
          <w:szCs w:val="24"/>
        </w:rPr>
        <w:t>Annu. Rev. Biophys. Biomol. Struct.</w:t>
      </w:r>
      <w:r w:rsidRPr="00D039E9">
        <w:rPr>
          <w:rFonts w:cs="Times"/>
          <w:noProof/>
          <w:szCs w:val="24"/>
        </w:rPr>
        <w:t xml:space="preserve">, 2003, </w:t>
      </w:r>
      <w:r w:rsidRPr="00D039E9">
        <w:rPr>
          <w:rFonts w:cs="Times"/>
          <w:b/>
          <w:bCs/>
          <w:noProof/>
          <w:szCs w:val="24"/>
        </w:rPr>
        <w:t>32</w:t>
      </w:r>
      <w:r w:rsidRPr="00D039E9">
        <w:rPr>
          <w:rFonts w:cs="Times"/>
          <w:noProof/>
          <w:szCs w:val="24"/>
        </w:rPr>
        <w:t>, 207–235.</w:t>
      </w:r>
    </w:p>
    <w:p w14:paraId="7C08C07B"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63</w:t>
      </w:r>
      <w:r w:rsidRPr="00D039E9">
        <w:rPr>
          <w:rFonts w:cs="Times"/>
          <w:noProof/>
          <w:szCs w:val="24"/>
        </w:rPr>
        <w:tab/>
        <w:t xml:space="preserve">L. Lepori and P. Gianni, </w:t>
      </w:r>
      <w:r w:rsidRPr="00D039E9">
        <w:rPr>
          <w:rFonts w:cs="Times"/>
          <w:i/>
          <w:iCs/>
          <w:noProof/>
          <w:szCs w:val="24"/>
        </w:rPr>
        <w:t>J. Solution Chem.</w:t>
      </w:r>
      <w:r w:rsidRPr="00D039E9">
        <w:rPr>
          <w:rFonts w:cs="Times"/>
          <w:noProof/>
          <w:szCs w:val="24"/>
        </w:rPr>
        <w:t xml:space="preserve">, 2000, </w:t>
      </w:r>
      <w:r w:rsidRPr="00D039E9">
        <w:rPr>
          <w:rFonts w:cs="Times"/>
          <w:b/>
          <w:bCs/>
          <w:noProof/>
          <w:szCs w:val="24"/>
        </w:rPr>
        <w:t>29</w:t>
      </w:r>
      <w:r w:rsidRPr="00D039E9">
        <w:rPr>
          <w:rFonts w:cs="Times"/>
          <w:noProof/>
          <w:szCs w:val="24"/>
        </w:rPr>
        <w:t>, 405–447.</w:t>
      </w:r>
    </w:p>
    <w:p w14:paraId="76CD2EF5"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64</w:t>
      </w:r>
      <w:r w:rsidRPr="00D039E9">
        <w:rPr>
          <w:rFonts w:cs="Times"/>
          <w:noProof/>
          <w:szCs w:val="24"/>
        </w:rPr>
        <w:tab/>
        <w:t xml:space="preserve">S. N. Timasheff, </w:t>
      </w:r>
      <w:r w:rsidRPr="00D039E9">
        <w:rPr>
          <w:rFonts w:cs="Times"/>
          <w:i/>
          <w:iCs/>
          <w:noProof/>
          <w:szCs w:val="24"/>
        </w:rPr>
        <w:t>Biochemistry</w:t>
      </w:r>
      <w:r w:rsidRPr="00D039E9">
        <w:rPr>
          <w:rFonts w:cs="Times"/>
          <w:noProof/>
          <w:szCs w:val="24"/>
        </w:rPr>
        <w:t xml:space="preserve">, 2002, </w:t>
      </w:r>
      <w:r w:rsidRPr="00D039E9">
        <w:rPr>
          <w:rFonts w:cs="Times"/>
          <w:b/>
          <w:bCs/>
          <w:noProof/>
          <w:szCs w:val="24"/>
        </w:rPr>
        <w:t>41</w:t>
      </w:r>
      <w:r w:rsidRPr="00D039E9">
        <w:rPr>
          <w:rFonts w:cs="Times"/>
          <w:noProof/>
          <w:szCs w:val="24"/>
        </w:rPr>
        <w:t>, 13474–13482.</w:t>
      </w:r>
    </w:p>
    <w:p w14:paraId="388F6C02"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65</w:t>
      </w:r>
      <w:r w:rsidRPr="00D039E9">
        <w:rPr>
          <w:rFonts w:cs="Times"/>
          <w:noProof/>
          <w:szCs w:val="24"/>
        </w:rPr>
        <w:tab/>
        <w:t xml:space="preserve">S. N. Timasheff, </w:t>
      </w:r>
      <w:r w:rsidRPr="00D039E9">
        <w:rPr>
          <w:rFonts w:cs="Times"/>
          <w:i/>
          <w:iCs/>
          <w:noProof/>
          <w:szCs w:val="24"/>
        </w:rPr>
        <w:t>J. Biol. Chem.</w:t>
      </w:r>
      <w:r w:rsidRPr="00D039E9">
        <w:rPr>
          <w:rFonts w:cs="Times"/>
          <w:noProof/>
          <w:szCs w:val="24"/>
        </w:rPr>
        <w:t xml:space="preserve">, 1967, </w:t>
      </w:r>
      <w:r w:rsidRPr="00D039E9">
        <w:rPr>
          <w:rFonts w:cs="Times"/>
          <w:b/>
          <w:bCs/>
          <w:noProof/>
          <w:szCs w:val="24"/>
        </w:rPr>
        <w:t>242</w:t>
      </w:r>
      <w:r w:rsidRPr="00D039E9">
        <w:rPr>
          <w:rFonts w:cs="Times"/>
          <w:noProof/>
          <w:szCs w:val="24"/>
        </w:rPr>
        <w:t>, 5080–5085.</w:t>
      </w:r>
    </w:p>
    <w:p w14:paraId="712F5E11"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66</w:t>
      </w:r>
      <w:r w:rsidRPr="00D039E9">
        <w:rPr>
          <w:rFonts w:cs="Times"/>
          <w:noProof/>
          <w:szCs w:val="24"/>
        </w:rPr>
        <w:tab/>
        <w:t xml:space="preserve">J. C. Lee, K. Gekko and S. N. Timasheff, </w:t>
      </w:r>
      <w:r w:rsidRPr="00D039E9">
        <w:rPr>
          <w:rFonts w:cs="Times"/>
          <w:i/>
          <w:iCs/>
          <w:noProof/>
          <w:szCs w:val="24"/>
        </w:rPr>
        <w:t>Methods Enzymol.</w:t>
      </w:r>
      <w:r w:rsidRPr="00D039E9">
        <w:rPr>
          <w:rFonts w:cs="Times"/>
          <w:noProof/>
          <w:szCs w:val="24"/>
        </w:rPr>
        <w:t xml:space="preserve">, 1979, </w:t>
      </w:r>
      <w:r w:rsidRPr="00D039E9">
        <w:rPr>
          <w:rFonts w:cs="Times"/>
          <w:b/>
          <w:bCs/>
          <w:noProof/>
          <w:szCs w:val="24"/>
        </w:rPr>
        <w:t>61</w:t>
      </w:r>
      <w:r w:rsidRPr="00D039E9">
        <w:rPr>
          <w:rFonts w:cs="Times"/>
          <w:noProof/>
          <w:szCs w:val="24"/>
        </w:rPr>
        <w:t>, 26–49.</w:t>
      </w:r>
    </w:p>
    <w:p w14:paraId="4138AE1C"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67</w:t>
      </w:r>
      <w:r w:rsidRPr="00D039E9">
        <w:rPr>
          <w:rFonts w:cs="Times"/>
          <w:noProof/>
          <w:szCs w:val="24"/>
        </w:rPr>
        <w:tab/>
        <w:t xml:space="preserve">S. N. Timasheff, </w:t>
      </w:r>
      <w:r w:rsidRPr="00D039E9">
        <w:rPr>
          <w:rFonts w:cs="Times"/>
          <w:i/>
          <w:iCs/>
          <w:noProof/>
          <w:szCs w:val="24"/>
        </w:rPr>
        <w:t>Adv. Protein Chem.</w:t>
      </w:r>
      <w:r w:rsidRPr="00D039E9">
        <w:rPr>
          <w:rFonts w:cs="Times"/>
          <w:noProof/>
          <w:szCs w:val="24"/>
        </w:rPr>
        <w:t xml:space="preserve">, 1998, </w:t>
      </w:r>
      <w:r w:rsidRPr="00D039E9">
        <w:rPr>
          <w:rFonts w:cs="Times"/>
          <w:b/>
          <w:bCs/>
          <w:noProof/>
          <w:szCs w:val="24"/>
        </w:rPr>
        <w:t>51</w:t>
      </w:r>
      <w:r w:rsidRPr="00D039E9">
        <w:rPr>
          <w:rFonts w:cs="Times"/>
          <w:noProof/>
          <w:szCs w:val="24"/>
        </w:rPr>
        <w:t>, 355–432.</w:t>
      </w:r>
    </w:p>
    <w:p w14:paraId="367C2C6F"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68</w:t>
      </w:r>
      <w:r w:rsidRPr="00D039E9">
        <w:rPr>
          <w:rFonts w:cs="Times"/>
          <w:noProof/>
          <w:szCs w:val="24"/>
        </w:rPr>
        <w:tab/>
        <w:t xml:space="preserve">T. V Chalikian and R. Filfil, </w:t>
      </w:r>
      <w:r w:rsidRPr="00D039E9">
        <w:rPr>
          <w:rFonts w:cs="Times"/>
          <w:i/>
          <w:iCs/>
          <w:noProof/>
          <w:szCs w:val="24"/>
        </w:rPr>
        <w:t>Biophys. Chem.</w:t>
      </w:r>
      <w:r w:rsidRPr="00D039E9">
        <w:rPr>
          <w:rFonts w:cs="Times"/>
          <w:noProof/>
          <w:szCs w:val="24"/>
        </w:rPr>
        <w:t xml:space="preserve">, 2003, </w:t>
      </w:r>
      <w:r w:rsidRPr="00D039E9">
        <w:rPr>
          <w:rFonts w:cs="Times"/>
          <w:b/>
          <w:bCs/>
          <w:noProof/>
          <w:szCs w:val="24"/>
        </w:rPr>
        <w:t>104</w:t>
      </w:r>
      <w:r w:rsidRPr="00D039E9">
        <w:rPr>
          <w:rFonts w:cs="Times"/>
          <w:noProof/>
          <w:szCs w:val="24"/>
        </w:rPr>
        <w:t>, 489–499.</w:t>
      </w:r>
    </w:p>
    <w:p w14:paraId="54C16402"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69</w:t>
      </w:r>
      <w:r w:rsidRPr="00D039E9">
        <w:rPr>
          <w:rFonts w:cs="Times"/>
          <w:noProof/>
          <w:szCs w:val="24"/>
        </w:rPr>
        <w:tab/>
        <w:t xml:space="preserve">S. Shimizu, </w:t>
      </w:r>
      <w:r w:rsidRPr="00D039E9">
        <w:rPr>
          <w:rFonts w:cs="Times"/>
          <w:i/>
          <w:iCs/>
          <w:noProof/>
          <w:szCs w:val="24"/>
        </w:rPr>
        <w:t>Food Funct.</w:t>
      </w:r>
      <w:r w:rsidRPr="00D039E9">
        <w:rPr>
          <w:rFonts w:cs="Times"/>
          <w:noProof/>
          <w:szCs w:val="24"/>
        </w:rPr>
        <w:t xml:space="preserve">, 2015, </w:t>
      </w:r>
      <w:r w:rsidRPr="00D039E9">
        <w:rPr>
          <w:rFonts w:cs="Times"/>
          <w:b/>
          <w:bCs/>
          <w:noProof/>
          <w:szCs w:val="24"/>
        </w:rPr>
        <w:t>6</w:t>
      </w:r>
      <w:r w:rsidRPr="00D039E9">
        <w:rPr>
          <w:rFonts w:cs="Times"/>
          <w:noProof/>
          <w:szCs w:val="24"/>
        </w:rPr>
        <w:t>, 3228–3235.</w:t>
      </w:r>
    </w:p>
    <w:p w14:paraId="1A2677B9"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70</w:t>
      </w:r>
      <w:r w:rsidRPr="00D039E9">
        <w:rPr>
          <w:rFonts w:cs="Times"/>
          <w:noProof/>
          <w:szCs w:val="24"/>
        </w:rPr>
        <w:tab/>
        <w:t xml:space="preserve">T. W. J. Nicol, N. Matubayasi and S. Shimizu, </w:t>
      </w:r>
      <w:r w:rsidRPr="00D039E9">
        <w:rPr>
          <w:rFonts w:cs="Times"/>
          <w:i/>
          <w:iCs/>
          <w:noProof/>
          <w:szCs w:val="24"/>
        </w:rPr>
        <w:t>Phys. Chem. Chem. Phys.</w:t>
      </w:r>
      <w:r w:rsidRPr="00D039E9">
        <w:rPr>
          <w:rFonts w:cs="Times"/>
          <w:noProof/>
          <w:szCs w:val="24"/>
        </w:rPr>
        <w:t xml:space="preserve">, 2016, </w:t>
      </w:r>
      <w:r w:rsidRPr="00D039E9">
        <w:rPr>
          <w:rFonts w:cs="Times"/>
          <w:b/>
          <w:bCs/>
          <w:noProof/>
          <w:szCs w:val="24"/>
        </w:rPr>
        <w:t>18</w:t>
      </w:r>
      <w:r w:rsidRPr="00D039E9">
        <w:rPr>
          <w:rFonts w:cs="Times"/>
          <w:noProof/>
          <w:szCs w:val="24"/>
        </w:rPr>
        <w:t>, 15205–15217.</w:t>
      </w:r>
    </w:p>
    <w:p w14:paraId="50CBA343" w14:textId="77777777" w:rsidR="00C65F5C" w:rsidRPr="00D039E9" w:rsidRDefault="00C65F5C" w:rsidP="00C65F5C">
      <w:pPr>
        <w:widowControl w:val="0"/>
        <w:autoSpaceDE w:val="0"/>
        <w:autoSpaceDN w:val="0"/>
        <w:adjustRightInd w:val="0"/>
        <w:spacing w:after="160"/>
        <w:ind w:left="640" w:hanging="640"/>
        <w:rPr>
          <w:rFonts w:cs="Times"/>
          <w:noProof/>
          <w:szCs w:val="24"/>
        </w:rPr>
      </w:pPr>
      <w:r w:rsidRPr="00D039E9">
        <w:rPr>
          <w:rFonts w:cs="Times"/>
          <w:noProof/>
          <w:szCs w:val="24"/>
        </w:rPr>
        <w:t>71</w:t>
      </w:r>
      <w:r w:rsidRPr="00D039E9">
        <w:rPr>
          <w:rFonts w:cs="Times"/>
          <w:noProof/>
          <w:szCs w:val="24"/>
        </w:rPr>
        <w:tab/>
        <w:t xml:space="preserve">A. Ben-Naim, </w:t>
      </w:r>
      <w:r w:rsidRPr="00D039E9">
        <w:rPr>
          <w:rFonts w:cs="Times"/>
          <w:i/>
          <w:iCs/>
          <w:noProof/>
          <w:szCs w:val="24"/>
        </w:rPr>
        <w:t>Molecular Theory of Solutions</w:t>
      </w:r>
      <w:r w:rsidRPr="00D039E9">
        <w:rPr>
          <w:rFonts w:cs="Times"/>
          <w:noProof/>
          <w:szCs w:val="24"/>
        </w:rPr>
        <w:t>, Oxford University Press, Oxford, 2006.</w:t>
      </w:r>
    </w:p>
    <w:p w14:paraId="2F431DE1" w14:textId="77777777" w:rsidR="00C65F5C" w:rsidRPr="00D039E9" w:rsidRDefault="00C65F5C" w:rsidP="00C65F5C">
      <w:pPr>
        <w:widowControl w:val="0"/>
        <w:autoSpaceDE w:val="0"/>
        <w:autoSpaceDN w:val="0"/>
        <w:adjustRightInd w:val="0"/>
        <w:spacing w:after="160"/>
        <w:ind w:left="640" w:hanging="640"/>
        <w:rPr>
          <w:rFonts w:cs="Times"/>
          <w:noProof/>
        </w:rPr>
      </w:pPr>
      <w:r w:rsidRPr="00D039E9">
        <w:rPr>
          <w:rFonts w:cs="Times"/>
          <w:noProof/>
          <w:szCs w:val="24"/>
        </w:rPr>
        <w:t>72</w:t>
      </w:r>
      <w:r w:rsidRPr="00D039E9">
        <w:rPr>
          <w:rFonts w:cs="Times"/>
          <w:noProof/>
          <w:szCs w:val="24"/>
        </w:rPr>
        <w:tab/>
        <w:t xml:space="preserve">S. Shimizu and N. Matubayasi, </w:t>
      </w:r>
      <w:r w:rsidRPr="00D039E9">
        <w:rPr>
          <w:rFonts w:cs="Times"/>
          <w:i/>
          <w:iCs/>
          <w:noProof/>
          <w:szCs w:val="24"/>
        </w:rPr>
        <w:t>Chem. Phys. Lett.</w:t>
      </w:r>
      <w:r w:rsidRPr="00D039E9">
        <w:rPr>
          <w:rFonts w:cs="Times"/>
          <w:noProof/>
          <w:szCs w:val="24"/>
        </w:rPr>
        <w:t xml:space="preserve">, 2006, </w:t>
      </w:r>
      <w:r w:rsidRPr="00D039E9">
        <w:rPr>
          <w:rFonts w:cs="Times"/>
          <w:b/>
          <w:bCs/>
          <w:noProof/>
          <w:szCs w:val="24"/>
        </w:rPr>
        <w:t>420</w:t>
      </w:r>
      <w:r w:rsidRPr="00D039E9">
        <w:rPr>
          <w:rFonts w:cs="Times"/>
          <w:noProof/>
          <w:szCs w:val="24"/>
        </w:rPr>
        <w:t>, 518–522.</w:t>
      </w:r>
    </w:p>
    <w:p w14:paraId="20CC4319" w14:textId="7E09F7DB" w:rsidR="002B6208" w:rsidRPr="00D039E9" w:rsidRDefault="002B6208">
      <w:pPr>
        <w:spacing w:after="160" w:line="259" w:lineRule="auto"/>
        <w:jc w:val="left"/>
        <w:rPr>
          <w:rFonts w:cs="Times"/>
          <w:szCs w:val="24"/>
          <w:lang w:val="en-CA"/>
        </w:rPr>
      </w:pPr>
      <w:r w:rsidRPr="00D039E9">
        <w:rPr>
          <w:rFonts w:cs="Times"/>
          <w:szCs w:val="24"/>
          <w:lang w:val="en-CA"/>
        </w:rPr>
        <w:fldChar w:fldCharType="end"/>
      </w:r>
      <w:r w:rsidRPr="00D039E9">
        <w:rPr>
          <w:rFonts w:cs="Times"/>
          <w:szCs w:val="24"/>
          <w:lang w:val="en-CA"/>
        </w:rPr>
        <w:br w:type="page"/>
      </w:r>
    </w:p>
    <w:p w14:paraId="71FE948E" w14:textId="77777777" w:rsidR="002B6208" w:rsidRPr="00D039E9" w:rsidRDefault="002B6208" w:rsidP="00AF7350">
      <w:pPr>
        <w:spacing w:after="160" w:line="259" w:lineRule="auto"/>
        <w:jc w:val="left"/>
        <w:rPr>
          <w:rFonts w:cs="Times"/>
          <w:szCs w:val="24"/>
          <w:lang w:val="en-CA"/>
        </w:rPr>
      </w:pPr>
    </w:p>
    <w:p w14:paraId="4824998E" w14:textId="1F11837D" w:rsidR="008A307F" w:rsidRPr="00D039E9" w:rsidRDefault="00AF7350" w:rsidP="00007049">
      <w:pPr>
        <w:pStyle w:val="TAMainText"/>
        <w:ind w:firstLine="0"/>
        <w:rPr>
          <w:rFonts w:cs="Times"/>
          <w:b/>
          <w:szCs w:val="24"/>
          <w:lang w:val="en-CA"/>
        </w:rPr>
      </w:pPr>
      <w:r w:rsidRPr="00D039E9">
        <w:rPr>
          <w:rFonts w:cs="Times"/>
          <w:b/>
          <w:szCs w:val="24"/>
          <w:lang w:val="en-CA"/>
        </w:rPr>
        <w:t>Figures</w:t>
      </w:r>
    </w:p>
    <w:p w14:paraId="12F0543C" w14:textId="09F82C36" w:rsidR="00AF7350" w:rsidRPr="00D039E9" w:rsidRDefault="00C23114">
      <w:pPr>
        <w:spacing w:after="160" w:line="259" w:lineRule="auto"/>
        <w:jc w:val="left"/>
        <w:rPr>
          <w:rFonts w:cs="Times"/>
          <w:szCs w:val="24"/>
          <w:lang w:val="en-CA"/>
        </w:rPr>
      </w:pPr>
      <w:r w:rsidRPr="00D039E9">
        <w:rPr>
          <w:rFonts w:cs="Times"/>
          <w:noProof/>
          <w:szCs w:val="24"/>
          <w:lang w:val="en-GB" w:eastAsia="ja-JP"/>
        </w:rPr>
        <w:drawing>
          <wp:inline distT="0" distB="0" distL="0" distR="0" wp14:anchorId="10C4B93C" wp14:editId="6602ED50">
            <wp:extent cx="4191000" cy="31293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93589" cy="3131303"/>
                    </a:xfrm>
                    <a:prstGeom prst="rect">
                      <a:avLst/>
                    </a:prstGeom>
                  </pic:spPr>
                </pic:pic>
              </a:graphicData>
            </a:graphic>
          </wp:inline>
        </w:drawing>
      </w:r>
    </w:p>
    <w:p w14:paraId="323A1D10" w14:textId="321C22BE" w:rsidR="00C23114" w:rsidRPr="00D039E9" w:rsidRDefault="00C23114" w:rsidP="00C23114">
      <w:pPr>
        <w:spacing w:after="160" w:line="480" w:lineRule="auto"/>
        <w:jc w:val="left"/>
        <w:rPr>
          <w:rFonts w:cs="Times"/>
          <w:szCs w:val="24"/>
          <w:lang w:val="en-CA"/>
        </w:rPr>
      </w:pPr>
      <w:r w:rsidRPr="00D039E9">
        <w:rPr>
          <w:rFonts w:cs="Times"/>
          <w:b/>
          <w:szCs w:val="24"/>
          <w:lang w:val="en-CA"/>
        </w:rPr>
        <w:t xml:space="preserve">Figure 1. </w:t>
      </w:r>
      <w:r w:rsidRPr="00D039E9">
        <w:rPr>
          <w:rFonts w:cs="Times"/>
          <w:szCs w:val="24"/>
          <w:lang w:val="en-CA"/>
        </w:rPr>
        <w:t>The physical meaning of th</w:t>
      </w:r>
      <w:r w:rsidR="00D71279" w:rsidRPr="00D039E9">
        <w:rPr>
          <w:rFonts w:cs="Times"/>
          <w:szCs w:val="24"/>
          <w:lang w:val="en-CA"/>
        </w:rPr>
        <w:t>e protein-flavour Kirkwood-Buff integral (KBI)</w:t>
      </w:r>
      <w:r w:rsidRPr="00D039E9">
        <w:rPr>
          <w:rFonts w:cs="Times"/>
          <w:szCs w:val="24"/>
          <w:lang w:val="en-CA"/>
        </w:rPr>
        <w:t>. It is th</w:t>
      </w:r>
      <w:r w:rsidR="007B78DD" w:rsidRPr="00D039E9">
        <w:rPr>
          <w:rFonts w:cs="Times"/>
          <w:szCs w:val="24"/>
          <w:lang w:val="en-CA"/>
        </w:rPr>
        <w:t>e</w:t>
      </w:r>
      <w:r w:rsidRPr="00D039E9">
        <w:rPr>
          <w:rFonts w:cs="Times"/>
          <w:szCs w:val="24"/>
          <w:lang w:val="en-CA"/>
        </w:rPr>
        <w:t xml:space="preserve"> spatial integration of </w:t>
      </w:r>
      <m:oMath>
        <m:sSub>
          <m:sSubPr>
            <m:ctrlPr>
              <w:rPr>
                <w:rFonts w:ascii="Cambria Math" w:hAnsi="Cambria Math" w:cs="Times"/>
                <w:i/>
                <w:szCs w:val="24"/>
                <w:lang w:val="en-CA"/>
              </w:rPr>
            </m:ctrlPr>
          </m:sSubPr>
          <m:e>
            <m:r>
              <w:rPr>
                <w:rFonts w:ascii="Cambria Math" w:hAnsi="Cambria Math" w:cs="Times"/>
                <w:szCs w:val="24"/>
                <w:lang w:val="en-CA"/>
              </w:rPr>
              <m:t>g</m:t>
            </m:r>
          </m:e>
          <m:sub>
            <m:r>
              <w:rPr>
                <w:rFonts w:ascii="Cambria Math" w:hAnsi="Cambria Math" w:cs="Times"/>
                <w:szCs w:val="24"/>
                <w:lang w:val="en-CA"/>
              </w:rPr>
              <m:t>PF</m:t>
            </m:r>
          </m:sub>
        </m:sSub>
        <m:d>
          <m:dPr>
            <m:ctrlPr>
              <w:rPr>
                <w:rFonts w:ascii="Cambria Math" w:hAnsi="Cambria Math" w:cs="Times"/>
                <w:i/>
                <w:szCs w:val="24"/>
                <w:lang w:val="en-CA"/>
              </w:rPr>
            </m:ctrlPr>
          </m:dPr>
          <m:e>
            <m:r>
              <w:rPr>
                <w:rFonts w:ascii="Cambria Math" w:hAnsi="Cambria Math" w:cs="Times"/>
                <w:szCs w:val="24"/>
                <w:lang w:val="en-CA"/>
              </w:rPr>
              <m:t>r</m:t>
            </m:r>
          </m:e>
        </m:d>
        <m:r>
          <w:rPr>
            <w:rFonts w:ascii="Cambria Math" w:hAnsi="Cambria Math" w:cs="Times"/>
            <w:szCs w:val="24"/>
            <w:lang w:val="en-CA"/>
          </w:rPr>
          <m:t>-1</m:t>
        </m:r>
      </m:oMath>
      <w:r w:rsidRPr="00D039E9">
        <w:rPr>
          <w:rFonts w:cs="Times"/>
          <w:szCs w:val="24"/>
          <w:lang w:val="en-CA"/>
        </w:rPr>
        <w:t xml:space="preserve"> (red), where </w:t>
      </w:r>
      <m:oMath>
        <m:sSub>
          <m:sSubPr>
            <m:ctrlPr>
              <w:rPr>
                <w:rFonts w:ascii="Cambria Math" w:hAnsi="Cambria Math" w:cs="Times"/>
                <w:i/>
                <w:szCs w:val="24"/>
                <w:lang w:val="en-CA"/>
              </w:rPr>
            </m:ctrlPr>
          </m:sSubPr>
          <m:e>
            <m:r>
              <w:rPr>
                <w:rFonts w:ascii="Cambria Math" w:hAnsi="Cambria Math" w:cs="Times"/>
                <w:szCs w:val="24"/>
                <w:lang w:val="en-CA"/>
              </w:rPr>
              <m:t>g</m:t>
            </m:r>
          </m:e>
          <m:sub>
            <m:r>
              <w:rPr>
                <w:rFonts w:ascii="Cambria Math" w:hAnsi="Cambria Math" w:cs="Times"/>
                <w:szCs w:val="24"/>
                <w:lang w:val="en-CA"/>
              </w:rPr>
              <m:t>PF</m:t>
            </m:r>
          </m:sub>
        </m:sSub>
        <m:r>
          <w:rPr>
            <w:rFonts w:ascii="Cambria Math" w:hAnsi="Cambria Math" w:cs="Times"/>
            <w:szCs w:val="24"/>
            <w:lang w:val="en-CA"/>
          </w:rPr>
          <m:t>(r)</m:t>
        </m:r>
      </m:oMath>
      <w:r w:rsidRPr="00D039E9">
        <w:rPr>
          <w:rFonts w:cs="Times"/>
          <w:szCs w:val="24"/>
          <w:lang w:val="en-CA"/>
        </w:rPr>
        <w:t xml:space="preserve"> is the protein-flavour radial distribution function as a function of protein-flavour distance.</w:t>
      </w:r>
      <w:r w:rsidR="00F03F5C" w:rsidRPr="00D039E9">
        <w:rPr>
          <w:rFonts w:cs="Times"/>
          <w:szCs w:val="24"/>
          <w:lang w:val="en-CA"/>
        </w:rPr>
        <w:t xml:space="preserve"> </w:t>
      </w:r>
      <w:r w:rsidR="00D71279" w:rsidRPr="00D039E9">
        <w:rPr>
          <w:rFonts w:cs="Times"/>
          <w:szCs w:val="24"/>
          <w:lang w:val="en-CA"/>
        </w:rPr>
        <w:t>KBI</w:t>
      </w:r>
      <w:r w:rsidRPr="00D039E9">
        <w:rPr>
          <w:rFonts w:cs="Times"/>
          <w:szCs w:val="24"/>
          <w:lang w:val="en-CA"/>
        </w:rPr>
        <w:t xml:space="preserve"> is defined as  </w:t>
      </w:r>
      <m:oMath>
        <m:sSub>
          <m:sSubPr>
            <m:ctrlPr>
              <w:rPr>
                <w:rFonts w:ascii="Cambria Math" w:hAnsi="Cambria Math" w:cs="Times"/>
                <w:i/>
                <w:szCs w:val="24"/>
                <w:lang w:val="en-CA"/>
              </w:rPr>
            </m:ctrlPr>
          </m:sSubPr>
          <m:e>
            <m:r>
              <w:rPr>
                <w:rFonts w:ascii="Cambria Math" w:hAnsi="Cambria Math" w:cs="Times"/>
                <w:szCs w:val="24"/>
                <w:lang w:val="en-CA"/>
              </w:rPr>
              <m:t>G</m:t>
            </m:r>
          </m:e>
          <m:sub>
            <m:r>
              <w:rPr>
                <w:rFonts w:ascii="Cambria Math" w:hAnsi="Cambria Math" w:cs="Times"/>
                <w:szCs w:val="24"/>
                <w:lang w:val="en-CA"/>
              </w:rPr>
              <m:t>PF</m:t>
            </m:r>
          </m:sub>
        </m:sSub>
        <m:r>
          <w:rPr>
            <w:rFonts w:ascii="Cambria Math" w:hAnsi="Cambria Math" w:cs="Times"/>
            <w:szCs w:val="24"/>
            <w:lang w:val="en-CA"/>
          </w:rPr>
          <m:t>=∫dr 4π</m:t>
        </m:r>
        <m:sSup>
          <m:sSupPr>
            <m:ctrlPr>
              <w:rPr>
                <w:rFonts w:ascii="Cambria Math" w:hAnsi="Cambria Math" w:cs="Times"/>
                <w:i/>
                <w:szCs w:val="24"/>
                <w:lang w:val="en-CA"/>
              </w:rPr>
            </m:ctrlPr>
          </m:sSupPr>
          <m:e>
            <m:r>
              <w:rPr>
                <w:rFonts w:ascii="Cambria Math" w:hAnsi="Cambria Math" w:cs="Times"/>
                <w:szCs w:val="24"/>
                <w:lang w:val="en-CA"/>
              </w:rPr>
              <m:t>r</m:t>
            </m:r>
          </m:e>
          <m:sup>
            <m:r>
              <w:rPr>
                <w:rFonts w:ascii="Cambria Math" w:hAnsi="Cambria Math" w:cs="Times"/>
                <w:szCs w:val="24"/>
                <w:lang w:val="en-CA"/>
              </w:rPr>
              <m:t>2</m:t>
            </m:r>
          </m:sup>
        </m:sSup>
        <m:d>
          <m:dPr>
            <m:begChr m:val="["/>
            <m:endChr m:val="]"/>
            <m:ctrlPr>
              <w:rPr>
                <w:rFonts w:ascii="Cambria Math" w:hAnsi="Cambria Math" w:cs="Times"/>
                <w:i/>
                <w:szCs w:val="24"/>
                <w:lang w:val="en-CA"/>
              </w:rPr>
            </m:ctrlPr>
          </m:dPr>
          <m:e>
            <m:sSub>
              <m:sSubPr>
                <m:ctrlPr>
                  <w:rPr>
                    <w:rFonts w:ascii="Cambria Math" w:hAnsi="Cambria Math" w:cs="Times"/>
                    <w:i/>
                    <w:szCs w:val="24"/>
                    <w:lang w:val="en-CA"/>
                  </w:rPr>
                </m:ctrlPr>
              </m:sSubPr>
              <m:e>
                <m:r>
                  <w:rPr>
                    <w:rFonts w:ascii="Cambria Math" w:hAnsi="Cambria Math" w:cs="Times"/>
                    <w:szCs w:val="24"/>
                    <w:lang w:val="en-CA"/>
                  </w:rPr>
                  <m:t>g</m:t>
                </m:r>
              </m:e>
              <m:sub>
                <m:r>
                  <w:rPr>
                    <w:rFonts w:ascii="Cambria Math" w:hAnsi="Cambria Math" w:cs="Times"/>
                    <w:szCs w:val="24"/>
                    <w:lang w:val="en-CA"/>
                  </w:rPr>
                  <m:t>PF</m:t>
                </m:r>
              </m:sub>
            </m:sSub>
            <m:d>
              <m:dPr>
                <m:ctrlPr>
                  <w:rPr>
                    <w:rFonts w:ascii="Cambria Math" w:hAnsi="Cambria Math" w:cs="Times"/>
                    <w:i/>
                    <w:szCs w:val="24"/>
                    <w:lang w:val="en-CA"/>
                  </w:rPr>
                </m:ctrlPr>
              </m:dPr>
              <m:e>
                <m:r>
                  <w:rPr>
                    <w:rFonts w:ascii="Cambria Math" w:hAnsi="Cambria Math" w:cs="Times"/>
                    <w:szCs w:val="24"/>
                    <w:lang w:val="en-CA"/>
                  </w:rPr>
                  <m:t>r</m:t>
                </m:r>
              </m:e>
            </m:d>
            <m:r>
              <w:rPr>
                <w:rFonts w:ascii="Cambria Math" w:hAnsi="Cambria Math" w:cs="Times"/>
                <w:szCs w:val="24"/>
                <w:lang w:val="en-CA"/>
              </w:rPr>
              <m:t>-1</m:t>
            </m:r>
          </m:e>
        </m:d>
      </m:oMath>
      <w:r w:rsidRPr="00D039E9">
        <w:rPr>
          <w:rFonts w:cs="Times"/>
          <w:szCs w:val="24"/>
          <w:lang w:val="en-CA"/>
        </w:rPr>
        <w:t>, which means that it consists of positive and negative contributions. The examples of positive and negative contributions are: protein-flavour contact distance (positive) and protein-flavour overlap which cannot happen because of the excluded volume effe</w:t>
      </w:r>
      <w:r w:rsidR="00D71279" w:rsidRPr="00D039E9">
        <w:rPr>
          <w:rFonts w:cs="Times"/>
          <w:szCs w:val="24"/>
          <w:lang w:val="en-CA"/>
        </w:rPr>
        <w:t>ct (negative). The resultant KBI</w:t>
      </w:r>
      <w:r w:rsidRPr="00D039E9">
        <w:rPr>
          <w:rFonts w:cs="Times"/>
          <w:szCs w:val="24"/>
          <w:lang w:val="en-CA"/>
        </w:rPr>
        <w:t xml:space="preserve"> is the sum of all the positive and negative contributions which stretches over some distance from the protein. </w:t>
      </w:r>
    </w:p>
    <w:p w14:paraId="5585798F" w14:textId="77777777" w:rsidR="008A307F" w:rsidRPr="00D039E9" w:rsidRDefault="008A307F" w:rsidP="00007049">
      <w:pPr>
        <w:pStyle w:val="TAMainText"/>
        <w:ind w:firstLine="0"/>
        <w:rPr>
          <w:rFonts w:cs="Times"/>
          <w:szCs w:val="24"/>
          <w:lang w:val="en-CA"/>
        </w:rPr>
      </w:pPr>
    </w:p>
    <w:p w14:paraId="215D8649" w14:textId="6D00A7B4" w:rsidR="008A307F" w:rsidRPr="00D039E9" w:rsidRDefault="008A307F" w:rsidP="00007049">
      <w:pPr>
        <w:pStyle w:val="TAMainText"/>
        <w:ind w:firstLine="0"/>
        <w:rPr>
          <w:rFonts w:cs="Times"/>
          <w:szCs w:val="24"/>
          <w:lang w:val="en-CA"/>
        </w:rPr>
      </w:pPr>
      <w:r w:rsidRPr="00D039E9">
        <w:rPr>
          <w:noProof/>
          <w:lang w:val="en-GB" w:eastAsia="ja-JP"/>
        </w:rPr>
        <w:drawing>
          <wp:inline distT="0" distB="0" distL="0" distR="0" wp14:anchorId="4D2EA3C5" wp14:editId="4CA373B8">
            <wp:extent cx="5118601" cy="341503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18601" cy="3415030"/>
                    </a:xfrm>
                    <a:prstGeom prst="rect">
                      <a:avLst/>
                    </a:prstGeom>
                  </pic:spPr>
                </pic:pic>
              </a:graphicData>
            </a:graphic>
          </wp:inline>
        </w:drawing>
      </w:r>
    </w:p>
    <w:p w14:paraId="1A54DFD6" w14:textId="77777777" w:rsidR="00F009F0" w:rsidRPr="00D039E9" w:rsidRDefault="00F009F0" w:rsidP="003872DB">
      <w:pPr>
        <w:pStyle w:val="TAMainText"/>
        <w:ind w:firstLine="0"/>
        <w:rPr>
          <w:rFonts w:cs="Times"/>
          <w:szCs w:val="24"/>
          <w:lang w:val="en-GB"/>
        </w:rPr>
      </w:pPr>
    </w:p>
    <w:p w14:paraId="43454B0C" w14:textId="5641BBE6" w:rsidR="008D5259" w:rsidRPr="00D039E9" w:rsidRDefault="001743F4" w:rsidP="00200FB8">
      <w:pPr>
        <w:spacing w:line="480" w:lineRule="auto"/>
      </w:pPr>
      <w:r w:rsidRPr="00D039E9">
        <w:rPr>
          <w:b/>
          <w:lang w:val="en-GB"/>
        </w:rPr>
        <w:t>Figure 2.</w:t>
      </w:r>
      <w:r w:rsidR="008A307F" w:rsidRPr="00D039E9">
        <w:rPr>
          <w:b/>
          <w:lang w:val="en-GB"/>
        </w:rPr>
        <w:t xml:space="preserve"> </w:t>
      </w:r>
      <w:r w:rsidR="008A307F" w:rsidRPr="00D039E9">
        <w:rPr>
          <w:lang w:val="en-GB"/>
        </w:rPr>
        <w:t>A screenshot of a web-based “app” that can be used interactiv</w:t>
      </w:r>
      <w:r w:rsidR="00D71279" w:rsidRPr="00D039E9">
        <w:rPr>
          <w:lang w:val="en-GB"/>
        </w:rPr>
        <w:t>ely to calculate the KBI</w:t>
      </w:r>
      <w:r w:rsidR="008A307F" w:rsidRPr="00D039E9">
        <w:rPr>
          <w:lang w:val="en-GB"/>
        </w:rPr>
        <w:t xml:space="preserve"> for protein-flavour interaction</w:t>
      </w:r>
      <w:r w:rsidR="008A307F" w:rsidRPr="00D039E9">
        <w:t xml:space="preserve"> </w:t>
      </w:r>
      <m:oMath>
        <m:sSub>
          <m:sSubPr>
            <m:ctrlPr>
              <w:rPr>
                <w:rFonts w:ascii="Cambria Math" w:hAnsi="Cambria Math"/>
                <w:i/>
              </w:rPr>
            </m:ctrlPr>
          </m:sSubPr>
          <m:e>
            <m:r>
              <w:rPr>
                <w:rFonts w:ascii="Cambria Math" w:hAnsi="Cambria Math"/>
              </w:rPr>
              <m:t>G</m:t>
            </m:r>
          </m:e>
          <m:sub>
            <m:r>
              <w:rPr>
                <w:rFonts w:ascii="Cambria Math" w:hAnsi="Cambria Math"/>
              </w:rPr>
              <m:t>PF</m:t>
            </m:r>
          </m:sub>
        </m:sSub>
      </m:oMath>
      <w:r w:rsidR="00C56D61" w:rsidRPr="00D039E9">
        <w:t xml:space="preserve"> from experimental data on the solution-vapour partition coefficient </w:t>
      </w:r>
      <m:oMath>
        <m:r>
          <w:rPr>
            <w:rFonts w:ascii="Cambria Math" w:hAnsi="Cambria Math"/>
          </w:rPr>
          <m:t>K</m:t>
        </m:r>
      </m:oMath>
      <w:r w:rsidR="00C56D61" w:rsidRPr="00D039E9">
        <w:t xml:space="preserve"> of the flavor molecule as the function of protein concentration </w:t>
      </w:r>
      <m:oMath>
        <m:sSub>
          <m:sSubPr>
            <m:ctrlPr>
              <w:rPr>
                <w:rFonts w:ascii="Cambria Math" w:hAnsi="Cambria Math"/>
                <w:i/>
              </w:rPr>
            </m:ctrlPr>
          </m:sSubPr>
          <m:e>
            <m:r>
              <w:rPr>
                <w:rFonts w:ascii="Cambria Math" w:hAnsi="Cambria Math"/>
              </w:rPr>
              <m:t>c</m:t>
            </m:r>
          </m:e>
          <m:sub>
            <m:r>
              <w:rPr>
                <w:rFonts w:ascii="Cambria Math" w:hAnsi="Cambria Math"/>
              </w:rPr>
              <m:t>P</m:t>
            </m:r>
          </m:sub>
        </m:sSub>
      </m:oMath>
      <w:r w:rsidR="00C56D61" w:rsidRPr="00D039E9">
        <w:t xml:space="preserve">. The app can be accessed at </w:t>
      </w:r>
      <w:hyperlink r:id="rId12" w:history="1">
        <w:r w:rsidR="00C56D61" w:rsidRPr="00D039E9">
          <w:rPr>
            <w:rStyle w:val="Hyperlink"/>
            <w:lang w:val="en-CA"/>
          </w:rPr>
          <w:t>http://www.stevenabbott.co.uk/practical-solubility/kb-flavours.php</w:t>
        </w:r>
      </w:hyperlink>
      <w:r w:rsidR="00C56D61" w:rsidRPr="00D039E9">
        <w:rPr>
          <w:lang w:val="en-CA"/>
        </w:rPr>
        <w:t>.</w:t>
      </w:r>
    </w:p>
    <w:p w14:paraId="4536CF50" w14:textId="75151CF5" w:rsidR="001743F4" w:rsidRPr="00D039E9" w:rsidRDefault="001743F4" w:rsidP="00200FB8">
      <w:pPr>
        <w:spacing w:line="480" w:lineRule="auto"/>
      </w:pPr>
    </w:p>
    <w:p w14:paraId="4604E50B" w14:textId="607D42DA" w:rsidR="001743F4" w:rsidRPr="00D039E9" w:rsidRDefault="001743F4" w:rsidP="00200FB8">
      <w:pPr>
        <w:spacing w:after="160" w:line="480" w:lineRule="auto"/>
        <w:jc w:val="left"/>
      </w:pPr>
      <w:r w:rsidRPr="00D039E9">
        <w:br w:type="page"/>
      </w:r>
    </w:p>
    <w:p w14:paraId="407A7F7C" w14:textId="32A51D47" w:rsidR="001743F4" w:rsidRPr="00D039E9" w:rsidRDefault="001743F4"/>
    <w:p w14:paraId="0360FC25" w14:textId="0ECF4C10" w:rsidR="001743F4" w:rsidRPr="00D039E9" w:rsidRDefault="000A1AD2">
      <w:r w:rsidRPr="00D039E9">
        <w:rPr>
          <w:noProof/>
          <w:lang w:val="en-GB" w:eastAsia="en-GB"/>
        </w:rPr>
        <w:t xml:space="preserve"> </w:t>
      </w:r>
      <w:r w:rsidRPr="00D039E9">
        <w:rPr>
          <w:noProof/>
          <w:lang w:val="en-GB" w:eastAsia="ja-JP"/>
        </w:rPr>
        <w:drawing>
          <wp:inline distT="0" distB="0" distL="0" distR="0" wp14:anchorId="1FE9DE15" wp14:editId="166C463E">
            <wp:extent cx="5943600" cy="320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208655"/>
                    </a:xfrm>
                    <a:prstGeom prst="rect">
                      <a:avLst/>
                    </a:prstGeom>
                  </pic:spPr>
                </pic:pic>
              </a:graphicData>
            </a:graphic>
          </wp:inline>
        </w:drawing>
      </w:r>
    </w:p>
    <w:p w14:paraId="2201E885" w14:textId="77777777" w:rsidR="00200FB8" w:rsidRPr="00D039E9" w:rsidRDefault="00200FB8" w:rsidP="00200FB8">
      <w:pPr>
        <w:pStyle w:val="TAMainText"/>
        <w:rPr>
          <w:b/>
          <w:lang w:val="en-GB"/>
        </w:rPr>
      </w:pPr>
    </w:p>
    <w:p w14:paraId="114387B0" w14:textId="13F54935" w:rsidR="00200FB8" w:rsidRPr="00D039E9" w:rsidRDefault="001743F4" w:rsidP="00200FB8">
      <w:pPr>
        <w:pStyle w:val="TAMainText"/>
        <w:rPr>
          <w:rFonts w:cs="Times"/>
          <w:lang w:val="en-CA"/>
        </w:rPr>
      </w:pPr>
      <w:r w:rsidRPr="00D039E9">
        <w:rPr>
          <w:b/>
          <w:lang w:val="en-GB"/>
        </w:rPr>
        <w:t xml:space="preserve">Figure 3. </w:t>
      </w:r>
      <w:r w:rsidRPr="00D039E9">
        <w:rPr>
          <w:lang w:val="en-GB"/>
        </w:rPr>
        <w:t>A screenshot of a web-based “app” that can be used interactiv</w:t>
      </w:r>
      <w:r w:rsidR="00D71279" w:rsidRPr="00D039E9">
        <w:rPr>
          <w:lang w:val="en-GB"/>
        </w:rPr>
        <w:t>ely to calculate the KBI</w:t>
      </w:r>
      <w:r w:rsidRPr="00D039E9">
        <w:rPr>
          <w:lang w:val="en-GB"/>
        </w:rPr>
        <w:t xml:space="preserve"> for protein-flavour interaction</w:t>
      </w:r>
      <w:r w:rsidRPr="00D039E9">
        <w:t xml:space="preserve"> </w:t>
      </w:r>
      <m:oMath>
        <m:sSub>
          <m:sSubPr>
            <m:ctrlPr>
              <w:rPr>
                <w:rFonts w:ascii="Cambria Math" w:hAnsi="Cambria Math"/>
                <w:i/>
              </w:rPr>
            </m:ctrlPr>
          </m:sSubPr>
          <m:e>
            <m:r>
              <w:rPr>
                <w:rFonts w:ascii="Cambria Math" w:hAnsi="Cambria Math"/>
              </w:rPr>
              <m:t>G</m:t>
            </m:r>
          </m:e>
          <m:sub>
            <m:r>
              <w:rPr>
                <w:rFonts w:ascii="Cambria Math" w:hAnsi="Cambria Math"/>
              </w:rPr>
              <m:t>PF</m:t>
            </m:r>
          </m:sub>
        </m:sSub>
      </m:oMath>
      <w:r w:rsidR="00200FB8" w:rsidRPr="00D039E9">
        <w:t xml:space="preserve"> using the binding parameters (</w:t>
      </w:r>
      <m:oMath>
        <m:r>
          <w:rPr>
            <w:rFonts w:ascii="Cambria Math" w:hAnsi="Cambria Math"/>
          </w:rPr>
          <m:t>n</m:t>
        </m:r>
      </m:oMath>
      <w:r w:rsidR="00200FB8" w:rsidRPr="00D039E9">
        <w:t xml:space="preserve">: number of binding sites and </w:t>
      </w:r>
      <m:oMath>
        <m:r>
          <w:rPr>
            <w:rFonts w:ascii="Cambria Math" w:hAnsi="Cambria Math"/>
          </w:rPr>
          <m:t>K</m:t>
        </m:r>
      </m:oMath>
      <w:r w:rsidR="00200FB8" w:rsidRPr="00D039E9">
        <w:t>: binding constant) determined</w:t>
      </w:r>
      <w:r w:rsidR="00F03F5C" w:rsidRPr="00D039E9">
        <w:t xml:space="preserve"> from</w:t>
      </w:r>
      <w:r w:rsidR="00200FB8" w:rsidRPr="00D039E9">
        <w:t xml:space="preserve"> traditional analysis of experimental data</w:t>
      </w:r>
      <w:r w:rsidRPr="00D039E9">
        <w:t xml:space="preserve"> </w:t>
      </w:r>
      <w:r w:rsidR="00200FB8" w:rsidRPr="00D039E9">
        <w:t xml:space="preserve">using the stoichiometric binding model. </w:t>
      </w:r>
      <w:r w:rsidRPr="00D039E9">
        <w:t xml:space="preserve">The app can be accessed at </w:t>
      </w:r>
      <w:hyperlink r:id="rId14" w:history="1">
        <w:r w:rsidRPr="00D039E9">
          <w:rPr>
            <w:rStyle w:val="Hyperlink"/>
            <w:lang w:val="en-CA"/>
          </w:rPr>
          <w:t>http://www.stevenabbott.co.uk/practical-solubility/kb-flavours.php</w:t>
        </w:r>
      </w:hyperlink>
      <w:r w:rsidRPr="00D039E9">
        <w:rPr>
          <w:lang w:val="en-CA"/>
        </w:rPr>
        <w:t>.</w:t>
      </w:r>
      <w:r w:rsidR="00200FB8" w:rsidRPr="00D039E9">
        <w:rPr>
          <w:lang w:val="en-CA"/>
        </w:rPr>
        <w:t xml:space="preserve"> </w:t>
      </w:r>
      <w:r w:rsidR="00200FB8" w:rsidRPr="00D039E9">
        <w:rPr>
          <w:rFonts w:cs="Times"/>
          <w:lang w:val="en-CA"/>
        </w:rPr>
        <w:t xml:space="preserve">The app lists some historical </w:t>
      </w:r>
      <w:r w:rsidR="00200FB8" w:rsidRPr="00D039E9">
        <w:rPr>
          <w:rFonts w:cs="Times"/>
          <w:i/>
          <w:lang w:val="en-CA"/>
        </w:rPr>
        <w:t>n</w:t>
      </w:r>
      <w:r w:rsidR="00200FB8" w:rsidRPr="00D039E9">
        <w:rPr>
          <w:rFonts w:cs="Times"/>
          <w:lang w:val="en-CA"/>
        </w:rPr>
        <w:t xml:space="preserve"> and </w:t>
      </w:r>
      <w:r w:rsidR="00200FB8" w:rsidRPr="00D039E9">
        <w:rPr>
          <w:rFonts w:cs="Times"/>
          <w:i/>
          <w:lang w:val="en-CA"/>
        </w:rPr>
        <w:t>K</w:t>
      </w:r>
      <w:r w:rsidR="00200FB8" w:rsidRPr="00D039E9">
        <w:rPr>
          <w:rFonts w:cs="Times"/>
          <w:lang w:val="en-CA"/>
        </w:rPr>
        <w:t xml:space="preserve"> values from the literature.</w:t>
      </w:r>
    </w:p>
    <w:p w14:paraId="625376A3" w14:textId="7B3BD702" w:rsidR="001743F4" w:rsidRPr="00D039E9" w:rsidRDefault="001743F4" w:rsidP="001743F4">
      <w:pPr>
        <w:rPr>
          <w:lang w:val="en-CA"/>
        </w:rPr>
      </w:pPr>
    </w:p>
    <w:p w14:paraId="5E12A30E" w14:textId="08C22DB9" w:rsidR="00841725" w:rsidRPr="00D039E9" w:rsidRDefault="00841725">
      <w:pPr>
        <w:spacing w:after="160" w:line="259" w:lineRule="auto"/>
        <w:jc w:val="left"/>
      </w:pPr>
      <w:r w:rsidRPr="00D039E9">
        <w:br w:type="page"/>
      </w:r>
    </w:p>
    <w:p w14:paraId="0D9EFD3A" w14:textId="77777777" w:rsidR="00F35EA6" w:rsidRPr="00D039E9" w:rsidRDefault="00F35EA6" w:rsidP="001743F4">
      <w:pPr>
        <w:rPr>
          <w:noProof/>
          <w:lang w:val="en-GB" w:eastAsia="ja-JP"/>
        </w:rPr>
      </w:pPr>
    </w:p>
    <w:p w14:paraId="60E9D739" w14:textId="77777777" w:rsidR="00F35EA6" w:rsidRPr="00D039E9" w:rsidRDefault="00F35EA6" w:rsidP="001743F4">
      <w:pPr>
        <w:rPr>
          <w:noProof/>
          <w:lang w:val="en-GB" w:eastAsia="ja-JP"/>
        </w:rPr>
      </w:pPr>
    </w:p>
    <w:p w14:paraId="1C60B966" w14:textId="36807937" w:rsidR="00200FB8" w:rsidRPr="00D039E9" w:rsidRDefault="000A1AD2" w:rsidP="001743F4">
      <w:r w:rsidRPr="00D039E9">
        <w:rPr>
          <w:noProof/>
          <w:lang w:val="en-GB" w:eastAsia="en-GB"/>
        </w:rPr>
        <w:t xml:space="preserve"> </w:t>
      </w:r>
      <w:r w:rsidRPr="00D039E9">
        <w:rPr>
          <w:noProof/>
          <w:lang w:val="en-GB" w:eastAsia="ja-JP"/>
        </w:rPr>
        <w:drawing>
          <wp:inline distT="0" distB="0" distL="0" distR="0" wp14:anchorId="0F1F1808" wp14:editId="576127DD">
            <wp:extent cx="5943600" cy="29038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2903855"/>
                    </a:xfrm>
                    <a:prstGeom prst="rect">
                      <a:avLst/>
                    </a:prstGeom>
                  </pic:spPr>
                </pic:pic>
              </a:graphicData>
            </a:graphic>
          </wp:inline>
        </w:drawing>
      </w:r>
    </w:p>
    <w:p w14:paraId="5449CF60" w14:textId="77777777" w:rsidR="00F35EA6" w:rsidRPr="00D039E9" w:rsidRDefault="00F35EA6" w:rsidP="00F35EA6">
      <w:pPr>
        <w:pStyle w:val="TAMainText"/>
        <w:ind w:firstLine="0"/>
        <w:rPr>
          <w:lang w:val="en-GB"/>
        </w:rPr>
      </w:pPr>
    </w:p>
    <w:p w14:paraId="4C25F5B7" w14:textId="7FBA81E0" w:rsidR="00F35EA6" w:rsidRPr="00927C30" w:rsidRDefault="00F35EA6" w:rsidP="00F35EA6">
      <w:pPr>
        <w:pStyle w:val="TAMainText"/>
        <w:ind w:firstLine="0"/>
        <w:rPr>
          <w:rFonts w:cs="Times"/>
          <w:lang w:val="en-GB"/>
        </w:rPr>
      </w:pPr>
      <w:r w:rsidRPr="00D039E9">
        <w:rPr>
          <w:b/>
          <w:lang w:val="en-GB"/>
        </w:rPr>
        <w:t xml:space="preserve">Figure 4. </w:t>
      </w:r>
      <w:r w:rsidRPr="00D039E9">
        <w:rPr>
          <w:lang w:val="en-GB"/>
        </w:rPr>
        <w:t>A screenshot of a web-based “app” that can be used interactively to calculate the change in th</w:t>
      </w:r>
      <w:r w:rsidR="00D71279" w:rsidRPr="00D039E9">
        <w:rPr>
          <w:lang w:val="en-GB"/>
        </w:rPr>
        <w:t>e KBI</w:t>
      </w:r>
      <w:r w:rsidRPr="00D039E9">
        <w:rPr>
          <w:lang w:val="en-GB"/>
        </w:rPr>
        <w:t xml:space="preserve"> </w:t>
      </w:r>
      <m:oMath>
        <m:r>
          <m:rPr>
            <m:sty m:val="p"/>
          </m:rPr>
          <w:rPr>
            <w:rFonts w:ascii="Cambria Math" w:hAnsi="Cambria Math"/>
          </w:rPr>
          <m:t>Δ</m:t>
        </m:r>
        <m:sSub>
          <m:sSubPr>
            <m:ctrlPr>
              <w:rPr>
                <w:rFonts w:ascii="Cambria Math" w:hAnsi="Cambria Math"/>
                <w:i/>
              </w:rPr>
            </m:ctrlPr>
          </m:sSubPr>
          <m:e>
            <m:r>
              <w:rPr>
                <w:rFonts w:ascii="Cambria Math" w:hAnsi="Cambria Math"/>
              </w:rPr>
              <m:t>G</m:t>
            </m:r>
          </m:e>
          <m:sub>
            <m:r>
              <w:rPr>
                <w:rFonts w:ascii="Cambria Math" w:hAnsi="Cambria Math"/>
              </w:rPr>
              <m:t>PF</m:t>
            </m:r>
          </m:sub>
        </m:sSub>
      </m:oMath>
      <w:r w:rsidRPr="00D039E9">
        <w:t xml:space="preserve"> </w:t>
      </w:r>
      <w:r w:rsidRPr="00D039E9">
        <w:rPr>
          <w:lang w:val="en-GB"/>
        </w:rPr>
        <w:t>that accompanies protein-flavour interaction</w:t>
      </w:r>
      <w:r w:rsidRPr="00D039E9">
        <w:t xml:space="preserve">. The app can be accessed at </w:t>
      </w:r>
      <w:hyperlink r:id="rId16" w:history="1">
        <w:r w:rsidRPr="00D039E9">
          <w:rPr>
            <w:rStyle w:val="Hyperlink"/>
            <w:lang w:val="en-CA"/>
          </w:rPr>
          <w:t>http://www.stevenabbott.co.uk/practical-solubility/kb-flavours.php</w:t>
        </w:r>
      </w:hyperlink>
      <w:r w:rsidRPr="00D039E9">
        <w:rPr>
          <w:lang w:val="en-CA"/>
        </w:rPr>
        <w:t xml:space="preserve">. </w:t>
      </w:r>
      <w:r w:rsidRPr="00D039E9">
        <w:rPr>
          <w:rFonts w:cs="Times"/>
          <w:lang w:val="en-CA"/>
        </w:rPr>
        <w:t>All the user has to do is to input the experimental data on denaturation temperature or gel melting temperature as a function of flavour concentration (left)</w:t>
      </w:r>
      <w:r w:rsidR="00026822" w:rsidRPr="00D039E9">
        <w:t xml:space="preserve"> along with the </w:t>
      </w:r>
      <w:r w:rsidR="00026822" w:rsidRPr="00D039E9">
        <w:rPr>
          <w:lang w:val="el-GR"/>
        </w:rPr>
        <w:t>Δ</w:t>
      </w:r>
      <w:r w:rsidR="00026822" w:rsidRPr="00D039E9">
        <w:t xml:space="preserve">H of the corresponding change in the absence of </w:t>
      </w:r>
      <w:r w:rsidR="00026822" w:rsidRPr="00D039E9">
        <w:rPr>
          <w:lang w:val="en-GB"/>
        </w:rPr>
        <w:t>the flavour molecule</w:t>
      </w:r>
      <w:r w:rsidRPr="00D039E9">
        <w:rPr>
          <w:rFonts w:cs="Times"/>
          <w:lang w:val="en-GB"/>
        </w:rPr>
        <w:t>. The app calculate</w:t>
      </w:r>
      <w:r w:rsidR="000A1AD2" w:rsidRPr="00D039E9">
        <w:rPr>
          <w:rFonts w:cs="Times"/>
          <w:lang w:val="en-GB"/>
        </w:rPr>
        <w:t>s</w:t>
      </w:r>
      <w:r w:rsidRPr="00D039E9">
        <w:rPr>
          <w:rFonts w:cs="Times"/>
          <w:lang w:val="en-GB"/>
        </w:rPr>
        <w:t xml:space="preserve"> the gradient (Eq. (14)) based on the data (centre). The output (right) is valid </w:t>
      </w:r>
      <w:r w:rsidR="000A1AD2" w:rsidRPr="00D039E9">
        <w:rPr>
          <w:rFonts w:cs="Times"/>
          <w:lang w:val="en-GB"/>
        </w:rPr>
        <w:t xml:space="preserve">only </w:t>
      </w:r>
      <w:r w:rsidRPr="00D039E9">
        <w:rPr>
          <w:rFonts w:cs="Times"/>
          <w:lang w:val="en-GB"/>
        </w:rPr>
        <w:t xml:space="preserve">at </w:t>
      </w:r>
      <m:oMath>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F</m:t>
            </m:r>
          </m:sub>
        </m:sSub>
        <m:r>
          <w:rPr>
            <w:rFonts w:ascii="Cambria Math" w:hAnsi="Cambria Math" w:cs="Times"/>
            <w:lang w:val="en-GB"/>
          </w:rPr>
          <m:t>→0</m:t>
        </m:r>
      </m:oMath>
      <w:r w:rsidRPr="00D039E9">
        <w:rPr>
          <w:rFonts w:cs="Times"/>
          <w:lang w:val="en-GB"/>
        </w:rPr>
        <w:t>.</w:t>
      </w:r>
      <w:bookmarkStart w:id="0" w:name="_GoBack"/>
      <w:bookmarkEnd w:id="0"/>
      <w:r w:rsidRPr="00927C30">
        <w:rPr>
          <w:rFonts w:cs="Times"/>
          <w:lang w:val="en-GB"/>
        </w:rPr>
        <w:t xml:space="preserve"> </w:t>
      </w:r>
    </w:p>
    <w:p w14:paraId="359B02AB" w14:textId="77777777" w:rsidR="001743F4" w:rsidRDefault="001743F4"/>
    <w:sectPr w:rsidR="001743F4" w:rsidSect="006671FE">
      <w:footerReference w:type="even" r:id="rId17"/>
      <w:footerReference w:type="default" r:id="rId18"/>
      <w:pgSz w:w="12240" w:h="15840"/>
      <w:pgMar w:top="1440" w:right="1440" w:bottom="1440" w:left="1440" w:header="0" w:footer="0" w:gutter="0"/>
      <w:cols w:space="47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B8BE3" w14:textId="77777777" w:rsidR="000E5B3F" w:rsidRDefault="000E5B3F">
      <w:pPr>
        <w:spacing w:after="0"/>
      </w:pPr>
      <w:r>
        <w:separator/>
      </w:r>
    </w:p>
  </w:endnote>
  <w:endnote w:type="continuationSeparator" w:id="0">
    <w:p w14:paraId="1E060ED5" w14:textId="77777777" w:rsidR="000E5B3F" w:rsidRDefault="000E5B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no Pro">
    <w:altName w:val="Times New Roman"/>
    <w:panose1 w:val="00000000000000000000"/>
    <w:charset w:val="00"/>
    <w:family w:val="roman"/>
    <w:notTrueType/>
    <w:pitch w:val="variable"/>
    <w:sig w:usb0="00000001" w:usb1="00000001"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yriad Pro Light">
    <w:altName w:val="Corbel"/>
    <w:panose1 w:val="00000000000000000000"/>
    <w:charset w:val="00"/>
    <w:family w:val="swiss"/>
    <w:notTrueType/>
    <w:pitch w:val="variable"/>
    <w:sig w:usb0="20000287" w:usb1="00000001" w:usb2="00000000" w:usb3="00000000" w:csb0="0000019F" w:csb1="00000000"/>
  </w:font>
  <w:font w:name="Liberation Serif">
    <w:altName w:val="Times New Roman"/>
    <w:charset w:val="00"/>
    <w:family w:val="roman"/>
    <w:pitch w:val="variable"/>
  </w:font>
  <w:font w:name="DejaVu Sans">
    <w:altName w:val="MS Mincho"/>
    <w:charset w:val="00"/>
    <w:family w:val="swiss"/>
    <w:pitch w:val="variable"/>
    <w:sig w:usb0="E7002EFF" w:usb1="D200FDFF" w:usb2="0A246029" w:usb3="00000000" w:csb0="000001FF" w:csb1="00000000"/>
  </w:font>
  <w:font w:name="Lohit Devanagari">
    <w:altName w:val="Times New Roman"/>
    <w:charset w:val="00"/>
    <w:family w:val="auto"/>
    <w:pitch w:val="default"/>
  </w:font>
  <w:font w:name="Liberation Sans">
    <w:altName w:val="Yu Gothic"/>
    <w:charset w:val="80"/>
    <w:family w:val="swiss"/>
    <w:pitch w:val="variable"/>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C4A03" w14:textId="77777777" w:rsidR="00357214" w:rsidRDefault="003572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110287D" w14:textId="77777777" w:rsidR="00357214" w:rsidRDefault="003572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98925" w14:textId="284ABD51" w:rsidR="00357214" w:rsidRDefault="003572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5B3F">
      <w:rPr>
        <w:rStyle w:val="PageNumber"/>
        <w:noProof/>
      </w:rPr>
      <w:t>1</w:t>
    </w:r>
    <w:r>
      <w:rPr>
        <w:rStyle w:val="PageNumber"/>
      </w:rPr>
      <w:fldChar w:fldCharType="end"/>
    </w:r>
  </w:p>
  <w:p w14:paraId="3AAF3046" w14:textId="77777777" w:rsidR="00357214" w:rsidRDefault="0035721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22CB7" w14:textId="77777777" w:rsidR="000E5B3F" w:rsidRDefault="000E5B3F">
      <w:pPr>
        <w:spacing w:after="0"/>
      </w:pPr>
      <w:r>
        <w:separator/>
      </w:r>
    </w:p>
  </w:footnote>
  <w:footnote w:type="continuationSeparator" w:id="0">
    <w:p w14:paraId="6F27F122" w14:textId="77777777" w:rsidR="000E5B3F" w:rsidRDefault="000E5B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F2A1B"/>
    <w:multiLevelType w:val="hybridMultilevel"/>
    <w:tmpl w:val="9F94588C"/>
    <w:lvl w:ilvl="0" w:tplc="BE9011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F34207"/>
    <w:multiLevelType w:val="hybridMultilevel"/>
    <w:tmpl w:val="4E9E8976"/>
    <w:lvl w:ilvl="0" w:tplc="7D1E523C">
      <w:start w:val="1"/>
      <w:numFmt w:val="decimal"/>
      <w:lvlText w:val="%1."/>
      <w:lvlJc w:val="left"/>
      <w:pPr>
        <w:ind w:left="562" w:hanging="360"/>
      </w:pPr>
      <w:rPr>
        <w:rFonts w:hint="default"/>
      </w:rPr>
    </w:lvl>
    <w:lvl w:ilvl="1" w:tplc="08090019" w:tentative="1">
      <w:start w:val="1"/>
      <w:numFmt w:val="lowerLetter"/>
      <w:lvlText w:val="%2."/>
      <w:lvlJc w:val="left"/>
      <w:pPr>
        <w:ind w:left="1282" w:hanging="360"/>
      </w:pPr>
    </w:lvl>
    <w:lvl w:ilvl="2" w:tplc="0809001B" w:tentative="1">
      <w:start w:val="1"/>
      <w:numFmt w:val="lowerRoman"/>
      <w:lvlText w:val="%3."/>
      <w:lvlJc w:val="right"/>
      <w:pPr>
        <w:ind w:left="2002" w:hanging="180"/>
      </w:p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abstractNum w:abstractNumId="2" w15:restartNumberingAfterBreak="0">
    <w:nsid w:val="0BED2D38"/>
    <w:multiLevelType w:val="hybridMultilevel"/>
    <w:tmpl w:val="9E1069D0"/>
    <w:lvl w:ilvl="0" w:tplc="D9E4BA8E">
      <w:start w:val="1"/>
      <w:numFmt w:val="lowerLetter"/>
      <w:lvlText w:val="(%1)"/>
      <w:lvlJc w:val="left"/>
      <w:pPr>
        <w:ind w:left="1080" w:hanging="720"/>
      </w:pPr>
      <w:rPr>
        <w:rFonts w:ascii="Times" w:eastAsia="MS Mincho" w:hAnsi="Times" w:cs="Time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287D83"/>
    <w:multiLevelType w:val="hybridMultilevel"/>
    <w:tmpl w:val="82EC39A8"/>
    <w:lvl w:ilvl="0" w:tplc="362EC93C">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990F0D"/>
    <w:multiLevelType w:val="hybridMultilevel"/>
    <w:tmpl w:val="C8D4FB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CD03BE"/>
    <w:multiLevelType w:val="hybridMultilevel"/>
    <w:tmpl w:val="EAF8E64A"/>
    <w:lvl w:ilvl="0" w:tplc="4E405E1E">
      <w:start w:val="1"/>
      <w:numFmt w:val="decimal"/>
      <w:lvlText w:val="(%1)"/>
      <w:lvlJc w:val="left"/>
      <w:pPr>
        <w:ind w:left="922" w:hanging="720"/>
      </w:pPr>
      <w:rPr>
        <w:rFonts w:ascii="Times" w:eastAsia="MS Mincho" w:hAnsi="Times" w:cs="Times New Roman"/>
      </w:rPr>
    </w:lvl>
    <w:lvl w:ilvl="1" w:tplc="08090019" w:tentative="1">
      <w:start w:val="1"/>
      <w:numFmt w:val="lowerLetter"/>
      <w:lvlText w:val="%2."/>
      <w:lvlJc w:val="left"/>
      <w:pPr>
        <w:ind w:left="1282" w:hanging="360"/>
      </w:pPr>
    </w:lvl>
    <w:lvl w:ilvl="2" w:tplc="0809001B" w:tentative="1">
      <w:start w:val="1"/>
      <w:numFmt w:val="lowerRoman"/>
      <w:lvlText w:val="%3."/>
      <w:lvlJc w:val="right"/>
      <w:pPr>
        <w:ind w:left="2002" w:hanging="180"/>
      </w:p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abstractNum w:abstractNumId="6" w15:restartNumberingAfterBreak="0">
    <w:nsid w:val="19F74323"/>
    <w:multiLevelType w:val="hybridMultilevel"/>
    <w:tmpl w:val="C90AFB56"/>
    <w:lvl w:ilvl="0" w:tplc="35185308">
      <w:start w:val="1"/>
      <w:numFmt w:val="decimal"/>
      <w:lvlText w:val="(%1)"/>
      <w:lvlJc w:val="left"/>
      <w:pPr>
        <w:ind w:left="562" w:hanging="360"/>
      </w:pPr>
      <w:rPr>
        <w:rFonts w:hint="default"/>
      </w:rPr>
    </w:lvl>
    <w:lvl w:ilvl="1" w:tplc="08090019" w:tentative="1">
      <w:start w:val="1"/>
      <w:numFmt w:val="lowerLetter"/>
      <w:lvlText w:val="%2."/>
      <w:lvlJc w:val="left"/>
      <w:pPr>
        <w:ind w:left="1282" w:hanging="360"/>
      </w:pPr>
    </w:lvl>
    <w:lvl w:ilvl="2" w:tplc="0809001B" w:tentative="1">
      <w:start w:val="1"/>
      <w:numFmt w:val="lowerRoman"/>
      <w:lvlText w:val="%3."/>
      <w:lvlJc w:val="right"/>
      <w:pPr>
        <w:ind w:left="2002" w:hanging="180"/>
      </w:p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abstractNum w:abstractNumId="7" w15:restartNumberingAfterBreak="0">
    <w:nsid w:val="28B030DA"/>
    <w:multiLevelType w:val="hybridMultilevel"/>
    <w:tmpl w:val="0D98C6AA"/>
    <w:lvl w:ilvl="0" w:tplc="E94CB270">
      <w:start w:val="1"/>
      <w:numFmt w:val="decimal"/>
      <w:lvlText w:val="%1."/>
      <w:lvlJc w:val="left"/>
      <w:pPr>
        <w:ind w:left="720" w:hanging="360"/>
      </w:pPr>
      <w:rPr>
        <w:rFonts w:ascii="Times" w:eastAsia="MS Mincho" w:hAnsi="Times" w:cs="Time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C45971"/>
    <w:multiLevelType w:val="hybridMultilevel"/>
    <w:tmpl w:val="F11A017C"/>
    <w:lvl w:ilvl="0" w:tplc="C1C654DC">
      <w:start w:val="1"/>
      <w:numFmt w:val="lowerRoman"/>
      <w:lvlText w:val="(%1)"/>
      <w:lvlJc w:val="left"/>
      <w:pPr>
        <w:ind w:left="922" w:hanging="720"/>
      </w:pPr>
      <w:rPr>
        <w:rFonts w:hint="default"/>
      </w:rPr>
    </w:lvl>
    <w:lvl w:ilvl="1" w:tplc="08090019" w:tentative="1">
      <w:start w:val="1"/>
      <w:numFmt w:val="lowerLetter"/>
      <w:lvlText w:val="%2."/>
      <w:lvlJc w:val="left"/>
      <w:pPr>
        <w:ind w:left="1282" w:hanging="360"/>
      </w:pPr>
    </w:lvl>
    <w:lvl w:ilvl="2" w:tplc="0809001B" w:tentative="1">
      <w:start w:val="1"/>
      <w:numFmt w:val="lowerRoman"/>
      <w:lvlText w:val="%3."/>
      <w:lvlJc w:val="right"/>
      <w:pPr>
        <w:ind w:left="2002" w:hanging="180"/>
      </w:p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abstractNum w:abstractNumId="9" w15:restartNumberingAfterBreak="0">
    <w:nsid w:val="38BA7419"/>
    <w:multiLevelType w:val="hybridMultilevel"/>
    <w:tmpl w:val="184217B0"/>
    <w:lvl w:ilvl="0" w:tplc="F27E7D22">
      <w:start w:val="1"/>
      <w:numFmt w:val="bullet"/>
      <w:lvlText w:val="-"/>
      <w:lvlJc w:val="left"/>
      <w:pPr>
        <w:ind w:left="720" w:hanging="360"/>
      </w:pPr>
      <w:rPr>
        <w:rFonts w:ascii="Times" w:eastAsia="MS Mincho"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D5F57"/>
    <w:multiLevelType w:val="hybridMultilevel"/>
    <w:tmpl w:val="752A651A"/>
    <w:lvl w:ilvl="0" w:tplc="B792E608">
      <w:start w:val="1"/>
      <w:numFmt w:val="lowerRoman"/>
      <w:lvlText w:val="(%1)"/>
      <w:lvlJc w:val="left"/>
      <w:pPr>
        <w:ind w:left="922" w:hanging="720"/>
      </w:pPr>
      <w:rPr>
        <w:rFonts w:hint="default"/>
      </w:rPr>
    </w:lvl>
    <w:lvl w:ilvl="1" w:tplc="08090019" w:tentative="1">
      <w:start w:val="1"/>
      <w:numFmt w:val="lowerLetter"/>
      <w:lvlText w:val="%2."/>
      <w:lvlJc w:val="left"/>
      <w:pPr>
        <w:ind w:left="1282" w:hanging="360"/>
      </w:pPr>
    </w:lvl>
    <w:lvl w:ilvl="2" w:tplc="0809001B" w:tentative="1">
      <w:start w:val="1"/>
      <w:numFmt w:val="lowerRoman"/>
      <w:lvlText w:val="%3."/>
      <w:lvlJc w:val="right"/>
      <w:pPr>
        <w:ind w:left="2002" w:hanging="180"/>
      </w:p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abstractNum w:abstractNumId="11" w15:restartNumberingAfterBreak="0">
    <w:nsid w:val="3B8A6C35"/>
    <w:multiLevelType w:val="hybridMultilevel"/>
    <w:tmpl w:val="A0068C9E"/>
    <w:lvl w:ilvl="0" w:tplc="27CC1090">
      <w:start w:val="1"/>
      <w:numFmt w:val="bullet"/>
      <w:lvlText w:val="-"/>
      <w:lvlJc w:val="left"/>
      <w:pPr>
        <w:ind w:left="720" w:hanging="360"/>
      </w:pPr>
      <w:rPr>
        <w:rFonts w:ascii="Times" w:eastAsia="MS Mincho"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DB201A"/>
    <w:multiLevelType w:val="hybridMultilevel"/>
    <w:tmpl w:val="0FC69190"/>
    <w:lvl w:ilvl="0" w:tplc="1CD20A50">
      <w:start w:val="1"/>
      <w:numFmt w:val="lowerRoman"/>
      <w:lvlText w:val="(%1)"/>
      <w:lvlJc w:val="left"/>
      <w:pPr>
        <w:ind w:left="922" w:hanging="720"/>
      </w:pPr>
      <w:rPr>
        <w:rFonts w:hint="default"/>
      </w:rPr>
    </w:lvl>
    <w:lvl w:ilvl="1" w:tplc="08090019" w:tentative="1">
      <w:start w:val="1"/>
      <w:numFmt w:val="lowerLetter"/>
      <w:lvlText w:val="%2."/>
      <w:lvlJc w:val="left"/>
      <w:pPr>
        <w:ind w:left="1282" w:hanging="360"/>
      </w:pPr>
    </w:lvl>
    <w:lvl w:ilvl="2" w:tplc="0809001B" w:tentative="1">
      <w:start w:val="1"/>
      <w:numFmt w:val="lowerRoman"/>
      <w:lvlText w:val="%3."/>
      <w:lvlJc w:val="right"/>
      <w:pPr>
        <w:ind w:left="2002" w:hanging="180"/>
      </w:p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abstractNum w:abstractNumId="13" w15:restartNumberingAfterBreak="0">
    <w:nsid w:val="59543332"/>
    <w:multiLevelType w:val="hybridMultilevel"/>
    <w:tmpl w:val="A95A8886"/>
    <w:lvl w:ilvl="0" w:tplc="157216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476F44"/>
    <w:multiLevelType w:val="hybridMultilevel"/>
    <w:tmpl w:val="CD40A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E2467F"/>
    <w:multiLevelType w:val="hybridMultilevel"/>
    <w:tmpl w:val="6B4A7E98"/>
    <w:lvl w:ilvl="0" w:tplc="B6B25C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C4310DF"/>
    <w:multiLevelType w:val="hybridMultilevel"/>
    <w:tmpl w:val="7A80EE94"/>
    <w:lvl w:ilvl="0" w:tplc="689A4D28">
      <w:start w:val="1"/>
      <w:numFmt w:val="lowerRoman"/>
      <w:lvlText w:val="(%1)"/>
      <w:lvlJc w:val="left"/>
      <w:pPr>
        <w:ind w:left="922" w:hanging="720"/>
      </w:pPr>
      <w:rPr>
        <w:rFonts w:ascii="Times" w:eastAsia="MS Mincho" w:hAnsi="Times" w:cs="Times New Roman"/>
      </w:rPr>
    </w:lvl>
    <w:lvl w:ilvl="1" w:tplc="08090019" w:tentative="1">
      <w:start w:val="1"/>
      <w:numFmt w:val="lowerLetter"/>
      <w:lvlText w:val="%2."/>
      <w:lvlJc w:val="left"/>
      <w:pPr>
        <w:ind w:left="1282" w:hanging="360"/>
      </w:pPr>
    </w:lvl>
    <w:lvl w:ilvl="2" w:tplc="0809001B" w:tentative="1">
      <w:start w:val="1"/>
      <w:numFmt w:val="lowerRoman"/>
      <w:lvlText w:val="%3."/>
      <w:lvlJc w:val="right"/>
      <w:pPr>
        <w:ind w:left="2002" w:hanging="180"/>
      </w:p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abstractNum w:abstractNumId="17" w15:restartNumberingAfterBreak="0">
    <w:nsid w:val="780B148E"/>
    <w:multiLevelType w:val="hybridMultilevel"/>
    <w:tmpl w:val="A314DED4"/>
    <w:lvl w:ilvl="0" w:tplc="ADB4777E">
      <w:start w:val="1"/>
      <w:numFmt w:val="decimal"/>
      <w:lvlText w:val="%1."/>
      <w:lvlJc w:val="left"/>
      <w:pPr>
        <w:ind w:left="562" w:hanging="360"/>
      </w:pPr>
      <w:rPr>
        <w:rFonts w:hint="default"/>
      </w:rPr>
    </w:lvl>
    <w:lvl w:ilvl="1" w:tplc="08090019" w:tentative="1">
      <w:start w:val="1"/>
      <w:numFmt w:val="lowerLetter"/>
      <w:lvlText w:val="%2."/>
      <w:lvlJc w:val="left"/>
      <w:pPr>
        <w:ind w:left="1282" w:hanging="360"/>
      </w:pPr>
    </w:lvl>
    <w:lvl w:ilvl="2" w:tplc="0809001B" w:tentative="1">
      <w:start w:val="1"/>
      <w:numFmt w:val="lowerRoman"/>
      <w:lvlText w:val="%3."/>
      <w:lvlJc w:val="right"/>
      <w:pPr>
        <w:ind w:left="2002" w:hanging="180"/>
      </w:p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abstractNum w:abstractNumId="18" w15:restartNumberingAfterBreak="0">
    <w:nsid w:val="7E531B95"/>
    <w:multiLevelType w:val="hybridMultilevel"/>
    <w:tmpl w:val="738061E4"/>
    <w:lvl w:ilvl="0" w:tplc="F2A2F090">
      <w:start w:val="1"/>
      <w:numFmt w:val="lowerRoman"/>
      <w:lvlText w:val="(%1)"/>
      <w:lvlJc w:val="left"/>
      <w:pPr>
        <w:ind w:left="922" w:hanging="720"/>
      </w:pPr>
      <w:rPr>
        <w:rFonts w:hint="default"/>
      </w:rPr>
    </w:lvl>
    <w:lvl w:ilvl="1" w:tplc="08090019" w:tentative="1">
      <w:start w:val="1"/>
      <w:numFmt w:val="lowerLetter"/>
      <w:lvlText w:val="%2."/>
      <w:lvlJc w:val="left"/>
      <w:pPr>
        <w:ind w:left="1282" w:hanging="360"/>
      </w:pPr>
    </w:lvl>
    <w:lvl w:ilvl="2" w:tplc="0809001B" w:tentative="1">
      <w:start w:val="1"/>
      <w:numFmt w:val="lowerRoman"/>
      <w:lvlText w:val="%3."/>
      <w:lvlJc w:val="right"/>
      <w:pPr>
        <w:ind w:left="2002" w:hanging="180"/>
      </w:p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num w:numId="1">
    <w:abstractNumId w:val="1"/>
  </w:num>
  <w:num w:numId="2">
    <w:abstractNumId w:val="17"/>
  </w:num>
  <w:num w:numId="3">
    <w:abstractNumId w:val="8"/>
  </w:num>
  <w:num w:numId="4">
    <w:abstractNumId w:val="11"/>
  </w:num>
  <w:num w:numId="5">
    <w:abstractNumId w:val="10"/>
  </w:num>
  <w:num w:numId="6">
    <w:abstractNumId w:val="18"/>
  </w:num>
  <w:num w:numId="7">
    <w:abstractNumId w:val="14"/>
  </w:num>
  <w:num w:numId="8">
    <w:abstractNumId w:val="2"/>
  </w:num>
  <w:num w:numId="9">
    <w:abstractNumId w:val="6"/>
  </w:num>
  <w:num w:numId="10">
    <w:abstractNumId w:val="9"/>
  </w:num>
  <w:num w:numId="11">
    <w:abstractNumId w:val="4"/>
  </w:num>
  <w:num w:numId="12">
    <w:abstractNumId w:val="7"/>
  </w:num>
  <w:num w:numId="13">
    <w:abstractNumId w:val="12"/>
  </w:num>
  <w:num w:numId="14">
    <w:abstractNumId w:val="16"/>
  </w:num>
  <w:num w:numId="15">
    <w:abstractNumId w:val="5"/>
  </w:num>
  <w:num w:numId="16">
    <w:abstractNumId w:val="3"/>
  </w:num>
  <w:num w:numId="17">
    <w:abstractNumId w:val="15"/>
  </w:num>
  <w:num w:numId="18">
    <w:abstractNumId w:val="1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2DB"/>
    <w:rsid w:val="00007049"/>
    <w:rsid w:val="00025D4E"/>
    <w:rsid w:val="00026822"/>
    <w:rsid w:val="000407B5"/>
    <w:rsid w:val="00063E72"/>
    <w:rsid w:val="000A1AD2"/>
    <w:rsid w:val="000A5889"/>
    <w:rsid w:val="000A7244"/>
    <w:rsid w:val="000C40C1"/>
    <w:rsid w:val="000C43E9"/>
    <w:rsid w:val="000E1056"/>
    <w:rsid w:val="000E5B3F"/>
    <w:rsid w:val="00100023"/>
    <w:rsid w:val="00102BF6"/>
    <w:rsid w:val="001100FE"/>
    <w:rsid w:val="00115DEF"/>
    <w:rsid w:val="00131D60"/>
    <w:rsid w:val="001322DE"/>
    <w:rsid w:val="001347D6"/>
    <w:rsid w:val="00137462"/>
    <w:rsid w:val="0014521C"/>
    <w:rsid w:val="00146971"/>
    <w:rsid w:val="001743F4"/>
    <w:rsid w:val="00195527"/>
    <w:rsid w:val="001C1EAC"/>
    <w:rsid w:val="001C2FA6"/>
    <w:rsid w:val="001C35A5"/>
    <w:rsid w:val="001E7FBA"/>
    <w:rsid w:val="00200FB8"/>
    <w:rsid w:val="002021A7"/>
    <w:rsid w:val="0020309B"/>
    <w:rsid w:val="00205109"/>
    <w:rsid w:val="002058A9"/>
    <w:rsid w:val="0021238F"/>
    <w:rsid w:val="002464CC"/>
    <w:rsid w:val="00261B6D"/>
    <w:rsid w:val="00262C94"/>
    <w:rsid w:val="002639C4"/>
    <w:rsid w:val="002736E3"/>
    <w:rsid w:val="00282A68"/>
    <w:rsid w:val="002B2299"/>
    <w:rsid w:val="002B34F8"/>
    <w:rsid w:val="002B6208"/>
    <w:rsid w:val="002C6238"/>
    <w:rsid w:val="002F6C86"/>
    <w:rsid w:val="0031581E"/>
    <w:rsid w:val="00317D55"/>
    <w:rsid w:val="00334EF9"/>
    <w:rsid w:val="00342309"/>
    <w:rsid w:val="0035178F"/>
    <w:rsid w:val="00357214"/>
    <w:rsid w:val="00357537"/>
    <w:rsid w:val="00382AEE"/>
    <w:rsid w:val="003872DB"/>
    <w:rsid w:val="003954FF"/>
    <w:rsid w:val="003A3149"/>
    <w:rsid w:val="003A72AC"/>
    <w:rsid w:val="003B4E6A"/>
    <w:rsid w:val="003B6A27"/>
    <w:rsid w:val="003D2C4C"/>
    <w:rsid w:val="003D2F36"/>
    <w:rsid w:val="003E19B4"/>
    <w:rsid w:val="003E67FA"/>
    <w:rsid w:val="00402691"/>
    <w:rsid w:val="00412B03"/>
    <w:rsid w:val="00470AF7"/>
    <w:rsid w:val="00482079"/>
    <w:rsid w:val="00482477"/>
    <w:rsid w:val="0048293D"/>
    <w:rsid w:val="004913B9"/>
    <w:rsid w:val="00491F26"/>
    <w:rsid w:val="004A5FF5"/>
    <w:rsid w:val="00507232"/>
    <w:rsid w:val="0052010A"/>
    <w:rsid w:val="00537EBB"/>
    <w:rsid w:val="005576AD"/>
    <w:rsid w:val="00561360"/>
    <w:rsid w:val="00582990"/>
    <w:rsid w:val="005C7842"/>
    <w:rsid w:val="005D76B5"/>
    <w:rsid w:val="005E079C"/>
    <w:rsid w:val="006038A9"/>
    <w:rsid w:val="006058ED"/>
    <w:rsid w:val="006110F6"/>
    <w:rsid w:val="006143F6"/>
    <w:rsid w:val="006419CC"/>
    <w:rsid w:val="00643011"/>
    <w:rsid w:val="00647BF3"/>
    <w:rsid w:val="006671FE"/>
    <w:rsid w:val="0067049E"/>
    <w:rsid w:val="0067733F"/>
    <w:rsid w:val="006803CF"/>
    <w:rsid w:val="0068499F"/>
    <w:rsid w:val="00686C8D"/>
    <w:rsid w:val="006B3028"/>
    <w:rsid w:val="006B3984"/>
    <w:rsid w:val="006B54EE"/>
    <w:rsid w:val="006C4568"/>
    <w:rsid w:val="006E28DF"/>
    <w:rsid w:val="007451CC"/>
    <w:rsid w:val="00764924"/>
    <w:rsid w:val="00780FA3"/>
    <w:rsid w:val="00781F83"/>
    <w:rsid w:val="007938E0"/>
    <w:rsid w:val="007B78DD"/>
    <w:rsid w:val="007D1C9D"/>
    <w:rsid w:val="007E2E52"/>
    <w:rsid w:val="007E6648"/>
    <w:rsid w:val="007F05BE"/>
    <w:rsid w:val="00814114"/>
    <w:rsid w:val="00815128"/>
    <w:rsid w:val="008246AC"/>
    <w:rsid w:val="00841725"/>
    <w:rsid w:val="0086721A"/>
    <w:rsid w:val="00867AEA"/>
    <w:rsid w:val="00875327"/>
    <w:rsid w:val="008A307F"/>
    <w:rsid w:val="008B0E72"/>
    <w:rsid w:val="008D3E0D"/>
    <w:rsid w:val="008D5259"/>
    <w:rsid w:val="008D60D2"/>
    <w:rsid w:val="008F0063"/>
    <w:rsid w:val="008F2634"/>
    <w:rsid w:val="00903467"/>
    <w:rsid w:val="00920DCC"/>
    <w:rsid w:val="00927C30"/>
    <w:rsid w:val="00945E59"/>
    <w:rsid w:val="009506A2"/>
    <w:rsid w:val="0095074F"/>
    <w:rsid w:val="00955052"/>
    <w:rsid w:val="009576CB"/>
    <w:rsid w:val="009579AC"/>
    <w:rsid w:val="00965716"/>
    <w:rsid w:val="00972CE5"/>
    <w:rsid w:val="00993D78"/>
    <w:rsid w:val="009A3826"/>
    <w:rsid w:val="009B54CE"/>
    <w:rsid w:val="009D1CCC"/>
    <w:rsid w:val="009F17AC"/>
    <w:rsid w:val="009F6579"/>
    <w:rsid w:val="00A208F6"/>
    <w:rsid w:val="00A3111B"/>
    <w:rsid w:val="00A6134F"/>
    <w:rsid w:val="00A82062"/>
    <w:rsid w:val="00AA22FE"/>
    <w:rsid w:val="00AA2ABF"/>
    <w:rsid w:val="00AA56CA"/>
    <w:rsid w:val="00AA69BA"/>
    <w:rsid w:val="00AB40B7"/>
    <w:rsid w:val="00AD2802"/>
    <w:rsid w:val="00AE4752"/>
    <w:rsid w:val="00AE65B4"/>
    <w:rsid w:val="00AE7224"/>
    <w:rsid w:val="00AF3A03"/>
    <w:rsid w:val="00AF7350"/>
    <w:rsid w:val="00B03E6D"/>
    <w:rsid w:val="00B16593"/>
    <w:rsid w:val="00B643FD"/>
    <w:rsid w:val="00B808AB"/>
    <w:rsid w:val="00B937F6"/>
    <w:rsid w:val="00B972FF"/>
    <w:rsid w:val="00BB1694"/>
    <w:rsid w:val="00BB3004"/>
    <w:rsid w:val="00BB3D48"/>
    <w:rsid w:val="00BC4137"/>
    <w:rsid w:val="00BC568F"/>
    <w:rsid w:val="00BD2651"/>
    <w:rsid w:val="00BF5FB0"/>
    <w:rsid w:val="00C007CB"/>
    <w:rsid w:val="00C1095C"/>
    <w:rsid w:val="00C20734"/>
    <w:rsid w:val="00C224A1"/>
    <w:rsid w:val="00C23114"/>
    <w:rsid w:val="00C379F4"/>
    <w:rsid w:val="00C449F9"/>
    <w:rsid w:val="00C4712C"/>
    <w:rsid w:val="00C53948"/>
    <w:rsid w:val="00C56D61"/>
    <w:rsid w:val="00C65F5C"/>
    <w:rsid w:val="00C73C31"/>
    <w:rsid w:val="00C928DF"/>
    <w:rsid w:val="00CD054F"/>
    <w:rsid w:val="00CD30BB"/>
    <w:rsid w:val="00CE6E60"/>
    <w:rsid w:val="00CE6EA9"/>
    <w:rsid w:val="00D039E9"/>
    <w:rsid w:val="00D22B5F"/>
    <w:rsid w:val="00D547D5"/>
    <w:rsid w:val="00D61252"/>
    <w:rsid w:val="00D71279"/>
    <w:rsid w:val="00DB1E01"/>
    <w:rsid w:val="00DB2563"/>
    <w:rsid w:val="00DB5640"/>
    <w:rsid w:val="00DD36F1"/>
    <w:rsid w:val="00DE19BB"/>
    <w:rsid w:val="00E11AD9"/>
    <w:rsid w:val="00E774D1"/>
    <w:rsid w:val="00E97403"/>
    <w:rsid w:val="00EB2066"/>
    <w:rsid w:val="00ED6962"/>
    <w:rsid w:val="00EE1A92"/>
    <w:rsid w:val="00EE473A"/>
    <w:rsid w:val="00EF3D91"/>
    <w:rsid w:val="00EF6A96"/>
    <w:rsid w:val="00F009F0"/>
    <w:rsid w:val="00F03F5C"/>
    <w:rsid w:val="00F04F0F"/>
    <w:rsid w:val="00F1199E"/>
    <w:rsid w:val="00F157F4"/>
    <w:rsid w:val="00F35EA6"/>
    <w:rsid w:val="00F36138"/>
    <w:rsid w:val="00F46766"/>
    <w:rsid w:val="00F47AC3"/>
    <w:rsid w:val="00F51249"/>
    <w:rsid w:val="00F54D1E"/>
    <w:rsid w:val="00F550F3"/>
    <w:rsid w:val="00F84241"/>
    <w:rsid w:val="00F873B9"/>
    <w:rsid w:val="00FA204C"/>
    <w:rsid w:val="00FA7B73"/>
    <w:rsid w:val="00FB05DD"/>
    <w:rsid w:val="00FC54A2"/>
    <w:rsid w:val="00FD069C"/>
    <w:rsid w:val="00FD61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9CA09"/>
  <w15:chartTrackingRefBased/>
  <w15:docId w15:val="{72C64888-A54B-41FE-BCE5-47C783AE1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872DB"/>
    <w:pPr>
      <w:spacing w:after="200" w:line="240" w:lineRule="auto"/>
      <w:jc w:val="both"/>
    </w:pPr>
    <w:rPr>
      <w:rFonts w:ascii="Times" w:eastAsia="MS Mincho" w:hAnsi="Times" w:cs="Times New Roman"/>
      <w:sz w:val="24"/>
      <w:szCs w:val="20"/>
      <w:lang w:val="en-US"/>
    </w:rPr>
  </w:style>
  <w:style w:type="paragraph" w:styleId="Heading1">
    <w:name w:val="heading 1"/>
    <w:basedOn w:val="Normal"/>
    <w:next w:val="Normal"/>
    <w:link w:val="Heading1Char"/>
    <w:uiPriority w:val="9"/>
    <w:qFormat/>
    <w:rsid w:val="003872DB"/>
    <w:pPr>
      <w:keepNext/>
      <w:keepLines/>
      <w:spacing w:before="480" w:after="0" w:line="276" w:lineRule="auto"/>
      <w:jc w:val="left"/>
      <w:outlineLvl w:val="0"/>
    </w:pPr>
    <w:rPr>
      <w:rFonts w:ascii="Cambria" w:eastAsia="MS Gothic" w:hAnsi="Cambria"/>
      <w:b/>
      <w:bCs/>
      <w:color w:val="365F91"/>
      <w:sz w:val="28"/>
      <w:szCs w:val="28"/>
      <w:lang w:val="en-GB" w:eastAsia="ja-JP"/>
    </w:rPr>
  </w:style>
  <w:style w:type="paragraph" w:styleId="Heading2">
    <w:name w:val="heading 2"/>
    <w:basedOn w:val="Normal"/>
    <w:next w:val="Normal"/>
    <w:link w:val="Heading2Char"/>
    <w:uiPriority w:val="9"/>
    <w:unhideWhenUsed/>
    <w:qFormat/>
    <w:rsid w:val="003872DB"/>
    <w:pPr>
      <w:keepNext/>
      <w:keepLines/>
      <w:spacing w:before="200" w:after="0" w:line="276" w:lineRule="auto"/>
      <w:jc w:val="left"/>
      <w:outlineLvl w:val="1"/>
    </w:pPr>
    <w:rPr>
      <w:rFonts w:ascii="Cambria" w:eastAsia="MS Gothic" w:hAnsi="Cambria"/>
      <w:b/>
      <w:bCs/>
      <w:color w:val="4F81BD"/>
      <w:sz w:val="26"/>
      <w:szCs w:val="26"/>
      <w:lang w:val="en-GB" w:eastAsia="ja-JP"/>
    </w:rPr>
  </w:style>
  <w:style w:type="paragraph" w:styleId="Heading3">
    <w:name w:val="heading 3"/>
    <w:basedOn w:val="Normal"/>
    <w:next w:val="Normal"/>
    <w:link w:val="Heading3Char"/>
    <w:uiPriority w:val="9"/>
    <w:unhideWhenUsed/>
    <w:qFormat/>
    <w:rsid w:val="003872DB"/>
    <w:pPr>
      <w:keepNext/>
      <w:keepLines/>
      <w:spacing w:before="200" w:after="0" w:line="276" w:lineRule="auto"/>
      <w:jc w:val="left"/>
      <w:outlineLvl w:val="2"/>
    </w:pPr>
    <w:rPr>
      <w:rFonts w:ascii="Cambria" w:eastAsia="MS Gothic" w:hAnsi="Cambria"/>
      <w:b/>
      <w:bCs/>
      <w:color w:val="4F81BD"/>
      <w:sz w:val="22"/>
      <w:szCs w:val="22"/>
      <w:lang w:val="en-GB" w:eastAsia="ja-JP"/>
    </w:rPr>
  </w:style>
  <w:style w:type="paragraph" w:styleId="Heading4">
    <w:name w:val="heading 4"/>
    <w:basedOn w:val="Normal"/>
    <w:next w:val="Normal"/>
    <w:link w:val="Heading4Char"/>
    <w:uiPriority w:val="9"/>
    <w:unhideWhenUsed/>
    <w:qFormat/>
    <w:rsid w:val="003872DB"/>
    <w:pPr>
      <w:keepNext/>
      <w:keepLines/>
      <w:widowControl w:val="0"/>
      <w:suppressAutoHyphens/>
      <w:autoSpaceDN w:val="0"/>
      <w:spacing w:before="200" w:after="0"/>
      <w:jc w:val="left"/>
      <w:textAlignment w:val="baseline"/>
      <w:outlineLvl w:val="3"/>
    </w:pPr>
    <w:rPr>
      <w:rFonts w:asciiTheme="majorHAnsi" w:eastAsiaTheme="majorEastAsia" w:hAnsiTheme="majorHAnsi" w:cs="Mangal"/>
      <w:b/>
      <w:bCs/>
      <w:i/>
      <w:iCs/>
      <w:color w:val="5B9BD5" w:themeColor="accent1"/>
      <w:kern w:val="3"/>
      <w:szCs w:val="21"/>
      <w:lang w:eastAsia="zh-CN" w:bidi="hi-IN"/>
    </w:rPr>
  </w:style>
  <w:style w:type="paragraph" w:styleId="Heading5">
    <w:name w:val="heading 5"/>
    <w:basedOn w:val="Normal"/>
    <w:next w:val="Normal"/>
    <w:link w:val="Heading5Char"/>
    <w:uiPriority w:val="9"/>
    <w:unhideWhenUsed/>
    <w:qFormat/>
    <w:rsid w:val="003872DB"/>
    <w:pPr>
      <w:keepNext/>
      <w:keepLines/>
      <w:widowControl w:val="0"/>
      <w:suppressAutoHyphens/>
      <w:autoSpaceDN w:val="0"/>
      <w:spacing w:before="200" w:after="0"/>
      <w:jc w:val="left"/>
      <w:textAlignment w:val="baseline"/>
      <w:outlineLvl w:val="4"/>
    </w:pPr>
    <w:rPr>
      <w:rFonts w:asciiTheme="majorHAnsi" w:eastAsiaTheme="majorEastAsia" w:hAnsiTheme="majorHAnsi" w:cs="Mangal"/>
      <w:color w:val="1F4D78" w:themeColor="accent1" w:themeShade="7F"/>
      <w:kern w:val="3"/>
      <w:szCs w:val="21"/>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2DB"/>
    <w:rPr>
      <w:rFonts w:ascii="Cambria" w:eastAsia="MS Gothic" w:hAnsi="Cambria" w:cs="Times New Roman"/>
      <w:b/>
      <w:bCs/>
      <w:color w:val="365F91"/>
      <w:sz w:val="28"/>
      <w:szCs w:val="28"/>
      <w:lang w:eastAsia="ja-JP"/>
    </w:rPr>
  </w:style>
  <w:style w:type="character" w:customStyle="1" w:styleId="Heading2Char">
    <w:name w:val="Heading 2 Char"/>
    <w:basedOn w:val="DefaultParagraphFont"/>
    <w:link w:val="Heading2"/>
    <w:uiPriority w:val="9"/>
    <w:rsid w:val="003872DB"/>
    <w:rPr>
      <w:rFonts w:ascii="Cambria" w:eastAsia="MS Gothic" w:hAnsi="Cambria" w:cs="Times New Roman"/>
      <w:b/>
      <w:bCs/>
      <w:color w:val="4F81BD"/>
      <w:sz w:val="26"/>
      <w:szCs w:val="26"/>
      <w:lang w:eastAsia="ja-JP"/>
    </w:rPr>
  </w:style>
  <w:style w:type="character" w:customStyle="1" w:styleId="Heading3Char">
    <w:name w:val="Heading 3 Char"/>
    <w:basedOn w:val="DefaultParagraphFont"/>
    <w:link w:val="Heading3"/>
    <w:uiPriority w:val="9"/>
    <w:rsid w:val="003872DB"/>
    <w:rPr>
      <w:rFonts w:ascii="Cambria" w:eastAsia="MS Gothic" w:hAnsi="Cambria" w:cs="Times New Roman"/>
      <w:b/>
      <w:bCs/>
      <w:color w:val="4F81BD"/>
      <w:lang w:eastAsia="ja-JP"/>
    </w:rPr>
  </w:style>
  <w:style w:type="character" w:customStyle="1" w:styleId="Heading4Char">
    <w:name w:val="Heading 4 Char"/>
    <w:basedOn w:val="DefaultParagraphFont"/>
    <w:link w:val="Heading4"/>
    <w:uiPriority w:val="9"/>
    <w:rsid w:val="003872DB"/>
    <w:rPr>
      <w:rFonts w:asciiTheme="majorHAnsi" w:eastAsiaTheme="majorEastAsia" w:hAnsiTheme="majorHAnsi" w:cs="Mangal"/>
      <w:b/>
      <w:bCs/>
      <w:i/>
      <w:iCs/>
      <w:color w:val="5B9BD5" w:themeColor="accent1"/>
      <w:kern w:val="3"/>
      <w:sz w:val="24"/>
      <w:szCs w:val="21"/>
      <w:lang w:val="en-US" w:eastAsia="zh-CN" w:bidi="hi-IN"/>
    </w:rPr>
  </w:style>
  <w:style w:type="character" w:customStyle="1" w:styleId="Heading5Char">
    <w:name w:val="Heading 5 Char"/>
    <w:basedOn w:val="DefaultParagraphFont"/>
    <w:link w:val="Heading5"/>
    <w:uiPriority w:val="9"/>
    <w:rsid w:val="003872DB"/>
    <w:rPr>
      <w:rFonts w:asciiTheme="majorHAnsi" w:eastAsiaTheme="majorEastAsia" w:hAnsiTheme="majorHAnsi" w:cs="Mangal"/>
      <w:color w:val="1F4D78" w:themeColor="accent1" w:themeShade="7F"/>
      <w:kern w:val="3"/>
      <w:sz w:val="24"/>
      <w:szCs w:val="21"/>
      <w:lang w:val="en-US" w:eastAsia="zh-CN" w:bidi="hi-IN"/>
    </w:rPr>
  </w:style>
  <w:style w:type="character" w:styleId="FollowedHyperlink">
    <w:name w:val="FollowedHyperlink"/>
    <w:rsid w:val="003872DB"/>
    <w:rPr>
      <w:color w:val="800080"/>
      <w:u w:val="single"/>
    </w:rPr>
  </w:style>
  <w:style w:type="paragraph" w:styleId="BodyText">
    <w:name w:val="Body Text"/>
    <w:basedOn w:val="Normal"/>
    <w:link w:val="BodyTextChar"/>
    <w:rsid w:val="003872DB"/>
    <w:pPr>
      <w:jc w:val="center"/>
    </w:pPr>
    <w:rPr>
      <w:b/>
      <w:sz w:val="40"/>
    </w:rPr>
  </w:style>
  <w:style w:type="character" w:customStyle="1" w:styleId="BodyTextChar">
    <w:name w:val="Body Text Char"/>
    <w:basedOn w:val="DefaultParagraphFont"/>
    <w:link w:val="BodyText"/>
    <w:rsid w:val="003872DB"/>
    <w:rPr>
      <w:rFonts w:ascii="Times" w:eastAsia="MS Mincho" w:hAnsi="Times" w:cs="Times New Roman"/>
      <w:b/>
      <w:sz w:val="40"/>
      <w:szCs w:val="20"/>
      <w:lang w:val="en-US"/>
    </w:rPr>
  </w:style>
  <w:style w:type="paragraph" w:styleId="FootnoteText">
    <w:name w:val="footnote text"/>
    <w:basedOn w:val="Normal"/>
    <w:next w:val="TFReferencesSection"/>
    <w:link w:val="FootnoteTextChar"/>
    <w:semiHidden/>
    <w:rsid w:val="003872DB"/>
  </w:style>
  <w:style w:type="character" w:customStyle="1" w:styleId="FootnoteTextChar">
    <w:name w:val="Footnote Text Char"/>
    <w:basedOn w:val="DefaultParagraphFont"/>
    <w:link w:val="FootnoteText"/>
    <w:semiHidden/>
    <w:rsid w:val="003872DB"/>
    <w:rPr>
      <w:rFonts w:ascii="Times" w:eastAsia="MS Mincho" w:hAnsi="Times" w:cs="Times New Roman"/>
      <w:sz w:val="24"/>
      <w:szCs w:val="20"/>
      <w:lang w:val="en-US"/>
    </w:rPr>
  </w:style>
  <w:style w:type="paragraph" w:customStyle="1" w:styleId="TFReferencesSection">
    <w:name w:val="TF_References_Section"/>
    <w:basedOn w:val="Normal"/>
    <w:rsid w:val="003872DB"/>
    <w:pPr>
      <w:spacing w:line="480" w:lineRule="auto"/>
      <w:ind w:firstLine="187"/>
    </w:pPr>
  </w:style>
  <w:style w:type="paragraph" w:customStyle="1" w:styleId="TAMainText">
    <w:name w:val="TA_Main_Text"/>
    <w:basedOn w:val="Normal"/>
    <w:rsid w:val="003872DB"/>
    <w:pPr>
      <w:spacing w:after="0" w:line="480" w:lineRule="auto"/>
      <w:ind w:firstLine="202"/>
    </w:pPr>
  </w:style>
  <w:style w:type="paragraph" w:customStyle="1" w:styleId="BATitle">
    <w:name w:val="BA_Title"/>
    <w:basedOn w:val="Normal"/>
    <w:next w:val="BBAuthorName"/>
    <w:rsid w:val="003872DB"/>
    <w:pPr>
      <w:spacing w:before="720" w:after="360" w:line="480" w:lineRule="auto"/>
      <w:jc w:val="center"/>
    </w:pPr>
    <w:rPr>
      <w:rFonts w:ascii="Times New Roman" w:hAnsi="Times New Roman"/>
      <w:sz w:val="44"/>
    </w:rPr>
  </w:style>
  <w:style w:type="paragraph" w:customStyle="1" w:styleId="BBAuthorName">
    <w:name w:val="BB_Author_Name"/>
    <w:basedOn w:val="Normal"/>
    <w:next w:val="BCAuthorAddress"/>
    <w:rsid w:val="003872DB"/>
    <w:pPr>
      <w:spacing w:after="240" w:line="480" w:lineRule="auto"/>
      <w:jc w:val="center"/>
    </w:pPr>
    <w:rPr>
      <w:i/>
    </w:rPr>
  </w:style>
  <w:style w:type="paragraph" w:customStyle="1" w:styleId="BCAuthorAddress">
    <w:name w:val="BC_Author_Address"/>
    <w:basedOn w:val="Normal"/>
    <w:next w:val="BIEmailAddress"/>
    <w:rsid w:val="003872DB"/>
    <w:pPr>
      <w:spacing w:after="240" w:line="480" w:lineRule="auto"/>
      <w:jc w:val="center"/>
    </w:pPr>
  </w:style>
  <w:style w:type="paragraph" w:customStyle="1" w:styleId="BIEmailAddress">
    <w:name w:val="BI_Email_Address"/>
    <w:basedOn w:val="Normal"/>
    <w:next w:val="AIReceivedDate"/>
    <w:rsid w:val="003872DB"/>
    <w:pPr>
      <w:spacing w:line="480" w:lineRule="auto"/>
    </w:pPr>
  </w:style>
  <w:style w:type="paragraph" w:customStyle="1" w:styleId="AIReceivedDate">
    <w:name w:val="AI_Received_Date"/>
    <w:basedOn w:val="Normal"/>
    <w:next w:val="BDAbstract"/>
    <w:rsid w:val="003872DB"/>
    <w:pPr>
      <w:spacing w:after="240" w:line="480" w:lineRule="auto"/>
    </w:pPr>
    <w:rPr>
      <w:b/>
    </w:rPr>
  </w:style>
  <w:style w:type="paragraph" w:customStyle="1" w:styleId="BDAbstract">
    <w:name w:val="BD_Abstract"/>
    <w:basedOn w:val="Normal"/>
    <w:next w:val="TAMainText"/>
    <w:link w:val="BDAbstractChar"/>
    <w:rsid w:val="003872DB"/>
    <w:pPr>
      <w:spacing w:before="360" w:after="360" w:line="480" w:lineRule="auto"/>
    </w:pPr>
  </w:style>
  <w:style w:type="character" w:customStyle="1" w:styleId="BDAbstractChar">
    <w:name w:val="BD_Abstract Char"/>
    <w:link w:val="BDAbstract"/>
    <w:rsid w:val="003872DB"/>
    <w:rPr>
      <w:rFonts w:ascii="Times" w:eastAsia="MS Mincho" w:hAnsi="Times" w:cs="Times New Roman"/>
      <w:sz w:val="24"/>
      <w:szCs w:val="20"/>
      <w:lang w:val="en-US"/>
    </w:rPr>
  </w:style>
  <w:style w:type="paragraph" w:customStyle="1" w:styleId="TDAcknowledgments">
    <w:name w:val="TD_Acknowledgments"/>
    <w:basedOn w:val="Normal"/>
    <w:next w:val="Normal"/>
    <w:rsid w:val="003872DB"/>
    <w:pPr>
      <w:spacing w:before="200" w:line="480" w:lineRule="auto"/>
      <w:ind w:firstLine="202"/>
    </w:pPr>
  </w:style>
  <w:style w:type="paragraph" w:customStyle="1" w:styleId="TESupportingInformation">
    <w:name w:val="TE_Supporting_Information"/>
    <w:basedOn w:val="Normal"/>
    <w:next w:val="Normal"/>
    <w:rsid w:val="003872DB"/>
    <w:pPr>
      <w:spacing w:line="480" w:lineRule="auto"/>
      <w:ind w:firstLine="187"/>
    </w:pPr>
  </w:style>
  <w:style w:type="paragraph" w:customStyle="1" w:styleId="VCSchemeTitle">
    <w:name w:val="VC_Scheme_Title"/>
    <w:basedOn w:val="Normal"/>
    <w:next w:val="Normal"/>
    <w:rsid w:val="003872DB"/>
    <w:pPr>
      <w:spacing w:line="480" w:lineRule="auto"/>
    </w:pPr>
  </w:style>
  <w:style w:type="paragraph" w:customStyle="1" w:styleId="VDTableTitle">
    <w:name w:val="VD_Table_Title"/>
    <w:basedOn w:val="Normal"/>
    <w:next w:val="Normal"/>
    <w:rsid w:val="003872DB"/>
    <w:pPr>
      <w:spacing w:line="480" w:lineRule="auto"/>
    </w:pPr>
  </w:style>
  <w:style w:type="paragraph" w:customStyle="1" w:styleId="VAFigureCaption">
    <w:name w:val="VA_Figure_Caption"/>
    <w:basedOn w:val="Normal"/>
    <w:next w:val="Normal"/>
    <w:rsid w:val="003872DB"/>
    <w:pPr>
      <w:spacing w:line="480" w:lineRule="auto"/>
    </w:pPr>
  </w:style>
  <w:style w:type="paragraph" w:customStyle="1" w:styleId="VBChartTitle">
    <w:name w:val="VB_Chart_Title"/>
    <w:basedOn w:val="Normal"/>
    <w:next w:val="Normal"/>
    <w:rsid w:val="003872DB"/>
    <w:pPr>
      <w:spacing w:line="480" w:lineRule="auto"/>
    </w:pPr>
  </w:style>
  <w:style w:type="paragraph" w:customStyle="1" w:styleId="FETableFootnote">
    <w:name w:val="FE_Table_Footnote"/>
    <w:basedOn w:val="Normal"/>
    <w:next w:val="Normal"/>
    <w:rsid w:val="003872DB"/>
    <w:pPr>
      <w:ind w:firstLine="187"/>
    </w:pPr>
  </w:style>
  <w:style w:type="paragraph" w:customStyle="1" w:styleId="FCChartFootnote">
    <w:name w:val="FC_Chart_Footnote"/>
    <w:basedOn w:val="Normal"/>
    <w:next w:val="Normal"/>
    <w:rsid w:val="003872DB"/>
    <w:pPr>
      <w:ind w:firstLine="187"/>
    </w:pPr>
  </w:style>
  <w:style w:type="paragraph" w:customStyle="1" w:styleId="FDSchemeFootnote">
    <w:name w:val="FD_Scheme_Footnote"/>
    <w:basedOn w:val="Normal"/>
    <w:next w:val="Normal"/>
    <w:rsid w:val="003872DB"/>
    <w:pPr>
      <w:ind w:firstLine="187"/>
    </w:pPr>
  </w:style>
  <w:style w:type="paragraph" w:customStyle="1" w:styleId="TCTableBody">
    <w:name w:val="TC_Table_Body"/>
    <w:basedOn w:val="Normal"/>
    <w:link w:val="TCTableBodyChar"/>
    <w:rsid w:val="003872DB"/>
  </w:style>
  <w:style w:type="character" w:customStyle="1" w:styleId="TCTableBodyChar">
    <w:name w:val="TC_Table_Body Char"/>
    <w:link w:val="TCTableBody"/>
    <w:rsid w:val="003872DB"/>
    <w:rPr>
      <w:rFonts w:ascii="Times" w:eastAsia="MS Mincho" w:hAnsi="Times" w:cs="Times New Roman"/>
      <w:sz w:val="24"/>
      <w:szCs w:val="20"/>
      <w:lang w:val="en-US"/>
    </w:rPr>
  </w:style>
  <w:style w:type="paragraph" w:customStyle="1" w:styleId="AFTitleRunningHead">
    <w:name w:val="AF_Title_Running_Head"/>
    <w:basedOn w:val="Normal"/>
    <w:next w:val="TAMainText"/>
    <w:rsid w:val="003872DB"/>
    <w:pPr>
      <w:spacing w:line="480" w:lineRule="auto"/>
    </w:pPr>
  </w:style>
  <w:style w:type="paragraph" w:customStyle="1" w:styleId="BEAuthorBiography">
    <w:name w:val="BE_Author_Biography"/>
    <w:basedOn w:val="Normal"/>
    <w:rsid w:val="003872DB"/>
    <w:pPr>
      <w:spacing w:line="480" w:lineRule="auto"/>
    </w:pPr>
  </w:style>
  <w:style w:type="paragraph" w:customStyle="1" w:styleId="FACorrespondingAuthorFootnote">
    <w:name w:val="FA_Corresponding_Author_Footnote"/>
    <w:basedOn w:val="Normal"/>
    <w:next w:val="TAMainText"/>
    <w:rsid w:val="003872DB"/>
    <w:pPr>
      <w:spacing w:line="480" w:lineRule="auto"/>
    </w:pPr>
  </w:style>
  <w:style w:type="paragraph" w:customStyle="1" w:styleId="SNSynopsisTOC">
    <w:name w:val="SN_Synopsis_TOC"/>
    <w:basedOn w:val="Normal"/>
    <w:rsid w:val="003872DB"/>
    <w:pPr>
      <w:spacing w:line="480" w:lineRule="auto"/>
    </w:pPr>
  </w:style>
  <w:style w:type="character" w:styleId="Hyperlink">
    <w:name w:val="Hyperlink"/>
    <w:uiPriority w:val="99"/>
    <w:rsid w:val="003872DB"/>
    <w:rPr>
      <w:color w:val="0000FF"/>
      <w:u w:val="single"/>
    </w:rPr>
  </w:style>
  <w:style w:type="paragraph" w:styleId="Footer">
    <w:name w:val="footer"/>
    <w:basedOn w:val="Normal"/>
    <w:link w:val="FooterChar"/>
    <w:uiPriority w:val="99"/>
    <w:rsid w:val="003872DB"/>
    <w:pPr>
      <w:tabs>
        <w:tab w:val="center" w:pos="4320"/>
        <w:tab w:val="right" w:pos="8640"/>
      </w:tabs>
    </w:pPr>
  </w:style>
  <w:style w:type="character" w:customStyle="1" w:styleId="FooterChar">
    <w:name w:val="Footer Char"/>
    <w:basedOn w:val="DefaultParagraphFont"/>
    <w:link w:val="Footer"/>
    <w:uiPriority w:val="99"/>
    <w:rsid w:val="003872DB"/>
    <w:rPr>
      <w:rFonts w:ascii="Times" w:eastAsia="MS Mincho" w:hAnsi="Times" w:cs="Times New Roman"/>
      <w:sz w:val="24"/>
      <w:szCs w:val="20"/>
      <w:lang w:val="en-US"/>
    </w:rPr>
  </w:style>
  <w:style w:type="paragraph" w:customStyle="1" w:styleId="BGKeywords">
    <w:name w:val="BG_Keywords"/>
    <w:basedOn w:val="Normal"/>
    <w:rsid w:val="003872DB"/>
    <w:pPr>
      <w:spacing w:line="480" w:lineRule="auto"/>
    </w:pPr>
  </w:style>
  <w:style w:type="paragraph" w:customStyle="1" w:styleId="BHBriefs">
    <w:name w:val="BH_Briefs"/>
    <w:basedOn w:val="Normal"/>
    <w:rsid w:val="003872DB"/>
    <w:pPr>
      <w:spacing w:line="480" w:lineRule="auto"/>
    </w:pPr>
  </w:style>
  <w:style w:type="character" w:styleId="PageNumber">
    <w:name w:val="page number"/>
    <w:basedOn w:val="DefaultParagraphFont"/>
    <w:rsid w:val="003872DB"/>
  </w:style>
  <w:style w:type="paragraph" w:styleId="BalloonText">
    <w:name w:val="Balloon Text"/>
    <w:basedOn w:val="Normal"/>
    <w:link w:val="BalloonTextChar"/>
    <w:rsid w:val="003872DB"/>
    <w:rPr>
      <w:rFonts w:ascii="Tahoma" w:hAnsi="Tahoma" w:cs="Tahoma"/>
      <w:sz w:val="16"/>
      <w:szCs w:val="16"/>
    </w:rPr>
  </w:style>
  <w:style w:type="character" w:customStyle="1" w:styleId="BalloonTextChar">
    <w:name w:val="Balloon Text Char"/>
    <w:basedOn w:val="DefaultParagraphFont"/>
    <w:link w:val="BalloonText"/>
    <w:rsid w:val="003872DB"/>
    <w:rPr>
      <w:rFonts w:ascii="Tahoma" w:eastAsia="MS Mincho" w:hAnsi="Tahoma" w:cs="Tahoma"/>
      <w:sz w:val="16"/>
      <w:szCs w:val="16"/>
      <w:lang w:val="en-US"/>
    </w:rPr>
  </w:style>
  <w:style w:type="paragraph" w:customStyle="1" w:styleId="StyleFACorrespondingAuthorFootnote7pt">
    <w:name w:val="Style FA_Corresponding_Author_Footnote + 7 pt"/>
    <w:basedOn w:val="Normal"/>
    <w:next w:val="BGKeywords"/>
    <w:link w:val="StyleFACorrespondingAuthorFootnote7ptChar"/>
    <w:autoRedefine/>
    <w:rsid w:val="003872DB"/>
    <w:pPr>
      <w:spacing w:after="0"/>
      <w:jc w:val="left"/>
    </w:pPr>
    <w:rPr>
      <w:rFonts w:ascii="Arno Pro" w:hAnsi="Arno Pro"/>
      <w:kern w:val="20"/>
      <w:sz w:val="18"/>
    </w:rPr>
  </w:style>
  <w:style w:type="character" w:customStyle="1" w:styleId="StyleFACorrespondingAuthorFootnote7ptChar">
    <w:name w:val="Style FA_Corresponding_Author_Footnote + 7 pt Char"/>
    <w:link w:val="StyleFACorrespondingAuthorFootnote7pt"/>
    <w:rsid w:val="003872DB"/>
    <w:rPr>
      <w:rFonts w:ascii="Arno Pro" w:eastAsia="MS Mincho" w:hAnsi="Arno Pro" w:cs="Times New Roman"/>
      <w:kern w:val="20"/>
      <w:sz w:val="18"/>
      <w:szCs w:val="20"/>
      <w:lang w:val="en-US"/>
    </w:rPr>
  </w:style>
  <w:style w:type="paragraph" w:customStyle="1" w:styleId="FAAuthorInfoSubtitle">
    <w:name w:val="FA_Author_Info_Subtitle"/>
    <w:basedOn w:val="Normal"/>
    <w:link w:val="FAAuthorInfoSubtitleChar"/>
    <w:autoRedefine/>
    <w:rsid w:val="003872DB"/>
    <w:pPr>
      <w:spacing w:before="120" w:after="60" w:line="480" w:lineRule="auto"/>
      <w:jc w:val="left"/>
    </w:pPr>
    <w:rPr>
      <w:b/>
    </w:rPr>
  </w:style>
  <w:style w:type="character" w:customStyle="1" w:styleId="FAAuthorInfoSubtitleChar">
    <w:name w:val="FA_Author_Info_Subtitle Char"/>
    <w:link w:val="FAAuthorInfoSubtitle"/>
    <w:rsid w:val="003872DB"/>
    <w:rPr>
      <w:rFonts w:ascii="Times" w:eastAsia="MS Mincho" w:hAnsi="Times" w:cs="Times New Roman"/>
      <w:b/>
      <w:sz w:val="24"/>
      <w:szCs w:val="20"/>
      <w:lang w:val="en-US"/>
    </w:rPr>
  </w:style>
  <w:style w:type="paragraph" w:styleId="Title">
    <w:name w:val="Title"/>
    <w:basedOn w:val="Normal"/>
    <w:next w:val="Normal"/>
    <w:link w:val="TitleChar"/>
    <w:uiPriority w:val="10"/>
    <w:qFormat/>
    <w:rsid w:val="003872DB"/>
    <w:pPr>
      <w:pBdr>
        <w:bottom w:val="single" w:sz="8" w:space="4" w:color="4F81BD"/>
      </w:pBdr>
      <w:spacing w:after="300"/>
      <w:contextualSpacing/>
      <w:jc w:val="left"/>
    </w:pPr>
    <w:rPr>
      <w:rFonts w:ascii="Cambria" w:eastAsia="MS Gothic" w:hAnsi="Cambria"/>
      <w:color w:val="17365D"/>
      <w:spacing w:val="5"/>
      <w:kern w:val="28"/>
      <w:sz w:val="52"/>
      <w:szCs w:val="52"/>
      <w:lang w:val="en-GB" w:eastAsia="ja-JP"/>
    </w:rPr>
  </w:style>
  <w:style w:type="character" w:customStyle="1" w:styleId="TitleChar">
    <w:name w:val="Title Char"/>
    <w:basedOn w:val="DefaultParagraphFont"/>
    <w:link w:val="Title"/>
    <w:uiPriority w:val="10"/>
    <w:rsid w:val="003872DB"/>
    <w:rPr>
      <w:rFonts w:ascii="Cambria" w:eastAsia="MS Gothic" w:hAnsi="Cambria" w:cs="Times New Roman"/>
      <w:color w:val="17365D"/>
      <w:spacing w:val="5"/>
      <w:kern w:val="28"/>
      <w:sz w:val="52"/>
      <w:szCs w:val="52"/>
      <w:lang w:eastAsia="ja-JP"/>
    </w:rPr>
  </w:style>
  <w:style w:type="table" w:styleId="TableGrid">
    <w:name w:val="Table Grid"/>
    <w:basedOn w:val="TableNormal"/>
    <w:uiPriority w:val="59"/>
    <w:rsid w:val="003872DB"/>
    <w:pPr>
      <w:spacing w:after="0" w:line="240" w:lineRule="auto"/>
    </w:pPr>
    <w:rPr>
      <w:rFonts w:ascii="Calibri" w:eastAsia="MS Mincho" w:hAnsi="Calibri"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872DB"/>
    <w:rPr>
      <w:color w:val="808080"/>
    </w:rPr>
  </w:style>
  <w:style w:type="paragraph" w:styleId="ListParagraph">
    <w:name w:val="List Paragraph"/>
    <w:basedOn w:val="Normal"/>
    <w:uiPriority w:val="34"/>
    <w:qFormat/>
    <w:rsid w:val="003872DB"/>
    <w:pPr>
      <w:spacing w:line="276" w:lineRule="auto"/>
      <w:ind w:left="720"/>
      <w:contextualSpacing/>
      <w:jc w:val="left"/>
    </w:pPr>
    <w:rPr>
      <w:rFonts w:ascii="Calibri" w:hAnsi="Calibri"/>
      <w:sz w:val="22"/>
      <w:szCs w:val="22"/>
      <w:lang w:val="en-GB" w:eastAsia="ja-JP"/>
    </w:rPr>
  </w:style>
  <w:style w:type="character" w:customStyle="1" w:styleId="gi">
    <w:name w:val="gi"/>
    <w:basedOn w:val="DefaultParagraphFont"/>
    <w:rsid w:val="003872DB"/>
  </w:style>
  <w:style w:type="character" w:styleId="CommentReference">
    <w:name w:val="annotation reference"/>
    <w:uiPriority w:val="99"/>
    <w:unhideWhenUsed/>
    <w:rsid w:val="003872DB"/>
    <w:rPr>
      <w:sz w:val="16"/>
      <w:szCs w:val="16"/>
    </w:rPr>
  </w:style>
  <w:style w:type="paragraph" w:styleId="CommentText">
    <w:name w:val="annotation text"/>
    <w:basedOn w:val="Normal"/>
    <w:link w:val="CommentTextChar"/>
    <w:uiPriority w:val="99"/>
    <w:unhideWhenUsed/>
    <w:rsid w:val="003872DB"/>
    <w:pPr>
      <w:jc w:val="left"/>
    </w:pPr>
    <w:rPr>
      <w:rFonts w:ascii="Calibri" w:hAnsi="Calibri"/>
      <w:sz w:val="20"/>
      <w:lang w:val="en-GB" w:eastAsia="ja-JP"/>
    </w:rPr>
  </w:style>
  <w:style w:type="character" w:customStyle="1" w:styleId="CommentTextChar">
    <w:name w:val="Comment Text Char"/>
    <w:basedOn w:val="DefaultParagraphFont"/>
    <w:link w:val="CommentText"/>
    <w:uiPriority w:val="99"/>
    <w:rsid w:val="003872DB"/>
    <w:rPr>
      <w:rFonts w:ascii="Calibri" w:eastAsia="MS Mincho" w:hAnsi="Calibri" w:cs="Times New Roman"/>
      <w:sz w:val="20"/>
      <w:szCs w:val="20"/>
      <w:lang w:eastAsia="ja-JP"/>
    </w:rPr>
  </w:style>
  <w:style w:type="paragraph" w:styleId="CommentSubject">
    <w:name w:val="annotation subject"/>
    <w:basedOn w:val="CommentText"/>
    <w:next w:val="CommentText"/>
    <w:link w:val="CommentSubjectChar"/>
    <w:uiPriority w:val="99"/>
    <w:unhideWhenUsed/>
    <w:rsid w:val="003872DB"/>
    <w:rPr>
      <w:b/>
      <w:bCs/>
    </w:rPr>
  </w:style>
  <w:style w:type="character" w:customStyle="1" w:styleId="CommentSubjectChar">
    <w:name w:val="Comment Subject Char"/>
    <w:basedOn w:val="CommentTextChar"/>
    <w:link w:val="CommentSubject"/>
    <w:uiPriority w:val="99"/>
    <w:rsid w:val="003872DB"/>
    <w:rPr>
      <w:rFonts w:ascii="Calibri" w:eastAsia="MS Mincho" w:hAnsi="Calibri" w:cs="Times New Roman"/>
      <w:b/>
      <w:bCs/>
      <w:sz w:val="20"/>
      <w:szCs w:val="20"/>
      <w:lang w:eastAsia="ja-JP"/>
    </w:rPr>
  </w:style>
  <w:style w:type="paragraph" w:styleId="Header">
    <w:name w:val="header"/>
    <w:basedOn w:val="Normal"/>
    <w:link w:val="HeaderChar"/>
    <w:uiPriority w:val="99"/>
    <w:unhideWhenUsed/>
    <w:rsid w:val="003872DB"/>
    <w:pPr>
      <w:tabs>
        <w:tab w:val="center" w:pos="4513"/>
        <w:tab w:val="right" w:pos="9026"/>
      </w:tabs>
      <w:spacing w:after="0"/>
      <w:jc w:val="left"/>
    </w:pPr>
    <w:rPr>
      <w:rFonts w:ascii="Calibri" w:hAnsi="Calibri"/>
      <w:sz w:val="22"/>
      <w:szCs w:val="22"/>
      <w:lang w:val="en-GB" w:eastAsia="ja-JP"/>
    </w:rPr>
  </w:style>
  <w:style w:type="character" w:customStyle="1" w:styleId="HeaderChar">
    <w:name w:val="Header Char"/>
    <w:basedOn w:val="DefaultParagraphFont"/>
    <w:link w:val="Header"/>
    <w:uiPriority w:val="99"/>
    <w:rsid w:val="003872DB"/>
    <w:rPr>
      <w:rFonts w:ascii="Calibri" w:eastAsia="MS Mincho" w:hAnsi="Calibri" w:cs="Times New Roman"/>
      <w:lang w:eastAsia="ja-JP"/>
    </w:rPr>
  </w:style>
  <w:style w:type="paragraph" w:customStyle="1" w:styleId="Eq">
    <w:name w:val="Eq"/>
    <w:basedOn w:val="Normal"/>
    <w:rsid w:val="003872DB"/>
    <w:pPr>
      <w:spacing w:line="276" w:lineRule="auto"/>
      <w:jc w:val="left"/>
    </w:pPr>
    <w:rPr>
      <w:rFonts w:ascii="Cambria Math" w:hAnsi="Cambria Math"/>
      <w:i/>
      <w:sz w:val="22"/>
      <w:szCs w:val="22"/>
      <w:lang w:val="en-GB" w:eastAsia="ja-JP"/>
    </w:rPr>
  </w:style>
  <w:style w:type="table" w:customStyle="1" w:styleId="TableGrid1">
    <w:name w:val="Table Grid1"/>
    <w:basedOn w:val="TableNormal"/>
    <w:next w:val="TableGrid"/>
    <w:uiPriority w:val="59"/>
    <w:rsid w:val="003872DB"/>
    <w:pPr>
      <w:spacing w:after="0" w:line="240" w:lineRule="auto"/>
    </w:pPr>
    <w:rPr>
      <w:rFonts w:ascii="Calibri" w:eastAsia="MS Mincho" w:hAnsi="Calibri"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872DB"/>
    <w:pPr>
      <w:spacing w:after="0" w:line="240" w:lineRule="auto"/>
    </w:pPr>
    <w:rPr>
      <w:rFonts w:ascii="Calibri" w:eastAsia="MS Mincho" w:hAnsi="Calibri"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3872DB"/>
    <w:pPr>
      <w:spacing w:after="0" w:line="240" w:lineRule="auto"/>
    </w:pPr>
    <w:rPr>
      <w:rFonts w:ascii="Calibri" w:eastAsia="Calibri" w:hAnsi="Calibri" w:cs="Times New Roman"/>
      <w:color w:val="000000"/>
      <w:lang w:eastAsia="ja-JP"/>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3872DB"/>
    <w:pPr>
      <w:spacing w:after="0" w:line="240" w:lineRule="auto"/>
    </w:pPr>
    <w:rPr>
      <w:rFonts w:ascii="Times" w:eastAsia="MS Mincho" w:hAnsi="Times" w:cs="Times New Roman"/>
      <w:sz w:val="24"/>
      <w:szCs w:val="20"/>
      <w:lang w:val="en-US"/>
    </w:rPr>
  </w:style>
  <w:style w:type="paragraph" w:styleId="TOC1">
    <w:name w:val="toc 1"/>
    <w:basedOn w:val="Normal"/>
    <w:next w:val="Normal"/>
    <w:autoRedefine/>
    <w:uiPriority w:val="39"/>
    <w:unhideWhenUsed/>
    <w:qFormat/>
    <w:rsid w:val="003872DB"/>
    <w:pPr>
      <w:tabs>
        <w:tab w:val="right" w:leader="dot" w:pos="9350"/>
      </w:tabs>
      <w:spacing w:before="120" w:after="120"/>
      <w:jc w:val="left"/>
    </w:pPr>
    <w:rPr>
      <w:rFonts w:cs="Times"/>
      <w:b/>
      <w:bCs/>
      <w:caps/>
      <w:noProof/>
      <w:lang w:val="en-GB"/>
    </w:rPr>
  </w:style>
  <w:style w:type="paragraph" w:styleId="TOC2">
    <w:name w:val="toc 2"/>
    <w:basedOn w:val="Normal"/>
    <w:next w:val="Normal"/>
    <w:autoRedefine/>
    <w:uiPriority w:val="39"/>
    <w:unhideWhenUsed/>
    <w:qFormat/>
    <w:rsid w:val="003872DB"/>
    <w:pPr>
      <w:tabs>
        <w:tab w:val="left" w:pos="960"/>
        <w:tab w:val="right" w:leader="dot" w:pos="9350"/>
      </w:tabs>
      <w:spacing w:after="0" w:line="480" w:lineRule="auto"/>
      <w:ind w:left="240"/>
      <w:jc w:val="left"/>
    </w:pPr>
    <w:rPr>
      <w:rFonts w:ascii="Calibri" w:hAnsi="Calibri"/>
      <w:smallCaps/>
      <w:sz w:val="20"/>
    </w:rPr>
  </w:style>
  <w:style w:type="paragraph" w:styleId="TOC3">
    <w:name w:val="toc 3"/>
    <w:basedOn w:val="Normal"/>
    <w:next w:val="Normal"/>
    <w:autoRedefine/>
    <w:uiPriority w:val="39"/>
    <w:unhideWhenUsed/>
    <w:qFormat/>
    <w:rsid w:val="003872DB"/>
    <w:pPr>
      <w:spacing w:after="0"/>
      <w:ind w:left="480"/>
      <w:jc w:val="left"/>
    </w:pPr>
    <w:rPr>
      <w:rFonts w:ascii="Calibri" w:hAnsi="Calibri"/>
      <w:i/>
      <w:iCs/>
      <w:sz w:val="20"/>
    </w:rPr>
  </w:style>
  <w:style w:type="paragraph" w:styleId="TOC4">
    <w:name w:val="toc 4"/>
    <w:basedOn w:val="Normal"/>
    <w:next w:val="Normal"/>
    <w:autoRedefine/>
    <w:unhideWhenUsed/>
    <w:rsid w:val="003872DB"/>
    <w:pPr>
      <w:spacing w:after="0"/>
      <w:ind w:left="720"/>
      <w:jc w:val="left"/>
    </w:pPr>
    <w:rPr>
      <w:rFonts w:ascii="Calibri" w:hAnsi="Calibri"/>
      <w:sz w:val="18"/>
      <w:szCs w:val="18"/>
    </w:rPr>
  </w:style>
  <w:style w:type="paragraph" w:styleId="TOC5">
    <w:name w:val="toc 5"/>
    <w:basedOn w:val="Normal"/>
    <w:next w:val="Normal"/>
    <w:autoRedefine/>
    <w:unhideWhenUsed/>
    <w:rsid w:val="003872DB"/>
    <w:pPr>
      <w:spacing w:after="0"/>
      <w:ind w:left="960"/>
      <w:jc w:val="left"/>
    </w:pPr>
    <w:rPr>
      <w:rFonts w:ascii="Calibri" w:hAnsi="Calibri"/>
      <w:sz w:val="18"/>
      <w:szCs w:val="18"/>
    </w:rPr>
  </w:style>
  <w:style w:type="paragraph" w:styleId="TOC6">
    <w:name w:val="toc 6"/>
    <w:basedOn w:val="Normal"/>
    <w:next w:val="Normal"/>
    <w:autoRedefine/>
    <w:unhideWhenUsed/>
    <w:rsid w:val="003872DB"/>
    <w:pPr>
      <w:spacing w:after="0"/>
      <w:ind w:left="1200"/>
      <w:jc w:val="left"/>
    </w:pPr>
    <w:rPr>
      <w:rFonts w:ascii="Calibri" w:hAnsi="Calibri"/>
      <w:sz w:val="18"/>
      <w:szCs w:val="18"/>
    </w:rPr>
  </w:style>
  <w:style w:type="paragraph" w:styleId="TOC7">
    <w:name w:val="toc 7"/>
    <w:basedOn w:val="Normal"/>
    <w:next w:val="Normal"/>
    <w:autoRedefine/>
    <w:unhideWhenUsed/>
    <w:rsid w:val="003872DB"/>
    <w:pPr>
      <w:spacing w:after="0"/>
      <w:ind w:left="1440"/>
      <w:jc w:val="left"/>
    </w:pPr>
    <w:rPr>
      <w:rFonts w:ascii="Calibri" w:hAnsi="Calibri"/>
      <w:sz w:val="18"/>
      <w:szCs w:val="18"/>
    </w:rPr>
  </w:style>
  <w:style w:type="paragraph" w:styleId="TOC8">
    <w:name w:val="toc 8"/>
    <w:basedOn w:val="Normal"/>
    <w:next w:val="Normal"/>
    <w:autoRedefine/>
    <w:unhideWhenUsed/>
    <w:rsid w:val="003872DB"/>
    <w:pPr>
      <w:spacing w:after="0"/>
      <w:ind w:left="1680"/>
      <w:jc w:val="left"/>
    </w:pPr>
    <w:rPr>
      <w:rFonts w:ascii="Calibri" w:hAnsi="Calibri"/>
      <w:sz w:val="18"/>
      <w:szCs w:val="18"/>
    </w:rPr>
  </w:style>
  <w:style w:type="paragraph" w:styleId="TOC9">
    <w:name w:val="toc 9"/>
    <w:basedOn w:val="Normal"/>
    <w:next w:val="Normal"/>
    <w:autoRedefine/>
    <w:unhideWhenUsed/>
    <w:rsid w:val="003872DB"/>
    <w:pPr>
      <w:spacing w:after="0"/>
      <w:ind w:left="1920"/>
      <w:jc w:val="left"/>
    </w:pPr>
    <w:rPr>
      <w:rFonts w:ascii="Calibri" w:hAnsi="Calibri"/>
      <w:sz w:val="18"/>
      <w:szCs w:val="18"/>
    </w:rPr>
  </w:style>
  <w:style w:type="paragraph" w:styleId="TOCHeading">
    <w:name w:val="TOC Heading"/>
    <w:basedOn w:val="Heading1"/>
    <w:next w:val="Normal"/>
    <w:uiPriority w:val="39"/>
    <w:semiHidden/>
    <w:unhideWhenUsed/>
    <w:qFormat/>
    <w:rsid w:val="003872DB"/>
    <w:pPr>
      <w:outlineLvl w:val="9"/>
    </w:pPr>
    <w:rPr>
      <w:lang w:val="en-US"/>
    </w:rPr>
  </w:style>
  <w:style w:type="character" w:styleId="LineNumber">
    <w:name w:val="line number"/>
    <w:semiHidden/>
    <w:unhideWhenUsed/>
    <w:rsid w:val="003872DB"/>
  </w:style>
  <w:style w:type="paragraph" w:customStyle="1" w:styleId="SectionContent">
    <w:name w:val="Section_Content"/>
    <w:basedOn w:val="StyleFACorrespondingAuthorFootnote"/>
    <w:next w:val="Normal"/>
    <w:autoRedefine/>
    <w:rsid w:val="003872DB"/>
    <w:pPr>
      <w:jc w:val="both"/>
    </w:pPr>
  </w:style>
  <w:style w:type="paragraph" w:customStyle="1" w:styleId="StyleFACorrespondingAuthorFootnote">
    <w:name w:val="Style FA_Corresponding_Author_Footnote"/>
    <w:basedOn w:val="Normal"/>
    <w:next w:val="BGKeywords"/>
    <w:link w:val="StyleFACorrespondingAuthorFootnoteChar"/>
    <w:autoRedefine/>
    <w:rsid w:val="003872DB"/>
    <w:pPr>
      <w:spacing w:after="0"/>
      <w:jc w:val="left"/>
    </w:pPr>
    <w:rPr>
      <w:rFonts w:ascii="Arno Pro" w:eastAsia="Times New Roman" w:hAnsi="Arno Pro"/>
      <w:kern w:val="20"/>
      <w:sz w:val="18"/>
    </w:rPr>
  </w:style>
  <w:style w:type="character" w:customStyle="1" w:styleId="StyleFACorrespondingAuthorFootnoteChar">
    <w:name w:val="Style FA_Corresponding_Author_Footnote Char"/>
    <w:link w:val="StyleFACorrespondingAuthorFootnote"/>
    <w:rsid w:val="003872DB"/>
    <w:rPr>
      <w:rFonts w:ascii="Arno Pro" w:eastAsia="Times New Roman" w:hAnsi="Arno Pro" w:cs="Times New Roman"/>
      <w:kern w:val="20"/>
      <w:sz w:val="18"/>
      <w:szCs w:val="20"/>
      <w:lang w:val="en-US"/>
    </w:rPr>
  </w:style>
  <w:style w:type="paragraph" w:customStyle="1" w:styleId="StyleBIEmailAddress95pt">
    <w:name w:val="Style BI_Email_Address + 9.5 pt"/>
    <w:basedOn w:val="BIEmailAddress"/>
    <w:rsid w:val="003872DB"/>
    <w:pPr>
      <w:spacing w:after="60" w:line="240" w:lineRule="auto"/>
      <w:jc w:val="left"/>
    </w:pPr>
    <w:rPr>
      <w:rFonts w:ascii="Arno Pro" w:eastAsia="Times New Roman" w:hAnsi="Arno Pro"/>
      <w:sz w:val="19"/>
    </w:rPr>
  </w:style>
  <w:style w:type="paragraph" w:customStyle="1" w:styleId="StyleTCTableBodyBold">
    <w:name w:val="Style TC_Table_Body + Bold"/>
    <w:basedOn w:val="TCTableBody"/>
    <w:link w:val="StyleTCTableBodyBoldChar"/>
    <w:rsid w:val="003872DB"/>
    <w:pPr>
      <w:spacing w:before="20" w:after="60"/>
    </w:pPr>
    <w:rPr>
      <w:rFonts w:ascii="Arno Pro" w:eastAsia="Times New Roman" w:hAnsi="Arno Pro"/>
      <w:b/>
      <w:bCs/>
      <w:kern w:val="22"/>
      <w:sz w:val="15"/>
    </w:rPr>
  </w:style>
  <w:style w:type="character" w:customStyle="1" w:styleId="StyleTCTableBodyBoldChar">
    <w:name w:val="Style TC_Table_Body + Bold Char"/>
    <w:link w:val="StyleTCTableBodyBold"/>
    <w:rsid w:val="003872DB"/>
    <w:rPr>
      <w:rFonts w:ascii="Arno Pro" w:eastAsia="Times New Roman" w:hAnsi="Arno Pro" w:cs="Times New Roman"/>
      <w:b/>
      <w:bCs/>
      <w:kern w:val="22"/>
      <w:sz w:val="15"/>
      <w:szCs w:val="20"/>
      <w:lang w:val="en-US"/>
    </w:rPr>
  </w:style>
  <w:style w:type="paragraph" w:customStyle="1" w:styleId="BDAbstractTitle">
    <w:name w:val="BD_Abstract_Title"/>
    <w:basedOn w:val="BDAbstract"/>
    <w:link w:val="BDAbstractTitleChar"/>
    <w:rsid w:val="003872DB"/>
    <w:pPr>
      <w:pBdr>
        <w:top w:val="single" w:sz="4" w:space="1" w:color="auto"/>
        <w:bottom w:val="single" w:sz="4" w:space="1" w:color="auto"/>
      </w:pBdr>
      <w:spacing w:before="100" w:after="600" w:line="240" w:lineRule="auto"/>
    </w:pPr>
    <w:rPr>
      <w:rFonts w:ascii="Arno Pro" w:eastAsia="Times New Roman" w:hAnsi="Arno Pro"/>
      <w:b/>
      <w:kern w:val="21"/>
      <w:sz w:val="18"/>
    </w:rPr>
  </w:style>
  <w:style w:type="character" w:customStyle="1" w:styleId="BDAbstractTitleChar">
    <w:name w:val="BD_Abstract_Title Char"/>
    <w:link w:val="BDAbstractTitle"/>
    <w:rsid w:val="003872DB"/>
    <w:rPr>
      <w:rFonts w:ascii="Arno Pro" w:eastAsia="Times New Roman" w:hAnsi="Arno Pro" w:cs="Times New Roman"/>
      <w:b/>
      <w:kern w:val="21"/>
      <w:sz w:val="18"/>
      <w:szCs w:val="20"/>
      <w:lang w:val="en-US"/>
    </w:rPr>
  </w:style>
  <w:style w:type="paragraph" w:customStyle="1" w:styleId="SectionTitle">
    <w:name w:val="Section_Title"/>
    <w:basedOn w:val="SectionContent"/>
    <w:autoRedefine/>
    <w:rsid w:val="003872DB"/>
    <w:pPr>
      <w:spacing w:before="180" w:after="120"/>
    </w:pPr>
    <w:rPr>
      <w:rFonts w:ascii="Myriad Pro Light" w:hAnsi="Myriad Pro Light"/>
      <w:b/>
      <w:sz w:val="21"/>
      <w:szCs w:val="18"/>
    </w:rPr>
  </w:style>
  <w:style w:type="paragraph" w:customStyle="1" w:styleId="SectionSubtitle">
    <w:name w:val="Section_Subtitle"/>
    <w:basedOn w:val="Normal"/>
    <w:link w:val="SectionSubtitleChar"/>
    <w:autoRedefine/>
    <w:rsid w:val="003872DB"/>
    <w:pPr>
      <w:spacing w:before="120" w:after="60"/>
    </w:pPr>
    <w:rPr>
      <w:rFonts w:ascii="Myriad Pro Light" w:eastAsia="Times New Roman" w:hAnsi="Myriad Pro Light"/>
      <w:b/>
      <w:kern w:val="21"/>
      <w:sz w:val="19"/>
      <w:szCs w:val="14"/>
    </w:rPr>
  </w:style>
  <w:style w:type="character" w:customStyle="1" w:styleId="SectionSubtitleChar">
    <w:name w:val="Section_Subtitle Char"/>
    <w:link w:val="SectionSubtitle"/>
    <w:rsid w:val="003872DB"/>
    <w:rPr>
      <w:rFonts w:ascii="Myriad Pro Light" w:eastAsia="Times New Roman" w:hAnsi="Myriad Pro Light" w:cs="Times New Roman"/>
      <w:b/>
      <w:kern w:val="21"/>
      <w:sz w:val="19"/>
      <w:szCs w:val="14"/>
      <w:lang w:val="en-US"/>
    </w:rPr>
  </w:style>
  <w:style w:type="paragraph" w:customStyle="1" w:styleId="Standard">
    <w:name w:val="Standard"/>
    <w:rsid w:val="003872DB"/>
    <w:pPr>
      <w:widowControl w:val="0"/>
      <w:suppressAutoHyphens/>
      <w:autoSpaceDN w:val="0"/>
      <w:spacing w:after="0" w:line="240" w:lineRule="auto"/>
      <w:textAlignment w:val="baseline"/>
    </w:pPr>
    <w:rPr>
      <w:rFonts w:ascii="Liberation Serif" w:eastAsia="DejaVu Sans" w:hAnsi="Liberation Serif" w:cs="Lohit Devanagari"/>
      <w:kern w:val="3"/>
      <w:sz w:val="24"/>
      <w:szCs w:val="24"/>
      <w:lang w:val="en-US" w:eastAsia="zh-CN" w:bidi="hi-IN"/>
    </w:rPr>
  </w:style>
  <w:style w:type="paragraph" w:customStyle="1" w:styleId="Heading">
    <w:name w:val="Heading"/>
    <w:basedOn w:val="Standard"/>
    <w:next w:val="Textbody"/>
    <w:rsid w:val="003872DB"/>
    <w:pPr>
      <w:keepNext/>
      <w:spacing w:before="240" w:after="120"/>
    </w:pPr>
    <w:rPr>
      <w:rFonts w:ascii="Liberation Sans" w:hAnsi="Liberation Sans"/>
      <w:sz w:val="28"/>
      <w:szCs w:val="28"/>
    </w:rPr>
  </w:style>
  <w:style w:type="paragraph" w:customStyle="1" w:styleId="Textbody">
    <w:name w:val="Text body"/>
    <w:basedOn w:val="Standard"/>
    <w:rsid w:val="003872DB"/>
    <w:pPr>
      <w:spacing w:after="120"/>
    </w:pPr>
  </w:style>
  <w:style w:type="paragraph" w:styleId="List">
    <w:name w:val="List"/>
    <w:basedOn w:val="Textbody"/>
    <w:rsid w:val="003872DB"/>
  </w:style>
  <w:style w:type="paragraph" w:styleId="Caption">
    <w:name w:val="caption"/>
    <w:basedOn w:val="Standard"/>
    <w:rsid w:val="003872DB"/>
    <w:pPr>
      <w:suppressLineNumbers/>
      <w:spacing w:before="120" w:after="120"/>
    </w:pPr>
    <w:rPr>
      <w:i/>
      <w:iCs/>
    </w:rPr>
  </w:style>
  <w:style w:type="paragraph" w:customStyle="1" w:styleId="Index">
    <w:name w:val="Index"/>
    <w:basedOn w:val="Standard"/>
    <w:rsid w:val="003872DB"/>
    <w:pPr>
      <w:suppressLineNumbers/>
    </w:pPr>
  </w:style>
  <w:style w:type="character" w:customStyle="1" w:styleId="Internetlink">
    <w:name w:val="Internet link"/>
    <w:rsid w:val="003872DB"/>
    <w:rPr>
      <w:color w:val="000080"/>
      <w:u w:val="single"/>
    </w:rPr>
  </w:style>
  <w:style w:type="paragraph" w:styleId="NormalWeb">
    <w:name w:val="Normal (Web)"/>
    <w:basedOn w:val="Normal"/>
    <w:uiPriority w:val="99"/>
    <w:semiHidden/>
    <w:unhideWhenUsed/>
    <w:rsid w:val="003872DB"/>
    <w:pPr>
      <w:spacing w:before="100" w:beforeAutospacing="1" w:after="100" w:afterAutospacing="1"/>
      <w:jc w:val="left"/>
    </w:pPr>
    <w:rPr>
      <w:rFonts w:ascii="Times New Roman" w:eastAsiaTheme="minorEastAsia" w:hAnsi="Times New Roman"/>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ishi.shimizu@york.ac.uk"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evenabbott.co.uk/practical-solubility/kb-flavours.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tevenabbott.co.uk/practical-solubility/kb-flavours.ph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evenabbott.co.uk/practical-solubility/kb-flavours.php" TargetMode="External"/><Relationship Id="rId14" Type="http://schemas.openxmlformats.org/officeDocument/2006/relationships/hyperlink" Target="http://www.stevenabbott.co.uk/practical-solubility/kb-flavour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31F87-6B53-4E3E-883B-84A5AFB4A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117828</Words>
  <Characters>671620</Characters>
  <Application>Microsoft Office Word</Application>
  <DocSecurity>0</DocSecurity>
  <Lines>5596</Lines>
  <Paragraphs>1575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Abbott</dc:creator>
  <cp:keywords/>
  <dc:description/>
  <cp:lastModifiedBy>Seishi Shimizu</cp:lastModifiedBy>
  <cp:revision>3</cp:revision>
  <dcterms:created xsi:type="dcterms:W3CDTF">2017-06-13T07:20:00Z</dcterms:created>
  <dcterms:modified xsi:type="dcterms:W3CDTF">2017-06-13T07:20:00Z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8d6d7467-07b8-30c7-908e-175b6e68505e</vt:lpwstr>
  </property>
  <property fmtid="{D5CDD505-2E9C-101B-9397-08002B2CF9AE}" pid="4" name="Mendeley Citation Style_1">
    <vt:lpwstr>http://www.zotero.org/styles/food-and-function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http://www.zotero.org/styles/biochemistry</vt:lpwstr>
  </property>
  <property fmtid="{D5CDD505-2E9C-101B-9397-08002B2CF9AE}" pid="14" name="Mendeley Recent Style Name 4_1">
    <vt:lpwstr>Biochemistry</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16th edition (author-date)</vt:lpwstr>
  </property>
  <property fmtid="{D5CDD505-2E9C-101B-9397-08002B2CF9AE}" pid="17" name="Mendeley Recent Style Id 6_1">
    <vt:lpwstr>http://www.zotero.org/styles/food-and-function</vt:lpwstr>
  </property>
  <property fmtid="{D5CDD505-2E9C-101B-9397-08002B2CF9AE}" pid="18" name="Mendeley Recent Style Name 6_1">
    <vt:lpwstr>Food &amp; Function</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http://www.zotero.org/styles/soft-matter</vt:lpwstr>
  </property>
  <property fmtid="{D5CDD505-2E9C-101B-9397-08002B2CF9AE}" pid="24" name="Mendeley Recent Style Name 9_1">
    <vt:lpwstr>Soft Matter</vt:lpwstr>
  </property>
</Properties>
</file>